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231334">
      <w:pPr>
        <w:rPr>
          <w:sz w:val="32"/>
        </w:rPr>
      </w:pPr>
      <w:bookmarkStart w:id="0" w:name="_GoBack"/>
      <w:bookmarkEnd w:id="0"/>
    </w:p>
    <w:p w:rsidR="00C92FC0" w:rsidRPr="00EB07BC" w:rsidRDefault="00231334">
      <w:pPr>
        <w:rPr>
          <w:sz w:val="32"/>
        </w:rPr>
      </w:pPr>
    </w:p>
    <w:p w:rsidR="00C92FC0" w:rsidRPr="00EB07BC" w:rsidRDefault="00231334">
      <w:pPr>
        <w:rPr>
          <w:sz w:val="32"/>
        </w:rPr>
      </w:pPr>
    </w:p>
    <w:p w:rsidR="00C92FC0" w:rsidRPr="00EB07BC" w:rsidRDefault="00FA6AF8">
      <w:pPr>
        <w:jc w:val="center"/>
        <w:rPr>
          <w:sz w:val="32"/>
        </w:rPr>
      </w:pPr>
      <w:r>
        <w:rPr>
          <w:noProof/>
        </w:rPr>
        <w:drawing>
          <wp:inline distT="0" distB="0" distL="0" distR="0">
            <wp:extent cx="4343400" cy="571500"/>
            <wp:effectExtent l="0" t="0" r="0" b="0"/>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C77ECD" w:rsidRDefault="00C77ECD">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77ECD" w:rsidRDefault="00C77ECD">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77ECD" w:rsidRDefault="006F5F7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交银施罗德定期支付双息平衡混合型证券投资基金</w:t>
      </w:r>
    </w:p>
    <w:p w:rsidR="00C77ECD" w:rsidRDefault="006F5F7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C77ECD" w:rsidRDefault="006F5F77">
      <w:pPr>
        <w:snapToGrid w:val="0"/>
        <w:spacing w:line="360" w:lineRule="auto"/>
        <w:jc w:val="center"/>
        <w:rPr>
          <w:rFonts w:ascii="宋体" w:hAnsi="宋体"/>
          <w:b/>
          <w:sz w:val="30"/>
          <w:szCs w:val="30"/>
        </w:rPr>
      </w:pPr>
      <w:r>
        <w:rPr>
          <w:rFonts w:ascii="Times New Roman" w:hAnsi="Times New Roman"/>
          <w:b/>
          <w:color w:val="000000"/>
          <w:sz w:val="32"/>
          <w:szCs w:val="32"/>
        </w:rPr>
        <w:t>(</w:t>
      </w:r>
      <w:r w:rsidR="00C52768">
        <w:rPr>
          <w:rFonts w:ascii="Times New Roman" w:hAnsi="Times New Roman"/>
          <w:b/>
          <w:color w:val="000000"/>
          <w:sz w:val="32"/>
          <w:szCs w:val="32"/>
        </w:rPr>
        <w:t>2023</w:t>
      </w:r>
      <w:r>
        <w:rPr>
          <w:rFonts w:ascii="Times New Roman" w:hAnsi="Times New Roman"/>
          <w:b/>
          <w:color w:val="000000"/>
          <w:sz w:val="32"/>
          <w:szCs w:val="32"/>
        </w:rPr>
        <w:t>年</w:t>
      </w:r>
      <w:r w:rsidR="00C52768">
        <w:rPr>
          <w:rFonts w:ascii="Times New Roman" w:hAnsi="Times New Roman"/>
          <w:b/>
          <w:color w:val="000000"/>
          <w:sz w:val="32"/>
          <w:szCs w:val="32"/>
        </w:rPr>
        <w:t>第</w:t>
      </w:r>
      <w:r w:rsidR="00C52768">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rsidR="00C77ECD" w:rsidRDefault="00C77ECD">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7ECD" w:rsidRDefault="00C77ECD">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7ECD" w:rsidRDefault="00C77ECD">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7ECD" w:rsidRDefault="00C77ECD">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7ECD" w:rsidRDefault="00C77ECD">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7ECD" w:rsidRDefault="00C77ECD">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7ECD" w:rsidRDefault="006F5F7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C77ECD" w:rsidRDefault="006F5F7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C77ECD" w:rsidRDefault="00C77ECD">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7ECD" w:rsidRDefault="00C77ECD">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77ECD" w:rsidRDefault="006F5F7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C52768">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C52768">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C77ECD" w:rsidRDefault="00C77ECD">
      <w:pPr>
        <w:autoSpaceDE w:val="0"/>
        <w:autoSpaceDN w:val="0"/>
        <w:adjustRightInd w:val="0"/>
        <w:snapToGrid w:val="0"/>
        <w:spacing w:line="360" w:lineRule="auto"/>
        <w:ind w:left="1347" w:rightChars="6" w:right="13"/>
        <w:rPr>
          <w:rFonts w:ascii="宋体" w:hAnsi="宋体"/>
          <w:kern w:val="0"/>
          <w:sz w:val="32"/>
          <w:szCs w:val="32"/>
        </w:rPr>
        <w:sectPr w:rsidR="00C77ECD">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C77ECD" w:rsidRDefault="006F5F77">
      <w:pPr>
        <w:pStyle w:val="1"/>
        <w:snapToGrid w:val="0"/>
        <w:spacing w:beforeLines="0" w:before="240" w:after="240"/>
        <w:rPr>
          <w:rFonts w:ascii="宋体" w:hAnsi="宋体"/>
          <w:kern w:val="0"/>
        </w:rPr>
      </w:pPr>
      <w:bookmarkStart w:id="1" w:name="_Toc324920538"/>
      <w:bookmarkStart w:id="2" w:name="_Toc496884613"/>
      <w:bookmarkStart w:id="3" w:name="_Toc116553048"/>
      <w:r>
        <w:rPr>
          <w:rFonts w:ascii="Times New Roman" w:hAnsi="Times New Roman"/>
          <w:kern w:val="0"/>
        </w:rPr>
        <w:lastRenderedPageBreak/>
        <w:t>重要提示</w:t>
      </w:r>
      <w:bookmarkEnd w:id="1"/>
      <w:bookmarkEnd w:id="2"/>
      <w:bookmarkEnd w:id="3"/>
    </w:p>
    <w:p w:rsidR="00C77ECD" w:rsidRDefault="006F5F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交银施罗德定期支付双息平衡混合型证券投资基金（以下简称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6</w:t>
      </w:r>
      <w:r>
        <w:rPr>
          <w:rFonts w:ascii="Times New Roman" w:hAnsi="Times New Roman"/>
          <w:kern w:val="0"/>
          <w:sz w:val="24"/>
        </w:rPr>
        <w:t>月</w:t>
      </w:r>
      <w:r>
        <w:rPr>
          <w:rFonts w:ascii="Times New Roman" w:hAnsi="Times New Roman"/>
          <w:kern w:val="0"/>
          <w:sz w:val="24"/>
        </w:rPr>
        <w:t>6</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2013</w:t>
      </w:r>
      <w:r>
        <w:rPr>
          <w:rFonts w:ascii="Times New Roman" w:hAnsi="Times New Roman"/>
          <w:kern w:val="0"/>
          <w:sz w:val="24"/>
        </w:rPr>
        <w:t>】</w:t>
      </w:r>
      <w:r>
        <w:rPr>
          <w:rFonts w:ascii="Times New Roman" w:hAnsi="Times New Roman"/>
          <w:kern w:val="0"/>
          <w:sz w:val="24"/>
        </w:rPr>
        <w:t>753</w:t>
      </w:r>
      <w:r>
        <w:rPr>
          <w:rFonts w:ascii="Times New Roman" w:hAnsi="Times New Roman"/>
          <w:kern w:val="0"/>
          <w:sz w:val="24"/>
        </w:rPr>
        <w:t>号文核准募集。本基金基金合同于</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4</w:t>
      </w:r>
      <w:r>
        <w:rPr>
          <w:rFonts w:ascii="Times New Roman" w:hAnsi="Times New Roman"/>
          <w:kern w:val="0"/>
          <w:sz w:val="24"/>
        </w:rPr>
        <w:t>日正式生效。</w:t>
      </w:r>
    </w:p>
    <w:p w:rsidR="00C77ECD" w:rsidRDefault="006F5F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C77ECD" w:rsidRDefault="006F5F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C77ECD" w:rsidRDefault="006F5F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市场风险、管理风险、流动性风险、信用风险、本基金投资策略所特有的风险、投资科创板股票的特定风险、本基金定期支付相关的特定风险，例如定期支付不等同于收益分配、年化现金支付比率不代表基金实际投资收益率、定期支付被确认失败的风险、年化现金支付比率发生调整的风险等等。本基金是一只混合型基金，在证券投资基金中属于较高风险的品种，其长期平均风险和预期收益高于货币市场基金和债券型基金，低于股票型基金。</w:t>
      </w:r>
    </w:p>
    <w:p w:rsidR="00C77ECD" w:rsidRDefault="006F5F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按照基金合同的约定，每月定期按照年化现金支付比率计算现金支付金额并通过自动赎回基金份额向基金份额持有人支付一定现金，但基金管理人不保证本基金一定盈利，也不保证最低收益，定期支付不等同于收益分配，年化现金支付比率也不代表本基金的实际投资收益率。根据基金合同的约定，特定情形下并存在当期定期支付业务被确认失败的风险。基金管理人可以根据基金实际运作情况和市场环境的变化，在履行适当程序后对上述约定的年化现金支付比率进行调整，并至少在调整前一个月公告，上述调整不须召开份额持有人大会。投资有风险，投资人在投资本基金前应认真阅读本基金的招募说明书和基金合同、基</w:t>
      </w:r>
      <w:r>
        <w:rPr>
          <w:rFonts w:ascii="Times New Roman" w:hAnsi="Times New Roman"/>
          <w:kern w:val="0"/>
          <w:sz w:val="24"/>
        </w:rPr>
        <w:lastRenderedPageBreak/>
        <w:t>金产品资料概要。基金的过往业绩并不代表未来表现。基金管理人管理的其他基金的业绩并不构成对本基金业绩表现的保证。</w:t>
      </w:r>
    </w:p>
    <w:p w:rsidR="00C77ECD" w:rsidRDefault="006F5F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C77ECD" w:rsidRDefault="006F5F7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C77ECD" w:rsidRDefault="00C52768">
      <w:pPr>
        <w:autoSpaceDE w:val="0"/>
        <w:autoSpaceDN w:val="0"/>
        <w:adjustRightInd w:val="0"/>
        <w:snapToGrid w:val="0"/>
        <w:spacing w:line="360" w:lineRule="auto"/>
        <w:ind w:leftChars="50" w:left="105" w:firstLineChars="200" w:firstLine="480"/>
        <w:rPr>
          <w:rFonts w:ascii="宋体" w:hAnsi="宋体"/>
          <w:kern w:val="0"/>
          <w:sz w:val="24"/>
        </w:rPr>
      </w:pPr>
      <w:r w:rsidRPr="00C52768">
        <w:rPr>
          <w:rFonts w:ascii="Times New Roman" w:hAnsi="Times New Roman" w:hint="eastAsia"/>
          <w:kern w:val="0"/>
          <w:sz w:val="24"/>
        </w:rPr>
        <w:t>本次更新招募说明书主要对调整管理费率和</w:t>
      </w:r>
      <w:r w:rsidRPr="00C52768">
        <w:rPr>
          <w:rFonts w:ascii="Times New Roman" w:hAnsi="Times New Roman" w:hint="eastAsia"/>
          <w:kern w:val="0"/>
          <w:sz w:val="24"/>
        </w:rPr>
        <w:t>/</w:t>
      </w:r>
      <w:r w:rsidRPr="00C52768">
        <w:rPr>
          <w:rFonts w:ascii="Times New Roman" w:hAnsi="Times New Roman" w:hint="eastAsia"/>
          <w:kern w:val="0"/>
          <w:sz w:val="24"/>
        </w:rPr>
        <w:t>或托管费率相关事项进行了相应更新，更新截止日为</w:t>
      </w:r>
      <w:r w:rsidRPr="00C52768">
        <w:rPr>
          <w:rFonts w:ascii="Times New Roman" w:hAnsi="Times New Roman" w:hint="eastAsia"/>
          <w:kern w:val="0"/>
          <w:sz w:val="24"/>
        </w:rPr>
        <w:t>2023</w:t>
      </w:r>
      <w:r w:rsidRPr="00C52768">
        <w:rPr>
          <w:rFonts w:ascii="Times New Roman" w:hAnsi="Times New Roman" w:hint="eastAsia"/>
          <w:kern w:val="0"/>
          <w:sz w:val="24"/>
        </w:rPr>
        <w:t>年</w:t>
      </w:r>
      <w:r w:rsidRPr="00C52768">
        <w:rPr>
          <w:rFonts w:ascii="Times New Roman" w:hAnsi="Times New Roman" w:hint="eastAsia"/>
          <w:kern w:val="0"/>
          <w:sz w:val="24"/>
        </w:rPr>
        <w:t>07</w:t>
      </w:r>
      <w:r w:rsidRPr="00C52768">
        <w:rPr>
          <w:rFonts w:ascii="Times New Roman" w:hAnsi="Times New Roman" w:hint="eastAsia"/>
          <w:kern w:val="0"/>
          <w:sz w:val="24"/>
        </w:rPr>
        <w:t>月</w:t>
      </w:r>
      <w:r w:rsidRPr="00C52768">
        <w:rPr>
          <w:rFonts w:ascii="Times New Roman" w:hAnsi="Times New Roman" w:hint="eastAsia"/>
          <w:kern w:val="0"/>
          <w:sz w:val="24"/>
        </w:rPr>
        <w:t>10</w:t>
      </w:r>
      <w:r w:rsidRPr="00C52768">
        <w:rPr>
          <w:rFonts w:ascii="Times New Roman" w:hAnsi="Times New Roman" w:hint="eastAsia"/>
          <w:kern w:val="0"/>
          <w:sz w:val="24"/>
        </w:rPr>
        <w:t>日，除非另有说明，</w:t>
      </w:r>
      <w:r w:rsidR="006F5F77">
        <w:rPr>
          <w:rFonts w:ascii="Times New Roman" w:hAnsi="Times New Roman"/>
          <w:kern w:val="0"/>
          <w:sz w:val="24"/>
        </w:rPr>
        <w:t>本招募说明书</w:t>
      </w:r>
      <w:r>
        <w:rPr>
          <w:rFonts w:ascii="Times New Roman" w:hAnsi="Times New Roman"/>
          <w:kern w:val="0"/>
          <w:sz w:val="24"/>
        </w:rPr>
        <w:t>其他</w:t>
      </w:r>
      <w:r w:rsidR="006F5F77">
        <w:rPr>
          <w:rFonts w:ascii="Times New Roman" w:hAnsi="Times New Roman"/>
          <w:kern w:val="0"/>
          <w:sz w:val="24"/>
        </w:rPr>
        <w:t>所载内容截止日为</w:t>
      </w:r>
      <w:r w:rsidR="006F5F77">
        <w:rPr>
          <w:rFonts w:ascii="Times New Roman" w:hAnsi="Times New Roman"/>
          <w:kern w:val="0"/>
          <w:sz w:val="24"/>
        </w:rPr>
        <w:t>2022</w:t>
      </w:r>
      <w:r w:rsidR="006F5F77">
        <w:rPr>
          <w:rFonts w:ascii="Times New Roman" w:hAnsi="Times New Roman"/>
          <w:kern w:val="0"/>
          <w:sz w:val="24"/>
        </w:rPr>
        <w:t>年</w:t>
      </w:r>
      <w:r w:rsidR="006F5F77">
        <w:rPr>
          <w:rFonts w:ascii="Times New Roman" w:hAnsi="Times New Roman"/>
          <w:kern w:val="0"/>
          <w:sz w:val="24"/>
        </w:rPr>
        <w:t>09</w:t>
      </w:r>
      <w:r w:rsidR="006F5F77">
        <w:rPr>
          <w:rFonts w:ascii="Times New Roman" w:hAnsi="Times New Roman"/>
          <w:kern w:val="0"/>
          <w:sz w:val="24"/>
        </w:rPr>
        <w:t>月</w:t>
      </w:r>
      <w:r w:rsidR="006F5F77">
        <w:rPr>
          <w:rFonts w:ascii="Times New Roman" w:hAnsi="Times New Roman"/>
          <w:kern w:val="0"/>
          <w:sz w:val="24"/>
        </w:rPr>
        <w:t>10</w:t>
      </w:r>
      <w:r w:rsidR="006F5F77">
        <w:rPr>
          <w:rFonts w:ascii="Times New Roman" w:hAnsi="Times New Roman"/>
          <w:kern w:val="0"/>
          <w:sz w:val="24"/>
        </w:rPr>
        <w:t>日，有关财务数据和净值表现截止日为</w:t>
      </w:r>
      <w:r w:rsidR="006F5F77">
        <w:rPr>
          <w:rFonts w:ascii="Times New Roman" w:hAnsi="Times New Roman"/>
          <w:kern w:val="0"/>
          <w:sz w:val="24"/>
        </w:rPr>
        <w:t>2022</w:t>
      </w:r>
      <w:r w:rsidR="006F5F77">
        <w:rPr>
          <w:rFonts w:ascii="Times New Roman" w:hAnsi="Times New Roman"/>
          <w:kern w:val="0"/>
          <w:sz w:val="24"/>
        </w:rPr>
        <w:t>年</w:t>
      </w:r>
      <w:r w:rsidR="006F5F77">
        <w:rPr>
          <w:rFonts w:ascii="Times New Roman" w:hAnsi="Times New Roman"/>
          <w:kern w:val="0"/>
          <w:sz w:val="24"/>
        </w:rPr>
        <w:t>06</w:t>
      </w:r>
      <w:r w:rsidR="006F5F77">
        <w:rPr>
          <w:rFonts w:ascii="Times New Roman" w:hAnsi="Times New Roman"/>
          <w:kern w:val="0"/>
          <w:sz w:val="24"/>
        </w:rPr>
        <w:t>月</w:t>
      </w:r>
      <w:r w:rsidR="006F5F77">
        <w:rPr>
          <w:rFonts w:ascii="Times New Roman" w:hAnsi="Times New Roman"/>
          <w:kern w:val="0"/>
          <w:sz w:val="24"/>
        </w:rPr>
        <w:t>30</w:t>
      </w:r>
      <w:r w:rsidR="006F5F77">
        <w:rPr>
          <w:rFonts w:ascii="Times New Roman" w:hAnsi="Times New Roman"/>
          <w:kern w:val="0"/>
          <w:sz w:val="24"/>
        </w:rPr>
        <w:t>日。本招募说明书所载的财务数据未经审计。</w:t>
      </w:r>
    </w:p>
    <w:p w:rsidR="00C77ECD" w:rsidRDefault="00C77ECD">
      <w:pPr>
        <w:autoSpaceDE w:val="0"/>
        <w:autoSpaceDN w:val="0"/>
        <w:adjustRightInd w:val="0"/>
        <w:snapToGrid w:val="0"/>
        <w:spacing w:before="51" w:line="360" w:lineRule="auto"/>
        <w:ind w:left="120" w:rightChars="6" w:right="13" w:firstLine="480"/>
        <w:rPr>
          <w:rFonts w:ascii="宋体" w:hAnsi="宋体"/>
          <w:kern w:val="0"/>
          <w:szCs w:val="24"/>
        </w:rPr>
        <w:sectPr w:rsidR="00C77ECD">
          <w:headerReference w:type="default" r:id="rId12"/>
          <w:pgSz w:w="11920" w:h="16840"/>
          <w:pgMar w:top="1440" w:right="1680" w:bottom="280" w:left="1680" w:header="0" w:footer="1073" w:gutter="0"/>
          <w:pgNumType w:start="1"/>
          <w:cols w:space="720"/>
        </w:sectPr>
      </w:pPr>
    </w:p>
    <w:p w:rsidR="00B07D3F" w:rsidRPr="00B07D3F" w:rsidRDefault="006F5F77" w:rsidP="00B07D3F">
      <w:pPr>
        <w:pStyle w:val="ad"/>
        <w:snapToGrid w:val="0"/>
        <w:spacing w:after="240" w:line="360" w:lineRule="auto"/>
        <w:jc w:val="center"/>
        <w:rPr>
          <w:rFonts w:ascii="宋体" w:hAnsi="宋体"/>
          <w:noProof/>
          <w:sz w:val="24"/>
        </w:rPr>
      </w:pPr>
      <w:r w:rsidRPr="00B07D3F">
        <w:rPr>
          <w:rFonts w:ascii="宋体" w:hAnsi="宋体"/>
          <w:color w:val="000000"/>
          <w:position w:val="-4"/>
          <w:sz w:val="24"/>
          <w:szCs w:val="30"/>
        </w:rPr>
        <w:lastRenderedPageBreak/>
        <w:t>目</w:t>
      </w:r>
      <w:r w:rsidRPr="00B07D3F">
        <w:rPr>
          <w:rFonts w:ascii="宋体" w:hAnsi="宋体"/>
          <w:color w:val="000000"/>
          <w:position w:val="-4"/>
          <w:sz w:val="24"/>
          <w:szCs w:val="30"/>
        </w:rPr>
        <w:tab/>
        <w:t>录</w:t>
      </w:r>
      <w:r w:rsidR="00B07D3F" w:rsidRPr="00B07D3F">
        <w:rPr>
          <w:rFonts w:ascii="宋体" w:hAnsi="宋体"/>
          <w:color w:val="000000"/>
          <w:position w:val="-4"/>
          <w:sz w:val="24"/>
          <w:szCs w:val="30"/>
        </w:rPr>
        <w:fldChar w:fldCharType="begin"/>
      </w:r>
      <w:r w:rsidR="00B07D3F" w:rsidRPr="00B07D3F">
        <w:rPr>
          <w:rFonts w:ascii="宋体" w:hAnsi="宋体"/>
          <w:color w:val="000000"/>
          <w:position w:val="-4"/>
          <w:sz w:val="24"/>
          <w:szCs w:val="30"/>
        </w:rPr>
        <w:instrText xml:space="preserve"> TOC \o "1-3" \f - \h \t "-1" </w:instrText>
      </w:r>
      <w:r w:rsidR="00B07D3F" w:rsidRPr="00B07D3F">
        <w:rPr>
          <w:rFonts w:ascii="宋体" w:hAnsi="宋体"/>
          <w:color w:val="000000"/>
          <w:position w:val="-4"/>
          <w:sz w:val="24"/>
          <w:szCs w:val="30"/>
        </w:rPr>
        <w:fldChar w:fldCharType="separate"/>
      </w:r>
    </w:p>
    <w:p w:rsidR="00B07D3F" w:rsidRPr="00D428E0" w:rsidRDefault="00231334" w:rsidP="00B07D3F">
      <w:pPr>
        <w:pStyle w:val="10"/>
        <w:tabs>
          <w:tab w:val="right" w:leader="dot" w:pos="8550"/>
        </w:tabs>
        <w:spacing w:line="360" w:lineRule="auto"/>
        <w:rPr>
          <w:rFonts w:ascii="宋体" w:hAnsi="宋体"/>
          <w:noProof/>
          <w:sz w:val="24"/>
        </w:rPr>
      </w:pPr>
      <w:hyperlink w:anchor="_Toc116553048" w:history="1">
        <w:r w:rsidR="00B07D3F" w:rsidRPr="00B07D3F">
          <w:rPr>
            <w:rStyle w:val="aa"/>
            <w:rFonts w:ascii="宋体" w:hAnsi="宋体" w:hint="eastAsia"/>
            <w:noProof/>
            <w:kern w:val="0"/>
            <w:sz w:val="24"/>
          </w:rPr>
          <w:t>重要提示</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_Toc116553048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49" w:history="1">
        <w:r w:rsidR="00B07D3F" w:rsidRPr="00B07D3F">
          <w:rPr>
            <w:rStyle w:val="aa"/>
            <w:rFonts w:ascii="宋体" w:hAnsi="宋体" w:hint="eastAsia"/>
            <w:noProof/>
            <w:sz w:val="24"/>
          </w:rPr>
          <w:t>一、绪言</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_Toc116553049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4</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0" w:history="1">
        <w:r w:rsidR="00B07D3F" w:rsidRPr="00B07D3F">
          <w:rPr>
            <w:rStyle w:val="aa"/>
            <w:rFonts w:ascii="宋体" w:hAnsi="宋体" w:hint="eastAsia"/>
            <w:noProof/>
            <w:sz w:val="24"/>
          </w:rPr>
          <w:t>二、释义</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_Toc116553050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5</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1" w:history="1">
        <w:r w:rsidR="00B07D3F" w:rsidRPr="00B07D3F">
          <w:rPr>
            <w:rStyle w:val="aa"/>
            <w:rFonts w:ascii="宋体" w:hAnsi="宋体" w:hint="eastAsia"/>
            <w:noProof/>
            <w:sz w:val="24"/>
          </w:rPr>
          <w:t>三、基金管理人</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_Toc116553051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9</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2" w:history="1">
        <w:r w:rsidR="00B07D3F" w:rsidRPr="00B07D3F">
          <w:rPr>
            <w:rStyle w:val="aa"/>
            <w:rFonts w:ascii="宋体" w:hAnsi="宋体" w:hint="eastAsia"/>
            <w:noProof/>
            <w:sz w:val="24"/>
          </w:rPr>
          <w:t>四、基金托管人</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_Toc116553052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17</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3" w:history="1">
        <w:r w:rsidR="00B07D3F" w:rsidRPr="00B07D3F">
          <w:rPr>
            <w:rStyle w:val="aa"/>
            <w:rFonts w:ascii="宋体" w:hAnsi="宋体" w:hint="eastAsia"/>
            <w:noProof/>
            <w:sz w:val="24"/>
          </w:rPr>
          <w:t>五、相关服务机构</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_Toc116553053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20</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4" w:history="1">
        <w:r w:rsidR="00B07D3F" w:rsidRPr="00B07D3F">
          <w:rPr>
            <w:rStyle w:val="aa"/>
            <w:rFonts w:ascii="宋体" w:hAnsi="宋体" w:hint="eastAsia"/>
            <w:noProof/>
            <w:sz w:val="24"/>
          </w:rPr>
          <w:t>六、基金的募集</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_Toc116553054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58</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5" w:history="1">
        <w:r w:rsidR="00B07D3F" w:rsidRPr="00B07D3F">
          <w:rPr>
            <w:rStyle w:val="aa"/>
            <w:rFonts w:ascii="宋体" w:hAnsi="宋体" w:hint="eastAsia"/>
            <w:noProof/>
            <w:sz w:val="24"/>
          </w:rPr>
          <w:t>七、基金合同的生效</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_Toc116553055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59</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6" w:history="1">
        <w:r w:rsidR="00B07D3F" w:rsidRPr="00B07D3F">
          <w:rPr>
            <w:rStyle w:val="aa"/>
            <w:rFonts w:ascii="宋体" w:hAnsi="宋体" w:hint="eastAsia"/>
            <w:noProof/>
            <w:sz w:val="24"/>
          </w:rPr>
          <w:t>八、基金份额的申购与赎回</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_Toc116553056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60</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7" w:history="1">
        <w:r w:rsidR="00B07D3F" w:rsidRPr="00B07D3F">
          <w:rPr>
            <w:rStyle w:val="aa"/>
            <w:rFonts w:ascii="宋体" w:hAnsi="宋体" w:hint="eastAsia"/>
            <w:noProof/>
            <w:sz w:val="24"/>
          </w:rPr>
          <w:t>九、基金的转换</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_Toc116553057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72</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8" w:history="1">
        <w:r w:rsidR="00B07D3F" w:rsidRPr="00B07D3F">
          <w:rPr>
            <w:rStyle w:val="aa"/>
            <w:rFonts w:ascii="宋体" w:hAnsi="宋体" w:hint="eastAsia"/>
            <w:noProof/>
            <w:sz w:val="24"/>
          </w:rPr>
          <w:t>十、基金的定期支付</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_Toc116553058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79</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59" w:history="1">
        <w:r w:rsidR="00B07D3F" w:rsidRPr="00B07D3F">
          <w:rPr>
            <w:rStyle w:val="aa"/>
            <w:rFonts w:ascii="宋体" w:hAnsi="宋体" w:hint="eastAsia"/>
            <w:noProof/>
            <w:sz w:val="24"/>
          </w:rPr>
          <w:t>十一、基金的投资</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_Toc116553059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83</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0" w:history="1">
        <w:r w:rsidR="00B07D3F" w:rsidRPr="00B07D3F">
          <w:rPr>
            <w:rStyle w:val="aa"/>
            <w:rFonts w:ascii="宋体" w:hAnsi="宋体" w:hint="eastAsia"/>
            <w:noProof/>
            <w:sz w:val="24"/>
          </w:rPr>
          <w:t>十二、基金的业绩</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_Toc116553060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97</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1" w:history="1">
        <w:r w:rsidR="00B07D3F" w:rsidRPr="00B07D3F">
          <w:rPr>
            <w:rStyle w:val="aa"/>
            <w:rFonts w:ascii="宋体" w:hAnsi="宋体" w:hint="eastAsia"/>
            <w:noProof/>
            <w:sz w:val="24"/>
          </w:rPr>
          <w:t>十三、基金的财产</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_Toc116553061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99</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2" w:history="1">
        <w:r w:rsidR="00B07D3F" w:rsidRPr="00B07D3F">
          <w:rPr>
            <w:rStyle w:val="aa"/>
            <w:rFonts w:ascii="宋体" w:hAnsi="宋体" w:hint="eastAsia"/>
            <w:noProof/>
            <w:sz w:val="24"/>
          </w:rPr>
          <w:t>十四、基金资产的估值</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_Toc116553062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100</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3" w:history="1">
        <w:r w:rsidR="00B07D3F" w:rsidRPr="00B07D3F">
          <w:rPr>
            <w:rStyle w:val="aa"/>
            <w:rFonts w:ascii="宋体" w:hAnsi="宋体" w:hint="eastAsia"/>
            <w:noProof/>
            <w:sz w:val="24"/>
          </w:rPr>
          <w:t>十五、基金收益与分配</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_Toc116553063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105</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4" w:history="1">
        <w:r w:rsidR="00B07D3F" w:rsidRPr="00B07D3F">
          <w:rPr>
            <w:rStyle w:val="aa"/>
            <w:rFonts w:ascii="宋体" w:hAnsi="宋体" w:hint="eastAsia"/>
            <w:noProof/>
            <w:sz w:val="24"/>
          </w:rPr>
          <w:t>十六、基金的费用与税收</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_Toc116553064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106</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5" w:history="1">
        <w:r w:rsidR="00B07D3F" w:rsidRPr="00B07D3F">
          <w:rPr>
            <w:rStyle w:val="aa"/>
            <w:rFonts w:ascii="宋体" w:hAnsi="宋体" w:hint="eastAsia"/>
            <w:noProof/>
            <w:sz w:val="24"/>
          </w:rPr>
          <w:t>十七、基金的会计与审计</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_Toc116553065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108</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6" w:history="1">
        <w:r w:rsidR="00B07D3F" w:rsidRPr="00B07D3F">
          <w:rPr>
            <w:rStyle w:val="aa"/>
            <w:rFonts w:ascii="宋体" w:hAnsi="宋体" w:hint="eastAsia"/>
            <w:noProof/>
            <w:sz w:val="24"/>
          </w:rPr>
          <w:t>十八、基金的信息披露</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_Toc116553066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109</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7" w:history="1">
        <w:r w:rsidR="00B07D3F" w:rsidRPr="00B07D3F">
          <w:rPr>
            <w:rStyle w:val="aa"/>
            <w:rFonts w:ascii="宋体" w:hAnsi="宋体" w:hint="eastAsia"/>
            <w:noProof/>
            <w:sz w:val="24"/>
          </w:rPr>
          <w:t>十九、风险揭示</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_Toc116553067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115</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8" w:history="1">
        <w:r w:rsidR="00B07D3F" w:rsidRPr="00B07D3F">
          <w:rPr>
            <w:rStyle w:val="aa"/>
            <w:rFonts w:ascii="宋体" w:hAnsi="宋体" w:hint="eastAsia"/>
            <w:noProof/>
            <w:sz w:val="24"/>
          </w:rPr>
          <w:t>二十、基金合同的变更、终止与基金财产的清算</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_Toc116553068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123</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69" w:history="1">
        <w:r w:rsidR="00B07D3F" w:rsidRPr="00B07D3F">
          <w:rPr>
            <w:rStyle w:val="aa"/>
            <w:rFonts w:ascii="宋体" w:hAnsi="宋体" w:hint="eastAsia"/>
            <w:noProof/>
            <w:sz w:val="24"/>
          </w:rPr>
          <w:t>二十一、基金合同内容摘要</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_Toc116553069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125</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70" w:history="1">
        <w:r w:rsidR="00B07D3F" w:rsidRPr="00B07D3F">
          <w:rPr>
            <w:rStyle w:val="aa"/>
            <w:rFonts w:ascii="宋体" w:hAnsi="宋体" w:hint="eastAsia"/>
            <w:noProof/>
            <w:sz w:val="24"/>
          </w:rPr>
          <w:t>二十二、托管协议的内容摘要</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_Toc116553070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139</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71" w:history="1">
        <w:r w:rsidR="00B07D3F" w:rsidRPr="00B07D3F">
          <w:rPr>
            <w:rStyle w:val="aa"/>
            <w:rFonts w:ascii="宋体" w:hAnsi="宋体" w:hint="eastAsia"/>
            <w:noProof/>
            <w:sz w:val="24"/>
          </w:rPr>
          <w:t>二十三、对基金份额持有人的服务</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_Toc116553071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156</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72" w:history="1">
        <w:r w:rsidR="00B07D3F" w:rsidRPr="00B07D3F">
          <w:rPr>
            <w:rStyle w:val="aa"/>
            <w:rFonts w:ascii="宋体" w:hAnsi="宋体" w:hint="eastAsia"/>
            <w:noProof/>
            <w:sz w:val="24"/>
          </w:rPr>
          <w:t>二十四、其他应披露事项</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_Toc116553072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158</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73" w:history="1">
        <w:r w:rsidR="00B07D3F" w:rsidRPr="00B07D3F">
          <w:rPr>
            <w:rStyle w:val="aa"/>
            <w:rFonts w:ascii="宋体" w:hAnsi="宋体" w:hint="eastAsia"/>
            <w:noProof/>
            <w:sz w:val="24"/>
          </w:rPr>
          <w:t>二十五、招募说明书的存放及查阅方式</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_Toc116553073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161</w:t>
        </w:r>
        <w:r w:rsidR="00B07D3F" w:rsidRPr="00B07D3F">
          <w:rPr>
            <w:rFonts w:ascii="宋体" w:hAnsi="宋体"/>
            <w:noProof/>
            <w:sz w:val="24"/>
          </w:rPr>
          <w:fldChar w:fldCharType="end"/>
        </w:r>
      </w:hyperlink>
    </w:p>
    <w:p w:rsidR="00B07D3F" w:rsidRPr="00D428E0" w:rsidRDefault="00231334" w:rsidP="00B07D3F">
      <w:pPr>
        <w:pStyle w:val="10"/>
        <w:tabs>
          <w:tab w:val="right" w:leader="dot" w:pos="8550"/>
        </w:tabs>
        <w:spacing w:line="360" w:lineRule="auto"/>
        <w:rPr>
          <w:rFonts w:ascii="宋体" w:hAnsi="宋体"/>
          <w:noProof/>
          <w:sz w:val="24"/>
        </w:rPr>
      </w:pPr>
      <w:hyperlink w:anchor="_Toc116553074" w:history="1">
        <w:r w:rsidR="00B07D3F" w:rsidRPr="00B07D3F">
          <w:rPr>
            <w:rStyle w:val="aa"/>
            <w:rFonts w:ascii="宋体" w:hAnsi="宋体" w:hint="eastAsia"/>
            <w:noProof/>
            <w:sz w:val="24"/>
          </w:rPr>
          <w:t>二十六、备查文件</w:t>
        </w:r>
        <w:r w:rsidR="00B07D3F" w:rsidRPr="00B07D3F">
          <w:rPr>
            <w:rFonts w:ascii="宋体" w:hAnsi="宋体"/>
            <w:noProof/>
            <w:sz w:val="24"/>
          </w:rPr>
          <w:tab/>
        </w:r>
        <w:r w:rsidR="00B07D3F" w:rsidRPr="00B07D3F">
          <w:rPr>
            <w:rFonts w:ascii="宋体" w:hAnsi="宋体"/>
            <w:noProof/>
            <w:sz w:val="24"/>
          </w:rPr>
          <w:fldChar w:fldCharType="begin"/>
        </w:r>
        <w:r w:rsidR="00B07D3F" w:rsidRPr="00B07D3F">
          <w:rPr>
            <w:rFonts w:ascii="宋体" w:hAnsi="宋体"/>
            <w:noProof/>
            <w:sz w:val="24"/>
          </w:rPr>
          <w:instrText xml:space="preserve"> PAGEREF _Toc116553074 \h </w:instrText>
        </w:r>
        <w:r w:rsidR="00B07D3F" w:rsidRPr="00B07D3F">
          <w:rPr>
            <w:rFonts w:ascii="宋体" w:hAnsi="宋体"/>
            <w:noProof/>
            <w:sz w:val="24"/>
          </w:rPr>
        </w:r>
        <w:r w:rsidR="00B07D3F" w:rsidRPr="00B07D3F">
          <w:rPr>
            <w:rFonts w:ascii="宋体" w:hAnsi="宋体"/>
            <w:noProof/>
            <w:sz w:val="24"/>
          </w:rPr>
          <w:fldChar w:fldCharType="separate"/>
        </w:r>
        <w:r w:rsidR="00B07D3F" w:rsidRPr="00B07D3F">
          <w:rPr>
            <w:rFonts w:ascii="宋体" w:hAnsi="宋体"/>
            <w:noProof/>
            <w:sz w:val="24"/>
          </w:rPr>
          <w:t>162</w:t>
        </w:r>
        <w:r w:rsidR="00B07D3F" w:rsidRPr="00B07D3F">
          <w:rPr>
            <w:rFonts w:ascii="宋体" w:hAnsi="宋体"/>
            <w:noProof/>
            <w:sz w:val="24"/>
          </w:rPr>
          <w:fldChar w:fldCharType="end"/>
        </w:r>
      </w:hyperlink>
    </w:p>
    <w:p w:rsidR="00C77ECD" w:rsidRPr="00B07D3F" w:rsidRDefault="00B07D3F" w:rsidP="00B07D3F">
      <w:pPr>
        <w:pStyle w:val="ad"/>
        <w:snapToGrid w:val="0"/>
        <w:spacing w:after="240" w:line="360" w:lineRule="auto"/>
        <w:jc w:val="center"/>
        <w:rPr>
          <w:rFonts w:ascii="宋体" w:hAnsi="宋体"/>
          <w:color w:val="000000"/>
          <w:sz w:val="24"/>
        </w:rPr>
      </w:pPr>
      <w:r w:rsidRPr="00B07D3F">
        <w:rPr>
          <w:rFonts w:ascii="宋体" w:hAnsi="宋体"/>
          <w:color w:val="000000"/>
          <w:position w:val="-4"/>
          <w:sz w:val="24"/>
          <w:szCs w:val="30"/>
        </w:rPr>
        <w:lastRenderedPageBreak/>
        <w:fldChar w:fldCharType="end"/>
      </w:r>
    </w:p>
    <w:p w:rsidR="00C77ECD" w:rsidRDefault="00C77ECD">
      <w:pPr>
        <w:autoSpaceDE w:val="0"/>
        <w:autoSpaceDN w:val="0"/>
        <w:adjustRightInd w:val="0"/>
        <w:snapToGrid w:val="0"/>
        <w:spacing w:line="360" w:lineRule="auto"/>
        <w:ind w:left="120" w:rightChars="6" w:right="13"/>
        <w:rPr>
          <w:rFonts w:ascii="宋体" w:hAnsi="宋体"/>
          <w:kern w:val="0"/>
          <w:szCs w:val="24"/>
        </w:rPr>
        <w:sectPr w:rsidR="00C77ECD">
          <w:pgSz w:w="11920" w:h="16840"/>
          <w:pgMar w:top="1480" w:right="1680" w:bottom="280" w:left="1680" w:header="0" w:footer="1073" w:gutter="0"/>
          <w:cols w:space="720"/>
        </w:sectPr>
      </w:pPr>
    </w:p>
    <w:p w:rsidR="00C77ECD" w:rsidRDefault="006F5F77">
      <w:pPr>
        <w:pStyle w:val="1"/>
        <w:snapToGrid w:val="0"/>
        <w:spacing w:beforeLines="0" w:before="240" w:after="240"/>
        <w:rPr>
          <w:rFonts w:ascii="宋体" w:hAnsi="宋体"/>
          <w:szCs w:val="30"/>
        </w:rPr>
      </w:pPr>
      <w:bookmarkStart w:id="4" w:name="_Toc116553049"/>
      <w:r>
        <w:rPr>
          <w:rFonts w:ascii="Times New Roman" w:hAnsi="Times New Roman"/>
          <w:sz w:val="30"/>
        </w:rPr>
        <w:lastRenderedPageBreak/>
        <w:t>一、绪言</w:t>
      </w:r>
      <w:bookmarkEnd w:id="4"/>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定期支付双息平衡混合型证券投资基金招募说明书》（以下简称“本招募说明书”）依据《中华人民共和国证券投资基金法》、《公开募集证券投资基金运作管理办法》、《证券投资基金销售管理办法》、《公开募集证券投资基金信息披露管理办法》、《公开募集开放式证券投资基金流动性风险管理规定》(以下简称“《流动性规定》”)和其他相关法律法规的规定以及《交银施罗德定期支付双息平衡混合型证券投资基金基金合同》（以下简称“基金合同”）编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5" w:name="_Toc116553050"/>
      <w:r>
        <w:rPr>
          <w:rFonts w:ascii="Times New Roman" w:hAnsi="Times New Roman"/>
          <w:sz w:val="30"/>
        </w:rPr>
        <w:lastRenderedPageBreak/>
        <w:t>二、释义</w:t>
      </w:r>
      <w:bookmarkEnd w:id="5"/>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1、基金或本基金：指交银施罗德定期支付双息平衡混合型证券投资基金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3、基金托管人或本基金托管人：指中国农业银行股份有限公司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4、基金合同：指《交银施罗德定期支付双息平衡混合型证券投资基金基金合同》及对该基金合同的任何有效修订和补充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5、托管协议：指基金管理人与基金托管人就本基金签订之《交银施罗德定期支付双息平衡混合型证券投资基金托管协议》及对该托管协议的任何有效修订和补充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6、招募说明书或本招募说明书：指《交银施罗德定期支付双息平衡混合型证券投资基金招募说明书》及其更新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7、基金份额发售公告：指《交银施罗德定期支付双息平衡混合型证券投资基金基金份额发售公告》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8、基金产品资料概要：指《交银施罗德定期支付双息平衡混合型证券投资基金基金产品资料概要》及其更新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10、中国：指中华人民共和国（仅为基金合同之目的，不包括香港特别行政区、澳门特别行政区及台湾地区）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11、《基金法》：指2003年10月28日经第十届全国人民代表大会常务委员会第五次会议通过，自2004年6月1日起实施的《中华人民共和国证券投资基金法》及颁布机关对其不时做出的修订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12、《销售办法》：指中国证监会2013年3月15日颁布、同年6月1日实施的《证券投资基金销售管理办法》及颁布机关对其不时做出的修订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13、《信息披露办法》：指中国证监会2019年7月26日颁布、同年9月1日实施的《公开募集证券投资基金信息披露管理办法》及颁布机关对其不时做出的修订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w:t>
      </w:r>
      <w:r>
        <w:rPr>
          <w:rFonts w:ascii="宋体" w:hAnsi="宋体"/>
          <w:sz w:val="24"/>
        </w:rPr>
        <w:lastRenderedPageBreak/>
        <w:t>修订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15、《运作办法》：指中国证监会2014年7月7日颁布、同年8月8日实施的《公开募集证券投资基金运作管理办法》及颁布机关对其不时做出的修订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17、银行业监督管理机构：指中国人民银行和/或中国银行业监督管理委员会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20、机构投资者：指依法可以投资证券投资基金的、在中国境内合法登记并存续或经有关政府部门批准设立并存续的企业法人、事业法人、社会团体或其他组织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21、合格境外机构投资者：指符合《合格境外机构投资者境内证券投资管理办法》及相关法律法规规定可以投资于在中国境内依法募集的证券投资基金的中国境外的机构投资者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22、投资人或投资者：指个人投资者、机构投资者和合格境外机构投资者以及法律法规或中国证监会允许购买证券投资基金的其他投资人的合称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25、直销机构：指交银施罗德基金管理有限公司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26、代销机构：指符合《销售办法》和中国证监会规定的其他条件，取得基金销售业务资格并与基金管理人签订了基金销售服务代理协议，代为办理基金销售业务的机构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27、销售机构：指直销机构和代销机构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29、登记机构：指办理登记业务的机构。基金的登记机构为交银施罗德基金管理有限公司或接受交银施罗德基金管理有限公司委托代为办理登记业务的机构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30、基金账户：指登记机构为投资人开立的、记录其持有的、基金管理人所管理的基金份额余额及其变动情况的账户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31、基金交易账户：指销售机构为投资人开立的、记录投资人通过该销售机构办理认购、申购、赎回、转换及转托管等业务而引起的基金份额变动及结余情况的账户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32、基金合同生效日：指基金募集达到法律法规规定及基金合同规定的条件，基金管理人向中国证监会办理基金备案手续完毕，并获得中国证监会书面确认的日期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33、基金合同终止日：指基金合同规定的基金合同终止事由出现后，基金财产清算完毕，清算结果报中国证监会备案并予以公告的日期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34、基金募集期：指自基金份额发售之日起至发售结束之日止的期间，最长不得超过3个月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35、存续期：指基金合同生效至终止之间的不定期期限</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36、工作日：指上海证券交易所、深圳证券交易所的正常交易日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37、T日：指销售机构在规定时间受理投资人申购、赎回或其他业务申请的开放日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38、T+n日：指自T日起第n个工作日(不包含T日)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39、开放日：指为投资人办理基金份额申购、赎回或其他业务的工作日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40、开放时间：指开放日基金接受申购、赎回或其他交易的时间段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41、《业务规则》：指《交银施罗德基金管理有限公司开放式基金业务规则》，是规范基金管理人所管理的开放式证券投资基金登记方面的业务规则，由基金管理人和投资人共同遵守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42、认购：指在基金募集期内，投资人根据基金合同和招募说明书的规定申请购买基金份额的行为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43、申购：指基金合同生效后，投资人根据基金合同和招募说明书的规定申请购买基金份额的行为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44、赎回：指基金合同生效后，基金份额持有人按基金合同和招募说明书规定的条件要求将基金份额兑换为现金的行为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45、基金转换：指基金份额持有人按照本基金合同和基金管理人届时有效公告规定的条件，申请将其持有基金管理人管理的、某一基金的基金份额转换为基金管理人管理的其他基金基金份额的行为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46、转托管：指基金份额持有人在本基金的不同销售机构之间实施的变更所持</w:t>
      </w:r>
      <w:r>
        <w:rPr>
          <w:rFonts w:ascii="宋体" w:hAnsi="宋体"/>
          <w:sz w:val="24"/>
        </w:rPr>
        <w:lastRenderedPageBreak/>
        <w:t>基金份额销售机构的操作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47、定期定额投资计划：指投资人通过有关销售机构提出申请，约定每期申购日、扣款金额及扣款方式，由销售机构在投资人指定银行账户内自动完成扣款并于每期约定的申购日提交基金申购申请的一种投资方式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巨额赎回：指本基金单个开放日，基金净赎回申请（赎回申请份额总数加上基金转换中转出申请份额总数后扣除申购申请份额总数及基金转换中转入申请份额总数后的余额，定期支付时的自动赎回份额不纳入以上赎回份额计算）超过上一开放日基金总份额的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49、元：指人民币元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50、基金收益：指基金投资所得红利、股息、债券利息、买卖证券价差、银行存款利息、已实现的其他合法收入及因运用基金财产带来的成本和费用的节约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51、基金资产总值：指基金拥有的各类有价证券、银行存款本息、基金应收申购款及其他资产的价值总和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52、基金资产净值：指基金资产总值减去基金负债后的价值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53、基金份额净值：指计算日基金资产净值除以计算日基金份额总数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54、基金资产估值：指计算评估基金资产和负债的价值，以确定基金资产净值和基金份额净值的过程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55、定期支付：指本基金按照基金合同的约定，每月定期向基金份额持有人支付一定现金的业务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57、指定媒介：指中国证监会指定的用以进行信息披露的全国性报刊及指定互联网网站（包括基金管理人网站、基金托管人网站、中国证监会基金电子披露网站）等媒介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58、不可抗力：指本基金合同当事人不能预见、不能避免且不能克服的客观事件。</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6" w:name="_Toc116553051"/>
      <w:r>
        <w:rPr>
          <w:rFonts w:ascii="Times New Roman" w:hAnsi="Times New Roman"/>
          <w:sz w:val="30"/>
        </w:rPr>
        <w:lastRenderedPageBreak/>
        <w:t>三、基金管理人</w:t>
      </w:r>
      <w:bookmarkEnd w:id="6"/>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童洁萍女士，董事，在职工商管理硕士。现任交通银行总行个人金融业务部副总经理。历任交通银行南京分行个人金融业务部副高级经理、江苏省分行个人金融业务部副总经理、总经理、玄武支行行长。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Debruyne）先生，硕士。现任施罗德集团全球业务总裁, 担任集团管理委员会成员。历任施罗德投资管理有限公司亚洲投资产品总监、亚太区行政总裁、施罗德投资管理（香港）有限公司行政总裁兼亚太区基金业务拓展总监。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梅津芝女士，监事长，学士。高级经济师、审计师。现任交通银行私人银行部总经理。历任交通银行山西省分行个人金融业务部高级经理，交通银行山西省分行副行长，交通银行个人金融业务部副总经理。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黄鼎先生: 基金经理。上海交通大学经济学硕士，9年证券投资行业从业经验。2013年至2015年任博时基金管理有限公司研究员。2015年加入交银施罗德基金管理有限公司，历任行业分析师。现任交银施罗德定期支付双息平衡混合型证券投资基金(2021年09月29日至今)的基金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李德亮先生(2013年09月04日至2015年08月28日)；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项廷锋先生(2013年09月04日至2014年12月18日)；</w:t>
      </w:r>
    </w:p>
    <w:p w:rsidR="00C77ECD" w:rsidRDefault="006F5F7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张迎军先生(2013年09月04日至2015年07月10日)；</w:t>
      </w:r>
    </w:p>
    <w:p w:rsidR="00D153E2" w:rsidRDefault="00D153E2">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杨浩先生(2015年08月15日至2022年09月07日)。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上述人员之间无近亲属关系，上述各项人员信息更新截止日为2022年09月10日，期后变动（如有）敬请关注基金管理人发布的相关公告。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2、基金管理人承诺不从事违反《基金法》的行为，并承诺建立健全内部风险控制制度，采取有效措施，防止下列行为的发生：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（4）定性和定量相结合原则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w:t>
      </w:r>
      <w:r>
        <w:rPr>
          <w:rFonts w:ascii="宋体" w:hAnsi="宋体"/>
          <w:sz w:val="24"/>
        </w:rPr>
        <w:lastRenderedPageBreak/>
        <w:t>及管理目标，对公司内部控制体系的适当性及运行的效果和效率进行独立评价，协助促进公司风险管理、控制和治理过程的完善，实现合规经营目标。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w:t>
      </w:r>
      <w:r>
        <w:rPr>
          <w:rFonts w:ascii="宋体" w:hAnsi="宋体"/>
          <w:sz w:val="24"/>
        </w:rPr>
        <w:lastRenderedPageBreak/>
        <w:t>指数趋势、行业及个股的风险，以便公司及时采取有效的措施，对风险进行分散、控制和规避，尽可能地减少损失。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7" w:name="_Toc116553052"/>
      <w:r>
        <w:rPr>
          <w:rFonts w:ascii="Times New Roman" w:hAnsi="Times New Roman"/>
          <w:sz w:val="30"/>
        </w:rPr>
        <w:lastRenderedPageBreak/>
        <w:t>四、基金托管人</w:t>
      </w:r>
      <w:bookmarkEnd w:id="7"/>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截止到2022年6月30日，中国农业银行托管的封闭式证券投资基金和开放式证券投资基金共740只。</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w:t>
      </w:r>
      <w:r>
        <w:rPr>
          <w:rFonts w:ascii="宋体" w:hAnsi="宋体"/>
          <w:sz w:val="24"/>
        </w:rPr>
        <w:lastRenderedPageBreak/>
        <w:t>务风险管理和内部控制工作进行监督和评价。托管业务部专门设置了风险管理处,配备了专职内控监督人员负责托管业务的内控监督工作,独立行使监督稽核职权。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8" w:name="_Toc116553053"/>
      <w:r>
        <w:rPr>
          <w:rFonts w:ascii="Times New Roman" w:hAnsi="Times New Roman"/>
          <w:sz w:val="30"/>
        </w:rPr>
        <w:lastRenderedPageBreak/>
        <w:t>五、相关服务机构</w:t>
      </w:r>
      <w:bookmarkEnd w:id="8"/>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（2）名称：中国农业银行股份有限公司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住所：北京市东城区建国门内大街69号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（3）名称：东莞农村商业银行股份有限公司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（4）名称：中信银行股份有限公司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（5）名称：招商银行股份有限公司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电话：（0755）83198888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（6）名称：江苏常熟农村商业银行股份有限公司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（7）名称：江苏江南农村商业银行股份有限公司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（8）名称：中国建设银行股份有限公司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网址：www.ccb.com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（9）名称：中国民生银行股份有限公司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（10）名称：上海浦东发展银行股份有限公司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（11）名称：中国光大银行股份有限公司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（12）名称：中国邮政储蓄银行股份有限公司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办公地址：北京市西城区金融大街3号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法定代表人：李国华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（13）名称：厦门银行股份有限公司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厦门银行股份有限公司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400-858-8888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www.xmbankonline.com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（14）名称：宁波银行股份有限公司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（15）名称：平安银行股份有限公司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（16）名称：光大证券股份有限公司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法定代表人：薛峰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（17）名称：中信证券股份有限公司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（18）名称：中国中金财富证券有限公司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（19）名称：中信建投证券股份有限公司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网址：www.csc108.com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（20）名称：兴业证券股份有限公司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（21）名称：华融证券股份有限公司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（22）名称：西南证券股份有限公司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（23）名称：信达证券股份有限公司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法定代表人：张志刚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（24）名称：国金证券股份有限公司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（25）名称：长城证券有限责任公司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（26）名称：瑞银证券有限责任公司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客户服务电话：400-887-8827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（27）名称：中国国际金融股份有限公司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（28）名称：江海证券有限公司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（29）名称：中泰证券股份有限公司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（30）名称：申万宏源西部证券有限公司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法定代表人：冯戎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（31）名称：中信证券（山东）有限责任公司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（32）名称：中国银河证券股份有限公司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（33）名称：申万宏源证券有限公司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网址：www.sywg.com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（34）名称：国都证券股份有限公司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（35）名称：联讯证券股份有限公司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（36）名称：华西证券股份有限公司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（37）名称：平安证券股份有限公司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电话：（0755）22627802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（38）名称：第一创业证券股份有限公司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（39）名称：财通证券股份有限公司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注册地址：杭州市杭大路15号嘉华国际商务中心201、501、502、1103、1601-1615、1701-1716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办公地址：杭州市杭大路15号嘉华国际商务中心201、501、502、1103、1601-1615、1701-1716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沈继宁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电话：0571-87789160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陶志华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客户服务电话：95336,40086-96336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网址：www.ctsec.com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（40）名称：五矿证券有限公司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住所：深圳市福田区金田路4028号荣超经贸中心47层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法定代表人：赵立功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公司客服电话：400180028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传真号：075582545500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网址：www.wkzq.com.cn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（41）名称：东方财富证券股份有限公司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（42）名称：安信证券股份有限公司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（43）名称：国泰君安证券股份有限公司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（44）名称：德邦证券有限责任公司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法定代表人：姚文平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（45）名称：山西证券股份有限公司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（46）名称：大同证券有限责任公司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（47）名称：联储证券有限责任公司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（48）名称：招商证券股份有限公司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（49）名称：华泰证券股份有限公司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（50）名称：浙商证券股份有限公司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住所：浙江省杭州市江干区五星路201号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办公地址：浙江省杭州市江干区五星路201号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法定代表人：吴承根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电话：（0571）87901964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传真：（0571）87901955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联系人：胡相斌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客户服务电话：95345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网址：www.stocke.com.cn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（51）名称：海通证券股份有限公司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法定代表人：王开国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（52）名称：恒泰证券股份有限公司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（53）名称：中信证券华南股份有限公司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（54）名称：国信证券股份有限公司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联系人：周杨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（55）名称：方正证券股份有限公司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（56）名称：长城国瑞证券有限公司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（57）名称：广发证券股份有限公司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（58）名称：东莞证券股份有限公司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（59）名称：华鑫证券有限责任公司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华鑫证券有限责任公司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4001099918，95323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www.cfsc.com.cn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（60）名称：华宝证券股份有限公司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（61）名称：渤海证券股份有限公司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法定代表人：王春峰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400-651-5988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网址：www.bhzq.com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（62）名称：万联证券股份有限公司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注册地址：广州市天河区珠江东路11号18、19楼全层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办公地址：广东省广州市天河区珠江东路13号高德置地广场E座12层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法定代表人：王达</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 系 人：丁思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联系方式：020-83988334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客服电话：95322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公司官网：www.wlzq.cn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（63）名称：华龙证券股份有限公司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（64）名称：西部证券股份有限公司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（65）名称：中航证券有限公司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电话：（0791）86768681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客户服务电话：400-8866-567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（66）名称：国元证券股份有限公司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（67）名称：中邮证券有限责任公司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注册地址：陕西省西安市唐延路5号（陕西邮政信息大厦9-11层）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办公地址：北京市东城区珠市口东大街17号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法定代表人：郭成林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电话：010-67017788-8914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传真：010-67017788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联系人：史蕾</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客户服务电话：4008-888-005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网址：www.cnpsec.com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（68）名称：民生证券股份有限公司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住所：北京市东城区建国门内大街28号民生金融中心A座16层--18层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办公地址：北京市东城区建国门内大街28号民生金融中心A座16层--18层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法定代表人：冯鹤年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电话：（010）85127561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传真：（010）85127641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联系人：周照清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客户服务电话：400-619-8888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网址：www.mszq.com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（69）名称：开源证券股份有限公司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注册地址：陕西省西安市高新区锦业路一号都市之门B座5层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办公地址：陕西省西安市高新区锦业路一号都市之门B座5层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电话：13709210036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联系人：赵东会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网址：www.kysec.cn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（70）名称：北京钱景财富投资管理有限公司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（71）名称：上海大智慧基金销售有限公司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（72）名称：上海利得基金销售有限公司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办公地址：上海浦东新区峨山路91弄61号陆家嘴软件园10号楼12楼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（73）名称：上海凯石财富基金销售有限公司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（74）名称：北京虹点基金销售有限公司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（75）名称：诺亚正行(上海)基金销售投资顾问有限公司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传真：（021）38509777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（76）名称：上海好买基金销售有限公司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（77）名称：上海长量基金销售投资顾问有限公司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（78）名称：深圳众禄基金销售有限公司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（79）名称：蚂蚁（杭州）基金销售有限公司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（80）名称：天相投资顾问有限公司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（81）名称：一路财富（北京）信息科技有限公司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（82）名称：北京展恒基金销售股份有限公司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传真：（010）62020355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（83）名称：深圳市新兰德证券投资咨询有限公司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（84）名称：和讯信息科技有限公司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（85）名称：上海天天基金销售有限公司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网址：www.1234567.com.cn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（86）名称：上海联泰基金销售有限公司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（87）名称：珠海盈米财富管理有限公司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（88）名称：上海基煜基金销售有限公司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（89）名称：宜信普泽投资顾问（北京）有限公司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住所：北京市朝阳区建国路88号9号楼15层1809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（90）名称：浙江同花顺基金销售有限公司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（91）名称：中信期货有限公司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（92）名称：上海陆金所资产管理有限公司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办公地址：上海市浦东新区陆家嘴环路1333号14楼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（93）名称：北京中植基金销售有限公司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（94）名称：北京汇成基金销售有限公司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住所：北京市海淀区中关村大街11号11层1108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办公地址：北京市海淀区中关村大街11号11层1108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联系人：丁向坤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网址：www.fundzone.cn、www.51jijinhui.com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（95）名称：奕丰基金销售有限公司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电话：（0755）89460500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（96）名称：北京创金启富基金销售有限公司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（97）名称：上海云湾投资管理有限公司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（98）名称：中证金牛（北京）投资咨询有限公司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客户服务电话：4008-909-998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（99）名称：北京新浪仓石基金销售有限公司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（100）名称：北京肯特瑞基金销售有限公司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kern w:val="0"/>
          <w:sz w:val="24"/>
        </w:rPr>
        <w:t>住所： 北京市海淀区西三旗建材城中路12号17号平房157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（101）名称：北京蛋卷基金销售有限公司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客户服务电话：400-1599-288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（102）名称：凤凰金信（银川）投资管理有限公司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（103）名称：深圳市金斧子基金销售有限公司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（104）名称：格上富信投资顾问有限公司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（105）名称：上海万得基金销售有限公司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（106）名称：天津万家财富资产管理有限公司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（107）名称：上海挖财金融信息服务有限公司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（108）名称：嘉实财富管理有限公司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赵学军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（109）名称：南京苏宁基金销售有限公司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（110）名称：北京度小满基金销售有限公司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（111）名称：腾安基金销售（深圳）有限公司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联系人：谭广峰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（112）名称：北京唐鼎耀华投资咨询有限公司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（113）名称：上海华夏财富投资管理有限公司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（114）名称：江苏汇林保大基金销售有限公司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（115）名称：玄元保险代理有限公司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（116）名称：阳光人寿保险股份有限公司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（117）名称：大连网金基金销售有限公司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（118）名称：上海中欧财富基金销售有限公司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电话：021-68609600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（119）名称：泛华普益基金销售有限公司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（120）名称：中国人寿保险股份有限公司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（121）名称：和耕传承基金销售有限公司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（122）名称：北京植信基金销售有限公司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（123）名称：上海钜派钰茂基金销售有限公司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办公地址：上海市银城中路68号时代金融中心19楼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住所：中国(上海)自由贸易试验区陆家嘴环路1318号星展银行大厦507单元01室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经办注册会计师：童咏静、金诗涛</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9" w:name="_Toc116553054"/>
      <w:r>
        <w:rPr>
          <w:rFonts w:ascii="Times New Roman" w:hAnsi="Times New Roman"/>
          <w:sz w:val="30"/>
        </w:rPr>
        <w:lastRenderedPageBreak/>
        <w:t>六、基金的募集</w:t>
      </w:r>
      <w:bookmarkEnd w:id="9"/>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本基金由基金管理人依照《基金法》、《运作办法》、基金合同及其他有关规定，并经中国证监会证监许可[2013]753号文核准募集发售。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本基金自2013年8月7日至2013年8月30日进行发售。本基金设立募集期共募集642,313,653.44份基金份额，有效认购户数为7,039户。</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0" w:name="_Toc116553055"/>
      <w:r>
        <w:rPr>
          <w:rFonts w:ascii="Times New Roman" w:hAnsi="Times New Roman"/>
          <w:sz w:val="30"/>
        </w:rPr>
        <w:lastRenderedPageBreak/>
        <w:t>七、基金合同的生效</w:t>
      </w:r>
      <w:bookmarkEnd w:id="10"/>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根据有关规定，本基金满足基金合同生效条件，基金合同已于2013年9月4日正式生效。自基金合同生效之日起，本基金管理人正式开始管理本基金。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基金合同生效后，基金份额持有人数量不满200人或者基金资产净值低于5000万元的，基金管理人应当及时报告中国证监会；连续20个工作日出现前述情形的，基金管理人应当向中国证监会说明原因并报送解决方案。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1" w:name="_Toc116553056"/>
      <w:r>
        <w:rPr>
          <w:rFonts w:ascii="Times New Roman" w:hAnsi="Times New Roman"/>
          <w:sz w:val="30"/>
        </w:rPr>
        <w:lastRenderedPageBreak/>
        <w:t>八、基金份额的申购与赎回</w:t>
      </w:r>
      <w:bookmarkEnd w:id="11"/>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由投资者主动申请办理的申购、赎回等业务适用本部分的约定。本基金定期支付发起的自动赎回适用本招募说明书第九部分“基金的定期支付”的约定。</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个人投资者可以通过本公司网上直销交易平台办理开户、本基金的申购、赎回、定期定额投资、转换等业务，具体交易细则请参阅本公司网站。网上直销交易平台网址：www.fund001.com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本基金的代销机构参见本招募说明书“五、相关服务机构”章节或拨打本公司客户服务电话进行咨询。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投资人可通过上述销售机构办理基金申购、赎回业务的营业场所或按上述销售机构提供的其他方式进行申购或赎回。本基金管理人可根据情况变更或增减基金代销机构，并在管理人网站公示。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若基金管理人或其指定的代销机构开通电话、传真或网上等交易方式，投资人可以通过上述方式进行申购与赎回。</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w:t>
      </w:r>
      <w:r>
        <w:rPr>
          <w:rFonts w:ascii="宋体" w:hAnsi="宋体"/>
          <w:sz w:val="24"/>
        </w:rPr>
        <w:lastRenderedPageBreak/>
        <w:t>所、深圳证券交易所的正常交易日的交易时间，但基金管理人根据法律法规、中国证监会的要求或本基金合同的规定公告暂停申购、赎回时除外。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本基金已于2013年12月3日起开放申购业务。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本基金已于2013年12月3日起开放赎回业务。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3、当日的申购与赎回申请可以在基金管理人规定的时间以内撤销，但申请经登记机构正式受理的不得撤销；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本公司网上直销交易平台办理基</w:t>
      </w:r>
      <w:r>
        <w:rPr>
          <w:rFonts w:ascii="宋体" w:hAnsi="宋体"/>
          <w:sz w:val="24"/>
        </w:rPr>
        <w:lastRenderedPageBreak/>
        <w:t>金申购业务的不受直销机构单笔申购最低金额的限制，申购最低金额为单笔1 元。本基金直销机构单笔申购最低金额可由基金管理人酌情调整。各代销机构接受申购申请的最低金额为单笔1元，如果代销机构业务规则规定的最低单笔申购金额高于1元，以代销机构的规定为准。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份额减少类业务（如赎回、转换出、定期支付发起的自动赎回等）被确认，则基金管理人有权将投资人在该账户保留的本基金份额一次性全部赎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保留余额的数量限制，基金管理人必须在调整前依照《信息披露办法》的有关规定在指定的媒介上刊登公告并报中国证监会备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当月进行定期支付，当月自动赎回用以定期支付的基金份额从当月定期支付基准日（T日）的下一工作日起（含该日）从投资人的基金交易账户中扣减，基金交易账户中扣减后的基金份额余额自T+2日起（含该日）方可查询，可能会导致基金份额持有人在定期支付基准日（T日）的下一工作日（T+1日）提交的赎回或转换出申请因提交申请的份额余额大于实际的份额余额而被确认失败。对于发生基金份额持有人在T+1日提交的赎回申请因提交申请的份额余额大于实际的份额余额而被确认失败的情形，基金管理人有权对该基金份额持有人全部的可用剩余份额发起强制赎回，强制赎回的确认结果以注册登记机构确认结果为准；对于确认失败的转换申请，基金管理人不进行上述强制赎回的处理。</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w:t>
      </w:r>
      <w:r>
        <w:rPr>
          <w:rFonts w:ascii="宋体" w:hAnsi="宋体"/>
          <w:sz w:val="24"/>
        </w:rPr>
        <w:lastRenderedPageBreak/>
        <w:t>购或赎回的申请。投资人在提交申购申请时须按销售机构规定的方式备足申购资金，投资人在提交赎回申请时须持有足够的基金份额余额，否则所提交的申购、赎回申请无效。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以交易时间结束前受理有效申购和赎回申请的当天作为申购或赎回申请日（T日），在正常情况下，本基金登记机构在T+1日（包括该日）内对该交易的有效性进行确认。T日提交的有效申请，投资人可在T+2日后（包括该日）到销售网点柜台或以销售机构规定的其他方式查询申请的确认情况。若申购不成功，则申购款项退还给投资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投资人赎回申请成功后，基金管理人将在T＋7日（包括该日）内支付赎回款项。在发生巨额赎回时，款项的支付办法参照本基金合同有关条款处理。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4、申购和赎回的注册登记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（1）投资人T日申购基金成功后，正常情况下，登记机构在T＋1日为投资人增加权益并办理注册登记手续，投资人自T＋2日起（包括该日）有权赎回该部分基金份额。投资人应及时查询有关申请的确认情况。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（2）投资人T日赎回基金成功后，正常情况下，登记机构在T＋1日为投资人扣除权益并办理相应的注册登记手续。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（3）基金管理人可在法律法规允许的范围内，对上述注册登记办理时间进行调整，并于开始实施前按照《信息披露办法》的有关规定在指定媒介上公告并报中国证监会备案。</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1、申购费用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本基金的申购费用由基金申购人承担，不列入基金财产，主要用于本基金的市场推广、销售、登记等各项费用。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投资人可以多次申购本基金，申购费率按每笔申购申请单独计算。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77ECD">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r>
      <w:tr w:rsidR="00C77ECD">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77ECD" w:rsidRDefault="00C77EC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77ECD">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77ECD" w:rsidRDefault="00C77EC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C77ECD">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77ECD" w:rsidRDefault="00C77EC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C77ECD">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77ECD" w:rsidRDefault="00C77EC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77ECD">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77ECD" w:rsidRDefault="00C77EC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因红利自动再投资而产生的基金份额，不收取相应的申购费用。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（1）通过本基金管理人直销柜台办理本基金申购业务的投资者，享受申购费率一折优惠；若享有折扣前的原申购费率为固定费用的，则按原固定费率执行，不再享有费率折扣。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由赎回基金份额的基金份额持有人承担，在基金份额持有人赎回基金份额时收取，不低于赎回费总额的25%应归基金财产，其余用于支付登记费和其他必要的手续费。其中，对持续持有期少于7日的基金份额持有人收取不低于1.5%的赎回费并全额计入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77ECD">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C77ECD">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77ECD" w:rsidRDefault="00C77EC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77ECD">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77ECD" w:rsidRDefault="00C77EC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77ECD">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77ECD" w:rsidRDefault="00C77EC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C77ECD">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77ECD" w:rsidRDefault="00C77ECD">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转换费率。</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的有效份额为按实际确认的申购金额在扣除相应的费用后，以当日基金份额净值为基准计算，申购份额计算结果保留到小数点后2位，小数点后两位以后的部分四舍五入，由此误差产生的收益或损失由基金财产承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（2）赎回金额为按实际确认的有效赎回份额乘以当日基金份额净值并扣除相应的费用，赎回金额计算结果保留到小数点后2位，小数点后两位以后的部分四舍五入，由此误差产生的收益或损失由基金财产承担。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T日基金份额净值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例二：某投资人投资40,000元申购本基金，假设申购当日基金份额净值为</w:t>
      </w:r>
      <w:r>
        <w:rPr>
          <w:rFonts w:ascii="宋体" w:hAnsi="宋体"/>
          <w:sz w:val="24"/>
        </w:rPr>
        <w:lastRenderedPageBreak/>
        <w:t>1.040元，申购费率为1.5%，则其可得到的申购份额为：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申购份额=（40,000-591.13）/1.040=37,893.14份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赎回费用=赎回份额×T日基金份额净值×赎回费率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赎回金额=赎回份额×T日基金份额净值-赎回费用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例三：某投资人赎回认购（申购）持有的10,000份基金份额，对应的赎回费率为0.5%，假设赎回当日基金份额净值是1.016元，则其可得到的赎回金额为：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赎回费用=10,000×1.016×0.5%＝50.80元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赎回金额=10,000×1.016-50.80＝10,109.20元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即：投资人赎回本基金10,000份基金份额，假设赎回当日基金份额净值是1.016元，则其可得到的赎回金额为10,109.20元。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基金份额净值＝基金资产净值总额/发行在外的基金份额总数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内公告。遇特殊情况，经中国证监会同意，可以适当延迟计算或公告。本基金基金份额净值的计算，保留到小数点后3位，小数点后第4位四舍五入，由此误差产生的收益或损失由基金财产承担。</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3、证券交易所交易时间临时停市，导致基金管理人无法计算当日基金资产净值。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4、基金管理人认为接受某笔或某些申购申请可能会影响或损害现有基金份额持有人利益时。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w:t>
      </w:r>
      <w:r>
        <w:rPr>
          <w:rFonts w:ascii="宋体" w:hAnsi="宋体"/>
          <w:sz w:val="24"/>
        </w:rPr>
        <w:lastRenderedPageBreak/>
        <w:t>采用估值技术仍导致公允价值存在重大不确定性时，经与基金托管人协商确认后，基金管理人应当暂停接受基金申购申请。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6、基金管理人接受某笔或者某些申购申请有可能导致单一投资者持有基金份额的比例超过50%，或者变相规避50%集中度的情形。出现上述情形时，基金管理人有权将上述申购申请全部或部分确认失败。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7、基金资产规模过大，使基金管理人无法找到合适的投资品种，或其他可能对基金业绩产生负面影响，从而损害现有基金份额持有人利益的情形。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7、8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3、证券交易所交易时间临时停市，导致基金管理人无法计算当日基金资产净值。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5、连续两个或两个以上开放日发生巨额赎回。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4项所述情形，按基金合同的相关条款处</w:t>
      </w:r>
      <w:r>
        <w:rPr>
          <w:rFonts w:ascii="宋体" w:hAnsi="宋体"/>
          <w:sz w:val="24"/>
        </w:rPr>
        <w:lastRenderedPageBreak/>
        <w:t>理。基金份额持有人在申请赎回时可事先选择将当日可能未获受理部分予以撤销。在暂停赎回的情况消除时，基金管理人应及时恢复赎回业务的办理并公告。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10%，即认为是发生了巨额赎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暂停赎回：连续2日以上（含本数）发生巨额赎回，如基金管理人认为有必要，可暂停接受基金的赎回申请；已经接受的赎回申请可以延缓支付赎回款项，但不得超过20个工作日，并应当在指定媒介上进行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当发生上述延期赎回并延期办理时，基金管理人应当通过邮寄、传真、刊登公告或者通知代销机构代为告知等方式在3个交易日内通知基金份额持有人，说明有关处理方法，并在2日内在指定媒介上刊登公告。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2、暂停结束，基金重新开放申购或赎回时，基金管理人应依照《信息披露管理办法》的有关规定，在指定媒介上刊登基金重新开放申购或赎回公告，并公告最近1个开放日的基金份额净值。</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（十二）基金的非交易过户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如果基金管理人、登记机构、办理转托管的销售机构出现技术系统性能限制或出于其它合理原因，可以暂停该业务或者拒绝基金份额持有人的转托管申请。</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w:t>
      </w:r>
      <w:r>
        <w:rPr>
          <w:rFonts w:ascii="宋体" w:hAnsi="宋体"/>
          <w:sz w:val="24"/>
        </w:rPr>
        <w:lastRenderedPageBreak/>
        <w:t>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11月28日刊登公告自2013年12月3日起开通定期定额投资计划业务，具体开通销售机构名单和业务规则参见相关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（十五）定期定额赎回业务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11月28日刊登公告自2013年12月3日起在中国农业银行股份有限公司下属各代销网点开通定期定额赎回业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（十六）基金份额的冻结和解冻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（十七）基金份额的折算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基金合同生效后，本基金可以进行份额折算。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1、基金份额折算的时间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基金管理人应事先确定基金份额折算日，并依照《信息披露办法》的有关规定提前公告。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2、基金份额折算的原则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基金份额折算由基金管理人向登记机构申请办理，并由登记机构进行基金份额的变更登记。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w:t>
      </w:r>
      <w:r>
        <w:rPr>
          <w:rFonts w:ascii="宋体" w:hAnsi="宋体"/>
          <w:sz w:val="24"/>
        </w:rPr>
        <w:lastRenderedPageBreak/>
        <w:t>后，基金份额持有人将按照折算后的基金份额享有权利并承担义务。如果基金份额折算过程中发生不可抗力，基金管理人可延迟办理基金份额折算。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3、基金份额折算的方法</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基金份额折算的具体方法在基金份额折算公告中列示。</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2" w:name="_Toc116553057"/>
      <w:r>
        <w:rPr>
          <w:rFonts w:ascii="Times New Roman" w:hAnsi="Times New Roman"/>
          <w:sz w:val="30"/>
        </w:rPr>
        <w:lastRenderedPageBreak/>
        <w:t>九、基金的转换</w:t>
      </w:r>
      <w:bookmarkEnd w:id="12"/>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本基金2013年11月28日刊登公告自2013年12月3日起开放日常转换业务。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本基金遵循“份额转换”的原则，单笔转换份额不得低于1份。基金持有人可将其全部或部分基金份额转换成其它基金，单笔转换申请不受转入基金最低申购限额限制。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w:t>
      </w:r>
      <w:r>
        <w:rPr>
          <w:rFonts w:ascii="宋体" w:hAnsi="宋体"/>
          <w:sz w:val="24"/>
        </w:rPr>
        <w:lastRenderedPageBreak/>
        <w:t>转入基金的后端申购费。后端申购补差费用按照转出份额持有时间对应分档的转出基金后端申购费率减去转入基金后端申购费率差额进行补差。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w:t>
      </w:r>
      <w:r>
        <w:rPr>
          <w:rFonts w:ascii="宋体" w:hAnsi="宋体"/>
          <w:sz w:val="24"/>
        </w:rPr>
        <w:lastRenderedPageBreak/>
        <w:t>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转出确认金额=100,000×1.00=100,000元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w:t>
      </w:r>
      <w:r>
        <w:rPr>
          <w:rFonts w:ascii="宋体" w:hAnsi="宋体"/>
          <w:sz w:val="24"/>
        </w:rPr>
        <w:lastRenderedPageBreak/>
        <w:t>货币，则转入交银货币的基金份额为：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w:t>
      </w:r>
      <w:r>
        <w:rPr>
          <w:rFonts w:ascii="宋体" w:hAnsi="宋体"/>
          <w:sz w:val="24"/>
        </w:rPr>
        <w:lastRenderedPageBreak/>
        <w:t>只能转换到前端收费模式的其他基金，后端收费模式的基金只能转换到后端收费模式的其他基金。货币市场基金、债券基金C类基金份额与其他基金之间的转换不受上述收费模式的限制。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3" w:name="_Toc116553058"/>
      <w:r>
        <w:rPr>
          <w:rFonts w:ascii="Times New Roman" w:hAnsi="Times New Roman"/>
          <w:sz w:val="30"/>
        </w:rPr>
        <w:lastRenderedPageBreak/>
        <w:t>十、基金的定期支付</w:t>
      </w:r>
      <w:bookmarkEnd w:id="13"/>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在法律法规允许的前提下，基金管理人可在履行适当程序后采用除自动赎回基金份额以外的其他方式进行定期支付，并在新的方式开始实施前依照《信息披露办法》的有关规定在指定媒介上公告并报中国证监会备案。</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（一）定期支付的时间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基金每月对投资人进行1次定期支付，若基金合同生效不满3个月可不进行支付。发生下列情形时，基金管理人可暂停当月的定期支付：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1、因不可抗力导致基金管理人不能支付定期支付的款项。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2、定期支付基准日发生基金合同规定的暂停基金资产估值情况。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3、定期支付基准日证券交易所交易时间临时停市，导致基金管理人无法计算当日基金资产净值。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4、定期支付基准日发生基金合同第六部分约定的暂停赎回或者延缓支付赎回款项的情形且基金管理人决定暂停接受投资人的赎回申请或者延缓支付赎回款项。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发生上述情形之一且基金管理人决定暂停当月的定期支付时，基金管理人应当根据有关规定在指定媒介上刊登暂停定期支付业务公告并报中国证监会备案。</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（二）定期支付的支付基准日、权益登记日及款项支付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进行定期支付的，当月的第一个工作日（T日）为本基金的定期支付基准日，该月的现金支付金额以该日的基金资产净值为基础计算得出。当月的第一个工作日（T日）也是该月定期支付的权益登记日，即该日登记在册的基金份额持有人为该月定期支付的对象。对于T日登记在册的基金份额持有人，登记机构在T＋1日确定自动赎回用于现金支付的基金份额数并将上述用于现金支付的基金份额从基金份额持有人账户中进行扣减。基金管理人将通过登记机构及其相关销售机构在T＋7</w:t>
      </w:r>
      <w:r>
        <w:rPr>
          <w:rFonts w:ascii="宋体" w:hAnsi="宋体"/>
          <w:sz w:val="24"/>
        </w:rPr>
        <w:lastRenderedPageBreak/>
        <w:t>日（包括该日）内将支付款项划往基金份额持有人账户。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基金管理人可在法律法规允许的范围内，依法对上述定期支付的时间安排进行调整，并必须在调整实施日前按照《信息披露办法》的有关规定在指定媒介上公告并报中国证监会备案。</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（三）定期支付金额的计算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每次定期支付按照年化现金支付比率计算现金支付金额并自动赎回对应金额的基金份额数以用于向基金份额持有人进行现金支付，现金支付金额和自动赎回用于现金支付的基金份额按照单个基金交易账户进行计算，具体计算公式如下：</w:t>
      </w:r>
    </w:p>
    <w:p w:rsidR="00C77ECD" w:rsidRDefault="00FA6AF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1333500" cy="502920"/>
            <wp:effectExtent l="0" t="0" r="0" b="0"/>
            <wp:docPr id="6"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3500" cy="502920"/>
                    </a:xfrm>
                    <a:prstGeom prst="rect">
                      <a:avLst/>
                    </a:prstGeom>
                    <a:noFill/>
                    <a:ln>
                      <a:noFill/>
                    </a:ln>
                  </pic:spPr>
                </pic:pic>
              </a:graphicData>
            </a:graphic>
          </wp:inline>
        </w:drawing>
      </w:r>
    </w:p>
    <w:p w:rsidR="00C77ECD" w:rsidRDefault="00FA6AF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990600" cy="18288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90600" cy="182880"/>
                    </a:xfrm>
                    <a:prstGeom prst="rect">
                      <a:avLst/>
                    </a:prstGeom>
                    <a:noFill/>
                    <a:ln>
                      <a:noFill/>
                    </a:ln>
                  </pic:spPr>
                </pic:pic>
              </a:graphicData>
            </a:graphic>
          </wp:inline>
        </w:drawing>
      </w:r>
    </w:p>
    <w:p w:rsidR="00C77ECD" w:rsidRDefault="00FA6AF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731520" cy="18288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1520" cy="182880"/>
                    </a:xfrm>
                    <a:prstGeom prst="rect">
                      <a:avLst/>
                    </a:prstGeom>
                    <a:noFill/>
                    <a:ln>
                      <a:noFill/>
                    </a:ln>
                  </pic:spPr>
                </pic:pic>
              </a:graphicData>
            </a:graphic>
          </wp:inline>
        </w:drawing>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Di为第i次定期支付权益登记日登记在册的每份基金份额对应的现金支付金额；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ni为第i次定期支付该基金交易账户对应的自动赎回用于现金支付的份额数，计算结果四舍五入保留到小数点后两位；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Ci为第i次定期支付该基金交易账户实际可获得的现金支付金额，计算结果四舍五入保留到小数点后两位；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Pi为第i次定期支付权益登记日的基金份额净值；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R为年化现金支付比率；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ti（i&gt;1）为第i-1次定期支付权益登记日（不含该日）至第i次定期支付权益登记日（含该日）之间的天数，t1为基金合同生效日（含该日）至第1次定期支付权益登记日（含该日）之间的天数；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T为365天；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Mi为第i次定期支付权益登记日基金份额持有人在该基金交易账户确认持有的份额数。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由于计算过程尾差的处理，投资人实际可获得的现金支付金额（即Ci），与按照每份基金份额对应的现金支付金额乘以其权益登记日持有的份额数（即DiMi）计算得到的结果可能存在一定尾差。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当前的年化现金支付比率为6%，基金管理人可以根据基金实际运作情况和市场环境的变化，在履行适当程序后对上述约定的年化现金支付比率进行调整，并至少在调整前一个月公告，上述调整不须召开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假设本基金合同生效日为2013年1月8日，于2013年3月进行了第一次定期支付，2013年3月1日为当月定期支付基准日和权益登记日，假设该日的基金份额净值为1.010元，2013年1月8日（含）至2013年3月1日（含）之间的天数为53天，则该次定期支付每份基金份额对应的现金支付金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D1=1.010×(6%×53/365)=0.008799元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若某基金份额持有人的基金交易账户在2013年3月1日确认持有的份额数为1,000份,则第一次定期支付该基金交易账户对应的自动赎回用于现金支付的份额数为：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n1=1,000×1.010×(6%×53/365)/1.010=8.71份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第一次定期支付该基金交易账户实际可获得的现金支付金额为：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C1=8.71×1.010=8.80元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例五：延续例四的假设条件，假设本基金于2013年4月进行了第二次定期支付， 2013年5月因为发生了基金合同约定暂停定期支付的情形且基金管理人决定暂停了当月的定期支付，本基金又于2013年6月进行第三次定期支付。2013年4月1日和6月3日分别为第二次和第三次定期支付的基准日和权益登记日，假设2013年4月1日的基金份额净值为0.996元, 2013年6月3日的基金份额净值为1.018元， 2013年3月1日（不含）至2013年4月1日（含）之间的天数为31天，2013年4月1日（不含）至2013年6月3日（含）之间的天数为63天，则第二次和第三次定期支付每份基金份额对应的现金支付金额分别为：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D2=0.996×(6%×31/365)=0.005076元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D3=1.018×(6%×63/365)=0.010543元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若某基金份额持有人的基金交易账户在2013年4月1日和6月3日确认持有的份额数仍为1,000份，则第二次和第三次定期支付该基金交易账户对应的自动赎回用于现金支付的份额数分别为：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n2=1000×0.996×(6%×31/365)/0.996=5.10份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n3=1000×1.018×(6%×63/365)/1.018=10.36份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第二次和第三次定期支付该基金交易账户实际可获得的现金支付金额分别为：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C2=5.10×0.996=5.08元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C3=10.36×1.018=10.55元</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（四）定期支付的确认原则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1、定期支付每期自动赎回用以现金支付的基金份额时，按“先进先出”的原则进行处理，即先自动赎回登记确认日期在先的基金份额；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登记机构办理登记业务时，基金份额持有人主动发起的份额减少业务（包括赎回、转换出及转托管出）或者登记机构发起的其他非定期支付份额减少业务的确认原则上优先于定期支付业务的确认；每期自动赎回用以定期支付的基金份额时，若因当日该账户同时有其他的份额减少业务被确认而导致基金份额余额不足时，当期的定期支付业务将被确认失败，即该账户当期不进行现金支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基金管理人可在法律法规允许的情况下，对上述原则进行调整。基金管理人必须在新规则开始实施前依照《信息披露办法》的有关规定在指定媒介上公告并报中国证监会备案。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假设本基金于2013年7月进行了定期支付，2013年7月1日为当月定期支付的基准日和权益登记日。假设某基金份额持有人的基金交易账户在2013年7月1日确认持有的份额数为10,000份，根据计算公式计算当月该基金交易账户对应的自动赎回用于现金支付的份额数为65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该基金份额持有人于2013年7月1日提交申请赎回份额9,500份，该赎回申请将优先于定期支付自动赎回业务被确认，确认后该基金账户的剩余份额为500份，高于定期支付自动赎回的份额，则该次定期支付业务也被确认成功，即该份额持有人除获得申请赎回份额的赎回款，还将获得该次定期支付的现金支付金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该基金份额持有人于2013年7月1日提交申请赎回份额9,940份，该赎回申请将优先于定期支付自动赎回业务被确认，确认后该基金账户的剩余份额为60份，低于定期支付自动赎回的份额，则该次定期支付业务将被确认失败，即该账户当月不再进行现金支付，该份额持有人只获得申请赎回份额的赎回款。</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4" w:name="_Toc116553059"/>
      <w:r>
        <w:rPr>
          <w:rFonts w:ascii="Times New Roman" w:hAnsi="Times New Roman"/>
          <w:sz w:val="30"/>
        </w:rPr>
        <w:lastRenderedPageBreak/>
        <w:t>十一、基金的投资</w:t>
      </w:r>
      <w:bookmarkEnd w:id="14"/>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本基金精选具有长期增长潜力和较好分红能力的股票，以及具有较高息票率的债券，力争实现基金资产的长期增值。</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上市的股票（含中小板、创业板及其他中国证监会允许基金投资的股票、存托凭证）、债券、货币市场工具、权证以及法律法规或中国证监会允许基金投资的其它金融工具（但须符合中国证监会的相关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股票（含存托凭证）、权证等权益类资产占基金资产净值的30%-70%，其中权证的投资比例不超过基金资产净值的3%；债券、资产支持证券、货币市场工具、银行存款等固定收益类资产和现金不低于基金资产净值的30%，其中现金或到期日在一年以内的政府债券投资比例不低于基金资产净值的5%，现金不包括结算备付金、存出保证金和应收申购款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如法律法规或监管机构以后允许基金投资其他品种，基金管理人在履行适当程序后，可以将其纳入投资范围，并可依据届时有效的法律法规适时合理地调整投资范围。</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大类资产配置采取在股票和债券等不同类别资产进行平衡配置的策略，并在基金合同约定的资产配置范围内以投资时钟理论为指导，通过对经济周期所处的发展阶段及其趋势的分析和判断以及不同资产类别的预期表现，对基金资产配置进行动态调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在资产配置过程中，本基金对于经济周期的判断主要通过分析经济增长与通货膨胀的方向性变化实施。对于中长期的经济波动，本基金重点考察社会需求结构变</w:t>
      </w:r>
      <w:r>
        <w:rPr>
          <w:rFonts w:ascii="宋体" w:hAnsi="宋体"/>
          <w:sz w:val="24"/>
        </w:rPr>
        <w:lastRenderedPageBreak/>
        <w:t>化进而带动产业或行业结构变迁条件下经济增长与通货膨胀之间的演绎关系。如分析居民收入与财富增长的结构性变化、新兴技术的出现、出口结构的变化、政府政策鼓励等；在中短期内，产业或行业发展相对稳定，经济周期调整更多地体现为实体经济运行中需求与成本的阶段性波动，此时，本基金将重点考察经济领域各宏观经济指标的变动及其趋势。通过经济运行周期以及不同阶段内经济运行特征的分析判断，本基金将结合证券市场投资价值综合评估的结果，确定一定阶段内的类别资产配置比例及其调整方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股票资产主要投资于具有较好现金分红能力、长期增长潜力且估值水平合理的上市公司的股票。本基金采取定性和定量相结合的方法，对上市公司分红能力，分红意愿和分红预期等因素进行综合考察和筛选，并辅以投资价值评价，通过深入的调查研究，挖掘上市公司的价值，合理降低投资风险，实现基金资产的长期、稳定增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筛选出在公司治理、财务及管理品质上符合基本品质要求的上市公司，构建备选股票池，主要筛选指标包括：盈利能力指标、经营效率指标和财务状况指标。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（2）现金分红能力和估值水平评估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上述品质筛选的基础上，本基金采取定性和定量的方法对备选股票进行综合分析，通过综合分析上市公司分红历史和分红预期等因素对上市公司的现金分红能力进行评估，在优选红利股票的同时,本基金将注重考查具有长期增长潜力的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1）定量分析指标主要包括分红能力指标、分红意愿指标、估值水平指标等。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分红能力指标包括盈利性指标（如ROE，ROA等）和现金流指标（如经营性现金支出/折旧、自由现金流/销售等）。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分红意愿指标包括股息支付比例、股利分配率等。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估值水平指标包括市盈率（P/E）、市净率(P/B)、市价现金流比率（P/CF）等。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2）定性分析主要集中于对公司基本面因素，本基金将重点考察上市公司的治理结构、盈利持续性和财务稳定性等因素,深入挖掘上市公司的潜在价值。定性分析时重点关注具有以下特征的优质公司：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①所处行业具有良好的行业发展空间；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②具有良好公司治理结构，公司注重股东回报，管理层能力较强，内部运作机制顺畅；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③已建立起市场化经营机制、决策效率高、对市场变化反应灵敏；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④行业地位突出，具有较强的核心竞争力，并具有与行业竞争结构相适应的、清晰的竞争战略；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⑤在行业内拥有成本优势、规模优势、品牌优势、技术优势或其它特定优势，公司主要业务或产品市场份额处于行业前列；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⑥财务稳健，经营效率及盈利能力较强等。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（3）股票选择及组合优化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本基金将综合定性分析与定量价值评估的结果，精选估值合理或被低估以及具有上升潜力和投资价值的股票构建股票投资组合，并根据股票的预期收益与风险水平对投资组合进行优化。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（4）存托凭证的投资策略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资产主要投资于信用债，包括金融债（不含政策性金融债）、地方政府债、企业债、公司债、短期融资券、中期票据、可转换债券及分离交易可转债、资产支持证券等除国债和中央银行票据之外的、非国家信用的固定收益类金融工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债券投资方面，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通过合理的久期控制实现对利率风险的有效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（2）债券的类属配置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（3）信用债券投资策略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信用债券同时承载了利率风险与信用风险，而信用风险对信用债券表现的影响胜于利率风险。具体而言，本基金信用债券的投资遵循以下流程：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①信用债券研究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②信用债券投资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本基金从信用债券池中精选债券构建信用债券投资组合，主要考虑以下因素：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a.信用债券信用评级的变化。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b.不同信用等级的信用债券，以及同一信用等级不同标的债券之间的信用利差变化。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（4）资产支持证券（含资产收益计划）投资策略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（5）可转换债券投资策略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可转换债券是介于股票和债券之间的投资品种，兼具股性和债性的双重特征。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于可转换债券股性的研究将完全依托于公司投研团队对标的股票的研究，在此基础上量化投资部利用可转换债券定价模型，充分考虑转债发行后目标转债标的股票股价波动率可能出现的变化，对目标转债的股性进行合理定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对于本基金可转换债券债性的研究，将引进公司信用债券信用评级指标体系，对可转换债券的发行主体及标的债券进行信用评级，并在信用评级的基础上对其进行合理定价。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通过对标的转债股性与债性的合理定价，力求寻找出被市场低估的品种，构建本基金可转换债券的投资组合。</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（1）本基金股票（含存托凭证）、权证等权益类资产占基金资产净值的30%-70%，债券、资产支持证券、货币市场工具、银行存款等固定收益类资产和现金不低于基金资产净值的30%；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（2）保持不低于基金资产净值5%的现金或者到期日在一年以内的政府债券，其中现金不包括结算备付金、存出保证金和应收申购款等；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（3）本基金持有一家上市公司的股票，其市值不超过基金资产净值的10%；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 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w:t>
      </w:r>
      <w:r>
        <w:rPr>
          <w:rFonts w:ascii="宋体" w:hAnsi="宋体"/>
          <w:sz w:val="24"/>
        </w:rPr>
        <w:lastRenderedPageBreak/>
        <w:t>持有资产支持证券期间，如果其信用等级下降、不再符合投资标准，应在评级报告发布之日起3个月内予以全部卖出；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（14）本基金进入全国银行间同业市场进行债券回购的资金余额不得超过基金资产净值的40%。债券回购最长期限为1年，债券回购到期后不得展期；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（17）本基金与私募类证券资管产品及中国证监会认定的其他主体为交易对手开展逆回购交易的，可接受质押品的资质要求应当与本基金合同约定的投资范围保持一致；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（18）本基金投资存托凭证的比例限制依照境内上市交易的股票执行；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（19）法律法规及中国证监会规定的和基金合同约定的其他投资限制。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16）、（17）项外，因证券市场波动、上市公司合并、基金规模变动、股权分置改革中支付对价等基金管理人之外的因素致使基金投资比例不符合上述规定投资比例的，基金管理人应当在10个交易日内进行调整，法律法规另有规定的从其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基金管理人应当自基金合同生效之日起6个月内使基金的投资组合比例符合基金合同的有关约定。基金托管人对基金的投资的监督与检查自本基金合同生效之日起开始。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法律法规或监管部门取消或修改上述限制，如适用于本基金，基金管理人在履行适当程序后，则本基金投资所受限制相应调整。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（1）承销证券；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（4）买卖其他基金份额，但是国务院另有规定的除外；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（5）向其基金管理人、基金托管人出资或者买卖其基金管理人、基金托管人发行的股票或者债券；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（6）买卖与其基金管理人、基金托管人有控股关系的股东或者与其基金管理人、基金托管人有其他重大利害关系的公司发行的证券或者承销期内承销的证券；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如法律法规或监管部门取消上述禁止性规定，本基金管理人在履行适当程序后可不受上述规定的限制。</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本基金的业绩比较基准为50%×中证红利指数收益率+50%×中债综合全价指数收益率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中证红利指数挑选在上海证券交易所和深圳证券交易所上市的现金股息率高、分红比较稳定、具有一定规模及流动性的100 只股票作为样本，以反映A 股市场红利股票的整体状况和走势。该指数具有较好的权威性、市场代表性，作为衡量本基金股票投资部分业绩的比较基准，较为合适。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综合反映了债券市场整体价格和回报情况，是目前市场上较为权威的反映债券市场整体走势的基准指数之一。该指数合理、透明、公开，具有较好的市场接受度，作为衡量本基金债券投资部分业绩的比较基准，较为合适。</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考虑到本基金的投资比例及各投资对象价格的变动对基金净值的不同影响，本基金对上述两个基准指数按照目标资产配置比例分配权重，作为综合衡量本基金投资业绩的比较基准。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基金托管人协商一致，调整或变更本基金的业绩比较基准并及时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本基金是一只混合型基金，在证券投资基金中属于较高风险的品种，其长期平</w:t>
      </w:r>
      <w:r>
        <w:rPr>
          <w:rFonts w:ascii="宋体" w:hAnsi="宋体"/>
          <w:sz w:val="24"/>
        </w:rPr>
        <w:lastRenderedPageBreak/>
        <w:t>均风险和预期收益高于货币市场基金和债券型基金，低于股票型基金。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（七）基金的融资融券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本基金可以按照届时有效的有关法律法规和政策的规定进行融资融券。</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（八）基金管理人代表基金行使股东及债权人权利的处理原则及方法</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（九）投资决策依据和投资流程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3、投资管理流程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（十）基金投资组合报告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本基金托管人中国农业银行根据本基金合同规定，于2022年07月19日复核了本报告中的财务指标、净值表现和投资组合报告等内容,保证复核内容不存在虚假记载、误导性陈述或者重大遗漏。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本报告期为2022年04月01日至06月30日。本报告财务资料未经审计师审计。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2,749,235,254.86</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62.92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2,749,235,254.86</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62.92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677,076,017.49</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15.50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677,076,017.49</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15.50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938,486,921.88</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21.48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4,809,484.55</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4,369,607,678.78</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1,332,303.44</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1,991,733,476.66</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46.42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287,572,807.78</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6.70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121,539,649.00</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2.83</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615,029.10</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81,317,660.40</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1.90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60,946,000.00</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1.42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47,998,376.81</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1.12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48,474,731.60</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1.13</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54,021,424.00</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1.26</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42,923,144.86</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1,275,908.48</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139,789.02</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O</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193,386.55</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9,151,567.16</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2,749,235,254.86</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64.07</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002493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荣盛石化</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21,062,183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324,146,996.37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7.55</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603799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华友钴业</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2,145,515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205,154,144.30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4.78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601233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桐昆股份</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8,236,960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130,802,924.80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3.05</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688390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固德威</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312,126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97,698,559.26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2.28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002028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思源电气</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2,718,847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96,954,084.02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2.26</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13,665,841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96,207,520.64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2.24</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600483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福能股份</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6,692,174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94,158,888.18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2.19</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300203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聚光科技</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3,610,645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86,799,905.80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2.02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002409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雅克科技</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1,496,326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83,061,056.26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1.94</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688700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东威科技</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903,367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75,286,605.78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1.75</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212,780,591.78</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4.96</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212,780,591.78</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4.96</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464,295,425.71</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10.82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677,076,017.49</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15.78</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110048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福能转债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645,830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135,842,112.80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3.17</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220201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1,100,000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111,163,468.49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2.59</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210216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101,617,123.29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2.37</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113582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火炬转债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300,950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71,968,193.58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1.68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113626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伯特转债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170,830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41,442,024.12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0.97</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报告期内本基金投资的前十名证券的发行主体出现被监管部门立案调查，或在报告编制日前一年内受到公开谴责、处罚的情形披露如下：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2022年3月25日，中国银行保险监督管理委员会公示银保监罚决字〔2022〕8号行政处罚决定书，给予国家开发银行罚款440万元。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1,263,200.22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3,546,284.33</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4,809,484.55</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110048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福能转债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135,842,112.80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3.17</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113582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火炬转债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71,968,193.58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1.68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113626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伯特转债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41,442,024.12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0.97</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123067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斯莱转债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38,224,144.30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0.89</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132018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r>
              <w:rPr>
                <w:rFonts w:ascii="Times New Roman" w:hAnsi="Times New Roman"/>
                <w:color w:val="000000"/>
                <w:kern w:val="0"/>
                <w:sz w:val="25"/>
                <w:szCs w:val="24"/>
              </w:rPr>
              <w:t>三峡</w:t>
            </w:r>
            <w:r>
              <w:rPr>
                <w:rFonts w:ascii="Times New Roman" w:hAnsi="Times New Roman"/>
                <w:color w:val="000000"/>
                <w:kern w:val="0"/>
                <w:sz w:val="25"/>
                <w:szCs w:val="24"/>
              </w:rPr>
              <w:t>EB1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36,748,149.37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0.86</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128095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恩捷转债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35,941,228.49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127024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盈峰转债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35,028,816.15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0.82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123070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鹏辉转债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23,877,227.38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0.56</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127044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蒙娜转债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17,801,565.14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0.41</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节能转债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16,015,958.91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0.37</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113048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晶科转债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7,725,245.01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0.18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兴业转债</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3,671,760.05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5" w:name="_Toc116553060"/>
      <w:r>
        <w:rPr>
          <w:rFonts w:ascii="Times New Roman" w:hAnsi="Times New Roman"/>
          <w:sz w:val="30"/>
        </w:rPr>
        <w:lastRenderedPageBreak/>
        <w:t>十二、基金的业绩</w:t>
      </w:r>
      <w:bookmarkEnd w:id="15"/>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基金业绩截止日为2022年06月30日，所载财务数据未经审计师审计。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份额净值增长率标准差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8.82%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10.40%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-7.44%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0.74%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-6.95%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0.54%</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-12.65%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0.94%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7.94%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-20.59%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51.95%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2.28%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0.65%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49.67%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46.29%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8.71%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0.55%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37.58%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0.55%</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-6.43%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-7.58%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32.50%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6.69%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25.81%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1.29%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-4.08%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4.13%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59.94%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17.50%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1.32%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42.44%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28.13%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27.64%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0.49%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0.28%</w:t>
            </w:r>
          </w:p>
        </w:tc>
      </w:tr>
      <w:tr w:rsidR="00C77ECD">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1.30%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3.45%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bl>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C77ECD" w:rsidRDefault="006F5F7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交银施罗德定期支付双息平衡混合型证券投资基金</w:t>
      </w:r>
    </w:p>
    <w:p w:rsidR="00C77ECD" w:rsidRDefault="006F5F7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C77ECD" w:rsidRDefault="006F5F7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（2013年9月4日至2022年06月30日）</w:t>
      </w:r>
    </w:p>
    <w:p w:rsidR="00C77ECD" w:rsidRDefault="00FA6AF8">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5" name="图片 5"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6" w:name="_Toc116553061"/>
      <w:r>
        <w:rPr>
          <w:rFonts w:ascii="Times New Roman" w:hAnsi="Times New Roman"/>
          <w:sz w:val="30"/>
        </w:rPr>
        <w:lastRenderedPageBreak/>
        <w:t>十三、基金的财产</w:t>
      </w:r>
      <w:bookmarkEnd w:id="16"/>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7" w:name="_Toc116553062"/>
      <w:r>
        <w:rPr>
          <w:rFonts w:ascii="Times New Roman" w:hAnsi="Times New Roman"/>
          <w:sz w:val="30"/>
        </w:rPr>
        <w:lastRenderedPageBreak/>
        <w:t>十四、基金资产的估值</w:t>
      </w:r>
      <w:bookmarkEnd w:id="17"/>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基金所拥有的股票、权证、债券和银行存款本息、应收款项、其它投资等资产及负债。</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（2）交易所市场上市交易或挂牌转让的固定收益品种（另有规定的除外），选取第三方估值机构提供的相应品种当日的估值净价进行估值；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（4）交易所上市不存在活跃市场的有价证券，采用估值技术确定公允价值。交易所上市的资产支持证券，采用估值技术确定公允价值，在估值技术难以可靠计量公允价值的情况下，按成本估值。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（2）首次公开发行未上市的股票、债券和权证，采用估值技术确定公允价</w:t>
      </w:r>
      <w:r>
        <w:rPr>
          <w:rFonts w:ascii="宋体" w:hAnsi="宋体"/>
          <w:sz w:val="24"/>
        </w:rPr>
        <w:lastRenderedPageBreak/>
        <w:t>值，在估值技术难以可靠计量公允价值的情况下，按成本估值；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（3）首次公开发行有明确锁定期的股票，同一股票在交易所上市后，按交易所上市的同一股票的估值方法估值；非公开发行有明确锁定期的股票，按监管机构或行业协会有关规定确定公允价值。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3、全国银行间债券市场交易的债券、资产支持证券等固定收益品种，采用估值技术确定公允价值。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（四）估值程序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1、基金份额净值是按照每个工作日闭市后，基金资产净值除以当日基金份额的余额数量计算，精确到0.001元，小数点后第四位四舍五入。国家另有规定的，从其规定。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每个工作日计算基金资产净值及基金份额净值，并按规定公告。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依据基金合同和相关法律法规的规定对外公布。</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基金管理人和基金托管人将采取必要、适当、合理的措施确保基金资产估值的准确性、及时性。当基金份额净值小数点后第3位以内（含第3位）发生估值错误时，视为基金份额净值错误。</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本基金基金合同的当事人应按照以下约定处理：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对于因技术原因引起的估值错误，若系同行业现有技术水平无法预见、无法避免、无法抗拒，则属不可抗力，按照下述规定执行。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w:t>
      </w:r>
      <w:r>
        <w:rPr>
          <w:rFonts w:ascii="宋体" w:hAnsi="宋体"/>
          <w:sz w:val="24"/>
        </w:rPr>
        <w:lastRenderedPageBreak/>
        <w:t>还给受损方，则受损方应当将其已经获得的赔偿额加上已经获得的不当得利返还的总和超过其实际损失的差额部分支付给估值错误责任方。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3、占基金相当比例的投资品种的估值出现重大转变，而基金管理人为保障基金份额持有人的利益，已决定延迟估值；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（七）基金净值的确认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（八）特殊情况的处理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8" w:name="_Toc116553063"/>
      <w:r>
        <w:rPr>
          <w:rFonts w:ascii="Times New Roman" w:hAnsi="Times New Roman"/>
          <w:sz w:val="30"/>
        </w:rPr>
        <w:lastRenderedPageBreak/>
        <w:t>十五、基金收益与分配</w:t>
      </w:r>
      <w:bookmarkEnd w:id="18"/>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在存续期内，本基金按照基金合同的约定每月定期向基金份额持有人支付一定的现金，除上述定期支付外，本基金不另外进行收益分配。关于定期支付的相关规定见本招募说明书第九部分“基金的定期支付”。</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19" w:name="_Toc116553064"/>
      <w:r>
        <w:rPr>
          <w:rFonts w:ascii="Times New Roman" w:hAnsi="Times New Roman"/>
          <w:sz w:val="30"/>
        </w:rPr>
        <w:lastRenderedPageBreak/>
        <w:t>十六、基金的费用与税收</w:t>
      </w:r>
      <w:bookmarkEnd w:id="19"/>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9、按照国家有关规定和基金合同约定，可以在基金财产中列支的其他费用。</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w:t>
      </w:r>
      <w:r w:rsidR="00C52768">
        <w:rPr>
          <w:rFonts w:ascii="宋体" w:hAnsi="宋体"/>
          <w:sz w:val="24"/>
        </w:rPr>
        <w:t>2</w:t>
      </w:r>
      <w:r>
        <w:rPr>
          <w:rFonts w:ascii="宋体" w:hAnsi="宋体"/>
          <w:sz w:val="24"/>
        </w:rPr>
        <w:t>%年费率计提。管理费的计算方法如下：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w:t>
      </w:r>
      <w:r w:rsidR="00C52768">
        <w:rPr>
          <w:rFonts w:ascii="宋体" w:hAnsi="宋体"/>
          <w:sz w:val="24"/>
        </w:rPr>
        <w:t>2</w:t>
      </w:r>
      <w:r>
        <w:rPr>
          <w:rFonts w:ascii="宋体" w:hAnsi="宋体"/>
          <w:sz w:val="24"/>
        </w:rPr>
        <w:t>%÷当年天数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逐日累计至每月月末，按月支付，由基金管理人向基金托管人发送基金管理费划款指令，基金托管人复核后于次月前3个工作日内从基金财产中一次性支付给基金管理人。若遇不可抗力致使无法按时支付的，支付日期顺延至最近可支付日支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托管费每日计算，逐日累计至每月月末，按月支付，由基金管理人向基金托管人发送基金托管费划款指令，基金托管人复核后于次月前3个工作日内从基金财产中一次性支取。若遇不可抗力致使无法按时支付的，支付日期顺延至最近可支付日支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3、上述“（一）基金费用的种类”中第3－9项费用，根据有关法规及相应协议规定，按费用实际支出金额列入当期费用，由基金托管人从基金财产中支付。</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（四）基金税收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0" w:name="_Toc116553065"/>
      <w:r>
        <w:rPr>
          <w:rFonts w:ascii="Times New Roman" w:hAnsi="Times New Roman"/>
          <w:sz w:val="30"/>
        </w:rPr>
        <w:lastRenderedPageBreak/>
        <w:t>十七、基金的会计与审计</w:t>
      </w:r>
      <w:bookmarkEnd w:id="20"/>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1" w:name="_Toc116553066"/>
      <w:r>
        <w:rPr>
          <w:rFonts w:ascii="Times New Roman" w:hAnsi="Times New Roman"/>
          <w:sz w:val="30"/>
        </w:rPr>
        <w:lastRenderedPageBreak/>
        <w:t>十八、基金的信息披露</w:t>
      </w:r>
      <w:bookmarkEnd w:id="21"/>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《基金合同》生效后，在开始办理基金份额申购或者赎回前，基金管理人应当至少每周在指定网站披露一次基金份额净值和基金份额累计净值。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在开始办理基金份额申购或者赎回后，基金管理人应当在不晚于每个开放日的次日，通过指定网站、销售机构网站或者营业网点披露开放日的基金份额净值和基</w:t>
      </w:r>
      <w:r>
        <w:rPr>
          <w:rFonts w:ascii="宋体" w:hAnsi="宋体"/>
          <w:sz w:val="24"/>
        </w:rPr>
        <w:lastRenderedPageBreak/>
        <w:t>金份额累计净值。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基金管理人应当在不晚于半年度和年度最后一日的次日，在指定网站披露半年度和年度最后一日的基金份额净值和基金份额累计净值。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（3）转换基金运作方式、基金合并；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w:t>
      </w:r>
      <w:r>
        <w:rPr>
          <w:rFonts w:ascii="宋体" w:hAnsi="宋体"/>
          <w:sz w:val="24"/>
        </w:rPr>
        <w:lastRenderedPageBreak/>
        <w:t>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11、中国证监会规定的其他信息。</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w:t>
      </w:r>
      <w:r>
        <w:rPr>
          <w:rFonts w:ascii="宋体" w:hAnsi="宋体"/>
          <w:sz w:val="24"/>
        </w:rPr>
        <w:lastRenderedPageBreak/>
        <w:t>息，并保证相关报送信息的真实、准确、完整、及时。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2" w:name="_Toc116553067"/>
      <w:r>
        <w:rPr>
          <w:rFonts w:ascii="Times New Roman" w:hAnsi="Times New Roman"/>
          <w:sz w:val="30"/>
        </w:rPr>
        <w:lastRenderedPageBreak/>
        <w:t>十九、风险揭示</w:t>
      </w:r>
      <w:bookmarkEnd w:id="22"/>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定期支付时的自动赎回份额不纳入以上赎回份额计算）超过基金总份额的百分之十时，投资人将可能无法及时赎回持有的全部基金份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w:t>
      </w:r>
      <w:r>
        <w:rPr>
          <w:rFonts w:ascii="宋体" w:hAnsi="宋体"/>
          <w:sz w:val="24"/>
        </w:rPr>
        <w:lastRenderedPageBreak/>
        <w:t>不利的影响，都会影响基金运作和收益水平。尤其是在发生巨额赎回时，如果基金资产变现能力差，可能会产生基金仓位调整的困难，导致流动性风险，可能影响基金份额净值。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定期支付时的自动赎回份额不纳入以上赎回份额计算）超过前一开放日的基金总份额的10%，即认为是发生了巨额赎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w:t>
      </w:r>
      <w:r>
        <w:rPr>
          <w:rFonts w:ascii="宋体" w:hAnsi="宋体"/>
          <w:sz w:val="24"/>
        </w:rPr>
        <w:lastRenderedPageBreak/>
        <w:t>以下一开放日的基金份额净值为基础计算赎回金额，以此类推，直到全部赎回为止。如投资人在提交赎回申请时未作明确选择，投资人未能赎回部分作自动延期赎回处理。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通过在股票、债券等各类资产之间进行配置来降低风险，提高收益。如果股票市场和债券市场同时出现下跌，本基金将不能完全抵御两个市场同时下跌的风险，基金净值将出现下降。由于本基金股票投资比例设定了一定上限，因此在股市大幅上涨时本基金也不能完全保证基金净值能够完全跟随或超越大盘走势。此外，本基金在调整资产配置比例时，可能由于基金经理的预判与市</w:t>
      </w:r>
      <w:r>
        <w:rPr>
          <w:rFonts w:ascii="宋体" w:hAnsi="宋体"/>
          <w:sz w:val="24"/>
        </w:rPr>
        <w:lastRenderedPageBreak/>
        <w:t>场的实际表现存在较大差异，出现资产配置不合理的风险，从而对基金收益造成不利影响。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股票资产部分重点投资于红利股票，在选股策略上本基金特有的风险主要来自两个方面：一是对行业及上市公司的基本面研究是否准确、深入，二是对行业和红利股票的优选和判断是否科学、准确。基本面研究及上市企业分析的错误均可能导致所选择的证券不能完全符合本基金的预期目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本基金可投资创业板股票，创业板个股上市后的前五个交易日不设价格涨跌幅限制，第六个交易日开始涨跌幅限制比例为20%。</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（六）本基金定期支付相关的特定风险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1、定期支付不等同于收益分配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定期支付并不等同于收益分配。按照目前法律法规的规定，基金的收益分配以基金具有可供分配利润为前提，且分配金额不得超过可供分配利润；而定期支付不以本基金具有可供分配利润为前提，且定期支付金额按照招募说明书约定的年化现金支付比率计算，不以基金的可供分配利润为上限，其实质是按基金合同的约定定期自动赎回持有人的部分基金份额进行现金支付。在基金投资亏损的情况下，除非发生基金合同约定的暂停定期支付的事由，本基金仍将进行定期支付。因此，即便投资者对于本基金的投资未取得收益甚至发生亏损，仍可能发生部分份额的自动赎回，由此投资者就该部分被赎回的份额将失去取得预期收益或者通过未来净值上涨而弥补亏损的机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基金收益分配时，对基金份额净值进行除息（即扣减每份收益分配金额）处理；而定期支付不对基金份额净值进行除息处理，但因自动赎回部分基金份额进行现金支付，会造成投资者所持有基金份额的缩减，为此，基金管理人未来将视基金实际运作情况对基金实施份额拆分，份额拆分不会对基金份额持有人的权益造成实质影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2、年化现金支付比率不代表基金实际投资收益率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本基金招募说明书约定的年化现金支付比率用以计算定期支付金额，不代表基金实际投资收益率。按照约定的年化现金支付比率计算的定期支付金额可能大于也可能小于当期基金的实际投资收益。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3、定期支付被确认失败的风险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在每期定期支付时，由于基金份额持有人主动发起的份额减少业务（包括赎</w:t>
      </w:r>
      <w:r>
        <w:rPr>
          <w:rFonts w:ascii="宋体" w:hAnsi="宋体"/>
          <w:sz w:val="24"/>
        </w:rPr>
        <w:lastRenderedPageBreak/>
        <w:t>回、转换出及转托管出）或者登记机构发起的其他非定期支付份额减少业务的确认原则上优先于定期支付业务的确认，若因当日该账户同时有其他的份额减少业务被确认而导致基金份额余额不足时，当期的定期支付业务将被确认失败，即该账户当期不进行现金支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4、年化现金支付比率发生调整的风险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有权根据基金实际运作情况和市场环境的变化调整年化现金支付比率。因此未来年化现金支付比率可能会发生变化，可能高于也可能低于当前的年化现金支付比率。年化现金支付比率的变化会影响定期支付数额，并将会对投资者的实际投资收益产生正面或负面的影响。</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（七）投资科创板股票的特定风险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w:t>
      </w:r>
      <w:r>
        <w:rPr>
          <w:rFonts w:ascii="宋体" w:hAnsi="宋体"/>
          <w:sz w:val="24"/>
        </w:rPr>
        <w:lastRenderedPageBreak/>
        <w:t>不具备商业实质的关联交易维持收入的上市公司可能会被退市；且不再设置暂停上市、恢复上市和重新上市环节，上市公司退市风险更大。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（八）投资存托凭证的特定风险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（九）其他风险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5、因业务竞争压力可能产生的风险；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3" w:name="_Toc116553068"/>
      <w:r>
        <w:rPr>
          <w:rFonts w:ascii="Times New Roman" w:hAnsi="Times New Roman"/>
          <w:sz w:val="30"/>
        </w:rPr>
        <w:lastRenderedPageBreak/>
        <w:t>二十、基金合同的变更、终止与基金财产的清算</w:t>
      </w:r>
      <w:bookmarkEnd w:id="23"/>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2、关于基金合同变更的基金份额持有人大会决议经中国证监会核准或出具无异议意见后方可执行，自决议生效后两日内依照《信息披露办法》的规定在指定媒介公告。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（4）制作清算报告；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（7）对基金财产进行分配。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5、基金财产清算的期限为6个月，若遇基金持有的股票或其他有价证券出现长期休市、停牌或其他流通受限的情形除外。</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4" w:name="_Toc116553069"/>
      <w:r>
        <w:rPr>
          <w:rFonts w:ascii="Times New Roman" w:hAnsi="Times New Roman"/>
          <w:sz w:val="30"/>
        </w:rPr>
        <w:lastRenderedPageBreak/>
        <w:t>二十一、基金合同内容摘要</w:t>
      </w:r>
      <w:bookmarkEnd w:id="24"/>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（一）基金合同当事人及权利义务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5）召集基金份额持有人大会；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13）在法律法规允许的前提下，为基金的利益依法为基金进行融资融券；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w:t>
      </w:r>
      <w:r>
        <w:rPr>
          <w:rFonts w:ascii="宋体" w:hAnsi="宋体"/>
          <w:sz w:val="24"/>
        </w:rPr>
        <w:lastRenderedPageBreak/>
        <w:t>回、转换和非交易过户等的业务规则；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1）依法募集基金，办理或者委托经中国证监会认定的其他机构代为办理基金份额的发售、申购、赎回和登记事宜；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24）基金管理人在募集期间未能达到基金的备案条件，基金合同不能生效，基金管理人承担全部募集费用，将已募集资金并加计银行同期存款利息在基金募集期结束后30日内退还基金认购人；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w:t>
      </w:r>
      <w:r>
        <w:rPr>
          <w:rFonts w:ascii="宋体" w:hAnsi="宋体"/>
          <w:sz w:val="24"/>
        </w:rPr>
        <w:lastRenderedPageBreak/>
        <w:t>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4）根据相关市场规则，为基金开设证券账户、为基金办理证券交易资金清算；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6）按规定开设基金财产的资金账户和证券账户,按照基金合同的约定，根据基金管理人的投资指令，及时办理清算、交割事宜；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8）复核、审查基金管理人计算的基金资产净值、基金份额净值、基金份额申购、赎回价格、基金业绩数据等；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每份基金份额具有同等的合法权益。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（1）根据《基金法》、《运作办法》及其他有关规定，基金份额持有人的权利包括但不限于：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1）分享基金财产收益；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3）依法申请赎回其持有的基金份额；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8）对基金管理人、基金托管人、基金销售机构损害其合法权益的行为依法提起诉讼或仲裁；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2）了解所投资基金产品，了解自身风险承受能力，自行承担投资风险；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4）缴纳基金认购、申购、赎回款项及法律法规和基金合同所规定的费用；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w:t>
      </w:r>
      <w:r>
        <w:rPr>
          <w:rFonts w:ascii="宋体" w:hAnsi="宋体"/>
          <w:sz w:val="24"/>
        </w:rPr>
        <w:lastRenderedPageBreak/>
        <w:t>有平等的投票权。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12）对基金当事人权利和义务产生重大影响的其他事项；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1）调低基金管理费、基金托管费和其他应由本基金或基金份额持有人承担的费用；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3）在法律法规和基金合同规定的范围内调整本基金的申购费率、调低赎回费率、变更或增加收费方式；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4）因相应的法律法规发生变动而应当对基金合同进行修改；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6）基金管理人根据基金实际运作情况和市场环境的变化，对年化现金支付比</w:t>
      </w:r>
      <w:r>
        <w:rPr>
          <w:rFonts w:ascii="宋体" w:hAnsi="宋体"/>
          <w:sz w:val="24"/>
        </w:rPr>
        <w:lastRenderedPageBreak/>
        <w:t>率进行调整；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7）按照法律法规和基金合同规定不需召开基金份额持有人大会的以外的其他情形。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1）会议召开的时间、地点和会议形式；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2）经核对，汇总到会者出示的在权益登记日持有基金份额的凭证显示，有效的基金份额不少于本基金在权益登记日基金总份额的50%（含50%）。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w:t>
      </w:r>
      <w:r>
        <w:rPr>
          <w:rFonts w:ascii="宋体" w:hAnsi="宋体"/>
          <w:sz w:val="24"/>
        </w:rPr>
        <w:lastRenderedPageBreak/>
        <w:t>形式在表决截至日以前送达至召集人指定的地址。通讯开会应以书面方式进行表决。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3）本人直接出具书面意见或授权他人代表出具书面意见的，基金份额持有人所持有的基金份额不小于在权益登记日基金总份额的50%（含50%）；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（3）在法律法规或监管机关允许的情况下，本基金亦可采用网络、电话等其他非书面方式由基金份额持有人向其授权代表进行授权。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基金份额持有人大会不得对未事先公告的议事内容进行表决。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（1）一般决议，一般决议须经参加大会的基金份额持有人或其代理人所持表决权的50%以上（含50%）通过方为有效；除下列第（2）项所规定的须以特别决议通过事项以外的其他事项均以一般决议的方式通过。</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2/3以上（含2/3）通过方可做出。转换基金运作方式、更换基金管理人或者基金托管人、终止基金合同以特别决议通过方为有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w:t>
      </w:r>
      <w:r>
        <w:rPr>
          <w:rFonts w:ascii="宋体" w:hAnsi="宋体"/>
          <w:sz w:val="24"/>
        </w:rPr>
        <w:lastRenderedPageBreak/>
        <w:t>会议通知规定的书面表决意见视为有效表决，表决意见模糊不清或相互矛盾的视为弃权表决，但应当计入出具书面意见的基金份额持有人所代表的基金份额总数。</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基金份额持有人大会的决议，召集人应当自通过之日起5日内报中国证监会核准或者备案。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基金份额持有人大会的决议自中国证监会依法核准或者出具无异议意见之日起生效。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基金份额持有人大会决议自生效之日起2日内在指定媒介上公告。如果采用通讯方式进行表决，在公告基金份额持有人大会决议时，必须将公证书全文、公证机构、公证员姓名等一同公告。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9、法律法规或监管部门对基金份额持有人大会另有规定的，从其规定。</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（三）基金合同的变更与终止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（2）关于基金合同变更的基金份额持有人大会决议经中国证监会核准或出具无异议意见后方可执行，自决议生效后两日内依照《信息披露办法》的规定在指定媒介公告。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（4）相关法律法规和中国证监会规定的其他情况。</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（四）争议的处理和适用的法律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（五）基金合同存放及投资者取得基金合同的方式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基金合同正本一式六份，除上报有关监管机构一式二份外，基金管理人、基金托管人各持有二份，每份具有同等的法律效力。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5" w:name="_Toc116553070"/>
      <w:r>
        <w:rPr>
          <w:rFonts w:ascii="Times New Roman" w:hAnsi="Times New Roman"/>
          <w:sz w:val="30"/>
        </w:rPr>
        <w:lastRenderedPageBreak/>
        <w:t>二十二、托管协议的内容摘要</w:t>
      </w:r>
      <w:bookmarkEnd w:id="25"/>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注册地址：北京市东城区建国门内大街69号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成立时间：2009年1月15日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基金托管资格批准文号：中国证监会证监基字[1998]23号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注册资本：32,479,411.7万元人民币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上市的股票（含中小板、创业板及其他中国证监会允许基金投资的股票、存托凭证）、债券、货币市场工具、权证以及法律法规或中国证监会允许基金投资的其它金融工具（但须符合中国证监会的相关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为：股票（含存托凭证）、权证等权益类资产占基金资产净值的30%-70%，其中权证的投资比例不超过基金资产净值的3%；债券、资产支持证券、货币市场工具、银行存款等固定收益类资产和现金不低于基金资产净值的30%，其中现金或到期日在一年以内的政府债券投资比例不低于基金资产净值的5%，现金不包括结算备付金、存出保证金和应收申购款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如法律法规或监管机构以后允许基金投资其他品种，基金管理人在履行适当程序后，可以将其纳入投资范围，并可依据届时有效的法律法规适时合理地调整投资范围。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2、基金托管人根据有关法律法规的规定及基金合同的约定，对基金投资、融资、融券比例进行监督。基金托管人按下述比例和调整期限进行监督：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（2）本基金与本基金管理人管理的且由本托管人托管的其他基金持有一家公司发行的证券，其市值不超过该证券的10%；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（3）进入全国银行间同业市场进行债券回购的资金余额不超过基金资产净值的40%。债券回购最长期限为1年，债券回购到期后不得展期；</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（4）本基金参与股票发行申购，本基金所申报的金额不超过本基金的总资产，本基金所申报的股票数量不超过拟发行股票公司本次发行股票的总量；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买入权证的总金额，不得超过上一交易日基金资产净值的5‰；本基金持有的全部权证，其市值不得超过基金资产净值的3%；本基金与本基金管理人管理的其他基金持有的同一权证，不得超过该权证的10%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（6）本基金应投资于信用级别评级为BBB以上(含BBB)的资产支持证券。基金持有资产支持证券期间，如果其信用等级下降、不再符合投资标准，应在评级报告发布之日起3个月内予以全部卖出；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本基金投资于同一原始权益人的各类资产支持证券的比例，不得超过基金资产净值的10%；本基金管理人管理的全部证券投资基金投资于同一原始权益人的各类资产支持证券，不得超过其各类资产支持证券合计规模的10%；本基金持有的全部资产支持证券，其市值不得超过基金资产净值的20%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（8）保持不低于基金资产净值5%的现金或者到期日在一年以内的政府债券，其中现金不包括结算备付金、存出保证金和应收申购款等；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（9）本基金不得违反基金合同中有关投资范围、投资策略、投资比例的规定；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（12）本基金与私募类证券资管产品及中国证监会认定的其他主体为交易对手开展逆回购交易的，可接受质押品的资质要求应当与基金合同约定的投资范围保持一致；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（13）本基金投资存托凭证的比例限制依照境内上市交易的股票执行；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（14）法律法规或监管部门对上述比例限制另有规定的，从其规定。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除上述第（6）、（8）、（11）、（12）项外，因证券市场波动、上市公司合并、基金规模变动等基金管理人之外的因素致使基金投资比例不符合上述规定的投资比例的，基金管理人应当在10个交易日内进行调整。法律法规或监管部门另有规定的，从其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上述投资组合限制条款中，若属法律法规或监管部门的强制性规定，则当法律法规或监管部门取消或修改上述限制，如适用于本基金，基金管理人在履行适当程序后，本基金投资所受限制相应调整。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基金托管人对基金投资的监督和检查自基金合同生效之日起开始。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w:t>
      </w:r>
      <w:r>
        <w:rPr>
          <w:rFonts w:ascii="宋体" w:hAnsi="宋体"/>
          <w:sz w:val="24"/>
        </w:rPr>
        <w:lastRenderedPageBreak/>
        <w:t>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5、基金托管人根据有关法律法规的规定及基金合同的约定，对基金管理人选择存款银行进行监督。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w:t>
      </w:r>
      <w:r>
        <w:rPr>
          <w:rFonts w:ascii="宋体" w:hAnsi="宋体"/>
          <w:sz w:val="24"/>
        </w:rPr>
        <w:lastRenderedPageBreak/>
        <w:t>计算、基金份额净值计算、应收资金到账、基金费用开支及收入确定、基金收益分配、相关信息披露、基金宣传推介材料中登载基金业绩表现数据等进行监督和核查。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（1）基金投资流通受限证券，应遵守《关于规范基金投资非公开发行证券行为的紧急通知》、《关于基金投资非公开发行股票等流通受限证券有关问题的通知》等有关法律法规规定。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（4）在投资流通受限证券之前，基金管理人应至少提前一个交易日向基金托管人提供有关非公开定向增发流通受限证券的相关信息，具体应当包括但不限于如下文件（如有）：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w:t>
      </w:r>
      <w:r>
        <w:rPr>
          <w:rFonts w:ascii="宋体" w:hAnsi="宋体"/>
          <w:sz w:val="24"/>
        </w:rPr>
        <w:lastRenderedPageBreak/>
        <w:t>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w:t>
      </w:r>
      <w:r>
        <w:rPr>
          <w:rFonts w:ascii="宋体" w:hAnsi="宋体"/>
          <w:sz w:val="24"/>
        </w:rPr>
        <w:lastRenderedPageBreak/>
        <w:t>由，拒绝、阻挠对方根据本协议规定行使监督权，或采取拖延、欺诈等手段妨碍对方进行有效监督，情节严重或经基金托管人提出警告仍不改正的，基金托管人应报告中国证监会。</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（5）基金托管人根据基金管理人的指令，按照基金合同和本协议的约定保管基金财产，如有特殊情况双方可另行协商解决。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（1）基金募集期间的认购款项应存于专用账户。该账户由基金管理人或基金管理人委托的登记机构开立并管理。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（3）若基金募集期限届满，未能达到基金备案的条件，由基金管理人按规定办理退款等事宜，基金托管人应提供充分协助。</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w:t>
      </w:r>
      <w:r>
        <w:rPr>
          <w:rFonts w:ascii="宋体" w:hAnsi="宋体"/>
          <w:sz w:val="24"/>
        </w:rPr>
        <w:lastRenderedPageBreak/>
        <w:t>户办理基金资产的支付。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（1）基金托管人在中国证券登记结算有限责任公司上海分公司、深圳分公司为本基金开立基金托管人与基金联名的证券账户。</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（1）因业务发展需要而开立的其他账户，可以根据法律法规和基金合同的规定，在基金管理人和基金托管人商议后开立。新账户按有关规则使用并管理。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w:t>
      </w:r>
      <w:r>
        <w:rPr>
          <w:rFonts w:ascii="宋体" w:hAnsi="宋体"/>
          <w:sz w:val="24"/>
        </w:rPr>
        <w:lastRenderedPageBreak/>
        <w:t>管人保管期间的损坏、灭失，由此产生的责任应由基金托管人承担。基金托管人对基金托管人以外机构实际有效控制的证券不承担保管责任。</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（五）基金资产净值计算和会计核算</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每工作日计算基金资产净值及基金份额净值，并按规定公告，但根据法律法规或基金合同的规定暂停估值时除外。</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基金所拥有的股票、权证、债券和银行存款本息、应收款项、其它投资等资产及负债。</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未发生影响</w:t>
      </w:r>
      <w:r>
        <w:rPr>
          <w:rFonts w:ascii="宋体" w:hAnsi="宋体"/>
          <w:sz w:val="24"/>
        </w:rPr>
        <w:lastRenderedPageBreak/>
        <w:t>证券价格的重大事件的，可参考类似投资品种的现行市价及重大变化因素，调整最近交易市价，确定公允价格；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b、交易所市场上市交易或挂牌转让的固定收益品种（另有规定的除外），选取第三方估值机构提供的相应品种当日的估值净价进行估值；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d、交易所上市不存在活跃市场的有价证券，采用估值技术确定公允价值。交易所上市的资产支持证券，采用估值技术确定公允价值，在估值技术难以可靠计量公允价值的情况下，按成本估值。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a、送股、转增股、配股和公开增发的新股，按估值日在证券交易所挂牌的同一股票的估值方法估值；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b、首次公开发行未上市的股票、债券和权证，采用估值技术确定公允价值，在估值技术难以可靠计量公允价值的情况下，按成本估值；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c、首次公开发行有明确锁定期的股票，同一股票在交易所上市后，按交易所上市的同一股票的估值方法估值；非公开发行有明确锁定期的股票，按监管机构或行业协会有关规定确定公允价值。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3）在全国银行间债券市场交易的债券、资产支持证券等固定收益品种，采用估值技术确定公允价值。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6）本基金投资存托凭证的估值核算依照境内上市交易的股票执行。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w:t>
      </w:r>
      <w:r>
        <w:rPr>
          <w:rFonts w:ascii="宋体" w:hAnsi="宋体"/>
          <w:sz w:val="24"/>
        </w:rPr>
        <w:lastRenderedPageBreak/>
        <w:t>及相关法律法规的规定或者未能充分维护基金份额持有人利益时，应立即通知对方，共同查明原因，双方协商解决，以约定的方法、程序和相关法律法规的规定进行估值，以维护基金份额持有人的利益。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1）基金管理人、基金托管人按估值方法的第5）项进行估值时，所造成的误差不作为基金份额净值错误处理。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或登记结算公司发送的数据错误，或国家会计政策变更、市场规则变更等，基金管理人和基金托管人虽然已经采取必要、适当、合理的措施进行检查，但未能发现该错误的，由此造成的基金资产估值错误，基金管理人和基金托管人免除赔偿责任。但基金管理人、基金托管人应积极采取必要的措施消除由此造成的影响。</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3、基金估值错误的处理方式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3位以内（含第3位）发生估值错误时，视为基金份额净值错误；基金份额净值出现错误时，基金管理人应当立即予以纠正，通报基金托管人，并采取合理的措施防止损失进一步扩大；错误偏差达到或超过基金份额净值的0.25%时，基金管理人应当及时通知基金托管人并报中国证监会；错误偏差达到基金份额净值的0.50%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（4）前述内容如法律法规或监管机关另有规定的，从其规定处理。如果行业有通行做法，双方当事人应本着平等和保护基金份额持有人利益的原则进行协商。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（4）当前一估值日基金资产净值50%以上的资产出现无可参考的活跃市场价格且采用估值技术仍导致公允价值存在重大不确定性时，经与基金托管人协商确认后，基金管理人应当暂停估值；</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个工作日内完成；季度报告应在季度结束之日起15个工作日内编制完毕并予以公告；中期报告在会计年度半年终了后两个月内编制完毕并予以公告；年度报告在会计年度结束后三个月内编制完毕并予以公告。基金合同生效不足2个月的，基金管理人可以不编制当期季度报告、中期报告或者年度报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w:t>
      </w:r>
      <w:r>
        <w:rPr>
          <w:rFonts w:ascii="宋体" w:hAnsi="宋体"/>
          <w:sz w:val="24"/>
        </w:rPr>
        <w:lastRenderedPageBreak/>
        <w:t>前就相关报表达成一致，基金管理人有权按照其编制的报表对外发布公告，基金托管人有权就相关情况报中国证监会备案。</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（六）基金份额持有人名册的保管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本协议适用中华人民共和国法律并从其解释。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w:t>
      </w:r>
      <w:r>
        <w:rPr>
          <w:rFonts w:ascii="宋体" w:hAnsi="宋体"/>
          <w:sz w:val="24"/>
        </w:rPr>
        <w:lastRenderedPageBreak/>
        <w:t>容不得与基金合同的规定有任何冲突。基金托管协议的变更报中国证监会核准或备案后生效。</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2、托管协议终止的情形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（4）发生法律法规、中国证监会或基金合同规定的其他终止事项。</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6" w:name="_Toc116553071"/>
      <w:r>
        <w:rPr>
          <w:rFonts w:ascii="Times New Roman" w:hAnsi="Times New Roman"/>
          <w:sz w:val="30"/>
        </w:rPr>
        <w:lastRenderedPageBreak/>
        <w:t>二十三、对基金份额持有人的服务</w:t>
      </w:r>
      <w:bookmarkEnd w:id="26"/>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和转换等业务。通过网上直销交易平台办理本基金的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（四）基金转换业务</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投资人也可登录本基金管理人网站，直接提出有关本基金的问题和建议。</w:t>
      </w:r>
    </w:p>
    <w:p w:rsidR="00C77ECD" w:rsidRDefault="006F5F7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7" w:name="_Toc116553072"/>
      <w:r>
        <w:rPr>
          <w:rFonts w:ascii="Times New Roman" w:hAnsi="Times New Roman"/>
          <w:sz w:val="30"/>
        </w:rPr>
        <w:lastRenderedPageBreak/>
        <w:t>二十四、其他应披露事项</w:t>
      </w:r>
      <w:bookmarkEnd w:id="27"/>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交银施罗德基金管理有限公司关于增聘交银施罗德定期支付双息平衡混合型证券投资基金基金经理的公告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2021-09-30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2021-10-11</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2021-10-11</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2021-10-15</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2021-10-15</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2021-10-26</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交银施罗德基金管理有限公司关于调整旗下部分开放式基金转换业务规则的公告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2021-11-30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交银施罗德基金管理有限公司关于调整瑞银证券有限责任公司销售旗下部分基金业务的公告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2021-12-17</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交银施罗德基金管理有限公司关于交银施罗德定期支付双息平衡混合型证券投资基金恢复大额申购（转换转入、定期定额投资）业务的公告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2021-12-28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2022-01-29</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交银施罗德基金管理有限公司关于旗下部分公开募集证券投资基金可投资北交所上市股票的风险提示性公告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2022-03-15</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交银施罗德基金管理有限公司关于增加上海钜派钰茂基金销售有限公司为旗下基金销售机构的公告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交银施罗德基金管理有限公司关于增加中邮证券有限责任公司为旗下基金销售机构的公告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23</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交银施罗德定期支付双息平衡混合型证券投资基金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C77ECD">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交银施罗德基金管理有限公司关于交银施罗德定期支付双息平衡混合型证券投资基金基金经理变更的公告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C77ECD" w:rsidRDefault="006F5F7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2022-09-08</w:t>
            </w:r>
          </w:p>
        </w:tc>
      </w:tr>
    </w:tbl>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8" w:name="_Toc116553073"/>
      <w:r>
        <w:rPr>
          <w:rFonts w:ascii="Times New Roman" w:hAnsi="Times New Roman"/>
          <w:sz w:val="30"/>
        </w:rPr>
        <w:lastRenderedPageBreak/>
        <w:t>二十五、招募说明书的存放及查阅方式</w:t>
      </w:r>
      <w:bookmarkEnd w:id="28"/>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6F5F77"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77ECD" w:rsidRDefault="006F5F77">
      <w:pPr>
        <w:pStyle w:val="1"/>
        <w:snapToGrid w:val="0"/>
        <w:spacing w:beforeLines="0" w:before="240" w:after="240"/>
        <w:rPr>
          <w:rFonts w:ascii="宋体" w:hAnsi="宋体"/>
          <w:szCs w:val="30"/>
        </w:rPr>
      </w:pPr>
      <w:bookmarkStart w:id="29" w:name="_Toc116553074"/>
      <w:r>
        <w:rPr>
          <w:rFonts w:ascii="Times New Roman" w:hAnsi="Times New Roman"/>
          <w:sz w:val="30"/>
        </w:rPr>
        <w:lastRenderedPageBreak/>
        <w:t>二十六、备查文件</w:t>
      </w:r>
      <w:bookmarkEnd w:id="29"/>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（一）中国证监会批准交银施罗德定期支付双息平衡混合型证券投资基金募集的文件</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（二）《交银施罗德定期支付双息平衡混合型证券投资基金基金合同》</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（三）《交银施罗德定期支付双息平衡混合型证券投资基金托管协议》</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C77ECD" w:rsidRDefault="006F5F7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（六）关于申请募集交银施罗德定期支付双息平衡混合型证券投资基金之法律意见书</w:t>
      </w:r>
    </w:p>
    <w:sectPr w:rsidR="00C77ECD">
      <w:footerReference w:type="default" r:id="rId17"/>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334" w:rsidRDefault="00231334">
      <w:r>
        <w:separator/>
      </w:r>
    </w:p>
  </w:endnote>
  <w:endnote w:type="continuationSeparator" w:id="0">
    <w:p w:rsidR="00231334" w:rsidRDefault="0023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CD" w:rsidRDefault="00FA6AF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CD" w:rsidRDefault="006F5F7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C74C9">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C77ECD" w:rsidRDefault="006F5F7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C74C9">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CD" w:rsidRDefault="00FA6AF8">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7ECD" w:rsidRDefault="006F5F7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C74C9">
                            <w:rPr>
                              <w:rFonts w:ascii="Times New Roman" w:hAnsi="Times New Roman"/>
                              <w:noProof/>
                              <w:kern w:val="0"/>
                              <w:sz w:val="18"/>
                              <w:szCs w:val="18"/>
                            </w:rPr>
                            <w:t>163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C77ECD" w:rsidRDefault="006F5F77">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C74C9">
                      <w:rPr>
                        <w:rFonts w:ascii="Times New Roman" w:hAnsi="Times New Roman"/>
                        <w:noProof/>
                        <w:kern w:val="0"/>
                        <w:sz w:val="18"/>
                        <w:szCs w:val="18"/>
                      </w:rPr>
                      <w:t>163</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334" w:rsidRDefault="00231334">
      <w:r>
        <w:separator/>
      </w:r>
    </w:p>
  </w:footnote>
  <w:footnote w:type="continuationSeparator" w:id="0">
    <w:p w:rsidR="00231334" w:rsidRDefault="00231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FA6AF8">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77ECD" w:rsidRDefault="006F5F77">
    <w:pPr>
      <w:pStyle w:val="a3"/>
      <w:jc w:val="right"/>
      <w:rPr>
        <w:rFonts w:ascii="宋体" w:hAnsi="宋体"/>
      </w:rPr>
    </w:pPr>
    <w:r>
      <w:rPr>
        <w:rFonts w:ascii="宋体" w:hAnsi="宋体" w:hint="eastAsia"/>
      </w:rPr>
      <w:t>交银施罗德定期支付双息平衡混合型证券投资基金(更新)招募说明书(2022年第2号)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CD" w:rsidRDefault="00C77ECD">
    <w:pPr>
      <w:pStyle w:val="10"/>
      <w:jc w:val="right"/>
    </w:pPr>
  </w:p>
  <w:p w:rsidR="00C77ECD" w:rsidRDefault="00C77ECD">
    <w:pPr>
      <w:pStyle w:val="10"/>
      <w:jc w:val="right"/>
    </w:pPr>
  </w:p>
  <w:p w:rsidR="00C77ECD" w:rsidRDefault="00C77ECD">
    <w:pPr>
      <w:pStyle w:val="a3"/>
      <w:jc w:val="right"/>
    </w:pPr>
  </w:p>
  <w:p w:rsidR="009E65D0" w:rsidRDefault="00FA6AF8">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77ECD" w:rsidRDefault="006F5F77">
    <w:pPr>
      <w:pStyle w:val="a3"/>
      <w:jc w:val="right"/>
      <w:rPr>
        <w:rFonts w:ascii="宋体" w:hAnsi="宋体"/>
      </w:rPr>
    </w:pPr>
    <w:r>
      <w:rPr>
        <w:rFonts w:ascii="宋体" w:hAnsi="宋体" w:hint="eastAsia"/>
      </w:rPr>
      <w:t>交银施罗德定期支付双息平衡混合型证券投资基金(更新)招募说明书(</w:t>
    </w:r>
    <w:r w:rsidR="00C52768">
      <w:rPr>
        <w:rFonts w:ascii="宋体" w:hAnsi="宋体" w:hint="eastAsia"/>
      </w:rPr>
      <w:t>202</w:t>
    </w:r>
    <w:r w:rsidR="00C52768">
      <w:rPr>
        <w:rFonts w:ascii="宋体" w:hAnsi="宋体"/>
      </w:rPr>
      <w:t>3</w:t>
    </w:r>
    <w:r>
      <w:rPr>
        <w:rFonts w:ascii="宋体" w:hAnsi="宋体" w:hint="eastAsia"/>
      </w:rPr>
      <w:t>年</w:t>
    </w:r>
    <w:r w:rsidR="00C52768">
      <w:rPr>
        <w:rFonts w:ascii="宋体" w:hAnsi="宋体" w:hint="eastAsia"/>
      </w:rPr>
      <w:t>第</w:t>
    </w:r>
    <w:r w:rsidR="00C52768">
      <w:rPr>
        <w:rFonts w:ascii="宋体" w:hAnsi="宋体"/>
      </w:rPr>
      <w:t>1</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CD" w:rsidRDefault="00C77ECD">
    <w:pPr>
      <w:pStyle w:val="a3"/>
      <w:jc w:val="right"/>
    </w:pPr>
  </w:p>
  <w:p w:rsidR="00C77ECD" w:rsidRDefault="00C77ECD">
    <w:pPr>
      <w:pStyle w:val="a3"/>
      <w:jc w:val="right"/>
    </w:pPr>
  </w:p>
  <w:p w:rsidR="00C77ECD" w:rsidRDefault="00C77ECD">
    <w:pPr>
      <w:pStyle w:val="a3"/>
      <w:jc w:val="right"/>
    </w:pPr>
  </w:p>
  <w:p w:rsidR="009E65D0" w:rsidRDefault="00FA6AF8">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77ECD" w:rsidRDefault="006F5F77">
    <w:pPr>
      <w:pStyle w:val="a3"/>
      <w:jc w:val="right"/>
      <w:rPr>
        <w:rFonts w:ascii="宋体" w:hAnsi="宋体"/>
      </w:rPr>
    </w:pPr>
    <w:r>
      <w:rPr>
        <w:rFonts w:ascii="宋体" w:hAnsi="宋体" w:hint="eastAsia"/>
      </w:rPr>
      <w:t>交银施罗德定期支付双息平衡混合型证券投资基金(更新)招募说明书(</w:t>
    </w:r>
    <w:r w:rsidR="00C52768">
      <w:rPr>
        <w:rFonts w:ascii="宋体" w:hAnsi="宋体" w:hint="eastAsia"/>
      </w:rPr>
      <w:t>202</w:t>
    </w:r>
    <w:r w:rsidR="00C52768">
      <w:rPr>
        <w:rFonts w:ascii="宋体" w:hAnsi="宋体"/>
      </w:rPr>
      <w:t>3</w:t>
    </w:r>
    <w:r>
      <w:rPr>
        <w:rFonts w:ascii="宋体" w:hAnsi="宋体" w:hint="eastAsia"/>
      </w:rPr>
      <w:t>年</w:t>
    </w:r>
    <w:r w:rsidR="00C52768">
      <w:rPr>
        <w:rFonts w:ascii="宋体" w:hAnsi="宋体" w:hint="eastAsia"/>
      </w:rPr>
      <w:t>第</w:t>
    </w:r>
    <w:r w:rsidR="00C52768">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1334"/>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85E84"/>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4C9"/>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5F7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07D3F"/>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2768"/>
    <w:rsid w:val="00C54DF3"/>
    <w:rsid w:val="00C610B6"/>
    <w:rsid w:val="00C6257F"/>
    <w:rsid w:val="00C63117"/>
    <w:rsid w:val="00C640C7"/>
    <w:rsid w:val="00C65784"/>
    <w:rsid w:val="00C67BDD"/>
    <w:rsid w:val="00C70F24"/>
    <w:rsid w:val="00C717F6"/>
    <w:rsid w:val="00C72FD7"/>
    <w:rsid w:val="00C77ECD"/>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53E2"/>
    <w:rsid w:val="00D1685E"/>
    <w:rsid w:val="00D171BA"/>
    <w:rsid w:val="00D25B74"/>
    <w:rsid w:val="00D25CA1"/>
    <w:rsid w:val="00D31474"/>
    <w:rsid w:val="00D32933"/>
    <w:rsid w:val="00D3579F"/>
    <w:rsid w:val="00D36B62"/>
    <w:rsid w:val="00D37BF5"/>
    <w:rsid w:val="00D421A7"/>
    <w:rsid w:val="00D428E0"/>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AF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D54D50-03FF-43C7-A483-D6232DF9A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164</Pages>
  <Words>16529</Words>
  <Characters>94221</Characters>
  <Application>Microsoft Office Word</Application>
  <DocSecurity>0</DocSecurity>
  <Lines>785</Lines>
  <Paragraphs>221</Paragraphs>
  <ScaleCrop>false</ScaleCrop>
  <Company>Microsoft</Company>
  <LinksUpToDate>false</LinksUpToDate>
  <CharactersWithSpaces>110529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戴梦菲</cp:lastModifiedBy>
  <cp:revision>4</cp:revision>
  <cp:lastPrinted>2013-02-18T03:10:00Z</cp:lastPrinted>
  <dcterms:created xsi:type="dcterms:W3CDTF">2023-07-07T10:51:00Z</dcterms:created>
  <dcterms:modified xsi:type="dcterms:W3CDTF">2023-07-10T07:01:00Z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