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AF9" w:rsidRDefault="00D70AF9">
      <w:pPr>
        <w:adjustRightInd w:val="0"/>
        <w:snapToGrid w:val="0"/>
        <w:spacing w:line="360" w:lineRule="auto"/>
        <w:rPr>
          <w:sz w:val="24"/>
        </w:rPr>
        <w:sectPr w:rsidR="00D70AF9">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rsidR="00D70AF9" w:rsidRDefault="00D1581D">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Pr>
          <w:noProof/>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D70AF9" w:rsidRDefault="00D70AF9">
      <w:pPr>
        <w:adjustRightInd w:val="0"/>
        <w:snapToGrid w:val="0"/>
        <w:spacing w:line="360" w:lineRule="auto"/>
        <w:jc w:val="center"/>
        <w:rPr>
          <w:rFonts w:cs="Arial"/>
          <w:sz w:val="24"/>
        </w:rPr>
      </w:pPr>
    </w:p>
    <w:p w:rsidR="00D70AF9" w:rsidRDefault="00D70AF9">
      <w:pPr>
        <w:adjustRightInd w:val="0"/>
        <w:snapToGrid w:val="0"/>
        <w:spacing w:line="360" w:lineRule="auto"/>
        <w:jc w:val="center"/>
        <w:rPr>
          <w:rFonts w:cs="Arial"/>
          <w:sz w:val="24"/>
        </w:rPr>
      </w:pPr>
    </w:p>
    <w:p w:rsidR="00D70AF9" w:rsidRDefault="00D70AF9">
      <w:pPr>
        <w:adjustRightInd w:val="0"/>
        <w:snapToGrid w:val="0"/>
        <w:spacing w:line="360" w:lineRule="auto"/>
        <w:jc w:val="center"/>
        <w:rPr>
          <w:rFonts w:ascii="黑体" w:hAnsi="黑体"/>
          <w:b/>
          <w:sz w:val="44"/>
        </w:rPr>
      </w:pPr>
    </w:p>
    <w:p w:rsidR="00D70AF9" w:rsidRDefault="00D1581D">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银施罗德启嘉混合型</w:t>
      </w:r>
      <w:proofErr w:type="gramEnd"/>
      <w:r>
        <w:rPr>
          <w:rFonts w:ascii="黑体" w:hAnsi="黑体" w:hint="eastAsia"/>
          <w:b/>
          <w:sz w:val="44"/>
        </w:rPr>
        <w:t>证券投资基金</w:t>
      </w:r>
    </w:p>
    <w:p w:rsidR="00D70AF9" w:rsidRDefault="00D1581D">
      <w:pPr>
        <w:adjustRightInd w:val="0"/>
        <w:snapToGrid w:val="0"/>
        <w:spacing w:line="360" w:lineRule="auto"/>
        <w:jc w:val="center"/>
        <w:rPr>
          <w:rFonts w:ascii="黑体" w:hAnsi="黑体"/>
          <w:b/>
          <w:sz w:val="44"/>
        </w:rPr>
      </w:pPr>
      <w:r>
        <w:rPr>
          <w:rFonts w:ascii="黑体" w:hAnsi="黑体" w:hint="eastAsia"/>
          <w:b/>
          <w:sz w:val="44"/>
        </w:rPr>
        <w:t>托管协议</w:t>
      </w:r>
    </w:p>
    <w:p w:rsidR="00D70AF9" w:rsidRDefault="00D70AF9">
      <w:pPr>
        <w:adjustRightInd w:val="0"/>
        <w:snapToGrid w:val="0"/>
        <w:spacing w:line="360" w:lineRule="auto"/>
        <w:jc w:val="center"/>
        <w:rPr>
          <w:rFonts w:ascii="黑体" w:hAnsi="黑体"/>
          <w:b/>
          <w:sz w:val="48"/>
        </w:rPr>
      </w:pPr>
    </w:p>
    <w:p w:rsidR="00D70AF9" w:rsidRDefault="00D70AF9">
      <w:pPr>
        <w:adjustRightInd w:val="0"/>
        <w:snapToGrid w:val="0"/>
        <w:spacing w:line="360" w:lineRule="auto"/>
        <w:jc w:val="center"/>
        <w:rPr>
          <w:rFonts w:ascii="黑体" w:hAnsi="黑体"/>
          <w:b/>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jc w:val="center"/>
        <w:rPr>
          <w:sz w:val="24"/>
        </w:rPr>
      </w:pPr>
    </w:p>
    <w:p w:rsidR="00D70AF9" w:rsidRDefault="00D70AF9">
      <w:pPr>
        <w:adjustRightInd w:val="0"/>
        <w:snapToGrid w:val="0"/>
        <w:spacing w:line="360" w:lineRule="auto"/>
        <w:rPr>
          <w:sz w:val="24"/>
        </w:rPr>
      </w:pPr>
    </w:p>
    <w:p w:rsidR="00D70AF9" w:rsidRDefault="00D1581D">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rsidR="00D70AF9" w:rsidRDefault="00D1581D">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rsidR="00D70AF9" w:rsidRDefault="00D70AF9">
      <w:pPr>
        <w:adjustRightInd w:val="0"/>
        <w:snapToGrid w:val="0"/>
        <w:spacing w:line="360" w:lineRule="auto"/>
        <w:ind w:firstLineChars="1075" w:firstLine="2258"/>
      </w:pPr>
    </w:p>
    <w:p w:rsidR="00D70AF9" w:rsidRDefault="00D1581D">
      <w:pPr>
        <w:adjustRightInd w:val="0"/>
        <w:snapToGrid w:val="0"/>
        <w:spacing w:line="360" w:lineRule="auto"/>
        <w:jc w:val="center"/>
        <w:rPr>
          <w:rFonts w:ascii="黑体" w:hAnsi="黑体"/>
          <w:sz w:val="30"/>
        </w:rPr>
      </w:pPr>
      <w:r>
        <w:rPr>
          <w:rFonts w:ascii="黑体" w:hAnsi="黑体" w:hint="eastAsia"/>
          <w:sz w:val="30"/>
        </w:rPr>
        <w:t>二零二三年七月</w:t>
      </w:r>
    </w:p>
    <w:p w:rsidR="00D70AF9" w:rsidRDefault="00D70AF9">
      <w:pPr>
        <w:adjustRightInd w:val="0"/>
        <w:snapToGrid w:val="0"/>
        <w:spacing w:line="360" w:lineRule="auto"/>
        <w:rPr>
          <w:sz w:val="24"/>
        </w:rPr>
      </w:pPr>
    </w:p>
    <w:p w:rsidR="00D70AF9" w:rsidRDefault="00D70AF9">
      <w:pPr>
        <w:spacing w:line="360" w:lineRule="auto"/>
        <w:jc w:val="center"/>
        <w:rPr>
          <w:rFonts w:ascii="宋体" w:hAnsi="宋体"/>
          <w:b/>
          <w:sz w:val="24"/>
        </w:rPr>
        <w:sectPr w:rsidR="00D70AF9">
          <w:type w:val="continuous"/>
          <w:pgSz w:w="11906" w:h="16838"/>
          <w:pgMar w:top="1418" w:right="1701" w:bottom="1418" w:left="1701" w:header="851" w:footer="992" w:gutter="0"/>
          <w:cols w:space="425"/>
          <w:docGrid w:type="lines" w:linePitch="312"/>
        </w:sectPr>
      </w:pPr>
    </w:p>
    <w:p w:rsidR="00D70AF9" w:rsidRDefault="00D1581D">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rsidR="00D70AF9" w:rsidRDefault="00D1581D">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hyperlink w:anchor="_Toc488938610" w:history="1">
        <w:r>
          <w:rPr>
            <w:rStyle w:val="af1"/>
            <w:rFonts w:ascii="宋体" w:hAnsi="宋体" w:hint="eastAsia"/>
          </w:rPr>
          <w:t>一、基金托管协议当事人</w:t>
        </w:r>
        <w:r>
          <w:tab/>
        </w:r>
        <w:r>
          <w:fldChar w:fldCharType="begin"/>
        </w:r>
        <w:r>
          <w:instrText xml:space="preserve"> PAGEREF _Toc488938610 \h </w:instrText>
        </w:r>
        <w:r>
          <w:fldChar w:fldCharType="separate"/>
        </w:r>
        <w:r>
          <w:t>3</w:t>
        </w:r>
        <w:r>
          <w:fldChar w:fldCharType="end"/>
        </w:r>
      </w:hyperlink>
    </w:p>
    <w:p w:rsidR="00D70AF9" w:rsidRDefault="00170E94">
      <w:pPr>
        <w:pStyle w:val="21"/>
        <w:tabs>
          <w:tab w:val="right" w:leader="dot" w:pos="8494"/>
        </w:tabs>
        <w:spacing w:line="360" w:lineRule="auto"/>
        <w:rPr>
          <w:rFonts w:asciiTheme="minorHAnsi" w:hAnsiTheme="minorHAnsi"/>
        </w:rPr>
      </w:pPr>
      <w:hyperlink w:anchor="_Toc488938611" w:history="1">
        <w:r w:rsidR="00D1581D">
          <w:rPr>
            <w:rStyle w:val="af1"/>
            <w:rFonts w:ascii="宋体" w:hAnsi="宋体" w:hint="eastAsia"/>
          </w:rPr>
          <w:t>二、基金托管协议的依据、目的和原则</w:t>
        </w:r>
        <w:r w:rsidR="00D1581D">
          <w:tab/>
        </w:r>
        <w:r w:rsidR="00D1581D">
          <w:fldChar w:fldCharType="begin"/>
        </w:r>
        <w:r w:rsidR="00D1581D">
          <w:instrText xml:space="preserve"> PAGEREF _Toc488938611 \h </w:instrText>
        </w:r>
        <w:r w:rsidR="00D1581D">
          <w:fldChar w:fldCharType="separate"/>
        </w:r>
        <w:r w:rsidR="00D1581D">
          <w:t>4</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2" w:history="1">
        <w:r w:rsidR="00D1581D">
          <w:rPr>
            <w:rStyle w:val="af1"/>
            <w:rFonts w:ascii="宋体" w:hAnsi="宋体" w:hint="eastAsia"/>
          </w:rPr>
          <w:t>三、基金托管人对基金管理人的业务监督和核查</w:t>
        </w:r>
        <w:r w:rsidR="00D1581D">
          <w:tab/>
        </w:r>
        <w:r w:rsidR="00D1581D">
          <w:fldChar w:fldCharType="begin"/>
        </w:r>
        <w:r w:rsidR="00D1581D">
          <w:instrText xml:space="preserve"> PAGEREF _Toc488938612 \h </w:instrText>
        </w:r>
        <w:r w:rsidR="00D1581D">
          <w:fldChar w:fldCharType="separate"/>
        </w:r>
        <w:r w:rsidR="00D1581D">
          <w:t>5</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3" w:history="1">
        <w:r w:rsidR="00D1581D">
          <w:rPr>
            <w:rStyle w:val="af1"/>
            <w:rFonts w:ascii="宋体" w:hAnsi="宋体" w:hint="eastAsia"/>
          </w:rPr>
          <w:t>四、基金管理人对基金托管人的业务核查</w:t>
        </w:r>
        <w:r w:rsidR="00D1581D">
          <w:tab/>
        </w:r>
        <w:r w:rsidR="00D1581D">
          <w:fldChar w:fldCharType="begin"/>
        </w:r>
        <w:r w:rsidR="00D1581D">
          <w:instrText xml:space="preserve"> PAGEREF _Toc488938613 \h </w:instrText>
        </w:r>
        <w:r w:rsidR="00D1581D">
          <w:fldChar w:fldCharType="separate"/>
        </w:r>
        <w:r w:rsidR="00D1581D">
          <w:t>16</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4" w:history="1">
        <w:r w:rsidR="00D1581D">
          <w:rPr>
            <w:rStyle w:val="af1"/>
            <w:rFonts w:ascii="宋体" w:hAnsi="宋体" w:hint="eastAsia"/>
          </w:rPr>
          <w:t>五、基金财产的保</w:t>
        </w:r>
        <w:bookmarkStart w:id="4" w:name="_Hlt433117871"/>
        <w:bookmarkStart w:id="5" w:name="_Hlt433117872"/>
        <w:r w:rsidR="00D1581D">
          <w:rPr>
            <w:rStyle w:val="af1"/>
            <w:rFonts w:ascii="宋体" w:hAnsi="宋体" w:hint="eastAsia"/>
          </w:rPr>
          <w:t>管</w:t>
        </w:r>
        <w:bookmarkEnd w:id="4"/>
        <w:bookmarkEnd w:id="5"/>
        <w:r w:rsidR="00D1581D">
          <w:tab/>
        </w:r>
        <w:r w:rsidR="00D1581D">
          <w:fldChar w:fldCharType="begin"/>
        </w:r>
        <w:r w:rsidR="00D1581D">
          <w:instrText xml:space="preserve"> PAGEREF _Toc488938614 \h </w:instrText>
        </w:r>
        <w:r w:rsidR="00D1581D">
          <w:fldChar w:fldCharType="separate"/>
        </w:r>
        <w:r w:rsidR="00D1581D">
          <w:t>17</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5" w:history="1">
        <w:r w:rsidR="00D1581D">
          <w:rPr>
            <w:rStyle w:val="af1"/>
            <w:rFonts w:ascii="宋体" w:hAnsi="宋体" w:hint="eastAsia"/>
          </w:rPr>
          <w:t>六、指令的发送、确认及执行</w:t>
        </w:r>
        <w:r w:rsidR="00D1581D">
          <w:tab/>
        </w:r>
        <w:r w:rsidR="00D1581D">
          <w:fldChar w:fldCharType="begin"/>
        </w:r>
        <w:r w:rsidR="00D1581D">
          <w:instrText xml:space="preserve"> PAGEREF _Toc488938615 \h </w:instrText>
        </w:r>
        <w:r w:rsidR="00D1581D">
          <w:fldChar w:fldCharType="separate"/>
        </w:r>
        <w:r w:rsidR="00D1581D">
          <w:t>21</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6" w:history="1">
        <w:r w:rsidR="00D1581D">
          <w:rPr>
            <w:rStyle w:val="af1"/>
            <w:rFonts w:ascii="宋体" w:hAnsi="宋体" w:hint="eastAsia"/>
          </w:rPr>
          <w:t>七、交易及清算交收安排</w:t>
        </w:r>
        <w:r w:rsidR="00D1581D">
          <w:tab/>
        </w:r>
        <w:r w:rsidR="00D1581D">
          <w:fldChar w:fldCharType="begin"/>
        </w:r>
        <w:r w:rsidR="00D1581D">
          <w:instrText xml:space="preserve"> PAGEREF _Toc488938616 \h </w:instrText>
        </w:r>
        <w:r w:rsidR="00D1581D">
          <w:fldChar w:fldCharType="separate"/>
        </w:r>
        <w:r w:rsidR="00D1581D">
          <w:t>26</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7" w:history="1">
        <w:r w:rsidR="00D1581D">
          <w:rPr>
            <w:rStyle w:val="af1"/>
            <w:rFonts w:ascii="宋体" w:hAnsi="宋体" w:hint="eastAsia"/>
          </w:rPr>
          <w:t>八、基金资产净值计算、估值和会计核算</w:t>
        </w:r>
        <w:r w:rsidR="00D1581D">
          <w:tab/>
        </w:r>
        <w:r w:rsidR="00D1581D">
          <w:fldChar w:fldCharType="begin"/>
        </w:r>
        <w:r w:rsidR="00D1581D">
          <w:instrText xml:space="preserve"> PAGEREF _Toc488938617 \h </w:instrText>
        </w:r>
        <w:r w:rsidR="00D1581D">
          <w:fldChar w:fldCharType="separate"/>
        </w:r>
        <w:r w:rsidR="00D1581D">
          <w:t>29</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8" w:history="1">
        <w:r w:rsidR="00D1581D">
          <w:rPr>
            <w:rStyle w:val="af1"/>
            <w:rFonts w:ascii="宋体" w:hAnsi="宋体" w:hint="eastAsia"/>
          </w:rPr>
          <w:t>九、基金收益分配</w:t>
        </w:r>
        <w:r w:rsidR="00D1581D">
          <w:tab/>
        </w:r>
        <w:r w:rsidR="00D1581D">
          <w:fldChar w:fldCharType="begin"/>
        </w:r>
        <w:r w:rsidR="00D1581D">
          <w:instrText xml:space="preserve"> PAGEREF _Toc488938618 \h </w:instrText>
        </w:r>
        <w:r w:rsidR="00D1581D">
          <w:fldChar w:fldCharType="separate"/>
        </w:r>
        <w:r w:rsidR="00D1581D">
          <w:t>31</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19" w:history="1">
        <w:r w:rsidR="00D1581D">
          <w:rPr>
            <w:rStyle w:val="af1"/>
            <w:rFonts w:ascii="宋体" w:hAnsi="宋体" w:hint="eastAsia"/>
          </w:rPr>
          <w:t>十、基金信息披露</w:t>
        </w:r>
        <w:r w:rsidR="00D1581D">
          <w:tab/>
        </w:r>
        <w:r w:rsidR="00D1581D">
          <w:fldChar w:fldCharType="begin"/>
        </w:r>
        <w:r w:rsidR="00D1581D">
          <w:instrText xml:space="preserve"> PAGEREF _Toc488938619 \h </w:instrText>
        </w:r>
        <w:r w:rsidR="00D1581D">
          <w:fldChar w:fldCharType="separate"/>
        </w:r>
        <w:r w:rsidR="00D1581D">
          <w:t>32</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0" w:history="1">
        <w:r w:rsidR="00D1581D">
          <w:rPr>
            <w:rStyle w:val="af1"/>
            <w:rFonts w:ascii="宋体" w:hAnsi="宋体" w:hint="eastAsia"/>
          </w:rPr>
          <w:t>十一、基金费用</w:t>
        </w:r>
        <w:r w:rsidR="00D1581D">
          <w:tab/>
        </w:r>
        <w:r w:rsidR="00D1581D">
          <w:fldChar w:fldCharType="begin"/>
        </w:r>
        <w:r w:rsidR="00D1581D">
          <w:instrText xml:space="preserve"> PAGEREF _Toc488938620 \h </w:instrText>
        </w:r>
        <w:r w:rsidR="00D1581D">
          <w:fldChar w:fldCharType="separate"/>
        </w:r>
        <w:r w:rsidR="00D1581D">
          <w:t>34</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1" w:history="1">
        <w:r w:rsidR="00D1581D">
          <w:rPr>
            <w:rStyle w:val="af1"/>
            <w:rFonts w:ascii="宋体" w:hAnsi="宋体" w:hint="eastAsia"/>
          </w:rPr>
          <w:t>十二、基金份额持有人名册的保管</w:t>
        </w:r>
        <w:r w:rsidR="00D1581D">
          <w:tab/>
        </w:r>
        <w:r w:rsidR="00D1581D">
          <w:fldChar w:fldCharType="begin"/>
        </w:r>
        <w:r w:rsidR="00D1581D">
          <w:instrText xml:space="preserve"> PAGEREF _Toc488938621 \h </w:instrText>
        </w:r>
        <w:r w:rsidR="00D1581D">
          <w:fldChar w:fldCharType="separate"/>
        </w:r>
        <w:r w:rsidR="00D1581D">
          <w:t>35</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2" w:history="1">
        <w:r w:rsidR="00D1581D">
          <w:rPr>
            <w:rStyle w:val="af1"/>
            <w:rFonts w:ascii="宋体" w:hAnsi="宋体" w:hint="eastAsia"/>
          </w:rPr>
          <w:t>十三、基金有关文件档案的保存</w:t>
        </w:r>
        <w:r w:rsidR="00D1581D">
          <w:tab/>
        </w:r>
        <w:r w:rsidR="00D1581D">
          <w:fldChar w:fldCharType="begin"/>
        </w:r>
        <w:r w:rsidR="00D1581D">
          <w:instrText xml:space="preserve"> PAGEREF _Toc488938622 \h </w:instrText>
        </w:r>
        <w:r w:rsidR="00D1581D">
          <w:fldChar w:fldCharType="separate"/>
        </w:r>
        <w:r w:rsidR="00D1581D">
          <w:t>36</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3" w:history="1">
        <w:r w:rsidR="00D1581D">
          <w:rPr>
            <w:rStyle w:val="af1"/>
            <w:rFonts w:ascii="宋体" w:hAnsi="宋体" w:hint="eastAsia"/>
          </w:rPr>
          <w:t>十四、基金管理人和基金托管人的更换</w:t>
        </w:r>
        <w:r w:rsidR="00D1581D">
          <w:tab/>
        </w:r>
        <w:r w:rsidR="00D1581D">
          <w:fldChar w:fldCharType="begin"/>
        </w:r>
        <w:r w:rsidR="00D1581D">
          <w:instrText xml:space="preserve"> PAGEREF _Toc488938623 \h </w:instrText>
        </w:r>
        <w:r w:rsidR="00D1581D">
          <w:fldChar w:fldCharType="separate"/>
        </w:r>
        <w:r w:rsidR="00D1581D">
          <w:t>37</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4" w:history="1">
        <w:r w:rsidR="00D1581D">
          <w:rPr>
            <w:rStyle w:val="af1"/>
            <w:rFonts w:ascii="宋体" w:hAnsi="宋体" w:hint="eastAsia"/>
          </w:rPr>
          <w:t>十五、禁止行为</w:t>
        </w:r>
        <w:r w:rsidR="00D1581D">
          <w:tab/>
        </w:r>
        <w:r w:rsidR="00D1581D">
          <w:fldChar w:fldCharType="begin"/>
        </w:r>
        <w:r w:rsidR="00D1581D">
          <w:instrText xml:space="preserve"> PAGEREF _Toc488938624 \h </w:instrText>
        </w:r>
        <w:r w:rsidR="00D1581D">
          <w:fldChar w:fldCharType="separate"/>
        </w:r>
        <w:r w:rsidR="00D1581D">
          <w:t>38</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5" w:history="1">
        <w:r w:rsidR="00D1581D">
          <w:rPr>
            <w:rStyle w:val="af1"/>
            <w:rFonts w:ascii="宋体" w:hAnsi="宋体" w:hint="eastAsia"/>
          </w:rPr>
          <w:t>十六、托管协议的变更、终止与基金财产的清算</w:t>
        </w:r>
        <w:r w:rsidR="00D1581D">
          <w:tab/>
        </w:r>
        <w:r w:rsidR="00D1581D">
          <w:fldChar w:fldCharType="begin"/>
        </w:r>
        <w:r w:rsidR="00D1581D">
          <w:instrText xml:space="preserve"> PAGEREF _Toc488938625 \h </w:instrText>
        </w:r>
        <w:r w:rsidR="00D1581D">
          <w:fldChar w:fldCharType="separate"/>
        </w:r>
        <w:r w:rsidR="00D1581D">
          <w:t>39</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6" w:history="1">
        <w:r w:rsidR="00D1581D">
          <w:rPr>
            <w:rStyle w:val="af1"/>
            <w:rFonts w:ascii="宋体" w:hAnsi="宋体" w:hint="eastAsia"/>
          </w:rPr>
          <w:t>十七、违约责任</w:t>
        </w:r>
        <w:r w:rsidR="00D1581D">
          <w:tab/>
        </w:r>
        <w:r w:rsidR="00D1581D">
          <w:fldChar w:fldCharType="begin"/>
        </w:r>
        <w:r w:rsidR="00D1581D">
          <w:instrText xml:space="preserve"> PAGEREF _Toc488938626 \h </w:instrText>
        </w:r>
        <w:r w:rsidR="00D1581D">
          <w:fldChar w:fldCharType="separate"/>
        </w:r>
        <w:r w:rsidR="00D1581D">
          <w:t>40</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7" w:history="1">
        <w:r w:rsidR="00D1581D">
          <w:rPr>
            <w:rStyle w:val="af1"/>
            <w:rFonts w:ascii="宋体" w:hAnsi="宋体" w:hint="eastAsia"/>
          </w:rPr>
          <w:t>十八、争议解决方式</w:t>
        </w:r>
        <w:r w:rsidR="00D1581D">
          <w:tab/>
        </w:r>
        <w:r w:rsidR="00D1581D">
          <w:fldChar w:fldCharType="begin"/>
        </w:r>
        <w:r w:rsidR="00D1581D">
          <w:instrText xml:space="preserve"> PAGEREF _Toc488938627 \h </w:instrText>
        </w:r>
        <w:r w:rsidR="00D1581D">
          <w:fldChar w:fldCharType="separate"/>
        </w:r>
        <w:r w:rsidR="00D1581D">
          <w:t>41</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8" w:history="1">
        <w:r w:rsidR="00D1581D">
          <w:rPr>
            <w:rStyle w:val="af1"/>
            <w:rFonts w:ascii="宋体" w:hAnsi="宋体" w:hint="eastAsia"/>
          </w:rPr>
          <w:t>十九、托管协议的效力</w:t>
        </w:r>
        <w:r w:rsidR="00D1581D">
          <w:tab/>
        </w:r>
        <w:r w:rsidR="00D1581D">
          <w:fldChar w:fldCharType="begin"/>
        </w:r>
        <w:r w:rsidR="00D1581D">
          <w:instrText xml:space="preserve"> PAGEREF _Toc488938628 \h </w:instrText>
        </w:r>
        <w:r w:rsidR="00D1581D">
          <w:fldChar w:fldCharType="separate"/>
        </w:r>
        <w:r w:rsidR="00D1581D">
          <w:t>42</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29" w:history="1">
        <w:r w:rsidR="00D1581D">
          <w:rPr>
            <w:rStyle w:val="af1"/>
            <w:rFonts w:ascii="宋体" w:hAnsi="宋体" w:hint="eastAsia"/>
          </w:rPr>
          <w:t>二十、其他事项</w:t>
        </w:r>
        <w:r w:rsidR="00D1581D">
          <w:tab/>
        </w:r>
        <w:r w:rsidR="00D1581D">
          <w:fldChar w:fldCharType="begin"/>
        </w:r>
        <w:r w:rsidR="00D1581D">
          <w:instrText xml:space="preserve"> PAGEREF _Toc488938629 \h </w:instrText>
        </w:r>
        <w:r w:rsidR="00D1581D">
          <w:fldChar w:fldCharType="separate"/>
        </w:r>
        <w:r w:rsidR="00D1581D">
          <w:t>43</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30" w:history="1">
        <w:r w:rsidR="00D1581D">
          <w:rPr>
            <w:rStyle w:val="af1"/>
            <w:rFonts w:ascii="宋体" w:hAnsi="宋体" w:hint="eastAsia"/>
          </w:rPr>
          <w:t>二十一、托管协议的签订</w:t>
        </w:r>
        <w:r w:rsidR="00D1581D">
          <w:tab/>
        </w:r>
        <w:r w:rsidR="00D1581D">
          <w:fldChar w:fldCharType="begin"/>
        </w:r>
        <w:r w:rsidR="00D1581D">
          <w:instrText xml:space="preserve"> PAGEREF _Toc488938630 \h </w:instrText>
        </w:r>
        <w:r w:rsidR="00D1581D">
          <w:fldChar w:fldCharType="separate"/>
        </w:r>
        <w:r w:rsidR="00D1581D">
          <w:t>44</w:t>
        </w:r>
        <w:r w:rsidR="00D1581D">
          <w:fldChar w:fldCharType="end"/>
        </w:r>
      </w:hyperlink>
    </w:p>
    <w:p w:rsidR="00D70AF9" w:rsidRDefault="00170E94">
      <w:pPr>
        <w:pStyle w:val="21"/>
        <w:tabs>
          <w:tab w:val="right" w:leader="dot" w:pos="8494"/>
        </w:tabs>
        <w:spacing w:line="360" w:lineRule="auto"/>
        <w:rPr>
          <w:rFonts w:asciiTheme="minorHAnsi" w:hAnsiTheme="minorHAnsi"/>
        </w:rPr>
      </w:pPr>
      <w:hyperlink w:anchor="_Toc488938631" w:history="1">
        <w:r w:rsidR="00D1581D">
          <w:rPr>
            <w:rStyle w:val="af1"/>
            <w:rFonts w:ascii="宋体" w:hAnsi="宋体" w:hint="eastAsia"/>
          </w:rPr>
          <w:t>附件：托管银行证券资金结算规定</w:t>
        </w:r>
        <w:r w:rsidR="00D1581D">
          <w:tab/>
        </w:r>
        <w:r w:rsidR="00D1581D">
          <w:fldChar w:fldCharType="begin"/>
        </w:r>
        <w:r w:rsidR="00D1581D">
          <w:instrText xml:space="preserve"> PAGEREF _Toc488938631 \h </w:instrText>
        </w:r>
        <w:r w:rsidR="00D1581D">
          <w:fldChar w:fldCharType="separate"/>
        </w:r>
        <w:r w:rsidR="00D1581D">
          <w:t>45</w:t>
        </w:r>
        <w:r w:rsidR="00D1581D">
          <w:fldChar w:fldCharType="end"/>
        </w:r>
      </w:hyperlink>
    </w:p>
    <w:p w:rsidR="00D70AF9" w:rsidRDefault="00D1581D">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rsidR="00D70AF9" w:rsidRDefault="00D1581D">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系一家依照中国法律合法成立并有效存续的有限责任公司，按照相关法律法规的规定具备担任基金管理人的资格和能力，拟募集发行</w:t>
      </w:r>
      <w:r>
        <w:rPr>
          <w:rFonts w:ascii="宋体" w:hAnsi="宋体" w:cs="Arial" w:hint="eastAsia"/>
          <w:kern w:val="0"/>
          <w:sz w:val="24"/>
        </w:rPr>
        <w:t>交银施罗德</w:t>
      </w:r>
      <w:proofErr w:type="gramStart"/>
      <w:r>
        <w:rPr>
          <w:rFonts w:ascii="宋体" w:hAnsi="宋体" w:cs="Arial" w:hint="eastAsia"/>
          <w:kern w:val="0"/>
          <w:sz w:val="24"/>
        </w:rPr>
        <w:t>启嘉混合型</w:t>
      </w:r>
      <w:proofErr w:type="gramEnd"/>
      <w:r>
        <w:rPr>
          <w:rFonts w:ascii="宋体" w:hAnsi="宋体" w:cs="Arial" w:hint="eastAsia"/>
          <w:kern w:val="0"/>
          <w:sz w:val="24"/>
        </w:rPr>
        <w:t>证券投资基金</w:t>
      </w:r>
      <w:r>
        <w:rPr>
          <w:rFonts w:ascii="宋体" w:hAnsi="宋体" w:hint="eastAsia"/>
          <w:kern w:val="0"/>
          <w:sz w:val="24"/>
        </w:rPr>
        <w:t>；</w:t>
      </w:r>
    </w:p>
    <w:p w:rsidR="00D70AF9" w:rsidRDefault="00D1581D">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rsidR="00D70AF9" w:rsidRDefault="00D1581D">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Pr>
          <w:rFonts w:ascii="宋体" w:hAnsi="宋体" w:cs="Arial" w:hint="eastAsia"/>
          <w:kern w:val="0"/>
          <w:sz w:val="24"/>
        </w:rPr>
        <w:t>交银施罗德</w:t>
      </w:r>
      <w:proofErr w:type="gramStart"/>
      <w:r>
        <w:rPr>
          <w:rFonts w:ascii="宋体" w:hAnsi="宋体" w:cs="Arial" w:hint="eastAsia"/>
          <w:kern w:val="0"/>
          <w:sz w:val="24"/>
        </w:rPr>
        <w:t>启嘉混合型</w:t>
      </w:r>
      <w:proofErr w:type="gramEnd"/>
      <w:r>
        <w:rPr>
          <w:rFonts w:ascii="宋体" w:hAnsi="宋体" w:cs="Arial" w:hint="eastAsia"/>
          <w:kern w:val="0"/>
          <w:sz w:val="24"/>
        </w:rPr>
        <w:t>证券投资基金</w:t>
      </w:r>
      <w:r>
        <w:rPr>
          <w:rFonts w:ascii="宋体" w:hAnsi="宋体" w:hint="eastAsia"/>
          <w:kern w:val="0"/>
          <w:sz w:val="24"/>
        </w:rPr>
        <w:t>的基金管理人，招商银行股份有限公司拟担任</w:t>
      </w:r>
      <w:r>
        <w:rPr>
          <w:rFonts w:ascii="宋体" w:hAnsi="宋体" w:cs="Arial" w:hint="eastAsia"/>
          <w:kern w:val="0"/>
          <w:sz w:val="24"/>
        </w:rPr>
        <w:t>交银施罗德</w:t>
      </w:r>
      <w:proofErr w:type="gramStart"/>
      <w:r>
        <w:rPr>
          <w:rFonts w:ascii="宋体" w:hAnsi="宋体" w:cs="Arial" w:hint="eastAsia"/>
          <w:kern w:val="0"/>
          <w:sz w:val="24"/>
        </w:rPr>
        <w:t>启嘉混合型</w:t>
      </w:r>
      <w:proofErr w:type="gramEnd"/>
      <w:r>
        <w:rPr>
          <w:rFonts w:ascii="宋体" w:hAnsi="宋体" w:cs="Arial" w:hint="eastAsia"/>
          <w:kern w:val="0"/>
          <w:sz w:val="24"/>
        </w:rPr>
        <w:t>证券投资基金</w:t>
      </w:r>
      <w:r>
        <w:rPr>
          <w:rFonts w:ascii="宋体" w:hAnsi="宋体" w:hint="eastAsia"/>
          <w:kern w:val="0"/>
          <w:sz w:val="24"/>
        </w:rPr>
        <w:t>的基金托管人；</w:t>
      </w:r>
    </w:p>
    <w:p w:rsidR="00D70AF9" w:rsidRDefault="00D1581D">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Pr>
          <w:rFonts w:ascii="宋体" w:hAnsi="宋体" w:cs="Arial" w:hint="eastAsia"/>
          <w:kern w:val="0"/>
          <w:sz w:val="24"/>
        </w:rPr>
        <w:t>交</w:t>
      </w:r>
      <w:proofErr w:type="gramEnd"/>
      <w:r>
        <w:rPr>
          <w:rFonts w:ascii="宋体" w:hAnsi="宋体" w:cs="Arial" w:hint="eastAsia"/>
          <w:kern w:val="0"/>
          <w:sz w:val="24"/>
        </w:rPr>
        <w:t>银施罗德</w:t>
      </w:r>
      <w:proofErr w:type="gramStart"/>
      <w:r>
        <w:rPr>
          <w:rFonts w:ascii="宋体" w:hAnsi="宋体" w:cs="Arial" w:hint="eastAsia"/>
          <w:kern w:val="0"/>
          <w:sz w:val="24"/>
        </w:rPr>
        <w:t>启嘉混合型</w:t>
      </w:r>
      <w:proofErr w:type="gramEnd"/>
      <w:r>
        <w:rPr>
          <w:rFonts w:ascii="宋体" w:hAnsi="宋体" w:cs="Arial" w:hint="eastAsia"/>
          <w:kern w:val="0"/>
          <w:sz w:val="24"/>
        </w:rPr>
        <w:t>证券投资基金（以下简称“本基金”或“基金”）</w:t>
      </w:r>
      <w:r>
        <w:rPr>
          <w:rFonts w:ascii="宋体" w:hAnsi="宋体" w:hint="eastAsia"/>
          <w:kern w:val="0"/>
          <w:sz w:val="24"/>
        </w:rPr>
        <w:t>的基金管理人和基金托管人之间的权利义务关系，特制订本托管协议；</w:t>
      </w:r>
    </w:p>
    <w:p w:rsidR="00D70AF9" w:rsidRDefault="00D1581D">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Pr>
          <w:rFonts w:ascii="宋体" w:hAnsi="宋体" w:cs="Arial" w:hint="eastAsia"/>
          <w:kern w:val="0"/>
          <w:sz w:val="24"/>
        </w:rPr>
        <w:t>交银施罗德启嘉混合型证券投资基金</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rsidR="00D70AF9" w:rsidRDefault="00D1581D">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348082029"/>
      <w:bookmarkStart w:id="7" w:name="_Toc384992691"/>
      <w:bookmarkStart w:id="8" w:name="_Toc488938610"/>
      <w:r>
        <w:rPr>
          <w:rFonts w:ascii="宋体" w:hAnsi="宋体" w:hint="eastAsia"/>
          <w:sz w:val="24"/>
        </w:rPr>
        <w:lastRenderedPageBreak/>
        <w:t>一、基金托管协议当事人</w:t>
      </w:r>
      <w:bookmarkEnd w:id="6"/>
      <w:bookmarkEnd w:id="7"/>
      <w:bookmarkEnd w:id="8"/>
    </w:p>
    <w:p w:rsidR="00D70AF9" w:rsidRDefault="00D1581D">
      <w:pPr>
        <w:spacing w:line="360" w:lineRule="auto"/>
        <w:ind w:firstLineChars="200" w:firstLine="480"/>
        <w:outlineLvl w:val="1"/>
        <w:rPr>
          <w:rFonts w:ascii="宋体" w:hAnsi="宋体"/>
          <w:sz w:val="24"/>
        </w:rPr>
      </w:pPr>
      <w:r>
        <w:rPr>
          <w:rFonts w:ascii="宋体" w:hAnsi="宋体" w:hint="eastAsia"/>
          <w:sz w:val="24"/>
        </w:rPr>
        <w:t>（一）基金管理人</w:t>
      </w:r>
    </w:p>
    <w:p w:rsidR="00D70AF9" w:rsidRDefault="00D1581D">
      <w:pPr>
        <w:spacing w:line="360" w:lineRule="auto"/>
        <w:ind w:firstLineChars="200" w:firstLine="480"/>
        <w:rPr>
          <w:rFonts w:ascii="宋体" w:hAnsi="宋体"/>
          <w:sz w:val="24"/>
        </w:rPr>
      </w:pPr>
      <w:r>
        <w:rPr>
          <w:rFonts w:ascii="宋体" w:hAnsi="宋体" w:hint="eastAsia"/>
          <w:sz w:val="24"/>
        </w:rPr>
        <w:t>名称：交银施罗德基金管理有限公司</w:t>
      </w:r>
    </w:p>
    <w:p w:rsidR="00D70AF9" w:rsidRDefault="00D1581D">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rsidR="00D70AF9" w:rsidRDefault="00D1581D">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rsidR="00D70AF9" w:rsidRDefault="00D1581D">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rsidR="00D70AF9" w:rsidRDefault="00D1581D">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szCs w:val="21"/>
        </w:rPr>
        <w:t>阮红</w:t>
      </w:r>
    </w:p>
    <w:p w:rsidR="00D70AF9" w:rsidRDefault="00D1581D">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D70AF9" w:rsidRDefault="00D1581D">
      <w:pPr>
        <w:spacing w:line="360" w:lineRule="auto"/>
        <w:ind w:firstLineChars="200" w:firstLine="480"/>
        <w:rPr>
          <w:rFonts w:ascii="宋体" w:hAnsi="宋体"/>
          <w:sz w:val="24"/>
        </w:rPr>
      </w:pPr>
      <w:r>
        <w:rPr>
          <w:rFonts w:ascii="宋体" w:hAnsi="宋体" w:hint="eastAsia"/>
          <w:sz w:val="24"/>
        </w:rPr>
        <w:t>批准设立机关：中国证券监督管理委员会</w:t>
      </w:r>
    </w:p>
    <w:p w:rsidR="00D70AF9" w:rsidRDefault="00D1581D">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rsidR="00D70AF9" w:rsidRDefault="00D1581D">
      <w:pPr>
        <w:spacing w:line="360" w:lineRule="auto"/>
        <w:ind w:firstLineChars="200" w:firstLine="480"/>
        <w:rPr>
          <w:rFonts w:ascii="宋体" w:hAnsi="宋体"/>
          <w:sz w:val="24"/>
        </w:rPr>
      </w:pPr>
      <w:r>
        <w:rPr>
          <w:rFonts w:ascii="宋体" w:hAnsi="宋体" w:hint="eastAsia"/>
          <w:sz w:val="24"/>
        </w:rPr>
        <w:t>组织形式：有限责任公司</w:t>
      </w:r>
    </w:p>
    <w:p w:rsidR="00D70AF9" w:rsidRDefault="00D1581D">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rsidR="00D70AF9" w:rsidRDefault="00D1581D">
      <w:pPr>
        <w:spacing w:line="360" w:lineRule="auto"/>
        <w:ind w:firstLineChars="200" w:firstLine="480"/>
        <w:rPr>
          <w:rFonts w:ascii="宋体" w:hAnsi="宋体"/>
          <w:sz w:val="24"/>
        </w:rPr>
      </w:pPr>
      <w:r>
        <w:rPr>
          <w:rFonts w:ascii="宋体" w:hAnsi="宋体" w:hint="eastAsia"/>
          <w:sz w:val="24"/>
        </w:rPr>
        <w:t>存续期间：持续经营</w:t>
      </w:r>
    </w:p>
    <w:p w:rsidR="00D70AF9" w:rsidRDefault="00D1581D">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rsidR="00D70AF9" w:rsidRDefault="00D1581D">
      <w:pPr>
        <w:spacing w:line="360" w:lineRule="auto"/>
        <w:ind w:firstLineChars="200" w:firstLine="480"/>
        <w:outlineLvl w:val="1"/>
        <w:rPr>
          <w:rFonts w:ascii="宋体" w:hAnsi="宋体"/>
          <w:sz w:val="24"/>
        </w:rPr>
      </w:pPr>
      <w:r>
        <w:rPr>
          <w:rFonts w:ascii="宋体" w:hAnsi="宋体" w:hint="eastAsia"/>
          <w:sz w:val="24"/>
        </w:rPr>
        <w:t>（二）基金托管人</w:t>
      </w:r>
    </w:p>
    <w:p w:rsidR="00D70AF9" w:rsidRDefault="00D1581D">
      <w:pPr>
        <w:spacing w:line="360" w:lineRule="auto"/>
        <w:ind w:firstLineChars="200" w:firstLine="480"/>
        <w:rPr>
          <w:rFonts w:ascii="宋体" w:hAnsi="宋体"/>
          <w:sz w:val="24"/>
        </w:rPr>
      </w:pPr>
      <w:r>
        <w:rPr>
          <w:rFonts w:ascii="宋体" w:hAnsi="宋体" w:hint="eastAsia"/>
          <w:sz w:val="24"/>
        </w:rPr>
        <w:t>名称：招商银行股份有限公司</w:t>
      </w:r>
    </w:p>
    <w:p w:rsidR="00D70AF9" w:rsidRDefault="00D1581D">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rsidR="00D70AF9" w:rsidRDefault="00D1581D">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rsidR="00D70AF9" w:rsidRDefault="00D1581D">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rsidR="00D70AF9" w:rsidRDefault="00D1581D">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rsidR="00D70AF9" w:rsidRDefault="00D1581D">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rsidR="00D70AF9" w:rsidRDefault="00D1581D">
      <w:pPr>
        <w:spacing w:line="360" w:lineRule="auto"/>
        <w:ind w:firstLineChars="200" w:firstLine="480"/>
        <w:rPr>
          <w:rFonts w:ascii="宋体" w:hAnsi="宋体"/>
          <w:bCs/>
          <w:sz w:val="24"/>
        </w:rPr>
      </w:pPr>
      <w:r>
        <w:rPr>
          <w:rFonts w:ascii="宋体" w:hAnsi="宋体" w:hint="eastAsia"/>
          <w:bCs/>
          <w:sz w:val="24"/>
        </w:rPr>
        <w:t>批准设立机关和批准设立文号：中国人民银行银复字（</w:t>
      </w:r>
      <w:r>
        <w:rPr>
          <w:rFonts w:ascii="宋体" w:hAnsi="宋体"/>
          <w:bCs/>
          <w:sz w:val="24"/>
        </w:rPr>
        <w:t>1986</w:t>
      </w:r>
      <w:r>
        <w:rPr>
          <w:rFonts w:ascii="宋体" w:hAnsi="宋体" w:hint="eastAsia"/>
          <w:bCs/>
          <w:sz w:val="24"/>
        </w:rPr>
        <w:t>）</w:t>
      </w:r>
      <w:r>
        <w:rPr>
          <w:rFonts w:ascii="宋体" w:hAnsi="宋体"/>
          <w:bCs/>
          <w:sz w:val="24"/>
        </w:rPr>
        <w:t>175</w:t>
      </w:r>
      <w:r>
        <w:rPr>
          <w:rFonts w:ascii="宋体" w:hAnsi="宋体" w:hint="eastAsia"/>
          <w:bCs/>
          <w:sz w:val="24"/>
        </w:rPr>
        <w:t>号文、银复（</w:t>
      </w:r>
      <w:r>
        <w:rPr>
          <w:rFonts w:ascii="宋体" w:hAnsi="宋体"/>
          <w:bCs/>
          <w:sz w:val="24"/>
        </w:rPr>
        <w:t>1987</w:t>
      </w:r>
      <w:r>
        <w:rPr>
          <w:rFonts w:ascii="宋体" w:hAnsi="宋体" w:hint="eastAsia"/>
          <w:bCs/>
          <w:sz w:val="24"/>
        </w:rPr>
        <w:t>）</w:t>
      </w:r>
      <w:r>
        <w:rPr>
          <w:rFonts w:ascii="宋体" w:hAnsi="宋体"/>
          <w:bCs/>
          <w:sz w:val="24"/>
        </w:rPr>
        <w:t>86</w:t>
      </w:r>
      <w:r>
        <w:rPr>
          <w:rFonts w:ascii="宋体" w:hAnsi="宋体" w:hint="eastAsia"/>
          <w:bCs/>
          <w:sz w:val="24"/>
        </w:rPr>
        <w:t>号文</w:t>
      </w:r>
    </w:p>
    <w:p w:rsidR="00D70AF9" w:rsidRDefault="00D1581D">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rsidR="00D70AF9" w:rsidRDefault="00D1581D">
      <w:pPr>
        <w:spacing w:line="360" w:lineRule="auto"/>
        <w:ind w:firstLineChars="200" w:firstLine="480"/>
        <w:rPr>
          <w:rFonts w:ascii="宋体" w:hAnsi="宋体"/>
          <w:sz w:val="24"/>
        </w:rPr>
      </w:pPr>
      <w:r>
        <w:rPr>
          <w:rFonts w:ascii="宋体" w:hAnsi="宋体" w:hint="eastAsia"/>
          <w:sz w:val="24"/>
        </w:rPr>
        <w:t>组织形式：股份有限公司</w:t>
      </w:r>
    </w:p>
    <w:p w:rsidR="00D70AF9" w:rsidRDefault="00D1581D">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rsidR="00D70AF9" w:rsidRDefault="00D1581D">
      <w:pPr>
        <w:spacing w:line="360" w:lineRule="auto"/>
        <w:ind w:firstLineChars="200" w:firstLine="480"/>
        <w:rPr>
          <w:rFonts w:ascii="宋体" w:hAnsi="宋体"/>
          <w:sz w:val="24"/>
        </w:rPr>
      </w:pPr>
      <w:r>
        <w:rPr>
          <w:rFonts w:ascii="宋体" w:hAnsi="宋体" w:hint="eastAsia"/>
          <w:sz w:val="24"/>
        </w:rPr>
        <w:t>存续期间：持续经营</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348082030"/>
      <w:bookmarkStart w:id="10" w:name="_Toc384992692"/>
      <w:bookmarkStart w:id="11" w:name="_Toc488938611"/>
      <w:r>
        <w:rPr>
          <w:rFonts w:ascii="宋体" w:hAnsi="宋体" w:hint="eastAsia"/>
          <w:sz w:val="24"/>
        </w:rPr>
        <w:lastRenderedPageBreak/>
        <w:t>二、基金托管协议的依据、目的和原则</w:t>
      </w:r>
      <w:bookmarkEnd w:id="9"/>
      <w:bookmarkEnd w:id="10"/>
      <w:bookmarkEnd w:id="11"/>
    </w:p>
    <w:p w:rsidR="00D70AF9" w:rsidRDefault="00D1581D">
      <w:pPr>
        <w:spacing w:line="360" w:lineRule="auto"/>
        <w:ind w:firstLineChars="200" w:firstLine="480"/>
        <w:outlineLvl w:val="1"/>
        <w:rPr>
          <w:rFonts w:ascii="宋体" w:hAnsi="宋体"/>
          <w:sz w:val="24"/>
        </w:rPr>
      </w:pPr>
      <w:r>
        <w:rPr>
          <w:rFonts w:ascii="宋体" w:hAnsi="宋体" w:hint="eastAsia"/>
          <w:sz w:val="24"/>
        </w:rPr>
        <w:t>（一）订立托管协议的依据</w:t>
      </w:r>
    </w:p>
    <w:p w:rsidR="00D70AF9" w:rsidRDefault="00D1581D">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Pr>
          <w:rFonts w:ascii="宋体" w:hAnsi="宋体" w:hint="eastAsia"/>
          <w:bCs/>
          <w:sz w:val="24"/>
        </w:rPr>
        <w:t>《公开募集开放式证券投资基金流动性风险管理规定》</w:t>
      </w:r>
      <w:r>
        <w:rPr>
          <w:rFonts w:ascii="宋体" w:hAnsi="宋体" w:hint="eastAsia"/>
          <w:sz w:val="24"/>
        </w:rPr>
        <w:t>等有关法律法规、基金合同及其他有关规定制订。</w:t>
      </w:r>
    </w:p>
    <w:p w:rsidR="00D70AF9" w:rsidRDefault="00D1581D">
      <w:pPr>
        <w:spacing w:line="360" w:lineRule="auto"/>
        <w:ind w:firstLineChars="200" w:firstLine="480"/>
        <w:outlineLvl w:val="1"/>
        <w:rPr>
          <w:rFonts w:ascii="宋体" w:hAnsi="宋体"/>
          <w:sz w:val="24"/>
        </w:rPr>
      </w:pPr>
      <w:r>
        <w:rPr>
          <w:rFonts w:ascii="宋体" w:hAnsi="宋体" w:hint="eastAsia"/>
          <w:sz w:val="24"/>
        </w:rPr>
        <w:t>（二）订立托管协议的目的</w:t>
      </w:r>
    </w:p>
    <w:p w:rsidR="00D70AF9" w:rsidRDefault="00D1581D">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70AF9" w:rsidRDefault="00D1581D">
      <w:pPr>
        <w:spacing w:line="360" w:lineRule="auto"/>
        <w:ind w:firstLineChars="200" w:firstLine="480"/>
        <w:outlineLvl w:val="1"/>
        <w:rPr>
          <w:rFonts w:ascii="宋体" w:hAnsi="宋体"/>
          <w:sz w:val="24"/>
        </w:rPr>
      </w:pPr>
      <w:r>
        <w:rPr>
          <w:rFonts w:ascii="宋体" w:hAnsi="宋体" w:hint="eastAsia"/>
          <w:sz w:val="24"/>
        </w:rPr>
        <w:t>（三）订立托管协议的原则</w:t>
      </w:r>
    </w:p>
    <w:p w:rsidR="00D70AF9" w:rsidRDefault="00D1581D">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488938612"/>
      <w:bookmarkStart w:id="13" w:name="_Toc348082031"/>
      <w:bookmarkStart w:id="14" w:name="_Toc384992693"/>
      <w:r>
        <w:rPr>
          <w:rFonts w:ascii="宋体" w:hAnsi="宋体" w:hint="eastAsia"/>
          <w:sz w:val="24"/>
        </w:rPr>
        <w:lastRenderedPageBreak/>
        <w:t>三、基金托管人对基金管理人的业务监督和核查</w:t>
      </w:r>
      <w:bookmarkEnd w:id="12"/>
      <w:bookmarkEnd w:id="13"/>
      <w:bookmarkEnd w:id="14"/>
    </w:p>
    <w:p w:rsidR="00D70AF9" w:rsidRDefault="00D1581D">
      <w:pPr>
        <w:spacing w:line="360" w:lineRule="auto"/>
        <w:ind w:firstLineChars="200" w:firstLine="480"/>
        <w:rPr>
          <w:rFonts w:ascii="宋体" w:hAnsi="宋体"/>
          <w:sz w:val="24"/>
        </w:rPr>
      </w:pPr>
      <w:bookmarkStart w:id="15" w:name="_Hlk68788374"/>
      <w:r>
        <w:rPr>
          <w:rFonts w:ascii="宋体" w:hAnsi="宋体" w:hint="eastAsia"/>
          <w:sz w:val="24"/>
        </w:rPr>
        <w:t>（一）基金托管人根据有关法律法规的规定以及《基金合同》的约定，对基金投资范围、投资比例、投资限制、关联方交易等进行监督。</w:t>
      </w:r>
      <w:bookmarkEnd w:id="15"/>
    </w:p>
    <w:p w:rsidR="00D70AF9" w:rsidRDefault="00D1581D">
      <w:pPr>
        <w:spacing w:line="360" w:lineRule="auto"/>
        <w:ind w:firstLine="480"/>
        <w:rPr>
          <w:rFonts w:ascii="宋体" w:hAnsi="宋体" w:cs="Arial"/>
          <w:szCs w:val="21"/>
        </w:rPr>
      </w:pPr>
      <w:bookmarkStart w:id="16" w:name="_Hlk494120345"/>
      <w:bookmarkStart w:id="17" w:name="_Hlk126155543"/>
      <w:r>
        <w:rPr>
          <w:rFonts w:ascii="宋体" w:hAnsi="宋体"/>
          <w:sz w:val="24"/>
        </w:rPr>
        <w:t>1.</w:t>
      </w:r>
      <w:r>
        <w:rPr>
          <w:rFonts w:ascii="宋体" w:hAnsi="宋体" w:hint="eastAsia"/>
          <w:sz w:val="24"/>
        </w:rPr>
        <w:t>本基金的投资范围为：</w:t>
      </w:r>
    </w:p>
    <w:p w:rsidR="00D70AF9" w:rsidRDefault="00D1581D">
      <w:pPr>
        <w:spacing w:line="360" w:lineRule="auto"/>
        <w:ind w:firstLine="480"/>
        <w:rPr>
          <w:rFonts w:ascii="宋体" w:hAnsi="宋体"/>
          <w:sz w:val="24"/>
        </w:rPr>
      </w:pPr>
      <w:r>
        <w:rPr>
          <w:rFonts w:hint="eastAsia"/>
          <w:bCs/>
          <w:sz w:val="24"/>
        </w:rPr>
        <w:t>本基金的投资范围为具有良好流动性的金融工具，包括国内依法发行上市的股票（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w:t>
      </w:r>
      <w:proofErr w:type="gramStart"/>
      <w:r>
        <w:rPr>
          <w:rFonts w:hint="eastAsia"/>
          <w:bCs/>
          <w:sz w:val="24"/>
        </w:rPr>
        <w:t>的纯债部分</w:t>
      </w:r>
      <w:proofErr w:type="gramEnd"/>
      <w:r>
        <w:rPr>
          <w:rFonts w:hint="eastAsia"/>
          <w:bCs/>
          <w:sz w:val="24"/>
        </w:rPr>
        <w:t>）、可交换公司债券、公开发行的次级债券、中期票据、短期融资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rsidR="00D70AF9" w:rsidRDefault="00D1581D">
      <w:pPr>
        <w:spacing w:line="360" w:lineRule="auto"/>
        <w:ind w:firstLine="480"/>
        <w:rPr>
          <w:bCs/>
          <w:sz w:val="24"/>
        </w:rPr>
      </w:pPr>
      <w:r>
        <w:rPr>
          <w:bCs/>
          <w:sz w:val="24"/>
        </w:rPr>
        <w:t>如法律法规或监管机构以后允许基金投资其他品种，基金管理人在履行适当程序后，可以将其纳入投资范围。</w:t>
      </w:r>
    </w:p>
    <w:p w:rsidR="00D70AF9" w:rsidRDefault="00D1581D">
      <w:pPr>
        <w:spacing w:line="360" w:lineRule="auto"/>
        <w:ind w:firstLine="480"/>
        <w:rPr>
          <w:rFonts w:ascii="宋体" w:hAnsi="宋体" w:cs="Arial"/>
          <w:szCs w:val="21"/>
        </w:rPr>
      </w:pPr>
      <w:r>
        <w:rPr>
          <w:rFonts w:ascii="宋体" w:hAnsi="宋体"/>
          <w:sz w:val="24"/>
        </w:rPr>
        <w:t>2.本基金各类品种的投资比例、投资限制为：</w:t>
      </w:r>
    </w:p>
    <w:p w:rsidR="00D70AF9" w:rsidRDefault="00D1581D">
      <w:pPr>
        <w:spacing w:line="360" w:lineRule="auto"/>
        <w:ind w:firstLine="480"/>
        <w:rPr>
          <w:bCs/>
          <w:sz w:val="24"/>
        </w:rPr>
      </w:pPr>
      <w:r>
        <w:rPr>
          <w:bCs/>
          <w:sz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w:t>
      </w:r>
      <w:r>
        <w:rPr>
          <w:bCs/>
          <w:sz w:val="24"/>
        </w:rPr>
        <w:t>0</w:t>
      </w:r>
      <w:r>
        <w:rPr>
          <w:rFonts w:hint="eastAsia"/>
          <w:bCs/>
          <w:sz w:val="24"/>
        </w:rPr>
        <w:t>%-</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D70AF9" w:rsidRDefault="00D1581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D70AF9" w:rsidRDefault="00D1581D">
      <w:pPr>
        <w:spacing w:line="360" w:lineRule="auto"/>
        <w:ind w:firstLineChars="200" w:firstLine="480"/>
        <w:rPr>
          <w:bCs/>
          <w:sz w:val="24"/>
        </w:rPr>
      </w:pPr>
      <w:r>
        <w:rPr>
          <w:bCs/>
          <w:sz w:val="24"/>
        </w:rPr>
        <w:t>基金的投资组合应遵循以下限制：</w:t>
      </w:r>
    </w:p>
    <w:p w:rsidR="00D70AF9" w:rsidRDefault="00D1581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60%-</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rsidR="00D70AF9" w:rsidRDefault="00D1581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lastRenderedPageBreak/>
        <w:t>A+H</w:t>
      </w:r>
      <w:r>
        <w:rPr>
          <w:rFonts w:hint="eastAsia"/>
          <w:bCs/>
          <w:sz w:val="24"/>
        </w:rPr>
        <w:t>股合计计算），其市值不超过基金资产净值的</w:t>
      </w:r>
      <w:r>
        <w:rPr>
          <w:rFonts w:hint="eastAsia"/>
          <w:bCs/>
          <w:sz w:val="24"/>
        </w:rPr>
        <w:t>10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D70AF9" w:rsidRDefault="00D1581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D70AF9" w:rsidRDefault="00D1581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D70AF9" w:rsidRDefault="00D1581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D70AF9" w:rsidRDefault="00D1581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D70AF9" w:rsidRDefault="00D1581D">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70AF9" w:rsidRDefault="00D1581D">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w:t>
      </w:r>
      <w:r>
        <w:rPr>
          <w:rFonts w:hint="eastAsia"/>
          <w:bCs/>
          <w:sz w:val="24"/>
        </w:rPr>
        <w:lastRenderedPageBreak/>
        <w:t>手开展逆回购交易的，可接受质押品的资质要求应当与基金合同约定的投资范围保持一致；</w:t>
      </w:r>
    </w:p>
    <w:p w:rsidR="00D70AF9" w:rsidRDefault="00D1581D">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rsidR="00D70AF9" w:rsidRDefault="00D1581D">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0AF9" w:rsidRDefault="00D1581D">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D70AF9" w:rsidRDefault="00D1581D">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70AF9" w:rsidRDefault="00D1581D">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70AF9" w:rsidRDefault="00D1581D">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D70AF9" w:rsidRDefault="00D1581D">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D70AF9" w:rsidRDefault="00D1581D">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D70AF9" w:rsidRDefault="00D1581D">
      <w:pPr>
        <w:spacing w:line="360" w:lineRule="auto"/>
        <w:ind w:firstLineChars="200" w:firstLine="480"/>
        <w:rPr>
          <w:rFonts w:ascii="宋体" w:hAnsi="宋体"/>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70AF9" w:rsidRDefault="00D1581D">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本基金财产不得用于以下投资或者活动：</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1）承销证券；</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2）违反规定向他人贷款或者提供担保；</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3）从事承担无限责任的投资；</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4）买卖其他基金份额，但是</w:t>
      </w:r>
      <w:r>
        <w:rPr>
          <w:rFonts w:ascii="宋体" w:hAnsi="宋体" w:hint="eastAsia"/>
          <w:sz w:val="24"/>
        </w:rPr>
        <w:t>中国证监会另有规定的除外；</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5）向</w:t>
      </w:r>
      <w:r>
        <w:rPr>
          <w:rFonts w:ascii="宋体" w:hAnsi="宋体" w:cs="Arial" w:hint="eastAsia"/>
          <w:sz w:val="24"/>
        </w:rPr>
        <w:t>其</w:t>
      </w:r>
      <w:r>
        <w:rPr>
          <w:rFonts w:ascii="宋体" w:hAnsi="宋体" w:hint="eastAsia"/>
          <w:sz w:val="24"/>
        </w:rPr>
        <w:t>基金管理人、基金托管人出资；</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6）从事内幕交易、操纵证券交易价格及其他不正当的证券交易活动；</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7）法律、行政法规</w:t>
      </w:r>
      <w:r>
        <w:rPr>
          <w:rFonts w:ascii="宋体" w:hAnsi="宋体" w:cs="Arial" w:hint="eastAsia"/>
          <w:sz w:val="24"/>
        </w:rPr>
        <w:t>和</w:t>
      </w:r>
      <w:r>
        <w:rPr>
          <w:rFonts w:ascii="宋体" w:hAnsi="宋体" w:hint="eastAsia"/>
          <w:sz w:val="24"/>
        </w:rPr>
        <w:t>中国证监会规定禁止的其他活动。</w:t>
      </w:r>
    </w:p>
    <w:bookmarkEnd w:id="16"/>
    <w:p w:rsidR="00D70AF9" w:rsidRDefault="00D1581D">
      <w:pPr>
        <w:spacing w:line="360" w:lineRule="auto"/>
        <w:ind w:firstLineChars="200" w:firstLine="480"/>
        <w:rPr>
          <w:rFonts w:ascii="宋体" w:hAnsi="宋体"/>
          <w:sz w:val="24"/>
        </w:rPr>
      </w:pPr>
      <w:r>
        <w:rPr>
          <w:rFonts w:ascii="宋体" w:hAnsi="宋体" w:hint="eastAsia"/>
          <w:sz w:val="24"/>
        </w:rPr>
        <w:lastRenderedPageBreak/>
        <w:t>基金管理人运用基金财产买卖基金管理人、基金托管人及其控股股东、实际控制人或者与其有重大利害关系的公司发行</w:t>
      </w:r>
      <w:r>
        <w:rPr>
          <w:rFonts w:hint="eastAsia"/>
          <w:sz w:val="24"/>
        </w:rPr>
        <w:t>的证券</w:t>
      </w:r>
      <w:r>
        <w:rPr>
          <w:rFonts w:ascii="宋体" w:hAnsi="宋体" w:hint="eastAsia"/>
          <w:sz w:val="24"/>
        </w:rPr>
        <w:t>或者承销期内承销的证券，或者从事其他重大关联交易的，应当符合基金的投资目标和投资策略，遵循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0AF9" w:rsidRDefault="00D1581D">
      <w:pPr>
        <w:spacing w:line="360" w:lineRule="auto"/>
        <w:ind w:firstLineChars="200" w:firstLine="480"/>
        <w:rPr>
          <w:rFonts w:ascii="宋体" w:hAnsi="宋体"/>
          <w:sz w:val="24"/>
        </w:rPr>
      </w:pPr>
      <w:r>
        <w:rPr>
          <w:rFonts w:hint="eastAsia"/>
          <w:bCs/>
          <w:sz w:val="24"/>
        </w:rPr>
        <w:t>如法律、行政法规或监管部门取消或变更上述规定，如适用于本基金，基金管理人在履行适当程序后，本基金可不受上述规定的限制。</w:t>
      </w:r>
    </w:p>
    <w:p w:rsidR="00D70AF9" w:rsidRDefault="00D1581D">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rsidR="00D70AF9" w:rsidRDefault="00D1581D">
      <w:pPr>
        <w:spacing w:line="360" w:lineRule="auto"/>
        <w:ind w:firstLineChars="200" w:firstLine="480"/>
        <w:rPr>
          <w:rFonts w:ascii="宋体" w:hAnsi="宋体"/>
          <w:sz w:val="24"/>
        </w:rPr>
      </w:pPr>
      <w:r>
        <w:rPr>
          <w:rFonts w:ascii="宋体" w:hAnsi="宋体"/>
          <w:sz w:val="24"/>
        </w:rPr>
        <w:t>5.</w:t>
      </w:r>
      <w:r>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D70AF9" w:rsidRDefault="00D1581D">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7"/>
    <w:p w:rsidR="00D70AF9" w:rsidRDefault="00D1581D">
      <w:pPr>
        <w:spacing w:line="360" w:lineRule="auto"/>
        <w:ind w:firstLineChars="200" w:firstLine="480"/>
        <w:rPr>
          <w:rFonts w:ascii="宋体" w:hAnsi="宋体"/>
          <w:sz w:val="24"/>
        </w:rPr>
      </w:pPr>
      <w:r>
        <w:rPr>
          <w:rFonts w:ascii="宋体" w:hAnsi="宋体" w:hint="eastAsia"/>
          <w:sz w:val="24"/>
        </w:rPr>
        <w:t>本基金投资银行存款应符合如下规定：</w:t>
      </w:r>
    </w:p>
    <w:p w:rsidR="00D70AF9" w:rsidRDefault="00D1581D">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rsidR="00D70AF9" w:rsidRDefault="00D1581D">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rsidR="00D70AF9" w:rsidRDefault="00D1581D">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基金管理人负责对本基金存款银行的评估与研究，建立健全银行存款的业</w:t>
      </w:r>
      <w:r>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rsidR="00D70AF9" w:rsidRDefault="00D1581D">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p>
    <w:p w:rsidR="00D70AF9" w:rsidRDefault="00D1581D">
      <w:pPr>
        <w:spacing w:line="360" w:lineRule="auto"/>
        <w:ind w:firstLineChars="200" w:firstLine="480"/>
        <w:outlineLvl w:val="1"/>
        <w:rPr>
          <w:rFonts w:ascii="宋体" w:hAnsi="宋体"/>
          <w:sz w:val="24"/>
        </w:rPr>
      </w:pPr>
      <w:r>
        <w:rPr>
          <w:rFonts w:ascii="宋体" w:hAnsi="宋体"/>
          <w:sz w:val="24"/>
        </w:rPr>
        <w:t>1.基金投资银行存款协议的签订</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符合资格的存款银行总行或其授权分行签订《存款协议书》。《存款协议书》的格式范本由基金托管人、基金管理人、存款银行总行或其授权分行共同商定。</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）基金托管人依据相关法规对《存款协议书》的内容进行复核，审查存款银行资格等。</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rsidR="00D70AF9" w:rsidRDefault="00D1581D">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rsidR="00D70AF9" w:rsidRDefault="00D1581D">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rsidR="00D70AF9" w:rsidRDefault="00D1581D">
      <w:pPr>
        <w:spacing w:line="360" w:lineRule="auto"/>
        <w:ind w:firstLineChars="200" w:firstLine="480"/>
        <w:outlineLvl w:val="1"/>
        <w:rPr>
          <w:rFonts w:ascii="宋体" w:hAnsi="宋体"/>
          <w:sz w:val="24"/>
        </w:rPr>
      </w:pPr>
      <w:r>
        <w:rPr>
          <w:rFonts w:ascii="宋体" w:hAnsi="宋体"/>
          <w:sz w:val="24"/>
        </w:rPr>
        <w:t>2.</w:t>
      </w:r>
      <w:r>
        <w:rPr>
          <w:rFonts w:ascii="宋体" w:hAnsi="宋体" w:hint="eastAsia"/>
          <w:sz w:val="24"/>
        </w:rPr>
        <w:t>基金投资银行存款时的账户开设与管理</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管理人应当依据基金管理人与存款银行签订的《存款协议书》等，以基金的名义在存款银行总行或授权分行指定的分支机构开立银行账户。</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rsidR="00D70AF9" w:rsidRDefault="00D1581D">
      <w:pPr>
        <w:spacing w:line="360" w:lineRule="auto"/>
        <w:ind w:firstLineChars="200" w:firstLine="480"/>
        <w:outlineLvl w:val="1"/>
        <w:rPr>
          <w:rFonts w:ascii="宋体" w:hAnsi="宋体"/>
          <w:sz w:val="24"/>
        </w:rPr>
      </w:pPr>
      <w:r>
        <w:rPr>
          <w:rFonts w:ascii="宋体" w:hAnsi="宋体"/>
          <w:sz w:val="24"/>
        </w:rPr>
        <w:t>3.</w:t>
      </w:r>
      <w:r>
        <w:rPr>
          <w:rFonts w:ascii="宋体" w:hAnsi="宋体" w:hint="eastAsia"/>
          <w:sz w:val="24"/>
        </w:rPr>
        <w:t>存款凭证传递、账目核对及到期兑付</w:t>
      </w:r>
    </w:p>
    <w:p w:rsidR="00D70AF9" w:rsidRDefault="00D1581D">
      <w:pPr>
        <w:spacing w:line="360" w:lineRule="auto"/>
        <w:ind w:firstLineChars="200" w:firstLine="480"/>
        <w:outlineLvl w:val="2"/>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rsidR="00D70AF9" w:rsidRDefault="00D1581D">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D70AF9" w:rsidRDefault="00D1581D">
      <w:pPr>
        <w:spacing w:line="360" w:lineRule="auto"/>
        <w:ind w:firstLineChars="200" w:firstLine="480"/>
        <w:outlineLvl w:val="2"/>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rsidR="00D70AF9" w:rsidRDefault="00D1581D">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）的方式快递或上门交付至托管人，原存款凭证自动作废。</w:t>
      </w:r>
    </w:p>
    <w:p w:rsidR="00D70AF9" w:rsidRDefault="00D1581D">
      <w:pPr>
        <w:spacing w:line="360" w:lineRule="auto"/>
        <w:ind w:firstLineChars="200" w:firstLine="480"/>
        <w:outlineLvl w:val="2"/>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）账目核对</w:t>
      </w:r>
    </w:p>
    <w:p w:rsidR="00D70AF9" w:rsidRDefault="00D1581D">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rsidR="00D70AF9" w:rsidRDefault="00D1581D">
      <w:pPr>
        <w:spacing w:line="480" w:lineRule="exact"/>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w:t>
      </w:r>
      <w:r>
        <w:rPr>
          <w:rFonts w:ascii="宋体" w:hAnsi="宋体" w:hint="eastAsia"/>
          <w:sz w:val="24"/>
        </w:rPr>
        <w:t>基金托管人于每季度向存款银行发起查询查复，</w:t>
      </w:r>
      <w:r>
        <w:rPr>
          <w:rFonts w:ascii="宋体" w:hAnsi="宋体"/>
          <w:sz w:val="24"/>
        </w:rPr>
        <w:t>存款银行应</w:t>
      </w:r>
      <w:r>
        <w:rPr>
          <w:rFonts w:ascii="宋体" w:hAnsi="宋体" w:hint="eastAsia"/>
          <w:sz w:val="24"/>
        </w:rPr>
        <w:t>按照人行查询查复的有关时限要求及时回复</w:t>
      </w:r>
      <w:r>
        <w:rPr>
          <w:rFonts w:ascii="宋体" w:hAnsi="宋体"/>
          <w:sz w:val="24"/>
        </w:rPr>
        <w:t>。因存款银</w:t>
      </w:r>
      <w:r>
        <w:rPr>
          <w:rFonts w:ascii="宋体" w:hAnsi="宋体" w:hint="eastAsia"/>
          <w:sz w:val="24"/>
        </w:rPr>
        <w:t>行未及时回复造成的资金被挪用、盗取的责任由存款银行承担。</w:t>
      </w:r>
    </w:p>
    <w:p w:rsidR="00D70AF9" w:rsidRDefault="00D1581D">
      <w:pPr>
        <w:spacing w:line="480" w:lineRule="exact"/>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rsidR="00D70AF9" w:rsidRDefault="00D1581D">
      <w:pPr>
        <w:spacing w:line="360" w:lineRule="auto"/>
        <w:ind w:firstLineChars="200" w:firstLine="480"/>
        <w:outlineLvl w:val="2"/>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）到期兑付</w:t>
      </w:r>
    </w:p>
    <w:p w:rsidR="00D70AF9" w:rsidRDefault="00D1581D">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rsidR="00D70AF9" w:rsidRDefault="00D1581D">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D70AF9" w:rsidRDefault="00D1581D">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rsidR="00D70AF9" w:rsidRDefault="00D1581D">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rsidR="00D70AF9" w:rsidRDefault="00D1581D">
      <w:pPr>
        <w:spacing w:line="360" w:lineRule="auto"/>
        <w:ind w:firstLineChars="200" w:firstLine="480"/>
        <w:outlineLvl w:val="1"/>
        <w:rPr>
          <w:rFonts w:ascii="宋体" w:hAnsi="宋体"/>
          <w:sz w:val="24"/>
        </w:rPr>
      </w:pPr>
      <w:r>
        <w:rPr>
          <w:rFonts w:ascii="宋体" w:hAnsi="宋体"/>
          <w:sz w:val="24"/>
        </w:rPr>
        <w:t>4.提前支取</w:t>
      </w:r>
    </w:p>
    <w:p w:rsidR="00D70AF9" w:rsidRDefault="00D1581D">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rsidR="00D70AF9" w:rsidRDefault="00D1581D">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rsidR="00D70AF9" w:rsidRDefault="00D1581D">
      <w:pPr>
        <w:spacing w:line="360" w:lineRule="auto"/>
        <w:ind w:firstLineChars="200" w:firstLine="480"/>
        <w:outlineLvl w:val="1"/>
        <w:rPr>
          <w:rFonts w:ascii="宋体" w:hAnsi="宋体"/>
          <w:sz w:val="24"/>
        </w:rPr>
      </w:pPr>
      <w:r>
        <w:rPr>
          <w:rFonts w:ascii="宋体" w:hAnsi="宋体"/>
          <w:sz w:val="24"/>
        </w:rPr>
        <w:t>5.</w:t>
      </w:r>
      <w:r>
        <w:rPr>
          <w:rFonts w:ascii="宋体" w:hAnsi="宋体" w:hint="eastAsia"/>
          <w:sz w:val="24"/>
        </w:rPr>
        <w:t>基金投资银行存款的监督</w:t>
      </w:r>
    </w:p>
    <w:p w:rsidR="00D70AF9" w:rsidRDefault="00D1581D">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w:t>
      </w:r>
      <w:r>
        <w:rPr>
          <w:rFonts w:ascii="宋体" w:hAnsi="宋体" w:hint="eastAsia"/>
          <w:sz w:val="24"/>
        </w:rPr>
        <w:lastRenderedPageBreak/>
        <w:t>《基金合同》的约定的行为，应及时以书面形式通知基金管理人在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rsidR="00D70AF9" w:rsidRDefault="00D1581D">
      <w:pPr>
        <w:spacing w:line="360" w:lineRule="auto"/>
        <w:ind w:firstLineChars="200" w:firstLine="480"/>
        <w:rPr>
          <w:rFonts w:ascii="宋体" w:hAnsi="宋体"/>
          <w:sz w:val="24"/>
        </w:rPr>
      </w:pPr>
      <w:bookmarkStart w:id="18" w:name="_Hlk68788494"/>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bookmarkEnd w:id="18"/>
    </w:p>
    <w:p w:rsidR="00D70AF9" w:rsidRDefault="00D1581D">
      <w:pPr>
        <w:spacing w:line="360" w:lineRule="auto"/>
        <w:ind w:firstLineChars="200" w:firstLine="480"/>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D70AF9" w:rsidRDefault="00D1581D">
      <w:pPr>
        <w:spacing w:line="360" w:lineRule="auto"/>
        <w:ind w:firstLineChars="200" w:firstLine="480"/>
        <w:rPr>
          <w:rFonts w:ascii="宋体" w:hAnsi="宋体"/>
          <w:sz w:val="24"/>
        </w:rPr>
      </w:pPr>
      <w:r>
        <w:rPr>
          <w:rFonts w:ascii="宋体" w:hAnsi="宋体" w:hint="eastAsia"/>
          <w:sz w:val="24"/>
        </w:rPr>
        <w:t>（五）本基金投资流通受限证券，应遵守《关于基金投资非公开发行股票等流通受限证券有关问题的通知》等有关监管规定。</w:t>
      </w:r>
    </w:p>
    <w:p w:rsidR="00D70AF9" w:rsidRDefault="00D1581D">
      <w:pPr>
        <w:spacing w:line="360" w:lineRule="auto"/>
        <w:ind w:firstLineChars="200" w:firstLine="480"/>
        <w:rPr>
          <w:rFonts w:ascii="宋体" w:hAnsi="宋体"/>
          <w:sz w:val="24"/>
        </w:rPr>
      </w:pPr>
      <w:r>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w:t>
      </w:r>
      <w:r>
        <w:rPr>
          <w:rFonts w:ascii="宋体" w:hAnsi="宋体"/>
          <w:sz w:val="24"/>
        </w:rPr>
        <w:lastRenderedPageBreak/>
        <w:t>中的质押</w:t>
      </w:r>
      <w:proofErr w:type="gramStart"/>
      <w:r>
        <w:rPr>
          <w:rFonts w:ascii="宋体" w:hAnsi="宋体"/>
          <w:sz w:val="24"/>
        </w:rPr>
        <w:t>券</w:t>
      </w:r>
      <w:proofErr w:type="gramEnd"/>
      <w:r>
        <w:rPr>
          <w:rFonts w:ascii="宋体" w:hAnsi="宋体"/>
          <w:sz w:val="24"/>
        </w:rPr>
        <w:t>等流通受限证券。</w:t>
      </w:r>
    </w:p>
    <w:p w:rsidR="00D70AF9" w:rsidRDefault="00D1581D">
      <w:pPr>
        <w:spacing w:line="360" w:lineRule="auto"/>
        <w:ind w:firstLineChars="200" w:firstLine="480"/>
        <w:rPr>
          <w:rFonts w:ascii="宋体" w:hAnsi="宋体"/>
          <w:sz w:val="24"/>
        </w:rPr>
      </w:pPr>
      <w:r>
        <w:rPr>
          <w:rFonts w:ascii="宋体" w:hAnsi="宋体" w:hint="eastAsia"/>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D70AF9" w:rsidRDefault="00D1581D">
      <w:pPr>
        <w:spacing w:line="360" w:lineRule="auto"/>
        <w:ind w:firstLineChars="200" w:firstLine="480"/>
        <w:rPr>
          <w:rFonts w:ascii="宋体" w:hAnsi="宋体"/>
          <w:sz w:val="24"/>
        </w:rPr>
      </w:pPr>
      <w:r>
        <w:rPr>
          <w:rFonts w:ascii="宋体" w:hAnsi="宋体" w:hint="eastAsia"/>
          <w:sz w:val="24"/>
        </w:rPr>
        <w:t>本基金不得投资未经中国证监会批准的非公开发行证券。</w:t>
      </w:r>
    </w:p>
    <w:p w:rsidR="00D70AF9" w:rsidRDefault="00D1581D">
      <w:pPr>
        <w:spacing w:line="360" w:lineRule="auto"/>
        <w:ind w:firstLineChars="200" w:firstLine="480"/>
        <w:rPr>
          <w:rFonts w:ascii="宋体" w:hAnsi="宋体"/>
          <w:sz w:val="24"/>
        </w:rPr>
      </w:pPr>
      <w:r>
        <w:rPr>
          <w:rFonts w:ascii="宋体" w:hAnsi="宋体" w:hint="eastAsia"/>
          <w:sz w:val="24"/>
        </w:rPr>
        <w:t>本基金不得投资有</w:t>
      </w:r>
      <w:proofErr w:type="gramStart"/>
      <w:r>
        <w:rPr>
          <w:rFonts w:ascii="宋体" w:hAnsi="宋体" w:hint="eastAsia"/>
          <w:sz w:val="24"/>
        </w:rPr>
        <w:t>锁定期但锁定</w:t>
      </w:r>
      <w:proofErr w:type="gramEnd"/>
      <w:r>
        <w:rPr>
          <w:rFonts w:ascii="宋体" w:hAnsi="宋体" w:hint="eastAsia"/>
          <w:sz w:val="24"/>
        </w:rPr>
        <w:t>期不明确的证券。</w:t>
      </w:r>
    </w:p>
    <w:p w:rsidR="00D70AF9" w:rsidRDefault="00D1581D">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70AF9" w:rsidRDefault="00D1581D">
      <w:pPr>
        <w:spacing w:line="360" w:lineRule="auto"/>
        <w:ind w:firstLineChars="200" w:firstLine="480"/>
        <w:rPr>
          <w:rFonts w:ascii="宋体" w:hAnsi="宋体"/>
          <w:sz w:val="24"/>
        </w:rPr>
      </w:pPr>
      <w:r>
        <w:rPr>
          <w:rFonts w:ascii="宋体" w:hAnsi="宋体" w:hint="eastAsia"/>
          <w:sz w:val="24"/>
        </w:rPr>
        <w:t>基金管理人应至少</w:t>
      </w:r>
      <w:proofErr w:type="gramStart"/>
      <w:r>
        <w:rPr>
          <w:rFonts w:ascii="宋体" w:hAnsi="宋体" w:hint="eastAsia"/>
          <w:sz w:val="24"/>
        </w:rPr>
        <w:t>于首次</w:t>
      </w:r>
      <w:proofErr w:type="gramEnd"/>
      <w:r>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D70AF9" w:rsidRDefault="00D1581D">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D70AF9" w:rsidRDefault="00D1581D">
      <w:pPr>
        <w:spacing w:line="360" w:lineRule="auto"/>
        <w:ind w:firstLineChars="200" w:firstLine="48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hint="eastAsia"/>
          <w:sz w:val="24"/>
        </w:rPr>
        <w:t>于拟执行</w:t>
      </w:r>
      <w:proofErr w:type="gramEnd"/>
      <w:r>
        <w:rPr>
          <w:rFonts w:ascii="宋体" w:hAnsi="宋体" w:hint="eastAsia"/>
          <w:sz w:val="24"/>
        </w:rPr>
        <w:t>投资指令前两个工作日将上述信息书面发至基金托管人，保证基金托管人有足够的时间进行审核。</w:t>
      </w:r>
    </w:p>
    <w:p w:rsidR="00D70AF9" w:rsidRDefault="00D1581D">
      <w:pPr>
        <w:spacing w:line="360" w:lineRule="auto"/>
        <w:ind w:firstLineChars="200" w:firstLine="480"/>
        <w:rPr>
          <w:rFonts w:ascii="宋体" w:hAnsi="宋体"/>
          <w:sz w:val="24"/>
        </w:rPr>
      </w:pPr>
      <w:r>
        <w:rPr>
          <w:rFonts w:ascii="宋体" w:hAnsi="宋体" w:hint="eastAsia"/>
          <w:sz w:val="24"/>
        </w:rPr>
        <w:t>由于基金管理人未及时提供有关证券的具体的必要的信息，致使基金托管人无法审核认购指令而影响认购款项划拨的，基金托管人免于承担责任。</w:t>
      </w:r>
    </w:p>
    <w:p w:rsidR="00D70AF9" w:rsidRDefault="00D1581D">
      <w:pPr>
        <w:spacing w:line="360" w:lineRule="auto"/>
        <w:ind w:firstLineChars="200" w:firstLine="480"/>
        <w:rPr>
          <w:rFonts w:ascii="宋体" w:hAnsi="宋体"/>
          <w:sz w:val="24"/>
        </w:rPr>
      </w:pPr>
      <w:r>
        <w:rPr>
          <w:rFonts w:ascii="宋体" w:hAnsi="宋体"/>
          <w:sz w:val="24"/>
        </w:rPr>
        <w:t>4.基金托管人依照法律法规</w:t>
      </w:r>
      <w:r>
        <w:rPr>
          <w:rFonts w:ascii="宋体" w:hAnsi="宋体" w:hint="eastAsia"/>
          <w:sz w:val="24"/>
        </w:rPr>
        <w:t>、《基金合同》、《托管协议》审核基金管理人投资流通受限证券的行为。如发现基金管理人违反了《基金合同》、《托管协议》以及其</w:t>
      </w:r>
      <w:r>
        <w:rPr>
          <w:rFonts w:ascii="宋体" w:hAnsi="宋体" w:hint="eastAsia"/>
          <w:sz w:val="24"/>
        </w:rPr>
        <w:lastRenderedPageBreak/>
        <w:t>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D70AF9" w:rsidRDefault="00D1581D">
      <w:pPr>
        <w:spacing w:line="360" w:lineRule="auto"/>
        <w:ind w:firstLineChars="200" w:firstLine="480"/>
        <w:rPr>
          <w:rFonts w:ascii="宋体" w:hAnsi="宋体" w:cs="Arial"/>
          <w:szCs w:val="21"/>
        </w:rPr>
      </w:pPr>
      <w:r>
        <w:rPr>
          <w:rFonts w:ascii="宋体" w:hAnsi="宋体"/>
          <w:sz w:val="24"/>
        </w:rPr>
        <w:t>5.基金管理</w:t>
      </w:r>
      <w:r>
        <w:rPr>
          <w:rFonts w:ascii="宋体" w:hAnsi="宋体" w:hint="eastAsia"/>
          <w:sz w:val="24"/>
        </w:rPr>
        <w:t>人</w:t>
      </w:r>
      <w:r>
        <w:rPr>
          <w:rFonts w:ascii="宋体" w:hAnsi="宋体"/>
          <w:sz w:val="24"/>
        </w:rPr>
        <w:t>应在基金投资非公开发行股票后两个交易日内</w:t>
      </w:r>
      <w:r>
        <w:rPr>
          <w:rFonts w:ascii="宋体" w:hAnsi="宋体" w:hint="eastAsia"/>
          <w:sz w:val="24"/>
        </w:rPr>
        <w:t>，</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rsidR="00D70AF9" w:rsidRDefault="00D1581D">
      <w:pPr>
        <w:spacing w:line="360" w:lineRule="auto"/>
        <w:ind w:firstLineChars="200" w:firstLine="480"/>
        <w:rPr>
          <w:rFonts w:ascii="宋体" w:hAnsi="宋体"/>
          <w:sz w:val="24"/>
        </w:rPr>
      </w:pPr>
      <w:r>
        <w:rPr>
          <w:rFonts w:ascii="宋体" w:hAnsi="宋体" w:hint="eastAsia"/>
          <w:sz w:val="24"/>
        </w:rPr>
        <w:t>（六）基金管理人应当对投资中期票据业务进行研究，认真评估中期票据投资业务的风险，本着审慎、勤勉尽责的原则进行中期票据的投资业务，并应符合法律法规及监管机构的相关规定。</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七</w:t>
      </w:r>
      <w:r>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rsidR="00D70AF9" w:rsidRDefault="00D1581D">
      <w:pPr>
        <w:spacing w:line="360" w:lineRule="auto"/>
        <w:ind w:firstLineChars="200" w:firstLine="480"/>
        <w:rPr>
          <w:rFonts w:ascii="宋体" w:hAnsi="宋体"/>
          <w:sz w:val="24"/>
        </w:rPr>
      </w:pPr>
      <w:r>
        <w:rPr>
          <w:rFonts w:ascii="宋体" w:hAnsi="宋体"/>
          <w:sz w:val="24"/>
        </w:rPr>
        <w:t>（</w:t>
      </w:r>
      <w:r>
        <w:rPr>
          <w:rFonts w:ascii="宋体" w:hAnsi="宋体" w:cs="宋体" w:hint="eastAsia"/>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九</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70AF9" w:rsidRDefault="00D1581D">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十</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w:t>
      </w:r>
      <w:r>
        <w:rPr>
          <w:rFonts w:ascii="宋体" w:hAnsi="宋体" w:hint="eastAsia"/>
          <w:sz w:val="24"/>
        </w:rPr>
        <w:lastRenderedPageBreak/>
        <w:t>时纠正，由此造成的损失由基金管理人承担，托管人在履行其通知义务后，予以免责。</w:t>
      </w:r>
    </w:p>
    <w:p w:rsidR="00D70AF9" w:rsidRDefault="00D1581D">
      <w:pPr>
        <w:spacing w:line="360" w:lineRule="auto"/>
        <w:ind w:firstLineChars="200" w:firstLine="480"/>
        <w:rPr>
          <w:rFonts w:ascii="宋体" w:hAnsi="宋体"/>
          <w:sz w:val="24"/>
        </w:rPr>
      </w:pPr>
      <w:r>
        <w:rPr>
          <w:rFonts w:ascii="宋体" w:hAnsi="宋体" w:hint="eastAsia"/>
          <w:sz w:val="24"/>
        </w:rPr>
        <w:t>（十一）基金托管人发现基金管理人有重大违规行为，应及时报告中国证监会，同时通知基金管理人限期纠正。</w:t>
      </w:r>
    </w:p>
    <w:p w:rsidR="00D70AF9" w:rsidRDefault="00D1581D">
      <w:pPr>
        <w:spacing w:line="360" w:lineRule="auto"/>
        <w:ind w:firstLineChars="200" w:firstLine="480"/>
        <w:rPr>
          <w:rFonts w:ascii="宋体" w:hAnsi="宋体"/>
          <w:sz w:val="24"/>
        </w:rPr>
      </w:pPr>
      <w:r>
        <w:rPr>
          <w:rFonts w:ascii="宋体" w:hAnsi="宋体" w:hint="eastAsia"/>
          <w:sz w:val="24"/>
        </w:rPr>
        <w:t>（十二）</w:t>
      </w:r>
      <w:proofErr w:type="gramStart"/>
      <w:r>
        <w:rPr>
          <w:rFonts w:ascii="宋体" w:hAnsi="宋体" w:hint="eastAsia"/>
          <w:sz w:val="24"/>
        </w:rPr>
        <w:t>侧袋机制</w:t>
      </w:r>
      <w:proofErr w:type="gramEnd"/>
      <w:r>
        <w:rPr>
          <w:rFonts w:ascii="宋体" w:hAnsi="宋体" w:hint="eastAsia"/>
          <w:sz w:val="24"/>
        </w:rPr>
        <w:t>的实施和投资运作安排</w:t>
      </w:r>
    </w:p>
    <w:p w:rsidR="00D70AF9" w:rsidRDefault="00D1581D">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rsidR="00D70AF9" w:rsidRDefault="00D1581D">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rsidR="00D70AF9" w:rsidRDefault="00D1581D">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rsidR="00D70AF9" w:rsidRDefault="00D1581D">
      <w:pPr>
        <w:pStyle w:val="2"/>
        <w:spacing w:beforeLines="100" w:before="312" w:afterLines="50" w:after="156" w:line="360" w:lineRule="auto"/>
        <w:jc w:val="center"/>
        <w:rPr>
          <w:rFonts w:ascii="宋体" w:hAnsi="宋体"/>
          <w:sz w:val="24"/>
        </w:rPr>
      </w:pPr>
      <w:bookmarkStart w:id="19" w:name="_Toc110761796"/>
      <w:bookmarkStart w:id="20" w:name="_Toc110830492"/>
      <w:bookmarkStart w:id="21" w:name="_Toc86737929"/>
      <w:bookmarkStart w:id="22" w:name="_Toc86727355"/>
      <w:bookmarkStart w:id="23" w:name="_Toc118212950"/>
      <w:bookmarkStart w:id="24" w:name="_Toc118972648"/>
      <w:bookmarkStart w:id="25" w:name="_Toc118774803"/>
      <w:bookmarkStart w:id="26" w:name="_Toc119402710"/>
      <w:bookmarkStart w:id="27" w:name="_Toc120435783"/>
      <w:bookmarkStart w:id="28" w:name="_Toc110765660"/>
      <w:bookmarkStart w:id="29" w:name="_Toc86225291"/>
      <w:bookmarkStart w:id="30" w:name="_Toc89163368"/>
      <w:bookmarkStart w:id="31" w:name="_Toc86726439"/>
      <w:bookmarkStart w:id="32" w:name="_Toc86649722"/>
      <w:bookmarkStart w:id="33" w:name="_Toc108512358"/>
      <w:bookmarkStart w:id="34" w:name="_Toc86223242"/>
      <w:r>
        <w:rPr>
          <w:rFonts w:ascii="宋体" w:hAnsi="宋体"/>
          <w:sz w:val="24"/>
        </w:rPr>
        <w:br w:type="page"/>
      </w:r>
      <w:bookmarkStart w:id="35" w:name="_Toc488938613"/>
      <w:bookmarkStart w:id="36" w:name="_Toc384992694"/>
      <w:bookmarkStart w:id="37" w:name="_Toc348082032"/>
      <w:r>
        <w:rPr>
          <w:rFonts w:ascii="宋体" w:hAnsi="宋体" w:hint="eastAsia"/>
          <w:sz w:val="24"/>
        </w:rPr>
        <w:lastRenderedPageBreak/>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rsidR="00D70AF9" w:rsidRDefault="00D1581D">
      <w:pPr>
        <w:pStyle w:val="2"/>
        <w:spacing w:beforeLines="100" w:before="312" w:afterLines="50" w:after="156" w:line="360" w:lineRule="auto"/>
        <w:jc w:val="center"/>
        <w:rPr>
          <w:rFonts w:ascii="宋体" w:hAnsi="宋体"/>
          <w:sz w:val="24"/>
        </w:rPr>
      </w:pPr>
      <w:bookmarkStart w:id="38" w:name="_Toc118774804"/>
      <w:bookmarkStart w:id="39" w:name="_Toc86726440"/>
      <w:bookmarkStart w:id="40" w:name="_Toc86223243"/>
      <w:bookmarkStart w:id="41" w:name="_Toc119402711"/>
      <w:bookmarkStart w:id="42" w:name="_Toc86225292"/>
      <w:bookmarkStart w:id="43" w:name="_Toc110830493"/>
      <w:bookmarkStart w:id="44" w:name="_Toc86737930"/>
      <w:bookmarkStart w:id="45" w:name="_Toc110761797"/>
      <w:bookmarkStart w:id="46" w:name="_Toc118212951"/>
      <w:bookmarkStart w:id="47" w:name="_Toc84133786"/>
      <w:bookmarkStart w:id="48" w:name="_Toc86649723"/>
      <w:bookmarkStart w:id="49" w:name="_Toc120435784"/>
      <w:bookmarkStart w:id="50" w:name="_Toc86727356"/>
      <w:bookmarkStart w:id="51" w:name="_Toc86204789"/>
      <w:bookmarkStart w:id="52" w:name="_Toc89163369"/>
      <w:bookmarkStart w:id="53" w:name="_Toc84234435"/>
      <w:bookmarkStart w:id="54" w:name="_Toc118972649"/>
      <w:bookmarkStart w:id="55" w:name="_Toc110765661"/>
      <w:bookmarkStart w:id="56" w:name="_Toc84234388"/>
      <w:bookmarkStart w:id="57" w:name="_Toc108512359"/>
      <w:r>
        <w:rPr>
          <w:rFonts w:ascii="宋体" w:hAnsi="宋体"/>
          <w:sz w:val="24"/>
        </w:rPr>
        <w:br w:type="page"/>
      </w:r>
      <w:bookmarkStart w:id="58" w:name="_Toc384992695"/>
      <w:bookmarkStart w:id="59" w:name="_Toc488938614"/>
      <w:bookmarkStart w:id="60" w:name="_Toc348082033"/>
      <w:r>
        <w:rPr>
          <w:rFonts w:ascii="宋体" w:hAnsi="宋体" w:hint="eastAsia"/>
          <w:sz w:val="24"/>
        </w:rPr>
        <w:lastRenderedPageBreak/>
        <w:t>五、基金财产的保管</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（一）基金财产保管的原则</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和期货结算账户等</w:t>
      </w:r>
      <w:r>
        <w:rPr>
          <w:rFonts w:ascii="宋体" w:hAnsi="宋体" w:hint="eastAsia"/>
          <w:sz w:val="24"/>
        </w:rPr>
        <w:t>投资所需的相关账户。</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（二）基金募集期间及募集资金的验资</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宋体" w:hAnsi="宋体" w:hint="eastAsia"/>
          <w:sz w:val="24"/>
        </w:rPr>
        <w:t>为基金开立的基金资金账户，同时在规定时间内，基金管理人应聘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w:t>
      </w:r>
      <w:r>
        <w:rPr>
          <w:rFonts w:ascii="宋体" w:hAnsi="宋体" w:hint="eastAsia"/>
          <w:sz w:val="24"/>
        </w:rPr>
        <w:lastRenderedPageBreak/>
        <w:t>行验资，出具验资报告。出具的验资报告由参加验资的</w:t>
      </w:r>
      <w:r>
        <w:rPr>
          <w:rFonts w:ascii="宋体" w:hAnsi="宋体"/>
          <w:sz w:val="24"/>
        </w:rPr>
        <w:t>2名或2名以上中国注册会计师签字方为有效。</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（三）基金资金账户的开立和管理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交银施罗德启嘉混合型证券投资基金</w:t>
      </w:r>
      <w:r>
        <w:rPr>
          <w:rFonts w:ascii="宋体" w:hAnsi="宋体" w:hint="eastAsia"/>
          <w:sz w:val="24"/>
        </w:rPr>
        <w:t>”，预留印鉴为基金托管人印章。</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（四）基金证券账户和结算备付金账户的开立和管理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ascii="宋体" w:hAnsi="宋体" w:hint="eastAsia"/>
          <w:sz w:val="24"/>
        </w:rPr>
        <w:t>结算保证金等的收取按照中国证券登记结算有限责任公司的规定执行。</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ascii="宋体" w:hAnsi="宋体" w:hint="eastAsia"/>
          <w:color w:val="000000"/>
          <w:sz w:val="24"/>
        </w:rPr>
        <w:t>按有关规定开立、使用并管理；</w:t>
      </w:r>
      <w:r>
        <w:rPr>
          <w:rFonts w:ascii="宋体" w:hAnsi="宋体" w:hint="eastAsia"/>
          <w:sz w:val="24"/>
        </w:rPr>
        <w:t>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（五）债券托管账户的开设和管理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（六）其他账户的开立和管理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（七）基金财产投资的有关有价凭证等的保管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（八）与基金财产有关的重大合同的保管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w:t>
      </w:r>
      <w:r>
        <w:rPr>
          <w:rFonts w:ascii="宋体" w:hAnsi="宋体" w:hint="eastAsia"/>
          <w:sz w:val="24"/>
        </w:rPr>
        <w:lastRenderedPageBreak/>
        <w:t>低于法律法规规定的最低期限</w:t>
      </w:r>
      <w:r>
        <w:rPr>
          <w:rFonts w:ascii="宋体" w:hAnsi="宋体"/>
          <w:sz w:val="24"/>
        </w:rPr>
        <w:t>。</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D70AF9" w:rsidRDefault="00D1581D">
      <w:pPr>
        <w:pStyle w:val="2"/>
        <w:spacing w:beforeLines="100" w:before="312" w:afterLines="50" w:after="156" w:line="360" w:lineRule="auto"/>
        <w:jc w:val="center"/>
        <w:rPr>
          <w:rFonts w:ascii="宋体" w:hAnsi="宋体"/>
          <w:sz w:val="24"/>
        </w:rPr>
      </w:pPr>
      <w:bookmarkStart w:id="61" w:name="_Toc110830494"/>
      <w:bookmarkStart w:id="62" w:name="_Toc89163370"/>
      <w:bookmarkStart w:id="63" w:name="_Toc86204790"/>
      <w:bookmarkStart w:id="64" w:name="_Toc86726441"/>
      <w:bookmarkStart w:id="65" w:name="_Toc110761798"/>
      <w:bookmarkStart w:id="66" w:name="_Toc119402712"/>
      <w:bookmarkStart w:id="67" w:name="_Toc86225293"/>
      <w:bookmarkStart w:id="68" w:name="_Toc118774805"/>
      <w:bookmarkStart w:id="69" w:name="_Toc118212952"/>
      <w:bookmarkStart w:id="70" w:name="_Toc86649724"/>
      <w:bookmarkStart w:id="71" w:name="_Toc84234436"/>
      <w:bookmarkStart w:id="72" w:name="_Toc86737931"/>
      <w:bookmarkStart w:id="73" w:name="_Toc86727357"/>
      <w:bookmarkStart w:id="74" w:name="_Toc110765662"/>
      <w:bookmarkStart w:id="75" w:name="_Toc120435785"/>
      <w:bookmarkStart w:id="76" w:name="_Toc84234389"/>
      <w:bookmarkStart w:id="77" w:name="_Toc86223244"/>
      <w:bookmarkStart w:id="78" w:name="_Toc84133787"/>
      <w:bookmarkStart w:id="79" w:name="_Toc118972650"/>
      <w:bookmarkStart w:id="80" w:name="_Toc108512360"/>
      <w:r>
        <w:rPr>
          <w:rFonts w:ascii="宋体" w:hAnsi="宋体"/>
          <w:sz w:val="24"/>
        </w:rPr>
        <w:br w:type="page"/>
      </w:r>
      <w:bookmarkStart w:id="81" w:name="_Toc348082034"/>
      <w:bookmarkStart w:id="82" w:name="_Toc384992696"/>
      <w:bookmarkStart w:id="83" w:name="_Toc488938615"/>
      <w:r>
        <w:rPr>
          <w:rFonts w:ascii="宋体" w:hAnsi="宋体" w:hint="eastAsia"/>
          <w:sz w:val="24"/>
        </w:rPr>
        <w:lastRenderedPageBreak/>
        <w:t>六、指令的发送、确认及执行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基金管理人发送的指令包括电子指令和纸质指令。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电子指令包括基金管理人发送的电子指令（采用电子报文传送的电子指令、招商银行托管+综合服务平台录入的电子指令）、自动产生的电子指令（网上托管银行托管人</w:t>
      </w:r>
      <w:proofErr w:type="gramStart"/>
      <w:r>
        <w:rPr>
          <w:rFonts w:ascii="宋体" w:hAnsi="宋体" w:hint="eastAsia"/>
          <w:sz w:val="24"/>
        </w:rPr>
        <w:t>端根据</w:t>
      </w:r>
      <w:proofErr w:type="gramEnd"/>
      <w:r>
        <w:rPr>
          <w:rFonts w:ascii="宋体" w:hAnsi="宋体" w:hint="eastAsia"/>
          <w:sz w:val="24"/>
        </w:rPr>
        <w:t>预先设定的业务规则自动产生的电子指令）。</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（一）基金管理人对发送指令人员的书面授权</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（二）指令的内容</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（三）指令的发送、确认及执行的时间和程序</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1.指令发送的方式：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基金管理人选择以下第（2）种方式向基金托管人发送指令：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（1）基金管理人通过招商银行托管+综合服务平台录入方式，向基金托管人发送电子划款指令或投资指令。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基金管理人和基金托管人另行签订《招商银行“托管+”综合服务平台服务协议》，具体事宜以《招商银行“托管+”综合服务平台服务协议》的约定为准。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（2）基金管理人通过深证通电子直连对接方式，向基金托管人发送电子划款指令或投资指令。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基金管理人通过深证通电子直连对接方式发送电子指令的，基金管理人应至少在产品成立日前一日，通过预留邮箱或加盖预留印鉴的函件告知基金托管人本产品的资产代码。</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对于基金管理人通过上述（1）、（2）方式发送的指令，基金管理人不得否认其效力。</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（3）基金管理人选择以传真方式发送指令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对于基金管理人通过预留传真号码发出的指令，基金管理人不得否认其效力。</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（4）基金管理人快递寄送或现场交互指令原件的形式传递指令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如需变更指令发送形式，基金管理人须提前向基金托管人提供变更指令发送形式的指令发送方式变更通知书。</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2.指令附件的发送方式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基金管理人向基金托管人发送指令的同时，通过招商银行托管+综合服务平台、</w:t>
      </w:r>
      <w:r>
        <w:rPr>
          <w:rFonts w:ascii="宋体" w:hAnsi="宋体" w:hint="eastAsia"/>
          <w:sz w:val="24"/>
        </w:rPr>
        <w:lastRenderedPageBreak/>
        <w:t>预留传真号码或预留指令附件发送电子邮箱提供相关合同、交易凭证或其他证明材料。基金管理人对该等资料的真实性、有效性、完整性和合法合</w:t>
      </w:r>
      <w:proofErr w:type="gramStart"/>
      <w:r>
        <w:rPr>
          <w:rFonts w:ascii="宋体" w:hAnsi="宋体" w:hint="eastAsia"/>
          <w:sz w:val="24"/>
        </w:rPr>
        <w:t>规</w:t>
      </w:r>
      <w:proofErr w:type="gramEnd"/>
      <w:r>
        <w:rPr>
          <w:rFonts w:ascii="宋体" w:hAnsi="宋体" w:hint="eastAsia"/>
          <w:sz w:val="24"/>
        </w:rPr>
        <w:t>性负责。</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对于通过招商银行托管+综合服务平台、预留传真号码或预留电子邮箱发出的指令附件，基金管理人不得否认其效力。</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3.指令发送的时间</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对于新债申购等网下公开发行业务，基金管理人应于网下申购缴款日的10:00前将指令发送给基金托管人。</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对于指定时间出款的交易指令，基金管理人应提前2小时将指令发送至基金托管人；对于基金管理人于15:00以后发送至基金托管人的指令，基金托管人不保证当日出款。</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4.纸质指令的确认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5.指令的执行</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hint="eastAsia"/>
          <w:sz w:val="24"/>
        </w:rPr>
        <w:t>6.指令的撤销</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lastRenderedPageBreak/>
        <w:t>（四）基金管理人发送错误指令的情形和处理程序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1、基金管理人发送错误指令的情形包括指令发送人员无权或超越权限发送指令，指令不能辨识或要素不全导致无法执行等情形。</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（五）基金托管人依照法律法规暂缓、拒绝执行指令的情形和处理程序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（六）基金托管人未按照基金管理人指令执行的处理方法</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除因故意或过失致使基金财产、基金份额持有人、基金管理人的利益受到损害而负赔偿责任外，基金托管人对执行基金管理人的合法指令对基金财产造成的损失不承担赔偿责任。</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（七）更换被授权人员的程序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w:t>
      </w:r>
      <w:r>
        <w:rPr>
          <w:rFonts w:ascii="宋体" w:hAnsi="宋体" w:hint="eastAsia"/>
          <w:sz w:val="24"/>
        </w:rPr>
        <w:lastRenderedPageBreak/>
        <w:t>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（八）指令的保管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（九）相关责任</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rsidR="00D70AF9" w:rsidRDefault="00D1581D">
      <w:pPr>
        <w:pStyle w:val="2"/>
        <w:spacing w:beforeLines="100" w:before="312" w:afterLines="50" w:after="156" w:line="360" w:lineRule="auto"/>
        <w:jc w:val="center"/>
        <w:rPr>
          <w:rFonts w:ascii="宋体" w:hAnsi="宋体"/>
          <w:sz w:val="24"/>
        </w:rPr>
      </w:pPr>
      <w:bookmarkStart w:id="84" w:name="_Toc118212953"/>
      <w:bookmarkStart w:id="85" w:name="_Toc86223245"/>
      <w:bookmarkStart w:id="86" w:name="_Toc86726442"/>
      <w:bookmarkStart w:id="87" w:name="_Toc89163371"/>
      <w:bookmarkStart w:id="88" w:name="_Toc110830495"/>
      <w:bookmarkStart w:id="89" w:name="_Toc84234437"/>
      <w:bookmarkStart w:id="90" w:name="_Toc86204791"/>
      <w:bookmarkStart w:id="91" w:name="_Toc86649725"/>
      <w:bookmarkStart w:id="92" w:name="_Toc86737932"/>
      <w:bookmarkStart w:id="93" w:name="_Toc120435786"/>
      <w:bookmarkStart w:id="94" w:name="_Toc110761799"/>
      <w:bookmarkStart w:id="95" w:name="_Toc84133788"/>
      <w:bookmarkStart w:id="96" w:name="_Toc118972651"/>
      <w:bookmarkStart w:id="97" w:name="_Toc84234390"/>
      <w:bookmarkStart w:id="98" w:name="_Toc119402713"/>
      <w:bookmarkStart w:id="99" w:name="_Toc108512361"/>
      <w:bookmarkStart w:id="100" w:name="_Toc86727358"/>
      <w:bookmarkStart w:id="101" w:name="_Toc110765663"/>
      <w:bookmarkStart w:id="102" w:name="_Toc118774806"/>
      <w:bookmarkStart w:id="103" w:name="_Toc86225294"/>
      <w:r>
        <w:rPr>
          <w:rFonts w:ascii="宋体" w:hAnsi="宋体"/>
          <w:sz w:val="24"/>
        </w:rPr>
        <w:br w:type="page"/>
      </w:r>
      <w:bookmarkStart w:id="104" w:name="_Toc488938616"/>
      <w:bookmarkStart w:id="105" w:name="_Toc384992697"/>
      <w:bookmarkStart w:id="106" w:name="_Toc348082035"/>
      <w:r>
        <w:rPr>
          <w:rFonts w:ascii="宋体" w:hAnsi="宋体" w:hint="eastAsia"/>
          <w:sz w:val="24"/>
        </w:rPr>
        <w:lastRenderedPageBreak/>
        <w:t>七、交易及清算交收安排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（一）选择代理证券、期货买卖的证券经营机构、期货经纪机构</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基金管理人所选择的期货公司负责办理基金资产的期货交易的清算交割。</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应责成其选择的期货公司通过深证通向基金托管人及基金管理人发送以市场监控中心格式显示本产品成交结果的交易结算报告及参照市场监控中心格式制作的显示本产品期货保证金账户权益状况的交易结算报告。经基金托管人同意，可采用电子邮件的传送方式作为应急备份方式传输当日交易结算数据。</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ascii="宋体" w:hAnsi="宋体" w:hint="eastAsia"/>
          <w:sz w:val="24"/>
        </w:rPr>
        <w:t>若期货公司发送的期货数据有误，重新向基金管理人、基金托管人发送的，基金管理人应责成期货公司在发送新的期货数据后立即通知基金托管人，并电话确认数据接收状况。</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基金管理人应责成其选择的期货公司对发送的数据的准确性、完整性、真实性负责。</w:t>
      </w:r>
    </w:p>
    <w:p w:rsidR="00D70AF9" w:rsidRDefault="00D1581D">
      <w:pPr>
        <w:adjustRightInd w:val="0"/>
        <w:snapToGrid w:val="0"/>
        <w:spacing w:line="360" w:lineRule="auto"/>
        <w:ind w:firstLineChars="200" w:firstLine="480"/>
        <w:rPr>
          <w:rFonts w:ascii="宋体" w:hAnsi="宋体" w:cs="Arial"/>
          <w:szCs w:val="21"/>
        </w:rPr>
      </w:pPr>
      <w:r>
        <w:rPr>
          <w:rFonts w:ascii="宋体" w:hAnsi="宋体" w:hint="eastAsia"/>
          <w:sz w:val="24"/>
        </w:rPr>
        <w:t>由于交易结算报告的记载事项出现与实际交易结果和权益不符造成本产品估</w:t>
      </w:r>
      <w:r>
        <w:rPr>
          <w:rFonts w:ascii="宋体" w:hAnsi="宋体" w:hint="eastAsia"/>
          <w:sz w:val="24"/>
        </w:rPr>
        <w:lastRenderedPageBreak/>
        <w:t>值计算错误的，应由基金管理人负责向数据发送方追偿，基金托管人不承担责任。</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（二）基金投资证券后的清算交收安排</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基金管理人和基金托管人在基金财产场内清算交收及相关风险控制方面的职责按照附件《托管银行证券资金结算规定》的要求执行。</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（三）基金申购、赎回和转换业务处理的基本规定</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为满足申购、赎回、转换及分红资金汇划的需要，由基金管理人开立资金清算的专用账户，该账户由注册登记机构管理。</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lastRenderedPageBreak/>
        <w:t>9.资金指令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rsidR="00D70AF9" w:rsidRDefault="00D1581D">
      <w:pPr>
        <w:adjustRightInd w:val="0"/>
        <w:snapToGrid w:val="0"/>
        <w:spacing w:line="360" w:lineRule="auto"/>
        <w:ind w:firstLineChars="200" w:firstLine="480"/>
        <w:outlineLvl w:val="1"/>
        <w:rPr>
          <w:rFonts w:ascii="宋体" w:hAnsi="宋体"/>
          <w:sz w:val="24"/>
        </w:rPr>
      </w:pPr>
      <w:bookmarkStart w:id="107" w:name="_Hlk68788554"/>
      <w:r>
        <w:rPr>
          <w:rFonts w:ascii="宋体" w:hAnsi="宋体" w:hint="eastAsia"/>
          <w:sz w:val="24"/>
        </w:rPr>
        <w:t>（四）资金净额结算</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bookmarkEnd w:id="107"/>
    </w:p>
    <w:p w:rsidR="00D70AF9" w:rsidRDefault="00D1581D">
      <w:pPr>
        <w:adjustRightInd w:val="0"/>
        <w:snapToGrid w:val="0"/>
        <w:spacing w:line="360" w:lineRule="auto"/>
        <w:ind w:firstLineChars="200" w:firstLine="480"/>
        <w:rPr>
          <w:rFonts w:ascii="宋体" w:hAnsi="宋体"/>
          <w:i/>
          <w:sz w:val="24"/>
        </w:rPr>
      </w:pPr>
      <w:r>
        <w:rPr>
          <w:rFonts w:ascii="宋体" w:hAnsi="宋体" w:hint="eastAsia"/>
          <w:sz w:val="24"/>
        </w:rPr>
        <w:t>当存在资金账户净应付额时，如基金</w:t>
      </w:r>
      <w:r>
        <w:rPr>
          <w:rFonts w:ascii="宋体" w:hAnsi="宋体" w:cs="Arial" w:hint="eastAsia"/>
          <w:sz w:val="24"/>
        </w:rPr>
        <w:t>资金</w:t>
      </w:r>
      <w:r>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（五）基金现金分红</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08" w:name="_Toc384992698"/>
      <w:bookmarkStart w:id="109" w:name="_Toc488938617"/>
      <w:bookmarkStart w:id="110" w:name="_Toc348082036"/>
      <w:r>
        <w:rPr>
          <w:rFonts w:ascii="宋体" w:hAnsi="宋体" w:hint="eastAsia"/>
          <w:sz w:val="24"/>
        </w:rPr>
        <w:lastRenderedPageBreak/>
        <w:t>八、基金资产净值计算、估值和会计核算</w:t>
      </w:r>
      <w:bookmarkEnd w:id="108"/>
      <w:bookmarkEnd w:id="109"/>
      <w:bookmarkEnd w:id="110"/>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1.基金资产净值</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各类基金份额的基金份额净值是按照每个</w:t>
      </w:r>
      <w:r>
        <w:rPr>
          <w:rFonts w:ascii="宋体" w:hAnsi="宋体"/>
          <w:sz w:val="24"/>
        </w:rPr>
        <w:t>工作</w:t>
      </w:r>
      <w:r>
        <w:rPr>
          <w:rFonts w:ascii="宋体" w:hAnsi="宋体" w:hint="eastAsia"/>
          <w:sz w:val="24"/>
        </w:rPr>
        <w:t>日闭市后，该类基金</w:t>
      </w:r>
      <w:r>
        <w:rPr>
          <w:rFonts w:ascii="宋体" w:hAnsi="宋体"/>
          <w:sz w:val="24"/>
        </w:rPr>
        <w:t>份额的</w:t>
      </w:r>
      <w:r>
        <w:rPr>
          <w:rFonts w:ascii="宋体" w:hAnsi="宋体" w:hint="eastAsia"/>
          <w:sz w:val="24"/>
        </w:rPr>
        <w:t>基金资产净值除以当日该类基金份额的余额数量计算，精确到</w:t>
      </w:r>
      <w:r>
        <w:rPr>
          <w:rFonts w:ascii="宋体" w:hAnsi="宋体"/>
          <w:sz w:val="24"/>
        </w:rPr>
        <w:t>0.0001元，小数点后第</w:t>
      </w:r>
      <w:r>
        <w:rPr>
          <w:rFonts w:ascii="宋体" w:hAnsi="宋体" w:hint="eastAsia"/>
          <w:sz w:val="24"/>
        </w:rPr>
        <w:t>五位四舍五入。</w:t>
      </w:r>
      <w:r>
        <w:rPr>
          <w:rFonts w:ascii="宋体" w:hAnsi="宋体"/>
          <w:sz w:val="24"/>
        </w:rPr>
        <w:t>基金管理人可以设立大额赎回情形下的净值精度应急调整机制</w:t>
      </w:r>
      <w:r>
        <w:rPr>
          <w:rFonts w:ascii="宋体" w:hAnsi="宋体" w:hint="eastAsia"/>
          <w:bCs/>
          <w:sz w:val="24"/>
        </w:rPr>
        <w:t>，具体可参见相关公告</w:t>
      </w:r>
      <w:r>
        <w:rPr>
          <w:rFonts w:ascii="宋体" w:hAnsi="宋体"/>
          <w:sz w:val="24"/>
        </w:rPr>
        <w:t>。</w:t>
      </w:r>
      <w:r>
        <w:rPr>
          <w:rFonts w:ascii="宋体" w:hAnsi="宋体" w:hint="eastAsia"/>
          <w:sz w:val="24"/>
        </w:rPr>
        <w:t>国家另有规定的，从其规定。</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基金管理人于每个工作日分别计算各类基金份额的基金资产净值、基金份额净值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2.复核程序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rsidR="00D70AF9" w:rsidRDefault="00D1581D">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rsidR="00D70AF9" w:rsidRDefault="00D1581D">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lastRenderedPageBreak/>
        <w:t>（六）基金财务报表与报告的编制和复核</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sz w:val="24"/>
        </w:rPr>
        <w:t>1.财务报表的编制</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sz w:val="24"/>
        </w:rPr>
        <w:t>2.报表复核</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sz w:val="24"/>
        </w:rPr>
        <w:t>3.财务报表的编制与复核时间安排</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11" w:name="_Toc384992699"/>
      <w:bookmarkStart w:id="112" w:name="_Toc348082037"/>
      <w:bookmarkStart w:id="113" w:name="_Toc488938618"/>
      <w:r>
        <w:rPr>
          <w:rFonts w:ascii="宋体" w:hAnsi="宋体" w:hint="eastAsia"/>
          <w:sz w:val="24"/>
        </w:rPr>
        <w:lastRenderedPageBreak/>
        <w:t>九、基金收益分配</w:t>
      </w:r>
      <w:bookmarkEnd w:id="111"/>
      <w:bookmarkEnd w:id="112"/>
      <w:bookmarkEnd w:id="113"/>
    </w:p>
    <w:p w:rsidR="00D70AF9" w:rsidRDefault="00D1581D">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14" w:name="_Toc348082038"/>
      <w:bookmarkStart w:id="115" w:name="_Toc384992700"/>
      <w:bookmarkStart w:id="116" w:name="_Toc488938619"/>
      <w:r>
        <w:rPr>
          <w:rFonts w:ascii="宋体" w:hAnsi="宋体" w:hint="eastAsia"/>
          <w:sz w:val="24"/>
        </w:rPr>
        <w:lastRenderedPageBreak/>
        <w:t>十、基金信息披露</w:t>
      </w:r>
      <w:bookmarkEnd w:id="114"/>
      <w:bookmarkEnd w:id="115"/>
      <w:bookmarkEnd w:id="116"/>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（一）保密义务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（二）信息披露的内容</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期间的信息披露、清算报告、基金投资资产支持证券、股指期货、</w:t>
      </w:r>
      <w:r>
        <w:rPr>
          <w:rFonts w:hint="eastAsia"/>
          <w:bCs/>
          <w:sz w:val="24"/>
        </w:rPr>
        <w:t>港股通标的股票</w:t>
      </w:r>
      <w:r>
        <w:rPr>
          <w:rFonts w:ascii="宋体" w:hAnsi="宋体" w:hint="eastAsia"/>
          <w:sz w:val="24"/>
        </w:rPr>
        <w:t>情况、中国证监会规定的其他信息。基金年度报告需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70AF9" w:rsidRDefault="00D1581D">
      <w:pPr>
        <w:adjustRightInd w:val="0"/>
        <w:snapToGrid w:val="0"/>
        <w:spacing w:line="360" w:lineRule="auto"/>
        <w:ind w:firstLineChars="200" w:firstLine="480"/>
        <w:rPr>
          <w:rFonts w:ascii="宋体" w:hAnsi="宋体"/>
          <w:sz w:val="24"/>
        </w:rPr>
      </w:pPr>
      <w:r>
        <w:rPr>
          <w:rFonts w:hint="eastAsia"/>
          <w:bCs/>
          <w:sz w:val="24"/>
        </w:rPr>
        <w:t>本基金可投资港股通标的股票，</w:t>
      </w:r>
      <w:r>
        <w:rPr>
          <w:rFonts w:ascii="宋体" w:hAnsi="宋体" w:hint="eastAsia"/>
          <w:sz w:val="24"/>
        </w:rPr>
        <w:t>基金应当在季度报告、中期报告、年度报告等定期报告和招募说明书（更新）等文件中披露港股通标的股票的投资情况。法律法</w:t>
      </w:r>
      <w:r>
        <w:rPr>
          <w:rFonts w:ascii="宋体" w:hAnsi="宋体" w:hint="eastAsia"/>
          <w:sz w:val="24"/>
        </w:rPr>
        <w:lastRenderedPageBreak/>
        <w:t>规或中国证监会另有规定的，从其规定。</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（三）基金托管人和基金管理人在信息披露中的职责和信息披露程序</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sz w:val="24"/>
        </w:rPr>
        <w:t>1.职责</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Pr>
          <w:rFonts w:ascii="宋体" w:hAnsi="宋体" w:hint="eastAsia"/>
          <w:bCs/>
          <w:sz w:val="24"/>
        </w:rPr>
        <w:t>及《信息披露办法》规定</w:t>
      </w:r>
      <w:r>
        <w:rPr>
          <w:rFonts w:ascii="宋体" w:hAnsi="宋体" w:hint="eastAsia"/>
          <w:sz w:val="24"/>
        </w:rPr>
        <w:t>的互联网网站等媒介披露。根据法律法规应由基金托管人公开披露的信息，基金托管人在规定媒介公开披露。</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rsidR="00D70AF9" w:rsidRDefault="00D1581D">
      <w:pPr>
        <w:adjustRightInd w:val="0"/>
        <w:snapToGrid w:val="0"/>
        <w:spacing w:line="360" w:lineRule="auto"/>
        <w:ind w:firstLineChars="200" w:firstLine="480"/>
        <w:rPr>
          <w:rFonts w:hAnsi="宋体"/>
          <w:sz w:val="24"/>
        </w:rPr>
      </w:pPr>
      <w:r>
        <w:rPr>
          <w:rFonts w:ascii="宋体" w:hAnsi="宋体"/>
          <w:sz w:val="24"/>
        </w:rPr>
        <w:t>(2)基金投资所涉及的证券</w:t>
      </w:r>
      <w:r>
        <w:rPr>
          <w:rFonts w:ascii="宋体" w:hAnsi="宋体" w:hint="eastAsia"/>
          <w:sz w:val="24"/>
        </w:rPr>
        <w:t>/期货交易市场遇法定节假日或因其他原因暂停营业时；</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sz w:val="24"/>
        </w:rPr>
        <w:t>2.程序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D70AF9" w:rsidRDefault="00D1581D">
      <w:pPr>
        <w:adjustRightInd w:val="0"/>
        <w:snapToGrid w:val="0"/>
        <w:spacing w:line="360" w:lineRule="auto"/>
        <w:ind w:firstLineChars="200" w:firstLine="480"/>
        <w:outlineLvl w:val="2"/>
        <w:rPr>
          <w:rFonts w:ascii="宋体" w:hAnsi="宋体"/>
          <w:sz w:val="24"/>
        </w:rPr>
      </w:pPr>
      <w:r>
        <w:rPr>
          <w:rFonts w:ascii="宋体" w:hAnsi="宋体"/>
          <w:sz w:val="24"/>
        </w:rPr>
        <w:t>3.信息文本的存放</w:t>
      </w:r>
    </w:p>
    <w:p w:rsidR="00D70AF9" w:rsidRDefault="00D1581D">
      <w:pPr>
        <w:pStyle w:val="a0"/>
        <w:adjustRightInd w:val="0"/>
        <w:snapToGrid w:val="0"/>
        <w:spacing w:line="360" w:lineRule="auto"/>
        <w:ind w:firstLine="480"/>
        <w:rPr>
          <w:rFonts w:ascii="宋体" w:hAnsi="宋体"/>
          <w:sz w:val="24"/>
        </w:rPr>
      </w:pPr>
      <w:r>
        <w:rPr>
          <w:rFonts w:ascii="宋体" w:hAnsi="宋体" w:hint="eastAsia"/>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17" w:name="_Toc488938620"/>
      <w:bookmarkStart w:id="118" w:name="_Toc348082039"/>
      <w:bookmarkStart w:id="119" w:name="_Toc384992701"/>
      <w:r>
        <w:rPr>
          <w:rFonts w:ascii="宋体" w:hAnsi="宋体" w:hint="eastAsia"/>
          <w:sz w:val="24"/>
        </w:rPr>
        <w:lastRenderedPageBreak/>
        <w:t>十一、基金费用</w:t>
      </w:r>
      <w:bookmarkEnd w:id="117"/>
      <w:bookmarkEnd w:id="118"/>
      <w:bookmarkEnd w:id="119"/>
    </w:p>
    <w:p w:rsidR="00D70AF9" w:rsidRDefault="00D1581D">
      <w:pPr>
        <w:adjustRightInd w:val="0"/>
        <w:snapToGrid w:val="0"/>
        <w:spacing w:line="360" w:lineRule="auto"/>
        <w:ind w:firstLineChars="200" w:firstLine="480"/>
        <w:outlineLvl w:val="1"/>
        <w:rPr>
          <w:sz w:val="24"/>
        </w:rPr>
      </w:pPr>
      <w:r>
        <w:rPr>
          <w:rFonts w:hint="eastAsia"/>
          <w:sz w:val="24"/>
        </w:rPr>
        <w:t>（一）基金托管费的计提方法、计提标准和支付方式如下：</w:t>
      </w:r>
    </w:p>
    <w:p w:rsidR="00D70AF9" w:rsidRDefault="00D1581D">
      <w:pPr>
        <w:adjustRightInd w:val="0"/>
        <w:snapToGrid w:val="0"/>
        <w:spacing w:line="360" w:lineRule="auto"/>
        <w:ind w:firstLineChars="200" w:firstLine="480"/>
        <w:rPr>
          <w:sz w:val="24"/>
        </w:rPr>
      </w:pPr>
      <w:r>
        <w:rPr>
          <w:rFonts w:hint="eastAsia"/>
          <w:sz w:val="24"/>
        </w:rPr>
        <w:t>本基金的托管费按前一日基金资产净值的</w:t>
      </w:r>
      <w:r>
        <w:rPr>
          <w:sz w:val="24"/>
        </w:rPr>
        <w:t>0.2</w:t>
      </w:r>
      <w:r>
        <w:rPr>
          <w:rFonts w:hint="eastAsia"/>
          <w:sz w:val="24"/>
        </w:rPr>
        <w:t>%</w:t>
      </w:r>
      <w:r>
        <w:rPr>
          <w:rFonts w:hint="eastAsia"/>
          <w:sz w:val="24"/>
        </w:rPr>
        <w:t>年费率计提。托管费的计算方法如下：</w:t>
      </w:r>
    </w:p>
    <w:p w:rsidR="00D70AF9" w:rsidRDefault="00D1581D">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×年托管费率÷当年天数</w:t>
      </w:r>
    </w:p>
    <w:p w:rsidR="00D70AF9" w:rsidRDefault="00D1581D">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rsidR="00D70AF9" w:rsidRDefault="00D1581D">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rsidR="00D70AF9" w:rsidRDefault="00D1581D">
      <w:pPr>
        <w:adjustRightInd w:val="0"/>
        <w:snapToGrid w:val="0"/>
        <w:spacing w:line="360" w:lineRule="auto"/>
        <w:ind w:firstLineChars="200" w:firstLine="480"/>
        <w:rPr>
          <w:sz w:val="24"/>
        </w:rPr>
      </w:pPr>
      <w:r>
        <w:rPr>
          <w:rFonts w:hint="eastAsia"/>
          <w:sz w:val="24"/>
        </w:rPr>
        <w:t>基金托管费每日计提，逐日累计至每月月末，按月支付。由基金管理人与基金托管人核对一致后，由基金托管人按照与基金管理人协商一致的方式于次月首日起</w:t>
      </w:r>
      <w:r>
        <w:rPr>
          <w:rFonts w:hint="eastAsia"/>
          <w:sz w:val="24"/>
        </w:rPr>
        <w:t>5</w:t>
      </w:r>
      <w:r>
        <w:rPr>
          <w:rFonts w:hint="eastAsia"/>
          <w:sz w:val="24"/>
        </w:rPr>
        <w:t>个工作日内从基金财产中一次性支付给基金托管人，若遇法定节假日、休息日或不可抗力致使无法按时支付的，支付日期顺延。</w:t>
      </w:r>
    </w:p>
    <w:p w:rsidR="00D70AF9" w:rsidRDefault="00D1581D">
      <w:pPr>
        <w:adjustRightInd w:val="0"/>
        <w:snapToGrid w:val="0"/>
        <w:spacing w:line="360" w:lineRule="auto"/>
        <w:ind w:firstLineChars="200" w:firstLine="480"/>
        <w:outlineLvl w:val="1"/>
        <w:rPr>
          <w:rFonts w:ascii="宋体" w:hAnsi="宋体"/>
          <w:sz w:val="24"/>
        </w:rPr>
      </w:pPr>
      <w:r>
        <w:rPr>
          <w:rFonts w:hint="eastAsia"/>
          <w:sz w:val="24"/>
        </w:rPr>
        <w:t>（二）基金其他</w:t>
      </w:r>
      <w:r>
        <w:rPr>
          <w:rFonts w:hAnsi="宋体" w:hint="eastAsia"/>
          <w:sz w:val="24"/>
        </w:rPr>
        <w:t>费用按照《基金合同》的约定计提和支付</w:t>
      </w:r>
      <w:r>
        <w:rPr>
          <w:rFonts w:ascii="宋体" w:hAnsi="宋体" w:hint="eastAsia"/>
          <w:color w:val="000000"/>
          <w:sz w:val="24"/>
        </w:rPr>
        <w:t>。</w:t>
      </w:r>
    </w:p>
    <w:p w:rsidR="00D70AF9" w:rsidRDefault="00D1581D">
      <w:pPr>
        <w:pStyle w:val="2"/>
        <w:spacing w:beforeLines="100" w:before="312" w:afterLines="50" w:after="156" w:line="360" w:lineRule="auto"/>
        <w:jc w:val="center"/>
        <w:rPr>
          <w:rFonts w:ascii="宋体" w:hAnsi="宋体"/>
          <w:sz w:val="21"/>
        </w:rPr>
      </w:pPr>
      <w:r>
        <w:rPr>
          <w:rFonts w:ascii="宋体" w:hAnsi="宋体"/>
          <w:sz w:val="21"/>
        </w:rPr>
        <w:br w:type="page"/>
      </w:r>
      <w:bookmarkStart w:id="120" w:name="_Toc488938621"/>
      <w:bookmarkStart w:id="121" w:name="_Toc348082040"/>
      <w:bookmarkStart w:id="122" w:name="_Toc384992702"/>
      <w:r>
        <w:rPr>
          <w:rFonts w:ascii="宋体" w:hAnsi="宋体" w:hint="eastAsia"/>
          <w:sz w:val="24"/>
        </w:rPr>
        <w:lastRenderedPageBreak/>
        <w:t>十二、基金份额持有人名册的保管</w:t>
      </w:r>
      <w:bookmarkEnd w:id="120"/>
      <w:bookmarkEnd w:id="121"/>
      <w:bookmarkEnd w:id="122"/>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D70AF9" w:rsidRDefault="00D1581D">
      <w:pPr>
        <w:pStyle w:val="2"/>
        <w:spacing w:beforeLines="100" w:before="312" w:afterLines="50" w:after="156" w:line="360" w:lineRule="auto"/>
        <w:ind w:firstLine="480"/>
        <w:jc w:val="center"/>
      </w:pPr>
      <w:r>
        <w:rPr>
          <w:rFonts w:ascii="宋体" w:hAnsi="宋体"/>
          <w:b w:val="0"/>
          <w:sz w:val="24"/>
        </w:rPr>
        <w:br w:type="page"/>
      </w:r>
      <w:bookmarkStart w:id="123" w:name="_Toc348082041"/>
      <w:bookmarkStart w:id="124" w:name="_Toc488938622"/>
      <w:bookmarkStart w:id="125" w:name="_Toc384992703"/>
      <w:r>
        <w:rPr>
          <w:rFonts w:ascii="宋体" w:hAnsi="宋体" w:hint="eastAsia"/>
          <w:sz w:val="24"/>
        </w:rPr>
        <w:lastRenderedPageBreak/>
        <w:t>十三、基金有关文件档案的保存</w:t>
      </w:r>
      <w:bookmarkEnd w:id="123"/>
      <w:bookmarkEnd w:id="124"/>
      <w:bookmarkEnd w:id="125"/>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（一）档案保存</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rsidR="00D70AF9" w:rsidRDefault="00D1581D">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26" w:name="_Toc348082042"/>
      <w:bookmarkStart w:id="127" w:name="_Toc384992704"/>
      <w:bookmarkStart w:id="128" w:name="_Toc488938623"/>
      <w:r>
        <w:rPr>
          <w:rFonts w:ascii="宋体" w:hAnsi="宋体" w:hint="eastAsia"/>
          <w:sz w:val="24"/>
        </w:rPr>
        <w:lastRenderedPageBreak/>
        <w:t>十四、基金管理人和基金托管人的更换</w:t>
      </w:r>
      <w:bookmarkEnd w:id="126"/>
      <w:bookmarkEnd w:id="127"/>
      <w:bookmarkEnd w:id="128"/>
    </w:p>
    <w:p w:rsidR="00D70AF9" w:rsidRDefault="00D1581D">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rsidR="00D70AF9" w:rsidRDefault="00D1581D">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29" w:name="_Toc348082043"/>
      <w:bookmarkStart w:id="130" w:name="_Toc384992705"/>
      <w:bookmarkStart w:id="131" w:name="_Toc488938624"/>
      <w:r>
        <w:rPr>
          <w:rFonts w:ascii="宋体" w:hAnsi="宋体" w:hint="eastAsia"/>
          <w:sz w:val="24"/>
        </w:rPr>
        <w:lastRenderedPageBreak/>
        <w:t>十五、禁止行为</w:t>
      </w:r>
      <w:bookmarkEnd w:id="129"/>
      <w:bookmarkEnd w:id="130"/>
      <w:bookmarkEnd w:id="131"/>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rsidR="00D70AF9" w:rsidRDefault="00D1581D">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rsidR="00D70AF9" w:rsidRDefault="00D1581D">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rsidR="00D70AF9" w:rsidRDefault="00D1581D">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rsidR="00D70AF9" w:rsidRDefault="00D1581D">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（五）基金管理人、基金托管人对他人泄漏基金运作和管理过程中任何尚未按法律法规规定的方式公开披露的信息。</w:t>
      </w:r>
    </w:p>
    <w:p w:rsidR="00D70AF9" w:rsidRDefault="00D1581D">
      <w:pPr>
        <w:pStyle w:val="a7"/>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rsidR="00D70AF9" w:rsidRDefault="00D1581D">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rsidR="00D70AF9" w:rsidRDefault="00D1581D">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rsidR="00D70AF9" w:rsidRDefault="00D1581D">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32" w:name="_Toc488938625"/>
      <w:bookmarkStart w:id="133" w:name="_Toc384992706"/>
      <w:bookmarkStart w:id="134" w:name="_Toc348082044"/>
      <w:r>
        <w:rPr>
          <w:rFonts w:ascii="宋体" w:hAnsi="宋体" w:hint="eastAsia"/>
          <w:sz w:val="24"/>
        </w:rPr>
        <w:lastRenderedPageBreak/>
        <w:t>十六、托管协议的变更、终止与基金财产的清算</w:t>
      </w:r>
      <w:bookmarkEnd w:id="132"/>
      <w:bookmarkEnd w:id="133"/>
      <w:bookmarkEnd w:id="134"/>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（一）托管协议的变更程序</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（二）基金托管协议终止的情形</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1、《基金合同》终止；</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rsidR="00D70AF9" w:rsidRDefault="00D1581D">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rsidR="00D70AF9" w:rsidRDefault="00D1581D">
      <w:pPr>
        <w:adjustRightInd w:val="0"/>
        <w:snapToGrid w:val="0"/>
        <w:spacing w:line="360" w:lineRule="auto"/>
        <w:ind w:firstLineChars="200" w:firstLine="480"/>
        <w:outlineLvl w:val="1"/>
        <w:rPr>
          <w:rFonts w:ascii="宋体" w:hAnsi="宋体"/>
          <w:sz w:val="24"/>
        </w:rPr>
      </w:pPr>
      <w:r>
        <w:rPr>
          <w:rFonts w:ascii="宋体" w:hAnsi="宋体" w:hint="eastAsia"/>
          <w:sz w:val="24"/>
        </w:rPr>
        <w:t>（三）基金财产的清算</w:t>
      </w:r>
    </w:p>
    <w:p w:rsidR="00D70AF9" w:rsidRDefault="00D1581D">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35" w:name="_Toc348082045"/>
      <w:bookmarkStart w:id="136" w:name="_Toc384992707"/>
      <w:bookmarkStart w:id="137" w:name="_Toc488938626"/>
      <w:r>
        <w:rPr>
          <w:rFonts w:ascii="宋体" w:hAnsi="宋体" w:hint="eastAsia"/>
          <w:sz w:val="24"/>
        </w:rPr>
        <w:t>十七、违约责任</w:t>
      </w:r>
      <w:bookmarkEnd w:id="135"/>
      <w:bookmarkEnd w:id="136"/>
      <w:bookmarkEnd w:id="137"/>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rsidR="00D70AF9" w:rsidRDefault="00D1581D">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rsidR="00D70AF9" w:rsidRDefault="00D1581D">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rsidR="00D70AF9" w:rsidRDefault="00D1581D">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rsidR="00D70AF9" w:rsidRDefault="00D1581D">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rsidR="00D70AF9" w:rsidRDefault="00D1581D">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8" w:name="_Toc348082046"/>
    </w:p>
    <w:p w:rsidR="00D70AF9" w:rsidRDefault="00D1581D">
      <w:pPr>
        <w:pStyle w:val="2"/>
        <w:spacing w:beforeLines="100" w:before="312" w:afterLines="50" w:after="156" w:line="360" w:lineRule="auto"/>
        <w:jc w:val="center"/>
        <w:rPr>
          <w:rFonts w:ascii="宋体" w:hAnsi="宋体"/>
          <w:sz w:val="24"/>
        </w:rPr>
      </w:pPr>
      <w:bookmarkStart w:id="139" w:name="_Toc488938627"/>
      <w:bookmarkStart w:id="140" w:name="_Toc384992708"/>
      <w:r>
        <w:rPr>
          <w:rFonts w:ascii="宋体" w:hAnsi="宋体" w:hint="eastAsia"/>
          <w:sz w:val="24"/>
        </w:rPr>
        <w:t>十八、争议解决方式</w:t>
      </w:r>
      <w:bookmarkEnd w:id="138"/>
      <w:bookmarkEnd w:id="139"/>
      <w:bookmarkEnd w:id="140"/>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41" w:name="_Toc348082047"/>
      <w:bookmarkStart w:id="142" w:name="_Toc488938628"/>
      <w:bookmarkStart w:id="143" w:name="_Toc384992709"/>
      <w:r>
        <w:rPr>
          <w:rFonts w:ascii="宋体" w:hAnsi="宋体" w:hint="eastAsia"/>
          <w:sz w:val="24"/>
        </w:rPr>
        <w:t>十九、托管协议的效力</w:t>
      </w:r>
      <w:bookmarkEnd w:id="141"/>
      <w:bookmarkEnd w:id="142"/>
      <w:bookmarkEnd w:id="143"/>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44" w:name="_Toc384992710"/>
      <w:bookmarkStart w:id="145" w:name="_Toc348082048"/>
      <w:bookmarkStart w:id="146" w:name="_Toc488938629"/>
      <w:r>
        <w:rPr>
          <w:rFonts w:ascii="宋体" w:hAnsi="宋体" w:hint="eastAsia"/>
          <w:sz w:val="24"/>
        </w:rPr>
        <w:t>二十、其他事项</w:t>
      </w:r>
      <w:bookmarkEnd w:id="144"/>
      <w:bookmarkEnd w:id="145"/>
      <w:bookmarkEnd w:id="146"/>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本协议附件构成本协议不可分割的组成部分。</w:t>
      </w:r>
    </w:p>
    <w:p w:rsidR="00D70AF9" w:rsidRDefault="00D1581D">
      <w:pPr>
        <w:pStyle w:val="2"/>
        <w:spacing w:beforeLines="100" w:before="312" w:afterLines="50" w:after="156" w:line="360" w:lineRule="auto"/>
        <w:jc w:val="center"/>
        <w:rPr>
          <w:rFonts w:ascii="宋体" w:hAnsi="宋体"/>
          <w:sz w:val="24"/>
        </w:rPr>
      </w:pPr>
      <w:r>
        <w:rPr>
          <w:rFonts w:ascii="宋体" w:hAnsi="宋体"/>
          <w:sz w:val="24"/>
        </w:rPr>
        <w:br w:type="page"/>
      </w:r>
      <w:bookmarkStart w:id="147" w:name="_Toc488938630"/>
      <w:bookmarkStart w:id="148" w:name="_Toc384992711"/>
      <w:bookmarkStart w:id="149" w:name="_Toc348082049"/>
      <w:r>
        <w:rPr>
          <w:rFonts w:ascii="宋体" w:hAnsi="宋体" w:hint="eastAsia"/>
          <w:sz w:val="24"/>
        </w:rPr>
        <w:t>二十一、托管协议的签订</w:t>
      </w:r>
      <w:bookmarkEnd w:id="147"/>
      <w:bookmarkEnd w:id="148"/>
      <w:bookmarkEnd w:id="149"/>
    </w:p>
    <w:p w:rsidR="00D70AF9" w:rsidRDefault="00D1581D">
      <w:pPr>
        <w:adjustRightInd w:val="0"/>
        <w:snapToGrid w:val="0"/>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rsidR="00D70AF9" w:rsidRDefault="00D1581D">
      <w:pPr>
        <w:widowControl/>
        <w:jc w:val="left"/>
        <w:rPr>
          <w:rFonts w:ascii="宋体" w:hAnsi="宋体"/>
          <w:b/>
          <w:sz w:val="24"/>
        </w:rPr>
      </w:pPr>
      <w:bookmarkStart w:id="150" w:name="_Toc488938631"/>
      <w:bookmarkStart w:id="151" w:name="_Toc384992712"/>
      <w:r>
        <w:rPr>
          <w:rFonts w:ascii="宋体" w:hAnsi="宋体"/>
          <w:b/>
          <w:sz w:val="24"/>
        </w:rPr>
        <w:br w:type="page"/>
      </w:r>
    </w:p>
    <w:p w:rsidR="00D70AF9" w:rsidRDefault="00D1581D">
      <w:pPr>
        <w:pStyle w:val="2"/>
        <w:spacing w:beforeLines="100" w:before="312" w:afterLines="50" w:after="156" w:line="360" w:lineRule="auto"/>
        <w:jc w:val="center"/>
        <w:rPr>
          <w:rFonts w:ascii="宋体" w:hAnsi="宋体"/>
          <w:sz w:val="24"/>
        </w:rPr>
      </w:pPr>
      <w:r>
        <w:rPr>
          <w:rFonts w:ascii="宋体" w:hAnsi="宋体" w:hint="eastAsia"/>
          <w:sz w:val="24"/>
        </w:rPr>
        <w:t>附件：托管银行证券资金结算协议</w:t>
      </w:r>
      <w:bookmarkEnd w:id="150"/>
      <w:bookmarkEnd w:id="151"/>
    </w:p>
    <w:p w:rsidR="00D70AF9" w:rsidRDefault="00D70AF9">
      <w:pPr>
        <w:ind w:firstLineChars="202" w:firstLine="424"/>
        <w:rPr>
          <w:szCs w:val="21"/>
        </w:rPr>
      </w:pPr>
    </w:p>
    <w:p w:rsidR="00D70AF9" w:rsidRDefault="00D1581D">
      <w:pPr>
        <w:spacing w:line="360" w:lineRule="auto"/>
        <w:ind w:firstLineChars="202" w:firstLine="424"/>
        <w:rPr>
          <w:szCs w:val="21"/>
        </w:rPr>
      </w:pPr>
      <w:r>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rsidR="00D70AF9" w:rsidRDefault="00D1581D">
      <w:pPr>
        <w:spacing w:line="360" w:lineRule="auto"/>
        <w:ind w:firstLineChars="202" w:firstLine="424"/>
        <w:rPr>
          <w:szCs w:val="21"/>
        </w:rPr>
      </w:pPr>
      <w:r>
        <w:rPr>
          <w:rFonts w:hint="eastAsia"/>
          <w:szCs w:val="21"/>
        </w:rPr>
        <w:t>第一条</w:t>
      </w:r>
      <w:r>
        <w:rPr>
          <w:rFonts w:hint="eastAsia"/>
          <w:szCs w:val="21"/>
        </w:rPr>
        <w:t xml:space="preserve">  </w:t>
      </w:r>
      <w:r>
        <w:rPr>
          <w:rFonts w:hint="eastAsia"/>
          <w:szCs w:val="21"/>
        </w:rPr>
        <w:t>资产托管人，系经中国银保监会、中国证监会及其他有关金融监管部门核准具备证券投资基金、保险资产、企业年金基金、资产管理计划，以及其他与中国结算办理结算业务相关的托管业务资格的商业银行；资产管理人，系经中国银保监会、中国证监会及其他有关金融监管部门批准设立的证券期货经营机构、保险公司、保险资产管理公司等投资管理机构。</w:t>
      </w:r>
    </w:p>
    <w:p w:rsidR="00D70AF9" w:rsidRDefault="00D1581D">
      <w:pPr>
        <w:spacing w:line="360" w:lineRule="auto"/>
        <w:ind w:firstLineChars="202" w:firstLine="424"/>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w:t>
      </w:r>
      <w:r>
        <w:rPr>
          <w:rFonts w:hint="eastAsia"/>
          <w:szCs w:val="21"/>
        </w:rPr>
        <w:t>/</w:t>
      </w:r>
      <w:r>
        <w:rPr>
          <w:rFonts w:hint="eastAsia"/>
          <w:szCs w:val="21"/>
        </w:rPr>
        <w:t>受托人违约为由而拒绝承担交收责任。</w:t>
      </w:r>
    </w:p>
    <w:p w:rsidR="00D70AF9" w:rsidRDefault="00D1581D">
      <w:pPr>
        <w:spacing w:line="360" w:lineRule="auto"/>
        <w:ind w:firstLineChars="202" w:firstLine="424"/>
        <w:rPr>
          <w:szCs w:val="21"/>
        </w:rPr>
      </w:pPr>
      <w:r>
        <w:rPr>
          <w:rFonts w:hint="eastAsia"/>
          <w:szCs w:val="21"/>
        </w:rPr>
        <w:t>第三条</w:t>
      </w:r>
      <w:r>
        <w:rPr>
          <w:rFonts w:hint="eastAsia"/>
          <w:szCs w:val="21"/>
        </w:rPr>
        <w:t xml:space="preserve">  </w:t>
      </w:r>
      <w:r>
        <w:rPr>
          <w:rFonts w:hint="eastAsia"/>
          <w:szCs w:val="21"/>
        </w:rPr>
        <w:t>资产管理人同意遵守中国结算制定的业务规则，知悉并配合落实中国结算制定的各项业务规则。在不违反中国结算业务规则的前提下，以本协议约定为准。</w:t>
      </w:r>
    </w:p>
    <w:p w:rsidR="00D70AF9" w:rsidRDefault="00D1581D">
      <w:pPr>
        <w:spacing w:line="360" w:lineRule="auto"/>
        <w:ind w:firstLineChars="202" w:firstLine="424"/>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rsidR="00D70AF9" w:rsidRDefault="00D1581D">
      <w:pPr>
        <w:spacing w:line="360" w:lineRule="auto"/>
        <w:ind w:firstLineChars="202" w:firstLine="424"/>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日）清算结果，按照中国结算相关业务规则，与中国结算完成最终不可撤销的证券和资金交收处理；同时在规定时限内，与资产管理人管理资产完成不可撤销的证券和资金交收处理。</w:t>
      </w:r>
    </w:p>
    <w:p w:rsidR="00D70AF9" w:rsidRDefault="00D1581D">
      <w:pPr>
        <w:spacing w:line="360" w:lineRule="auto"/>
        <w:ind w:firstLineChars="202" w:firstLine="424"/>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rsidR="00D70AF9" w:rsidRDefault="00D1581D">
      <w:pPr>
        <w:spacing w:line="360" w:lineRule="auto"/>
        <w:ind w:firstLineChars="202" w:firstLine="424"/>
        <w:rPr>
          <w:szCs w:val="21"/>
        </w:rPr>
      </w:pPr>
      <w:r>
        <w:rPr>
          <w:rFonts w:hint="eastAsia"/>
          <w:szCs w:val="21"/>
        </w:rPr>
        <w:t>(</w:t>
      </w:r>
      <w:proofErr w:type="gramStart"/>
      <w:r>
        <w:rPr>
          <w:rFonts w:hint="eastAsia"/>
          <w:szCs w:val="21"/>
        </w:rPr>
        <w:t>一</w:t>
      </w:r>
      <w:proofErr w:type="gramEnd"/>
      <w:r>
        <w:rPr>
          <w:rFonts w:hint="eastAsia"/>
          <w:szCs w:val="21"/>
        </w:rPr>
        <w:t>)</w:t>
      </w:r>
      <w:r>
        <w:rPr>
          <w:rFonts w:hint="eastAsia"/>
          <w:szCs w:val="21"/>
        </w:rPr>
        <w:t>因资产管理</w:t>
      </w:r>
      <w:proofErr w:type="gramStart"/>
      <w:r>
        <w:rPr>
          <w:rFonts w:hint="eastAsia"/>
          <w:szCs w:val="21"/>
        </w:rPr>
        <w:t>人原因</w:t>
      </w:r>
      <w:proofErr w:type="gramEnd"/>
      <w:r>
        <w:rPr>
          <w:rFonts w:hint="eastAsia"/>
          <w:szCs w:val="21"/>
        </w:rPr>
        <w:t>导致的交收违约实际损失，由资产管理人承担。</w:t>
      </w:r>
    </w:p>
    <w:p w:rsidR="00D70AF9" w:rsidRDefault="00D1581D">
      <w:pPr>
        <w:spacing w:line="360" w:lineRule="auto"/>
        <w:ind w:firstLineChars="202" w:firstLine="424"/>
        <w:rPr>
          <w:szCs w:val="21"/>
        </w:rPr>
      </w:pPr>
      <w:r>
        <w:rPr>
          <w:rFonts w:hint="eastAsia"/>
          <w:szCs w:val="21"/>
        </w:rPr>
        <w:t>(</w:t>
      </w:r>
      <w:r>
        <w:rPr>
          <w:rFonts w:hint="eastAsia"/>
          <w:szCs w:val="21"/>
        </w:rPr>
        <w:t>二</w:t>
      </w:r>
      <w:r>
        <w:rPr>
          <w:rFonts w:hint="eastAsia"/>
          <w:szCs w:val="21"/>
        </w:rPr>
        <w:t>)</w:t>
      </w:r>
      <w:r>
        <w:rPr>
          <w:rFonts w:hint="eastAsia"/>
          <w:szCs w:val="21"/>
        </w:rPr>
        <w:t>因资产托管</w:t>
      </w:r>
      <w:proofErr w:type="gramStart"/>
      <w:r>
        <w:rPr>
          <w:rFonts w:hint="eastAsia"/>
          <w:szCs w:val="21"/>
        </w:rPr>
        <w:t>人原因</w:t>
      </w:r>
      <w:proofErr w:type="gramEnd"/>
      <w:r>
        <w:rPr>
          <w:rFonts w:hint="eastAsia"/>
          <w:szCs w:val="21"/>
        </w:rPr>
        <w:t>导致的交收违约实际损失，由资产托管人承担。</w:t>
      </w:r>
    </w:p>
    <w:p w:rsidR="00D70AF9" w:rsidRDefault="00D1581D">
      <w:pPr>
        <w:spacing w:line="360" w:lineRule="auto"/>
        <w:ind w:firstLineChars="202" w:firstLine="424"/>
        <w:rPr>
          <w:szCs w:val="21"/>
        </w:rPr>
      </w:pPr>
      <w:r>
        <w:rPr>
          <w:rFonts w:hint="eastAsia"/>
          <w:szCs w:val="21"/>
        </w:rPr>
        <w:t>(</w:t>
      </w:r>
      <w:r>
        <w:rPr>
          <w:rFonts w:hint="eastAsia"/>
          <w:szCs w:val="21"/>
        </w:rPr>
        <w:t>三</w:t>
      </w:r>
      <w:r>
        <w:rPr>
          <w:rFonts w:hint="eastAsia"/>
          <w:szCs w:val="21"/>
        </w:rPr>
        <w:t>)</w:t>
      </w:r>
      <w:r>
        <w:rPr>
          <w:rFonts w:hint="eastAsia"/>
          <w:szCs w:val="21"/>
        </w:rPr>
        <w:t>由第三方过错导致的交收违约损失，按照最大程度保护资产管理人管理资产持有人合法权益的原则，由双方协商处理，由资产管理人承担最终交收责任，并负责向第三方追偿，资产托管人应提供协助。</w:t>
      </w:r>
    </w:p>
    <w:p w:rsidR="00D70AF9" w:rsidRDefault="00D1581D">
      <w:pPr>
        <w:spacing w:line="360" w:lineRule="auto"/>
        <w:ind w:firstLineChars="202" w:firstLine="424"/>
        <w:rPr>
          <w:szCs w:val="21"/>
        </w:rPr>
      </w:pPr>
      <w:r>
        <w:rPr>
          <w:rFonts w:hint="eastAsia"/>
          <w:szCs w:val="21"/>
        </w:rPr>
        <w:t>第七条</w:t>
      </w:r>
      <w:r>
        <w:rPr>
          <w:rFonts w:hint="eastAsia"/>
          <w:szCs w:val="21"/>
        </w:rPr>
        <w:t xml:space="preserve">  </w:t>
      </w:r>
      <w:r>
        <w:rPr>
          <w:rFonts w:hint="eastAsia"/>
          <w:szCs w:val="21"/>
        </w:rPr>
        <w:t>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w:t>
      </w:r>
      <w:proofErr w:type="gramStart"/>
      <w:r>
        <w:rPr>
          <w:rFonts w:hint="eastAsia"/>
          <w:szCs w:val="21"/>
        </w:rPr>
        <w:t>非交易</w:t>
      </w:r>
      <w:proofErr w:type="gramEnd"/>
      <w:r>
        <w:rPr>
          <w:rFonts w:hint="eastAsia"/>
          <w:szCs w:val="21"/>
        </w:rPr>
        <w:t>涉及的资金和证券交收业务。</w:t>
      </w:r>
    </w:p>
    <w:p w:rsidR="00D70AF9" w:rsidRDefault="00D1581D">
      <w:pPr>
        <w:spacing w:line="360" w:lineRule="auto"/>
        <w:ind w:firstLineChars="202" w:firstLine="424"/>
        <w:rPr>
          <w:szCs w:val="21"/>
        </w:rPr>
      </w:pPr>
      <w:r>
        <w:rPr>
          <w:rFonts w:hint="eastAsia"/>
          <w:szCs w:val="21"/>
        </w:rPr>
        <w:t>第八条</w:t>
      </w:r>
      <w:r>
        <w:rPr>
          <w:rFonts w:hint="eastAsia"/>
          <w:szCs w:val="21"/>
        </w:rPr>
        <w:t xml:space="preserve">  </w:t>
      </w:r>
      <w:r>
        <w:rPr>
          <w:rFonts w:hint="eastAsia"/>
          <w:szCs w:val="21"/>
        </w:rPr>
        <w:t>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w:t>
      </w:r>
      <w:r>
        <w:rPr>
          <w:rFonts w:hint="eastAsia"/>
          <w:szCs w:val="21"/>
        </w:rPr>
        <w:t>/</w:t>
      </w:r>
      <w:r>
        <w:rPr>
          <w:rFonts w:hint="eastAsia"/>
          <w:szCs w:val="21"/>
        </w:rPr>
        <w:t>差异化备付金比例）。资产托管人变更最低结算备付金比例计收方式的，应于变更前及时通知资产管理人，无须征得资产管理人书面同意。</w:t>
      </w:r>
    </w:p>
    <w:p w:rsidR="00D70AF9" w:rsidRDefault="00D1581D">
      <w:pPr>
        <w:spacing w:line="360" w:lineRule="auto"/>
        <w:ind w:firstLineChars="202" w:firstLine="424"/>
        <w:rPr>
          <w:szCs w:val="21"/>
        </w:rPr>
      </w:pPr>
      <w:r>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rsidR="00D70AF9" w:rsidRDefault="00D1581D">
      <w:pPr>
        <w:spacing w:line="360" w:lineRule="auto"/>
        <w:ind w:firstLineChars="202" w:firstLine="424"/>
        <w:rPr>
          <w:szCs w:val="21"/>
        </w:rPr>
      </w:pPr>
      <w:proofErr w:type="gramStart"/>
      <w:r>
        <w:rPr>
          <w:rFonts w:hint="eastAsia"/>
          <w:szCs w:val="21"/>
        </w:rPr>
        <w:t>若资产</w:t>
      </w:r>
      <w:proofErr w:type="gramEnd"/>
      <w:r>
        <w:rPr>
          <w:rFonts w:hint="eastAsia"/>
          <w:szCs w:val="21"/>
        </w:rPr>
        <w:t>管理人管理资产结算备付金账户余额低于调整后预计算的其最低结算备付金限额的，资产管理人应于最近调整</w:t>
      </w:r>
      <w:proofErr w:type="gramStart"/>
      <w:r>
        <w:rPr>
          <w:rFonts w:hint="eastAsia"/>
          <w:szCs w:val="21"/>
        </w:rPr>
        <w:t>日按照</w:t>
      </w:r>
      <w:proofErr w:type="gramEnd"/>
      <w:r>
        <w:rPr>
          <w:rFonts w:hint="eastAsia"/>
          <w:szCs w:val="21"/>
        </w:rPr>
        <w:t>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rsidR="00D70AF9" w:rsidRDefault="00D1581D">
      <w:pPr>
        <w:spacing w:line="360" w:lineRule="auto"/>
        <w:ind w:firstLineChars="202" w:firstLine="424"/>
        <w:rPr>
          <w:szCs w:val="21"/>
        </w:rPr>
      </w:pPr>
      <w:r>
        <w:rPr>
          <w:rFonts w:hint="eastAsia"/>
          <w:szCs w:val="21"/>
        </w:rPr>
        <w:t>第九条</w:t>
      </w:r>
      <w:r>
        <w:rPr>
          <w:rFonts w:hint="eastAsia"/>
          <w:szCs w:val="21"/>
        </w:rPr>
        <w:t xml:space="preserve">  </w:t>
      </w:r>
      <w:r>
        <w:rPr>
          <w:rFonts w:hint="eastAsia"/>
          <w:szCs w:val="21"/>
        </w:rPr>
        <w:t>资产托管人收到中国结算按照与结算银行商定利率计付的结算备付金（含最低备付金）、结算保证金等资金利息后，于收息当日或其他约定日期（含</w:t>
      </w:r>
      <w:proofErr w:type="gramStart"/>
      <w:r>
        <w:rPr>
          <w:rFonts w:hint="eastAsia"/>
          <w:szCs w:val="21"/>
        </w:rPr>
        <w:t>孳</w:t>
      </w:r>
      <w:proofErr w:type="gramEnd"/>
      <w:r>
        <w:rPr>
          <w:rFonts w:hint="eastAsia"/>
          <w:szCs w:val="21"/>
        </w:rPr>
        <w:t>息）将属于资产管理人的部分向资产管理人管理资产支付。</w:t>
      </w:r>
    </w:p>
    <w:p w:rsidR="00D70AF9" w:rsidRDefault="00D1581D">
      <w:pPr>
        <w:spacing w:line="360" w:lineRule="auto"/>
        <w:ind w:firstLineChars="202" w:firstLine="424"/>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日），根据中国结算按照证券交易成交结果计算的资金清算数据和证券清算数据以及</w:t>
      </w:r>
      <w:proofErr w:type="gramStart"/>
      <w:r>
        <w:rPr>
          <w:rFonts w:hint="eastAsia"/>
          <w:szCs w:val="21"/>
        </w:rPr>
        <w:t>非交易</w:t>
      </w:r>
      <w:proofErr w:type="gramEnd"/>
      <w:r>
        <w:rPr>
          <w:rFonts w:hint="eastAsia"/>
          <w:szCs w:val="21"/>
        </w:rPr>
        <w:t>清算数据，分别用以计算资产管理人管理资产资金和证券的应收或应付净额，形成资产管理人管理资产当日交易清算结果。</w:t>
      </w:r>
    </w:p>
    <w:p w:rsidR="00D70AF9" w:rsidRDefault="00D1581D">
      <w:pPr>
        <w:spacing w:line="360" w:lineRule="auto"/>
        <w:ind w:firstLineChars="202" w:firstLine="424"/>
        <w:rPr>
          <w:szCs w:val="21"/>
        </w:rPr>
      </w:pPr>
      <w:r>
        <w:rPr>
          <w:rFonts w:hint="eastAsia"/>
          <w:szCs w:val="21"/>
        </w:rPr>
        <w:t>第十一条</w:t>
      </w:r>
      <w:r>
        <w:rPr>
          <w:rFonts w:hint="eastAsia"/>
          <w:szCs w:val="21"/>
        </w:rPr>
        <w:t xml:space="preserve"> </w:t>
      </w:r>
      <w:r>
        <w:rPr>
          <w:rFonts w:hint="eastAsia"/>
          <w:szCs w:val="21"/>
        </w:rPr>
        <w:t>资产托管人完成托管资产交易预清算后，对于交</w:t>
      </w:r>
      <w:proofErr w:type="gramStart"/>
      <w:r>
        <w:rPr>
          <w:rFonts w:hint="eastAsia"/>
          <w:szCs w:val="21"/>
        </w:rPr>
        <w:t>收日资产</w:t>
      </w:r>
      <w:proofErr w:type="gramEnd"/>
      <w:r>
        <w:rPr>
          <w:rFonts w:hint="eastAsia"/>
          <w:szCs w:val="21"/>
        </w:rPr>
        <w:t>管理人管理资产可能发生透支的情况，应及时与资产管理人沟通或以约定方式告知资产管理人。资产托管人于交收日（</w:t>
      </w:r>
      <w:r>
        <w:rPr>
          <w:rFonts w:hint="eastAsia"/>
          <w:szCs w:val="21"/>
        </w:rPr>
        <w:t>T+1</w:t>
      </w:r>
      <w:r>
        <w:rPr>
          <w:rFonts w:hint="eastAsia"/>
          <w:szCs w:val="21"/>
        </w:rPr>
        <w:t>日）根据证券交易所或中国结算数据计算的资产管理人</w:t>
      </w:r>
      <w:r>
        <w:rPr>
          <w:rFonts w:hint="eastAsia"/>
          <w:szCs w:val="21"/>
        </w:rPr>
        <w:t>T</w:t>
      </w:r>
      <w:r>
        <w:rPr>
          <w:rFonts w:hint="eastAsia"/>
          <w:szCs w:val="21"/>
        </w:rPr>
        <w:t>日交易清算结果，完成资产管理人管理资产资金和证券的交收。</w:t>
      </w:r>
    </w:p>
    <w:p w:rsidR="00D70AF9" w:rsidRDefault="00D1581D">
      <w:pPr>
        <w:spacing w:line="360" w:lineRule="auto"/>
        <w:ind w:firstLineChars="202" w:firstLine="424"/>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的义务，资产托管人未予以垫款</w:t>
      </w:r>
      <w:proofErr w:type="gramStart"/>
      <w:r>
        <w:rPr>
          <w:rFonts w:hint="eastAsia"/>
          <w:szCs w:val="21"/>
        </w:rPr>
        <w:t>不</w:t>
      </w:r>
      <w:proofErr w:type="gramEnd"/>
      <w:r>
        <w:rPr>
          <w:rFonts w:hint="eastAsia"/>
          <w:szCs w:val="21"/>
        </w:rPr>
        <w:t>视为资产托管人过错。</w:t>
      </w:r>
    </w:p>
    <w:p w:rsidR="00D70AF9" w:rsidRDefault="00D1581D">
      <w:pPr>
        <w:spacing w:line="360" w:lineRule="auto"/>
        <w:ind w:firstLineChars="202" w:firstLine="424"/>
        <w:rPr>
          <w:szCs w:val="21"/>
        </w:rPr>
      </w:pPr>
      <w:r>
        <w:rPr>
          <w:rFonts w:hint="eastAsia"/>
          <w:szCs w:val="21"/>
        </w:rPr>
        <w:t>第十三条</w:t>
      </w:r>
      <w:r>
        <w:rPr>
          <w:rFonts w:hint="eastAsia"/>
          <w:szCs w:val="21"/>
        </w:rPr>
        <w:t xml:space="preserve"> </w:t>
      </w:r>
      <w:r>
        <w:rPr>
          <w:rFonts w:hint="eastAsia"/>
          <w:szCs w:val="21"/>
        </w:rPr>
        <w:t>为确保资产托管人与中国结算的正常交收，不影响资产托管人所有托管资产的正常运作，交易日（</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管理人应保证其管理的各托管资产资金账户有足够的资金可按时完成</w:t>
      </w:r>
      <w:r>
        <w:rPr>
          <w:rFonts w:hint="eastAsia"/>
          <w:szCs w:val="21"/>
        </w:rPr>
        <w:t>T+1</w:t>
      </w:r>
      <w:r>
        <w:rPr>
          <w:rFonts w:hint="eastAsia"/>
          <w:szCs w:val="21"/>
        </w:rPr>
        <w:t>日的资金交收。</w:t>
      </w:r>
    </w:p>
    <w:p w:rsidR="00D70AF9" w:rsidRDefault="00D1581D">
      <w:pPr>
        <w:spacing w:line="360" w:lineRule="auto"/>
        <w:ind w:firstLineChars="202" w:firstLine="424"/>
        <w:rPr>
          <w:szCs w:val="21"/>
        </w:rPr>
      </w:pPr>
      <w:r>
        <w:rPr>
          <w:rFonts w:hint="eastAsia"/>
          <w:szCs w:val="21"/>
        </w:rPr>
        <w:t>第十四条</w:t>
      </w:r>
      <w:r>
        <w:rPr>
          <w:rFonts w:hint="eastAsia"/>
          <w:szCs w:val="21"/>
        </w:rPr>
        <w:t xml:space="preserve"> </w:t>
      </w:r>
      <w:r>
        <w:rPr>
          <w:rFonts w:hint="eastAsia"/>
          <w:szCs w:val="21"/>
        </w:rPr>
        <w:t>若因资产管理人管理资产资金账户</w:t>
      </w:r>
      <w:r>
        <w:rPr>
          <w:rFonts w:hint="eastAsia"/>
          <w:szCs w:val="21"/>
        </w:rPr>
        <w:t>T</w:t>
      </w:r>
      <w:proofErr w:type="gramStart"/>
      <w:r>
        <w:rPr>
          <w:rFonts w:hint="eastAsia"/>
          <w:szCs w:val="21"/>
        </w:rPr>
        <w:t>日无法</w:t>
      </w:r>
      <w:proofErr w:type="gramEnd"/>
      <w:r>
        <w:rPr>
          <w:rFonts w:hint="eastAsia"/>
          <w:szCs w:val="21"/>
        </w:rPr>
        <w:t>满足</w:t>
      </w:r>
      <w:r>
        <w:rPr>
          <w:rFonts w:hint="eastAsia"/>
          <w:szCs w:val="21"/>
        </w:rPr>
        <w:t>T+1</w:t>
      </w:r>
      <w:r>
        <w:rPr>
          <w:rFonts w:hint="eastAsia"/>
          <w:szCs w:val="21"/>
        </w:rPr>
        <w:t>日交</w:t>
      </w:r>
      <w:proofErr w:type="gramStart"/>
      <w:r>
        <w:rPr>
          <w:rFonts w:hint="eastAsia"/>
          <w:szCs w:val="21"/>
        </w:rPr>
        <w:t>收要求</w:t>
      </w:r>
      <w:proofErr w:type="gramEnd"/>
      <w:r>
        <w:rPr>
          <w:rFonts w:hint="eastAsia"/>
          <w:szCs w:val="21"/>
        </w:rPr>
        <w:t>时，资产管理人应按照《托管协议》中约定的时点补足金额，未有约定的或晚于如下时点的，应按如下时点分别补足相应市场应付金额：对于资产托管人采用固定比例最低备付金计收方式的，资产管理人应于</w:t>
      </w:r>
      <w:proofErr w:type="spellStart"/>
      <w:r>
        <w:rPr>
          <w:rFonts w:hint="eastAsia"/>
          <w:szCs w:val="21"/>
        </w:rPr>
        <w:t>T+1</w:t>
      </w:r>
      <w:proofErr w:type="spellEnd"/>
      <w:r>
        <w:rPr>
          <w:rFonts w:hint="eastAsia"/>
          <w:szCs w:val="21"/>
        </w:rPr>
        <w:t>日</w:t>
      </w:r>
      <w:r>
        <w:rPr>
          <w:rFonts w:hint="eastAsia"/>
          <w:szCs w:val="21"/>
        </w:rPr>
        <w:t>11:00</w:t>
      </w:r>
      <w:r>
        <w:rPr>
          <w:rFonts w:hint="eastAsia"/>
          <w:szCs w:val="21"/>
        </w:rPr>
        <w:t>前补足金额。对于资产托管人采用差异化最低备付金比例计收方式的，资产管理人应最晚于</w:t>
      </w:r>
      <w:r>
        <w:rPr>
          <w:rFonts w:hint="eastAsia"/>
          <w:szCs w:val="21"/>
        </w:rPr>
        <w:t>T+1</w:t>
      </w:r>
      <w:r>
        <w:rPr>
          <w:rFonts w:hint="eastAsia"/>
          <w:szCs w:val="21"/>
        </w:rPr>
        <w:t>日</w:t>
      </w:r>
      <w:r>
        <w:rPr>
          <w:rFonts w:hint="eastAsia"/>
          <w:szCs w:val="21"/>
        </w:rPr>
        <w:t>8</w:t>
      </w:r>
      <w:r>
        <w:rPr>
          <w:rFonts w:hint="eastAsia"/>
          <w:szCs w:val="21"/>
        </w:rPr>
        <w:t>：</w:t>
      </w:r>
      <w:r>
        <w:rPr>
          <w:rFonts w:hint="eastAsia"/>
          <w:szCs w:val="21"/>
        </w:rPr>
        <w:t>30</w:t>
      </w:r>
      <w:r>
        <w:rPr>
          <w:rFonts w:hint="eastAsia"/>
          <w:szCs w:val="21"/>
        </w:rPr>
        <w:t>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rsidR="00D70AF9" w:rsidRDefault="00D1581D">
      <w:pPr>
        <w:spacing w:line="360" w:lineRule="auto"/>
        <w:ind w:firstLineChars="202" w:firstLine="424"/>
        <w:rPr>
          <w:szCs w:val="21"/>
        </w:rPr>
      </w:pPr>
      <w:r>
        <w:rPr>
          <w:rFonts w:hint="eastAsia"/>
          <w:szCs w:val="21"/>
        </w:rPr>
        <w:t>第十五条</w:t>
      </w:r>
      <w:r>
        <w:rPr>
          <w:rFonts w:hint="eastAsia"/>
          <w:szCs w:val="21"/>
        </w:rPr>
        <w:t xml:space="preserve"> </w:t>
      </w:r>
      <w:r>
        <w:rPr>
          <w:rFonts w:hint="eastAsia"/>
          <w:szCs w:val="21"/>
        </w:rPr>
        <w:t>资产管理人可通过“托管</w:t>
      </w:r>
      <w:r>
        <w:rPr>
          <w:rFonts w:hint="eastAsia"/>
          <w:szCs w:val="21"/>
        </w:rPr>
        <w:t>+</w:t>
      </w:r>
      <w:r>
        <w:rPr>
          <w:rFonts w:hint="eastAsia"/>
          <w:szCs w:val="21"/>
        </w:rPr>
        <w:t>”系统查询托管资产“可售交收锁定”</w:t>
      </w:r>
      <w:proofErr w:type="gramStart"/>
      <w:r>
        <w:rPr>
          <w:rFonts w:hint="eastAsia"/>
          <w:szCs w:val="21"/>
        </w:rPr>
        <w:t>打标情况</w:t>
      </w:r>
      <w:proofErr w:type="gramEnd"/>
      <w:r>
        <w:rPr>
          <w:rFonts w:hint="eastAsia"/>
          <w:szCs w:val="21"/>
        </w:rPr>
        <w:t>、担保品提交结果、“可售交收锁定”证券转为“待处置交收锁定”证券结果等信息。资产托管人可依据资产管理人申请为资产管理人向中国结算申请证券加设标识信息的相关明细数据。</w:t>
      </w:r>
    </w:p>
    <w:p w:rsidR="00D70AF9" w:rsidRDefault="00D1581D">
      <w:pPr>
        <w:spacing w:line="360" w:lineRule="auto"/>
        <w:ind w:firstLineChars="202" w:firstLine="424"/>
        <w:rPr>
          <w:szCs w:val="21"/>
        </w:rPr>
      </w:pPr>
      <w:r>
        <w:rPr>
          <w:rFonts w:hint="eastAsia"/>
          <w:szCs w:val="21"/>
        </w:rPr>
        <w:t>第十六条</w:t>
      </w:r>
      <w:r>
        <w:rPr>
          <w:rFonts w:hint="eastAsia"/>
          <w:szCs w:val="21"/>
        </w:rPr>
        <w:t xml:space="preserve"> </w:t>
      </w:r>
      <w:r>
        <w:rPr>
          <w:rFonts w:hint="eastAsia"/>
          <w:szCs w:val="21"/>
        </w:rPr>
        <w:t>资产管理人应充分知晓以下结算规则，并认可由此可能对资产管理人管理资产产生的影响：</w:t>
      </w:r>
    </w:p>
    <w:p w:rsidR="00D70AF9" w:rsidRDefault="00D1581D">
      <w:pPr>
        <w:spacing w:line="360" w:lineRule="auto"/>
        <w:ind w:firstLineChars="202" w:firstLine="424"/>
        <w:rPr>
          <w:szCs w:val="21"/>
        </w:rPr>
      </w:pPr>
      <w:r>
        <w:rPr>
          <w:rFonts w:hint="eastAsia"/>
          <w:szCs w:val="21"/>
        </w:rPr>
        <w:tab/>
      </w:r>
      <w:r>
        <w:rPr>
          <w:rFonts w:hint="eastAsia"/>
          <w:szCs w:val="21"/>
        </w:rPr>
        <w:t>（一）根据中国结算业务规则，当</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托管人作为资金净应付结算参与人发生应付资金核验</w:t>
      </w:r>
      <w:proofErr w:type="gramStart"/>
      <w:r>
        <w:rPr>
          <w:rFonts w:hint="eastAsia"/>
          <w:szCs w:val="21"/>
        </w:rPr>
        <w:t>不</w:t>
      </w:r>
      <w:proofErr w:type="gramEnd"/>
      <w:r>
        <w:rPr>
          <w:rFonts w:hint="eastAsia"/>
          <w:szCs w:val="21"/>
        </w:rPr>
        <w:t>足额情形时，资产托管人可以向中国结算申报资产管理人应收证券作为中国结算加设“可售交收锁定”标识的证券，</w:t>
      </w:r>
      <w:r>
        <w:rPr>
          <w:rFonts w:hint="eastAsia"/>
          <w:szCs w:val="21"/>
        </w:rPr>
        <w:t>T+1</w:t>
      </w:r>
      <w:r>
        <w:rPr>
          <w:rFonts w:hint="eastAsia"/>
          <w:szCs w:val="21"/>
        </w:rPr>
        <w:t>日资产托管人可以向中国结算申报资产管理人的已加设“可售交收锁定”标识证券转为“待处置交收锁定”证券，具体流程见本协议第十八条第（二）款；</w:t>
      </w:r>
    </w:p>
    <w:p w:rsidR="00D70AF9" w:rsidRDefault="00D1581D">
      <w:pPr>
        <w:spacing w:line="360" w:lineRule="auto"/>
        <w:ind w:firstLineChars="202" w:firstLine="424"/>
        <w:rPr>
          <w:szCs w:val="21"/>
        </w:rPr>
      </w:pPr>
      <w:r>
        <w:rPr>
          <w:rFonts w:hint="eastAsia"/>
          <w:szCs w:val="21"/>
        </w:rPr>
        <w:t>资产托管人有权在考虑资金金额、账户可用余额、资金核验情况等多方面因素后，决定向中国结算申报优先或免除标识指令。</w:t>
      </w:r>
    </w:p>
    <w:p w:rsidR="00D70AF9" w:rsidRDefault="00D1581D">
      <w:pPr>
        <w:spacing w:line="360" w:lineRule="auto"/>
        <w:ind w:firstLineChars="202" w:firstLine="424"/>
        <w:rPr>
          <w:szCs w:val="21"/>
        </w:rPr>
      </w:pPr>
      <w:r>
        <w:rPr>
          <w:rFonts w:hint="eastAsia"/>
          <w:szCs w:val="21"/>
        </w:rPr>
        <w:t>（二）资产管理人已知的</w:t>
      </w:r>
      <w:r>
        <w:rPr>
          <w:rFonts w:hint="eastAsia"/>
          <w:szCs w:val="21"/>
        </w:rPr>
        <w:t>T+1</w:t>
      </w:r>
      <w:r>
        <w:rPr>
          <w:rFonts w:hint="eastAsia"/>
          <w:szCs w:val="21"/>
        </w:rPr>
        <w:t>日无力补足超</w:t>
      </w:r>
      <w:proofErr w:type="gramStart"/>
      <w:r>
        <w:rPr>
          <w:rFonts w:hint="eastAsia"/>
          <w:szCs w:val="21"/>
        </w:rPr>
        <w:t>买资金</w:t>
      </w:r>
      <w:proofErr w:type="gramEnd"/>
      <w:r>
        <w:rPr>
          <w:rFonts w:hint="eastAsia"/>
          <w:szCs w:val="21"/>
        </w:rPr>
        <w:t>时，应及时通知资产托管人。资产管理人确有需要开展可能</w:t>
      </w:r>
      <w:r>
        <w:rPr>
          <w:rFonts w:hint="eastAsia"/>
          <w:szCs w:val="21"/>
        </w:rPr>
        <w:t>T</w:t>
      </w:r>
      <w:r>
        <w:rPr>
          <w:rFonts w:hint="eastAsia"/>
          <w:szCs w:val="21"/>
        </w:rPr>
        <w:t>＋</w:t>
      </w:r>
      <w:r>
        <w:rPr>
          <w:rFonts w:hint="eastAsia"/>
          <w:szCs w:val="21"/>
        </w:rPr>
        <w:t>1</w:t>
      </w:r>
      <w:r>
        <w:rPr>
          <w:rFonts w:hint="eastAsia"/>
          <w:szCs w:val="21"/>
        </w:rPr>
        <w:t>日日间需使用无标识证券的业务的（如</w:t>
      </w:r>
      <w:r>
        <w:rPr>
          <w:rFonts w:hint="eastAsia"/>
          <w:szCs w:val="21"/>
        </w:rPr>
        <w:t>T</w:t>
      </w:r>
      <w:r>
        <w:rPr>
          <w:rFonts w:hint="eastAsia"/>
          <w:szCs w:val="21"/>
        </w:rPr>
        <w:t>日买入的证券计划用于</w:t>
      </w:r>
      <w:r>
        <w:rPr>
          <w:rFonts w:hint="eastAsia"/>
          <w:szCs w:val="21"/>
        </w:rPr>
        <w:t>T+1</w:t>
      </w:r>
      <w:r>
        <w:rPr>
          <w:rFonts w:hint="eastAsia"/>
          <w:szCs w:val="21"/>
        </w:rPr>
        <w:t>日开展采用实时逐笔</w:t>
      </w:r>
      <w:proofErr w:type="gramStart"/>
      <w:r>
        <w:rPr>
          <w:rFonts w:hint="eastAsia"/>
          <w:szCs w:val="21"/>
        </w:rPr>
        <w:t>全额非</w:t>
      </w:r>
      <w:proofErr w:type="gramEnd"/>
      <w:r>
        <w:rPr>
          <w:rFonts w:hint="eastAsia"/>
          <w:szCs w:val="21"/>
        </w:rPr>
        <w:t>担保结算方式即</w:t>
      </w:r>
      <w:r>
        <w:rPr>
          <w:rFonts w:hint="eastAsia"/>
          <w:szCs w:val="21"/>
        </w:rPr>
        <w:t>RTGS</w:t>
      </w:r>
      <w:r>
        <w:rPr>
          <w:rFonts w:hint="eastAsia"/>
          <w:szCs w:val="21"/>
        </w:rPr>
        <w:t>的交易），可于</w:t>
      </w:r>
      <w:r>
        <w:rPr>
          <w:rFonts w:hint="eastAsia"/>
          <w:szCs w:val="21"/>
        </w:rPr>
        <w:t>T</w:t>
      </w:r>
      <w:r>
        <w:rPr>
          <w:rFonts w:hint="eastAsia"/>
          <w:szCs w:val="21"/>
        </w:rPr>
        <w:t>日</w:t>
      </w:r>
      <w:r>
        <w:rPr>
          <w:rFonts w:hint="eastAsia"/>
          <w:szCs w:val="21"/>
        </w:rPr>
        <w:t>15</w:t>
      </w:r>
      <w:r>
        <w:rPr>
          <w:rFonts w:hint="eastAsia"/>
          <w:szCs w:val="21"/>
        </w:rPr>
        <w:t>：</w:t>
      </w:r>
      <w:r>
        <w:rPr>
          <w:rFonts w:hint="eastAsia"/>
          <w:szCs w:val="21"/>
        </w:rPr>
        <w:t>00</w:t>
      </w:r>
      <w:r>
        <w:rPr>
          <w:rFonts w:hint="eastAsia"/>
          <w:szCs w:val="21"/>
        </w:rPr>
        <w:t>前向资产托管人发送免除标识指令，并按照免除标识指令证券上一日收盘价的</w:t>
      </w:r>
      <w:r>
        <w:rPr>
          <w:rFonts w:hint="eastAsia"/>
          <w:szCs w:val="21"/>
        </w:rPr>
        <w:t>120%</w:t>
      </w:r>
      <w:r>
        <w:rPr>
          <w:rFonts w:hint="eastAsia"/>
          <w:szCs w:val="21"/>
        </w:rPr>
        <w:t>提交现金担保</w:t>
      </w:r>
      <w:proofErr w:type="gramStart"/>
      <w:r>
        <w:rPr>
          <w:rFonts w:hint="eastAsia"/>
          <w:szCs w:val="21"/>
        </w:rPr>
        <w:t>至资产</w:t>
      </w:r>
      <w:proofErr w:type="gramEnd"/>
      <w:r>
        <w:rPr>
          <w:rFonts w:hint="eastAsia"/>
          <w:szCs w:val="21"/>
        </w:rPr>
        <w:t>托管人指定账户（该账户原则上为备付金账户），资产托管人应在现金担保额度范围内于中国结算规定的截止时点前向中国结算申报免除标识指令。</w:t>
      </w:r>
      <w:proofErr w:type="gramStart"/>
      <w:r>
        <w:rPr>
          <w:rFonts w:hint="eastAsia"/>
          <w:szCs w:val="21"/>
        </w:rPr>
        <w:t>若资产</w:t>
      </w:r>
      <w:proofErr w:type="gramEnd"/>
      <w:r>
        <w:rPr>
          <w:rFonts w:hint="eastAsia"/>
          <w:szCs w:val="21"/>
        </w:rPr>
        <w:t>管理人申报免除标识指令后，</w:t>
      </w:r>
      <w:r>
        <w:rPr>
          <w:rFonts w:hint="eastAsia"/>
          <w:szCs w:val="21"/>
        </w:rPr>
        <w:t>T+1</w:t>
      </w:r>
      <w:r>
        <w:rPr>
          <w:rFonts w:hint="eastAsia"/>
          <w:szCs w:val="21"/>
        </w:rPr>
        <w:t>日该证券并未实际开展</w:t>
      </w:r>
      <w:r>
        <w:rPr>
          <w:rFonts w:hint="eastAsia"/>
          <w:szCs w:val="21"/>
        </w:rPr>
        <w:t>RTGS</w:t>
      </w:r>
      <w:r>
        <w:rPr>
          <w:rFonts w:hint="eastAsia"/>
          <w:szCs w:val="21"/>
        </w:rPr>
        <w:t>等</w:t>
      </w:r>
      <w:r>
        <w:rPr>
          <w:rFonts w:hint="eastAsia"/>
          <w:szCs w:val="21"/>
        </w:rPr>
        <w:t>T</w:t>
      </w:r>
      <w:r>
        <w:rPr>
          <w:rFonts w:hint="eastAsia"/>
          <w:szCs w:val="21"/>
        </w:rPr>
        <w:t>＋</w:t>
      </w:r>
      <w:r>
        <w:rPr>
          <w:rFonts w:hint="eastAsia"/>
          <w:szCs w:val="21"/>
        </w:rPr>
        <w:t>1</w:t>
      </w:r>
      <w:r>
        <w:rPr>
          <w:rFonts w:hint="eastAsia"/>
          <w:szCs w:val="21"/>
        </w:rPr>
        <w:t>日日间需使用无标识证券业务，资产托管人后续有权拒绝向中国结算申报资产管理人的免除标识指令。资产托管人不向资产管理人承诺优先标识或免除标识指令申报结果有效。</w:t>
      </w:r>
    </w:p>
    <w:p w:rsidR="00D70AF9" w:rsidRDefault="00D1581D">
      <w:pPr>
        <w:spacing w:line="360" w:lineRule="auto"/>
        <w:ind w:firstLineChars="202" w:firstLine="424"/>
        <w:rPr>
          <w:szCs w:val="21"/>
        </w:rPr>
      </w:pPr>
      <w:r>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rsidR="00D70AF9" w:rsidRDefault="00D1581D">
      <w:pPr>
        <w:spacing w:line="360" w:lineRule="auto"/>
        <w:ind w:firstLineChars="202" w:firstLine="424"/>
        <w:rPr>
          <w:szCs w:val="21"/>
        </w:rPr>
      </w:pPr>
      <w:r>
        <w:rPr>
          <w:rFonts w:hint="eastAsia"/>
          <w:szCs w:val="21"/>
        </w:rPr>
        <w:t>第十七条</w:t>
      </w:r>
      <w:r>
        <w:rPr>
          <w:rFonts w:hint="eastAsia"/>
          <w:szCs w:val="21"/>
        </w:rPr>
        <w:t xml:space="preserve"> </w:t>
      </w:r>
      <w:r>
        <w:rPr>
          <w:rFonts w:hint="eastAsia"/>
          <w:szCs w:val="21"/>
        </w:rPr>
        <w:t>资产管理人某管理资产发生证券交收违约的，资产托管人有权暂不交付该管理资产违约交</w:t>
      </w:r>
      <w:proofErr w:type="gramStart"/>
      <w:r>
        <w:rPr>
          <w:rFonts w:hint="eastAsia"/>
          <w:szCs w:val="21"/>
        </w:rPr>
        <w:t>收证券</w:t>
      </w:r>
      <w:proofErr w:type="gramEnd"/>
      <w:r>
        <w:rPr>
          <w:rFonts w:hint="eastAsia"/>
          <w:szCs w:val="21"/>
        </w:rPr>
        <w:t>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w:t>
      </w:r>
      <w:r>
        <w:rPr>
          <w:rFonts w:hint="eastAsia"/>
          <w:szCs w:val="21"/>
        </w:rPr>
        <w:t>T+1</w:t>
      </w:r>
      <w:r>
        <w:rPr>
          <w:rFonts w:hint="eastAsia"/>
          <w:szCs w:val="21"/>
        </w:rPr>
        <w:t>日内补足违约交收的相关证券及其权益，资产管理人未能补足的所产生的全部损失由资产管理人承担，收益归托管资产所有。</w:t>
      </w:r>
    </w:p>
    <w:p w:rsidR="00D70AF9" w:rsidRDefault="00D1581D">
      <w:pPr>
        <w:spacing w:line="360" w:lineRule="auto"/>
        <w:ind w:firstLineChars="202" w:firstLine="424"/>
        <w:rPr>
          <w:szCs w:val="21"/>
        </w:rPr>
      </w:pPr>
      <w:r>
        <w:rPr>
          <w:rFonts w:hint="eastAsia"/>
          <w:szCs w:val="21"/>
        </w:rPr>
        <w:t>第十八条</w:t>
      </w:r>
      <w:r>
        <w:rPr>
          <w:rFonts w:hint="eastAsia"/>
          <w:szCs w:val="21"/>
        </w:rPr>
        <w:t xml:space="preserve"> </w:t>
      </w:r>
      <w:r>
        <w:rPr>
          <w:rFonts w:hint="eastAsia"/>
          <w:szCs w:val="21"/>
        </w:rPr>
        <w:t>资产管理人应积极采取各项措施履行资金交收义务，包括并不限于采用自有或其他合法合</w:t>
      </w:r>
      <w:proofErr w:type="gramStart"/>
      <w:r>
        <w:rPr>
          <w:rFonts w:hint="eastAsia"/>
          <w:szCs w:val="21"/>
        </w:rPr>
        <w:t>规</w:t>
      </w:r>
      <w:proofErr w:type="gramEnd"/>
      <w:r>
        <w:rPr>
          <w:rFonts w:hint="eastAsia"/>
          <w:szCs w:val="21"/>
        </w:rPr>
        <w:t>来源资金及时补足待交收金额。如因资产管理</w:t>
      </w:r>
      <w:proofErr w:type="gramStart"/>
      <w:r>
        <w:rPr>
          <w:rFonts w:hint="eastAsia"/>
          <w:szCs w:val="21"/>
        </w:rPr>
        <w:t>人原因</w:t>
      </w:r>
      <w:proofErr w:type="gramEnd"/>
      <w:r>
        <w:rPr>
          <w:rFonts w:hint="eastAsia"/>
          <w:szCs w:val="21"/>
        </w:rPr>
        <w:t>造成资产管理人管理资产、资产托管人实际损失，由资产管理人承担。资产管理人未及时补足资金的，资产托管人有权直接扣划违约资金账户及资产管理人的其他资金结算账户（</w:t>
      </w:r>
      <w:proofErr w:type="gramStart"/>
      <w:r>
        <w:rPr>
          <w:rFonts w:hint="eastAsia"/>
          <w:szCs w:val="21"/>
        </w:rPr>
        <w:t>托管户</w:t>
      </w:r>
      <w:proofErr w:type="gramEnd"/>
      <w:r>
        <w:rPr>
          <w:rFonts w:hint="eastAsia"/>
          <w:szCs w:val="21"/>
        </w:rPr>
        <w:t>除外）的资金，以及按照本协议第二十三条相关条款对资产管理人实施风险管理措施。资产管理人未按约定时点补足透支金额，构成资金交收违约，资产托管人依法按以下方式处理，且资产管理人应予以配合：</w:t>
      </w:r>
    </w:p>
    <w:p w:rsidR="00D70AF9" w:rsidRDefault="00D1581D">
      <w:pPr>
        <w:spacing w:line="360" w:lineRule="auto"/>
        <w:ind w:firstLineChars="202" w:firstLine="424"/>
        <w:outlineLvl w:val="0"/>
        <w:rPr>
          <w:szCs w:val="21"/>
        </w:rPr>
      </w:pPr>
      <w:r>
        <w:rPr>
          <w:rFonts w:hint="eastAsia"/>
          <w:szCs w:val="21"/>
        </w:rPr>
        <w:t>（一）未造成资产托管人对中国结算违约的：</w:t>
      </w:r>
    </w:p>
    <w:p w:rsidR="00D70AF9" w:rsidRDefault="00D1581D">
      <w:pPr>
        <w:spacing w:line="360" w:lineRule="auto"/>
        <w:ind w:firstLineChars="202" w:firstLine="424"/>
        <w:rPr>
          <w:szCs w:val="21"/>
        </w:rPr>
      </w:pPr>
      <w:r>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w:t>
      </w:r>
      <w:r>
        <w:rPr>
          <w:rFonts w:hint="eastAsia"/>
          <w:szCs w:val="21"/>
        </w:rPr>
        <w:t>120%</w:t>
      </w:r>
      <w:r>
        <w:rPr>
          <w:rFonts w:hint="eastAsia"/>
          <w:szCs w:val="21"/>
        </w:rPr>
        <w:t>的净买入证券或已提交至中国结算质押品保管库的回购质押</w:t>
      </w:r>
      <w:proofErr w:type="gramStart"/>
      <w:r>
        <w:rPr>
          <w:rFonts w:hint="eastAsia"/>
          <w:szCs w:val="21"/>
        </w:rPr>
        <w:t>券</w:t>
      </w:r>
      <w:proofErr w:type="gramEnd"/>
      <w:r>
        <w:rPr>
          <w:rFonts w:hint="eastAsia"/>
          <w:szCs w:val="21"/>
        </w:rPr>
        <w:t>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rsidR="00D70AF9" w:rsidRDefault="00D1581D">
      <w:pPr>
        <w:spacing w:line="360" w:lineRule="auto"/>
        <w:ind w:firstLineChars="202" w:firstLine="424"/>
        <w:rPr>
          <w:szCs w:val="21"/>
        </w:rPr>
      </w:pPr>
      <w:r>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rsidR="00D70AF9" w:rsidRDefault="00D1581D">
      <w:pPr>
        <w:spacing w:line="360" w:lineRule="auto"/>
        <w:ind w:firstLineChars="202" w:firstLine="424"/>
        <w:rPr>
          <w:szCs w:val="21"/>
        </w:rPr>
      </w:pPr>
      <w:r>
        <w:rPr>
          <w:rFonts w:hint="eastAsia"/>
          <w:szCs w:val="21"/>
        </w:rPr>
        <w:t>资产管理人应于</w:t>
      </w:r>
      <w:r>
        <w:rPr>
          <w:rFonts w:hint="eastAsia"/>
          <w:szCs w:val="21"/>
        </w:rPr>
        <w:t>T+2</w:t>
      </w:r>
      <w:r>
        <w:rPr>
          <w:rFonts w:hint="eastAsia"/>
          <w:szCs w:val="21"/>
        </w:rPr>
        <w:t>日前向托管账户补足相应资金，包括交收违约金额和利息、违约金（若有）及相关费用。资产托管人确认资产管理人按时足额补足全部应付资金后，应及时向中国结算申请将交收担保</w:t>
      </w:r>
      <w:proofErr w:type="gramStart"/>
      <w:r>
        <w:rPr>
          <w:rFonts w:hint="eastAsia"/>
          <w:szCs w:val="21"/>
        </w:rPr>
        <w:t>物划回资产</w:t>
      </w:r>
      <w:proofErr w:type="gramEnd"/>
      <w:r>
        <w:rPr>
          <w:rFonts w:hint="eastAsia"/>
          <w:szCs w:val="21"/>
        </w:rPr>
        <w:t>管理人证券账户。</w:t>
      </w:r>
      <w:proofErr w:type="gramStart"/>
      <w:r>
        <w:rPr>
          <w:rFonts w:hint="eastAsia"/>
          <w:szCs w:val="21"/>
        </w:rPr>
        <w:t>若资产</w:t>
      </w:r>
      <w:proofErr w:type="gramEnd"/>
      <w:r>
        <w:rPr>
          <w:rFonts w:hint="eastAsia"/>
          <w:szCs w:val="21"/>
        </w:rPr>
        <w:t>管理人未能于</w:t>
      </w:r>
      <w:r>
        <w:rPr>
          <w:rFonts w:hint="eastAsia"/>
          <w:szCs w:val="21"/>
        </w:rPr>
        <w:t>T+2</w:t>
      </w:r>
      <w:r>
        <w:rPr>
          <w:rFonts w:hint="eastAsia"/>
          <w:szCs w:val="21"/>
        </w:rPr>
        <w:t>日补足相应资金，</w:t>
      </w:r>
      <w:r>
        <w:rPr>
          <w:rFonts w:hint="eastAsia"/>
          <w:szCs w:val="21"/>
        </w:rPr>
        <w:t>T+3</w:t>
      </w:r>
      <w:r>
        <w:rPr>
          <w:rFonts w:hint="eastAsia"/>
          <w:szCs w:val="21"/>
        </w:rPr>
        <w:t>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担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D70AF9" w:rsidRDefault="00D1581D">
      <w:pPr>
        <w:spacing w:line="360" w:lineRule="auto"/>
        <w:ind w:firstLineChars="202" w:firstLine="424"/>
        <w:outlineLvl w:val="0"/>
        <w:rPr>
          <w:szCs w:val="21"/>
        </w:rPr>
      </w:pPr>
      <w:r>
        <w:rPr>
          <w:rFonts w:hint="eastAsia"/>
          <w:szCs w:val="21"/>
        </w:rPr>
        <w:t>（二）造成资产托管人对中国结算违约的：</w:t>
      </w:r>
    </w:p>
    <w:p w:rsidR="00D70AF9" w:rsidRDefault="00D1581D">
      <w:pPr>
        <w:spacing w:line="360" w:lineRule="auto"/>
        <w:ind w:firstLineChars="202" w:firstLine="424"/>
        <w:rPr>
          <w:szCs w:val="21"/>
        </w:rPr>
      </w:pPr>
      <w:r>
        <w:rPr>
          <w:rFonts w:hint="eastAsia"/>
          <w:szCs w:val="21"/>
        </w:rPr>
        <w:t>资产管理人</w:t>
      </w:r>
      <w:r>
        <w:rPr>
          <w:rFonts w:hint="eastAsia"/>
          <w:szCs w:val="21"/>
        </w:rPr>
        <w:t>T+1</w:t>
      </w:r>
      <w:r>
        <w:rPr>
          <w:rFonts w:hint="eastAsia"/>
          <w:szCs w:val="21"/>
        </w:rPr>
        <w:t>日无法足额履行资金交收时，应于</w:t>
      </w:r>
      <w:r>
        <w:rPr>
          <w:rFonts w:hint="eastAsia"/>
          <w:szCs w:val="21"/>
        </w:rPr>
        <w:t>T+1</w:t>
      </w:r>
      <w:r>
        <w:rPr>
          <w:rFonts w:hint="eastAsia"/>
          <w:szCs w:val="21"/>
        </w:rPr>
        <w:t>日下午</w:t>
      </w:r>
      <w:r>
        <w:rPr>
          <w:rFonts w:hint="eastAsia"/>
          <w:szCs w:val="21"/>
        </w:rPr>
        <w:t>14</w:t>
      </w:r>
      <w:r>
        <w:rPr>
          <w:rFonts w:hint="eastAsia"/>
          <w:szCs w:val="21"/>
        </w:rPr>
        <w:t>：</w:t>
      </w:r>
      <w:r>
        <w:rPr>
          <w:rFonts w:hint="eastAsia"/>
          <w:szCs w:val="21"/>
        </w:rPr>
        <w:t>00</w:t>
      </w:r>
      <w:r>
        <w:rPr>
          <w:rFonts w:hint="eastAsia"/>
          <w:szCs w:val="21"/>
        </w:rPr>
        <w:t>之前向资产托管人书面申报可足额弥补</w:t>
      </w:r>
      <w:r>
        <w:rPr>
          <w:rFonts w:hint="eastAsia"/>
          <w:szCs w:val="21"/>
        </w:rPr>
        <w:t>T+1</w:t>
      </w:r>
      <w:r>
        <w:rPr>
          <w:rFonts w:hint="eastAsia"/>
          <w:szCs w:val="21"/>
        </w:rPr>
        <w:t>日日</w:t>
      </w:r>
      <w:proofErr w:type="gramStart"/>
      <w:r>
        <w:rPr>
          <w:rFonts w:hint="eastAsia"/>
          <w:szCs w:val="21"/>
        </w:rPr>
        <w:t>终资金</w:t>
      </w:r>
      <w:proofErr w:type="gramEnd"/>
      <w:r>
        <w:rPr>
          <w:rFonts w:hint="eastAsia"/>
          <w:szCs w:val="21"/>
        </w:rPr>
        <w:t>交收违约金额的待处置证券，资产托管人应及时向中国结算完成申报。</w:t>
      </w:r>
    </w:p>
    <w:p w:rsidR="00D70AF9" w:rsidRDefault="00D1581D">
      <w:pPr>
        <w:spacing w:line="360" w:lineRule="auto"/>
        <w:ind w:firstLineChars="202" w:firstLine="424"/>
        <w:rPr>
          <w:szCs w:val="21"/>
        </w:rPr>
      </w:pPr>
      <w:r>
        <w:rPr>
          <w:rFonts w:hint="eastAsia"/>
          <w:szCs w:val="21"/>
        </w:rPr>
        <w:t>如资产管理人管理资产当日不涉及可售交收锁定证券的，应按前述（一）条款指定交收担保物。</w:t>
      </w:r>
      <w:proofErr w:type="gramStart"/>
      <w:r>
        <w:rPr>
          <w:rFonts w:hint="eastAsia"/>
          <w:szCs w:val="21"/>
        </w:rPr>
        <w:t>若资产</w:t>
      </w:r>
      <w:proofErr w:type="gramEnd"/>
      <w:r>
        <w:rPr>
          <w:rFonts w:hint="eastAsia"/>
          <w:szCs w:val="21"/>
        </w:rPr>
        <w:t>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rsidR="00D70AF9" w:rsidRDefault="00D1581D">
      <w:pPr>
        <w:spacing w:line="360" w:lineRule="auto"/>
        <w:ind w:firstLineChars="202" w:firstLine="424"/>
        <w:rPr>
          <w:szCs w:val="21"/>
        </w:rPr>
      </w:pPr>
      <w:r>
        <w:rPr>
          <w:rFonts w:hint="eastAsia"/>
          <w:szCs w:val="21"/>
        </w:rPr>
        <w:t>资产管理人于</w:t>
      </w:r>
      <w:r>
        <w:rPr>
          <w:rFonts w:hint="eastAsia"/>
          <w:szCs w:val="21"/>
        </w:rPr>
        <w:t>T+2</w:t>
      </w:r>
      <w:r>
        <w:rPr>
          <w:rFonts w:hint="eastAsia"/>
          <w:szCs w:val="21"/>
        </w:rPr>
        <w:t>日向资产托管人补足相应资金的，包括交收违约金额和利息、违约金（若有）及相关费用，资产托管人在中国结算规定时间前向中国结算补足上述资金，中国结算将相应证券账户</w:t>
      </w:r>
      <w:proofErr w:type="gramStart"/>
      <w:r>
        <w:rPr>
          <w:rFonts w:hint="eastAsia"/>
          <w:szCs w:val="21"/>
        </w:rPr>
        <w:t>中证券</w:t>
      </w:r>
      <w:proofErr w:type="gramEnd"/>
      <w:r>
        <w:rPr>
          <w:rFonts w:hint="eastAsia"/>
          <w:szCs w:val="21"/>
        </w:rPr>
        <w:t>的“待处置交收锁定”标识解除。</w:t>
      </w:r>
    </w:p>
    <w:p w:rsidR="00D70AF9" w:rsidRDefault="00D1581D">
      <w:pPr>
        <w:spacing w:line="360" w:lineRule="auto"/>
        <w:ind w:firstLineChars="202" w:firstLine="424"/>
        <w:rPr>
          <w:szCs w:val="21"/>
        </w:rPr>
      </w:pPr>
      <w:r>
        <w:rPr>
          <w:rFonts w:hint="eastAsia"/>
          <w:szCs w:val="21"/>
        </w:rPr>
        <w:t>T+3</w:t>
      </w:r>
      <w:r>
        <w:rPr>
          <w:rFonts w:hint="eastAsia"/>
          <w:szCs w:val="21"/>
        </w:rPr>
        <w:t>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w:t>
      </w:r>
      <w:proofErr w:type="gramStart"/>
      <w:r>
        <w:rPr>
          <w:rFonts w:hint="eastAsia"/>
          <w:szCs w:val="21"/>
        </w:rPr>
        <w:t>若资产</w:t>
      </w:r>
      <w:proofErr w:type="gramEnd"/>
      <w:r>
        <w:rPr>
          <w:rFonts w:hint="eastAsia"/>
          <w:szCs w:val="21"/>
        </w:rPr>
        <w:t>管理人未支付导致资产托管人垫付的，资产托管人将继续向资产管理人追索，并要求资产管理人进一步承担赔偿责任。</w:t>
      </w:r>
    </w:p>
    <w:p w:rsidR="00D70AF9" w:rsidRDefault="00D1581D">
      <w:pPr>
        <w:spacing w:line="360" w:lineRule="auto"/>
        <w:ind w:firstLineChars="202" w:firstLine="424"/>
        <w:rPr>
          <w:szCs w:val="21"/>
        </w:rPr>
      </w:pPr>
      <w:r>
        <w:rPr>
          <w:rFonts w:hint="eastAsia"/>
          <w:szCs w:val="21"/>
        </w:rPr>
        <w:t>第十九条</w:t>
      </w:r>
      <w:r>
        <w:rPr>
          <w:rFonts w:hint="eastAsia"/>
          <w:szCs w:val="21"/>
        </w:rPr>
        <w:t xml:space="preserve"> </w:t>
      </w:r>
      <w:r>
        <w:rPr>
          <w:rFonts w:hint="eastAsia"/>
          <w:szCs w:val="21"/>
        </w:rPr>
        <w:t>资产管理人应根据《债券质押式回购交易结算风险控制指引》内容建立健全内部风险控制机制，并结合自身风险承受能力，对融资回购规模、融资回购规模增长率、回购融资负债率、标准</w:t>
      </w:r>
      <w:proofErr w:type="gramStart"/>
      <w:r>
        <w:rPr>
          <w:rFonts w:hint="eastAsia"/>
          <w:szCs w:val="21"/>
        </w:rPr>
        <w:t>券</w:t>
      </w:r>
      <w:proofErr w:type="gramEnd"/>
      <w:r>
        <w:rPr>
          <w:rFonts w:hint="eastAsia"/>
          <w:szCs w:val="21"/>
        </w:rPr>
        <w:t>使用率、低信用等级质押</w:t>
      </w:r>
      <w:proofErr w:type="gramStart"/>
      <w:r>
        <w:rPr>
          <w:rFonts w:hint="eastAsia"/>
          <w:szCs w:val="21"/>
        </w:rPr>
        <w:t>券入</w:t>
      </w:r>
      <w:proofErr w:type="gramEnd"/>
      <w:r>
        <w:rPr>
          <w:rFonts w:hint="eastAsia"/>
          <w:szCs w:val="21"/>
        </w:rPr>
        <w:t>库占比、单一发行人质</w:t>
      </w:r>
      <w:proofErr w:type="gramStart"/>
      <w:r>
        <w:rPr>
          <w:rFonts w:hint="eastAsia"/>
          <w:szCs w:val="21"/>
        </w:rPr>
        <w:t>押券入库集中</w:t>
      </w:r>
      <w:proofErr w:type="gramEnd"/>
      <w:r>
        <w:rPr>
          <w:rFonts w:hint="eastAsia"/>
          <w:szCs w:val="21"/>
        </w:rPr>
        <w:t>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rsidR="00D70AF9" w:rsidRDefault="00D1581D">
      <w:pPr>
        <w:spacing w:line="360" w:lineRule="auto"/>
        <w:ind w:firstLineChars="202" w:firstLine="424"/>
        <w:rPr>
          <w:szCs w:val="21"/>
        </w:rPr>
      </w:pPr>
      <w:r>
        <w:rPr>
          <w:rFonts w:hint="eastAsia"/>
          <w:szCs w:val="21"/>
        </w:rPr>
        <w:t>第二十条</w:t>
      </w:r>
      <w:r>
        <w:rPr>
          <w:rFonts w:hint="eastAsia"/>
          <w:szCs w:val="21"/>
        </w:rPr>
        <w:t xml:space="preserve"> </w:t>
      </w:r>
      <w:r>
        <w:rPr>
          <w:rFonts w:hint="eastAsia"/>
          <w:szCs w:val="21"/>
        </w:rPr>
        <w:t>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w:t>
      </w:r>
      <w:proofErr w:type="gramStart"/>
      <w:r>
        <w:rPr>
          <w:rFonts w:hint="eastAsia"/>
          <w:szCs w:val="21"/>
        </w:rPr>
        <w:t>人应第一时间</w:t>
      </w:r>
      <w:proofErr w:type="gramEnd"/>
      <w:r>
        <w:rPr>
          <w:rFonts w:hint="eastAsia"/>
          <w:szCs w:val="21"/>
        </w:rPr>
        <w:t>配合资产托管人对违规情况进行处理，并向资产托管人反馈违规处理报告。</w:t>
      </w:r>
    </w:p>
    <w:p w:rsidR="00D70AF9" w:rsidRDefault="00D1581D">
      <w:pPr>
        <w:spacing w:line="360" w:lineRule="auto"/>
        <w:ind w:firstLineChars="202" w:firstLine="424"/>
        <w:rPr>
          <w:szCs w:val="21"/>
        </w:rPr>
      </w:pPr>
      <w:r>
        <w:rPr>
          <w:rFonts w:hint="eastAsia"/>
          <w:szCs w:val="21"/>
        </w:rPr>
        <w:t>第二十一条</w:t>
      </w:r>
      <w:r>
        <w:rPr>
          <w:rFonts w:hint="eastAsia"/>
          <w:szCs w:val="21"/>
        </w:rPr>
        <w:t xml:space="preserve"> </w:t>
      </w:r>
      <w:r>
        <w:rPr>
          <w:rFonts w:hint="eastAsia"/>
          <w:szCs w:val="21"/>
        </w:rPr>
        <w:t>为防范资产管理人管理资产参与交易所质押式回购类业务带来的资金交收风险，双方应遵守以下约定：</w:t>
      </w:r>
    </w:p>
    <w:p w:rsidR="00D70AF9" w:rsidRDefault="00D1581D">
      <w:pPr>
        <w:spacing w:line="360" w:lineRule="auto"/>
        <w:ind w:firstLineChars="202" w:firstLine="424"/>
        <w:rPr>
          <w:szCs w:val="21"/>
        </w:rPr>
      </w:pPr>
      <w:r>
        <w:rPr>
          <w:rFonts w:hint="eastAsia"/>
          <w:szCs w:val="21"/>
        </w:rPr>
        <w:t>（一）资产管理人应主动加强质押</w:t>
      </w:r>
      <w:proofErr w:type="gramStart"/>
      <w:r>
        <w:rPr>
          <w:rFonts w:hint="eastAsia"/>
          <w:szCs w:val="21"/>
        </w:rPr>
        <w:t>券</w:t>
      </w:r>
      <w:proofErr w:type="gramEnd"/>
      <w:r>
        <w:rPr>
          <w:rFonts w:hint="eastAsia"/>
          <w:szCs w:val="21"/>
        </w:rPr>
        <w:t>管理，对于可能发生欠库的产品应及时主动进行补</w:t>
      </w:r>
      <w:proofErr w:type="gramStart"/>
      <w:r>
        <w:rPr>
          <w:rFonts w:hint="eastAsia"/>
          <w:szCs w:val="21"/>
        </w:rPr>
        <w:t>券</w:t>
      </w:r>
      <w:proofErr w:type="gramEnd"/>
      <w:r>
        <w:rPr>
          <w:rFonts w:hint="eastAsia"/>
          <w:szCs w:val="21"/>
        </w:rPr>
        <w:t>或提交现金担保品。资产托管人发现资产管理人有可能发生欠库的，资产托管人应通知资产管理人补</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管理人无法进行补</w:t>
      </w:r>
      <w:proofErr w:type="gramStart"/>
      <w:r>
        <w:rPr>
          <w:rFonts w:hint="eastAsia"/>
          <w:szCs w:val="21"/>
        </w:rPr>
        <w:t>券</w:t>
      </w:r>
      <w:proofErr w:type="gramEnd"/>
      <w:r>
        <w:rPr>
          <w:rFonts w:hint="eastAsia"/>
          <w:szCs w:val="21"/>
        </w:rPr>
        <w:t>，需要提交现金担保品的，应当在</w:t>
      </w:r>
      <w:r>
        <w:rPr>
          <w:rFonts w:hint="eastAsia"/>
          <w:szCs w:val="21"/>
        </w:rPr>
        <w:t>T+1</w:t>
      </w:r>
      <w:r>
        <w:rPr>
          <w:rFonts w:hint="eastAsia"/>
          <w:szCs w:val="21"/>
        </w:rPr>
        <w:t>日</w:t>
      </w:r>
      <w:r>
        <w:rPr>
          <w:rFonts w:hint="eastAsia"/>
          <w:szCs w:val="21"/>
        </w:rPr>
        <w:t>11</w:t>
      </w:r>
      <w:r>
        <w:rPr>
          <w:rFonts w:hint="eastAsia"/>
          <w:szCs w:val="21"/>
        </w:rPr>
        <w:t>点前，按照资产托管人要求发送现金担保品划款指令。资产管理人有义务配合补</w:t>
      </w:r>
      <w:proofErr w:type="gramStart"/>
      <w:r>
        <w:rPr>
          <w:rFonts w:hint="eastAsia"/>
          <w:szCs w:val="21"/>
        </w:rPr>
        <w:t>券</w:t>
      </w:r>
      <w:proofErr w:type="gramEnd"/>
      <w:r>
        <w:rPr>
          <w:rFonts w:hint="eastAsia"/>
          <w:szCs w:val="21"/>
        </w:rPr>
        <w:t>、提交现金担保品并根据通知要求反馈资产托管人相关信息。</w:t>
      </w:r>
    </w:p>
    <w:p w:rsidR="00D70AF9" w:rsidRDefault="00D1581D">
      <w:pPr>
        <w:spacing w:line="360" w:lineRule="auto"/>
        <w:ind w:firstLineChars="202" w:firstLine="424"/>
        <w:rPr>
          <w:szCs w:val="21"/>
        </w:rPr>
      </w:pPr>
      <w:r>
        <w:rPr>
          <w:rFonts w:hint="eastAsia"/>
          <w:szCs w:val="21"/>
        </w:rPr>
        <w:t>（二）</w:t>
      </w:r>
      <w:proofErr w:type="gramStart"/>
      <w:r>
        <w:rPr>
          <w:rFonts w:hint="eastAsia"/>
          <w:szCs w:val="21"/>
        </w:rPr>
        <w:t>若资产</w:t>
      </w:r>
      <w:proofErr w:type="gramEnd"/>
      <w:r>
        <w:rPr>
          <w:rFonts w:hint="eastAsia"/>
          <w:szCs w:val="21"/>
        </w:rPr>
        <w:t>管理人未按要求完成补</w:t>
      </w:r>
      <w:proofErr w:type="gramStart"/>
      <w:r>
        <w:rPr>
          <w:rFonts w:hint="eastAsia"/>
          <w:szCs w:val="21"/>
        </w:rPr>
        <w:t>券</w:t>
      </w:r>
      <w:proofErr w:type="gramEnd"/>
      <w:r>
        <w:rPr>
          <w:rFonts w:hint="eastAsia"/>
          <w:szCs w:val="21"/>
        </w:rPr>
        <w:t>，造成欠库的，资产管理人应及时弥补回购欠库扣款金额，并补充提交质押</w:t>
      </w:r>
      <w:proofErr w:type="gramStart"/>
      <w:r>
        <w:rPr>
          <w:rFonts w:hint="eastAsia"/>
          <w:szCs w:val="21"/>
        </w:rPr>
        <w:t>券</w:t>
      </w:r>
      <w:proofErr w:type="gramEnd"/>
      <w:r>
        <w:rPr>
          <w:rFonts w:hint="eastAsia"/>
          <w:szCs w:val="21"/>
        </w:rPr>
        <w:t>或压缩融资规模，若出现连续欠库，资产管理人应根据《中国证券登记结算有限责任公司上海</w:t>
      </w:r>
      <w:r>
        <w:rPr>
          <w:rFonts w:hint="eastAsia"/>
          <w:szCs w:val="21"/>
        </w:rPr>
        <w:t>/</w:t>
      </w:r>
      <w:r>
        <w:rPr>
          <w:rFonts w:hint="eastAsia"/>
          <w:szCs w:val="21"/>
        </w:rPr>
        <w:t>深圳分公司结算账户管理及资金结算业务指南》相关规定，交付回购欠库扣款金额和欠库违约金，履行资金交收义务。</w:t>
      </w:r>
    </w:p>
    <w:p w:rsidR="00D70AF9" w:rsidRDefault="00D1581D">
      <w:pPr>
        <w:spacing w:line="360" w:lineRule="auto"/>
        <w:ind w:firstLineChars="202" w:firstLine="424"/>
        <w:rPr>
          <w:szCs w:val="21"/>
        </w:rPr>
      </w:pPr>
      <w:r>
        <w:rPr>
          <w:rFonts w:hint="eastAsia"/>
          <w:szCs w:val="21"/>
        </w:rPr>
        <w:t>第二十二条</w:t>
      </w:r>
      <w:r>
        <w:rPr>
          <w:rFonts w:hint="eastAsia"/>
          <w:szCs w:val="21"/>
        </w:rPr>
        <w:t xml:space="preserve"> </w:t>
      </w:r>
      <w:r>
        <w:rPr>
          <w:rFonts w:hint="eastAsia"/>
          <w:szCs w:val="21"/>
        </w:rPr>
        <w:t>资产管理人应积极采取各项措施履行回购交易资金交收义务，包括并不限于：采用自有或其他资金及时补足待交收金额。若因资产管理</w:t>
      </w:r>
      <w:proofErr w:type="gramStart"/>
      <w:r>
        <w:rPr>
          <w:rFonts w:hint="eastAsia"/>
          <w:szCs w:val="21"/>
        </w:rPr>
        <w:t>人原因</w:t>
      </w:r>
      <w:proofErr w:type="gramEnd"/>
      <w:r>
        <w:rPr>
          <w:rFonts w:hint="eastAsia"/>
          <w:szCs w:val="21"/>
        </w:rPr>
        <w:t>发生资金交收违约，资产托管人有权对违约资金账户及资产管理人的其他资金结算账户（</w:t>
      </w:r>
      <w:proofErr w:type="gramStart"/>
      <w:r>
        <w:rPr>
          <w:rFonts w:hint="eastAsia"/>
          <w:szCs w:val="21"/>
        </w:rPr>
        <w:t>托管户</w:t>
      </w:r>
      <w:proofErr w:type="gramEnd"/>
      <w:r>
        <w:rPr>
          <w:rFonts w:hint="eastAsia"/>
          <w:szCs w:val="21"/>
        </w:rPr>
        <w:t>除外）实施见</w:t>
      </w:r>
      <w:proofErr w:type="gramStart"/>
      <w:r>
        <w:rPr>
          <w:rFonts w:hint="eastAsia"/>
          <w:szCs w:val="21"/>
        </w:rPr>
        <w:t>款即扣等</w:t>
      </w:r>
      <w:proofErr w:type="gramEnd"/>
      <w:r>
        <w:rPr>
          <w:rFonts w:hint="eastAsia"/>
          <w:szCs w:val="21"/>
        </w:rPr>
        <w:t>方式，以及按照本协议第二十三条相关条款对资产管理人实施风险管理措施。资产管理人知晓并确认，资产管理人管理资产中提交入库的债券将作为资产托管人相关结算备付金账户偿还融资回购到期购回款的质押</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管理人债券回购交收违约，资产托管人有权依照中国结算相关规则进行处理。具体处理方式如下：</w:t>
      </w:r>
    </w:p>
    <w:p w:rsidR="00D70AF9" w:rsidRDefault="00D1581D">
      <w:pPr>
        <w:spacing w:line="360" w:lineRule="auto"/>
        <w:ind w:firstLineChars="202" w:firstLine="424"/>
        <w:rPr>
          <w:szCs w:val="21"/>
        </w:rPr>
      </w:pPr>
      <w:r>
        <w:rPr>
          <w:rFonts w:hint="eastAsia"/>
          <w:szCs w:val="21"/>
        </w:rPr>
        <w:t>（一）如发生资金交收违约风险，资产管理人认可并同意以下事项：</w:t>
      </w:r>
    </w:p>
    <w:p w:rsidR="00D70AF9" w:rsidRDefault="00D1581D">
      <w:pPr>
        <w:spacing w:line="360" w:lineRule="auto"/>
        <w:ind w:firstLineChars="202" w:firstLine="424"/>
        <w:rPr>
          <w:szCs w:val="21"/>
        </w:rPr>
      </w:pPr>
      <w:r>
        <w:rPr>
          <w:rFonts w:hint="eastAsia"/>
          <w:szCs w:val="21"/>
        </w:rPr>
        <w:t>资产管理人或其管理的资产应在融资回购业务应付资金交收违约后的第一个交易日</w:t>
      </w:r>
      <w:r>
        <w:rPr>
          <w:rFonts w:hint="eastAsia"/>
          <w:szCs w:val="21"/>
        </w:rPr>
        <w:t>12</w:t>
      </w:r>
      <w:r>
        <w:rPr>
          <w:rFonts w:hint="eastAsia"/>
          <w:szCs w:val="21"/>
        </w:rPr>
        <w:t>︰</w:t>
      </w:r>
      <w:r>
        <w:rPr>
          <w:rFonts w:hint="eastAsia"/>
          <w:szCs w:val="21"/>
        </w:rPr>
        <w:t>00</w:t>
      </w:r>
      <w:r>
        <w:rPr>
          <w:rFonts w:hint="eastAsia"/>
          <w:szCs w:val="21"/>
        </w:rPr>
        <w:t>前，支付融资回购业务应付资金及违约金。资产管理人未支付融资回购业务应付资金及违约金的，资产管理人应向资产托管人具体指定违约资产证券账户中足额可供处置的质押</w:t>
      </w:r>
      <w:proofErr w:type="gramStart"/>
      <w:r>
        <w:rPr>
          <w:rFonts w:hint="eastAsia"/>
          <w:szCs w:val="21"/>
        </w:rPr>
        <w:t>券</w:t>
      </w:r>
      <w:proofErr w:type="gramEnd"/>
      <w:r>
        <w:rPr>
          <w:rFonts w:hint="eastAsia"/>
          <w:szCs w:val="21"/>
        </w:rPr>
        <w:t>明细（质押</w:t>
      </w:r>
      <w:proofErr w:type="gramStart"/>
      <w:r>
        <w:rPr>
          <w:rFonts w:hint="eastAsia"/>
          <w:szCs w:val="21"/>
        </w:rPr>
        <w:t>券</w:t>
      </w:r>
      <w:proofErr w:type="gramEnd"/>
      <w:r>
        <w:rPr>
          <w:rFonts w:hint="eastAsia"/>
          <w:szCs w:val="21"/>
        </w:rPr>
        <w:t>种类、数量和处置顺序）；资产托管人有权按照中国证监会、交易所、中国结算等机构制定的有关规定，要求资产管理人处置该违约资产。</w:t>
      </w:r>
      <w:proofErr w:type="gramStart"/>
      <w:r>
        <w:rPr>
          <w:rFonts w:hint="eastAsia"/>
          <w:szCs w:val="21"/>
        </w:rPr>
        <w:t>若资产</w:t>
      </w:r>
      <w:proofErr w:type="gramEnd"/>
      <w:r>
        <w:rPr>
          <w:rFonts w:hint="eastAsia"/>
          <w:szCs w:val="21"/>
        </w:rPr>
        <w:t>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D70AF9" w:rsidRDefault="00D1581D">
      <w:pPr>
        <w:spacing w:line="360" w:lineRule="auto"/>
        <w:ind w:firstLineChars="202" w:firstLine="424"/>
        <w:rPr>
          <w:szCs w:val="21"/>
        </w:rPr>
      </w:pPr>
      <w:r>
        <w:rPr>
          <w:rFonts w:hint="eastAsia"/>
          <w:szCs w:val="21"/>
        </w:rPr>
        <w:t>（二）资产管理人管理的违约资产中，可供处分的质押</w:t>
      </w:r>
      <w:proofErr w:type="gramStart"/>
      <w:r>
        <w:rPr>
          <w:rFonts w:hint="eastAsia"/>
          <w:szCs w:val="21"/>
        </w:rPr>
        <w:t>券</w:t>
      </w:r>
      <w:proofErr w:type="gramEnd"/>
      <w:r>
        <w:rPr>
          <w:rFonts w:hint="eastAsia"/>
          <w:szCs w:val="21"/>
        </w:rPr>
        <w:t>处分所得不足以弥补其相关未支付融资回购业务应付资金、利息、违约金及处分质押</w:t>
      </w:r>
      <w:proofErr w:type="gramStart"/>
      <w:r>
        <w:rPr>
          <w:rFonts w:hint="eastAsia"/>
          <w:szCs w:val="21"/>
        </w:rPr>
        <w:t>券</w:t>
      </w:r>
      <w:proofErr w:type="gramEnd"/>
      <w:r>
        <w:rPr>
          <w:rFonts w:hint="eastAsia"/>
          <w:szCs w:val="21"/>
        </w:rPr>
        <w:t>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rsidR="00D70AF9" w:rsidRDefault="00D1581D">
      <w:pPr>
        <w:spacing w:line="360" w:lineRule="auto"/>
        <w:ind w:firstLineChars="202" w:firstLine="424"/>
        <w:rPr>
          <w:szCs w:val="21"/>
        </w:rPr>
      </w:pPr>
      <w:r>
        <w:rPr>
          <w:rFonts w:hint="eastAsia"/>
          <w:szCs w:val="21"/>
        </w:rPr>
        <w:t>第二十三条</w:t>
      </w:r>
      <w:r>
        <w:rPr>
          <w:rFonts w:hint="eastAsia"/>
          <w:szCs w:val="21"/>
        </w:rPr>
        <w:t xml:space="preserve"> </w:t>
      </w:r>
      <w:r>
        <w:rPr>
          <w:rFonts w:hint="eastAsia"/>
          <w:szCs w:val="21"/>
        </w:rPr>
        <w:t>资产托管人根据自身的风险控制管理要求，有权基于资产管理人以下风险特征对资产管理人采取差异化的风险管理措施：</w:t>
      </w:r>
    </w:p>
    <w:p w:rsidR="00D70AF9" w:rsidRDefault="00D1581D">
      <w:pPr>
        <w:spacing w:line="360" w:lineRule="auto"/>
        <w:ind w:firstLineChars="202" w:firstLine="424"/>
        <w:rPr>
          <w:szCs w:val="21"/>
        </w:rPr>
      </w:pPr>
      <w:r>
        <w:rPr>
          <w:rFonts w:hint="eastAsia"/>
          <w:szCs w:val="21"/>
        </w:rPr>
        <w:t>（一）连续</w:t>
      </w:r>
      <w:r>
        <w:rPr>
          <w:rFonts w:hint="eastAsia"/>
          <w:szCs w:val="21"/>
        </w:rPr>
        <w:t>5</w:t>
      </w:r>
      <w:r>
        <w:rPr>
          <w:rFonts w:hint="eastAsia"/>
          <w:szCs w:val="21"/>
        </w:rPr>
        <w:t>个交易日出现融资负债率超</w:t>
      </w:r>
      <w:r>
        <w:rPr>
          <w:rFonts w:hint="eastAsia"/>
          <w:szCs w:val="21"/>
        </w:rPr>
        <w:t>80%</w:t>
      </w:r>
      <w:r>
        <w:rPr>
          <w:rFonts w:hint="eastAsia"/>
          <w:szCs w:val="21"/>
        </w:rPr>
        <w:t>（利率类债券</w:t>
      </w:r>
      <w:proofErr w:type="gramStart"/>
      <w:r>
        <w:rPr>
          <w:rFonts w:hint="eastAsia"/>
          <w:szCs w:val="21"/>
        </w:rPr>
        <w:t>入库占</w:t>
      </w:r>
      <w:proofErr w:type="gramEnd"/>
      <w:r>
        <w:rPr>
          <w:rFonts w:hint="eastAsia"/>
          <w:szCs w:val="21"/>
        </w:rPr>
        <w:t>比超过</w:t>
      </w:r>
      <w:r>
        <w:rPr>
          <w:rFonts w:hint="eastAsia"/>
          <w:szCs w:val="21"/>
        </w:rPr>
        <w:t>80%</w:t>
      </w:r>
      <w:r>
        <w:rPr>
          <w:rFonts w:hint="eastAsia"/>
          <w:szCs w:val="21"/>
        </w:rPr>
        <w:t>的，该比例可放宽至</w:t>
      </w:r>
      <w:r>
        <w:rPr>
          <w:rFonts w:hint="eastAsia"/>
          <w:szCs w:val="21"/>
        </w:rPr>
        <w:t>90%</w:t>
      </w:r>
      <w:r>
        <w:rPr>
          <w:rFonts w:hint="eastAsia"/>
          <w:szCs w:val="21"/>
        </w:rPr>
        <w:t>）；</w:t>
      </w:r>
    </w:p>
    <w:p w:rsidR="00D70AF9" w:rsidRDefault="00D1581D">
      <w:pPr>
        <w:spacing w:line="360" w:lineRule="auto"/>
        <w:ind w:firstLineChars="202" w:firstLine="424"/>
        <w:rPr>
          <w:szCs w:val="21"/>
        </w:rPr>
      </w:pPr>
      <w:r>
        <w:rPr>
          <w:rFonts w:hint="eastAsia"/>
          <w:szCs w:val="21"/>
        </w:rPr>
        <w:t>（二）连续</w:t>
      </w:r>
      <w:r>
        <w:rPr>
          <w:rFonts w:hint="eastAsia"/>
          <w:szCs w:val="21"/>
        </w:rPr>
        <w:t>5</w:t>
      </w:r>
      <w:r>
        <w:rPr>
          <w:rFonts w:hint="eastAsia"/>
          <w:szCs w:val="21"/>
        </w:rPr>
        <w:t>个交易日出现</w:t>
      </w:r>
      <w:r>
        <w:rPr>
          <w:rFonts w:hint="eastAsia"/>
          <w:szCs w:val="21"/>
        </w:rPr>
        <w:t>AA+</w:t>
      </w:r>
      <w:r>
        <w:rPr>
          <w:rFonts w:hint="eastAsia"/>
          <w:szCs w:val="21"/>
        </w:rPr>
        <w:t>级、</w:t>
      </w:r>
      <w:r>
        <w:rPr>
          <w:rFonts w:hint="eastAsia"/>
          <w:szCs w:val="21"/>
        </w:rPr>
        <w:t xml:space="preserve">AA </w:t>
      </w:r>
      <w:r>
        <w:rPr>
          <w:rFonts w:hint="eastAsia"/>
          <w:szCs w:val="21"/>
        </w:rPr>
        <w:t>级信用债入库集中度占比超过</w:t>
      </w:r>
      <w:r>
        <w:rPr>
          <w:rFonts w:hint="eastAsia"/>
          <w:szCs w:val="21"/>
        </w:rPr>
        <w:t xml:space="preserve"> 10%</w:t>
      </w:r>
      <w:r>
        <w:rPr>
          <w:rFonts w:hint="eastAsia"/>
          <w:szCs w:val="21"/>
        </w:rPr>
        <w:t>；</w:t>
      </w:r>
    </w:p>
    <w:p w:rsidR="00D70AF9" w:rsidRDefault="00D1581D">
      <w:pPr>
        <w:spacing w:line="360" w:lineRule="auto"/>
        <w:ind w:firstLineChars="202" w:firstLine="424"/>
        <w:rPr>
          <w:szCs w:val="21"/>
        </w:rPr>
      </w:pPr>
      <w:r>
        <w:rPr>
          <w:rFonts w:hint="eastAsia"/>
          <w:szCs w:val="21"/>
        </w:rPr>
        <w:t>（三）连续</w:t>
      </w:r>
      <w:r>
        <w:rPr>
          <w:rFonts w:hint="eastAsia"/>
          <w:szCs w:val="21"/>
        </w:rPr>
        <w:t>5</w:t>
      </w:r>
      <w:r>
        <w:rPr>
          <w:rFonts w:hint="eastAsia"/>
          <w:szCs w:val="21"/>
        </w:rPr>
        <w:t>个交易日出现单一发行人信用类债券入库担保集中度超标，即：对于上月日均回购未到期规模小于</w:t>
      </w:r>
      <w:r>
        <w:rPr>
          <w:rFonts w:hint="eastAsia"/>
          <w:szCs w:val="21"/>
        </w:rPr>
        <w:t>2</w:t>
      </w:r>
      <w:r>
        <w:rPr>
          <w:rFonts w:hint="eastAsia"/>
          <w:szCs w:val="21"/>
        </w:rPr>
        <w:t>亿元的，单一发行人信用类债券入库担保集中度高于</w:t>
      </w:r>
      <w:r>
        <w:rPr>
          <w:rFonts w:hint="eastAsia"/>
          <w:szCs w:val="21"/>
        </w:rPr>
        <w:t>50%</w:t>
      </w:r>
      <w:r>
        <w:rPr>
          <w:rFonts w:hint="eastAsia"/>
          <w:szCs w:val="21"/>
        </w:rPr>
        <w:t>；对于上月日均回购未到期规模大于</w:t>
      </w:r>
      <w:r>
        <w:rPr>
          <w:rFonts w:hint="eastAsia"/>
          <w:szCs w:val="21"/>
        </w:rPr>
        <w:t>2</w:t>
      </w:r>
      <w:r>
        <w:rPr>
          <w:rFonts w:hint="eastAsia"/>
          <w:szCs w:val="21"/>
        </w:rPr>
        <w:t>亿元（含</w:t>
      </w:r>
      <w:r>
        <w:rPr>
          <w:rFonts w:hint="eastAsia"/>
          <w:szCs w:val="21"/>
        </w:rPr>
        <w:t>2</w:t>
      </w:r>
      <w:r>
        <w:rPr>
          <w:rFonts w:hint="eastAsia"/>
          <w:szCs w:val="21"/>
        </w:rPr>
        <w:t>亿元）的，单一发行人信用类债券入库担保集中度高于</w:t>
      </w:r>
      <w:r>
        <w:rPr>
          <w:rFonts w:hint="eastAsia"/>
          <w:szCs w:val="21"/>
        </w:rPr>
        <w:t>30%</w:t>
      </w:r>
      <w:r>
        <w:rPr>
          <w:rFonts w:hint="eastAsia"/>
          <w:szCs w:val="21"/>
        </w:rPr>
        <w:t>；</w:t>
      </w:r>
      <w:r>
        <w:rPr>
          <w:rFonts w:hint="eastAsia"/>
          <w:szCs w:val="21"/>
        </w:rPr>
        <w:t xml:space="preserve"> </w:t>
      </w:r>
    </w:p>
    <w:p w:rsidR="00D70AF9" w:rsidRDefault="00D1581D">
      <w:pPr>
        <w:spacing w:line="360" w:lineRule="auto"/>
        <w:ind w:firstLineChars="202" w:firstLine="424"/>
        <w:rPr>
          <w:szCs w:val="21"/>
        </w:rPr>
      </w:pPr>
      <w:r>
        <w:rPr>
          <w:rFonts w:hint="eastAsia"/>
          <w:szCs w:val="21"/>
        </w:rPr>
        <w:t>（四）一个自然月内出现</w:t>
      </w:r>
      <w:r>
        <w:rPr>
          <w:rFonts w:hint="eastAsia"/>
          <w:szCs w:val="21"/>
        </w:rPr>
        <w:t>1</w:t>
      </w:r>
      <w:r>
        <w:rPr>
          <w:rFonts w:hint="eastAsia"/>
          <w:szCs w:val="21"/>
        </w:rPr>
        <w:t>次及以上资金交收违约；</w:t>
      </w:r>
    </w:p>
    <w:p w:rsidR="00D70AF9" w:rsidRDefault="00D1581D">
      <w:pPr>
        <w:spacing w:line="360" w:lineRule="auto"/>
        <w:ind w:firstLineChars="202" w:firstLine="424"/>
        <w:rPr>
          <w:szCs w:val="21"/>
        </w:rPr>
      </w:pPr>
      <w:r>
        <w:rPr>
          <w:rFonts w:hint="eastAsia"/>
          <w:szCs w:val="21"/>
        </w:rPr>
        <w:t>（五）一个自然月内累计出现</w:t>
      </w:r>
      <w:r>
        <w:rPr>
          <w:rFonts w:hint="eastAsia"/>
          <w:szCs w:val="21"/>
        </w:rPr>
        <w:t>2</w:t>
      </w:r>
      <w:r>
        <w:rPr>
          <w:rFonts w:hint="eastAsia"/>
          <w:szCs w:val="21"/>
        </w:rPr>
        <w:t>日（含</w:t>
      </w:r>
      <w:r>
        <w:rPr>
          <w:rFonts w:hint="eastAsia"/>
          <w:szCs w:val="21"/>
        </w:rPr>
        <w:t>2</w:t>
      </w:r>
      <w:r>
        <w:rPr>
          <w:rFonts w:hint="eastAsia"/>
          <w:szCs w:val="21"/>
        </w:rPr>
        <w:t>日）以上发生回购欠库的情形；</w:t>
      </w:r>
    </w:p>
    <w:p w:rsidR="00D70AF9" w:rsidRDefault="00D1581D">
      <w:pPr>
        <w:spacing w:line="360" w:lineRule="auto"/>
        <w:ind w:firstLineChars="202" w:firstLine="424"/>
        <w:rPr>
          <w:szCs w:val="21"/>
        </w:rPr>
      </w:pPr>
      <w:r>
        <w:rPr>
          <w:rFonts w:hint="eastAsia"/>
          <w:szCs w:val="21"/>
        </w:rPr>
        <w:t>（六）资产托管人认定的其他高风险情形。</w:t>
      </w:r>
    </w:p>
    <w:p w:rsidR="00D70AF9" w:rsidRDefault="00D1581D">
      <w:pPr>
        <w:spacing w:line="360" w:lineRule="auto"/>
        <w:ind w:firstLineChars="202" w:firstLine="424"/>
        <w:rPr>
          <w:szCs w:val="21"/>
        </w:rPr>
      </w:pPr>
      <w:r>
        <w:rPr>
          <w:rFonts w:hint="eastAsia"/>
          <w:szCs w:val="21"/>
        </w:rPr>
        <w:t>资产托管人采取</w:t>
      </w:r>
      <w:proofErr w:type="gramStart"/>
      <w:r>
        <w:rPr>
          <w:rFonts w:hint="eastAsia"/>
          <w:szCs w:val="21"/>
        </w:rPr>
        <w:t>的风控措施</w:t>
      </w:r>
      <w:proofErr w:type="gramEnd"/>
      <w:r>
        <w:rPr>
          <w:rFonts w:hint="eastAsia"/>
          <w:szCs w:val="21"/>
        </w:rPr>
        <w:t>包括并不限于：</w:t>
      </w:r>
    </w:p>
    <w:p w:rsidR="00D70AF9" w:rsidRDefault="00D1581D">
      <w:pPr>
        <w:spacing w:line="360" w:lineRule="auto"/>
        <w:ind w:firstLineChars="202" w:firstLine="424"/>
        <w:rPr>
          <w:szCs w:val="21"/>
        </w:rPr>
      </w:pPr>
      <w:r>
        <w:rPr>
          <w:rFonts w:hint="eastAsia"/>
          <w:szCs w:val="21"/>
        </w:rPr>
        <w:t>（一）要求其降低回购规模或将交易所债券质押式回购调整为</w:t>
      </w:r>
      <w:proofErr w:type="gramStart"/>
      <w:r>
        <w:rPr>
          <w:rFonts w:hint="eastAsia"/>
          <w:szCs w:val="21"/>
        </w:rPr>
        <w:t>协议式正回购</w:t>
      </w:r>
      <w:proofErr w:type="gramEnd"/>
      <w:r>
        <w:rPr>
          <w:rFonts w:hint="eastAsia"/>
          <w:szCs w:val="21"/>
        </w:rPr>
        <w:t>；</w:t>
      </w:r>
      <w:r>
        <w:rPr>
          <w:rFonts w:hint="eastAsia"/>
          <w:szCs w:val="21"/>
        </w:rPr>
        <w:t xml:space="preserve"> </w:t>
      </w:r>
    </w:p>
    <w:p w:rsidR="00D70AF9" w:rsidRDefault="00D1581D">
      <w:pPr>
        <w:spacing w:line="360" w:lineRule="auto"/>
        <w:ind w:firstLineChars="202" w:firstLine="424"/>
        <w:rPr>
          <w:szCs w:val="21"/>
        </w:rPr>
      </w:pPr>
      <w:r>
        <w:rPr>
          <w:rFonts w:hint="eastAsia"/>
          <w:szCs w:val="21"/>
        </w:rPr>
        <w:t>（二）要求其降低某只或某些债券的</w:t>
      </w:r>
      <w:proofErr w:type="gramStart"/>
      <w:r>
        <w:rPr>
          <w:rFonts w:hint="eastAsia"/>
          <w:szCs w:val="21"/>
        </w:rPr>
        <w:t>入库占</w:t>
      </w:r>
      <w:proofErr w:type="gramEnd"/>
      <w:r>
        <w:rPr>
          <w:rFonts w:hint="eastAsia"/>
          <w:szCs w:val="21"/>
        </w:rPr>
        <w:t>比或置换交易所质押</w:t>
      </w:r>
      <w:proofErr w:type="gramStart"/>
      <w:r>
        <w:rPr>
          <w:rFonts w:hint="eastAsia"/>
          <w:szCs w:val="21"/>
        </w:rPr>
        <w:t>券</w:t>
      </w:r>
      <w:proofErr w:type="gramEnd"/>
      <w:r>
        <w:rPr>
          <w:rFonts w:hint="eastAsia"/>
          <w:szCs w:val="21"/>
        </w:rPr>
        <w:t>；</w:t>
      </w:r>
      <w:r>
        <w:rPr>
          <w:rFonts w:hint="eastAsia"/>
          <w:szCs w:val="21"/>
        </w:rPr>
        <w:t xml:space="preserve"> </w:t>
      </w:r>
    </w:p>
    <w:p w:rsidR="00D70AF9" w:rsidRDefault="00D1581D">
      <w:pPr>
        <w:spacing w:line="360" w:lineRule="auto"/>
        <w:ind w:firstLineChars="202" w:firstLine="424"/>
        <w:rPr>
          <w:szCs w:val="21"/>
        </w:rPr>
      </w:pPr>
      <w:r>
        <w:rPr>
          <w:rFonts w:hint="eastAsia"/>
          <w:szCs w:val="21"/>
        </w:rPr>
        <w:t>（三）对托管资产征收额外结算保证金、最低备付金；</w:t>
      </w:r>
      <w:r>
        <w:rPr>
          <w:rFonts w:hint="eastAsia"/>
          <w:szCs w:val="21"/>
        </w:rPr>
        <w:t xml:space="preserve"> </w:t>
      </w:r>
    </w:p>
    <w:p w:rsidR="00D70AF9" w:rsidRDefault="00D1581D">
      <w:pPr>
        <w:spacing w:line="360" w:lineRule="auto"/>
        <w:ind w:firstLineChars="202" w:firstLine="424"/>
        <w:rPr>
          <w:szCs w:val="21"/>
        </w:rPr>
      </w:pPr>
      <w:r>
        <w:rPr>
          <w:rFonts w:hint="eastAsia"/>
          <w:szCs w:val="21"/>
        </w:rPr>
        <w:t>（四）提请中国结算、证券交易所或其他全国性证券交易场所对托管资产采取相关自律监管措施，或者限制其融资回购交易；</w:t>
      </w:r>
      <w:r>
        <w:rPr>
          <w:rFonts w:hint="eastAsia"/>
          <w:szCs w:val="21"/>
        </w:rPr>
        <w:t xml:space="preserve"> </w:t>
      </w:r>
    </w:p>
    <w:p w:rsidR="00D70AF9" w:rsidRDefault="00D1581D">
      <w:pPr>
        <w:spacing w:line="360" w:lineRule="auto"/>
        <w:ind w:firstLineChars="202" w:firstLine="424"/>
        <w:rPr>
          <w:szCs w:val="21"/>
        </w:rPr>
      </w:pPr>
      <w:r>
        <w:rPr>
          <w:rFonts w:hint="eastAsia"/>
          <w:szCs w:val="21"/>
        </w:rPr>
        <w:t>（五）按照中国结算标准计收违约资金的利息和违约金；</w:t>
      </w:r>
    </w:p>
    <w:p w:rsidR="00D70AF9" w:rsidRDefault="00D1581D">
      <w:pPr>
        <w:spacing w:line="360" w:lineRule="auto"/>
        <w:ind w:firstLineChars="202" w:firstLine="424"/>
        <w:rPr>
          <w:szCs w:val="21"/>
        </w:rPr>
      </w:pPr>
      <w:r>
        <w:rPr>
          <w:rFonts w:hint="eastAsia"/>
          <w:szCs w:val="21"/>
        </w:rPr>
        <w:t>（六）调高资产管理人管理的托管资产的最低备付金比例；</w:t>
      </w:r>
    </w:p>
    <w:p w:rsidR="00D70AF9" w:rsidRDefault="00D1581D">
      <w:pPr>
        <w:spacing w:line="360" w:lineRule="auto"/>
        <w:ind w:firstLineChars="202" w:firstLine="424"/>
        <w:rPr>
          <w:szCs w:val="21"/>
        </w:rPr>
      </w:pPr>
      <w:r>
        <w:rPr>
          <w:rFonts w:hint="eastAsia"/>
          <w:szCs w:val="21"/>
        </w:rPr>
        <w:t>（七）向中国证监会各派出机构或行业协会报告；</w:t>
      </w:r>
      <w:r>
        <w:rPr>
          <w:rFonts w:hint="eastAsia"/>
          <w:szCs w:val="21"/>
        </w:rPr>
        <w:t xml:space="preserve"> </w:t>
      </w:r>
    </w:p>
    <w:p w:rsidR="00D70AF9" w:rsidRDefault="00D1581D">
      <w:pPr>
        <w:spacing w:line="360" w:lineRule="auto"/>
        <w:ind w:firstLineChars="202" w:firstLine="424"/>
        <w:rPr>
          <w:szCs w:val="21"/>
        </w:rPr>
      </w:pPr>
      <w:r>
        <w:rPr>
          <w:rFonts w:hint="eastAsia"/>
          <w:szCs w:val="21"/>
        </w:rPr>
        <w:t>（八）暂停为其提供相关结算业务及相关证券交易服务或将结算模式变更为券商结算模式；</w:t>
      </w:r>
    </w:p>
    <w:p w:rsidR="00D70AF9" w:rsidRDefault="00D1581D">
      <w:pPr>
        <w:spacing w:line="360" w:lineRule="auto"/>
        <w:ind w:firstLineChars="202" w:firstLine="424"/>
        <w:rPr>
          <w:szCs w:val="21"/>
        </w:rPr>
      </w:pPr>
      <w:r>
        <w:rPr>
          <w:rFonts w:hint="eastAsia"/>
          <w:szCs w:val="21"/>
        </w:rPr>
        <w:t>（九）记录诚信档案，并向中国结算提交；</w:t>
      </w:r>
    </w:p>
    <w:p w:rsidR="00D70AF9" w:rsidRDefault="00D1581D">
      <w:pPr>
        <w:spacing w:line="360" w:lineRule="auto"/>
        <w:ind w:firstLineChars="202" w:firstLine="424"/>
        <w:rPr>
          <w:szCs w:val="21"/>
        </w:rPr>
      </w:pPr>
      <w:r>
        <w:rPr>
          <w:rFonts w:hint="eastAsia"/>
          <w:szCs w:val="21"/>
        </w:rPr>
        <w:t>（十）资产托管人认为必要的其他措施。</w:t>
      </w:r>
    </w:p>
    <w:p w:rsidR="00D70AF9" w:rsidRDefault="00D1581D">
      <w:pPr>
        <w:spacing w:line="360" w:lineRule="auto"/>
        <w:ind w:firstLineChars="202" w:firstLine="424"/>
        <w:rPr>
          <w:szCs w:val="21"/>
        </w:rPr>
      </w:pPr>
      <w:r>
        <w:rPr>
          <w:rFonts w:hint="eastAsia"/>
          <w:szCs w:val="21"/>
        </w:rPr>
        <w:t>上述风险管理措施待引发该措施的特征修正后，根据监管部门或相关行业协会意见（如有），经双方商定后终止。</w:t>
      </w:r>
    </w:p>
    <w:p w:rsidR="00D70AF9" w:rsidRDefault="00D1581D">
      <w:pPr>
        <w:spacing w:line="360" w:lineRule="auto"/>
        <w:ind w:firstLineChars="202" w:firstLine="424"/>
        <w:rPr>
          <w:szCs w:val="21"/>
        </w:rPr>
      </w:pPr>
      <w:r>
        <w:rPr>
          <w:rFonts w:hint="eastAsia"/>
          <w:szCs w:val="21"/>
        </w:rPr>
        <w:t>第二十四条</w:t>
      </w:r>
      <w:r>
        <w:rPr>
          <w:rFonts w:hint="eastAsia"/>
          <w:szCs w:val="21"/>
        </w:rPr>
        <w:t xml:space="preserve"> </w:t>
      </w:r>
      <w:r>
        <w:rPr>
          <w:rFonts w:hint="eastAsia"/>
          <w:szCs w:val="21"/>
        </w:rPr>
        <w:t>资产管理人应遵守有关法律法规及监管部门、自律机构的要求，以及本协议约定，在发生融资回购交易时，发生超出法律法规或监管规定的指标要求的（发生日为</w:t>
      </w:r>
      <w:r>
        <w:rPr>
          <w:rFonts w:hint="eastAsia"/>
          <w:szCs w:val="21"/>
        </w:rPr>
        <w:t>T</w:t>
      </w:r>
      <w:r>
        <w:rPr>
          <w:rFonts w:hint="eastAsia"/>
          <w:szCs w:val="21"/>
        </w:rPr>
        <w:t>日），资产管理人须在发生之日起</w:t>
      </w:r>
      <w:r>
        <w:rPr>
          <w:rFonts w:hint="eastAsia"/>
          <w:szCs w:val="21"/>
        </w:rPr>
        <w:t>5</w:t>
      </w:r>
      <w:r>
        <w:rPr>
          <w:rFonts w:hint="eastAsia"/>
          <w:szCs w:val="21"/>
        </w:rPr>
        <w:t>个交易日内对其管理的资产回购未到期余额、质押</w:t>
      </w:r>
      <w:proofErr w:type="gramStart"/>
      <w:r>
        <w:rPr>
          <w:rFonts w:hint="eastAsia"/>
          <w:szCs w:val="21"/>
        </w:rPr>
        <w:t>券</w:t>
      </w:r>
      <w:proofErr w:type="gramEnd"/>
      <w:r>
        <w:rPr>
          <w:rFonts w:hint="eastAsia"/>
          <w:szCs w:val="21"/>
        </w:rPr>
        <w:t>、托管债券及信用债等标的及业务要素及时进行调整，直至符合上述限制。</w:t>
      </w:r>
    </w:p>
    <w:p w:rsidR="00D70AF9" w:rsidRDefault="00D1581D">
      <w:pPr>
        <w:spacing w:line="360" w:lineRule="auto"/>
        <w:ind w:firstLineChars="202" w:firstLine="424"/>
        <w:rPr>
          <w:szCs w:val="21"/>
        </w:rPr>
      </w:pPr>
      <w:r>
        <w:rPr>
          <w:rFonts w:hint="eastAsia"/>
          <w:szCs w:val="21"/>
        </w:rPr>
        <w:t>第二十五条</w:t>
      </w:r>
      <w:r>
        <w:rPr>
          <w:rFonts w:hint="eastAsia"/>
          <w:szCs w:val="21"/>
        </w:rPr>
        <w:t xml:space="preserve"> </w:t>
      </w:r>
      <w:r>
        <w:rPr>
          <w:rFonts w:hint="eastAsia"/>
          <w:szCs w:val="21"/>
        </w:rPr>
        <w:t>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rsidR="00D70AF9" w:rsidRDefault="00D1581D">
      <w:pPr>
        <w:spacing w:line="360" w:lineRule="auto"/>
        <w:ind w:firstLineChars="202" w:firstLine="424"/>
        <w:rPr>
          <w:szCs w:val="21"/>
        </w:rPr>
      </w:pPr>
      <w:r>
        <w:rPr>
          <w:rFonts w:hint="eastAsia"/>
          <w:szCs w:val="21"/>
        </w:rPr>
        <w:t>（一）资产管理人如果无法接收中国结算发送的港股通公司行动信息文件，应及时向资产托管人申请转发获取，并提供两个以上联系人及邮箱或资产管理人的</w:t>
      </w:r>
      <w:proofErr w:type="gramStart"/>
      <w:r>
        <w:rPr>
          <w:rFonts w:hint="eastAsia"/>
          <w:szCs w:val="21"/>
        </w:rPr>
        <w:t>深证通小站</w:t>
      </w:r>
      <w:proofErr w:type="gramEnd"/>
      <w:r>
        <w:rPr>
          <w:rFonts w:hint="eastAsia"/>
          <w:szCs w:val="21"/>
        </w:rPr>
        <w:t>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rsidR="00D70AF9" w:rsidRDefault="00D1581D">
      <w:pPr>
        <w:spacing w:line="360" w:lineRule="auto"/>
        <w:ind w:firstLineChars="202" w:firstLine="424"/>
        <w:rPr>
          <w:szCs w:val="21"/>
        </w:rPr>
      </w:pPr>
      <w:r>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w:t>
      </w:r>
      <w:r>
        <w:rPr>
          <w:rFonts w:hint="eastAsia"/>
          <w:szCs w:val="21"/>
        </w:rPr>
        <w:t>14</w:t>
      </w:r>
      <w:r>
        <w:rPr>
          <w:rFonts w:hint="eastAsia"/>
          <w:szCs w:val="21"/>
        </w:rPr>
        <w:t>：</w:t>
      </w:r>
      <w:r>
        <w:rPr>
          <w:rFonts w:hint="eastAsia"/>
          <w:szCs w:val="21"/>
        </w:rPr>
        <w:t>00</w:t>
      </w:r>
      <w:r>
        <w:rPr>
          <w:rFonts w:hint="eastAsia"/>
          <w:szCs w:val="21"/>
        </w:rPr>
        <w:t>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w:t>
      </w:r>
    </w:p>
    <w:p w:rsidR="00D70AF9" w:rsidRDefault="00D1581D">
      <w:pPr>
        <w:spacing w:line="360" w:lineRule="auto"/>
        <w:ind w:firstLineChars="202" w:firstLine="424"/>
        <w:rPr>
          <w:szCs w:val="21"/>
        </w:rPr>
      </w:pPr>
      <w:r>
        <w:rPr>
          <w:rFonts w:hint="eastAsia"/>
          <w:szCs w:val="21"/>
        </w:rPr>
        <w:t>（三）</w:t>
      </w:r>
      <w:proofErr w:type="gramStart"/>
      <w:r>
        <w:rPr>
          <w:rFonts w:hint="eastAsia"/>
          <w:szCs w:val="21"/>
        </w:rPr>
        <w:t>若资产</w:t>
      </w:r>
      <w:proofErr w:type="gramEnd"/>
      <w:r>
        <w:rPr>
          <w:rFonts w:hint="eastAsia"/>
          <w:szCs w:val="21"/>
        </w:rPr>
        <w:t>管理人修改申报内容，应在申报截止日</w:t>
      </w:r>
      <w:r>
        <w:rPr>
          <w:rFonts w:hint="eastAsia"/>
          <w:szCs w:val="21"/>
        </w:rPr>
        <w:t>14</w:t>
      </w:r>
      <w:r>
        <w:rPr>
          <w:rFonts w:hint="eastAsia"/>
          <w:szCs w:val="21"/>
        </w:rPr>
        <w:t>：</w:t>
      </w:r>
      <w:r>
        <w:rPr>
          <w:rFonts w:hint="eastAsia"/>
          <w:szCs w:val="21"/>
        </w:rPr>
        <w:t>00</w:t>
      </w:r>
      <w:r>
        <w:rPr>
          <w:rFonts w:hint="eastAsia"/>
          <w:szCs w:val="21"/>
        </w:rPr>
        <w:t>前重新填写申报文件并发送资产托管人进行申报。</w:t>
      </w:r>
      <w:proofErr w:type="gramStart"/>
      <w:r>
        <w:rPr>
          <w:rFonts w:hint="eastAsia"/>
          <w:szCs w:val="21"/>
        </w:rPr>
        <w:t>若资产</w:t>
      </w:r>
      <w:proofErr w:type="gramEnd"/>
      <w:r>
        <w:rPr>
          <w:rFonts w:hint="eastAsia"/>
          <w:szCs w:val="21"/>
        </w:rPr>
        <w:t>管理人未在本协议约定时间内提交修改后的申报内容，而资产托管人已经向中国结算报送并被受理的，由此产生的一切后果由资产管理人自行承担，资产托管人对此不承担任何责任。</w:t>
      </w:r>
    </w:p>
    <w:p w:rsidR="00D70AF9" w:rsidRDefault="00D1581D">
      <w:pPr>
        <w:spacing w:line="360" w:lineRule="auto"/>
        <w:ind w:firstLineChars="202" w:firstLine="424"/>
        <w:rPr>
          <w:szCs w:val="21"/>
        </w:rPr>
      </w:pPr>
      <w:r>
        <w:rPr>
          <w:rFonts w:hint="eastAsia"/>
          <w:szCs w:val="21"/>
        </w:rPr>
        <w:t>第二十六条</w:t>
      </w:r>
      <w:r>
        <w:rPr>
          <w:rFonts w:hint="eastAsia"/>
          <w:szCs w:val="21"/>
        </w:rPr>
        <w:t xml:space="preserve"> </w:t>
      </w:r>
      <w:r>
        <w:rPr>
          <w:rFonts w:hint="eastAsia"/>
          <w:szCs w:val="21"/>
        </w:rPr>
        <w:t>根据《内地与香港股票市场交易互联互通机制登记、存管、结算业务实施细则》和《中国证券登记结算有限责任公司上海</w:t>
      </w:r>
      <w:r>
        <w:rPr>
          <w:rFonts w:hint="eastAsia"/>
          <w:szCs w:val="21"/>
        </w:rPr>
        <w:t>/</w:t>
      </w:r>
      <w:r>
        <w:rPr>
          <w:rFonts w:hint="eastAsia"/>
          <w:szCs w:val="21"/>
        </w:rPr>
        <w:t>深圳分公司港股通存管结算业务指南》要求，资产管理人管理资产投资参与港股</w:t>
      </w:r>
      <w:proofErr w:type="gramStart"/>
      <w:r>
        <w:rPr>
          <w:rFonts w:hint="eastAsia"/>
          <w:szCs w:val="21"/>
        </w:rPr>
        <w:t>通交易</w:t>
      </w:r>
      <w:proofErr w:type="gramEnd"/>
      <w:r>
        <w:rPr>
          <w:rFonts w:hint="eastAsia"/>
          <w:szCs w:val="21"/>
        </w:rPr>
        <w:t>的，资产管理人应保证在</w:t>
      </w:r>
      <w:r>
        <w:rPr>
          <w:rFonts w:hint="eastAsia"/>
          <w:szCs w:val="21"/>
        </w:rPr>
        <w:t>T+1</w:t>
      </w:r>
      <w:r>
        <w:rPr>
          <w:rFonts w:hint="eastAsia"/>
          <w:szCs w:val="21"/>
        </w:rPr>
        <w:t>日</w:t>
      </w:r>
      <w:r>
        <w:rPr>
          <w:rFonts w:hint="eastAsia"/>
          <w:szCs w:val="21"/>
        </w:rPr>
        <w:t>9</w:t>
      </w:r>
      <w:r>
        <w:rPr>
          <w:rFonts w:hint="eastAsia"/>
          <w:szCs w:val="21"/>
        </w:rPr>
        <w:t>：</w:t>
      </w:r>
      <w:r>
        <w:rPr>
          <w:rFonts w:hint="eastAsia"/>
          <w:szCs w:val="21"/>
        </w:rPr>
        <w:t>30</w:t>
      </w:r>
      <w:r>
        <w:rPr>
          <w:rFonts w:hint="eastAsia"/>
          <w:szCs w:val="21"/>
        </w:rPr>
        <w:t>之前有足够的头寸用于港股通</w:t>
      </w:r>
      <w:r>
        <w:rPr>
          <w:rFonts w:hint="eastAsia"/>
          <w:szCs w:val="21"/>
        </w:rPr>
        <w:t>T+1</w:t>
      </w:r>
      <w:r>
        <w:rPr>
          <w:rFonts w:hint="eastAsia"/>
          <w:szCs w:val="21"/>
        </w:rPr>
        <w:t>日公司行动、证券组合费和风</w:t>
      </w:r>
      <w:proofErr w:type="gramStart"/>
      <w:r>
        <w:rPr>
          <w:rFonts w:hint="eastAsia"/>
          <w:szCs w:val="21"/>
        </w:rPr>
        <w:t>控资金</w:t>
      </w:r>
      <w:proofErr w:type="gramEnd"/>
      <w:r>
        <w:rPr>
          <w:rFonts w:hint="eastAsia"/>
          <w:szCs w:val="21"/>
        </w:rPr>
        <w:t>的交收，在</w:t>
      </w:r>
      <w:r>
        <w:rPr>
          <w:rFonts w:hint="eastAsia"/>
          <w:szCs w:val="21"/>
        </w:rPr>
        <w:t>T+1</w:t>
      </w:r>
      <w:r>
        <w:rPr>
          <w:rFonts w:hint="eastAsia"/>
          <w:szCs w:val="21"/>
        </w:rPr>
        <w:t>日</w:t>
      </w:r>
      <w:r>
        <w:rPr>
          <w:rFonts w:hint="eastAsia"/>
          <w:szCs w:val="21"/>
        </w:rPr>
        <w:t>14</w:t>
      </w:r>
      <w:r>
        <w:rPr>
          <w:rFonts w:hint="eastAsia"/>
          <w:szCs w:val="21"/>
        </w:rPr>
        <w:t>：</w:t>
      </w:r>
      <w:r>
        <w:rPr>
          <w:rFonts w:hint="eastAsia"/>
          <w:szCs w:val="21"/>
        </w:rPr>
        <w:t>00</w:t>
      </w:r>
      <w:r>
        <w:rPr>
          <w:rFonts w:hint="eastAsia"/>
          <w:szCs w:val="21"/>
        </w:rPr>
        <w:t>之前有足够的头寸用于港股通</w:t>
      </w:r>
      <w:r>
        <w:rPr>
          <w:rFonts w:hint="eastAsia"/>
          <w:szCs w:val="21"/>
        </w:rPr>
        <w:t>T+2</w:t>
      </w:r>
      <w:r>
        <w:rPr>
          <w:rFonts w:hint="eastAsia"/>
          <w:szCs w:val="21"/>
        </w:rPr>
        <w:t>日交易资金的交收。</w:t>
      </w:r>
    </w:p>
    <w:p w:rsidR="00D70AF9" w:rsidRDefault="00D1581D">
      <w:pPr>
        <w:spacing w:line="360" w:lineRule="auto"/>
        <w:ind w:firstLineChars="202" w:firstLine="424"/>
        <w:rPr>
          <w:szCs w:val="21"/>
        </w:rPr>
      </w:pPr>
      <w:r>
        <w:rPr>
          <w:rFonts w:hint="eastAsia"/>
          <w:szCs w:val="21"/>
        </w:rPr>
        <w:t>资产管理人应知晓港股</w:t>
      </w:r>
      <w:proofErr w:type="gramStart"/>
      <w:r>
        <w:rPr>
          <w:rFonts w:hint="eastAsia"/>
          <w:szCs w:val="21"/>
        </w:rPr>
        <w:t>通交易</w:t>
      </w:r>
      <w:proofErr w:type="gramEnd"/>
      <w:r>
        <w:rPr>
          <w:rFonts w:hint="eastAsia"/>
          <w:szCs w:val="21"/>
        </w:rPr>
        <w:t>日历优化实施后的交收规则，理解相关结算风险。对于两地市场非对称假期前（内地节假日但香港非节假日）的共同交易日，资产管理人应在</w:t>
      </w:r>
      <w:r>
        <w:rPr>
          <w:rFonts w:hint="eastAsia"/>
          <w:szCs w:val="21"/>
        </w:rPr>
        <w:t>T</w:t>
      </w:r>
      <w:r>
        <w:rPr>
          <w:rFonts w:hint="eastAsia"/>
          <w:szCs w:val="21"/>
        </w:rPr>
        <w:t>日</w:t>
      </w:r>
      <w:r>
        <w:rPr>
          <w:rFonts w:hint="eastAsia"/>
          <w:szCs w:val="21"/>
        </w:rPr>
        <w:t>16:30</w:t>
      </w:r>
      <w:r>
        <w:rPr>
          <w:rFonts w:hint="eastAsia"/>
          <w:szCs w:val="21"/>
        </w:rPr>
        <w:t>之前向资产托管人发送资金划转指令，并同时保证有足够的头寸用于港股通</w:t>
      </w:r>
      <w:r>
        <w:rPr>
          <w:rFonts w:hint="eastAsia"/>
          <w:szCs w:val="21"/>
        </w:rPr>
        <w:t>T</w:t>
      </w:r>
      <w:r>
        <w:rPr>
          <w:rFonts w:hint="eastAsia"/>
          <w:szCs w:val="21"/>
        </w:rPr>
        <w:t>日交易资金的交收，履行资金提前到账义务。</w:t>
      </w:r>
    </w:p>
    <w:p w:rsidR="00D70AF9" w:rsidRDefault="00D1581D">
      <w:pPr>
        <w:spacing w:line="360" w:lineRule="auto"/>
        <w:ind w:firstLineChars="202" w:firstLine="424"/>
        <w:rPr>
          <w:szCs w:val="21"/>
        </w:rPr>
      </w:pPr>
      <w:r>
        <w:rPr>
          <w:rFonts w:hint="eastAsia"/>
          <w:szCs w:val="21"/>
        </w:rPr>
        <w:t>如由于资产管理</w:t>
      </w:r>
      <w:proofErr w:type="gramStart"/>
      <w:r>
        <w:rPr>
          <w:rFonts w:hint="eastAsia"/>
          <w:szCs w:val="21"/>
        </w:rPr>
        <w:t>人原因</w:t>
      </w:r>
      <w:proofErr w:type="gramEnd"/>
      <w:r>
        <w:rPr>
          <w:rFonts w:hint="eastAsia"/>
          <w:szCs w:val="21"/>
        </w:rPr>
        <w:t>导致的</w:t>
      </w:r>
      <w:proofErr w:type="gramStart"/>
      <w:r>
        <w:rPr>
          <w:rFonts w:hint="eastAsia"/>
          <w:szCs w:val="21"/>
        </w:rPr>
        <w:t>港股通交收</w:t>
      </w:r>
      <w:proofErr w:type="gramEnd"/>
      <w:r>
        <w:rPr>
          <w:rFonts w:hint="eastAsia"/>
          <w:szCs w:val="21"/>
        </w:rPr>
        <w:t>失败，由此造成的资产托管人实际损失，由资产管理人承担。</w:t>
      </w:r>
    </w:p>
    <w:p w:rsidR="00D70AF9" w:rsidRDefault="00D1581D">
      <w:pPr>
        <w:spacing w:line="360" w:lineRule="auto"/>
        <w:ind w:firstLineChars="202" w:firstLine="424"/>
        <w:rPr>
          <w:szCs w:val="21"/>
        </w:rPr>
      </w:pPr>
      <w:r>
        <w:rPr>
          <w:rFonts w:hint="eastAsia"/>
          <w:szCs w:val="21"/>
        </w:rPr>
        <w:t>第二十七条</w:t>
      </w:r>
      <w:r>
        <w:rPr>
          <w:rFonts w:hint="eastAsia"/>
          <w:szCs w:val="21"/>
        </w:rPr>
        <w:t xml:space="preserve"> </w:t>
      </w:r>
      <w:r>
        <w:rPr>
          <w:rFonts w:hint="eastAsia"/>
          <w:szCs w:val="21"/>
        </w:rPr>
        <w:t>因资产管理</w:t>
      </w:r>
      <w:proofErr w:type="gramStart"/>
      <w:r>
        <w:rPr>
          <w:rFonts w:hint="eastAsia"/>
          <w:szCs w:val="21"/>
        </w:rPr>
        <w:t>人原因</w:t>
      </w:r>
      <w:proofErr w:type="gramEnd"/>
      <w:r>
        <w:rPr>
          <w:rFonts w:hint="eastAsia"/>
          <w:szCs w:val="21"/>
        </w:rPr>
        <w:t>导致资产托管人在新增港股</w:t>
      </w:r>
      <w:proofErr w:type="gramStart"/>
      <w:r>
        <w:rPr>
          <w:rFonts w:hint="eastAsia"/>
          <w:szCs w:val="21"/>
        </w:rPr>
        <w:t>通交易</w:t>
      </w:r>
      <w:proofErr w:type="gramEnd"/>
      <w:r>
        <w:rPr>
          <w:rFonts w:hint="eastAsia"/>
          <w:szCs w:val="21"/>
        </w:rPr>
        <w:t>日（</w:t>
      </w:r>
      <w:r>
        <w:rPr>
          <w:rFonts w:hint="eastAsia"/>
          <w:szCs w:val="21"/>
        </w:rPr>
        <w:t>T</w:t>
      </w:r>
      <w:r>
        <w:rPr>
          <w:rFonts w:hint="eastAsia"/>
          <w:szCs w:val="21"/>
        </w:rPr>
        <w:t>日）未能按中国结算相关业务规则完成资金提前到账，且于下一港股</w:t>
      </w:r>
      <w:proofErr w:type="gramStart"/>
      <w:r>
        <w:rPr>
          <w:rFonts w:hint="eastAsia"/>
          <w:szCs w:val="21"/>
        </w:rPr>
        <w:t>通交易</w:t>
      </w:r>
      <w:proofErr w:type="gramEnd"/>
      <w:r>
        <w:rPr>
          <w:rFonts w:hint="eastAsia"/>
          <w:szCs w:val="21"/>
        </w:rPr>
        <w:t>日（</w:t>
      </w:r>
      <w:r>
        <w:rPr>
          <w:rFonts w:hint="eastAsia"/>
          <w:szCs w:val="21"/>
        </w:rPr>
        <w:t>T+1</w:t>
      </w:r>
      <w:r>
        <w:rPr>
          <w:rFonts w:hint="eastAsia"/>
          <w:szCs w:val="21"/>
        </w:rPr>
        <w:t>日）</w:t>
      </w:r>
      <w:r>
        <w:rPr>
          <w:rFonts w:hint="eastAsia"/>
          <w:szCs w:val="21"/>
        </w:rPr>
        <w:t>16</w:t>
      </w:r>
      <w:r>
        <w:rPr>
          <w:rFonts w:hint="eastAsia"/>
          <w:szCs w:val="21"/>
        </w:rPr>
        <w:t>：</w:t>
      </w:r>
      <w:r>
        <w:rPr>
          <w:rFonts w:hint="eastAsia"/>
          <w:szCs w:val="21"/>
        </w:rPr>
        <w:t>00</w:t>
      </w:r>
      <w:r>
        <w:rPr>
          <w:rFonts w:hint="eastAsia"/>
          <w:szCs w:val="21"/>
        </w:rPr>
        <w:t>终前仍未补足的，资产托管人将向中国结算申报资产管理人相关证券账户，中国结算将通知上交所和深交所暂停接受</w:t>
      </w:r>
      <w:r>
        <w:rPr>
          <w:rFonts w:hint="eastAsia"/>
          <w:szCs w:val="21"/>
        </w:rPr>
        <w:t>T+2</w:t>
      </w:r>
      <w:r>
        <w:rPr>
          <w:rFonts w:hint="eastAsia"/>
          <w:szCs w:val="21"/>
        </w:rPr>
        <w:t>日所申报证券账户的港股通买入申报。资产托管人承诺对申报行为和内容的真实、准确、完整、及时负责。</w:t>
      </w:r>
    </w:p>
    <w:p w:rsidR="00D70AF9" w:rsidRDefault="00D1581D">
      <w:pPr>
        <w:spacing w:line="360" w:lineRule="auto"/>
        <w:ind w:firstLineChars="202" w:firstLine="424"/>
        <w:rPr>
          <w:szCs w:val="21"/>
        </w:rPr>
      </w:pPr>
      <w:r>
        <w:rPr>
          <w:rFonts w:hint="eastAsia"/>
          <w:szCs w:val="21"/>
        </w:rPr>
        <w:t>第二十八条</w:t>
      </w:r>
      <w:r>
        <w:rPr>
          <w:rFonts w:hint="eastAsia"/>
          <w:szCs w:val="21"/>
        </w:rPr>
        <w:t xml:space="preserve"> </w:t>
      </w:r>
      <w:r>
        <w:rPr>
          <w:rFonts w:hint="eastAsia"/>
          <w:szCs w:val="21"/>
        </w:rPr>
        <w:t>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rsidR="00D70AF9" w:rsidRDefault="00D1581D">
      <w:pPr>
        <w:spacing w:line="360" w:lineRule="auto"/>
        <w:ind w:firstLineChars="202" w:firstLine="424"/>
        <w:rPr>
          <w:szCs w:val="21"/>
        </w:rPr>
      </w:pPr>
      <w:r>
        <w:rPr>
          <w:rFonts w:hint="eastAsia"/>
          <w:szCs w:val="21"/>
        </w:rPr>
        <w:t>第二十九条</w:t>
      </w:r>
      <w:r>
        <w:rPr>
          <w:rFonts w:hint="eastAsia"/>
          <w:szCs w:val="21"/>
        </w:rPr>
        <w:t xml:space="preserve"> </w:t>
      </w:r>
      <w:r>
        <w:rPr>
          <w:rFonts w:hint="eastAsia"/>
          <w:szCs w:val="21"/>
        </w:rPr>
        <w:t>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rsidR="00D70AF9" w:rsidRDefault="00D1581D">
      <w:pPr>
        <w:spacing w:line="360" w:lineRule="auto"/>
        <w:ind w:firstLineChars="202" w:firstLine="424"/>
        <w:rPr>
          <w:szCs w:val="21"/>
        </w:rPr>
      </w:pPr>
      <w:r>
        <w:rPr>
          <w:rFonts w:hint="eastAsia"/>
          <w:szCs w:val="21"/>
        </w:rPr>
        <w:t>第三十条</w:t>
      </w:r>
      <w:r>
        <w:rPr>
          <w:rFonts w:hint="eastAsia"/>
          <w:szCs w:val="21"/>
        </w:rPr>
        <w:t xml:space="preserve"> </w:t>
      </w:r>
      <w:r>
        <w:rPr>
          <w:rFonts w:hint="eastAsia"/>
          <w:szCs w:val="21"/>
        </w:rPr>
        <w:t>双方一致认可本协议已经双方充分协商，并非格式合同。本协议未尽事宜，可由双方协商解决并另行签署补充协议。本协议之补充协议为本协议不可分割的组成部分，与本协议具有同等法律效力。</w:t>
      </w:r>
    </w:p>
    <w:p w:rsidR="00D70AF9" w:rsidRDefault="00D1581D">
      <w:pPr>
        <w:spacing w:line="360" w:lineRule="auto"/>
        <w:ind w:firstLineChars="202" w:firstLine="424"/>
        <w:rPr>
          <w:szCs w:val="21"/>
        </w:rPr>
      </w:pPr>
      <w:r>
        <w:rPr>
          <w:rFonts w:hint="eastAsia"/>
          <w:szCs w:val="21"/>
        </w:rPr>
        <w:t>第三十一条</w:t>
      </w:r>
      <w:r>
        <w:rPr>
          <w:rFonts w:hint="eastAsia"/>
          <w:szCs w:val="21"/>
        </w:rPr>
        <w:t xml:space="preserve"> </w:t>
      </w:r>
      <w:r>
        <w:rPr>
          <w:rFonts w:hint="eastAsia"/>
          <w:szCs w:val="21"/>
        </w:rPr>
        <w:t>本协议作为托管协议的附件和组成部分，与其同等法律效力，在托管协议生效时生效。</w:t>
      </w:r>
    </w:p>
    <w:p w:rsidR="00D70AF9" w:rsidRDefault="00D1581D">
      <w:pPr>
        <w:widowControl/>
        <w:jc w:val="left"/>
        <w:rPr>
          <w:szCs w:val="21"/>
        </w:rPr>
      </w:pPr>
      <w:r>
        <w:rPr>
          <w:szCs w:val="21"/>
        </w:rPr>
        <w:br w:type="page"/>
      </w:r>
    </w:p>
    <w:p w:rsidR="00D70AF9" w:rsidRDefault="00D70AF9">
      <w:pPr>
        <w:widowControl/>
        <w:jc w:val="left"/>
        <w:rPr>
          <w:rFonts w:ascii="宋体"/>
          <w:szCs w:val="21"/>
        </w:rPr>
      </w:pPr>
    </w:p>
    <w:p w:rsidR="00D70AF9" w:rsidRDefault="00D1581D">
      <w:pPr>
        <w:outlineLvl w:val="0"/>
        <w:rPr>
          <w:rFonts w:ascii="宋体"/>
          <w:szCs w:val="21"/>
        </w:rPr>
      </w:pPr>
      <w:r>
        <w:rPr>
          <w:rFonts w:ascii="宋体" w:hint="eastAsia"/>
          <w:szCs w:val="21"/>
        </w:rPr>
        <w:t>（本页为《</w:t>
      </w:r>
      <w:r>
        <w:rPr>
          <w:rFonts w:ascii="宋体" w:hint="eastAsia"/>
          <w:b/>
          <w:szCs w:val="21"/>
        </w:rPr>
        <w:t>交银施罗德启嘉混合型证券投资基金托管协议</w:t>
      </w:r>
      <w:r>
        <w:rPr>
          <w:rFonts w:ascii="宋体" w:hint="eastAsia"/>
          <w:szCs w:val="21"/>
        </w:rPr>
        <w:t>》签署页，无正文）</w:t>
      </w:r>
    </w:p>
    <w:p w:rsidR="00D70AF9" w:rsidRDefault="00D70AF9">
      <w:pPr>
        <w:widowControl/>
        <w:spacing w:before="100" w:beforeAutospacing="1" w:after="100" w:afterAutospacing="1" w:line="360" w:lineRule="auto"/>
        <w:jc w:val="left"/>
        <w:rPr>
          <w:rFonts w:ascii="宋体" w:hAnsi="宋体"/>
          <w:color w:val="000000"/>
          <w:szCs w:val="21"/>
        </w:rPr>
      </w:pPr>
    </w:p>
    <w:p w:rsidR="00D70AF9" w:rsidRDefault="00D70AF9">
      <w:pPr>
        <w:widowControl/>
        <w:spacing w:before="100" w:beforeAutospacing="1" w:after="100" w:afterAutospacing="1" w:line="360" w:lineRule="auto"/>
        <w:jc w:val="left"/>
        <w:rPr>
          <w:rFonts w:ascii="宋体" w:hAnsi="宋体"/>
          <w:color w:val="000000"/>
          <w:szCs w:val="21"/>
        </w:rPr>
      </w:pPr>
    </w:p>
    <w:p w:rsidR="00D70AF9" w:rsidRDefault="00D1581D">
      <w:pPr>
        <w:spacing w:before="100" w:beforeAutospacing="1" w:after="100" w:afterAutospacing="1" w:line="360" w:lineRule="auto"/>
        <w:ind w:firstLine="403"/>
        <w:rPr>
          <w:rFonts w:ascii="宋体" w:hAnsi="宋体"/>
          <w:szCs w:val="21"/>
        </w:rPr>
      </w:pPr>
      <w:r>
        <w:rPr>
          <w:rFonts w:ascii="宋体" w:hAnsi="宋体"/>
          <w:szCs w:val="21"/>
        </w:rPr>
        <w:t>基金管理人：</w:t>
      </w:r>
      <w:r>
        <w:rPr>
          <w:rFonts w:ascii="宋体" w:hAnsi="宋体" w:hint="eastAsia"/>
          <w:szCs w:val="21"/>
        </w:rPr>
        <w:t>交银施罗德</w:t>
      </w:r>
      <w:r>
        <w:rPr>
          <w:rFonts w:ascii="宋体" w:hAnsi="宋体"/>
          <w:szCs w:val="21"/>
        </w:rPr>
        <w:t>基金管理有限公司（公章）</w:t>
      </w:r>
    </w:p>
    <w:p w:rsidR="00D70AF9" w:rsidRDefault="00D1581D">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rsidR="00D70AF9" w:rsidRDefault="00D70AF9">
      <w:pPr>
        <w:widowControl/>
        <w:spacing w:before="100" w:beforeAutospacing="1" w:after="100" w:afterAutospacing="1" w:line="360" w:lineRule="auto"/>
        <w:ind w:firstLine="420"/>
        <w:jc w:val="left"/>
        <w:rPr>
          <w:rFonts w:ascii="宋体" w:hAnsi="宋体"/>
          <w:kern w:val="0"/>
          <w:szCs w:val="21"/>
        </w:rPr>
      </w:pPr>
    </w:p>
    <w:p w:rsidR="00D70AF9" w:rsidRDefault="00D70AF9">
      <w:pPr>
        <w:widowControl/>
        <w:spacing w:before="100" w:beforeAutospacing="1" w:after="100" w:afterAutospacing="1" w:line="360" w:lineRule="auto"/>
        <w:ind w:firstLine="420"/>
        <w:jc w:val="left"/>
        <w:rPr>
          <w:rFonts w:ascii="宋体" w:hAnsi="宋体"/>
          <w:kern w:val="0"/>
          <w:szCs w:val="21"/>
        </w:rPr>
      </w:pPr>
    </w:p>
    <w:p w:rsidR="00D70AF9" w:rsidRDefault="00D1581D">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ascii="宋体" w:hAnsi="宋体" w:hint="eastAsia"/>
          <w:kern w:val="0"/>
          <w:szCs w:val="21"/>
        </w:rPr>
        <w:t xml:space="preserve">  </w:t>
      </w:r>
      <w:r>
        <w:rPr>
          <w:rFonts w:ascii="宋体" w:hAnsi="宋体"/>
          <w:kern w:val="0"/>
          <w:szCs w:val="21"/>
        </w:rPr>
        <w:t xml:space="preserve">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rsidR="00D70AF9" w:rsidRDefault="00D1581D">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签订地：　</w:t>
      </w:r>
    </w:p>
    <w:p w:rsidR="00D70AF9" w:rsidRDefault="00D70AF9">
      <w:pPr>
        <w:widowControl/>
        <w:spacing w:before="100" w:beforeAutospacing="1" w:after="100" w:afterAutospacing="1" w:line="360" w:lineRule="auto"/>
        <w:ind w:firstLine="540"/>
        <w:jc w:val="left"/>
        <w:rPr>
          <w:rFonts w:ascii="宋体" w:hAnsi="宋体"/>
          <w:kern w:val="0"/>
          <w:szCs w:val="21"/>
        </w:rPr>
      </w:pPr>
    </w:p>
    <w:p w:rsidR="00D70AF9" w:rsidRDefault="00D70AF9">
      <w:pPr>
        <w:widowControl/>
        <w:spacing w:before="100" w:beforeAutospacing="1" w:after="100" w:afterAutospacing="1" w:line="360" w:lineRule="auto"/>
        <w:ind w:firstLine="540"/>
        <w:jc w:val="left"/>
        <w:rPr>
          <w:rFonts w:ascii="宋体" w:hAnsi="宋体"/>
          <w:kern w:val="0"/>
          <w:szCs w:val="21"/>
        </w:rPr>
      </w:pPr>
    </w:p>
    <w:p w:rsidR="00D70AF9" w:rsidRDefault="00D1581D">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Pr>
          <w:rFonts w:ascii="宋体" w:hAnsi="宋体" w:hint="eastAsia"/>
          <w:kern w:val="0"/>
          <w:szCs w:val="21"/>
        </w:rPr>
        <w:t>招商银行股份有限公司</w:t>
      </w:r>
      <w:r>
        <w:rPr>
          <w:rFonts w:ascii="宋体" w:hAnsi="宋体" w:hint="eastAsia"/>
          <w:szCs w:val="21"/>
        </w:rPr>
        <w:t>（公章）</w:t>
      </w:r>
    </w:p>
    <w:p w:rsidR="00D70AF9" w:rsidRDefault="00D1581D">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rsidR="00D70AF9" w:rsidRDefault="00D70AF9">
      <w:pPr>
        <w:widowControl/>
        <w:spacing w:before="100" w:beforeAutospacing="1" w:after="100" w:afterAutospacing="1" w:line="360" w:lineRule="auto"/>
        <w:ind w:firstLine="420"/>
        <w:jc w:val="left"/>
        <w:rPr>
          <w:rFonts w:ascii="宋体" w:hAnsi="宋体"/>
          <w:kern w:val="0"/>
          <w:szCs w:val="21"/>
        </w:rPr>
      </w:pPr>
    </w:p>
    <w:p w:rsidR="00D70AF9" w:rsidRDefault="00D70AF9">
      <w:pPr>
        <w:widowControl/>
        <w:spacing w:before="100" w:beforeAutospacing="1" w:after="100" w:afterAutospacing="1" w:line="360" w:lineRule="auto"/>
        <w:ind w:firstLine="420"/>
        <w:jc w:val="left"/>
        <w:rPr>
          <w:rFonts w:ascii="宋体" w:hAnsi="宋体"/>
          <w:kern w:val="0"/>
          <w:szCs w:val="21"/>
        </w:rPr>
      </w:pPr>
    </w:p>
    <w:p w:rsidR="00D70AF9" w:rsidRDefault="00D1581D">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rsidR="00D70AF9" w:rsidRDefault="00D1581D">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ascii="宋体" w:hAnsi="宋体" w:hint="eastAsia"/>
          <w:kern w:val="0"/>
          <w:szCs w:val="21"/>
        </w:rPr>
        <w:t>中国深圳</w:t>
      </w:r>
    </w:p>
    <w:bookmarkEnd w:id="3"/>
    <w:p w:rsidR="00D70AF9" w:rsidRDefault="00D70AF9">
      <w:pPr>
        <w:adjustRightInd w:val="0"/>
        <w:snapToGrid w:val="0"/>
        <w:spacing w:line="360" w:lineRule="auto"/>
        <w:rPr>
          <w:rFonts w:ascii="宋体" w:hAnsi="宋体"/>
          <w:sz w:val="24"/>
        </w:rPr>
      </w:pPr>
    </w:p>
    <w:sectPr w:rsidR="00D70AF9">
      <w:footerReference w:type="default" r:id="rId45"/>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B8" w:rsidRDefault="00D1581D">
      <w:r>
        <w:separator/>
      </w:r>
    </w:p>
  </w:endnote>
  <w:endnote w:type="continuationSeparator" w:id="0">
    <w:p w:rsidR="003E40B8" w:rsidRDefault="00D1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Microsoft YaHei UI"/>
    <w:charset w:val="86"/>
    <w:family w:val="auto"/>
    <w:pitch w:val="default"/>
    <w:sig w:usb0="00000000" w:usb1="00000000" w:usb2="00000012"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sdtPr>
    <w:sdtEndPr/>
    <w:sdtContent>
      <w:p w:rsidR="00D70AF9" w:rsidRDefault="00D1581D">
        <w:pPr>
          <w:pStyle w:val="a9"/>
          <w:jc w:val="center"/>
        </w:pPr>
        <w:r>
          <w:fldChar w:fldCharType="begin"/>
        </w:r>
        <w:r>
          <w:instrText>PAGE   \* MERGEFORMAT</w:instrText>
        </w:r>
        <w:r>
          <w:fldChar w:fldCharType="separate"/>
        </w:r>
        <w:r w:rsidR="00170E94" w:rsidRPr="00170E94">
          <w:rPr>
            <w:noProof/>
            <w:lang w:val="zh-CN"/>
          </w:rPr>
          <w:t>1</w:t>
        </w:r>
        <w:r>
          <w:fldChar w:fldCharType="end"/>
        </w:r>
      </w:p>
    </w:sdtContent>
  </w:sdt>
  <w:p w:rsidR="00D70AF9" w:rsidRDefault="00D70AF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sdtPr>
    <w:sdtEndPr/>
    <w:sdtContent>
      <w:p w:rsidR="00D70AF9" w:rsidRDefault="00D1581D">
        <w:pPr>
          <w:pStyle w:val="a9"/>
          <w:jc w:val="center"/>
        </w:pPr>
        <w:r>
          <w:fldChar w:fldCharType="begin"/>
        </w:r>
        <w:r>
          <w:instrText>PAGE   \* MERGEFORMAT</w:instrText>
        </w:r>
        <w:r>
          <w:fldChar w:fldCharType="separate"/>
        </w:r>
        <w:r w:rsidR="00170E94" w:rsidRPr="00170E94">
          <w:rPr>
            <w:noProof/>
            <w:lang w:val="zh-CN"/>
          </w:rPr>
          <w:t>38</w:t>
        </w:r>
        <w:r>
          <w:fldChar w:fldCharType="end"/>
        </w:r>
      </w:p>
    </w:sdtContent>
  </w:sdt>
  <w:p w:rsidR="00D70AF9" w:rsidRDefault="00D70A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B8" w:rsidRDefault="00D1581D">
      <w:r>
        <w:separator/>
      </w:r>
    </w:p>
  </w:footnote>
  <w:footnote w:type="continuationSeparator" w:id="0">
    <w:p w:rsidR="003E40B8" w:rsidRDefault="00D1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707"/>
    <w:rsid w:val="00091E90"/>
    <w:rsid w:val="0009373C"/>
    <w:rsid w:val="000939B2"/>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6490F"/>
    <w:rsid w:val="00170A79"/>
    <w:rsid w:val="00170E94"/>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72E"/>
    <w:rsid w:val="001D695B"/>
    <w:rsid w:val="001D6F8C"/>
    <w:rsid w:val="001D747C"/>
    <w:rsid w:val="001E2081"/>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0AC9"/>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4B4C"/>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37BF"/>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4BAF"/>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B8"/>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65E7"/>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7F6EBD"/>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A2E"/>
    <w:rsid w:val="00832DBF"/>
    <w:rsid w:val="00832E33"/>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15"/>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B6774"/>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17EB5"/>
    <w:rsid w:val="00A21CE1"/>
    <w:rsid w:val="00A22BCB"/>
    <w:rsid w:val="00A240AD"/>
    <w:rsid w:val="00A24175"/>
    <w:rsid w:val="00A245E5"/>
    <w:rsid w:val="00A246A9"/>
    <w:rsid w:val="00A26AB3"/>
    <w:rsid w:val="00A26D6B"/>
    <w:rsid w:val="00A27125"/>
    <w:rsid w:val="00A27BEE"/>
    <w:rsid w:val="00A32231"/>
    <w:rsid w:val="00A33F18"/>
    <w:rsid w:val="00A352A1"/>
    <w:rsid w:val="00A36248"/>
    <w:rsid w:val="00A37A5E"/>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256B"/>
    <w:rsid w:val="00B23A73"/>
    <w:rsid w:val="00B23FF4"/>
    <w:rsid w:val="00B25AA6"/>
    <w:rsid w:val="00B30863"/>
    <w:rsid w:val="00B30A52"/>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868EB"/>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5A65"/>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581D"/>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0AF9"/>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034E"/>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11F91E59"/>
    <w:rsid w:val="150D3D50"/>
    <w:rsid w:val="219E56C2"/>
    <w:rsid w:val="27E84267"/>
    <w:rsid w:val="3EE81156"/>
    <w:rsid w:val="404539BD"/>
    <w:rsid w:val="5C731EB4"/>
    <w:rsid w:val="6A7C73F0"/>
    <w:rsid w:val="6CA00E49"/>
    <w:rsid w:val="79540BBE"/>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1706D-8012-4F7F-A1EB-965795E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style>
  <w:style w:type="paragraph" w:styleId="a6">
    <w:name w:val="Body Text"/>
    <w:basedOn w:val="a"/>
    <w:qFormat/>
    <w:pPr>
      <w:spacing w:line="360" w:lineRule="auto"/>
    </w:pPr>
    <w:rPr>
      <w:rFonts w:ascii="仿宋_GB2312" w:eastAsia="仿宋_GB2312"/>
      <w:color w:val="000000"/>
      <w:kern w:val="0"/>
      <w:sz w:val="24"/>
      <w:szCs w:val="28"/>
    </w:r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8">
    <w:name w:val="Balloon Text"/>
    <w:basedOn w:val="a"/>
    <w:semiHidden/>
    <w:qFormat/>
    <w:rPr>
      <w:sz w:val="18"/>
      <w:szCs w:val="18"/>
    </w:rPr>
  </w:style>
  <w:style w:type="paragraph" w:styleId="a9">
    <w:name w:val="footer"/>
    <w:basedOn w:val="a"/>
    <w:link w:val="Char10"/>
    <w:uiPriority w:val="99"/>
    <w:qFormat/>
    <w:pPr>
      <w:tabs>
        <w:tab w:val="center" w:pos="4153"/>
        <w:tab w:val="right" w:pos="8306"/>
      </w:tabs>
      <w:snapToGrid w:val="0"/>
      <w:jc w:val="left"/>
    </w:pPr>
    <w:rPr>
      <w:sz w:val="18"/>
      <w:szCs w:val="18"/>
    </w:rPr>
  </w:style>
  <w:style w:type="paragraph" w:styleId="aa">
    <w:name w:val="header"/>
    <w:basedOn w:val="a"/>
    <w:link w:val="Char1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b">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Title"/>
    <w:basedOn w:val="a"/>
    <w:link w:val="Char12"/>
    <w:qFormat/>
    <w:pPr>
      <w:spacing w:before="240" w:after="60"/>
      <w:jc w:val="center"/>
      <w:outlineLvl w:val="0"/>
    </w:pPr>
    <w:rPr>
      <w:rFonts w:ascii="Arial" w:hAnsi="Arial"/>
      <w:b/>
      <w:bCs/>
      <w:sz w:val="32"/>
      <w:szCs w:val="32"/>
    </w:rPr>
  </w:style>
  <w:style w:type="paragraph" w:styleId="ad">
    <w:name w:val="annotation subject"/>
    <w:basedOn w:val="a5"/>
    <w:next w:val="a5"/>
    <w:semiHidden/>
    <w:qFormat/>
    <w:rPr>
      <w:b/>
      <w:bCs/>
    </w:rPr>
  </w:style>
  <w:style w:type="character" w:styleId="ae">
    <w:name w:val="Strong"/>
    <w:uiPriority w:val="22"/>
    <w:qFormat/>
    <w:rPr>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3">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1">
    <w:name w:val="批注文字 Char1"/>
    <w:link w:val="a5"/>
    <w:qFormat/>
    <w:rPr>
      <w:kern w:val="2"/>
      <w:sz w:val="21"/>
      <w:szCs w:val="24"/>
    </w:rPr>
  </w:style>
  <w:style w:type="paragraph" w:customStyle="1" w:styleId="11">
    <w:name w:val="修订1"/>
    <w:hidden/>
    <w:uiPriority w:val="99"/>
    <w:semiHidden/>
    <w:qFormat/>
    <w:rPr>
      <w:kern w:val="2"/>
      <w:sz w:val="21"/>
      <w:szCs w:val="24"/>
    </w:rPr>
  </w:style>
  <w:style w:type="character" w:customStyle="1" w:styleId="Char12">
    <w:name w:val="标题 Char1"/>
    <w:link w:val="ac"/>
    <w:qFormat/>
    <w:rPr>
      <w:rFonts w:ascii="Arial" w:hAnsi="Arial" w:cs="Arial"/>
      <w:b/>
      <w:bCs/>
      <w:kern w:val="2"/>
      <w:sz w:val="32"/>
      <w:szCs w:val="32"/>
    </w:rPr>
  </w:style>
  <w:style w:type="character" w:customStyle="1" w:styleId="Char10">
    <w:name w:val="页脚 Char1"/>
    <w:link w:val="a9"/>
    <w:uiPriority w:val="99"/>
    <w:qFormat/>
    <w:rPr>
      <w:kern w:val="2"/>
      <w:sz w:val="18"/>
      <w:szCs w:val="18"/>
    </w:rPr>
  </w:style>
  <w:style w:type="character" w:customStyle="1" w:styleId="Char11">
    <w:name w:val="页眉 Char1"/>
    <w:link w:val="aa"/>
    <w:uiPriority w:val="99"/>
    <w:qFormat/>
    <w:rPr>
      <w:kern w:val="2"/>
      <w:sz w:val="18"/>
      <w:szCs w:val="18"/>
    </w:rPr>
  </w:style>
  <w:style w:type="character" w:customStyle="1" w:styleId="1Char1">
    <w:name w:val="标题 1 Char1"/>
    <w:link w:val="1"/>
    <w:qFormat/>
    <w:rPr>
      <w:b/>
      <w:bCs/>
      <w:kern w:val="44"/>
      <w:sz w:val="44"/>
      <w:szCs w:val="44"/>
    </w:rPr>
  </w:style>
  <w:style w:type="paragraph" w:customStyle="1" w:styleId="Char3">
    <w:name w:val="Char3"/>
    <w:basedOn w:val="a"/>
    <w:qFormat/>
  </w:style>
  <w:style w:type="paragraph" w:customStyle="1" w:styleId="Char110">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2">
    <w:name w:val="修订2"/>
    <w:hidden/>
    <w:uiPriority w:val="99"/>
    <w:unhideWhenUsed/>
    <w:qFormat/>
    <w:rPr>
      <w:kern w:val="2"/>
      <w:sz w:val="21"/>
      <w:szCs w:val="24"/>
    </w:rPr>
  </w:style>
  <w:style w:type="paragraph" w:customStyle="1" w:styleId="Style49">
    <w:name w:val="_Style 49"/>
    <w:qFormat/>
    <w:pPr>
      <w:widowControl w:val="0"/>
      <w:jc w:val="both"/>
    </w:pPr>
    <w:rPr>
      <w:kern w:val="2"/>
      <w:sz w:val="21"/>
      <w:szCs w:val="24"/>
    </w:rPr>
  </w:style>
  <w:style w:type="character" w:customStyle="1" w:styleId="Char0">
    <w:name w:val="批注文字 Char"/>
    <w:qFormat/>
    <w:rPr>
      <w:rFonts w:eastAsia="宋体"/>
      <w:kern w:val="2"/>
      <w:sz w:val="21"/>
      <w:szCs w:val="24"/>
      <w:lang w:val="en-US" w:eastAsia="zh-CN" w:bidi="ar-SA"/>
    </w:rPr>
  </w:style>
  <w:style w:type="character" w:customStyle="1" w:styleId="Char4">
    <w:name w:val="标题 Char"/>
    <w:qFormat/>
    <w:rPr>
      <w:rFonts w:ascii="Arial" w:hAnsi="Arial" w:cs="Arial"/>
      <w:b/>
      <w:bCs/>
      <w:kern w:val="2"/>
      <w:sz w:val="32"/>
      <w:szCs w:val="32"/>
    </w:rPr>
  </w:style>
  <w:style w:type="character" w:customStyle="1" w:styleId="Char5">
    <w:name w:val="页脚 Char"/>
    <w:uiPriority w:val="99"/>
    <w:qFormat/>
    <w:rPr>
      <w:kern w:val="2"/>
      <w:sz w:val="18"/>
      <w:szCs w:val="18"/>
    </w:rPr>
  </w:style>
  <w:style w:type="character" w:customStyle="1" w:styleId="Char6">
    <w:name w:val="页眉 Char"/>
    <w:uiPriority w:val="99"/>
    <w:qFormat/>
    <w:rPr>
      <w:kern w:val="2"/>
      <w:sz w:val="18"/>
      <w:szCs w:val="18"/>
    </w:rPr>
  </w:style>
  <w:style w:type="character" w:customStyle="1" w:styleId="1Char">
    <w:name w:val="标题 1 Char"/>
    <w:basedOn w:val="a1"/>
    <w:qFormat/>
    <w:rPr>
      <w:b/>
      <w:bCs/>
      <w:kern w:val="44"/>
      <w:sz w:val="44"/>
      <w:szCs w:val="44"/>
    </w:rPr>
  </w:style>
  <w:style w:type="paragraph" w:customStyle="1" w:styleId="31">
    <w:name w:val="修订3"/>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9F3350EB-1449-474A-B780-9DC2040F4499}">
  <ds:schemaRefs/>
</ds:datastoreItem>
</file>

<file path=customXml/itemProps10.xml><?xml version="1.0" encoding="utf-8"?>
<ds:datastoreItem xmlns:ds="http://schemas.openxmlformats.org/officeDocument/2006/customXml" ds:itemID="{0630A3B8-C8AB-4F62-9836-0AAEC1086B94}">
  <ds:schemaRefs/>
</ds:datastoreItem>
</file>

<file path=customXml/itemProps11.xml><?xml version="1.0" encoding="utf-8"?>
<ds:datastoreItem xmlns:ds="http://schemas.openxmlformats.org/officeDocument/2006/customXml" ds:itemID="{53D10031-CEBE-4522-B217-1E962B2BA8D0}">
  <ds:schemaRefs/>
</ds:datastoreItem>
</file>

<file path=customXml/itemProps12.xml><?xml version="1.0" encoding="utf-8"?>
<ds:datastoreItem xmlns:ds="http://schemas.openxmlformats.org/officeDocument/2006/customXml" ds:itemID="{56DA5859-59D9-4024-A787-94022357EC6E}">
  <ds:schemaRefs/>
</ds:datastoreItem>
</file>

<file path=customXml/itemProps13.xml><?xml version="1.0" encoding="utf-8"?>
<ds:datastoreItem xmlns:ds="http://schemas.openxmlformats.org/officeDocument/2006/customXml" ds:itemID="{1BC9D6FA-A934-42D4-A38B-FB9C71C3C35D}">
  <ds:schemaRefs/>
</ds:datastoreItem>
</file>

<file path=customXml/itemProps14.xml><?xml version="1.0" encoding="utf-8"?>
<ds:datastoreItem xmlns:ds="http://schemas.openxmlformats.org/officeDocument/2006/customXml" ds:itemID="{6D775F9B-E52B-4AE3-AD07-930D4921F265}">
  <ds:schemaRefs>
    <ds:schemaRef ds:uri="http://schemas.openxmlformats.org/officeDocument/2006/bibliography"/>
  </ds:schemaRefs>
</ds:datastoreItem>
</file>

<file path=customXml/itemProps15.xml><?xml version="1.0" encoding="utf-8"?>
<ds:datastoreItem xmlns:ds="http://schemas.openxmlformats.org/officeDocument/2006/customXml" ds:itemID="{CDDDFCEB-BAD0-4C08-B4EE-6BC0875D548B}">
  <ds:schemaRefs/>
</ds:datastoreItem>
</file>

<file path=customXml/itemProps16.xml><?xml version="1.0" encoding="utf-8"?>
<ds:datastoreItem xmlns:ds="http://schemas.openxmlformats.org/officeDocument/2006/customXml" ds:itemID="{8481B921-A0BA-47C5-9FCB-60CE03A0E831}">
  <ds:schemaRefs/>
</ds:datastoreItem>
</file>

<file path=customXml/itemProps17.xml><?xml version="1.0" encoding="utf-8"?>
<ds:datastoreItem xmlns:ds="http://schemas.openxmlformats.org/officeDocument/2006/customXml" ds:itemID="{8F8DF2D8-305D-4255-9E05-C8D39071A166}">
  <ds:schemaRefs/>
</ds:datastoreItem>
</file>

<file path=customXml/itemProps18.xml><?xml version="1.0" encoding="utf-8"?>
<ds:datastoreItem xmlns:ds="http://schemas.openxmlformats.org/officeDocument/2006/customXml" ds:itemID="{094207B8-2737-4139-A199-1C287A318A9B}">
  <ds:schemaRefs/>
</ds:datastoreItem>
</file>

<file path=customXml/itemProps19.xml><?xml version="1.0" encoding="utf-8"?>
<ds:datastoreItem xmlns:ds="http://schemas.openxmlformats.org/officeDocument/2006/customXml" ds:itemID="{879929BA-DC40-4D0B-A3AE-144631D2C1E9}">
  <ds:schemaRefs>
    <ds:schemaRef ds:uri="http://schemas.openxmlformats.org/officeDocument/2006/bibliography"/>
  </ds:schemaRefs>
</ds:datastoreItem>
</file>

<file path=customXml/itemProps2.xml><?xml version="1.0" encoding="utf-8"?>
<ds:datastoreItem xmlns:ds="http://schemas.openxmlformats.org/officeDocument/2006/customXml" ds:itemID="{4B68C5E6-FEBB-4527-8FB2-93E11D4B2066}">
  <ds:schemaRefs/>
</ds:datastoreItem>
</file>

<file path=customXml/itemProps20.xml><?xml version="1.0" encoding="utf-8"?>
<ds:datastoreItem xmlns:ds="http://schemas.openxmlformats.org/officeDocument/2006/customXml" ds:itemID="{7602FD81-24A7-410C-828F-10462C99C708}">
  <ds:schemaRefs/>
</ds:datastoreItem>
</file>

<file path=customXml/itemProps21.xml><?xml version="1.0" encoding="utf-8"?>
<ds:datastoreItem xmlns:ds="http://schemas.openxmlformats.org/officeDocument/2006/customXml" ds:itemID="{3C0E75AF-6598-439B-B26D-6AA4A79C29C0}">
  <ds:schemaRefs/>
</ds:datastoreItem>
</file>

<file path=customXml/itemProps22.xml><?xml version="1.0" encoding="utf-8"?>
<ds:datastoreItem xmlns:ds="http://schemas.openxmlformats.org/officeDocument/2006/customXml" ds:itemID="{A24CC335-726A-4DBE-9752-3AC75805A8AA}">
  <ds:schemaRefs/>
</ds:datastoreItem>
</file>

<file path=customXml/itemProps23.xml><?xml version="1.0" encoding="utf-8"?>
<ds:datastoreItem xmlns:ds="http://schemas.openxmlformats.org/officeDocument/2006/customXml" ds:itemID="{50EB2D7B-F0F3-4C44-A772-C54F18E8F0A3}">
  <ds:schemaRefs/>
</ds:datastoreItem>
</file>

<file path=customXml/itemProps24.xml><?xml version="1.0" encoding="utf-8"?>
<ds:datastoreItem xmlns:ds="http://schemas.openxmlformats.org/officeDocument/2006/customXml" ds:itemID="{B3FC99BA-BC37-4BFB-92A1-52B49F88C19D}">
  <ds:schemaRefs/>
</ds:datastoreItem>
</file>

<file path=customXml/itemProps25.xml><?xml version="1.0" encoding="utf-8"?>
<ds:datastoreItem xmlns:ds="http://schemas.openxmlformats.org/officeDocument/2006/customXml" ds:itemID="{45F87F14-5FEC-43A3-B29E-5D8370E6A313}">
  <ds:schemaRefs/>
</ds:datastoreItem>
</file>

<file path=customXml/itemProps26.xml><?xml version="1.0" encoding="utf-8"?>
<ds:datastoreItem xmlns:ds="http://schemas.openxmlformats.org/officeDocument/2006/customXml" ds:itemID="{CBD2C261-557E-4552-A5CD-E90E7AA3303E}">
  <ds:schemaRefs/>
</ds:datastoreItem>
</file>

<file path=customXml/itemProps27.xml><?xml version="1.0" encoding="utf-8"?>
<ds:datastoreItem xmlns:ds="http://schemas.openxmlformats.org/officeDocument/2006/customXml" ds:itemID="{DBDFBCF1-F856-4BF5-A818-A37F40795282}">
  <ds:schemaRefs/>
</ds:datastoreItem>
</file>

<file path=customXml/itemProps28.xml><?xml version="1.0" encoding="utf-8"?>
<ds:datastoreItem xmlns:ds="http://schemas.openxmlformats.org/officeDocument/2006/customXml" ds:itemID="{EA38DC7E-86BA-408E-BA10-2D8C82C85A10}">
  <ds:schemaRefs/>
</ds:datastoreItem>
</file>

<file path=customXml/itemProps29.xml><?xml version="1.0" encoding="utf-8"?>
<ds:datastoreItem xmlns:ds="http://schemas.openxmlformats.org/officeDocument/2006/customXml" ds:itemID="{AECE9899-21B9-41CB-8BE3-99965BD2F7F7}">
  <ds:schemaRefs>
    <ds:schemaRef ds:uri="http://schemas.openxmlformats.org/officeDocument/2006/bibliography"/>
  </ds:schemaRefs>
</ds:datastoreItem>
</file>

<file path=customXml/itemProps3.xml><?xml version="1.0" encoding="utf-8"?>
<ds:datastoreItem xmlns:ds="http://schemas.openxmlformats.org/officeDocument/2006/customXml" ds:itemID="{1B0C7C0A-1BCE-47AD-92B3-40907CA3D4A9}">
  <ds:schemaRefs/>
</ds:datastoreItem>
</file>

<file path=customXml/itemProps30.xml><?xml version="1.0" encoding="utf-8"?>
<ds:datastoreItem xmlns:ds="http://schemas.openxmlformats.org/officeDocument/2006/customXml" ds:itemID="{19D298E6-8D89-4ADE-9F65-AA3902CA5F57}">
  <ds:schemaRefs/>
</ds:datastoreItem>
</file>

<file path=customXml/itemProps31.xml><?xml version="1.0" encoding="utf-8"?>
<ds:datastoreItem xmlns:ds="http://schemas.openxmlformats.org/officeDocument/2006/customXml" ds:itemID="{68E4386D-EEAC-4174-9E6A-38EEA1CDCCCA}">
  <ds:schemaRefs/>
</ds:datastoreItem>
</file>

<file path=customXml/itemProps32.xml><?xml version="1.0" encoding="utf-8"?>
<ds:datastoreItem xmlns:ds="http://schemas.openxmlformats.org/officeDocument/2006/customXml" ds:itemID="{BCD51E7A-7F67-4C09-93F6-4F9EDD4FAD7D}">
  <ds:schemaRefs/>
</ds:datastoreItem>
</file>

<file path=customXml/itemProps33.xml><?xml version="1.0" encoding="utf-8"?>
<ds:datastoreItem xmlns:ds="http://schemas.openxmlformats.org/officeDocument/2006/customXml" ds:itemID="{994911B1-AB7F-4EFC-8065-B058B3EFDE8B}">
  <ds:schemaRefs/>
</ds:datastoreItem>
</file>

<file path=customXml/itemProps34.xml><?xml version="1.0" encoding="utf-8"?>
<ds:datastoreItem xmlns:ds="http://schemas.openxmlformats.org/officeDocument/2006/customXml" ds:itemID="{96087484-9773-4C02-B555-707E250B1A0E}">
  <ds:schemaRefs/>
</ds:datastoreItem>
</file>

<file path=customXml/itemProps35.xml><?xml version="1.0" encoding="utf-8"?>
<ds:datastoreItem xmlns:ds="http://schemas.openxmlformats.org/officeDocument/2006/customXml" ds:itemID="{9110F99C-3A87-4CDB-9B76-9537B31D7625}">
  <ds:schemaRefs>
    <ds:schemaRef ds:uri="http://schemas.openxmlformats.org/officeDocument/2006/bibliography"/>
  </ds:schemaRefs>
</ds:datastoreItem>
</file>

<file path=customXml/itemProps36.xml><?xml version="1.0" encoding="utf-8"?>
<ds:datastoreItem xmlns:ds="http://schemas.openxmlformats.org/officeDocument/2006/customXml" ds:itemID="{F5ED985B-1E09-479E-8005-CF9C4FB646CB}">
  <ds:schemaRefs>
    <ds:schemaRef ds:uri="http://schemas.openxmlformats.org/officeDocument/2006/bibliography"/>
  </ds:schemaRefs>
</ds:datastoreItem>
</file>

<file path=customXml/itemProps37.xml><?xml version="1.0" encoding="utf-8"?>
<ds:datastoreItem xmlns:ds="http://schemas.openxmlformats.org/officeDocument/2006/customXml" ds:itemID="{12E2EB7A-DA8D-4A7E-9BB3-F1E6DEC67072}">
  <ds:schemaRefs>
    <ds:schemaRef ds:uri="http://schemas.openxmlformats.org/officeDocument/2006/bibliography"/>
  </ds:schemaRefs>
</ds:datastoreItem>
</file>

<file path=customXml/itemProps4.xml><?xml version="1.0" encoding="utf-8"?>
<ds:datastoreItem xmlns:ds="http://schemas.openxmlformats.org/officeDocument/2006/customXml" ds:itemID="{02F39314-52E5-4057-B00F-D43B4F7FB920}">
  <ds:schemaRefs/>
</ds:datastoreItem>
</file>

<file path=customXml/itemProps5.xml><?xml version="1.0" encoding="utf-8"?>
<ds:datastoreItem xmlns:ds="http://schemas.openxmlformats.org/officeDocument/2006/customXml" ds:itemID="{69AD8CD2-5512-4FC5-94AE-CD009EB0D355}">
  <ds:schemaRefs/>
</ds:datastoreItem>
</file>

<file path=customXml/itemProps6.xml><?xml version="1.0" encoding="utf-8"?>
<ds:datastoreItem xmlns:ds="http://schemas.openxmlformats.org/officeDocument/2006/customXml" ds:itemID="{253B6DFA-CB6D-430F-BEE9-807351299A03}">
  <ds:schemaRefs/>
</ds:datastoreItem>
</file>

<file path=customXml/itemProps7.xml><?xml version="1.0" encoding="utf-8"?>
<ds:datastoreItem xmlns:ds="http://schemas.openxmlformats.org/officeDocument/2006/customXml" ds:itemID="{858E01C7-935B-49C2-968B-9823C11CADFF}">
  <ds:schemaRefs/>
</ds:datastoreItem>
</file>

<file path=customXml/itemProps8.xml><?xml version="1.0" encoding="utf-8"?>
<ds:datastoreItem xmlns:ds="http://schemas.openxmlformats.org/officeDocument/2006/customXml" ds:itemID="{3ED2CD82-1DEA-48B2-9BD0-0684CEFC32DF}">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36184</Words>
  <Characters>2456</Characters>
  <Application>Microsoft Office Word</Application>
  <DocSecurity>0</DocSecurity>
  <Lines>20</Lines>
  <Paragraphs>77</Paragraphs>
  <ScaleCrop>false</ScaleCrop>
  <Company/>
  <LinksUpToDate>false</LinksUpToDate>
  <CharactersWithSpaces>38563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郝婷婷</cp:lastModifiedBy>
  <cp:revision>4</cp:revision>
  <cp:lastPrinted>2021-07-02T05:52:00Z</cp:lastPrinted>
  <dcterms:created xsi:type="dcterms:W3CDTF">2023-07-07T07:24:00Z</dcterms:created>
  <dcterms:modified xsi:type="dcterms:W3CDTF">2023-07-07T10:10:00Z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ies>
</file>