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交银施罗德启嘉混合型证券投资基金基金份额发售公告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交银施罗德启嘉混合型证券投资基金</w:t>
      </w:r>
      <w:r>
        <w:rPr>
          <w:rFonts w:hAnsi="宋体"/>
          <w:sz w:val="24"/>
        </w:rPr>
        <w:t>（以下简称“本基金”）的募集已获中国证券监督管理委员会（以下简称“中国证监会”）证监许可【</w:t>
      </w:r>
      <w:r>
        <w:rPr>
          <w:rFonts w:hint="eastAsia" w:hAnsi="宋体"/>
          <w:sz w:val="24"/>
        </w:rPr>
        <w:t>2023</w:t>
      </w:r>
      <w:r>
        <w:rPr>
          <w:rFonts w:hAnsi="宋体"/>
          <w:sz w:val="24"/>
        </w:rPr>
        <w:t>】</w:t>
      </w:r>
      <w:r>
        <w:rPr>
          <w:rFonts w:hint="eastAsia" w:hAnsi="宋体"/>
          <w:sz w:val="24"/>
        </w:rPr>
        <w:t>762</w:t>
      </w:r>
      <w:r>
        <w:rPr>
          <w:rFonts w:hAnsi="宋体"/>
          <w:sz w:val="24"/>
        </w:rPr>
        <w:t>号文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sz w:val="24"/>
        </w:rPr>
        <w:t>3</w:t>
      </w:r>
      <w:r>
        <w:rPr>
          <w:rFonts w:hAnsi="宋体"/>
          <w:sz w:val="24"/>
        </w:rPr>
        <w:t>、本基金的管理人为交银施罗德基金管理有限公司（以下使用全称或其简称“本公司”），托管人为</w:t>
      </w:r>
      <w:r>
        <w:rPr>
          <w:rFonts w:hint="eastAsia" w:hAnsi="宋体"/>
          <w:sz w:val="24"/>
        </w:rPr>
        <w:t>招商银行股份有限公司</w:t>
      </w:r>
      <w:r>
        <w:rPr>
          <w:rFonts w:hAnsi="宋体"/>
          <w:sz w:val="24"/>
        </w:rPr>
        <w:t>，登记机构为中国证券登记结算有限责任公司（以下使用全称或其简称“中登”）。</w:t>
      </w:r>
    </w:p>
    <w:p>
      <w:pPr>
        <w:adjustRightInd w:val="0"/>
        <w:snapToGrid w:val="0"/>
        <w:spacing w:line="360" w:lineRule="auto"/>
        <w:ind w:firstLine="480" w:firstLineChars="200"/>
        <w:rPr>
          <w:rFonts w:hAnsi="宋体"/>
          <w:sz w:val="24"/>
        </w:rPr>
      </w:pPr>
      <w:r>
        <w:rPr>
          <w:rFonts w:hint="eastAsia" w:hAnsi="宋体"/>
          <w:sz w:val="24"/>
        </w:rPr>
        <w:t>4、本基金根据认购/申购费用、销售服务费收取方式的不同，将基金份额分为不同的类别。在投资人认购/申购时收取认购/申购费用、赎回时收取赎回费用且不从本类别基金资产中计提销售服务费的，称为A类基金份额；在投资人认购/申购时不收取认购/申购费用、赎回时收取赎回费用，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pPr>
        <w:adjustRightInd w:val="0"/>
        <w:snapToGrid w:val="0"/>
        <w:spacing w:line="360" w:lineRule="auto"/>
        <w:ind w:firstLine="480" w:firstLineChars="200"/>
        <w:rPr>
          <w:rFonts w:ascii="宋体" w:hAnsi="宋体"/>
          <w:sz w:val="24"/>
        </w:rPr>
      </w:pPr>
      <w:r>
        <w:rPr>
          <w:rFonts w:hAnsi="宋体"/>
          <w:sz w:val="24"/>
        </w:rPr>
        <w:t>5</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sz w:val="24"/>
        </w:rPr>
        <w:t>6</w:t>
      </w:r>
      <w:r>
        <w:rPr>
          <w:rFonts w:hAnsi="宋体"/>
          <w:sz w:val="24"/>
        </w:rPr>
        <w:t>、基金募集期：本基金自</w:t>
      </w:r>
      <w:r>
        <w:rPr>
          <w:rFonts w:hint="eastAsia"/>
          <w:sz w:val="24"/>
        </w:rPr>
        <w:t>2023年7月10日起至2023年7月28日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kern w:val="0"/>
          <w:sz w:val="24"/>
        </w:rPr>
      </w:pPr>
      <w:r>
        <w:rPr>
          <w:sz w:val="24"/>
        </w:rPr>
        <w:t>8</w:t>
      </w:r>
      <w:r>
        <w:rPr>
          <w:rFonts w:hAnsi="宋体"/>
          <w:sz w:val="24"/>
        </w:rPr>
        <w:t>、</w:t>
      </w:r>
      <w:r>
        <w:rPr>
          <w:rFonts w:hint="eastAsia" w:hAnsi="宋体"/>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pPr>
        <w:adjustRightInd w:val="0"/>
        <w:snapToGrid w:val="0"/>
        <w:spacing w:line="360" w:lineRule="auto"/>
        <w:ind w:firstLine="480" w:firstLineChars="200"/>
        <w:rPr>
          <w:rFonts w:hAnsi="宋体"/>
          <w:kern w:val="0"/>
          <w:sz w:val="24"/>
        </w:rPr>
      </w:pPr>
      <w:r>
        <w:rPr>
          <w:rFonts w:hint="eastAsia" w:hAnsi="宋体"/>
          <w:kern w:val="0"/>
          <w:sz w:val="24"/>
        </w:rPr>
        <w:t>（1）已持有上海人民币普通股票账户（或证券投资基金账户）的投资人，可以通过销售机构办理开户手续，将上海人民币普通股票账户（或证券投资基金账户）注册为开放式基金账户。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（2）没有上海人民币普通股票账户或证券投资基金账户的投资人，可通过销售机构申请注册开放式基金账户。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（3）已经持有中登开放式基金账户的投资人到非原开户机构办理认购的，不需再次开立基金账户，可凭中登基金账号到非原开户机构办理账户登记，然后再认购本基金。</w:t>
      </w:r>
    </w:p>
    <w:p>
      <w:pPr>
        <w:adjustRightInd w:val="0"/>
        <w:snapToGrid w:val="0"/>
        <w:spacing w:line="360" w:lineRule="auto"/>
        <w:ind w:firstLine="480" w:firstLineChars="200"/>
        <w:rPr>
          <w:sz w:val="24"/>
        </w:rPr>
      </w:pPr>
      <w:r>
        <w:rPr>
          <w:rFonts w:hAnsi="宋体"/>
          <w:kern w:val="0"/>
          <w:sz w:val="24"/>
        </w:rPr>
        <w:t>9</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sz w:val="24"/>
        </w:rPr>
        <w:t>10</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11</w:t>
      </w:r>
      <w:r>
        <w:rPr>
          <w:rFonts w:hAnsi="宋体"/>
          <w:sz w:val="24"/>
        </w:rPr>
        <w:t>、本公告仅对本基金基金份额发售的有关事项和规定予以说明。投资者欲了解本基金的详细情况，请详细阅读</w:t>
      </w:r>
      <w:r>
        <w:rPr>
          <w:rFonts w:hint="eastAsia" w:hAnsi="宋体"/>
          <w:sz w:val="24"/>
        </w:rPr>
        <w:t>2023年6月2</w:t>
      </w:r>
      <w:r>
        <w:rPr>
          <w:rFonts w:hint="eastAsia" w:hAnsi="宋体"/>
          <w:sz w:val="24"/>
          <w:lang w:val="en-US" w:eastAsia="zh-CN"/>
        </w:rPr>
        <w:t>1</w:t>
      </w:r>
      <w:r>
        <w:rPr>
          <w:rFonts w:hint="eastAsia" w:hAnsi="宋体"/>
          <w:sz w:val="24"/>
        </w:rPr>
        <w:t>日在本公司网站（www.fund001.com）和中国证监会基金电子披露网站（http://eid.csrc.gov.cn/fund）披露</w:t>
      </w:r>
      <w:r>
        <w:rPr>
          <w:rFonts w:hAnsi="宋体"/>
          <w:sz w:val="24"/>
        </w:rPr>
        <w:t>的</w:t>
      </w:r>
      <w:r>
        <w:rPr>
          <w:rFonts w:hint="eastAsia" w:hAnsi="宋体"/>
          <w:sz w:val="24"/>
        </w:rPr>
        <w:t>交银施罗德启嘉混合型证券投资基金基金合同</w:t>
      </w:r>
      <w:r>
        <w:rPr>
          <w:rFonts w:hAnsi="宋体"/>
          <w:sz w:val="24"/>
        </w:rPr>
        <w:t>和招募说明书。</w:t>
      </w:r>
    </w:p>
    <w:p>
      <w:pPr>
        <w:adjustRightInd w:val="0"/>
        <w:snapToGrid w:val="0"/>
        <w:spacing w:line="360" w:lineRule="auto"/>
        <w:ind w:firstLine="480" w:firstLineChars="200"/>
        <w:rPr>
          <w:sz w:val="24"/>
        </w:rPr>
      </w:pPr>
      <w:r>
        <w:rPr>
          <w:sz w:val="24"/>
        </w:rPr>
        <w:t>12</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sz w:val="24"/>
        </w:rPr>
        <w:t>13</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sz w:val="24"/>
        </w:rPr>
        <w:t>15</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sz w:val="24"/>
        </w:rPr>
        <w:t>16</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sz w:val="24"/>
        </w:rPr>
        <w:t>17</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w:t>
      </w:r>
      <w:r>
        <w:rPr>
          <w:rFonts w:hint="eastAsia"/>
          <w:bCs/>
          <w:sz w:val="24"/>
        </w:rPr>
        <w:t>理论上</w:t>
      </w:r>
      <w:r>
        <w:rPr>
          <w:rFonts w:hint="eastAsia" w:hAnsi="宋体"/>
          <w:kern w:val="0"/>
          <w:sz w:val="24"/>
        </w:rPr>
        <w:t>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int="eastAsia" w:hAnsi="宋体"/>
          <w:bCs/>
          <w:sz w:val="24"/>
        </w:rPr>
      </w:pPr>
      <w:r>
        <w:rPr>
          <w:rFonts w:hint="eastAsia" w:hAnsi="宋体"/>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djustRightInd w:val="0"/>
        <w:snapToGrid w:val="0"/>
        <w:spacing w:line="360" w:lineRule="auto"/>
        <w:ind w:firstLine="480" w:firstLineChars="200"/>
        <w:rPr>
          <w:rFonts w:hAnsi="宋体"/>
          <w:kern w:val="0"/>
          <w:sz w:val="24"/>
        </w:rPr>
      </w:pPr>
      <w:r>
        <w:rPr>
          <w:rFonts w:hint="eastAsia" w:hAnsi="宋体"/>
          <w:kern w:val="0"/>
          <w:sz w:val="24"/>
        </w:rPr>
        <w:t>本</w:t>
      </w:r>
      <w:r>
        <w:rPr>
          <w:rFonts w:hAnsi="宋体"/>
          <w:kern w:val="0"/>
          <w:sz w:val="24"/>
        </w:rPr>
        <w:t>基金面临</w:t>
      </w:r>
      <w:r>
        <w:rPr>
          <w:rFonts w:hint="eastAsia" w:hAnsi="宋体"/>
          <w:kern w:val="0"/>
          <w:sz w:val="24"/>
        </w:rPr>
        <w:t>基金合同提前终止风险。连续5</w:t>
      </w:r>
      <w:r>
        <w:rPr>
          <w:rFonts w:hAnsi="宋体"/>
          <w:kern w:val="0"/>
          <w:sz w:val="24"/>
        </w:rPr>
        <w:t>0</w:t>
      </w:r>
      <w:r>
        <w:rPr>
          <w:rFonts w:hint="eastAsia" w:hAnsi="宋体"/>
          <w:kern w:val="0"/>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outlineLvl w:val="1"/>
        <w:rPr>
          <w:sz w:val="24"/>
        </w:rPr>
      </w:pPr>
      <w:r>
        <w:rPr>
          <w:sz w:val="24"/>
        </w:rPr>
        <w:t>1</w:t>
      </w:r>
      <w:r>
        <w:rPr>
          <w:rFonts w:hAnsi="宋体"/>
          <w:sz w:val="24"/>
        </w:rPr>
        <w:t>、基金名称</w:t>
      </w:r>
    </w:p>
    <w:p>
      <w:pPr>
        <w:adjustRightInd w:val="0"/>
        <w:snapToGrid w:val="0"/>
        <w:spacing w:line="360" w:lineRule="auto"/>
        <w:ind w:firstLine="480" w:firstLineChars="200"/>
        <w:rPr>
          <w:sz w:val="24"/>
        </w:rPr>
      </w:pPr>
      <w:r>
        <w:rPr>
          <w:rFonts w:hint="eastAsia" w:hAnsi="宋体"/>
          <w:sz w:val="24"/>
        </w:rPr>
        <w:t>交银施罗德启嘉混合型证券投资基金</w:t>
      </w:r>
    </w:p>
    <w:p>
      <w:pPr>
        <w:adjustRightInd w:val="0"/>
        <w:snapToGrid w:val="0"/>
        <w:spacing w:line="360" w:lineRule="auto"/>
        <w:ind w:firstLine="480" w:firstLineChars="200"/>
        <w:outlineLvl w:val="1"/>
        <w:rPr>
          <w:sz w:val="24"/>
        </w:rPr>
      </w:pPr>
      <w:r>
        <w:rPr>
          <w:sz w:val="24"/>
        </w:rPr>
        <w:t>2</w:t>
      </w:r>
      <w:r>
        <w:rPr>
          <w:rFonts w:hAnsi="宋体"/>
          <w:sz w:val="24"/>
        </w:rPr>
        <w:t>、基金类型</w:t>
      </w:r>
    </w:p>
    <w:p>
      <w:pPr>
        <w:adjustRightInd w:val="0"/>
        <w:snapToGrid w:val="0"/>
        <w:spacing w:line="360" w:lineRule="auto"/>
        <w:ind w:firstLine="480" w:firstLineChars="200"/>
        <w:rPr>
          <w:sz w:val="24"/>
        </w:rPr>
      </w:pPr>
      <w:r>
        <w:rPr>
          <w:rFonts w:hint="eastAsia"/>
          <w:color w:val="000000"/>
          <w:kern w:val="0"/>
          <w:sz w:val="24"/>
        </w:rPr>
        <w:t>混合型证券投资基金</w:t>
      </w:r>
    </w:p>
    <w:p>
      <w:pPr>
        <w:adjustRightInd w:val="0"/>
        <w:snapToGrid w:val="0"/>
        <w:spacing w:line="360" w:lineRule="auto"/>
        <w:ind w:firstLine="480" w:firstLineChars="200"/>
        <w:outlineLvl w:val="1"/>
        <w:rPr>
          <w:sz w:val="24"/>
        </w:rPr>
      </w:pPr>
      <w:r>
        <w:rPr>
          <w:sz w:val="24"/>
        </w:rPr>
        <w:t>3</w:t>
      </w:r>
      <w:r>
        <w:rPr>
          <w:rFonts w:hAnsi="宋体"/>
          <w:sz w:val="24"/>
        </w:rPr>
        <w:t>、运作方式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outlineLvl w:val="1"/>
        <w:rPr>
          <w:sz w:val="24"/>
        </w:rPr>
      </w:pPr>
      <w:r>
        <w:rPr>
          <w:sz w:val="24"/>
        </w:rPr>
        <w:t>4</w:t>
      </w:r>
      <w:r>
        <w:rPr>
          <w:rFonts w:hAnsi="宋体"/>
          <w:sz w:val="24"/>
        </w:rPr>
        <w:t>、基金存续期限</w:t>
      </w:r>
    </w:p>
    <w:p>
      <w:pPr>
        <w:adjustRightInd w:val="0"/>
        <w:snapToGrid w:val="0"/>
        <w:spacing w:line="360" w:lineRule="auto"/>
        <w:ind w:firstLine="480" w:firstLineChars="200"/>
        <w:rPr>
          <w:sz w:val="24"/>
        </w:rPr>
      </w:pPr>
      <w:r>
        <w:rPr>
          <w:rFonts w:hAnsi="宋体"/>
          <w:sz w:val="24"/>
        </w:rPr>
        <w:t>不定期</w:t>
      </w:r>
    </w:p>
    <w:p>
      <w:pPr>
        <w:adjustRightInd w:val="0"/>
        <w:snapToGrid w:val="0"/>
        <w:spacing w:line="360" w:lineRule="auto"/>
        <w:ind w:firstLine="480" w:firstLineChars="200"/>
        <w:outlineLvl w:val="1"/>
        <w:rPr>
          <w:sz w:val="24"/>
        </w:rPr>
      </w:pPr>
      <w:r>
        <w:rPr>
          <w:sz w:val="24"/>
        </w:rPr>
        <w:t>5</w:t>
      </w:r>
      <w:r>
        <w:rPr>
          <w:rFonts w:hAnsi="宋体"/>
          <w:sz w:val="24"/>
        </w:rPr>
        <w:t>、基金份额发售面值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w:t>
      </w:r>
      <w:r>
        <w:rPr>
          <w:sz w:val="24"/>
        </w:rPr>
        <w:t>1.00</w:t>
      </w:r>
      <w:r>
        <w:rPr>
          <w:rFonts w:hAnsi="宋体"/>
          <w:sz w:val="24"/>
        </w:rPr>
        <w:t>元。</w:t>
      </w:r>
    </w:p>
    <w:p>
      <w:pPr>
        <w:adjustRightInd w:val="0"/>
        <w:snapToGrid w:val="0"/>
        <w:spacing w:line="360" w:lineRule="auto"/>
        <w:ind w:firstLine="480" w:firstLineChars="200"/>
        <w:outlineLvl w:val="1"/>
        <w:rPr>
          <w:rFonts w:hAnsi="宋体"/>
          <w:sz w:val="24"/>
        </w:rPr>
      </w:pPr>
      <w:r>
        <w:rPr>
          <w:rFonts w:hint="eastAsia" w:hAnsi="宋体"/>
          <w:sz w:val="24"/>
        </w:rPr>
        <w:t>6、基金份额类别</w:t>
      </w:r>
    </w:p>
    <w:p>
      <w:pPr>
        <w:adjustRightInd w:val="0"/>
        <w:snapToGrid w:val="0"/>
        <w:spacing w:line="360" w:lineRule="auto"/>
        <w:ind w:firstLine="480" w:firstLineChars="200"/>
        <w:outlineLvl w:val="1"/>
        <w:rPr>
          <w:sz w:val="24"/>
        </w:rPr>
      </w:pPr>
      <w:r>
        <w:rPr>
          <w:rFonts w:hint="eastAsia" w:hAnsi="宋体"/>
          <w:sz w:val="24"/>
        </w:rPr>
        <w:t>本基金根据认购/申购费用、销售服务费收取方式的不同，将基金份额分为不同的类别。在投资人认购/申购时收取认购/申购费用、赎回时收取赎回费用且不从本类别基金资产中计提销售服务费的，称为A类基金份额；在投资人认购/申购时不收取认购/申购费用、赎回时收取赎回费用，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pPr>
        <w:adjustRightInd w:val="0"/>
        <w:snapToGrid w:val="0"/>
        <w:spacing w:line="360" w:lineRule="auto"/>
        <w:ind w:firstLine="480" w:firstLineChars="200"/>
        <w:outlineLvl w:val="1"/>
        <w:rPr>
          <w:sz w:val="24"/>
        </w:rPr>
      </w:pPr>
      <w:r>
        <w:rPr>
          <w:sz w:val="24"/>
        </w:rPr>
        <w:t>7</w:t>
      </w:r>
      <w:r>
        <w:rPr>
          <w:rFonts w:hint="eastAsia"/>
          <w:sz w:val="24"/>
        </w:rPr>
        <w:t>、</w:t>
      </w:r>
      <w:r>
        <w:rPr>
          <w:sz w:val="24"/>
        </w:rPr>
        <w:t>基金代码及基金简称</w:t>
      </w:r>
    </w:p>
    <w:p>
      <w:pPr>
        <w:adjustRightInd w:val="0"/>
        <w:snapToGrid w:val="0"/>
        <w:spacing w:line="360" w:lineRule="auto"/>
        <w:ind w:firstLine="480" w:firstLineChars="200"/>
        <w:rPr>
          <w:sz w:val="24"/>
        </w:rPr>
      </w:pPr>
      <w:r>
        <w:rPr>
          <w:rFonts w:hint="eastAsia"/>
          <w:sz w:val="24"/>
        </w:rPr>
        <w:t>（1）A类基金份额基金代码：018554；基金简称：交银启嘉混合A</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C</w:t>
      </w:r>
      <w:r>
        <w:rPr>
          <w:rFonts w:hint="eastAsia"/>
          <w:sz w:val="24"/>
        </w:rPr>
        <w:t>类基金份额基金代码：018555；基金简称：交银启嘉混合</w:t>
      </w:r>
      <w:r>
        <w:rPr>
          <w:sz w:val="24"/>
        </w:rPr>
        <w:t>C</w:t>
      </w:r>
    </w:p>
    <w:p>
      <w:pPr>
        <w:adjustRightInd w:val="0"/>
        <w:snapToGrid w:val="0"/>
        <w:spacing w:line="360" w:lineRule="auto"/>
        <w:ind w:firstLine="480" w:firstLineChars="200"/>
        <w:outlineLvl w:val="1"/>
        <w:rPr>
          <w:sz w:val="24"/>
        </w:rPr>
      </w:pPr>
      <w:r>
        <w:rPr>
          <w:sz w:val="24"/>
        </w:rPr>
        <w:t>8</w:t>
      </w:r>
      <w:r>
        <w:rPr>
          <w:rFonts w:hAnsi="宋体"/>
          <w:sz w:val="24"/>
        </w:rPr>
        <w:t>、发售对象</w:t>
      </w:r>
    </w:p>
    <w:p>
      <w:pPr>
        <w:widowControl/>
        <w:adjustRightInd w:val="0"/>
        <w:snapToGrid w:val="0"/>
        <w:spacing w:line="360" w:lineRule="auto"/>
        <w:ind w:firstLine="480" w:firstLineChars="20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outlineLvl w:val="1"/>
        <w:rPr>
          <w:sz w:val="24"/>
        </w:rPr>
      </w:pPr>
      <w:r>
        <w:rPr>
          <w:sz w:val="24"/>
        </w:rPr>
        <w:t>9</w:t>
      </w:r>
      <w:r>
        <w:rPr>
          <w:rFonts w:hAnsi="宋体"/>
          <w:sz w:val="24"/>
        </w:rPr>
        <w:t>、销售机构</w:t>
      </w:r>
    </w:p>
    <w:p>
      <w:pPr>
        <w:adjustRightInd w:val="0"/>
        <w:snapToGrid w:val="0"/>
        <w:spacing w:line="360" w:lineRule="auto"/>
        <w:ind w:firstLine="480" w:firstLineChars="200"/>
        <w:outlineLvl w:val="2"/>
        <w:rPr>
          <w:rFonts w:hAnsi="宋体"/>
          <w:sz w:val="24"/>
        </w:rPr>
      </w:pPr>
      <w:r>
        <w:rPr>
          <w:rFonts w:hAnsi="宋体"/>
          <w:sz w:val="24"/>
        </w:rPr>
        <w:t>（1）直销机构：</w:t>
      </w:r>
    </w:p>
    <w:p>
      <w:pPr>
        <w:adjustRightInd w:val="0"/>
        <w:snapToGrid w:val="0"/>
        <w:spacing w:line="360" w:lineRule="auto"/>
        <w:ind w:firstLine="480" w:firstLineChars="200"/>
        <w:rPr>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outlineLvl w:val="2"/>
        <w:rPr>
          <w:rFonts w:hAnsi="宋体"/>
          <w:sz w:val="24"/>
        </w:rPr>
      </w:pPr>
      <w:r>
        <w:rPr>
          <w:rFonts w:hAnsi="宋体"/>
          <w:sz w:val="24"/>
        </w:rPr>
        <w:t>（2）</w:t>
      </w:r>
      <w:r>
        <w:rPr>
          <w:rFonts w:hint="eastAsia" w:hAnsi="宋体"/>
          <w:sz w:val="24"/>
        </w:rPr>
        <w:t>除基金管理人之外的其他销售机构：</w:t>
      </w:r>
    </w:p>
    <w:p>
      <w:pPr>
        <w:adjustRightInd w:val="0"/>
        <w:snapToGrid w:val="0"/>
        <w:spacing w:line="360" w:lineRule="auto"/>
        <w:ind w:firstLine="480" w:firstLineChars="20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outlineLvl w:val="1"/>
        <w:rPr>
          <w:sz w:val="24"/>
        </w:rPr>
      </w:pPr>
      <w:r>
        <w:rPr>
          <w:sz w:val="24"/>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rFonts w:hint="eastAsia"/>
          <w:sz w:val="24"/>
        </w:rPr>
        <w:t>2023年7月10日起至2023年7月28日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outlineLvl w:val="1"/>
        <w:rPr>
          <w:sz w:val="24"/>
        </w:rPr>
      </w:pPr>
      <w:r>
        <w:rPr>
          <w:sz w:val="24"/>
        </w:rPr>
        <w:t>11</w:t>
      </w:r>
      <w:r>
        <w:rPr>
          <w:rFonts w:hAnsi="宋体"/>
          <w:sz w:val="24"/>
        </w:rPr>
        <w:t>、认购期利息的处理方式</w:t>
      </w:r>
    </w:p>
    <w:p>
      <w:pPr>
        <w:adjustRightInd w:val="0"/>
        <w:snapToGrid w:val="0"/>
        <w:spacing w:line="360" w:lineRule="auto"/>
        <w:ind w:firstLine="480" w:firstLineChars="200"/>
        <w:rPr>
          <w:rFonts w:hAnsi="宋体"/>
          <w:color w:val="000000"/>
          <w:sz w:val="24"/>
        </w:rPr>
      </w:pPr>
      <w:r>
        <w:rPr>
          <w:rFonts w:hint="eastAsia" w:hAnsi="宋体"/>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0801570"/>
      <w:bookmarkEnd w:id="0"/>
      <w:bookmarkStart w:id="1" w:name="_Hlt91264042"/>
      <w:bookmarkEnd w:id="1"/>
      <w:bookmarkStart w:id="2" w:name="_Hlt91148053"/>
      <w:bookmarkEnd w:id="2"/>
      <w:bookmarkStart w:id="3" w:name="_Hlt91264078"/>
      <w:bookmarkEnd w:id="3"/>
      <w:bookmarkStart w:id="4" w:name="_Hlt90455312"/>
      <w:bookmarkEnd w:id="4"/>
    </w:p>
    <w:p>
      <w:pPr>
        <w:adjustRightInd w:val="0"/>
        <w:snapToGrid w:val="0"/>
        <w:spacing w:line="360" w:lineRule="auto"/>
        <w:ind w:firstLine="480" w:firstLineChars="200"/>
        <w:rPr>
          <w:rFonts w:hAnsi="宋体"/>
          <w:color w:val="000000"/>
          <w:sz w:val="24"/>
        </w:rPr>
      </w:pPr>
      <w:r>
        <w:rPr>
          <w:rFonts w:hint="eastAsia" w:hAnsi="宋体"/>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outlineLvl w:val="1"/>
        <w:rPr>
          <w:sz w:val="24"/>
        </w:rPr>
      </w:pPr>
      <w:r>
        <w:rPr>
          <w:sz w:val="24"/>
        </w:rPr>
        <w:t>12</w:t>
      </w:r>
      <w:r>
        <w:rPr>
          <w:rFonts w:hAnsi="宋体"/>
          <w:sz w:val="24"/>
        </w:rPr>
        <w:t>、</w:t>
      </w:r>
      <w:r>
        <w:rPr>
          <w:rFonts w:hAnsi="宋体"/>
          <w:kern w:val="0"/>
          <w:sz w:val="24"/>
        </w:rPr>
        <w:t>基金份额的认购费用、认购价格及认购份额的计算公式</w:t>
      </w:r>
    </w:p>
    <w:p>
      <w:pPr>
        <w:adjustRightInd w:val="0"/>
        <w:snapToGrid w:val="0"/>
        <w:spacing w:line="360" w:lineRule="auto"/>
        <w:ind w:firstLine="480" w:firstLineChars="200"/>
        <w:outlineLvl w:val="2"/>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outlineLvl w:val="2"/>
        <w:rPr>
          <w:sz w:val="24"/>
        </w:rPr>
      </w:pPr>
      <w:r>
        <w:rPr>
          <w:sz w:val="24"/>
        </w:rPr>
        <w:t>（2）认购费率</w:t>
      </w:r>
      <w:r>
        <w:rPr>
          <w:rFonts w:hint="eastAsia"/>
          <w:sz w:val="24"/>
        </w:rPr>
        <w:t>：</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szCs w:val="20"/>
              </w:rPr>
            </w:pPr>
            <w:r>
              <w:rPr>
                <w:b/>
                <w:sz w:val="24"/>
                <w:szCs w:val="20"/>
              </w:rPr>
              <w:t>认购金额（含认购费）</w:t>
            </w:r>
          </w:p>
        </w:tc>
        <w:tc>
          <w:tcPr>
            <w:tcW w:w="3598" w:type="dxa"/>
            <w:shd w:val="clear" w:color="auto" w:fill="FFFFFF"/>
            <w:vAlign w:val="center"/>
          </w:tcPr>
          <w:p>
            <w:pPr>
              <w:adjustRightInd w:val="0"/>
              <w:snapToGrid w:val="0"/>
              <w:jc w:val="center"/>
              <w:rPr>
                <w:b/>
                <w:sz w:val="24"/>
                <w:szCs w:val="20"/>
              </w:rPr>
            </w:pPr>
            <w:r>
              <w:rPr>
                <w:rFonts w:hint="eastAsia"/>
                <w:b/>
                <w:color w:val="000000"/>
                <w:kern w:val="0"/>
                <w:sz w:val="24"/>
                <w:szCs w:val="20"/>
              </w:rPr>
              <w:t>A类基金份额</w:t>
            </w:r>
            <w:r>
              <w:rPr>
                <w:b/>
                <w:sz w:val="24"/>
                <w:szCs w:val="20"/>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szCs w:val="20"/>
              </w:rPr>
            </w:pPr>
            <w:r>
              <w:rPr>
                <w:sz w:val="24"/>
                <w:szCs w:val="20"/>
              </w:rPr>
              <w:t>1000万元以下</w:t>
            </w:r>
          </w:p>
        </w:tc>
        <w:tc>
          <w:tcPr>
            <w:tcW w:w="3598" w:type="dxa"/>
          </w:tcPr>
          <w:p>
            <w:pPr>
              <w:adjustRightInd w:val="0"/>
              <w:snapToGrid w:val="0"/>
              <w:jc w:val="center"/>
              <w:rPr>
                <w:sz w:val="24"/>
                <w:szCs w:val="20"/>
              </w:rPr>
            </w:pPr>
            <w:r>
              <w:rPr>
                <w:sz w:val="24"/>
                <w:szCs w:val="20"/>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szCs w:val="20"/>
              </w:rPr>
            </w:pPr>
            <w:r>
              <w:rPr>
                <w:sz w:val="24"/>
                <w:szCs w:val="20"/>
              </w:rPr>
              <w:t>1000万元以上（含1000万</w:t>
            </w:r>
            <w:r>
              <w:rPr>
                <w:rFonts w:hint="eastAsia"/>
                <w:sz w:val="24"/>
                <w:szCs w:val="20"/>
              </w:rPr>
              <w:t>元</w:t>
            </w:r>
            <w:r>
              <w:rPr>
                <w:sz w:val="24"/>
                <w:szCs w:val="20"/>
              </w:rPr>
              <w:t>）</w:t>
            </w:r>
          </w:p>
        </w:tc>
        <w:tc>
          <w:tcPr>
            <w:tcW w:w="3598" w:type="dxa"/>
          </w:tcPr>
          <w:p>
            <w:pPr>
              <w:adjustRightInd w:val="0"/>
              <w:snapToGrid w:val="0"/>
              <w:jc w:val="center"/>
              <w:rPr>
                <w:sz w:val="24"/>
                <w:szCs w:val="20"/>
              </w:rPr>
            </w:pPr>
            <w:r>
              <w:rPr>
                <w:sz w:val="24"/>
                <w:szCs w:val="20"/>
              </w:rPr>
              <w:t>每笔交易1000元</w:t>
            </w:r>
          </w:p>
        </w:tc>
      </w:tr>
    </w:tbl>
    <w:p>
      <w:pPr>
        <w:widowControl/>
        <w:adjustRightInd w:val="0"/>
        <w:snapToGrid w:val="0"/>
        <w:spacing w:line="360" w:lineRule="auto"/>
        <w:ind w:firstLine="480" w:firstLineChars="200"/>
        <w:rPr>
          <w:kern w:val="0"/>
          <w:sz w:val="24"/>
        </w:rPr>
      </w:pPr>
    </w:p>
    <w:p>
      <w:pPr>
        <w:adjustRightInd w:val="0"/>
        <w:snapToGrid w:val="0"/>
        <w:spacing w:line="360" w:lineRule="auto"/>
        <w:ind w:firstLine="480" w:firstLineChars="200"/>
        <w:rPr>
          <w:sz w:val="24"/>
        </w:rPr>
      </w:pPr>
      <w:r>
        <w:rPr>
          <w:rFonts w:hint="eastAsia"/>
          <w:sz w:val="24"/>
        </w:rPr>
        <w:t>本基金对通过基金管理人直销柜台认购A类基金份额的养老金客户与除此之外的其他投资者实施差别的认购费率。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rFonts w:hint="eastAsia"/>
          <w:sz w:val="24"/>
        </w:rPr>
        <w:t>1）全国社会保障基金；</w:t>
      </w:r>
    </w:p>
    <w:p>
      <w:pPr>
        <w:adjustRightInd w:val="0"/>
        <w:snapToGrid w:val="0"/>
        <w:spacing w:line="360" w:lineRule="auto"/>
        <w:ind w:firstLine="480" w:firstLineChars="200"/>
        <w:rPr>
          <w:sz w:val="24"/>
        </w:rPr>
      </w:pPr>
      <w:r>
        <w:rPr>
          <w:rFonts w:hint="eastAsia"/>
          <w:sz w:val="24"/>
        </w:rPr>
        <w:t>2）可以投资基金的地方社会保障基金；</w:t>
      </w:r>
    </w:p>
    <w:p>
      <w:pPr>
        <w:adjustRightInd w:val="0"/>
        <w:snapToGrid w:val="0"/>
        <w:spacing w:line="360" w:lineRule="auto"/>
        <w:ind w:firstLine="480" w:firstLineChars="200"/>
        <w:rPr>
          <w:sz w:val="24"/>
        </w:rPr>
      </w:pPr>
      <w:r>
        <w:rPr>
          <w:rFonts w:hint="eastAsia"/>
          <w:sz w:val="24"/>
        </w:rPr>
        <w:t>3）企业年金单一计划以及集合计划；</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p>
    <w:p>
      <w:pPr>
        <w:adjustRightInd w:val="0"/>
        <w:snapToGrid w:val="0"/>
        <w:spacing w:line="360" w:lineRule="auto"/>
        <w:ind w:firstLine="480" w:firstLineChars="200"/>
        <w:rPr>
          <w:sz w:val="24"/>
        </w:rPr>
      </w:pPr>
      <w:r>
        <w:rPr>
          <w:rFonts w:hint="eastAsia"/>
          <w:sz w:val="24"/>
        </w:rPr>
        <w:t>如将来出现经养老基金监管部门认可的新的养老基金类型，基金管理人可在招募说明书更新或发布临时公告将其纳入养老金客户范围。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pPr>
              <w:adjustRightInd w:val="0"/>
              <w:snapToGrid w:val="0"/>
              <w:jc w:val="center"/>
              <w:rPr>
                <w:b/>
                <w:sz w:val="24"/>
                <w:szCs w:val="20"/>
              </w:rPr>
            </w:pPr>
            <w:r>
              <w:rPr>
                <w:rFonts w:hint="eastAsia"/>
                <w:b/>
                <w:sz w:val="24"/>
                <w:szCs w:val="20"/>
              </w:rPr>
              <w:t>A类基金份额特定认</w:t>
            </w:r>
            <w:r>
              <w:rPr>
                <w:b/>
                <w:sz w:val="24"/>
                <w:szCs w:val="20"/>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szCs w:val="20"/>
              </w:rPr>
            </w:pPr>
            <w:r>
              <w:rPr>
                <w:sz w:val="24"/>
                <w:szCs w:val="20"/>
              </w:rPr>
              <w:t>1000万元以下</w:t>
            </w:r>
          </w:p>
        </w:tc>
        <w:tc>
          <w:tcPr>
            <w:tcW w:w="3767" w:type="dxa"/>
          </w:tcPr>
          <w:p>
            <w:pPr>
              <w:adjustRightInd w:val="0"/>
              <w:snapToGrid w:val="0"/>
              <w:jc w:val="center"/>
              <w:rPr>
                <w:sz w:val="24"/>
                <w:szCs w:val="20"/>
              </w:rPr>
            </w:pPr>
            <w:r>
              <w:rPr>
                <w:rFonts w:hint="eastAsia" w:hAnsi="宋体"/>
                <w:sz w:val="24"/>
                <w:szCs w:val="20"/>
              </w:rPr>
              <w:t>0.</w:t>
            </w:r>
            <w:r>
              <w:rPr>
                <w:rFonts w:hAnsi="宋体"/>
                <w:sz w:val="24"/>
                <w:szCs w:val="20"/>
              </w:rPr>
              <w:t>48</w:t>
            </w:r>
            <w:r>
              <w:rPr>
                <w:rFonts w:hint="eastAsia" w:hAnsi="宋体"/>
                <w:sz w:val="24"/>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szCs w:val="20"/>
              </w:rPr>
            </w:pPr>
            <w:r>
              <w:rPr>
                <w:sz w:val="24"/>
                <w:szCs w:val="20"/>
              </w:rPr>
              <w:t>1000万元以上（含1000万</w:t>
            </w:r>
            <w:r>
              <w:rPr>
                <w:rFonts w:hint="eastAsia"/>
                <w:sz w:val="24"/>
                <w:szCs w:val="20"/>
              </w:rPr>
              <w:t>元</w:t>
            </w:r>
            <w:r>
              <w:rPr>
                <w:sz w:val="24"/>
                <w:szCs w:val="20"/>
              </w:rPr>
              <w:t>）</w:t>
            </w:r>
          </w:p>
        </w:tc>
        <w:tc>
          <w:tcPr>
            <w:tcW w:w="3767" w:type="dxa"/>
          </w:tcPr>
          <w:p>
            <w:pPr>
              <w:adjustRightInd w:val="0"/>
              <w:snapToGrid w:val="0"/>
              <w:jc w:val="center"/>
              <w:rPr>
                <w:rFonts w:hAnsi="宋体"/>
                <w:sz w:val="24"/>
                <w:szCs w:val="20"/>
              </w:rPr>
            </w:pPr>
            <w:r>
              <w:rPr>
                <w:rFonts w:hAnsi="宋体"/>
                <w:sz w:val="24"/>
                <w:szCs w:val="20"/>
              </w:rPr>
              <w:t>每笔交易1000元</w:t>
            </w:r>
          </w:p>
        </w:tc>
      </w:tr>
    </w:tbl>
    <w:p>
      <w:pPr>
        <w:widowControl/>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outlineLvl w:val="2"/>
        <w:rPr>
          <w:sz w:val="24"/>
        </w:rPr>
      </w:pPr>
      <w:r>
        <w:rPr>
          <w:sz w:val="24"/>
        </w:rPr>
        <w:t>（3）认购份额的计算</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基金认购采用金额认购的方式。基金的认购金额包括认购费用和净认购金额。计算公式为：</w:t>
      </w:r>
    </w:p>
    <w:p>
      <w:pPr>
        <w:adjustRightInd w:val="0"/>
        <w:snapToGrid w:val="0"/>
        <w:spacing w:line="360" w:lineRule="auto"/>
        <w:ind w:firstLine="480" w:firstLineChars="200"/>
        <w:rPr>
          <w:sz w:val="24"/>
        </w:rPr>
      </w:pPr>
      <w:r>
        <w:rPr>
          <w:rFonts w:hint="eastAsia"/>
          <w:sz w:val="24"/>
        </w:rPr>
        <w:t>认购总金额=申请总金额</w:t>
      </w:r>
    </w:p>
    <w:p>
      <w:pPr>
        <w:adjustRightInd w:val="0"/>
        <w:snapToGrid w:val="0"/>
        <w:spacing w:line="360" w:lineRule="auto"/>
        <w:ind w:firstLine="480" w:firstLineChars="200"/>
        <w:rPr>
          <w:sz w:val="24"/>
        </w:rPr>
      </w:pPr>
      <w:r>
        <w:rPr>
          <w:rFonts w:hint="eastAsia"/>
          <w:sz w:val="24"/>
        </w:rPr>
        <w:t>净认购金额=认购总金额/（1+认购费率）</w:t>
      </w:r>
    </w:p>
    <w:p>
      <w:pPr>
        <w:adjustRightInd w:val="0"/>
        <w:snapToGrid w:val="0"/>
        <w:spacing w:line="360" w:lineRule="auto"/>
        <w:ind w:firstLine="480" w:firstLineChars="200"/>
        <w:rPr>
          <w:sz w:val="24"/>
        </w:rPr>
      </w:pPr>
      <w:r>
        <w:rPr>
          <w:rFonts w:hint="eastAsia"/>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rFonts w:hint="eastAsia"/>
          <w:sz w:val="24"/>
        </w:rPr>
        <w:t>认购费用=认购总金额-净认购金额</w:t>
      </w:r>
    </w:p>
    <w:p>
      <w:pPr>
        <w:adjustRightInd w:val="0"/>
        <w:snapToGrid w:val="0"/>
        <w:spacing w:line="360" w:lineRule="auto"/>
        <w:ind w:firstLine="480" w:firstLineChars="200"/>
        <w:rPr>
          <w:sz w:val="24"/>
        </w:rPr>
      </w:pPr>
      <w:r>
        <w:rPr>
          <w:rFonts w:hint="eastAsia"/>
          <w:sz w:val="24"/>
        </w:rPr>
        <w:t>（注：对于适用固定金额认购费用的认购，认购费用＝固定认购费用金额）</w:t>
      </w:r>
    </w:p>
    <w:p>
      <w:pPr>
        <w:adjustRightInd w:val="0"/>
        <w:snapToGrid w:val="0"/>
        <w:spacing w:line="360" w:lineRule="auto"/>
        <w:ind w:firstLine="480" w:firstLineChars="200"/>
        <w:rPr>
          <w:sz w:val="24"/>
        </w:rPr>
      </w:pPr>
      <w:r>
        <w:rPr>
          <w:rFonts w:hint="eastAsia"/>
          <w:sz w:val="24"/>
        </w:rPr>
        <w:t>认购份额=净认购金额/基金份额初始面值+认购利息/基金份额初始面值</w:t>
      </w:r>
    </w:p>
    <w:p>
      <w:pPr>
        <w:adjustRightInd w:val="0"/>
        <w:snapToGrid w:val="0"/>
        <w:spacing w:line="360" w:lineRule="auto"/>
        <w:ind w:firstLine="480" w:firstLineChars="200"/>
        <w:rPr>
          <w:sz w:val="24"/>
        </w:rPr>
      </w:pPr>
      <w:r>
        <w:rPr>
          <w:rFonts w:hint="eastAsia"/>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例一：某投资者（非养老金客户）投资本基金A类基金份额100,000元，且该认购申请被全额确认，假定募集期产生的利息为10.00元，认购费率为1.2%，则可认购基金份额为：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净认购金额＝100,000/（1＋1.2%）＝98,814.23元</w:t>
      </w:r>
    </w:p>
    <w:p>
      <w:pPr>
        <w:adjustRightInd w:val="0"/>
        <w:snapToGrid w:val="0"/>
        <w:spacing w:line="360" w:lineRule="auto"/>
        <w:ind w:firstLine="480" w:firstLineChars="200"/>
        <w:rPr>
          <w:sz w:val="24"/>
        </w:rPr>
      </w:pPr>
      <w:r>
        <w:rPr>
          <w:rFonts w:hint="eastAsia"/>
          <w:sz w:val="24"/>
        </w:rPr>
        <w:t>认购费用＝100,000-98,814.23＝1,185.77元</w:t>
      </w:r>
    </w:p>
    <w:p>
      <w:pPr>
        <w:adjustRightInd w:val="0"/>
        <w:snapToGrid w:val="0"/>
        <w:spacing w:line="360" w:lineRule="auto"/>
        <w:ind w:firstLine="480" w:firstLineChars="200"/>
        <w:rPr>
          <w:sz w:val="24"/>
        </w:rPr>
      </w:pPr>
      <w:r>
        <w:rPr>
          <w:rFonts w:hint="eastAsia"/>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即：若该投资者（非养老金客户）投资本基金A类基金份额100,000元，假定募集期产生的利息为10.00元，则投资100,000元本金可得到98,824.23份A类基金份额。</w:t>
      </w:r>
    </w:p>
    <w:p>
      <w:pPr>
        <w:adjustRightInd w:val="0"/>
        <w:snapToGrid w:val="0"/>
        <w:spacing w:line="360" w:lineRule="auto"/>
        <w:ind w:firstLine="480" w:firstLineChars="200"/>
        <w:rPr>
          <w:sz w:val="24"/>
        </w:rPr>
      </w:pPr>
      <w:r>
        <w:rPr>
          <w:rFonts w:hint="eastAsia"/>
          <w:sz w:val="24"/>
        </w:rPr>
        <w:t>例二：某养老金客户通过基金管理人的直销柜台投资本基金A类基金份额1,000,000元，且该认购申请被全额确认，假定募集期产生的利息为50.00元，认购费率为0.48%，则可认购基金份额为：</w:t>
      </w:r>
    </w:p>
    <w:p>
      <w:pPr>
        <w:adjustRightInd w:val="0"/>
        <w:snapToGrid w:val="0"/>
        <w:spacing w:line="360" w:lineRule="auto"/>
        <w:ind w:firstLine="480" w:firstLineChars="200"/>
        <w:rPr>
          <w:sz w:val="24"/>
        </w:rPr>
      </w:pPr>
      <w:r>
        <w:rPr>
          <w:rFonts w:hint="eastAsia"/>
          <w:sz w:val="24"/>
        </w:rPr>
        <w:t>认购总金额=1,000,000元</w:t>
      </w:r>
    </w:p>
    <w:p>
      <w:pPr>
        <w:adjustRightInd w:val="0"/>
        <w:snapToGrid w:val="0"/>
        <w:spacing w:line="360" w:lineRule="auto"/>
        <w:ind w:firstLine="480" w:firstLineChars="200"/>
        <w:rPr>
          <w:sz w:val="24"/>
        </w:rPr>
      </w:pPr>
      <w:r>
        <w:rPr>
          <w:rFonts w:hint="eastAsia"/>
          <w:sz w:val="24"/>
        </w:rPr>
        <w:t>净认购金额＝1,000,000/（1＋0.48%）＝995,222.93元</w:t>
      </w:r>
    </w:p>
    <w:p>
      <w:pPr>
        <w:adjustRightInd w:val="0"/>
        <w:snapToGrid w:val="0"/>
        <w:spacing w:line="360" w:lineRule="auto"/>
        <w:ind w:firstLine="480" w:firstLineChars="200"/>
        <w:rPr>
          <w:sz w:val="24"/>
        </w:rPr>
      </w:pPr>
      <w:r>
        <w:rPr>
          <w:rFonts w:hint="eastAsia"/>
          <w:sz w:val="24"/>
        </w:rPr>
        <w:t>认购费用＝1,000,000-995,222.93＝4,777.07元</w:t>
      </w:r>
    </w:p>
    <w:p>
      <w:pPr>
        <w:adjustRightInd w:val="0"/>
        <w:snapToGrid w:val="0"/>
        <w:spacing w:line="360" w:lineRule="auto"/>
        <w:ind w:firstLine="480" w:firstLineChars="200"/>
        <w:rPr>
          <w:sz w:val="24"/>
        </w:rPr>
      </w:pPr>
      <w:r>
        <w:rPr>
          <w:rFonts w:hint="eastAsia"/>
          <w:sz w:val="24"/>
        </w:rPr>
        <w:t>认购份额＝995,222.93/1.00＋50.00/1.00＝995,272.93份</w:t>
      </w:r>
    </w:p>
    <w:p>
      <w:pPr>
        <w:adjustRightInd w:val="0"/>
        <w:snapToGrid w:val="0"/>
        <w:spacing w:line="360" w:lineRule="auto"/>
        <w:ind w:firstLine="480" w:firstLineChars="200"/>
        <w:rPr>
          <w:sz w:val="24"/>
        </w:rPr>
      </w:pPr>
      <w:r>
        <w:rPr>
          <w:rFonts w:hint="eastAsia"/>
          <w:sz w:val="24"/>
        </w:rPr>
        <w:t>即：若该养老金客户通过基金管理人的直销柜台投资本基金A类基金份额1，000,000元，假定募集期产生的利息为50.00元，可得到995,272.93份A类基金份额。</w:t>
      </w:r>
    </w:p>
    <w:p>
      <w:pPr>
        <w:adjustRightInd w:val="0"/>
        <w:snapToGrid w:val="0"/>
        <w:spacing w:line="360" w:lineRule="auto"/>
        <w:ind w:firstLine="480" w:firstLineChars="200"/>
        <w:rPr>
          <w:sz w:val="24"/>
        </w:rPr>
      </w:pPr>
      <w:r>
        <w:rPr>
          <w:rFonts w:hint="eastAsia"/>
          <w:sz w:val="24"/>
        </w:rPr>
        <w:t>2） 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认购总金额=申请总金额</w:t>
      </w:r>
    </w:p>
    <w:p>
      <w:pPr>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认购份额＝100,000/1.00＋50.00/1.00＝100,050.00份</w:t>
      </w:r>
    </w:p>
    <w:p>
      <w:pPr>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outlineLvl w:val="1"/>
        <w:rPr>
          <w:b/>
          <w:sz w:val="24"/>
        </w:rPr>
      </w:pPr>
      <w:r>
        <w:rPr>
          <w:rFonts w:hint="eastAsia"/>
          <w:b/>
          <w:sz w:val="24"/>
        </w:rPr>
        <w:t>（一）直销机构</w:t>
      </w:r>
    </w:p>
    <w:p>
      <w:pPr>
        <w:adjustRightInd w:val="0"/>
        <w:snapToGrid w:val="0"/>
        <w:spacing w:line="360" w:lineRule="auto"/>
        <w:ind w:firstLine="482" w:firstLineChars="200"/>
        <w:outlineLvl w:val="2"/>
        <w:rPr>
          <w:b/>
          <w:sz w:val="24"/>
        </w:rPr>
      </w:pPr>
      <w:r>
        <w:rPr>
          <w:b/>
          <w:sz w:val="24"/>
        </w:rPr>
        <w:t>1</w:t>
      </w:r>
      <w:r>
        <w:rPr>
          <w:rFonts w:hint="eastAsia"/>
          <w:b/>
          <w:sz w:val="24"/>
        </w:rPr>
        <w:t>、直销柜台</w:t>
      </w:r>
    </w:p>
    <w:p>
      <w:pPr>
        <w:adjustRightInd w:val="0"/>
        <w:snapToGrid w:val="0"/>
        <w:spacing w:line="360" w:lineRule="auto"/>
        <w:ind w:firstLine="480" w:firstLineChars="200"/>
        <w:rPr>
          <w:sz w:val="24"/>
        </w:rPr>
      </w:pPr>
      <w:r>
        <w:rPr>
          <w:rFonts w:hint="eastAsia"/>
          <w:sz w:val="24"/>
        </w:rPr>
        <w:t>如果个人投资者首次认购金额在</w:t>
      </w:r>
      <w:r>
        <w:rPr>
          <w:sz w:val="24"/>
        </w:rPr>
        <w:t>100</w:t>
      </w:r>
      <w:r>
        <w:rPr>
          <w:rFonts w:hint="eastAsia"/>
          <w:sz w:val="24"/>
        </w:rPr>
        <w:t>万元（含</w:t>
      </w:r>
      <w:r>
        <w:rPr>
          <w:sz w:val="24"/>
        </w:rPr>
        <w:t>100</w:t>
      </w:r>
      <w:r>
        <w:rPr>
          <w:rFonts w:hint="eastAsia"/>
          <w:sz w:val="24"/>
        </w:rPr>
        <w:t>万元）以上，可以选择到本公司直销柜台办理认购。</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）个人投资者办理开户和认购申请需本人亲自到直销网点并提供下列资料：</w:t>
      </w:r>
    </w:p>
    <w:p>
      <w:pPr>
        <w:adjustRightInd w:val="0"/>
        <w:snapToGrid w:val="0"/>
        <w:spacing w:line="360" w:lineRule="auto"/>
        <w:ind w:firstLine="480" w:firstLineChars="20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）证券投资基金投资人权益须知；</w:t>
      </w:r>
    </w:p>
    <w:p>
      <w:pPr>
        <w:adjustRightInd w:val="0"/>
        <w:snapToGrid w:val="0"/>
        <w:spacing w:line="360" w:lineRule="auto"/>
        <w:ind w:firstLine="480" w:firstLineChars="20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pPr>
        <w:adjustRightInd w:val="0"/>
        <w:snapToGrid w:val="0"/>
        <w:spacing w:line="360" w:lineRule="auto"/>
        <w:ind w:firstLine="480" w:firstLineChars="200"/>
        <w:rPr>
          <w:sz w:val="24"/>
        </w:rPr>
      </w:pPr>
      <w:r>
        <w:rPr>
          <w:sz w:val="24"/>
        </w:rPr>
        <w:t>4</w:t>
      </w:r>
      <w:r>
        <w:rPr>
          <w:rFonts w:hint="eastAsia"/>
          <w:sz w:val="24"/>
        </w:rPr>
        <w:t>）有效身份证件的复印件正反面；</w:t>
      </w:r>
    </w:p>
    <w:p>
      <w:pPr>
        <w:adjustRightInd w:val="0"/>
        <w:snapToGrid w:val="0"/>
        <w:spacing w:line="360" w:lineRule="auto"/>
        <w:ind w:firstLine="480" w:firstLineChars="200"/>
        <w:rPr>
          <w:sz w:val="24"/>
        </w:rPr>
      </w:pPr>
      <w:r>
        <w:rPr>
          <w:sz w:val="24"/>
        </w:rPr>
        <w:t>5</w:t>
      </w:r>
      <w:r>
        <w:rPr>
          <w:rFonts w:hint="eastAsia"/>
          <w:sz w:val="24"/>
        </w:rPr>
        <w:t>）同名的银行卡复印件（银行卡复印件需要正反面签字，反面签名栏需有签字）；</w:t>
      </w:r>
    </w:p>
    <w:p>
      <w:pPr>
        <w:adjustRightInd w:val="0"/>
        <w:snapToGrid w:val="0"/>
        <w:spacing w:line="360" w:lineRule="auto"/>
        <w:ind w:firstLine="480" w:firstLineChars="200"/>
        <w:rPr>
          <w:sz w:val="24"/>
        </w:rPr>
      </w:pPr>
      <w:r>
        <w:rPr>
          <w:sz w:val="24"/>
        </w:rPr>
        <w:t>6</w:t>
      </w:r>
      <w:r>
        <w:rPr>
          <w:rFonts w:hint="eastAsia"/>
          <w:sz w:val="24"/>
        </w:rPr>
        <w:t>）填妥的《开放式基金账户业务申请表》两份；</w:t>
      </w:r>
    </w:p>
    <w:p>
      <w:pPr>
        <w:adjustRightInd w:val="0"/>
        <w:snapToGrid w:val="0"/>
        <w:spacing w:line="360" w:lineRule="auto"/>
        <w:ind w:firstLine="480" w:firstLineChars="200"/>
        <w:rPr>
          <w:sz w:val="24"/>
        </w:rPr>
      </w:pPr>
      <w:r>
        <w:rPr>
          <w:sz w:val="24"/>
        </w:rPr>
        <w:t>7</w:t>
      </w:r>
      <w:r>
        <w:rPr>
          <w:rFonts w:hint="eastAsia"/>
          <w:sz w:val="24"/>
        </w:rPr>
        <w:t>）填妥的《传真委托协议书》两份（如需开通）；</w:t>
      </w:r>
    </w:p>
    <w:p>
      <w:pPr>
        <w:adjustRightInd w:val="0"/>
        <w:snapToGrid w:val="0"/>
        <w:spacing w:line="360" w:lineRule="auto"/>
        <w:ind w:firstLine="480" w:firstLineChars="200"/>
        <w:rPr>
          <w:sz w:val="24"/>
        </w:rPr>
      </w:pPr>
      <w:r>
        <w:rPr>
          <w:sz w:val="24"/>
        </w:rPr>
        <w:t>8</w:t>
      </w:r>
      <w:r>
        <w:rPr>
          <w:rFonts w:hint="eastAsia"/>
          <w:sz w:val="24"/>
        </w:rPr>
        <w:t>）填妥的《开放式基金电话交易协议书》两份（如需开通）；</w:t>
      </w:r>
    </w:p>
    <w:p>
      <w:pPr>
        <w:adjustRightInd w:val="0"/>
        <w:snapToGrid w:val="0"/>
        <w:spacing w:line="360" w:lineRule="auto"/>
        <w:ind w:firstLine="480" w:firstLineChars="200"/>
        <w:rPr>
          <w:sz w:val="24"/>
        </w:rPr>
      </w:pPr>
      <w:r>
        <w:rPr>
          <w:sz w:val="24"/>
        </w:rPr>
        <w:t>9</w:t>
      </w:r>
      <w:r>
        <w:rPr>
          <w:rFonts w:hint="eastAsia"/>
          <w:sz w:val="24"/>
        </w:rPr>
        <w:t>）填妥</w:t>
      </w:r>
      <w:r>
        <w:rPr>
          <w:sz w:val="24"/>
        </w:rPr>
        <w:t>的《</w:t>
      </w:r>
      <w:r>
        <w:rPr>
          <w:rFonts w:hint="eastAsia"/>
          <w:sz w:val="24"/>
        </w:rPr>
        <w:t>CRS个人税收</w:t>
      </w:r>
      <w:r>
        <w:rPr>
          <w:sz w:val="24"/>
        </w:rPr>
        <w:t>居民身份声明文件》</w:t>
      </w:r>
      <w:r>
        <w:rPr>
          <w:rFonts w:hint="eastAsia"/>
          <w:sz w:val="24"/>
        </w:rPr>
        <w:t>；</w:t>
      </w:r>
    </w:p>
    <w:p>
      <w:pPr>
        <w:adjustRightInd w:val="0"/>
        <w:snapToGrid w:val="0"/>
        <w:spacing w:line="360" w:lineRule="auto"/>
        <w:ind w:firstLine="480" w:firstLineChars="20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pPr>
        <w:adjustRightInd w:val="0"/>
        <w:snapToGrid w:val="0"/>
        <w:spacing w:line="360" w:lineRule="auto"/>
        <w:ind w:firstLine="480" w:firstLineChars="200"/>
        <w:rPr>
          <w:sz w:val="24"/>
        </w:rPr>
      </w:pPr>
      <w:r>
        <w:rPr>
          <w:sz w:val="24"/>
        </w:rPr>
        <w:t>11</w:t>
      </w:r>
      <w:r>
        <w:rPr>
          <w:rFonts w:hint="eastAsia"/>
          <w:sz w:val="24"/>
        </w:rPr>
        <w:t>）如非本人亲自办理，则还须提供代理人身份证件原件及复印件（签名）和本人的授权委托书；</w:t>
      </w:r>
    </w:p>
    <w:p>
      <w:pPr>
        <w:adjustRightInd w:val="0"/>
        <w:snapToGrid w:val="0"/>
        <w:spacing w:line="360" w:lineRule="auto"/>
        <w:ind w:firstLine="480" w:firstLineChars="200"/>
        <w:rPr>
          <w:sz w:val="24"/>
        </w:rPr>
      </w:pPr>
      <w:r>
        <w:rPr>
          <w:sz w:val="24"/>
        </w:rPr>
        <w:t>12</w:t>
      </w:r>
      <w:r>
        <w:rPr>
          <w:rFonts w:hint="eastAsia"/>
          <w:sz w:val="24"/>
        </w:rPr>
        <w:t>）以上表格复印有效，但需客户本人亲笔签名。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）认购资金的划拨程序：</w:t>
      </w:r>
    </w:p>
    <w:p>
      <w:pPr>
        <w:adjustRightInd w:val="0"/>
        <w:snapToGrid w:val="0"/>
        <w:spacing w:line="360" w:lineRule="auto"/>
        <w:ind w:firstLine="480" w:firstLineChars="20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交银启嘉混合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2"/>
        <w:rPr>
          <w:rFonts w:hAnsi="宋体"/>
          <w:b/>
          <w:sz w:val="24"/>
          <w:szCs w:val="24"/>
        </w:rPr>
      </w:pPr>
      <w:r>
        <w:rPr>
          <w:rFonts w:hAnsi="宋体"/>
          <w:b/>
          <w:sz w:val="24"/>
          <w:szCs w:val="24"/>
        </w:rPr>
        <w:t>2</w:t>
      </w:r>
      <w:r>
        <w:rPr>
          <w:rFonts w:hint="eastAsia" w:hAnsi="宋体"/>
          <w:b/>
          <w:sz w:val="24"/>
          <w:szCs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通过本基金管理人网上直销交易平台办理本基金认购业务的投资者，享受认购费率一折优惠。若享有折扣前的原认购费率为固定费用的，则按原固定费率执行，不再享有费率折扣。具体网上直销认购优惠支付渠道和费率请参见本公司网站。本公司网站：www.fund001.com。</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outlineLvl w:val="1"/>
        <w:rPr>
          <w:b/>
          <w:sz w:val="24"/>
        </w:rPr>
      </w:pPr>
      <w:r>
        <w:rPr>
          <w:rFonts w:hint="eastAsia"/>
          <w:b/>
          <w:sz w:val="24"/>
        </w:rPr>
        <w:t>（一）直销柜台</w:t>
      </w:r>
    </w:p>
    <w:p>
      <w:pPr>
        <w:adjustRightInd w:val="0"/>
        <w:snapToGrid w:val="0"/>
        <w:spacing w:line="360" w:lineRule="auto"/>
        <w:ind w:firstLine="480" w:firstLineChars="20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9）印鉴卡一式两份（一份机构留存，一份本直销柜台留存，预留印鉴盖章人的盖公章证件需要提供）；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交银启嘉混合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outlineLvl w:val="1"/>
        <w:rPr>
          <w:b/>
          <w:sz w:val="24"/>
        </w:rPr>
      </w:pPr>
      <w:r>
        <w:rPr>
          <w:rFonts w:hint="eastAsia"/>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法定代表人：阮红</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联系人：郭佳敏</w:t>
      </w:r>
    </w:p>
    <w:p>
      <w:pPr>
        <w:adjustRightInd w:val="0"/>
        <w:snapToGrid w:val="0"/>
        <w:spacing w:line="360" w:lineRule="auto"/>
        <w:ind w:firstLine="482" w:firstLineChars="200"/>
        <w:outlineLvl w:val="1"/>
        <w:rPr>
          <w:b/>
          <w:sz w:val="24"/>
        </w:rPr>
      </w:pPr>
      <w:r>
        <w:rPr>
          <w:rFonts w:hint="eastAsia"/>
          <w:b/>
          <w:sz w:val="24"/>
        </w:rPr>
        <w:t>（二）基金托管人</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名称：招商银行股份有限公司</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设立日期：1987年4月8日</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注册地址：深圳市深南大道7088号招商银行大厦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办公地址：深圳市深南大道7088号招商银行大厦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注册资本：252.20亿元</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行长：王良</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资产托管业务批准文号：证监基金字[2002]83号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电话：0755-83199084</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传真：0755-83195201</w:t>
      </w:r>
    </w:p>
    <w:p>
      <w:pPr>
        <w:adjustRightInd w:val="0"/>
        <w:snapToGrid w:val="0"/>
        <w:spacing w:line="360" w:lineRule="auto"/>
        <w:ind w:firstLine="480" w:firstLineChars="200"/>
        <w:rPr>
          <w:rFonts w:ascii="宋体" w:hAnsi="宋体"/>
          <w:sz w:val="24"/>
        </w:rPr>
      </w:pPr>
      <w:r>
        <w:rPr>
          <w:rFonts w:hint="eastAsia" w:ascii="宋体" w:hAnsi="宋体"/>
          <w:sz w:val="24"/>
        </w:rPr>
        <w:t>资产托管部信息披露负责人：张燕</w:t>
      </w:r>
    </w:p>
    <w:p>
      <w:pPr>
        <w:widowControl/>
        <w:adjustRightInd w:val="0"/>
        <w:snapToGrid w:val="0"/>
        <w:spacing w:line="360" w:lineRule="auto"/>
        <w:ind w:firstLine="482" w:firstLineChars="200"/>
        <w:outlineLvl w:val="1"/>
        <w:rPr>
          <w:b/>
          <w:sz w:val="24"/>
        </w:rPr>
      </w:pPr>
      <w:r>
        <w:rPr>
          <w:rFonts w:hint="eastAsia"/>
          <w:b/>
          <w:sz w:val="24"/>
        </w:rPr>
        <w:t>（三）销售机构</w:t>
      </w:r>
    </w:p>
    <w:p>
      <w:pPr>
        <w:adjustRightInd w:val="0"/>
        <w:snapToGrid w:val="0"/>
        <w:spacing w:line="360" w:lineRule="auto"/>
        <w:ind w:firstLine="480" w:firstLineChars="200"/>
        <w:outlineLvl w:val="2"/>
        <w:rPr>
          <w:rFonts w:ascii="宋体" w:hAnsi="宋体"/>
          <w:sz w:val="24"/>
        </w:rPr>
      </w:pPr>
      <w:r>
        <w:rPr>
          <w:rFonts w:ascii="宋体" w:hAnsi="宋体"/>
          <w:sz w:val="24"/>
        </w:rPr>
        <w:t>1</w:t>
      </w:r>
      <w:r>
        <w:rPr>
          <w:rFonts w:hint="eastAsia" w:ascii="宋体" w:hAnsi="宋体"/>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阮红</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adjustRightInd w:val="0"/>
        <w:snapToGrid w:val="0"/>
        <w:spacing w:line="360" w:lineRule="auto"/>
        <w:ind w:firstLine="480" w:firstLineChars="200"/>
        <w:outlineLvl w:val="2"/>
        <w:rPr>
          <w:rFonts w:ascii="宋体" w:hAnsi="宋体"/>
          <w:sz w:val="24"/>
        </w:rPr>
      </w:pPr>
      <w:r>
        <w:rPr>
          <w:rFonts w:ascii="宋体" w:hAnsi="宋体"/>
          <w:sz w:val="24"/>
        </w:rPr>
        <w:t>2</w:t>
      </w:r>
      <w:r>
        <w:rPr>
          <w:rFonts w:hint="eastAsia" w:ascii="宋体" w:hAnsi="宋体"/>
          <w:sz w:val="24"/>
        </w:rPr>
        <w:t>、除基金管理人之外的其他销售机构</w:t>
      </w:r>
    </w:p>
    <w:p>
      <w:pPr>
        <w:widowControl/>
        <w:adjustRightInd w:val="0"/>
        <w:snapToGrid w:val="0"/>
        <w:spacing w:line="360" w:lineRule="auto"/>
        <w:ind w:firstLine="480" w:firstLineChars="200"/>
        <w:rPr>
          <w:kern w:val="0"/>
          <w:sz w:val="24"/>
        </w:rPr>
      </w:pPr>
      <w:r>
        <w:rPr>
          <w:rFonts w:hint="eastAsia"/>
          <w:kern w:val="0"/>
          <w:sz w:val="24"/>
        </w:rPr>
        <w:t>（1）招商银行股份有限公司</w:t>
      </w:r>
    </w:p>
    <w:p>
      <w:pPr>
        <w:widowControl/>
        <w:adjustRightInd w:val="0"/>
        <w:snapToGrid w:val="0"/>
        <w:spacing w:line="360" w:lineRule="auto"/>
        <w:ind w:firstLine="480" w:firstLineChars="200"/>
        <w:rPr>
          <w:kern w:val="0"/>
          <w:sz w:val="24"/>
        </w:rPr>
      </w:pPr>
      <w:r>
        <w:rPr>
          <w:rFonts w:hint="eastAsia"/>
          <w:kern w:val="0"/>
          <w:sz w:val="24"/>
        </w:rPr>
        <w:t>住所：深圳市福田区深南大道7088号</w:t>
      </w:r>
    </w:p>
    <w:p>
      <w:pPr>
        <w:widowControl/>
        <w:adjustRightInd w:val="0"/>
        <w:snapToGrid w:val="0"/>
        <w:spacing w:line="360" w:lineRule="auto"/>
        <w:ind w:firstLine="480" w:firstLineChars="200"/>
        <w:rPr>
          <w:kern w:val="0"/>
          <w:sz w:val="24"/>
        </w:rPr>
      </w:pPr>
      <w:r>
        <w:rPr>
          <w:rFonts w:hint="eastAsia"/>
          <w:kern w:val="0"/>
          <w:sz w:val="24"/>
        </w:rPr>
        <w:t>办公地址：深圳市福田区深南大道7088号</w:t>
      </w:r>
    </w:p>
    <w:p>
      <w:pPr>
        <w:widowControl/>
        <w:adjustRightInd w:val="0"/>
        <w:snapToGrid w:val="0"/>
        <w:spacing w:line="360" w:lineRule="auto"/>
        <w:ind w:firstLine="480" w:firstLineChars="200"/>
        <w:rPr>
          <w:kern w:val="0"/>
          <w:sz w:val="24"/>
        </w:rPr>
      </w:pPr>
      <w:r>
        <w:rPr>
          <w:rFonts w:hint="eastAsia"/>
          <w:kern w:val="0"/>
          <w:sz w:val="24"/>
        </w:rPr>
        <w:t>法定代表人：缪建民</w:t>
      </w:r>
    </w:p>
    <w:p>
      <w:pPr>
        <w:widowControl/>
        <w:adjustRightInd w:val="0"/>
        <w:snapToGrid w:val="0"/>
        <w:spacing w:line="360" w:lineRule="auto"/>
        <w:ind w:firstLine="480" w:firstLineChars="200"/>
        <w:rPr>
          <w:kern w:val="0"/>
          <w:sz w:val="24"/>
        </w:rPr>
      </w:pPr>
      <w:r>
        <w:rPr>
          <w:rFonts w:hint="eastAsia"/>
          <w:kern w:val="0"/>
          <w:sz w:val="24"/>
        </w:rPr>
        <w:t>电话：（0755）83198888</w:t>
      </w:r>
    </w:p>
    <w:p>
      <w:pPr>
        <w:widowControl/>
        <w:adjustRightInd w:val="0"/>
        <w:snapToGrid w:val="0"/>
        <w:spacing w:line="360" w:lineRule="auto"/>
        <w:ind w:firstLine="480" w:firstLineChars="200"/>
        <w:rPr>
          <w:kern w:val="0"/>
          <w:sz w:val="24"/>
        </w:rPr>
      </w:pPr>
      <w:r>
        <w:rPr>
          <w:rFonts w:hint="eastAsia"/>
          <w:kern w:val="0"/>
          <w:sz w:val="24"/>
        </w:rPr>
        <w:t>传真：（0755）83195109</w:t>
      </w:r>
    </w:p>
    <w:p>
      <w:pPr>
        <w:widowControl/>
        <w:adjustRightInd w:val="0"/>
        <w:snapToGrid w:val="0"/>
        <w:spacing w:line="360" w:lineRule="auto"/>
        <w:ind w:firstLine="480" w:firstLineChars="200"/>
        <w:rPr>
          <w:kern w:val="0"/>
          <w:sz w:val="24"/>
        </w:rPr>
      </w:pPr>
      <w:r>
        <w:rPr>
          <w:rFonts w:hint="eastAsia"/>
          <w:kern w:val="0"/>
          <w:sz w:val="24"/>
        </w:rPr>
        <w:t>联系人：季平伟</w:t>
      </w:r>
    </w:p>
    <w:p>
      <w:pPr>
        <w:widowControl/>
        <w:adjustRightInd w:val="0"/>
        <w:snapToGrid w:val="0"/>
        <w:spacing w:line="360" w:lineRule="auto"/>
        <w:ind w:firstLine="480" w:firstLineChars="200"/>
        <w:rPr>
          <w:kern w:val="0"/>
          <w:sz w:val="24"/>
        </w:rPr>
      </w:pPr>
      <w:r>
        <w:rPr>
          <w:rFonts w:hint="eastAsia"/>
          <w:kern w:val="0"/>
          <w:sz w:val="24"/>
        </w:rPr>
        <w:t>客户服务电话：95555</w:t>
      </w:r>
    </w:p>
    <w:p>
      <w:pPr>
        <w:widowControl/>
        <w:adjustRightInd w:val="0"/>
        <w:snapToGrid w:val="0"/>
        <w:spacing w:line="360" w:lineRule="auto"/>
        <w:ind w:firstLine="480" w:firstLineChars="200"/>
        <w:rPr>
          <w:kern w:val="0"/>
          <w:sz w:val="24"/>
        </w:rPr>
      </w:pPr>
      <w:r>
        <w:rPr>
          <w:rFonts w:hint="eastAsia"/>
          <w:kern w:val="0"/>
          <w:sz w:val="24"/>
        </w:rPr>
        <w:t>网址：www.cmbchina.com</w:t>
      </w:r>
    </w:p>
    <w:p>
      <w:pPr>
        <w:widowControl/>
        <w:adjustRightInd w:val="0"/>
        <w:snapToGrid w:val="0"/>
        <w:spacing w:line="360" w:lineRule="auto"/>
        <w:ind w:firstLine="480" w:firstLineChars="200"/>
        <w:rPr>
          <w:kern w:val="0"/>
          <w:sz w:val="24"/>
        </w:rPr>
      </w:pPr>
      <w:r>
        <w:rPr>
          <w:rFonts w:hint="eastAsia"/>
          <w:kern w:val="0"/>
          <w:sz w:val="24"/>
        </w:rPr>
        <w:t>（2）交通银行股份有限公司</w:t>
      </w:r>
    </w:p>
    <w:p>
      <w:pPr>
        <w:widowControl/>
        <w:adjustRightInd w:val="0"/>
        <w:snapToGrid w:val="0"/>
        <w:spacing w:line="360" w:lineRule="auto"/>
        <w:ind w:firstLine="480" w:firstLineChars="200"/>
        <w:rPr>
          <w:kern w:val="0"/>
          <w:sz w:val="24"/>
        </w:rPr>
      </w:pPr>
      <w:r>
        <w:rPr>
          <w:rFonts w:hint="eastAsia"/>
          <w:kern w:val="0"/>
          <w:sz w:val="24"/>
        </w:rPr>
        <w:t>住所：上海市浦东新区银城中路188号</w:t>
      </w:r>
    </w:p>
    <w:p>
      <w:pPr>
        <w:widowControl/>
        <w:adjustRightInd w:val="0"/>
        <w:snapToGrid w:val="0"/>
        <w:spacing w:line="360" w:lineRule="auto"/>
        <w:ind w:firstLine="480" w:firstLineChars="200"/>
        <w:rPr>
          <w:kern w:val="0"/>
          <w:sz w:val="24"/>
        </w:rPr>
      </w:pPr>
      <w:r>
        <w:rPr>
          <w:rFonts w:hint="eastAsia"/>
          <w:kern w:val="0"/>
          <w:sz w:val="24"/>
        </w:rPr>
        <w:t>办公地址：上海市浦东新区银城中路188号</w:t>
      </w:r>
    </w:p>
    <w:p>
      <w:pPr>
        <w:widowControl/>
        <w:adjustRightInd w:val="0"/>
        <w:snapToGrid w:val="0"/>
        <w:spacing w:line="360" w:lineRule="auto"/>
        <w:ind w:firstLine="480" w:firstLineChars="200"/>
        <w:rPr>
          <w:kern w:val="0"/>
          <w:sz w:val="24"/>
        </w:rPr>
      </w:pPr>
      <w:r>
        <w:rPr>
          <w:rFonts w:hint="eastAsia"/>
          <w:kern w:val="0"/>
          <w:sz w:val="24"/>
        </w:rPr>
        <w:t>法定代表人：任德奇</w:t>
      </w:r>
    </w:p>
    <w:p>
      <w:pPr>
        <w:widowControl/>
        <w:adjustRightInd w:val="0"/>
        <w:snapToGrid w:val="0"/>
        <w:spacing w:line="360" w:lineRule="auto"/>
        <w:ind w:firstLine="480" w:firstLineChars="200"/>
        <w:rPr>
          <w:kern w:val="0"/>
          <w:sz w:val="24"/>
        </w:rPr>
      </w:pPr>
      <w:r>
        <w:rPr>
          <w:rFonts w:hint="eastAsia"/>
          <w:kern w:val="0"/>
          <w:sz w:val="24"/>
        </w:rPr>
        <w:t>电话：（021）58781234</w:t>
      </w:r>
    </w:p>
    <w:p>
      <w:pPr>
        <w:widowControl/>
        <w:adjustRightInd w:val="0"/>
        <w:snapToGrid w:val="0"/>
        <w:spacing w:line="360" w:lineRule="auto"/>
        <w:ind w:firstLine="480" w:firstLineChars="200"/>
        <w:rPr>
          <w:kern w:val="0"/>
          <w:sz w:val="24"/>
        </w:rPr>
      </w:pPr>
      <w:r>
        <w:rPr>
          <w:rFonts w:hint="eastAsia"/>
          <w:kern w:val="0"/>
          <w:sz w:val="24"/>
        </w:rPr>
        <w:t>传真：（021）58408483</w:t>
      </w:r>
    </w:p>
    <w:p>
      <w:pPr>
        <w:widowControl/>
        <w:adjustRightInd w:val="0"/>
        <w:snapToGrid w:val="0"/>
        <w:spacing w:line="360" w:lineRule="auto"/>
        <w:ind w:firstLine="480" w:firstLineChars="200"/>
        <w:rPr>
          <w:kern w:val="0"/>
          <w:sz w:val="24"/>
        </w:rPr>
      </w:pPr>
      <w:r>
        <w:rPr>
          <w:rFonts w:hint="eastAsia"/>
          <w:kern w:val="0"/>
          <w:sz w:val="24"/>
        </w:rPr>
        <w:t>联系人：范瑞波</w:t>
      </w:r>
    </w:p>
    <w:p>
      <w:pPr>
        <w:widowControl/>
        <w:adjustRightInd w:val="0"/>
        <w:snapToGrid w:val="0"/>
        <w:spacing w:line="360" w:lineRule="auto"/>
        <w:ind w:firstLine="480" w:firstLineChars="200"/>
        <w:rPr>
          <w:kern w:val="0"/>
          <w:sz w:val="24"/>
        </w:rPr>
      </w:pPr>
      <w:r>
        <w:rPr>
          <w:rFonts w:hint="eastAsia"/>
          <w:kern w:val="0"/>
          <w:sz w:val="24"/>
        </w:rPr>
        <w:t>客户服务电话：95559</w:t>
      </w:r>
    </w:p>
    <w:p>
      <w:pPr>
        <w:adjustRightInd w:val="0"/>
        <w:snapToGrid w:val="0"/>
        <w:spacing w:line="360" w:lineRule="auto"/>
        <w:ind w:firstLine="480" w:firstLineChars="200"/>
        <w:rPr>
          <w:rFonts w:hAnsi="宋体"/>
          <w:kern w:val="0"/>
          <w:sz w:val="24"/>
        </w:rPr>
      </w:pPr>
      <w:r>
        <w:rPr>
          <w:rFonts w:hint="eastAsia"/>
          <w:kern w:val="0"/>
          <w:sz w:val="24"/>
        </w:rPr>
        <w:t>网址：www.bankcomm.com</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outlineLvl w:val="1"/>
        <w:rPr>
          <w:b/>
          <w:sz w:val="24"/>
        </w:rPr>
      </w:pPr>
      <w:r>
        <w:rPr>
          <w:rFonts w:hint="eastAsia"/>
          <w:b/>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名称：中国证券登记结算有限责任公司</w:t>
      </w:r>
    </w:p>
    <w:p>
      <w:pPr>
        <w:widowControl/>
        <w:adjustRightInd w:val="0"/>
        <w:snapToGrid w:val="0"/>
        <w:spacing w:line="360" w:lineRule="auto"/>
        <w:ind w:firstLine="480" w:firstLineChars="200"/>
        <w:rPr>
          <w:kern w:val="0"/>
          <w:sz w:val="24"/>
        </w:rPr>
      </w:pPr>
      <w:r>
        <w:rPr>
          <w:rFonts w:hint="eastAsia"/>
          <w:kern w:val="0"/>
          <w:sz w:val="24"/>
        </w:rPr>
        <w:t>住所：北京市西城区太平桥大街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办公地址：北京市西城区太平桥大街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法定代表人：</w:t>
      </w:r>
      <w:r>
        <w:rPr>
          <w:rFonts w:hint="eastAsia" w:hAnsi="宋体"/>
          <w:kern w:val="0"/>
          <w:sz w:val="24"/>
        </w:rPr>
        <w:t>于文强</w:t>
      </w:r>
    </w:p>
    <w:p>
      <w:pPr>
        <w:widowControl/>
        <w:adjustRightInd w:val="0"/>
        <w:snapToGrid w:val="0"/>
        <w:spacing w:line="360" w:lineRule="auto"/>
        <w:ind w:firstLine="480" w:firstLineChars="200"/>
        <w:rPr>
          <w:kern w:val="0"/>
          <w:sz w:val="24"/>
        </w:rPr>
      </w:pPr>
      <w:r>
        <w:rPr>
          <w:rFonts w:hint="eastAsia"/>
          <w:kern w:val="0"/>
          <w:sz w:val="24"/>
        </w:rPr>
        <w:t>电话：（010）50938782</w:t>
      </w:r>
    </w:p>
    <w:p>
      <w:pPr>
        <w:widowControl/>
        <w:adjustRightInd w:val="0"/>
        <w:snapToGrid w:val="0"/>
        <w:spacing w:line="360" w:lineRule="auto"/>
        <w:ind w:firstLine="480" w:firstLineChars="200"/>
        <w:rPr>
          <w:kern w:val="0"/>
          <w:sz w:val="24"/>
        </w:rPr>
      </w:pPr>
      <w:r>
        <w:rPr>
          <w:rFonts w:hint="eastAsia"/>
          <w:kern w:val="0"/>
          <w:sz w:val="24"/>
        </w:rPr>
        <w:t>传真：（010）50938907</w:t>
      </w:r>
    </w:p>
    <w:p>
      <w:pPr>
        <w:adjustRightInd w:val="0"/>
        <w:snapToGrid w:val="0"/>
        <w:spacing w:line="360" w:lineRule="auto"/>
        <w:ind w:firstLine="480" w:firstLineChars="200"/>
        <w:rPr>
          <w:kern w:val="0"/>
          <w:sz w:val="24"/>
        </w:rPr>
      </w:pPr>
      <w:r>
        <w:rPr>
          <w:rFonts w:hint="eastAsia"/>
          <w:kern w:val="0"/>
          <w:sz w:val="24"/>
        </w:rPr>
        <w:t>联系人：赵亦清</w:t>
      </w:r>
    </w:p>
    <w:p>
      <w:pPr>
        <w:adjustRightInd w:val="0"/>
        <w:snapToGrid w:val="0"/>
        <w:spacing w:line="360" w:lineRule="auto"/>
        <w:ind w:firstLine="482" w:firstLineChars="200"/>
        <w:outlineLvl w:val="1"/>
        <w:rPr>
          <w:b/>
          <w:sz w:val="24"/>
        </w:rPr>
      </w:pPr>
      <w:r>
        <w:rPr>
          <w:rFonts w:hint="eastAsia"/>
          <w:b/>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号时代金融中心18-20楼</w:t>
      </w:r>
      <w:bookmarkStart w:id="7" w:name="_GoBack"/>
      <w:bookmarkEnd w:id="7"/>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4"/>
      <w:bookmarkStart w:id="6" w:name="OLE_LINK3"/>
      <w:r>
        <w:rPr>
          <w:rFonts w:hint="eastAsia"/>
          <w:kern w:val="0"/>
          <w:sz w:val="24"/>
        </w:rPr>
        <w:t>经办律师</w:t>
      </w:r>
      <w:bookmarkEnd w:id="5"/>
      <w:bookmarkEnd w:id="6"/>
      <w:r>
        <w:rPr>
          <w:rFonts w:hint="eastAsia"/>
          <w:kern w:val="0"/>
          <w:sz w:val="24"/>
        </w:rPr>
        <w:t>：</w:t>
      </w:r>
      <w:r>
        <w:rPr>
          <w:rFonts w:hAnsi="宋体"/>
          <w:kern w:val="0"/>
          <w:sz w:val="24"/>
        </w:rPr>
        <w:t>黎明</w:t>
      </w:r>
      <w:r>
        <w:rPr>
          <w:rFonts w:hint="eastAsia" w:hAnsi="宋体"/>
          <w:kern w:val="0"/>
          <w:sz w:val="24"/>
        </w:rPr>
        <w:t>、丁媛</w:t>
      </w:r>
    </w:p>
    <w:p>
      <w:pPr>
        <w:adjustRightInd w:val="0"/>
        <w:snapToGrid w:val="0"/>
        <w:spacing w:line="360" w:lineRule="auto"/>
        <w:ind w:firstLine="482" w:firstLineChars="200"/>
        <w:outlineLvl w:val="1"/>
        <w:rPr>
          <w:b/>
          <w:sz w:val="24"/>
        </w:rPr>
      </w:pPr>
      <w:r>
        <w:rPr>
          <w:rFonts w:hint="eastAsia"/>
          <w:b/>
          <w:sz w:val="24"/>
        </w:rPr>
        <w:t>（六）会计师事务所和经办注册会计师</w:t>
      </w:r>
    </w:p>
    <w:p>
      <w:pPr>
        <w:widowControl/>
        <w:adjustRightInd w:val="0"/>
        <w:snapToGrid w:val="0"/>
        <w:spacing w:line="360" w:lineRule="auto"/>
        <w:ind w:firstLine="480" w:firstLineChars="200"/>
        <w:rPr>
          <w:kern w:val="0"/>
          <w:sz w:val="24"/>
        </w:rPr>
      </w:pPr>
      <w:r>
        <w:rPr>
          <w:rFonts w:hint="eastAsia"/>
          <w:kern w:val="0"/>
          <w:sz w:val="24"/>
        </w:rPr>
        <w:t>名称：普华永道中天会计师事务所（特殊普通合伙）</w:t>
      </w:r>
    </w:p>
    <w:p>
      <w:pPr>
        <w:widowControl/>
        <w:adjustRightInd w:val="0"/>
        <w:snapToGrid w:val="0"/>
        <w:spacing w:line="360" w:lineRule="auto"/>
        <w:ind w:firstLine="480" w:firstLineChars="200"/>
        <w:rPr>
          <w:kern w:val="0"/>
          <w:sz w:val="24"/>
        </w:rPr>
      </w:pPr>
      <w:r>
        <w:rPr>
          <w:rFonts w:hint="eastAsia"/>
          <w:kern w:val="0"/>
          <w:sz w:val="24"/>
        </w:rPr>
        <w:t>住所：中国(上海)自由贸易试验区陆家嘴环路1318号星展银行大厦507单元01室</w:t>
      </w:r>
    </w:p>
    <w:p>
      <w:pPr>
        <w:widowControl/>
        <w:adjustRightInd w:val="0"/>
        <w:snapToGrid w:val="0"/>
        <w:spacing w:line="360" w:lineRule="auto"/>
        <w:ind w:firstLine="480" w:firstLineChars="200"/>
        <w:rPr>
          <w:kern w:val="0"/>
          <w:sz w:val="24"/>
        </w:rPr>
      </w:pPr>
      <w:r>
        <w:rPr>
          <w:rFonts w:hint="eastAsia"/>
          <w:kern w:val="0"/>
          <w:sz w:val="24"/>
        </w:rPr>
        <w:t>办公地址：中国上海市浦东新区东育路588号前滩中心42楼</w:t>
      </w:r>
    </w:p>
    <w:p>
      <w:pPr>
        <w:widowControl/>
        <w:adjustRightInd w:val="0"/>
        <w:snapToGrid w:val="0"/>
        <w:spacing w:line="360" w:lineRule="auto"/>
        <w:ind w:firstLine="480" w:firstLineChars="200"/>
        <w:rPr>
          <w:kern w:val="0"/>
          <w:sz w:val="24"/>
        </w:rPr>
      </w:pPr>
      <w:r>
        <w:rPr>
          <w:rFonts w:hint="eastAsia"/>
          <w:kern w:val="0"/>
          <w:sz w:val="24"/>
        </w:rPr>
        <w:t>执行事务合伙人：李丹</w:t>
      </w:r>
    </w:p>
    <w:p>
      <w:pPr>
        <w:widowControl/>
        <w:adjustRightInd w:val="0"/>
        <w:snapToGrid w:val="0"/>
        <w:spacing w:line="360" w:lineRule="auto"/>
        <w:ind w:firstLine="480" w:firstLineChars="200"/>
        <w:rPr>
          <w:kern w:val="0"/>
          <w:sz w:val="24"/>
        </w:rPr>
      </w:pPr>
      <w:r>
        <w:rPr>
          <w:rFonts w:hint="eastAsia"/>
          <w:kern w:val="0"/>
          <w:sz w:val="24"/>
        </w:rPr>
        <w:t>电话：（021）23238888</w:t>
      </w:r>
    </w:p>
    <w:p>
      <w:pPr>
        <w:widowControl/>
        <w:adjustRightInd w:val="0"/>
        <w:snapToGrid w:val="0"/>
        <w:spacing w:line="360" w:lineRule="auto"/>
        <w:ind w:firstLine="480" w:firstLineChars="200"/>
        <w:rPr>
          <w:kern w:val="0"/>
          <w:sz w:val="24"/>
        </w:rPr>
      </w:pPr>
      <w:r>
        <w:rPr>
          <w:rFonts w:hint="eastAsia"/>
          <w:kern w:val="0"/>
          <w:sz w:val="24"/>
        </w:rPr>
        <w:t>传真：（021）23238800</w:t>
      </w:r>
    </w:p>
    <w:p>
      <w:pPr>
        <w:widowControl/>
        <w:adjustRightInd w:val="0"/>
        <w:snapToGrid w:val="0"/>
        <w:spacing w:line="360" w:lineRule="auto"/>
        <w:ind w:firstLine="480" w:firstLineChars="200"/>
        <w:rPr>
          <w:kern w:val="0"/>
          <w:sz w:val="24"/>
        </w:rPr>
      </w:pPr>
      <w:r>
        <w:rPr>
          <w:rFonts w:hint="eastAsia"/>
          <w:kern w:val="0"/>
          <w:sz w:val="24"/>
        </w:rPr>
        <w:t>联系人：金诗涛</w:t>
      </w:r>
    </w:p>
    <w:p>
      <w:pPr>
        <w:widowControl/>
        <w:adjustRightInd w:val="0"/>
        <w:snapToGrid w:val="0"/>
        <w:spacing w:line="360" w:lineRule="auto"/>
        <w:ind w:firstLine="480" w:firstLineChars="200"/>
        <w:rPr>
          <w:kern w:val="0"/>
          <w:sz w:val="24"/>
        </w:rPr>
      </w:pPr>
      <w:r>
        <w:rPr>
          <w:rFonts w:hint="eastAsia"/>
          <w:kern w:val="0"/>
          <w:sz w:val="24"/>
        </w:rPr>
        <w:t>经办注册会计师：沈兆杰、金诗涛</w:t>
      </w:r>
    </w:p>
    <w:p>
      <w:pPr>
        <w:widowControl/>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二〇二三年六月二十</w:t>
      </w:r>
      <w:r>
        <w:rPr>
          <w:rFonts w:hint="eastAsia"/>
          <w:kern w:val="0"/>
          <w:sz w:val="24"/>
          <w:lang w:val="en-US" w:eastAsia="zh-CN"/>
        </w:rPr>
        <w:t>一</w:t>
      </w:r>
      <w:r>
        <w:rPr>
          <w:rFonts w:hint="eastAsia"/>
          <w:kern w:val="0"/>
          <w:sz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26</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ascii="宋体"/>
      </w:rPr>
    </w:pPr>
    <w:r>
      <w:rPr>
        <w:rFonts w:hint="eastAsia" w:cs="宋体"/>
      </w:rPr>
      <w:t>交银施罗德启嘉混合型证券投资基金基金份额发售公告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1AD"/>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314"/>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7C3"/>
    <w:rsid w:val="00C92F3F"/>
    <w:rsid w:val="00C94442"/>
    <w:rsid w:val="00C94A3B"/>
    <w:rsid w:val="00C9587B"/>
    <w:rsid w:val="00C961FD"/>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2"/>
    <w:qFormat/>
    <w:uiPriority w:val="0"/>
    <w:rPr>
      <w:b/>
      <w:bCs/>
      <w:kern w:val="44"/>
      <w:sz w:val="44"/>
      <w:szCs w:val="44"/>
    </w:rPr>
  </w:style>
  <w:style w:type="character" w:customStyle="1" w:styleId="61">
    <w:name w:val="标题 2 字符"/>
    <w:link w:val="3"/>
    <w:qFormat/>
    <w:uiPriority w:val="0"/>
    <w:rPr>
      <w:rFonts w:ascii="Cambria" w:hAnsi="Cambria" w:eastAsia="宋体" w:cs="Times New Roman"/>
      <w:b/>
      <w:bCs/>
      <w:sz w:val="32"/>
      <w:szCs w:val="32"/>
    </w:rPr>
  </w:style>
  <w:style w:type="character" w:customStyle="1" w:styleId="62">
    <w:name w:val="标题 3 字符"/>
    <w:link w:val="5"/>
    <w:qFormat/>
    <w:uiPriority w:val="0"/>
    <w:rPr>
      <w:b/>
      <w:bCs/>
      <w:sz w:val="32"/>
      <w:szCs w:val="32"/>
    </w:rPr>
  </w:style>
  <w:style w:type="character" w:customStyle="1" w:styleId="63">
    <w:name w:val="标题 4 字符"/>
    <w:link w:val="6"/>
    <w:qFormat/>
    <w:locked/>
    <w:uiPriority w:val="0"/>
    <w:rPr>
      <w:rFonts w:ascii="Arial" w:hAnsi="Arial" w:eastAsia="黑体" w:cs="Arial"/>
      <w:b/>
      <w:bCs/>
      <w:kern w:val="2"/>
      <w:sz w:val="24"/>
      <w:szCs w:val="24"/>
    </w:rPr>
  </w:style>
  <w:style w:type="character" w:customStyle="1" w:styleId="64">
    <w:name w:val="标题 5 字符"/>
    <w:link w:val="7"/>
    <w:qFormat/>
    <w:uiPriority w:val="0"/>
    <w:rPr>
      <w:b/>
      <w:bCs/>
      <w:sz w:val="28"/>
      <w:szCs w:val="28"/>
    </w:rPr>
  </w:style>
  <w:style w:type="character" w:customStyle="1" w:styleId="65">
    <w:name w:val="标题 6 字符"/>
    <w:link w:val="9"/>
    <w:qFormat/>
    <w:uiPriority w:val="0"/>
    <w:rPr>
      <w:rFonts w:ascii="Cambria" w:hAnsi="Cambria" w:eastAsia="宋体" w:cs="Times New Roman"/>
      <w:b/>
      <w:bCs/>
      <w:sz w:val="24"/>
      <w:szCs w:val="24"/>
    </w:rPr>
  </w:style>
  <w:style w:type="character" w:customStyle="1" w:styleId="66">
    <w:name w:val="正文文本 字符"/>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字符"/>
    <w:link w:val="29"/>
    <w:qFormat/>
    <w:uiPriority w:val="0"/>
    <w:rPr>
      <w:szCs w:val="21"/>
    </w:rPr>
  </w:style>
  <w:style w:type="character" w:customStyle="1" w:styleId="70">
    <w:name w:val="页眉 字符"/>
    <w:link w:val="32"/>
    <w:qFormat/>
    <w:uiPriority w:val="99"/>
    <w:rPr>
      <w:sz w:val="18"/>
      <w:szCs w:val="18"/>
    </w:rPr>
  </w:style>
  <w:style w:type="character" w:customStyle="1" w:styleId="71">
    <w:name w:val="页脚 字符"/>
    <w:link w:val="31"/>
    <w:qFormat/>
    <w:locked/>
    <w:uiPriority w:val="99"/>
    <w:rPr>
      <w:kern w:val="2"/>
      <w:sz w:val="18"/>
      <w:szCs w:val="18"/>
    </w:rPr>
  </w:style>
  <w:style w:type="character" w:customStyle="1" w:styleId="72">
    <w:name w:val="纯文本 字符"/>
    <w:link w:val="25"/>
    <w:qFormat/>
    <w:locked/>
    <w:uiPriority w:val="99"/>
    <w:rPr>
      <w:rFonts w:ascii="宋体" w:hAnsi="Courier New" w:cs="宋体"/>
      <w:kern w:val="2"/>
      <w:sz w:val="16"/>
      <w:szCs w:val="16"/>
    </w:rPr>
  </w:style>
  <w:style w:type="character" w:customStyle="1" w:styleId="73">
    <w:name w:val="脚注文本 字符"/>
    <w:link w:val="37"/>
    <w:semiHidden/>
    <w:qFormat/>
    <w:locked/>
    <w:uiPriority w:val="0"/>
    <w:rPr>
      <w:kern w:val="2"/>
      <w:sz w:val="18"/>
      <w:szCs w:val="18"/>
    </w:rPr>
  </w:style>
  <w:style w:type="character" w:customStyle="1" w:styleId="74">
    <w:name w:val="正文首行缩进 字符"/>
    <w:basedOn w:val="66"/>
    <w:link w:val="50"/>
    <w:qFormat/>
    <w:uiPriority w:val="0"/>
    <w:rPr>
      <w:szCs w:val="21"/>
    </w:rPr>
  </w:style>
  <w:style w:type="character" w:customStyle="1" w:styleId="75">
    <w:name w:val="正文文本缩进 字符"/>
    <w:link w:val="20"/>
    <w:qFormat/>
    <w:uiPriority w:val="0"/>
    <w:rPr>
      <w:szCs w:val="21"/>
    </w:rPr>
  </w:style>
  <w:style w:type="character" w:customStyle="1" w:styleId="76">
    <w:name w:val="正文文本缩进 3 字符"/>
    <w:link w:val="39"/>
    <w:qFormat/>
    <w:uiPriority w:val="0"/>
    <w:rPr>
      <w:sz w:val="16"/>
      <w:szCs w:val="16"/>
    </w:rPr>
  </w:style>
  <w:style w:type="character" w:customStyle="1" w:styleId="77">
    <w:name w:val="批注框文本 字符"/>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字符"/>
    <w:link w:val="17"/>
    <w:qFormat/>
    <w:locked/>
    <w:uiPriority w:val="0"/>
    <w:rPr>
      <w:kern w:val="2"/>
      <w:sz w:val="24"/>
      <w:szCs w:val="24"/>
    </w:rPr>
  </w:style>
  <w:style w:type="character" w:customStyle="1" w:styleId="80">
    <w:name w:val="批注主题 字符"/>
    <w:link w:val="49"/>
    <w:qFormat/>
    <w:uiPriority w:val="0"/>
    <w:rPr>
      <w:b/>
      <w:bCs/>
      <w:kern w:val="2"/>
      <w:sz w:val="24"/>
      <w:szCs w:val="21"/>
    </w:rPr>
  </w:style>
  <w:style w:type="character" w:customStyle="1" w:styleId="81">
    <w:name w:val="日期 字符"/>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字符"/>
    <w:link w:val="10"/>
    <w:qFormat/>
    <w:uiPriority w:val="0"/>
    <w:rPr>
      <w:b/>
      <w:kern w:val="2"/>
      <w:sz w:val="24"/>
    </w:rPr>
  </w:style>
  <w:style w:type="character" w:customStyle="1" w:styleId="98">
    <w:name w:val="标题 8 字符"/>
    <w:link w:val="11"/>
    <w:qFormat/>
    <w:uiPriority w:val="0"/>
    <w:rPr>
      <w:rFonts w:ascii="Arial" w:hAnsi="Arial" w:eastAsia="黑体"/>
      <w:kern w:val="2"/>
      <w:sz w:val="24"/>
    </w:rPr>
  </w:style>
  <w:style w:type="character" w:customStyle="1" w:styleId="99">
    <w:name w:val="标题 9 字符"/>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字符"/>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字符"/>
    <w:link w:val="44"/>
    <w:qFormat/>
    <w:uiPriority w:val="0"/>
    <w:rPr>
      <w:rFonts w:ascii="Arial" w:hAnsi="Arial"/>
      <w:b/>
      <w:bCs/>
      <w:color w:val="000000"/>
      <w:kern w:val="2"/>
      <w:sz w:val="18"/>
      <w:szCs w:val="18"/>
      <w:lang w:val="zh-CN"/>
    </w:rPr>
  </w:style>
  <w:style w:type="character" w:customStyle="1" w:styleId="113">
    <w:name w:val="正文文本 3 字符"/>
    <w:link w:val="19"/>
    <w:qFormat/>
    <w:uiPriority w:val="0"/>
    <w:rPr>
      <w:rFonts w:ascii="仿宋_GB2312" w:hAnsi="Arial" w:eastAsia="仿宋_GB2312"/>
      <w:kern w:val="2"/>
      <w:sz w:val="21"/>
      <w:szCs w:val="24"/>
    </w:rPr>
  </w:style>
  <w:style w:type="character" w:customStyle="1" w:styleId="114">
    <w:name w:val="文档结构图 字符"/>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字符"/>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E49C0-1CE5-4684-8C94-4051E387F4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2628</Words>
  <Characters>14980</Characters>
  <Lines>124</Lines>
  <Paragraphs>35</Paragraphs>
  <TotalTime>38</TotalTime>
  <ScaleCrop>false</ScaleCrop>
  <LinksUpToDate>false</LinksUpToDate>
  <CharactersWithSpaces>17573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2021-11-08T01:58:00Z</dcterms:created>
  <dc:creator>zhangminjun</dc:creator>
  <cp:lastModifiedBy>喻秋燕0620</cp:lastModifiedBy>
  <cp:lastPrinted>2007-06-27T06:13:00Z</cp:lastPrinted>
  <dcterms:modified xsi:type="dcterms:W3CDTF">2023-06-20T02:56:40Z</dcterms:modified>
  <dc:title>募集方案</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