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jc w:val="center"/>
        <w:rPr>
          <w:rFonts w:asciiTheme="minorEastAsia" w:hAnsiTheme="minorEastAsia" w:eastAsiaTheme="minorEastAsia"/>
          <w:color w:val="auto"/>
          <w:sz w:val="30"/>
        </w:rPr>
      </w:pPr>
      <w:r>
        <w:rPr>
          <w:rFonts w:hint="eastAsia" w:asciiTheme="minorEastAsia" w:hAnsiTheme="minorEastAsia" w:eastAsiaTheme="minorEastAsia"/>
          <w:color w:val="auto"/>
          <w:sz w:val="30"/>
        </w:rPr>
        <w:t>交银施罗德</w:t>
      </w:r>
      <w:r>
        <w:rPr>
          <w:rFonts w:hint="eastAsia" w:asciiTheme="minorEastAsia" w:hAnsiTheme="minorEastAsia" w:eastAsiaTheme="minorEastAsia"/>
          <w:color w:val="auto"/>
          <w:sz w:val="30"/>
          <w:lang w:eastAsia="zh-CN"/>
        </w:rPr>
        <w:t>启嘉</w:t>
      </w:r>
      <w:r>
        <w:rPr>
          <w:rFonts w:hint="eastAsia" w:asciiTheme="minorEastAsia" w:hAnsiTheme="minorEastAsia" w:eastAsiaTheme="minorEastAsia"/>
          <w:color w:val="auto"/>
          <w:sz w:val="30"/>
        </w:rPr>
        <w:t>混合型证券投资基金基金合同摘要</w:t>
      </w:r>
    </w:p>
    <w:p>
      <w:pPr>
        <w:spacing w:line="360" w:lineRule="auto"/>
        <w:ind w:firstLine="482" w:firstLineChars="200"/>
        <w:outlineLvl w:val="1"/>
        <w:rPr>
          <w:rFonts w:hAnsi="宋体"/>
          <w:b/>
          <w:sz w:val="24"/>
          <w:szCs w:val="24"/>
        </w:rPr>
      </w:pP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default" w:ascii="Times New Roman" w:hAnsi="Times New Roman" w:cs="Times New Roman"/>
          <w:b/>
          <w:bCs w:val="0"/>
          <w:kern w:val="2"/>
          <w:sz w:val="24"/>
          <w:szCs w:val="24"/>
        </w:rPr>
      </w:pPr>
      <w:r>
        <w:rPr>
          <w:rFonts w:hint="eastAsia" w:ascii="宋体" w:hAnsi="宋体" w:eastAsia="宋体" w:cs="宋体"/>
          <w:b/>
          <w:bCs w:val="0"/>
          <w:kern w:val="2"/>
          <w:sz w:val="24"/>
          <w:szCs w:val="24"/>
          <w:lang w:val="en-US" w:eastAsia="zh-CN" w:bidi="ar"/>
        </w:rPr>
        <w:t>一、基金管理人、基金托管人和基金份额持有人的权利、义务</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（一）基金管理人的权利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根据《基金法》、《运作办法》及其他有关规定，基金管理人的权利包括但不限于：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）依法募集资金；</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）自《基金合同》生效之日起，根据法律法规和《基金合同》独立运用并管理基金财产；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）依照《基金合同》收取基金管理费以及法律法规规定或中国证监会批准的其他费用；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）销售基金份额；</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）按照规定召集基金份额持有人大会；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）依据《基金合同》及有关法律规定监督基金托管人，如认为基金托管人违反了《基金合同》及国家有关法律规定，应呈报中国证监会和其他监管部门，并采取必要措施保护基金投资者的利益；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）在基金托管人更换时，提名新的基金托管人；</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）选择、更换基金销售机构，对基金销售机构的相关行为进行监督和处理；</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）担任或委托其他符合条件的机构担任基金登记机构办理基金登记业务并获得《基金合同》规定的费用；</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）依据《基金合同》及有关法律规定决定基金收益的分配方案；</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）在《基金合同》约定的范围内，拒绝或暂停受理申购与赎回申请；</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）依照法律法规为基金的利益对被投资公司行使股东权利，为基金的利益行使因基金财产投资于证券所产生的权利；</w:t>
      </w:r>
      <w:r>
        <w:rPr>
          <w:rFonts w:hint="default" w:ascii="Times New Roman" w:hAnsi="Times New Roman" w:eastAsia="宋体" w:cs="Times New Roman"/>
          <w:bCs/>
          <w:kern w:val="2"/>
          <w:sz w:val="24"/>
          <w:szCs w:val="24"/>
          <w:lang w:val="en-US" w:eastAsia="zh-CN" w:bidi="ar"/>
        </w:rPr>
        <w:tab/>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）在法律法规允许的前提下，为基金的利益依法为基金进行融资；</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14</w:t>
      </w:r>
      <w:r>
        <w:rPr>
          <w:rFonts w:hint="eastAsia" w:ascii="宋体" w:hAnsi="宋体" w:eastAsia="宋体" w:cs="宋体"/>
          <w:bCs/>
          <w:kern w:val="2"/>
          <w:sz w:val="24"/>
          <w:szCs w:val="24"/>
          <w:lang w:val="en-US" w:eastAsia="zh-CN" w:bidi="ar"/>
        </w:rPr>
        <w:t>）以基金管理人的名义，代表基金份额持有人的利益行使诉讼权利或者实施其他法律行为；</w:t>
      </w:r>
      <w:r>
        <w:rPr>
          <w:rFonts w:hint="default" w:ascii="Times New Roman" w:hAnsi="Times New Roman" w:eastAsia="宋体" w:cs="Times New Roman"/>
          <w:bCs/>
          <w:kern w:val="2"/>
          <w:sz w:val="24"/>
          <w:szCs w:val="24"/>
          <w:lang w:val="en-US" w:eastAsia="zh-CN" w:bidi="ar"/>
        </w:rPr>
        <w:tab/>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）选择、更换律师事务所、会计师事务所、证券经纪商、期货经纪机构或其他为基金提供服务的外部机构；</w:t>
      </w:r>
      <w:r>
        <w:rPr>
          <w:rFonts w:hint="default" w:ascii="Times New Roman" w:hAnsi="Times New Roman" w:eastAsia="宋体" w:cs="Times New Roman"/>
          <w:bCs/>
          <w:kern w:val="2"/>
          <w:sz w:val="24"/>
          <w:szCs w:val="24"/>
          <w:lang w:val="en-US" w:eastAsia="zh-CN" w:bidi="ar"/>
        </w:rPr>
        <w:tab/>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16</w:t>
      </w:r>
      <w:r>
        <w:rPr>
          <w:rFonts w:hint="eastAsia" w:ascii="宋体" w:hAnsi="宋体" w:eastAsia="宋体" w:cs="宋体"/>
          <w:bCs/>
          <w:kern w:val="2"/>
          <w:sz w:val="24"/>
          <w:szCs w:val="24"/>
          <w:lang w:val="en-US" w:eastAsia="zh-CN" w:bidi="ar"/>
        </w:rPr>
        <w:t>）在符合有关法律、法规的前提下，制定和调整有关基金认购、申购、赎回、转换等的业务规则；</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17</w:t>
      </w:r>
      <w:r>
        <w:rPr>
          <w:rFonts w:hint="eastAsia" w:ascii="宋体" w:hAnsi="宋体" w:eastAsia="宋体" w:cs="宋体"/>
          <w:bCs/>
          <w:kern w:val="2"/>
          <w:sz w:val="24"/>
          <w:szCs w:val="24"/>
          <w:lang w:val="en-US" w:eastAsia="zh-CN" w:bidi="ar"/>
        </w:rPr>
        <w:t>）法律法规及中国证监会规定的和《基金合同》约定的其他权利。</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（二）基金管理人的义务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根据《基金法》、《运作办法》及其他有关规定，基金管理人的义务包括但不限于：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）依法募集资金，办理或者委托经中国证监会认定的其他机构办理基金份额的发售、申购、赎回和登记事宜；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）办理基金备案手续；</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）自《基金合同》生效之日起，以诚实信用、谨慎勤勉的原则管理和运用基金财产；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）配备足够的具有专业资格的人员进行基金投资分析、决策，以专业化的经营方式管理和运作基金财产；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）建立健全内部风险控制、监察与稽核、财务管理及人事管理等制度，保证所管理的基金财产和基金管理人的财产相互独立，对所管理的不同基金分别管理，分别记账，进行证券投资；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）除依据《基金法》、《基金合同》及其他有关规定外，不得利用基金财产为自己及任何第三人谋取利益，不得委托第三人运作基金财产；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）依法接受基金托管人的监督；</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）采取适当合理的措施使计算基金份额认购、申购、赎回和注销价格的方法符合《基金合同》等法律文件的规定，按有关规定计算并公告基金净值信息，确定基金份额申购、赎回的价格；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）进行基金会计核算并编制基金财务会计报告；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）编制季度报告、中期报告和年度报告；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）严格按照《基金法》、《基金合同》及其他有关规定，履行信息披露及报告义务；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）保守基金商业秘密，不泄露基金投资计划、投资意向等。除《基金法》、《基金合同》及其他有关规定另有规定外，在基金信息公开披露前应予保密，不向他人泄露；</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）按《基金合同》的约定确定基金收益分配方案，及时向基金份额持有人分配基金收益；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14</w:t>
      </w:r>
      <w:r>
        <w:rPr>
          <w:rFonts w:hint="eastAsia" w:ascii="宋体" w:hAnsi="宋体" w:eastAsia="宋体" w:cs="宋体"/>
          <w:bCs/>
          <w:kern w:val="2"/>
          <w:sz w:val="24"/>
          <w:szCs w:val="24"/>
          <w:lang w:val="en-US" w:eastAsia="zh-CN" w:bidi="ar"/>
        </w:rPr>
        <w:t>）按规定受理申购与赎回申请，及时、足额支付赎回款项；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）依据《基金法》、《基金合同》及其他有关规定召集基金份额持有人大会或配合基金托管人、基金份额持有人依法召集基金份额持有人大会；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16</w:t>
      </w:r>
      <w:r>
        <w:rPr>
          <w:rFonts w:hint="eastAsia" w:ascii="宋体" w:hAnsi="宋体" w:eastAsia="宋体" w:cs="宋体"/>
          <w:bCs/>
          <w:kern w:val="2"/>
          <w:sz w:val="24"/>
          <w:szCs w:val="24"/>
          <w:lang w:val="en-US" w:eastAsia="zh-CN" w:bidi="ar"/>
        </w:rPr>
        <w:t>）按规定保存基金财产管理业务活动的会计账册、报表、记录和其他相关资料不低于法律法规规定的最低期限；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17</w:t>
      </w:r>
      <w:r>
        <w:rPr>
          <w:rFonts w:hint="eastAsia" w:ascii="宋体" w:hAnsi="宋体" w:eastAsia="宋体" w:cs="宋体"/>
          <w:bCs/>
          <w:kern w:val="2"/>
          <w:sz w:val="24"/>
          <w:szCs w:val="24"/>
          <w:lang w:val="en-US" w:eastAsia="zh-CN" w:bidi="ar"/>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18</w:t>
      </w:r>
      <w:r>
        <w:rPr>
          <w:rFonts w:hint="eastAsia" w:ascii="宋体" w:hAnsi="宋体" w:eastAsia="宋体" w:cs="宋体"/>
          <w:bCs/>
          <w:kern w:val="2"/>
          <w:sz w:val="24"/>
          <w:szCs w:val="24"/>
          <w:lang w:val="en-US" w:eastAsia="zh-CN" w:bidi="ar"/>
        </w:rPr>
        <w:t>）组织并参加基金财产清算小组，参与基金财产的保管、清理、估价、变现和分配；</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19</w:t>
      </w:r>
      <w:r>
        <w:rPr>
          <w:rFonts w:hint="eastAsia" w:ascii="宋体" w:hAnsi="宋体" w:eastAsia="宋体" w:cs="宋体"/>
          <w:bCs/>
          <w:kern w:val="2"/>
          <w:sz w:val="24"/>
          <w:szCs w:val="24"/>
          <w:lang w:val="en-US" w:eastAsia="zh-CN" w:bidi="ar"/>
        </w:rPr>
        <w:t>）面临解散、依法被撤销或者被依法宣告破产时，及时报告中国证监会并通知基金托管人；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）因违反《基金合同》导致基金财产的损失或损害基金份额持有人合法权益时，应当承担赔偿责任，其赔偿责任不因其退任而免除；</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21</w:t>
      </w:r>
      <w:r>
        <w:rPr>
          <w:rFonts w:hint="eastAsia" w:ascii="宋体" w:hAnsi="宋体" w:eastAsia="宋体" w:cs="宋体"/>
          <w:bCs/>
          <w:kern w:val="2"/>
          <w:sz w:val="24"/>
          <w:szCs w:val="24"/>
          <w:lang w:val="en-US" w:eastAsia="zh-CN" w:bidi="ar"/>
        </w:rPr>
        <w:t>）监督基金托管人按法律法规和《基金合同》规定履行自己的义务，基金托管人违反《基金合同》造成基金财产损失时，基金管理人应为基金份额持有人利益向基金托管人追偿；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22</w:t>
      </w:r>
      <w:r>
        <w:rPr>
          <w:rFonts w:hint="eastAsia" w:ascii="宋体" w:hAnsi="宋体" w:eastAsia="宋体" w:cs="宋体"/>
          <w:bCs/>
          <w:kern w:val="2"/>
          <w:sz w:val="24"/>
          <w:szCs w:val="24"/>
          <w:lang w:val="en-US" w:eastAsia="zh-CN" w:bidi="ar"/>
        </w:rPr>
        <w:t>）当基金管理人将其义务委托第三方处理时，应当对第三方处理有关基金事务的行为承担责任；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23</w:t>
      </w:r>
      <w:r>
        <w:rPr>
          <w:rFonts w:hint="eastAsia" w:ascii="宋体" w:hAnsi="宋体" w:eastAsia="宋体" w:cs="宋体"/>
          <w:bCs/>
          <w:kern w:val="2"/>
          <w:sz w:val="24"/>
          <w:szCs w:val="24"/>
          <w:lang w:val="en-US" w:eastAsia="zh-CN" w:bidi="ar"/>
        </w:rPr>
        <w:t>）以基金管理人名义，代表基金份额持有人利益行使诉讼权利或实施其他法律行为；</w:t>
      </w:r>
      <w:r>
        <w:rPr>
          <w:rFonts w:hint="eastAsia" w:ascii="宋体" w:hAnsi="宋体" w:eastAsia="宋体" w:cs="宋体"/>
          <w:bCs/>
          <w:kern w:val="2"/>
          <w:sz w:val="24"/>
          <w:szCs w:val="24"/>
          <w:lang w:val="en-US" w:eastAsia="zh-CN" w:bidi="ar"/>
        </w:rPr>
        <w:tab/>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24</w:t>
      </w:r>
      <w:r>
        <w:rPr>
          <w:rFonts w:hint="eastAsia" w:ascii="宋体" w:hAnsi="宋体" w:eastAsia="宋体" w:cs="宋体"/>
          <w:bCs/>
          <w:kern w:val="2"/>
          <w:sz w:val="24"/>
          <w:szCs w:val="24"/>
          <w:lang w:val="en-US" w:eastAsia="zh-CN" w:bidi="ar"/>
        </w:rPr>
        <w:t>）基金管理人在募集期间未能达到基金的备案条件，《基金合同》不能生效，基金管理人承担因募集行为而产生的债务和费用，将已募集资金并加计银行同期活期存款利息在基金募集期结束后</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日内退还基金认购人；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25</w:t>
      </w:r>
      <w:r>
        <w:rPr>
          <w:rFonts w:hint="eastAsia" w:ascii="宋体" w:hAnsi="宋体" w:eastAsia="宋体" w:cs="宋体"/>
          <w:bCs/>
          <w:kern w:val="2"/>
          <w:sz w:val="24"/>
          <w:szCs w:val="24"/>
          <w:lang w:val="en-US" w:eastAsia="zh-CN" w:bidi="ar"/>
        </w:rPr>
        <w:t>）执行生效的基金份额持有人大会的决议；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26</w:t>
      </w:r>
      <w:r>
        <w:rPr>
          <w:rFonts w:hint="eastAsia" w:ascii="宋体" w:hAnsi="宋体" w:eastAsia="宋体" w:cs="宋体"/>
          <w:bCs/>
          <w:kern w:val="2"/>
          <w:sz w:val="24"/>
          <w:szCs w:val="24"/>
          <w:lang w:val="en-US" w:eastAsia="zh-CN" w:bidi="ar"/>
        </w:rPr>
        <w:t>）建立并保存基金份额持有人名册；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27</w:t>
      </w:r>
      <w:r>
        <w:rPr>
          <w:rFonts w:hint="eastAsia" w:ascii="宋体" w:hAnsi="宋体" w:eastAsia="宋体" w:cs="宋体"/>
          <w:bCs/>
          <w:kern w:val="2"/>
          <w:sz w:val="24"/>
          <w:szCs w:val="24"/>
          <w:lang w:val="en-US" w:eastAsia="zh-CN" w:bidi="ar"/>
        </w:rPr>
        <w:t>）法律法规及中国证监会规定的和《基金合同》约定的其他义务。</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（三）基金托管人的权利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根据《基金法》、《运作办法》及其他有关规定，基金托管人的权利包括但不限于：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）自《基金合同》生效之日起，依法律法规和《基金合同》的规定安全保管基金财产；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）依《基金合同》约定获得基金托管费以及法律法规规定或监管部门批准的其他费用；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）根据相关市场规则，为基金开设资金账户、证券账户、期货结算账户等投资所需账户，为基金办理证券交易资金清算；</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）提议召开或召集基金份额持有人大会；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）在基金管理人更换时，提名新的基金管理人；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）法律法规及中国证监会规定的和《基金合同》约定的其他权利。</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kern w:val="2"/>
          <w:sz w:val="24"/>
          <w:szCs w:val="24"/>
        </w:rPr>
      </w:pPr>
      <w:r>
        <w:rPr>
          <w:rFonts w:hint="eastAsia" w:ascii="宋体" w:hAnsi="宋体" w:eastAsia="宋体" w:cs="宋体"/>
          <w:bCs/>
          <w:kern w:val="2"/>
          <w:sz w:val="24"/>
          <w:szCs w:val="24"/>
          <w:lang w:val="en-US" w:eastAsia="zh-CN" w:bidi="ar"/>
        </w:rPr>
        <w:t>（四）</w:t>
      </w:r>
      <w:r>
        <w:rPr>
          <w:rFonts w:hint="eastAsia" w:ascii="宋体" w:hAnsi="宋体" w:eastAsia="宋体" w:cs="宋体"/>
          <w:kern w:val="2"/>
          <w:sz w:val="24"/>
          <w:szCs w:val="24"/>
          <w:lang w:val="en-US" w:eastAsia="zh-CN" w:bidi="ar"/>
        </w:rPr>
        <w:t>基金托管人的义务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根据《基金法》、《运作办法》及其他有关规定，基金托管人的义务包括但不限于：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）以诚实信用、勤勉尽责的原则持有并安全保管基金财产；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）设立专门的基金托管部门，具有符合要求的营业场所，配备足够的、合格的熟悉基金托管业务的专职人员，负责基金财产托管事宜；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）除依据《基金法》、《基金合同》及其他有关规定外，不得利用基金财产为自己及任何第三人谋取利益，不得委托第三人托管基金财产；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）保管由基金管理人代表基金签订的与基金有关的重大合同及有关凭证；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）按规定开设基金财产的资金账户、证券账户和期货结算账户等投资所需账户，按照《基金合同》的约定，根据基金管理人的投资指令，及时办理清算、交割事宜；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）保守基金商业秘密，除《基金法》、《基金合同》及其他有关规定另有规定外，在基金信息公开披露前予以保密，不得向他人泄露；</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）复核、审查基金管理人计算的基金资产净值、基金份额净值、基金份额申购、赎回价格；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）办理与基金托管业务活动有关的信息披露事项；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）保存基金托管业务活动的记录、账册、报表和其他相关资料不低于法律法规规定的最低期限；</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）保存基金份额持有人名册；</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）按规定制作相关账册并与基金管理人核对；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14</w:t>
      </w:r>
      <w:r>
        <w:rPr>
          <w:rFonts w:hint="eastAsia" w:ascii="宋体" w:hAnsi="宋体" w:eastAsia="宋体" w:cs="宋体"/>
          <w:bCs/>
          <w:kern w:val="2"/>
          <w:sz w:val="24"/>
          <w:szCs w:val="24"/>
          <w:lang w:val="en-US" w:eastAsia="zh-CN" w:bidi="ar"/>
        </w:rPr>
        <w:t>）依据基金管理人的指令或有关规定向基金份额持有人支付基金收益和赎回款项；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）依据《基金法》、《基金合同》及其他有关规定，召集基金份额持有人大会或配合基金管理人、基金份额持有人依法召集基金份额持有人大会；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16</w:t>
      </w:r>
      <w:r>
        <w:rPr>
          <w:rFonts w:hint="eastAsia" w:ascii="宋体" w:hAnsi="宋体" w:eastAsia="宋体" w:cs="宋体"/>
          <w:bCs/>
          <w:kern w:val="2"/>
          <w:sz w:val="24"/>
          <w:szCs w:val="24"/>
          <w:lang w:val="en-US" w:eastAsia="zh-CN" w:bidi="ar"/>
        </w:rPr>
        <w:t>）按照法律法规和《基金合同》的规定监督基金管理人的投资运作；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17</w:t>
      </w:r>
      <w:r>
        <w:rPr>
          <w:rFonts w:hint="eastAsia" w:ascii="宋体" w:hAnsi="宋体" w:eastAsia="宋体" w:cs="宋体"/>
          <w:bCs/>
          <w:kern w:val="2"/>
          <w:sz w:val="24"/>
          <w:szCs w:val="24"/>
          <w:lang w:val="en-US" w:eastAsia="zh-CN" w:bidi="ar"/>
        </w:rPr>
        <w:t>）参加基金财产清算小组，参与基金财产的保管、清理、估价、变现和分配；</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18</w:t>
      </w:r>
      <w:r>
        <w:rPr>
          <w:rFonts w:hint="eastAsia" w:ascii="宋体" w:hAnsi="宋体" w:eastAsia="宋体" w:cs="宋体"/>
          <w:bCs/>
          <w:kern w:val="2"/>
          <w:sz w:val="24"/>
          <w:szCs w:val="24"/>
          <w:lang w:val="en-US" w:eastAsia="zh-CN" w:bidi="ar"/>
        </w:rPr>
        <w:t>）面临解散、依法被撤销或者被依法宣告破产时，及时报告中国证监会和银行业监督管理机构，并通知基金管理人；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19</w:t>
      </w:r>
      <w:r>
        <w:rPr>
          <w:rFonts w:hint="eastAsia" w:ascii="宋体" w:hAnsi="宋体" w:eastAsia="宋体" w:cs="宋体"/>
          <w:bCs/>
          <w:kern w:val="2"/>
          <w:sz w:val="24"/>
          <w:szCs w:val="24"/>
          <w:lang w:val="en-US" w:eastAsia="zh-CN" w:bidi="ar"/>
        </w:rPr>
        <w:t>）因违反《基金合同》导致基金财产损失时，应承担赔偿责任，其赔偿责任不因其退任而免除；</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）按规定监督基金管理人按法律法规和《基金合同》规定履行自己的义务，基金管理人因违反《基金合同》造成基金财产损失时，应为基金份额持有人利益向基金管理人追偿；</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21</w:t>
      </w:r>
      <w:r>
        <w:rPr>
          <w:rFonts w:hint="eastAsia" w:ascii="宋体" w:hAnsi="宋体" w:eastAsia="宋体" w:cs="宋体"/>
          <w:bCs/>
          <w:kern w:val="2"/>
          <w:sz w:val="24"/>
          <w:szCs w:val="24"/>
          <w:lang w:val="en-US" w:eastAsia="zh-CN" w:bidi="ar"/>
        </w:rPr>
        <w:t>）执行生效的基金份额持有人大会的决议；</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22</w:t>
      </w:r>
      <w:r>
        <w:rPr>
          <w:rFonts w:hint="eastAsia" w:ascii="宋体" w:hAnsi="宋体" w:eastAsia="宋体" w:cs="宋体"/>
          <w:bCs/>
          <w:kern w:val="2"/>
          <w:sz w:val="24"/>
          <w:szCs w:val="24"/>
          <w:lang w:val="en-US" w:eastAsia="zh-CN" w:bidi="ar"/>
        </w:rPr>
        <w:t>）法律法规及中国证监会规定的和《基金合同》约定的其他义务。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（五）基金份额持有人的权利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同一类别每份基金份额具有同等的合法权益。</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根据《基金法》、《运作办法》及其他有关规定，基金份额持有人的权利包括但不限于：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）分享基金财产收益；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）参与分配清算后的剩余基金财产；</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）依法并按照基金合同和招募说明书的规定转让或者申请赎回其持有的基金份额；</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）按照规定要求召开基金份额持有人大会或者召集基金份额持有人大会；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）出席或者委派代表出席基金份额持有人大会，对基金份额持有人大会审议事项行使表决权；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）查阅或者复制公开披露的基金信息资料；</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）监督基金管理人的投资运作；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）对基金管理人、基金托管人、基金服务机构损害其合法权益的行为依法提起诉讼或仲裁；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）法律法规及中国证监会规定的和《基金合同》约定的其他权利。</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kern w:val="2"/>
          <w:sz w:val="24"/>
          <w:szCs w:val="24"/>
        </w:rPr>
      </w:pPr>
      <w:r>
        <w:rPr>
          <w:rFonts w:hint="eastAsia" w:ascii="宋体" w:hAnsi="宋体" w:eastAsia="宋体" w:cs="宋体"/>
          <w:bCs/>
          <w:kern w:val="2"/>
          <w:sz w:val="24"/>
          <w:szCs w:val="24"/>
          <w:lang w:val="en-US" w:eastAsia="zh-CN" w:bidi="ar"/>
        </w:rPr>
        <w:t>（六）</w:t>
      </w:r>
      <w:r>
        <w:rPr>
          <w:rFonts w:hint="eastAsia" w:ascii="宋体" w:hAnsi="宋体" w:eastAsia="宋体" w:cs="宋体"/>
          <w:kern w:val="2"/>
          <w:sz w:val="24"/>
          <w:szCs w:val="24"/>
          <w:lang w:val="en-US" w:eastAsia="zh-CN" w:bidi="ar"/>
        </w:rPr>
        <w:t>基金份额持有人的义务</w:t>
      </w:r>
    </w:p>
    <w:p>
      <w:pPr>
        <w:keepNext w:val="0"/>
        <w:keepLines w:val="0"/>
        <w:widowControl w:val="0"/>
        <w:suppressLineNumbers w:val="0"/>
        <w:autoSpaceDE w:val="0"/>
        <w:autoSpaceDN w:val="0"/>
        <w:adjustRightInd w:val="0"/>
        <w:spacing w:before="0" w:beforeAutospacing="0" w:after="0" w:afterAutospacing="0" w:line="360" w:lineRule="auto"/>
        <w:ind w:left="0" w:right="0" w:firstLine="480" w:firstLineChars="200"/>
        <w:jc w:val="left"/>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根据《基金法》、《运作办法》及其他有关规定，基金份额持有人的义务包括但不限于：</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）认真阅读并遵守《基金合同》、招募说明书等信息披露文件；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）了解所投资基金产品，了解自身风险承受能力，自主判断基金的投资价值，自主做出投资决策，自行承担投资风险；</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）关注基金信息披露，及时行使权利和履行义务；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）交纳基金认购、申购款项及法律法规和《基金合同》所规定的费用；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）在其持有的基金份额范围内，承担基金亏损或者《基金合同》终止的有限责任；</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）不从事任何有损基金及其他《基金合同》当事人合法权益的活动；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）执行生效的基金份额持有人大会的决议；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）返还在基金交易过程中因任何原因获得的不当得利；</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）遵守基金管理人、基金托管人、销售机构和登记机构的相关交易及业务规则；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）提供基金管理人和监管机构依法要求提供的信息，以及不时的更新和补充，并保证其真实性；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）法律法规及中国证监会规定的和《基金合同》约定的其他义务。</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default" w:ascii="Times New Roman" w:hAnsi="Times New Roman" w:cs="Times New Roman"/>
          <w:b/>
          <w:bCs/>
          <w:kern w:val="2"/>
          <w:sz w:val="24"/>
          <w:szCs w:val="24"/>
        </w:rPr>
      </w:pPr>
      <w:r>
        <w:rPr>
          <w:rFonts w:hint="eastAsia" w:ascii="宋体" w:hAnsi="宋体" w:eastAsia="宋体" w:cs="宋体"/>
          <w:b/>
          <w:bCs/>
          <w:kern w:val="2"/>
          <w:sz w:val="24"/>
          <w:szCs w:val="24"/>
          <w:lang w:val="en-US" w:eastAsia="zh-CN" w:bidi="ar"/>
        </w:rPr>
        <w:t>二、基金份额持有人大会召集、议事及表决的程序和规则</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基金份额持有人大会由基金份额持有人组成，基金份额持有人的合法授权代表有权代表基金份额持有人出席会议并表决。基金份额持有人持有的每一基金份额拥有平等的投票权。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本基金份额持有人大会不设日常机构。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（一）召开事由</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、当出现或需要决定下列事由之一的，应当召开基金份额持有人大会，法律法规、基金合同和中国证监会另有规定的除外：</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）终止《基金合同》；</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）更换基金管理人；</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）更换基金托管人；</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）转换基金运作方式；</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）调整基金管理人、基金托管人的报酬标准或提高销售服务费；</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）变更基金类别；</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）本基金与其他基金的合并；</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）变更基金投资目标、范围或策略；</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）变更基金份额持有人大会程序；</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）基金管理人或基金托管人要求召开基金份额持有人大会；</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）单独或合计持有本基金总份额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）基金份额的基金份额持有人（以基金管理人收到提议当日的基金份额计算，下同）就同一事项书面要求召开基金份额持有人大会；</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）对基金合同当事人权利和义务产生重大影响的其他事项；</w:t>
      </w:r>
    </w:p>
    <w:p>
      <w:pPr>
        <w:keepNext w:val="0"/>
        <w:keepLines w:val="0"/>
        <w:widowControl w:val="0"/>
        <w:suppressLineNumbers w:val="0"/>
        <w:spacing w:before="0" w:beforeAutospacing="0" w:after="0" w:afterAutospacing="0" w:line="440" w:lineRule="atLeast"/>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）法律法规、《基金合同》或中国证监会规定的其他应当召开基金份额持有人大会的事项。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、在法律法规规定和《基金合同》约定的范围内且对基金份额持有人利益无实质性不利影响的前提下，以下情况可由基金管理人和基金托管人协商后修改，在履行适当程序后，不需召开基金份额持有人大会：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）调低基金销售服务费；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）法律法规要求增加的基金费用的收取；</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）在法律法规和《基金合同》规定的范围内调整本基金的申购费率、调低赎回费率、在对现有基金份额持有人利益无实质性不利影响的前提下变更收费方式；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）因相应的法律法规、登记机构的相关业务规则发生变动而应当对《基金合同》进行修改；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）对《基金合同》的修改对基金份额持有人利益无实质性不利影响或修改不涉及《基金合同》当事人权利义务关系发生重大变化；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）在法律法规允许的情况下，且在对现有基金份额持有人利益无实质性不利影响的前提下，基金推出新业务或服务；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）在符合法律法规及本基金合同规定、并且对基金份额持有人利益无实质不利影响的前提下，调整本基金份额类别的设置、对基金份额分类办法及规则进行调整；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）在不违反法律法规及对基金份额持有人利益无实质性不利影响的前提下，基金管理人、登记机构、销售机构调整有关基金认购、申购、赎回、转换、收益分配、非交易过户、转托管等业务的规则；</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）按照法律法规和《基金合同》规定不需召开基金份额持有人大会的其他情形。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（二）会议召集人及召集方式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、除法律法规规定或《基金合同》另有约定外，基金份额持有人大会由基金管理人召集；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、基金管理人未按规定召集或不能召集时，由基金托管人召集；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、基金托管人认为有必要召开基金份额持有人大会的，应当向基金管理人提出书面提议。基金管理人应当自收到书面提议之日起</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日内决定是否召集，并书面告知基金托管人。基金管理人决定召集的，应当自出具书面决定之日起</w:t>
      </w:r>
      <w:r>
        <w:rPr>
          <w:rFonts w:hint="default" w:ascii="Times New Roman" w:hAnsi="Times New Roman" w:eastAsia="宋体" w:cs="Times New Roman"/>
          <w:bCs/>
          <w:kern w:val="2"/>
          <w:sz w:val="24"/>
          <w:szCs w:val="24"/>
          <w:lang w:val="en-US" w:eastAsia="zh-CN" w:bidi="ar"/>
        </w:rPr>
        <w:t>60</w:t>
      </w:r>
      <w:r>
        <w:rPr>
          <w:rFonts w:hint="eastAsia" w:ascii="宋体" w:hAnsi="宋体" w:eastAsia="宋体" w:cs="宋体"/>
          <w:bCs/>
          <w:kern w:val="2"/>
          <w:sz w:val="24"/>
          <w:szCs w:val="24"/>
          <w:lang w:val="en-US" w:eastAsia="zh-CN" w:bidi="ar"/>
        </w:rPr>
        <w:t>日内召开；基金管理人决定不召集，基金托管人仍认为有必要召开的，应当由基金托管人自行召集，并自出具书面决定之日起</w:t>
      </w:r>
      <w:r>
        <w:rPr>
          <w:rFonts w:hint="default" w:ascii="Times New Roman" w:hAnsi="Times New Roman" w:eastAsia="宋体" w:cs="Times New Roman"/>
          <w:bCs/>
          <w:kern w:val="2"/>
          <w:sz w:val="24"/>
          <w:szCs w:val="24"/>
          <w:lang w:val="en-US" w:eastAsia="zh-CN" w:bidi="ar"/>
        </w:rPr>
        <w:t>60</w:t>
      </w:r>
      <w:r>
        <w:rPr>
          <w:rFonts w:hint="eastAsia" w:ascii="宋体" w:hAnsi="宋体" w:eastAsia="宋体" w:cs="宋体"/>
          <w:bCs/>
          <w:kern w:val="2"/>
          <w:sz w:val="24"/>
          <w:szCs w:val="24"/>
          <w:lang w:val="en-US" w:eastAsia="zh-CN" w:bidi="ar"/>
        </w:rPr>
        <w:t>日内召开并告知基金管理人，基金管理人应当配合；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、代表基金份额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）的基金份额持有人就同一事项书面要求召开基金份额持有人大会，应当向基金管理人提出书面提议。基金管理人应当自收到书面提议之日起</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日内决定是否召集，并书面告知提出提议的基金份额持有人代表和基金托管人。基金管理人决定召集的，应当自出具书面决定之日起</w:t>
      </w:r>
      <w:r>
        <w:rPr>
          <w:rFonts w:hint="default" w:ascii="Times New Roman" w:hAnsi="Times New Roman" w:eastAsia="宋体" w:cs="Times New Roman"/>
          <w:bCs/>
          <w:kern w:val="2"/>
          <w:sz w:val="24"/>
          <w:szCs w:val="24"/>
          <w:lang w:val="en-US" w:eastAsia="zh-CN" w:bidi="ar"/>
        </w:rPr>
        <w:t>60</w:t>
      </w:r>
      <w:r>
        <w:rPr>
          <w:rFonts w:hint="eastAsia" w:ascii="宋体" w:hAnsi="宋体" w:eastAsia="宋体" w:cs="宋体"/>
          <w:bCs/>
          <w:kern w:val="2"/>
          <w:sz w:val="24"/>
          <w:szCs w:val="24"/>
          <w:lang w:val="en-US" w:eastAsia="zh-CN" w:bidi="ar"/>
        </w:rPr>
        <w:t>日内召开；基金管理人决定不召集，代表基金份额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）的基金份额持有人仍认为有必要召开的，应当向基金托管人提出书面提议。基金托管人应当自收到书面提议之日起</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日内决定是否召集，并书面告知提出提议的基金份额持有人代表和基金管理人；基金托管人决定召集的，应当自出具书面决定之日起</w:t>
      </w:r>
      <w:r>
        <w:rPr>
          <w:rFonts w:hint="default" w:ascii="Times New Roman" w:hAnsi="Times New Roman" w:eastAsia="宋体" w:cs="Times New Roman"/>
          <w:bCs/>
          <w:kern w:val="2"/>
          <w:sz w:val="24"/>
          <w:szCs w:val="24"/>
          <w:lang w:val="en-US" w:eastAsia="zh-CN" w:bidi="ar"/>
        </w:rPr>
        <w:t>60</w:t>
      </w:r>
      <w:r>
        <w:rPr>
          <w:rFonts w:hint="eastAsia" w:ascii="宋体" w:hAnsi="宋体" w:eastAsia="宋体" w:cs="宋体"/>
          <w:bCs/>
          <w:kern w:val="2"/>
          <w:sz w:val="24"/>
          <w:szCs w:val="24"/>
          <w:lang w:val="en-US" w:eastAsia="zh-CN" w:bidi="ar"/>
        </w:rPr>
        <w:t>日内召开并告知基金管理人，基金管理人应当配合；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、代表基金份额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）的基金份额持有人就同一事项要求召开基金份额持有人大会，而基金管理人、基金托管人都不召集的，单独或合计代表基金份额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）的基金份额持有人有权自行召集，并至少提前</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日报中国证监会备案。基金份额持有人依法自行召集基金份额持有人大会的，基金管理人、基金托管人应当配合，不得阻碍、干扰；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、基金份额持有人会议的召集人负责选择确定开会时间、地点、方式和权益登记日。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（三）召开基金份额持有人大会的通知时间、通知内容、通知方式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、召开基金份额持有人大会，召集人应于会议召开前</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日，在规定媒介公告。基金份额持有人大会通知应至少载明以下内容：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）会议召开的时间、地点和会议形式；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）会议拟审议的事项、议事程序和表决方式；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）有权出席基金份额持有人大会的基金份额持有人的权益登记日；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）授权委托证明的内容要求（包括但不限于代理人身份，代理权限和代理有效期限等）、送达时间和地点；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）会务常设联系人姓名及联系电话；</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）出席会议者必须准备的文件和必须履行的手续；</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）召集人需要通知的其他事项。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（四）基金份额持有人出席会议的方式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基金份额持有人大会可通过现场开会方式、通讯开会方式或法律法规、监管机构允许的其他方式召开，会议的召开方式由会议召集人确定。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个月以后、</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个月以内，就原定审议事项重新召集基金份额持有人大会。重新召集的基金份额持有人大会到会者在权益登记日代表的有效的基金份额应不少于本基金在权益登记日基金总份额的三分之一（含三分之一）。</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、通讯开会。通讯开会系指基金份额持有人将其对表决事项的投票以会议通知载明的形式或基金合同约定的其他方式在表决截止日以前送达至召集人指定的地址或系统。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在同时符合以下条件时，通讯开会的方式视为有效：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）会议召集人按《基金合同》约定公布会议通知后，在</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个工作日内连续公布相关提示性公告；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个月以后、</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）上述第（</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（五）议事内容与程序</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、议事内容及提案权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基金份额持有人大会的召集人发出召集会议的通知后，对原有提案的修改应当在基金份额持有人大会召开前及时公告。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基金份额持有人大会不得对未事先公告的议事内容进行表决。</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、议事程序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）现场开会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）选举产生一名基金份额持有人或代理人作为该次基金份额持有人大会的主持人。基金管理人和基金托管人拒不出席或主持基金份额持有人大会，不影响基金份额持有人大会作出的决议的效力。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会议召集人应当制作出席会议人员的签名册。签名册载明参加会议人员姓名（或单位名称）、身份证明文件号码、持有或代表有表决权的基金份额、委托人姓名（或单位名称）和联系方式等事项。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）通讯开会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在通讯开会的情况下，首先由召集人提前</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日公布提案，在所通知的表决截止日期后</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个工作日内在公证机关监督下由召集人统计全部有效表决，在公证机关监督下形成决议。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宋体" w:cs="Times New Roman"/>
          <w:bCs/>
          <w:kern w:val="2"/>
          <w:sz w:val="24"/>
          <w:szCs w:val="24"/>
        </w:rPr>
      </w:pPr>
      <w:r>
        <w:rPr>
          <w:rFonts w:hint="eastAsia" w:ascii="宋体" w:hAnsi="宋体" w:eastAsia="宋体" w:cs="宋体"/>
          <w:bCs/>
          <w:kern w:val="2"/>
          <w:sz w:val="24"/>
          <w:szCs w:val="24"/>
          <w:lang w:val="en-US" w:eastAsia="zh-CN" w:bidi="ar"/>
        </w:rPr>
        <w:t>（六）表决</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基金份额持有人所持每份基金份额有一票表决权。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基金份额持有人大会决议分为一般决议和特别决议：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、一般决议，一般决议须经参加大会的基金份额持有人或其代理人所持表决权的二分之一以上（含二分之一）通过方为有效；除下列第</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项所规定的须以特别决议通过事项以外的其他事项均以一般决议的方式通过。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基金份额持有人大会采取记名方式进行投票表决。</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基金份额持有人大会的各项提案或同一项提案内并列的各项议题应当分开审议、逐项表决。</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（七）计票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、现场开会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）监票人应当在基金份额持有人表决后立即进行清点并由大会主持人当场公布计票结果。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）计票过程应由公证机关予以公证，基金管理人或基金托管人拒不出席大会的，不影响计票的效力。</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、通讯开会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（八）生效与公告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基金份额持有人大会的决议，召集人应当自通过之日起</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日内报中国证监会备案。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基金份额持有人大会的决议自表决通过之日起生效。法律法规另有规定的，从其规定。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基金管理人、基金托管人和基金份额持有人应当执行生效的基金份额持有人大会的决议。生效的基金份额持有人大会决议对全体基金份额持有人、基金管理人、基金托管人均有约束力。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（九）实施侧袋机制期间基金份额持有人大会的特殊约定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、基金份额持有人行使提议权、召集权、提名权所需单独或合计代表相关基金份额</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、现场开会的到会者在权益登记日代表的基金份额不少于本基金在权益登记日相关基金份额的二分之一（含二分之一）；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、通讯开会的直接出具表决意见或授权他人代表出具表决意见的基金份额持有人所持有的基金份额不小于在权益登记日相关基金份额的二分之一（含二分之一）；</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、在参与基金份额持有人大会投票的基金份额持有人所持有的基金份额小于在权益登记日相关基金份额的二分之一、召集人在原公告的基金份额持有人大会召开时间的</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个月以后、</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个月以内就原定审议事项重新召集的基金份额持有人大会应当有代表三分之一以上（含三分之一）相关基金份额的持有人参与或授权他人参与基金份额持有人大会投票；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、现场开会由出席大会的基金份额持有人和代理人所持表决权的</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）选举产生一名基金份额持有人或代理人作为该次基金份额持有人大会的主持人；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、一般决议须经参加大会的基金份额持有人或其代理人所持表决权的二分之一以上（含二分之一）通过；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、特别决议应当经参加大会的基金份额持有人或其代理人所持表决权的三分之二以上（含三分之二）通过。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同一主侧袋账户内的每份基金份额具有平等的表决权。</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三、基金收益分配原则、执行方式</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（一）基金收益分配原则</w:t>
      </w:r>
    </w:p>
    <w:p>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、由于本基金</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类基金份额不收取销售服务费，</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类基金份额收取销售服务费，各基金份额类别对应的可供分配利润将有所不同；</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、在符合有关基金分红条件的前提下，本基金管理人可以根据实际情况进行收益分配，具体分配方案以公告为准，若《基金合同》生效不满</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个月可不进行收益分配；</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、本基金收益分配方式分两种：现金分红与红利再投资，投资者可选择现金红利或将现金红利自动转为相应类别的基金份额进行再投资；若投资者不选择，本基金默认的收益分配方式是现金分红；</w:t>
      </w:r>
      <w:r>
        <w:rPr>
          <w:rFonts w:hint="eastAsia" w:ascii="宋体" w:hAnsi="宋体" w:eastAsia="宋体" w:cs="宋体"/>
          <w:kern w:val="2"/>
          <w:sz w:val="24"/>
          <w:szCs w:val="24"/>
          <w:lang w:val="en-US" w:eastAsia="zh-CN" w:bidi="ar"/>
        </w:rPr>
        <w:t>基金份额持有人可对其持有的</w:t>
      </w:r>
      <w:r>
        <w:rPr>
          <w:rFonts w:hint="default" w:ascii="Times New Roman" w:hAnsi="Times New Roman"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类</w:t>
      </w:r>
      <w:r>
        <w:rPr>
          <w:rFonts w:hint="eastAsia" w:ascii="宋体" w:hAnsi="宋体" w:eastAsia="宋体" w:cs="宋体"/>
          <w:bCs/>
          <w:kern w:val="2"/>
          <w:sz w:val="24"/>
          <w:szCs w:val="24"/>
          <w:lang w:val="en-US" w:eastAsia="zh-CN" w:bidi="ar"/>
        </w:rPr>
        <w:t>基金份额</w:t>
      </w:r>
      <w:r>
        <w:rPr>
          <w:rFonts w:hint="eastAsia" w:ascii="宋体" w:hAnsi="宋体" w:eastAsia="宋体" w:cs="宋体"/>
          <w:kern w:val="2"/>
          <w:sz w:val="24"/>
          <w:szCs w:val="24"/>
          <w:lang w:val="en-US" w:eastAsia="zh-CN" w:bidi="ar"/>
        </w:rPr>
        <w:t>和</w:t>
      </w:r>
      <w:r>
        <w:rPr>
          <w:rFonts w:hint="default" w:ascii="Times New Roman" w:hAnsi="Times New Roman" w:eastAsia="宋体" w:cs="Times New Roman"/>
          <w:kern w:val="2"/>
          <w:sz w:val="24"/>
          <w:szCs w:val="24"/>
          <w:lang w:val="en-US" w:eastAsia="zh-CN" w:bidi="ar"/>
        </w:rPr>
        <w:t>C</w:t>
      </w:r>
      <w:r>
        <w:rPr>
          <w:rFonts w:hint="eastAsia" w:ascii="宋体" w:hAnsi="宋体" w:eastAsia="宋体" w:cs="宋体"/>
          <w:kern w:val="2"/>
          <w:sz w:val="24"/>
          <w:szCs w:val="24"/>
          <w:lang w:val="en-US" w:eastAsia="zh-CN" w:bidi="ar"/>
        </w:rPr>
        <w:t>类基金份额分别选择不同的收益分配方式；</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、基金收益分配后任一类基金份额净值不能低于面值；即基金收益分配基准日的任一类基金份额净值减去该类每单位基金份额收益分配金额后不能低于面值；</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、本基金同一基金份额类别的每一基金份额享有同等分配权；</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、法律法规或监管机关另有规定的，从其规定。</w:t>
      </w:r>
    </w:p>
    <w:p>
      <w:pPr>
        <w:keepNext w:val="0"/>
        <w:keepLines w:val="0"/>
        <w:widowControl w:val="0"/>
        <w:suppressLineNumbers w:val="0"/>
        <w:spacing w:before="0" w:beforeAutospacing="0" w:after="0" w:afterAutospacing="0" w:line="360" w:lineRule="auto"/>
        <w:ind w:left="0" w:right="0" w:firstLine="540" w:firstLineChars="225"/>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（二）收益分配方案</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基金收益分配方案中应载明截止收益分配基准日的可供分配利润、基金收益分配对象、分配时间、分配数额及比例、分配方式等内容。</w:t>
      </w:r>
    </w:p>
    <w:p>
      <w:pPr>
        <w:keepNext w:val="0"/>
        <w:keepLines w:val="0"/>
        <w:widowControl w:val="0"/>
        <w:suppressLineNumbers w:val="0"/>
        <w:spacing w:before="0" w:beforeAutospacing="0" w:after="0" w:afterAutospacing="0" w:line="360" w:lineRule="auto"/>
        <w:ind w:left="0" w:right="0" w:firstLine="540" w:firstLineChars="225"/>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（三）收益分配方案的确定、公告与实施</w:t>
      </w:r>
    </w:p>
    <w:p>
      <w:pPr>
        <w:keepNext w:val="0"/>
        <w:keepLines w:val="0"/>
        <w:widowControl w:val="0"/>
        <w:suppressLineNumbers w:val="0"/>
        <w:spacing w:before="0" w:beforeAutospacing="0" w:after="0" w:afterAutospacing="0" w:line="360" w:lineRule="auto"/>
        <w:ind w:left="0" w:right="0" w:firstLine="540" w:firstLineChars="225"/>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本基金收益分配方案由基金管理人拟定，并由基金托管人复核，依照《信息披露办法》的规定在规定媒介公告。</w:t>
      </w:r>
    </w:p>
    <w:p>
      <w:pPr>
        <w:keepNext w:val="0"/>
        <w:keepLines w:val="0"/>
        <w:widowControl w:val="0"/>
        <w:suppressLineNumbers w:val="0"/>
        <w:spacing w:before="0" w:beforeAutospacing="0" w:after="0" w:afterAutospacing="0" w:line="360" w:lineRule="auto"/>
        <w:ind w:left="0" w:right="0" w:firstLine="540" w:firstLineChars="225"/>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法律法规或监管机关另有规定的，从其规定。</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default" w:ascii="Times New Roman" w:hAnsi="Times New Roman" w:cs="Times New Roman"/>
          <w:b/>
          <w:bCs/>
          <w:kern w:val="2"/>
          <w:sz w:val="24"/>
          <w:szCs w:val="24"/>
        </w:rPr>
      </w:pPr>
      <w:r>
        <w:rPr>
          <w:rFonts w:hint="eastAsia" w:ascii="宋体" w:hAnsi="宋体" w:eastAsia="宋体" w:cs="宋体"/>
          <w:b/>
          <w:bCs/>
          <w:kern w:val="2"/>
          <w:sz w:val="24"/>
          <w:szCs w:val="24"/>
          <w:lang w:val="en-US" w:eastAsia="zh-CN" w:bidi="ar"/>
        </w:rPr>
        <w:t>四、与基金财产管理、运用有关费用的提取、支付方式与比例</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（一）基金费用的种类</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、基金管理人的管理费；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、基金托管人的托管费；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、《基金合同》生效后与基金相关的信息披露费用；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、《基金合同》生效后与基金相关的会计师费、律师费、仲裁费和诉讼费；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、基金份额持有人大会费用；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、基金的证券、期货交易费用；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、基金的银行汇划费用；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、基金的开户费用、账户维护费用；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、因投资港股通标的股票而产生的各项合理费用；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、本基金从</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类基金份额的基金财产中计提的销售服务费；</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、按照国家有关规定和《基金合同》约定，可以在基金财产中列支的其他费用。</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（二）基金费用计提方法、计提标准和支付方式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、基金管理人的管理费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本基金的管理费按前一日基金资产净值的</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年费率计提。管理费的计算方法如下：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×年管理费率÷当年天数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为每日应计提的基金管理费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为前一日的基金资产净值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基金管理费每日计提，逐日累计至每月月末，按月支付。由基金管理人与基金托管人核对一致后，由基金托管人按照</w:t>
      </w:r>
      <w:r>
        <w:rPr>
          <w:rFonts w:hint="eastAsia" w:ascii="宋体" w:hAnsi="宋体" w:eastAsia="宋体" w:cs="宋体"/>
          <w:kern w:val="2"/>
          <w:sz w:val="24"/>
          <w:szCs w:val="24"/>
          <w:lang w:val="en-US" w:eastAsia="zh-CN" w:bidi="ar"/>
        </w:rPr>
        <w:t>与基金管理人协商一致的方式</w:t>
      </w:r>
      <w:r>
        <w:rPr>
          <w:rFonts w:hint="eastAsia" w:ascii="宋体" w:hAnsi="宋体" w:eastAsia="宋体" w:cs="宋体"/>
          <w:bCs/>
          <w:kern w:val="2"/>
          <w:sz w:val="24"/>
          <w:szCs w:val="24"/>
          <w:lang w:val="en-US" w:eastAsia="zh-CN" w:bidi="ar"/>
        </w:rPr>
        <w:t>于次月首日起</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个工作日内从基金财产中一次性支付给基金管理人，若遇法定节假日、休息日或不可抗力致使无法按时支付的，支付日期顺延。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、基金托管人的托管费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本基金的托管费按前一日基金资产净值的</w:t>
      </w:r>
      <w:r>
        <w:rPr>
          <w:rFonts w:hint="default" w:ascii="Times New Roman" w:hAnsi="Times New Roman" w:eastAsia="宋体" w:cs="Times New Roman"/>
          <w:bCs/>
          <w:kern w:val="2"/>
          <w:sz w:val="24"/>
          <w:szCs w:val="24"/>
          <w:lang w:val="en-US" w:eastAsia="zh-CN" w:bidi="ar"/>
        </w:rPr>
        <w:t>0.25%</w:t>
      </w:r>
      <w:r>
        <w:rPr>
          <w:rFonts w:hint="eastAsia" w:ascii="宋体" w:hAnsi="宋体" w:eastAsia="宋体" w:cs="宋体"/>
          <w:bCs/>
          <w:kern w:val="2"/>
          <w:sz w:val="24"/>
          <w:szCs w:val="24"/>
          <w:lang w:val="en-US" w:eastAsia="zh-CN" w:bidi="ar"/>
        </w:rPr>
        <w:t>年费率计提。托管费的计算方法如下：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×年托管费率÷当年天数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为每日应计提的基金托管费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为前一日的基金资产净值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基金托管费每日计提，逐日累计至每月月末，按月支付。由基金管理人与基金托管人核对一致后，由基金托管人按照</w:t>
      </w:r>
      <w:r>
        <w:rPr>
          <w:rFonts w:hint="eastAsia" w:ascii="宋体" w:hAnsi="宋体" w:eastAsia="宋体" w:cs="宋体"/>
          <w:kern w:val="2"/>
          <w:sz w:val="24"/>
          <w:szCs w:val="24"/>
          <w:lang w:val="en-US" w:eastAsia="zh-CN" w:bidi="ar"/>
        </w:rPr>
        <w:t>与基金管理人协商一致的方式</w:t>
      </w:r>
      <w:r>
        <w:rPr>
          <w:rFonts w:hint="eastAsia" w:ascii="宋体" w:hAnsi="宋体" w:eastAsia="宋体" w:cs="宋体"/>
          <w:bCs/>
          <w:kern w:val="2"/>
          <w:sz w:val="24"/>
          <w:szCs w:val="24"/>
          <w:lang w:val="en-US" w:eastAsia="zh-CN" w:bidi="ar"/>
        </w:rPr>
        <w:t>于次月首日起</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个工作日内从基金财产中一次性支付给基金托管人，若遇法定节假日、休息日或不可抗力致使无法按时支付的，支付日期顺延。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类基金份额的销售服务费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类基金份额不收取销售服务费，</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类基金份额的销售服务费按前一日</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类基金资产净值的</w:t>
      </w:r>
      <w:r>
        <w:rPr>
          <w:rFonts w:hint="default" w:ascii="Times New Roman" w:hAnsi="Times New Roman" w:eastAsia="宋体" w:cs="Times New Roman"/>
          <w:bCs/>
          <w:kern w:val="2"/>
          <w:sz w:val="24"/>
          <w:szCs w:val="24"/>
          <w:lang w:val="en-US" w:eastAsia="zh-CN" w:bidi="ar"/>
        </w:rPr>
        <w:t>0.8%</w:t>
      </w:r>
      <w:r>
        <w:rPr>
          <w:rFonts w:hint="eastAsia" w:ascii="宋体" w:hAnsi="宋体" w:eastAsia="宋体" w:cs="宋体"/>
          <w:bCs/>
          <w:kern w:val="2"/>
          <w:sz w:val="24"/>
          <w:szCs w:val="24"/>
          <w:lang w:val="en-US" w:eastAsia="zh-CN" w:bidi="ar"/>
        </w:rPr>
        <w:t>年费率计提。计算方法如下：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0.8%</w:t>
      </w:r>
      <w:r>
        <w:rPr>
          <w:rFonts w:hint="eastAsia" w:ascii="宋体" w:hAnsi="宋体" w:eastAsia="宋体" w:cs="宋体"/>
          <w:bCs/>
          <w:kern w:val="2"/>
          <w:sz w:val="24"/>
          <w:szCs w:val="24"/>
          <w:lang w:val="en-US" w:eastAsia="zh-CN" w:bidi="ar"/>
        </w:rPr>
        <w:t>÷当年天数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H</w:t>
      </w:r>
      <w:r>
        <w:rPr>
          <w:rFonts w:hint="eastAsia" w:ascii="宋体" w:hAnsi="宋体" w:eastAsia="宋体" w:cs="宋体"/>
          <w:bCs/>
          <w:kern w:val="2"/>
          <w:sz w:val="24"/>
          <w:szCs w:val="24"/>
          <w:lang w:val="en-US" w:eastAsia="zh-CN" w:bidi="ar"/>
        </w:rPr>
        <w:t>为</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类基金份额每日应计提的销售服务费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E</w:t>
      </w:r>
      <w:r>
        <w:rPr>
          <w:rFonts w:hint="eastAsia" w:ascii="宋体" w:hAnsi="宋体" w:eastAsia="宋体" w:cs="宋体"/>
          <w:bCs/>
          <w:kern w:val="2"/>
          <w:sz w:val="24"/>
          <w:szCs w:val="24"/>
          <w:lang w:val="en-US" w:eastAsia="zh-CN" w:bidi="ar"/>
        </w:rPr>
        <w:t>为</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类基金份额前一日基金资产净值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类基金份额销售服务费每日计提，逐日累计至每月月末，按月支付。由基金管理人与基金托管人核对一致后，由基金托管人按照与基金管理人协商一致的方式自动于次月首日起</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个工作日内从基金财产中一次性支付给基金管理人，由基金管理人代付给销售机构，若遇法定节假日、休息日或不可抗力致使无法按时支付的，支付日期顺延。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类基金份额的销售服务费将专门用于本基金的市场推广、销售与基金份额持有人服务。</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、上述</w:t>
      </w:r>
      <w:r>
        <w:rPr>
          <w:rFonts w:hint="default" w:ascii="Times New Roman" w:hAnsi="Times New Roman" w:eastAsia="宋体" w:cs="Times New Roman"/>
          <w:bCs/>
          <w:kern w:val="2"/>
          <w:sz w:val="24"/>
          <w:szCs w:val="24"/>
          <w:lang w:val="en-US" w:eastAsia="zh-CN" w:bidi="ar"/>
        </w:rPr>
        <w:t>“</w:t>
      </w:r>
      <w:r>
        <w:rPr>
          <w:rFonts w:hint="eastAsia" w:ascii="宋体" w:hAnsi="宋体" w:eastAsia="宋体" w:cs="宋体"/>
          <w:bCs/>
          <w:kern w:val="2"/>
          <w:sz w:val="24"/>
          <w:szCs w:val="24"/>
          <w:lang w:val="en-US" w:eastAsia="zh-CN" w:bidi="ar"/>
        </w:rPr>
        <w:t>（一）基金费用的种类”中第</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项、第</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项费用，根据有关法规及相应协议规定，按费用实际支出金额列入当期费用，由基金托管人从基金财产中支付。</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（三）不列入基金费用的项目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下列费用不列入基金费用：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、基金管理人和基金托管人因未履行或未完全履行义务导致的费用支出或基金财产的损失；</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、基金管理人和基金托管人处理与基金运作无关的事项发生的费用；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、《基金合同》生效前的相关费用；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、其他根据相关法律法规及中国证监会的有关规定不得列入基金费用的项目。</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（四）实施侧袋机制期间的基金费用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本基金实施侧袋机制的，与侧袋账户有关的费用可以从侧袋账户中列支，但应待侧袋账户资产变现后方可列支，有关费用可酌情收取或减免，但不得收取管理费，详见招募说明书的规定。</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（五）基金税收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本基金运作过程中涉及的各纳税主体，其纳税义务按国家税收法律、法规执行。基金财产投资的相关税收，由基金份额持有人承担，基金管理人或者其他扣缴义务人按照国家有关税收征收的规定代扣代缴。</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五、基金财产的投资方向和投资限制</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（一）投资目标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本基金在严格控制风险的前提下，充分发挥专业研究与管理能力，力争为投资者提供长期稳健的投资回报。</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（二）投资范围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的投资范围为具有良好流动性的金融工具，包括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如法律法规或监管机构以后允许基金投资其他品种，基金管理人在履行适当程序后，可以将其纳入投资范围。</w:t>
      </w:r>
    </w:p>
    <w:p>
      <w:pPr>
        <w:keepNext w:val="0"/>
        <w:keepLines w:val="0"/>
        <w:widowControl w:val="0"/>
        <w:suppressLineNumbers w:val="0"/>
        <w:spacing w:before="0" w:beforeAutospacing="0" w:after="0" w:afterAutospacing="0" w:line="360" w:lineRule="auto"/>
        <w:ind w:left="0" w:right="0" w:firstLine="48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基金的投资组合比例为：股票投资（含存托凭证）占基金资产的比例为</w:t>
      </w:r>
      <w:r>
        <w:rPr>
          <w:rFonts w:hint="default" w:ascii="Times New Roman" w:hAnsi="Times New Roman" w:eastAsia="宋体" w:cs="Times New Roman"/>
          <w:bCs/>
          <w:kern w:val="2"/>
          <w:sz w:val="24"/>
          <w:szCs w:val="24"/>
          <w:lang w:val="en-US" w:eastAsia="zh-CN" w:bidi="ar"/>
        </w:rPr>
        <w:t>60%-95%</w:t>
      </w:r>
      <w:r>
        <w:rPr>
          <w:rFonts w:hint="eastAsia" w:ascii="宋体" w:hAnsi="宋体" w:eastAsia="宋体" w:cs="宋体"/>
          <w:bCs/>
          <w:kern w:val="2"/>
          <w:sz w:val="24"/>
          <w:szCs w:val="24"/>
          <w:lang w:val="en-US" w:eastAsia="zh-CN" w:bidi="ar"/>
        </w:rPr>
        <w:t>，其中投资于港股通标的股票的比例占股票资产的</w:t>
      </w:r>
      <w:r>
        <w:rPr>
          <w:rFonts w:hint="default" w:ascii="Times New Roman" w:hAnsi="Times New Roman" w:eastAsia="宋体" w:cs="Times New Roman"/>
          <w:bCs/>
          <w:kern w:val="2"/>
          <w:sz w:val="24"/>
          <w:szCs w:val="24"/>
          <w:lang w:val="en-US" w:eastAsia="zh-CN" w:bidi="ar"/>
        </w:rPr>
        <w:t>0%-50%</w:t>
      </w:r>
      <w:r>
        <w:rPr>
          <w:rFonts w:hint="eastAsia" w:ascii="宋体" w:hAnsi="宋体" w:eastAsia="宋体" w:cs="宋体"/>
          <w:bCs/>
          <w:kern w:val="2"/>
          <w:sz w:val="24"/>
          <w:szCs w:val="24"/>
          <w:lang w:val="en-US" w:eastAsia="zh-CN" w:bidi="ar"/>
        </w:rPr>
        <w:t>；每个交易日日终在扣除股指期货合约需缴纳的交易保证金后，本基金持有的现金或者到期日在一年以内的政府债券的比例合计不低于基金资产净值的</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，其中现金不包括结算备付金、存出保证金、应收申购款等。</w:t>
      </w:r>
    </w:p>
    <w:p>
      <w:pPr>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如果法律法规或中国证监会变更投资品种的投资比例限制，基金管理人在履行适当程序后，可以调整上述投资品种的投资比例。</w:t>
      </w:r>
    </w:p>
    <w:p>
      <w:pPr>
        <w:keepNext w:val="0"/>
        <w:keepLines w:val="0"/>
        <w:widowControl w:val="0"/>
        <w:suppressLineNumbers w:val="0"/>
        <w:spacing w:before="0" w:beforeAutospacing="0" w:after="0" w:afterAutospacing="0" w:line="360" w:lineRule="auto"/>
        <w:ind w:left="0" w:right="0" w:firstLine="480"/>
        <w:jc w:val="both"/>
        <w:outlineLvl w:val="2"/>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（三）投资策略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、大类资产配置</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本基金利用经交银施罗德研究团队修正后的投资时钟分析框架，通过“自上而下”的定性分析和定量分析相结合形成对不同资产市场表现的预测和判断，确定基金资产在沪深</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股、港股、债券及货币市场工具等各类别资产间的分配比例，并随着各类证券风险收益特征的相对变化，在基金合同约定的范围内动态调整组合中各类资产的比例，以规避或控制市场风险，提高基金收益率。</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、股票投资策略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）品质筛选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筛选出在公司治理、财务及管理品质上符合基本品质要求的公司，构建备选股票池。主要筛选指标包括：</w:t>
      </w:r>
    </w:p>
    <w:p>
      <w:pPr>
        <w:keepNext w:val="0"/>
        <w:keepLines w:val="0"/>
        <w:widowControl w:val="0"/>
        <w:numPr>
          <w:ilvl w:val="0"/>
          <w:numId w:val="2"/>
        </w:numPr>
        <w:suppressLineNumbers w:val="0"/>
        <w:spacing w:before="0" w:beforeAutospacing="0" w:after="0" w:afterAutospacing="0" w:line="360" w:lineRule="auto"/>
        <w:ind w:left="840" w:right="0" w:hanging="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盈利能力指标：如市盈率（P/E）、市现率（P/Cash Flow）、股价与每股自由现金流比率（P/FCF）、市销率（P/S）、股价与每股息税前利润比率（P/EBIT）等；</w:t>
      </w:r>
    </w:p>
    <w:p>
      <w:pPr>
        <w:keepNext w:val="0"/>
        <w:keepLines w:val="0"/>
        <w:widowControl w:val="0"/>
        <w:numPr>
          <w:ilvl w:val="0"/>
          <w:numId w:val="2"/>
        </w:numPr>
        <w:suppressLineNumbers w:val="0"/>
        <w:spacing w:before="0" w:beforeAutospacing="0" w:after="0" w:afterAutospacing="0" w:line="360" w:lineRule="auto"/>
        <w:ind w:left="840" w:right="0" w:hanging="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经营效率指标：如净资产收益率（ROE）、资产收益率（ROA）、经营资产回报率（Return on operating assets）等；</w:t>
      </w:r>
    </w:p>
    <w:p>
      <w:pPr>
        <w:keepNext w:val="0"/>
        <w:keepLines w:val="0"/>
        <w:widowControl w:val="0"/>
        <w:numPr>
          <w:ilvl w:val="0"/>
          <w:numId w:val="2"/>
        </w:numPr>
        <w:suppressLineNumbers w:val="0"/>
        <w:spacing w:before="0" w:beforeAutospacing="0" w:after="0" w:afterAutospacing="0" w:line="360" w:lineRule="auto"/>
        <w:ind w:left="840" w:right="0" w:hanging="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财务状况指标：如资产负债率（D/A）、流动比率等；</w:t>
      </w:r>
    </w:p>
    <w:p>
      <w:pPr>
        <w:keepNext w:val="0"/>
        <w:keepLines w:val="0"/>
        <w:widowControl w:val="0"/>
        <w:numPr>
          <w:ilvl w:val="0"/>
          <w:numId w:val="2"/>
        </w:numPr>
        <w:suppressLineNumbers w:val="0"/>
        <w:spacing w:before="0" w:beforeAutospacing="0" w:after="0" w:afterAutospacing="0" w:line="360" w:lineRule="auto"/>
        <w:ind w:left="840" w:right="0" w:hanging="42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研发投入指标：如研发投入与营业收入比率、科研人员数量及占比、专利数量及在同行业的占比等。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）价值评估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）港股通标的股票投资策略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本基金可通过内地与香港股票市场交易互联互通机制投资于香港股票市场。本基金优先将基本面健康、业绩向上弹性较大、具有估值优势的港股纳入本基金的股票投资组合。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本基金可根据投资策略需要或不同配置地市场环境的变化，选择将部分基金资产投资于港股或选择不将基金资产投资于港股，基金资产并非必然投资港股。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）存托凭证的投资策略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本基金投资存托凭证的策略依照境内上市交易的股票投资策略执行。</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、债券投资策略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本基金的债券投资采取主动的投资管理方式，获得与风险相匹配的投资收益，以实现在一定程度上规避股票市场的系统性风险和保证基金资产的流动性。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、资产支持证券投资策略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、股指期货投资策略</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（四）投资限制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、组合限制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基金的投资组合应遵循以下限制：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）股票投资（含存托凭证）占基金资产的比例为</w:t>
      </w:r>
      <w:r>
        <w:rPr>
          <w:rFonts w:hint="default" w:ascii="Times New Roman" w:hAnsi="Times New Roman" w:eastAsia="宋体" w:cs="Times New Roman"/>
          <w:bCs/>
          <w:kern w:val="2"/>
          <w:sz w:val="24"/>
          <w:szCs w:val="24"/>
          <w:lang w:val="en-US" w:eastAsia="zh-CN" w:bidi="ar"/>
        </w:rPr>
        <w:t>60%-95%</w:t>
      </w:r>
      <w:r>
        <w:rPr>
          <w:rFonts w:hint="eastAsia" w:ascii="宋体" w:hAnsi="宋体" w:eastAsia="宋体" w:cs="宋体"/>
          <w:bCs/>
          <w:kern w:val="2"/>
          <w:sz w:val="24"/>
          <w:szCs w:val="24"/>
          <w:lang w:val="en-US" w:eastAsia="zh-CN" w:bidi="ar"/>
        </w:rPr>
        <w:t>，其中投资于港股通标的股票的比例占股票资产的</w:t>
      </w:r>
      <w:r>
        <w:rPr>
          <w:rFonts w:hint="default" w:ascii="Times New Roman" w:hAnsi="Times New Roman" w:eastAsia="宋体" w:cs="Times New Roman"/>
          <w:bCs/>
          <w:kern w:val="2"/>
          <w:sz w:val="24"/>
          <w:szCs w:val="24"/>
          <w:lang w:val="en-US" w:eastAsia="zh-CN" w:bidi="ar"/>
        </w:rPr>
        <w:t>0%-50%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）每个交易日日终在扣除股指期货合约需缴纳的交易保证金后，本基金持有的现金或者到期日在一年以内的政府债券的投资比例合计不低于基金资产净值的</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，其中现金不包括结算备付金、存出保证金、应收申购款等；</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）本基金持有一家公司发行的证券（同一家公司在内地和香港同时上市的</w:t>
      </w:r>
      <w:r>
        <w:rPr>
          <w:rFonts w:hint="default" w:ascii="Times New Roman" w:hAnsi="Times New Roman" w:eastAsia="宋体" w:cs="Times New Roman"/>
          <w:bCs/>
          <w:kern w:val="2"/>
          <w:sz w:val="24"/>
          <w:szCs w:val="24"/>
          <w:lang w:val="en-US" w:eastAsia="zh-CN" w:bidi="ar"/>
        </w:rPr>
        <w:t>A+H</w:t>
      </w:r>
      <w:r>
        <w:rPr>
          <w:rFonts w:hint="eastAsia" w:ascii="宋体" w:hAnsi="宋体" w:eastAsia="宋体" w:cs="宋体"/>
          <w:bCs/>
          <w:kern w:val="2"/>
          <w:sz w:val="24"/>
          <w:szCs w:val="24"/>
          <w:lang w:val="en-US" w:eastAsia="zh-CN" w:bidi="ar"/>
        </w:rPr>
        <w:t>股合计计算），其市值不超过基金资产净值的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）本基金管理人管理的全部基金持有一家公司发行的证券（同一家公司在内地和香港同时上市的</w:t>
      </w:r>
      <w:r>
        <w:rPr>
          <w:rFonts w:hint="default" w:ascii="Times New Roman" w:hAnsi="Times New Roman" w:eastAsia="宋体" w:cs="Times New Roman"/>
          <w:bCs/>
          <w:kern w:val="2"/>
          <w:sz w:val="24"/>
          <w:szCs w:val="24"/>
          <w:lang w:val="en-US" w:eastAsia="zh-CN" w:bidi="ar"/>
        </w:rPr>
        <w:t>A+H</w:t>
      </w:r>
      <w:r>
        <w:rPr>
          <w:rFonts w:hint="eastAsia" w:ascii="宋体" w:hAnsi="宋体" w:eastAsia="宋体" w:cs="宋体"/>
          <w:bCs/>
          <w:kern w:val="2"/>
          <w:sz w:val="24"/>
          <w:szCs w:val="24"/>
          <w:lang w:val="en-US" w:eastAsia="zh-CN" w:bidi="ar"/>
        </w:rPr>
        <w:t>股合计计算），不超过该证券的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％，完全按照有关指数的构成比例进行证券投资的基金品种可以不受此条款规定的比例限制；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）本基金投资于同一原始权益人的各类资产支持证券的比例，不得超过基金资产净值的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）本基金持有的全部资产支持证券，其市值不得超过基金资产净值的</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）本基金持有的同一（指同一信用级别）资产支持证券的比例，不得超过该资产支持证券规模的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）本基金管理人管理的全部基金投资于同一原始权益人的各类资产支持证券，不得超过其各类资产支持证券合计规模的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）本基金应投资于信用级别评级为</w:t>
      </w:r>
      <w:r>
        <w:rPr>
          <w:rFonts w:hint="default" w:ascii="Times New Roman" w:hAnsi="Times New Roman" w:eastAsia="宋体" w:cs="Times New Roman"/>
          <w:bCs/>
          <w:kern w:val="2"/>
          <w:sz w:val="24"/>
          <w:szCs w:val="24"/>
          <w:lang w:val="en-US" w:eastAsia="zh-CN" w:bidi="ar"/>
        </w:rPr>
        <w:t>BBB</w:t>
      </w:r>
      <w:r>
        <w:rPr>
          <w:rFonts w:hint="eastAsia" w:ascii="宋体" w:hAnsi="宋体" w:eastAsia="宋体" w:cs="宋体"/>
          <w:bCs/>
          <w:kern w:val="2"/>
          <w:sz w:val="24"/>
          <w:szCs w:val="24"/>
          <w:lang w:val="en-US" w:eastAsia="zh-CN" w:bidi="ar"/>
        </w:rPr>
        <w:t>以上（含</w:t>
      </w:r>
      <w:r>
        <w:rPr>
          <w:rFonts w:hint="default" w:ascii="Times New Roman" w:hAnsi="Times New Roman" w:eastAsia="宋体" w:cs="Times New Roman"/>
          <w:bCs/>
          <w:kern w:val="2"/>
          <w:sz w:val="24"/>
          <w:szCs w:val="24"/>
          <w:lang w:val="en-US" w:eastAsia="zh-CN" w:bidi="ar"/>
        </w:rPr>
        <w:t>BBB</w:t>
      </w:r>
      <w:r>
        <w:rPr>
          <w:rFonts w:hint="eastAsia" w:ascii="宋体" w:hAnsi="宋体" w:eastAsia="宋体" w:cs="宋体"/>
          <w:bCs/>
          <w:kern w:val="2"/>
          <w:sz w:val="24"/>
          <w:szCs w:val="24"/>
          <w:lang w:val="en-US" w:eastAsia="zh-CN" w:bidi="ar"/>
        </w:rPr>
        <w:t>）的资产支持证券。基金持有资产支持证券期间，如果其信用等级下降、不再符合投资标准，应在评级报告发布之日起</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个月内予以全部卖出；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）基金财产参与股票发行申购，本基金所申报的金额不超过本基金的总资产，本基金所申报的股票数量不超过拟发行股票公司本次发行股票的总量；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11</w:t>
      </w:r>
      <w:r>
        <w:rPr>
          <w:rFonts w:hint="eastAsia" w:ascii="宋体" w:hAnsi="宋体" w:eastAsia="宋体" w:cs="宋体"/>
          <w:bCs/>
          <w:kern w:val="2"/>
          <w:sz w:val="24"/>
          <w:szCs w:val="24"/>
          <w:lang w:val="en-US" w:eastAsia="zh-CN" w:bidi="ar"/>
        </w:rPr>
        <w:t>）本基金进入全国银行间同业市场进行债券回购的资金余额不得超过基金资产净值的</w:t>
      </w:r>
      <w:r>
        <w:rPr>
          <w:rFonts w:hint="default" w:ascii="Times New Roman" w:hAnsi="Times New Roman" w:eastAsia="宋体" w:cs="Times New Roman"/>
          <w:bCs/>
          <w:kern w:val="2"/>
          <w:sz w:val="24"/>
          <w:szCs w:val="24"/>
          <w:lang w:val="en-US" w:eastAsia="zh-CN" w:bidi="ar"/>
        </w:rPr>
        <w:t>40%</w:t>
      </w:r>
      <w:r>
        <w:rPr>
          <w:rFonts w:hint="eastAsia" w:ascii="宋体" w:hAnsi="宋体" w:eastAsia="宋体" w:cs="宋体"/>
          <w:bCs/>
          <w:kern w:val="2"/>
          <w:sz w:val="24"/>
          <w:szCs w:val="24"/>
          <w:lang w:val="en-US" w:eastAsia="zh-CN" w:bidi="ar"/>
        </w:rPr>
        <w:t>，进入全国银行间同业市场进行债券回购的最长期限为</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年，债券回购到期后不得展期；</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12</w:t>
      </w:r>
      <w:r>
        <w:rPr>
          <w:rFonts w:hint="eastAsia" w:ascii="宋体" w:hAnsi="宋体" w:eastAsia="宋体" w:cs="宋体"/>
          <w:bCs/>
          <w:kern w:val="2"/>
          <w:sz w:val="24"/>
          <w:szCs w:val="24"/>
          <w:lang w:val="en-US" w:eastAsia="zh-CN" w:bidi="ar"/>
        </w:rPr>
        <w:t>）本基金管理人管理的全部开放式基金（包括开放式基金以及处于开放期的定期开放基金）持有一家上市公司发行的可流通股票，不得超过该上市公司可流通股票的</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；本基金管理人管理的全部投资组合持有一家上市公司发行的可流通股票，不得超过该上市公司可流通股票的</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；完全按照有关指数的构成比例进行证券投资的开放式基金以及中国证监会认定的特殊投资组合可不受前述比例限制；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）本基金主动投资于流动性受限资产的市值合计不得超过基金资产净值的</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；因证券市场波动、上市公司股票停牌、基金规模变动等基金管理人之外的因素致使基金不符合该比例限制的，基金管理人不得主动新增流动性受限资产的投资；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14</w:t>
      </w:r>
      <w:r>
        <w:rPr>
          <w:rFonts w:hint="eastAsia" w:ascii="宋体" w:hAnsi="宋体" w:eastAsia="宋体" w:cs="宋体"/>
          <w:bCs/>
          <w:kern w:val="2"/>
          <w:sz w:val="24"/>
          <w:szCs w:val="24"/>
          <w:lang w:val="en-US" w:eastAsia="zh-CN" w:bidi="ar"/>
        </w:rPr>
        <w:t>）本基金与私募类证券资管产品及中国证监会认定的其他主体为交易对手开展逆回购交易的，可接受质押品的资质要求应当与本基金合同约定的投资范围保持一致；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15</w:t>
      </w:r>
      <w:r>
        <w:rPr>
          <w:rFonts w:hint="eastAsia" w:ascii="宋体" w:hAnsi="宋体" w:eastAsia="宋体" w:cs="宋体"/>
          <w:bCs/>
          <w:kern w:val="2"/>
          <w:sz w:val="24"/>
          <w:szCs w:val="24"/>
          <w:lang w:val="en-US" w:eastAsia="zh-CN" w:bidi="ar"/>
        </w:rPr>
        <w:t>）本基金参与股指期货交易，则：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）本基金在任何交易日日终，持有的买入股指期货合约价值，不得超过基金资产净值的</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）本基金在任何交易日日终，持有的买入股指期货合约价值与有价证券市值之和，不得超过基金资产净值的</w:t>
      </w:r>
      <w:r>
        <w:rPr>
          <w:rFonts w:hint="default" w:ascii="Times New Roman" w:hAnsi="Times New Roman" w:eastAsia="宋体" w:cs="Times New Roman"/>
          <w:bCs/>
          <w:kern w:val="2"/>
          <w:sz w:val="24"/>
          <w:szCs w:val="24"/>
          <w:lang w:val="en-US" w:eastAsia="zh-CN" w:bidi="ar"/>
        </w:rPr>
        <w:t>95%</w:t>
      </w:r>
      <w:r>
        <w:rPr>
          <w:rFonts w:hint="eastAsia" w:ascii="宋体" w:hAnsi="宋体" w:eastAsia="宋体" w:cs="宋体"/>
          <w:bCs/>
          <w:kern w:val="2"/>
          <w:sz w:val="24"/>
          <w:szCs w:val="24"/>
          <w:lang w:val="en-US" w:eastAsia="zh-CN" w:bidi="ar"/>
        </w:rPr>
        <w:t>。其中，有价证券指股票、债券（不含到期日在一年以内的政府债券）、资产支持证券、买入返售金融资产（不含质押式回购）等；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）本基金在任何交易日日终，持有的卖出股指期货合约价值不得超过基金持有的股票总市值的</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）本基金所持有的股票市值和买入、卖出股指期货合约价值，合计（轧差计算）应当符合基金合同关于股票投资比例的有关约定；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）本基金在任何交易日内交易（不包括平仓）的股指期货合约的成交金额不得超过上一交易日基金资产净值的</w:t>
      </w:r>
      <w:r>
        <w:rPr>
          <w:rFonts w:hint="default" w:ascii="Times New Roman" w:hAnsi="Times New Roman" w:eastAsia="宋体" w:cs="Times New Roman"/>
          <w:bCs/>
          <w:kern w:val="2"/>
          <w:sz w:val="24"/>
          <w:szCs w:val="24"/>
          <w:lang w:val="en-US" w:eastAsia="zh-CN" w:bidi="ar"/>
        </w:rPr>
        <w:t>20%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16</w:t>
      </w:r>
      <w:r>
        <w:rPr>
          <w:rFonts w:hint="eastAsia" w:ascii="宋体" w:hAnsi="宋体" w:eastAsia="宋体" w:cs="宋体"/>
          <w:bCs/>
          <w:kern w:val="2"/>
          <w:sz w:val="24"/>
          <w:szCs w:val="24"/>
          <w:lang w:val="en-US" w:eastAsia="zh-CN" w:bidi="ar"/>
        </w:rPr>
        <w:t>）本基金资产总值不超过基金资产净值的</w:t>
      </w:r>
      <w:r>
        <w:rPr>
          <w:rFonts w:hint="default" w:ascii="Times New Roman" w:hAnsi="Times New Roman" w:eastAsia="宋体" w:cs="Times New Roman"/>
          <w:bCs/>
          <w:kern w:val="2"/>
          <w:sz w:val="24"/>
          <w:szCs w:val="24"/>
          <w:lang w:val="en-US" w:eastAsia="zh-CN" w:bidi="ar"/>
        </w:rPr>
        <w:t>140%</w:t>
      </w:r>
      <w:r>
        <w:rPr>
          <w:rFonts w:hint="eastAsia" w:ascii="宋体" w:hAnsi="宋体" w:eastAsia="宋体" w:cs="宋体"/>
          <w:bCs/>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17</w:t>
      </w:r>
      <w:r>
        <w:rPr>
          <w:rFonts w:hint="eastAsia" w:ascii="宋体" w:hAnsi="宋体" w:eastAsia="宋体" w:cs="宋体"/>
          <w:bCs/>
          <w:kern w:val="2"/>
          <w:sz w:val="24"/>
          <w:szCs w:val="24"/>
          <w:lang w:val="en-US" w:eastAsia="zh-CN" w:bidi="ar"/>
        </w:rPr>
        <w:t>）本基金投资存托凭证的比例限制依照境内上市交易的股票执行；</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18</w:t>
      </w:r>
      <w:r>
        <w:rPr>
          <w:rFonts w:hint="eastAsia" w:ascii="宋体" w:hAnsi="宋体" w:eastAsia="宋体" w:cs="宋体"/>
          <w:bCs/>
          <w:kern w:val="2"/>
          <w:sz w:val="24"/>
          <w:szCs w:val="24"/>
          <w:lang w:val="en-US" w:eastAsia="zh-CN" w:bidi="ar"/>
        </w:rPr>
        <w:t>）法律法规及中国证监会规定的和《基金合同》约定的其他投资限制。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除上述（</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13</w:t>
      </w: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14</w:t>
      </w:r>
      <w:r>
        <w:rPr>
          <w:rFonts w:hint="eastAsia" w:ascii="宋体" w:hAnsi="宋体" w:eastAsia="宋体" w:cs="宋体"/>
          <w:bCs/>
          <w:kern w:val="2"/>
          <w:sz w:val="24"/>
          <w:szCs w:val="24"/>
          <w:lang w:val="en-US" w:eastAsia="zh-CN" w:bidi="ar"/>
        </w:rPr>
        <w:t>）情形之外，因证券、期货市场波动、证券发行人合并、基金规模变动等基金管理人之外的因素致使基金投资比例不符合上述规定投资比例的，基金管理人应当在</w:t>
      </w: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个交易日内进行调整，但中国证监会规定的特殊情形除外。法律法规另有规定的，从其规定。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基金管理人应当自基金合同生效之日起</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个月内使基金的投资组合比例符合基金合同的有关约定。在上述期间内，本基金的投资范围、投资策略应当符合基金合同的约定。基金托管人对基金的投资的监督与检查自本基金合同生效之日起开始。</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法律法规对上述投资组合比例限制进行变更的，以变更后的规定为准。法律法规或监管部门取消上述限制，如适用于本基金，基金管理人在履行适当程序后，则本基金投资不再受相关限制。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、禁止行为</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为维护基金份额持有人的合法权益，基金财产不得用于下列投资或者活动：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）承销证券；</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）违反规定向他人贷款或者提供担保；</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）从事承担无限责任的投资；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）买卖其他基金份额，但是中国证监会另有规定的除外；</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）向其基金管理人、基金托管人出资；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）从事内幕交易、操纵证券交易价格及其他不正当的证券交易活动；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）法律、行政法规和中国证监会规定禁止的其他活动。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如法律、行政法规或监管部门取消或变更上述规定，如适用于本基金，基金管理人在履行适当程序后，本基金可不受上述规定的限制。</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（五）业绩比较基准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沪深</w:t>
      </w:r>
      <w:r>
        <w:rPr>
          <w:rFonts w:hint="default" w:ascii="Times New Roman" w:hAnsi="Times New Roman" w:eastAsia="宋体" w:cs="Times New Roman"/>
          <w:bCs/>
          <w:kern w:val="2"/>
          <w:sz w:val="24"/>
          <w:szCs w:val="24"/>
          <w:lang w:val="en-US" w:eastAsia="zh-CN" w:bidi="ar"/>
        </w:rPr>
        <w:t>300</w:t>
      </w:r>
      <w:r>
        <w:rPr>
          <w:rFonts w:hint="eastAsia" w:ascii="宋体" w:hAnsi="宋体" w:eastAsia="宋体" w:cs="宋体"/>
          <w:bCs/>
          <w:kern w:val="2"/>
          <w:sz w:val="24"/>
          <w:szCs w:val="24"/>
          <w:lang w:val="en-US" w:eastAsia="zh-CN" w:bidi="ar"/>
        </w:rPr>
        <w:t>指数收益率×</w:t>
      </w:r>
      <w:r>
        <w:rPr>
          <w:rFonts w:hint="default" w:ascii="Times New Roman" w:hAnsi="Times New Roman" w:eastAsia="宋体" w:cs="Times New Roman"/>
          <w:bCs/>
          <w:kern w:val="2"/>
          <w:sz w:val="24"/>
          <w:szCs w:val="24"/>
          <w:lang w:val="en-US" w:eastAsia="zh-CN" w:bidi="ar"/>
        </w:rPr>
        <w:t>70%+</w:t>
      </w:r>
      <w:r>
        <w:rPr>
          <w:rFonts w:hint="eastAsia" w:ascii="宋体" w:hAnsi="宋体" w:eastAsia="宋体" w:cs="宋体"/>
          <w:bCs/>
          <w:kern w:val="2"/>
          <w:sz w:val="24"/>
          <w:szCs w:val="24"/>
          <w:lang w:val="en-US" w:eastAsia="zh-CN" w:bidi="ar"/>
        </w:rPr>
        <w:t>恒生指数收益率×</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中证综合债券指数收益率×</w:t>
      </w:r>
      <w:r>
        <w:rPr>
          <w:rFonts w:hint="default" w:ascii="Times New Roman" w:hAnsi="Times New Roman" w:eastAsia="宋体" w:cs="Times New Roman"/>
          <w:bCs/>
          <w:kern w:val="2"/>
          <w:sz w:val="24"/>
          <w:szCs w:val="24"/>
          <w:lang w:val="en-US" w:eastAsia="zh-CN" w:bidi="ar"/>
        </w:rPr>
        <w:t>25%</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沪深</w:t>
      </w:r>
      <w:r>
        <w:rPr>
          <w:rFonts w:hint="default" w:ascii="Times New Roman" w:hAnsi="Times New Roman" w:eastAsia="宋体" w:cs="Times New Roman"/>
          <w:bCs/>
          <w:kern w:val="2"/>
          <w:sz w:val="24"/>
          <w:szCs w:val="24"/>
          <w:lang w:val="en-US" w:eastAsia="zh-CN" w:bidi="ar"/>
        </w:rPr>
        <w:t>300</w:t>
      </w:r>
      <w:r>
        <w:rPr>
          <w:rFonts w:hint="eastAsia" w:ascii="宋体" w:hAnsi="宋体" w:eastAsia="宋体" w:cs="宋体"/>
          <w:bCs/>
          <w:kern w:val="2"/>
          <w:sz w:val="24"/>
          <w:szCs w:val="24"/>
          <w:lang w:val="en-US" w:eastAsia="zh-CN" w:bidi="ar"/>
        </w:rPr>
        <w:t>指数是沪深证券交易所第一次联合发布的反映</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股市场整体走势的指数，由中证指数有限公司编制和维护，是在上海和深圳证券市场中选取</w:t>
      </w:r>
      <w:r>
        <w:rPr>
          <w:rFonts w:hint="default" w:ascii="Times New Roman" w:hAnsi="Times New Roman" w:eastAsia="宋体" w:cs="Times New Roman"/>
          <w:bCs/>
          <w:kern w:val="2"/>
          <w:sz w:val="24"/>
          <w:szCs w:val="24"/>
          <w:lang w:val="en-US" w:eastAsia="zh-CN" w:bidi="ar"/>
        </w:rPr>
        <w:t>300</w:t>
      </w:r>
      <w:r>
        <w:rPr>
          <w:rFonts w:hint="eastAsia" w:ascii="宋体" w:hAnsi="宋体" w:eastAsia="宋体" w:cs="宋体"/>
          <w:bCs/>
          <w:kern w:val="2"/>
          <w:sz w:val="24"/>
          <w:szCs w:val="24"/>
          <w:lang w:val="en-US" w:eastAsia="zh-CN" w:bidi="ar"/>
        </w:rPr>
        <w:t>只</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股作为样本编制而成。该指数样本对沪深市场的覆盖度高，具有良好的市场代表性，投资者可以方便地从报纸、互联网等财经媒体中获取。沪深</w:t>
      </w:r>
      <w:r>
        <w:rPr>
          <w:rFonts w:hint="default" w:ascii="Times New Roman" w:hAnsi="Times New Roman" w:eastAsia="宋体" w:cs="Times New Roman"/>
          <w:bCs/>
          <w:kern w:val="2"/>
          <w:sz w:val="24"/>
          <w:szCs w:val="24"/>
          <w:lang w:val="en-US" w:eastAsia="zh-CN" w:bidi="ar"/>
        </w:rPr>
        <w:t>300</w:t>
      </w:r>
      <w:r>
        <w:rPr>
          <w:rFonts w:hint="eastAsia" w:ascii="宋体" w:hAnsi="宋体" w:eastAsia="宋体" w:cs="宋体"/>
          <w:bCs/>
          <w:kern w:val="2"/>
          <w:sz w:val="24"/>
          <w:szCs w:val="24"/>
          <w:lang w:val="en-US" w:eastAsia="zh-CN" w:bidi="ar"/>
        </w:rPr>
        <w:t>指数引进国际指数编制和管理的经验，编制方法清晰透明，具有独立性和良好的市场流动性；与市场整体表现具有较高的相关度，且指数历史表现强于市场平均收益水平，适合作为本基金</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股资产投资的业绩比较基准。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恒生指数是由恒生指数服务有限公司编制，以香港股票市场中的</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家上市股票为成份股样本，以其发行量为权数的加权平均股价指数，是反映香港股市价幅趋势最有影响的一种股价指数。</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根据本基金的投资范围和投资比例，选用上述业绩比较基准能够客观、合理地反映本基金的风险收益特征。</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default" w:ascii="Times New Roman" w:hAnsi="Times New Roman" w:cs="Times New Roman"/>
          <w:b/>
          <w:bCs/>
          <w:kern w:val="2"/>
          <w:sz w:val="24"/>
          <w:szCs w:val="24"/>
        </w:rPr>
      </w:pPr>
      <w:r>
        <w:rPr>
          <w:rFonts w:hint="eastAsia" w:ascii="宋体" w:hAnsi="宋体" w:eastAsia="宋体" w:cs="宋体"/>
          <w:b/>
          <w:bCs/>
          <w:kern w:val="2"/>
          <w:sz w:val="24"/>
          <w:szCs w:val="24"/>
          <w:lang w:val="en-US" w:eastAsia="zh-CN" w:bidi="ar"/>
        </w:rPr>
        <w:t>六、基金资产净值的计算方法和公告方式</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（一）估值方法</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、证券交易所上市的有价证券的估值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）交易所上市交易或挂牌转让的固定收益品种（另有规定的除外），选取估值日第三方估值机构提供的相应品种当日的估值净价进行估值；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）交易所上市实行全价交易的债券（可转债除外），选取第三方估值机构提供的估值全价减去估值全价中所含的债券（税后）应收利息得到的净价进行估值；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1"/>
          <w:szCs w:val="21"/>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）交易所上市不存在活跃市场的有价证券，采用估值技术确定公允价值。交易所市场挂牌转让的资产支持证券，采用估值技术确定公允价值；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1"/>
          <w:szCs w:val="21"/>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、处于未上市期间的有价证券应区分如下情况处理：</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）送股、转增股、配股和公开增发的新股，按估值日在证券交易所挂牌的同一股票的估值方法估值；该日无交易的，以最近一日的市价（收盘价）估值；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）首次公开发行未上市的股票和债券，采用估值技术确定公允价值，在估值技术难以可靠计量公允价值的情况下，按成本估值；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、本基金投资股指期货合约，一般以估值当日结算价进行估值，估值当日无结算价的，且最近交易日后经济环境未发生重大变化的，采用最近交易日结算价估值。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、估值计算中涉及港币对人民币汇率的，将依据下列信息提供机构所提供的汇率为基准：当日中国人民银行或其授权机构当日公布的人民币与港币的中间价。</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、对于因税收规定调整或其他原因导致产品实际交纳税金与估算的应交税金有差异的，产品将在相关税金调整日或实际支付日进行相应的会计处理。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、本基金投资存托凭证的估值核算依照境内上市交易的股票执行。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8</w:t>
      </w:r>
      <w:r>
        <w:rPr>
          <w:rFonts w:hint="eastAsia" w:ascii="宋体" w:hAnsi="宋体" w:eastAsia="宋体" w:cs="宋体"/>
          <w:bCs/>
          <w:kern w:val="2"/>
          <w:sz w:val="24"/>
          <w:szCs w:val="24"/>
          <w:lang w:val="en-US" w:eastAsia="zh-CN" w:bidi="ar"/>
        </w:rPr>
        <w:t>、如有确凿证据表明按上述方法进行估值不能客观反映其公允价值的，基金管理人可根据具体情况与基金托管人商定后，按最能反映公允价值的价格估值。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9</w:t>
      </w:r>
      <w:r>
        <w:rPr>
          <w:rFonts w:hint="eastAsia" w:ascii="宋体" w:hAnsi="宋体" w:eastAsia="宋体" w:cs="宋体"/>
          <w:bCs/>
          <w:kern w:val="2"/>
          <w:sz w:val="24"/>
          <w:szCs w:val="24"/>
          <w:lang w:val="en-US" w:eastAsia="zh-CN" w:bidi="ar"/>
        </w:rPr>
        <w:t>、当发生大额申购或赎回情形时，基金管理人可以采用摆动定价机制，以确保基金估值的公平性。</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10</w:t>
      </w:r>
      <w:r>
        <w:rPr>
          <w:rFonts w:hint="eastAsia" w:ascii="宋体" w:hAnsi="宋体" w:eastAsia="宋体" w:cs="宋体"/>
          <w:bCs/>
          <w:kern w:val="2"/>
          <w:sz w:val="24"/>
          <w:szCs w:val="24"/>
          <w:lang w:val="en-US" w:eastAsia="zh-CN" w:bidi="ar"/>
        </w:rPr>
        <w:t>、相关法律法规以及监管部门有强制规定的，从其规定。如有新增事项，按国家最新规定估值。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sz w:val="24"/>
          <w:szCs w:val="24"/>
        </w:rPr>
      </w:pPr>
      <w:r>
        <w:rPr>
          <w:rStyle w:val="80"/>
          <w:rFonts w:hint="eastAsia" w:ascii="宋体" w:hAnsi="宋体" w:eastAsia="宋体" w:cs="宋体"/>
          <w:bCs/>
          <w:kern w:val="2"/>
          <w:sz w:val="24"/>
          <w:szCs w:val="24"/>
          <w:lang w:val="en-US" w:eastAsia="zh-CN" w:bidi="ar"/>
        </w:rPr>
        <w:t>如基金管理人或基金托管人发现基金估值违反基金合同订明的估值方法、程序及相关法律法规的规定或者未能充分维护基金份额持有人利益时，应立即通知对方，共同查明原因，双方协商解决。</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（二）估值程序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、各类基金份额的基金份额净值是按照每个工作日闭市后，该类基金份额的基金资产净值除以当日该类基金份额的余额数量计算，精确到</w:t>
      </w:r>
      <w:r>
        <w:rPr>
          <w:rFonts w:hint="default" w:ascii="Times New Roman" w:hAnsi="Times New Roman" w:eastAsia="宋体" w:cs="Times New Roman"/>
          <w:bCs/>
          <w:kern w:val="2"/>
          <w:sz w:val="24"/>
          <w:szCs w:val="24"/>
          <w:lang w:val="en-US" w:eastAsia="zh-CN" w:bidi="ar"/>
        </w:rPr>
        <w:t>0.0001</w:t>
      </w:r>
      <w:r>
        <w:rPr>
          <w:rFonts w:hint="eastAsia" w:ascii="宋体" w:hAnsi="宋体" w:eastAsia="宋体" w:cs="宋体"/>
          <w:bCs/>
          <w:kern w:val="2"/>
          <w:sz w:val="24"/>
          <w:szCs w:val="24"/>
          <w:lang w:val="en-US" w:eastAsia="zh-CN" w:bidi="ar"/>
        </w:rPr>
        <w:t>元，小数点后第</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位四舍五入。基金管理人可以设立大额赎回情形下的净值精度应急调整机制，具体可参见相关公告。国家另有规定的，从其规定。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基金管理人于每个工作日计算各类基金份额的基金资产净值及基金份额净值，并按规定公告。如遇特殊情况，经履行适当程序，可以适当延迟计算或公告。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（三）暂停估值的情形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、基金投资所涉及的证券、期货交易市场遇法定节假日或因其他原因暂停营业时；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、因不可抗力致使基金管理人、基金托管人无法准确评估基金资产价值时；</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、当特定资产占前一估值日基金资产净值</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以上的，经与基金托管人协商确认后，基金管理人应当暂停估值；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、法律法规、中国证监会和基金合同认定的其它情形。</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（四）基金净值信息的公告方式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《基金合同》生效后，在开始办理基金份额申购或者赎回前，基金管理人应当至少每周在规定网站分别披露一次</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类基金份额和</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类基金份额所对应的基金份额净值和基金份额累计净值。</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在开始办理基金份额申购或者赎回后，基金管理人应当在不晚于每个开放日的次日，通过规定网站、基金销售机构网站或者营业网点分别披露开放日的</w:t>
      </w:r>
      <w:r>
        <w:rPr>
          <w:rFonts w:hint="default" w:ascii="Times New Roman" w:hAnsi="Times New Roman" w:eastAsia="宋体" w:cs="Times New Roman"/>
          <w:kern w:val="2"/>
          <w:sz w:val="24"/>
          <w:szCs w:val="24"/>
          <w:lang w:val="en-US" w:eastAsia="zh-CN" w:bidi="ar"/>
        </w:rPr>
        <w:t>A</w:t>
      </w:r>
      <w:r>
        <w:rPr>
          <w:rFonts w:hint="eastAsia" w:ascii="宋体" w:hAnsi="宋体" w:eastAsia="宋体" w:cs="宋体"/>
          <w:kern w:val="2"/>
          <w:sz w:val="24"/>
          <w:szCs w:val="24"/>
          <w:lang w:val="en-US" w:eastAsia="zh-CN" w:bidi="ar"/>
        </w:rPr>
        <w:t>类基金份额和</w:t>
      </w:r>
      <w:r>
        <w:rPr>
          <w:rFonts w:hint="default" w:ascii="Times New Roman" w:hAnsi="Times New Roman" w:eastAsia="宋体" w:cs="Times New Roman"/>
          <w:kern w:val="2"/>
          <w:sz w:val="24"/>
          <w:szCs w:val="24"/>
          <w:lang w:val="en-US" w:eastAsia="zh-CN" w:bidi="ar"/>
        </w:rPr>
        <w:t>C</w:t>
      </w:r>
      <w:r>
        <w:rPr>
          <w:rFonts w:hint="eastAsia" w:ascii="宋体" w:hAnsi="宋体" w:eastAsia="宋体" w:cs="宋体"/>
          <w:kern w:val="2"/>
          <w:sz w:val="24"/>
          <w:szCs w:val="24"/>
          <w:lang w:val="en-US" w:eastAsia="zh-CN" w:bidi="ar"/>
        </w:rPr>
        <w:t>类基金份额所对应的</w:t>
      </w:r>
      <w:r>
        <w:rPr>
          <w:rFonts w:hint="eastAsia" w:ascii="宋体" w:hAnsi="宋体" w:eastAsia="宋体" w:cs="宋体"/>
          <w:bCs/>
          <w:kern w:val="2"/>
          <w:sz w:val="24"/>
          <w:szCs w:val="24"/>
          <w:lang w:val="en-US" w:eastAsia="zh-CN" w:bidi="ar"/>
        </w:rPr>
        <w:t>基金份额净值和基金份额累计净值。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eastAsia" w:ascii="宋体" w:hAnsi="宋体" w:eastAsia="宋体" w:cs="宋体"/>
          <w:bCs/>
          <w:kern w:val="2"/>
          <w:sz w:val="24"/>
          <w:szCs w:val="24"/>
          <w:lang w:val="en-US" w:eastAsia="zh-CN" w:bidi="ar"/>
        </w:rPr>
        <w:t>基金管理人应当在不晚于半年度和年度最后一日的次日，在规定网站披露半年度和年度最后一日</w:t>
      </w:r>
      <w:r>
        <w:rPr>
          <w:rFonts w:hint="default" w:ascii="Times New Roman" w:hAnsi="Times New Roman" w:eastAsia="宋体" w:cs="Times New Roman"/>
          <w:bCs/>
          <w:kern w:val="2"/>
          <w:sz w:val="24"/>
          <w:szCs w:val="24"/>
          <w:lang w:val="en-US" w:eastAsia="zh-CN" w:bidi="ar"/>
        </w:rPr>
        <w:t>A</w:t>
      </w:r>
      <w:r>
        <w:rPr>
          <w:rFonts w:hint="eastAsia" w:ascii="宋体" w:hAnsi="宋体" w:eastAsia="宋体" w:cs="宋体"/>
          <w:bCs/>
          <w:kern w:val="2"/>
          <w:sz w:val="24"/>
          <w:szCs w:val="24"/>
          <w:lang w:val="en-US" w:eastAsia="zh-CN" w:bidi="ar"/>
        </w:rPr>
        <w:t>类基金份额和</w:t>
      </w:r>
      <w:r>
        <w:rPr>
          <w:rFonts w:hint="default" w:ascii="Times New Roman" w:hAnsi="Times New Roman" w:eastAsia="宋体" w:cs="Times New Roman"/>
          <w:bCs/>
          <w:kern w:val="2"/>
          <w:sz w:val="24"/>
          <w:szCs w:val="24"/>
          <w:lang w:val="en-US" w:eastAsia="zh-CN" w:bidi="ar"/>
        </w:rPr>
        <w:t>C</w:t>
      </w:r>
      <w:r>
        <w:rPr>
          <w:rFonts w:hint="eastAsia" w:ascii="宋体" w:hAnsi="宋体" w:eastAsia="宋体" w:cs="宋体"/>
          <w:bCs/>
          <w:kern w:val="2"/>
          <w:sz w:val="24"/>
          <w:szCs w:val="24"/>
          <w:lang w:val="en-US" w:eastAsia="zh-CN" w:bidi="ar"/>
        </w:rPr>
        <w:t>类基金份额所对应的基金份额净值和基金份额累计净值。</w:t>
      </w:r>
    </w:p>
    <w:p>
      <w:pPr>
        <w:keepNext w:val="0"/>
        <w:keepLines w:val="0"/>
        <w:widowControl w:val="0"/>
        <w:suppressLineNumbers w:val="0"/>
        <w:spacing w:before="0" w:beforeAutospacing="0" w:after="0" w:afterAutospacing="0" w:line="360" w:lineRule="auto"/>
        <w:ind w:left="0" w:right="0" w:firstLine="482" w:firstLineChars="200"/>
        <w:jc w:val="both"/>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七、基金合同变更、解除和终止的事由、程序以及基金财产清算方式</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（一）《基金合同》的变更</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keepNext w:val="0"/>
        <w:keepLines w:val="0"/>
        <w:widowControl w:val="0"/>
        <w:suppressLineNumbers w:val="0"/>
        <w:autoSpaceDE w:val="0"/>
        <w:autoSpaceDN w:val="0"/>
        <w:adjustRightInd w:val="0"/>
        <w:spacing w:before="0" w:beforeAutospacing="0" w:after="0" w:afterAutospacing="0" w:line="360" w:lineRule="auto"/>
        <w:ind w:left="0" w:right="0" w:firstLine="720" w:firstLineChars="300"/>
        <w:jc w:val="left"/>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、关于《基金合同》变更的基金份额持有人大会决议自生效后方可执行，自决议生效后依照《信息披露办法》的规定在规定媒介公告。</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（二）《基金合同》的终止事由</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有下列情形之一的，经履行相关程序后，《基金合同》应当终止：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、基金份额持有人大会决定终止的；</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、基金管理人、基金托管人职责终止，在</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个月内没有新基金管理人、新基金托管人承接的；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、连续</w:t>
      </w:r>
      <w:r>
        <w:rPr>
          <w:rFonts w:hint="default" w:ascii="Times New Roman" w:hAnsi="Times New Roman" w:eastAsia="宋体" w:cs="Times New Roman"/>
          <w:bCs/>
          <w:kern w:val="2"/>
          <w:sz w:val="24"/>
          <w:szCs w:val="24"/>
          <w:lang w:val="en-US" w:eastAsia="zh-CN" w:bidi="ar"/>
        </w:rPr>
        <w:t>50</w:t>
      </w:r>
      <w:r>
        <w:rPr>
          <w:rFonts w:hint="eastAsia" w:ascii="宋体" w:hAnsi="宋体" w:eastAsia="宋体" w:cs="宋体"/>
          <w:bCs/>
          <w:kern w:val="2"/>
          <w:sz w:val="24"/>
          <w:szCs w:val="24"/>
          <w:lang w:val="en-US" w:eastAsia="zh-CN" w:bidi="ar"/>
        </w:rPr>
        <w:t>个工作日出现基金份额持有人数量不满</w:t>
      </w:r>
      <w:r>
        <w:rPr>
          <w:rFonts w:hint="default" w:ascii="Times New Roman" w:hAnsi="Times New Roman" w:eastAsia="宋体" w:cs="Times New Roman"/>
          <w:bCs/>
          <w:kern w:val="2"/>
          <w:sz w:val="24"/>
          <w:szCs w:val="24"/>
          <w:lang w:val="en-US" w:eastAsia="zh-CN" w:bidi="ar"/>
        </w:rPr>
        <w:t>200</w:t>
      </w:r>
      <w:r>
        <w:rPr>
          <w:rFonts w:hint="eastAsia" w:ascii="宋体" w:hAnsi="宋体" w:eastAsia="宋体" w:cs="宋体"/>
          <w:bCs/>
          <w:kern w:val="2"/>
          <w:sz w:val="24"/>
          <w:szCs w:val="24"/>
          <w:lang w:val="en-US" w:eastAsia="zh-CN" w:bidi="ar"/>
        </w:rPr>
        <w:t>人或者基金资产净值低于</w:t>
      </w:r>
      <w:r>
        <w:rPr>
          <w:rFonts w:hint="default" w:ascii="Times New Roman" w:hAnsi="Times New Roman" w:eastAsia="宋体" w:cs="Times New Roman"/>
          <w:bCs/>
          <w:kern w:val="2"/>
          <w:sz w:val="24"/>
          <w:szCs w:val="24"/>
          <w:lang w:val="en-US" w:eastAsia="zh-CN" w:bidi="ar"/>
        </w:rPr>
        <w:t>5000</w:t>
      </w:r>
      <w:r>
        <w:rPr>
          <w:rFonts w:hint="eastAsia" w:ascii="宋体" w:hAnsi="宋体" w:eastAsia="宋体" w:cs="宋体"/>
          <w:bCs/>
          <w:kern w:val="2"/>
          <w:sz w:val="24"/>
          <w:szCs w:val="24"/>
          <w:lang w:val="en-US" w:eastAsia="zh-CN" w:bidi="ar"/>
        </w:rPr>
        <w:t>万元情形的，基金合同终止，不需召开基金份额持有人大会；</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、《基金合同》约定的其他情形；</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、相关法律法规和中国证监会规定的其他情况。</w:t>
      </w:r>
    </w:p>
    <w:p>
      <w:pPr>
        <w:keepNext w:val="0"/>
        <w:keepLines w:val="0"/>
        <w:widowControl w:val="0"/>
        <w:suppressLineNumbers w:val="0"/>
        <w:spacing w:before="0" w:beforeAutospacing="0" w:after="0" w:afterAutospacing="0" w:line="360" w:lineRule="auto"/>
        <w:ind w:left="0" w:right="0" w:firstLine="480" w:firstLineChars="200"/>
        <w:jc w:val="both"/>
        <w:outlineLvl w:val="2"/>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（三）基金财产的清算</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、基金财产清算小组：自出现《基金合同》终止事由之日起</w:t>
      </w:r>
      <w:r>
        <w:rPr>
          <w:rFonts w:hint="default" w:ascii="Times New Roman" w:hAnsi="Times New Roman" w:eastAsia="宋体" w:cs="Times New Roman"/>
          <w:bCs/>
          <w:kern w:val="2"/>
          <w:sz w:val="24"/>
          <w:szCs w:val="24"/>
          <w:lang w:val="en-US" w:eastAsia="zh-CN" w:bidi="ar"/>
        </w:rPr>
        <w:t>30</w:t>
      </w:r>
      <w:r>
        <w:rPr>
          <w:rFonts w:hint="eastAsia" w:ascii="宋体" w:hAnsi="宋体" w:eastAsia="宋体" w:cs="宋体"/>
          <w:bCs/>
          <w:kern w:val="2"/>
          <w:sz w:val="24"/>
          <w:szCs w:val="24"/>
          <w:lang w:val="en-US" w:eastAsia="zh-CN" w:bidi="ar"/>
        </w:rPr>
        <w:t>个工作日内成立清算小组，基金管理人组织基金财产清算小组并在中国证监会的监督下进行基金清算。</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基金财产清算小组组成：基金财产清算小组成员由基金管理人、基金托管人、符合《中华人民共和国证券法》规定的注册会计师、律师以及中国证监会指定的人员组成。基金财产清算小组可以聘用必要的工作人员。</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、基金财产清算小组职责：基金财产清算小组负责基金财产的保管、清理、估价、变现和分配。基金财产清算小组可以依法进行必要的民事活动。</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、基金财产清算程序：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1</w:t>
      </w:r>
      <w:r>
        <w:rPr>
          <w:rFonts w:hint="eastAsia" w:ascii="宋体" w:hAnsi="宋体" w:eastAsia="宋体" w:cs="宋体"/>
          <w:bCs/>
          <w:kern w:val="2"/>
          <w:sz w:val="24"/>
          <w:szCs w:val="24"/>
          <w:lang w:val="en-US" w:eastAsia="zh-CN" w:bidi="ar"/>
        </w:rPr>
        <w:t>）《基金合同》终止情形出现时，由基金财产清算小组统一接管基金；</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2</w:t>
      </w:r>
      <w:r>
        <w:rPr>
          <w:rFonts w:hint="eastAsia" w:ascii="宋体" w:hAnsi="宋体" w:eastAsia="宋体" w:cs="宋体"/>
          <w:bCs/>
          <w:kern w:val="2"/>
          <w:sz w:val="24"/>
          <w:szCs w:val="24"/>
          <w:lang w:val="en-US" w:eastAsia="zh-CN" w:bidi="ar"/>
        </w:rPr>
        <w:t>）对基金财产和债权债务进行清理和确认；</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3</w:t>
      </w:r>
      <w:r>
        <w:rPr>
          <w:rFonts w:hint="eastAsia" w:ascii="宋体" w:hAnsi="宋体" w:eastAsia="宋体" w:cs="宋体"/>
          <w:bCs/>
          <w:kern w:val="2"/>
          <w:sz w:val="24"/>
          <w:szCs w:val="24"/>
          <w:lang w:val="en-US" w:eastAsia="zh-CN" w:bidi="ar"/>
        </w:rPr>
        <w:t>）对基金财产进行估值和变现；</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4</w:t>
      </w:r>
      <w:r>
        <w:rPr>
          <w:rFonts w:hint="eastAsia" w:ascii="宋体" w:hAnsi="宋体" w:eastAsia="宋体" w:cs="宋体"/>
          <w:bCs/>
          <w:kern w:val="2"/>
          <w:sz w:val="24"/>
          <w:szCs w:val="24"/>
          <w:lang w:val="en-US" w:eastAsia="zh-CN" w:bidi="ar"/>
        </w:rPr>
        <w:t>）制作清算报告；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）聘请会计师事务所对清算报告进行外部审计，聘请律师事务所对清算报告出具法律意见书；</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）将清算报告报中国证监会备案并公告；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w:t>
      </w:r>
      <w:r>
        <w:rPr>
          <w:rFonts w:hint="default" w:ascii="Times New Roman" w:hAnsi="Times New Roman" w:eastAsia="宋体" w:cs="Times New Roman"/>
          <w:bCs/>
          <w:kern w:val="2"/>
          <w:sz w:val="24"/>
          <w:szCs w:val="24"/>
          <w:lang w:val="en-US" w:eastAsia="zh-CN" w:bidi="ar"/>
        </w:rPr>
        <w:t>7</w:t>
      </w:r>
      <w:r>
        <w:rPr>
          <w:rFonts w:hint="eastAsia" w:ascii="宋体" w:hAnsi="宋体" w:eastAsia="宋体" w:cs="宋体"/>
          <w:bCs/>
          <w:kern w:val="2"/>
          <w:sz w:val="24"/>
          <w:szCs w:val="24"/>
          <w:lang w:val="en-US" w:eastAsia="zh-CN" w:bidi="ar"/>
        </w:rPr>
        <w:t>）对基金剩余财产进行分配。</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default" w:ascii="Times New Roman" w:hAnsi="Times New Roman" w:eastAsia="宋体" w:cs="Times New Roman"/>
          <w:bCs/>
          <w:kern w:val="2"/>
          <w:sz w:val="24"/>
          <w:szCs w:val="24"/>
          <w:lang w:val="en-US" w:eastAsia="zh-CN" w:bidi="ar"/>
        </w:rPr>
        <w:t>5</w:t>
      </w:r>
      <w:r>
        <w:rPr>
          <w:rFonts w:hint="eastAsia" w:ascii="宋体" w:hAnsi="宋体" w:eastAsia="宋体" w:cs="宋体"/>
          <w:bCs/>
          <w:kern w:val="2"/>
          <w:sz w:val="24"/>
          <w:szCs w:val="24"/>
          <w:lang w:val="en-US" w:eastAsia="zh-CN" w:bidi="ar"/>
        </w:rPr>
        <w:t>、基金财产清算的期限为</w:t>
      </w:r>
      <w:r>
        <w:rPr>
          <w:rFonts w:hint="default" w:ascii="Times New Roman" w:hAnsi="Times New Roman" w:eastAsia="宋体" w:cs="Times New Roman"/>
          <w:bCs/>
          <w:kern w:val="2"/>
          <w:sz w:val="24"/>
          <w:szCs w:val="24"/>
          <w:lang w:val="en-US" w:eastAsia="zh-CN" w:bidi="ar"/>
        </w:rPr>
        <w:t>6</w:t>
      </w:r>
      <w:r>
        <w:rPr>
          <w:rFonts w:hint="eastAsia" w:ascii="宋体" w:hAnsi="宋体" w:eastAsia="宋体" w:cs="宋体"/>
          <w:bCs/>
          <w:kern w:val="2"/>
          <w:sz w:val="24"/>
          <w:szCs w:val="24"/>
          <w:lang w:val="en-US" w:eastAsia="zh-CN" w:bidi="ar"/>
        </w:rPr>
        <w:t>个月，但因本基金所持证券的流动性受到限制而不能及时变现的，清算期限相应顺延。</w:t>
      </w:r>
    </w:p>
    <w:p>
      <w:pPr>
        <w:pStyle w:val="18"/>
        <w:keepNext w:val="0"/>
        <w:keepLines w:val="0"/>
        <w:widowControl w:val="0"/>
        <w:suppressLineNumbers w:val="0"/>
        <w:spacing w:before="0" w:beforeAutospacing="1" w:after="78" w:afterLines="0" w:afterAutospacing="0" w:line="360" w:lineRule="auto"/>
        <w:ind w:left="0" w:right="0" w:firstLine="482" w:firstLineChars="200"/>
        <w:jc w:val="both"/>
        <w:outlineLvl w:val="1"/>
        <w:rPr>
          <w:rFonts w:hint="eastAsia" w:ascii="宋体" w:hAnsi="宋体" w:eastAsia="宋体" w:cs="宋体"/>
          <w:b/>
          <w:bCs w:val="0"/>
          <w:kern w:val="2"/>
          <w:sz w:val="24"/>
          <w:szCs w:val="24"/>
        </w:rPr>
      </w:pPr>
      <w:r>
        <w:rPr>
          <w:rFonts w:hint="eastAsia" w:ascii="宋体" w:hAnsi="宋体" w:eastAsia="宋体" w:cs="宋体"/>
          <w:b/>
          <w:bCs w:val="0"/>
          <w:kern w:val="2"/>
          <w:sz w:val="24"/>
          <w:szCs w:val="24"/>
          <w:lang w:val="en-US" w:eastAsia="zh-CN" w:bidi="ar"/>
        </w:rPr>
        <w:t>八、争议解决方式</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争议处理期间，基金合同当事人应恪守各自的职责，继续忠实、勤勉、尽责地履行基金合同规定的义务，维护基金份额持有人的合法权益。</w:t>
      </w:r>
    </w:p>
    <w:p>
      <w:pPr>
        <w:keepNext w:val="0"/>
        <w:keepLines w:val="0"/>
        <w:widowControl w:val="0"/>
        <w:suppressLineNumbers w:val="0"/>
        <w:spacing w:before="0" w:beforeAutospacing="0" w:after="0" w:afterAutospacing="0" w:line="360" w:lineRule="auto"/>
        <w:ind w:left="0" w:right="0" w:firstLine="480" w:firstLineChars="200"/>
        <w:jc w:val="both"/>
        <w:rPr>
          <w:rFonts w:hint="default" w:ascii="Times New Roman" w:hAnsi="Times New Roman" w:cs="Times New Roman"/>
          <w:bCs/>
          <w:kern w:val="2"/>
          <w:sz w:val="24"/>
          <w:szCs w:val="24"/>
        </w:rPr>
      </w:pPr>
      <w:r>
        <w:rPr>
          <w:rFonts w:hint="eastAsia" w:ascii="宋体" w:hAnsi="宋体" w:eastAsia="宋体" w:cs="宋体"/>
          <w:bCs/>
          <w:kern w:val="2"/>
          <w:sz w:val="24"/>
          <w:szCs w:val="24"/>
          <w:lang w:val="en-US" w:eastAsia="zh-CN" w:bidi="ar"/>
        </w:rPr>
        <w:t>《基金合同》受</w:t>
      </w:r>
      <w:bookmarkStart w:id="0" w:name="_GoBack"/>
      <w:bookmarkEnd w:id="0"/>
      <w:r>
        <w:rPr>
          <w:rFonts w:hint="eastAsia" w:ascii="宋体" w:hAnsi="宋体" w:eastAsia="宋体" w:cs="宋体"/>
          <w:bCs/>
          <w:kern w:val="2"/>
          <w:sz w:val="24"/>
          <w:szCs w:val="24"/>
          <w:lang w:val="en-US" w:eastAsia="zh-CN" w:bidi="ar"/>
        </w:rPr>
        <w:t>中国法律（不含港澳台地区法律）管辖。</w:t>
      </w:r>
    </w:p>
    <w:p>
      <w:pPr>
        <w:pStyle w:val="18"/>
        <w:keepNext w:val="0"/>
        <w:keepLines w:val="0"/>
        <w:widowControl w:val="0"/>
        <w:suppressLineNumbers w:val="0"/>
        <w:spacing w:before="0" w:beforeAutospacing="1" w:after="78" w:afterLines="0" w:afterAutospacing="0" w:line="360" w:lineRule="auto"/>
        <w:ind w:left="0" w:right="0" w:firstLine="482" w:firstLineChars="200"/>
        <w:jc w:val="both"/>
        <w:outlineLvl w:val="1"/>
        <w:rPr>
          <w:rFonts w:hint="eastAsia" w:ascii="宋体" w:hAnsi="宋体" w:eastAsia="宋体" w:cs="宋体"/>
          <w:kern w:val="2"/>
          <w:sz w:val="24"/>
          <w:szCs w:val="24"/>
        </w:rPr>
      </w:pPr>
      <w:r>
        <w:rPr>
          <w:rFonts w:hint="eastAsia" w:ascii="宋体" w:hAnsi="宋体" w:eastAsia="宋体" w:cs="宋体"/>
          <w:b/>
          <w:bCs w:val="0"/>
          <w:kern w:val="2"/>
          <w:sz w:val="24"/>
          <w:szCs w:val="24"/>
          <w:lang w:val="en-US" w:eastAsia="zh-CN" w:bidi="ar"/>
        </w:rPr>
        <w:t>九、基金合同存放地和投资者取得基金合同的方式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bCs/>
          <w:kern w:val="2"/>
          <w:sz w:val="24"/>
          <w:szCs w:val="24"/>
          <w:lang w:bidi="ar"/>
        </w:rPr>
      </w:pPr>
      <w:r>
        <w:rPr>
          <w:rFonts w:hint="eastAsia" w:ascii="宋体" w:hAnsi="宋体" w:eastAsia="宋体" w:cs="宋体"/>
          <w:bCs/>
          <w:kern w:val="2"/>
          <w:sz w:val="24"/>
          <w:szCs w:val="24"/>
          <w:lang w:val="en-US" w:eastAsia="zh-CN" w:bidi="ar"/>
        </w:rPr>
        <w:t>《基金合同》正本一式三份，除上报有关监管机构一份外，基金管理人、基金托管人各持有一份，每份具有同等的法律效力。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cs="宋体"/>
          <w:bCs/>
          <w:sz w:val="24"/>
          <w:szCs w:val="24"/>
          <w:lang w:bidi="ar"/>
        </w:rPr>
      </w:pPr>
      <w:r>
        <w:rPr>
          <w:rFonts w:hint="eastAsia" w:ascii="宋体" w:hAnsi="宋体" w:eastAsia="宋体" w:cs="宋体"/>
          <w:bCs/>
          <w:kern w:val="2"/>
          <w:sz w:val="24"/>
          <w:szCs w:val="24"/>
          <w:lang w:val="en-US" w:eastAsia="zh-CN" w:bidi="ar"/>
        </w:rPr>
        <w:t>《基金合同》可印制成册，供投资者在基金管理人、基金托管人、销售机构的办公场所和营业场所查阅，但应以《基金合同》正本为准。</w:t>
      </w:r>
    </w:p>
    <w:p>
      <w:pPr>
        <w:spacing w:line="360" w:lineRule="auto"/>
        <w:ind w:firstLine="482" w:firstLineChars="200"/>
        <w:outlineLvl w:val="1"/>
        <w:rPr>
          <w:rFonts w:hAnsi="宋体"/>
          <w:b/>
          <w:sz w:val="24"/>
          <w:szCs w:val="24"/>
        </w:rPr>
      </w:pPr>
    </w:p>
    <w:p>
      <w:pPr>
        <w:spacing w:line="360" w:lineRule="auto"/>
        <w:ind w:firstLine="482" w:firstLineChars="200"/>
        <w:outlineLvl w:val="1"/>
        <w:rPr>
          <w:rFonts w:hAnsi="宋体"/>
          <w:b/>
          <w:sz w:val="24"/>
          <w:szCs w:val="24"/>
        </w:rPr>
      </w:pPr>
    </w:p>
    <w:p>
      <w:pPr>
        <w:spacing w:line="360" w:lineRule="auto"/>
        <w:ind w:firstLine="420" w:firstLineChars="200"/>
        <w:rPr>
          <w:rFonts w:asciiTheme="minorEastAsia" w:hAnsiTheme="minorEastAsia" w:eastAsiaTheme="minorEastAsia"/>
        </w:rPr>
      </w:pP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001407"/>
      <w:docPartObj>
        <w:docPartGallery w:val="autotext"/>
      </w:docPartObj>
    </w:sdtPr>
    <w:sdtContent>
      <w:p>
        <w:pPr>
          <w:pStyle w:val="13"/>
          <w:jc w:val="center"/>
        </w:pPr>
        <w:r>
          <w:fldChar w:fldCharType="begin"/>
        </w:r>
        <w:r>
          <w:instrText xml:space="preserve">PAGE   \* MERGEFORMAT</w:instrText>
        </w:r>
        <w:r>
          <w:fldChar w:fldCharType="separate"/>
        </w:r>
        <w:r>
          <w:rPr>
            <w:lang w:val="zh-CN"/>
          </w:rPr>
          <w:t>20</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r>
      <w:rPr>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交银施罗德启嘉混合型证券投资基金基金合同摘要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49"/>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C753580"/>
    <w:multiLevelType w:val="multilevel"/>
    <w:tmpl w:val="3C753580"/>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BA36386"/>
    <w:rsid w:val="4CDC7AE6"/>
    <w:rsid w:val="54952386"/>
    <w:rsid w:val="614302E0"/>
    <w:rsid w:val="723E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0"/>
    <w:qFormat/>
    <w:uiPriority w:val="0"/>
    <w:pPr>
      <w:jc w:val="left"/>
    </w:pPr>
  </w:style>
  <w:style w:type="paragraph" w:styleId="8">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qFormat/>
    <w:uiPriority w:val="0"/>
    <w:pPr>
      <w:ind w:left="840" w:leftChars="400"/>
    </w:pPr>
  </w:style>
  <w:style w:type="paragraph" w:styleId="10">
    <w:name w:val="Plain Text"/>
    <w:basedOn w:val="1"/>
    <w:link w:val="51"/>
    <w:qFormat/>
    <w:uiPriority w:val="99"/>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7"/>
    <w:qFormat/>
    <w:uiPriority w:val="99"/>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link w:val="74"/>
    <w:qFormat/>
    <w:uiPriority w:val="99"/>
    <w:rPr>
      <w:b/>
    </w:rPr>
  </w:style>
  <w:style w:type="paragraph" w:styleId="21">
    <w:name w:val="Body Text First Indent"/>
    <w:basedOn w:val="8"/>
    <w:link w:val="48"/>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qFormat/>
    <w:uiPriority w:val="0"/>
  </w:style>
  <w:style w:type="character" w:styleId="25">
    <w:name w:val="Hyperlink"/>
    <w:qFormat/>
    <w:uiPriority w:val="0"/>
    <w:rPr>
      <w:color w:val="0000FF"/>
      <w:u w:val="single"/>
    </w:rPr>
  </w:style>
  <w:style w:type="character" w:styleId="26">
    <w:name w:val="annotation reference"/>
    <w:qFormat/>
    <w:uiPriority w:val="99"/>
    <w:rPr>
      <w:sz w:val="21"/>
    </w:rPr>
  </w:style>
  <w:style w:type="character" w:styleId="27">
    <w:name w:val="footnote reference"/>
    <w:qFormat/>
    <w:uiPriority w:val="0"/>
    <w:rPr>
      <w:vertAlign w:val="superscript"/>
    </w:rPr>
  </w:style>
  <w:style w:type="character" w:customStyle="1" w:styleId="28">
    <w:name w:val="正文文本 Char"/>
    <w:link w:val="8"/>
    <w:qFormat/>
    <w:uiPriority w:val="0"/>
    <w:rPr>
      <w:rFonts w:ascii="宋体"/>
      <w:kern w:val="0"/>
    </w:rPr>
  </w:style>
  <w:style w:type="character" w:customStyle="1" w:styleId="29">
    <w:name w:val="unnamed11"/>
    <w:qFormat/>
    <w:uiPriority w:val="0"/>
    <w:rPr>
      <w:rFonts w:hint="eastAsia" w:ascii="宋体" w:hAnsi="宋体" w:eastAsia="宋体"/>
      <w:sz w:val="18"/>
    </w:rPr>
  </w:style>
  <w:style w:type="character" w:customStyle="1" w:styleId="30">
    <w:name w:val="标题 Char"/>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character" w:customStyle="1" w:styleId="32">
    <w:name w:val="read"/>
    <w:basedOn w:val="23"/>
    <w:qFormat/>
    <w:uiPriority w:val="0"/>
  </w:style>
  <w:style w:type="paragraph" w:customStyle="1" w:styleId="33">
    <w:name w:val="Char Char"/>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List_bullet"/>
    <w:basedOn w:val="1"/>
    <w:qFormat/>
    <w:uiPriority w:val="0"/>
    <w:pPr>
      <w:widowControl/>
      <w:tabs>
        <w:tab w:val="left" w:pos="360"/>
      </w:tabs>
      <w:ind w:left="360" w:hanging="360"/>
      <w:jc w:val="left"/>
    </w:pPr>
    <w:rPr>
      <w:kern w:val="0"/>
      <w:sz w:val="24"/>
    </w:rPr>
  </w:style>
  <w:style w:type="paragraph" w:customStyle="1" w:styleId="3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正文"/>
    <w:basedOn w:val="1"/>
    <w:qFormat/>
    <w:uiPriority w:val="0"/>
    <w:pPr>
      <w:spacing w:afterLines="25" w:line="360" w:lineRule="auto"/>
      <w:ind w:firstLine="200" w:firstLineChars="200"/>
    </w:pPr>
    <w:rPr>
      <w:sz w:val="24"/>
    </w:rPr>
  </w:style>
  <w:style w:type="paragraph" w:customStyle="1" w:styleId="39">
    <w:name w:val="Char"/>
    <w:basedOn w:val="1"/>
    <w:qFormat/>
    <w:uiPriority w:val="0"/>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
    <w:basedOn w:val="1"/>
    <w:qFormat/>
    <w:uiPriority w:val="0"/>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修订1"/>
    <w:hidden/>
    <w:semiHidden/>
    <w:qFormat/>
    <w:uiPriority w:val="99"/>
    <w:rPr>
      <w:rFonts w:ascii="Times New Roman" w:hAnsi="Times New Roman" w:eastAsia="宋体" w:cs="Times New Roman"/>
      <w:kern w:val="2"/>
      <w:sz w:val="21"/>
      <w:lang w:val="en-US" w:eastAsia="zh-CN" w:bidi="ar-SA"/>
    </w:rPr>
  </w:style>
  <w:style w:type="character" w:customStyle="1" w:styleId="47">
    <w:name w:val="页脚 Char1"/>
    <w:link w:val="13"/>
    <w:qFormat/>
    <w:uiPriority w:val="99"/>
    <w:rPr>
      <w:kern w:val="2"/>
      <w:sz w:val="18"/>
    </w:rPr>
  </w:style>
  <w:style w:type="character" w:customStyle="1" w:styleId="48">
    <w:name w:val="正文首行缩进 Char"/>
    <w:link w:val="21"/>
    <w:qFormat/>
    <w:uiPriority w:val="0"/>
    <w:rPr>
      <w:rFonts w:ascii="宋体"/>
      <w:kern w:val="2"/>
      <w:sz w:val="21"/>
    </w:rPr>
  </w:style>
  <w:style w:type="paragraph" w:customStyle="1" w:styleId="49">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0">
    <w:name w:val="批注文字 Char"/>
    <w:link w:val="7"/>
    <w:qFormat/>
    <w:uiPriority w:val="0"/>
    <w:rPr>
      <w:kern w:val="2"/>
      <w:sz w:val="21"/>
    </w:rPr>
  </w:style>
  <w:style w:type="character" w:customStyle="1" w:styleId="51">
    <w:name w:val="纯文本 Char"/>
    <w:basedOn w:val="23"/>
    <w:link w:val="10"/>
    <w:qFormat/>
    <w:uiPriority w:val="99"/>
    <w:rPr>
      <w:rFonts w:ascii="宋体" w:hAnsi="Courier New"/>
      <w:sz w:val="21"/>
    </w:rPr>
  </w:style>
  <w:style w:type="paragraph" w:customStyle="1" w:styleId="52">
    <w:name w:val="列出段落1"/>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HTML 预设格式1"/>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56">
    <w:name w:val="修订11"/>
    <w:qFormat/>
    <w:uiPriority w:val="0"/>
    <w:rPr>
      <w:rFonts w:ascii="Times New Roman" w:hAnsi="Times New Roman" w:eastAsia="宋体" w:cs="Times New Roman"/>
      <w:kern w:val="2"/>
      <w:sz w:val="21"/>
      <w:lang w:val="en-US" w:eastAsia="zh-CN" w:bidi="ar-SA"/>
    </w:rPr>
  </w:style>
  <w:style w:type="paragraph" w:customStyle="1" w:styleId="57">
    <w:name w:val="正文文本缩进 31"/>
    <w:basedOn w:val="1"/>
    <w:qFormat/>
    <w:uiPriority w:val="0"/>
    <w:pPr>
      <w:autoSpaceDE w:val="0"/>
      <w:autoSpaceDN w:val="0"/>
      <w:adjustRightInd w:val="0"/>
      <w:spacing w:line="360" w:lineRule="auto"/>
      <w:ind w:left="420" w:firstLine="435"/>
    </w:pPr>
    <w:rPr>
      <w:color w:val="0000FF"/>
    </w:rPr>
  </w:style>
  <w:style w:type="paragraph" w:customStyle="1" w:styleId="58">
    <w:name w:val="正文文本缩进 21"/>
    <w:basedOn w:val="1"/>
    <w:qFormat/>
    <w:uiPriority w:val="0"/>
    <w:pPr>
      <w:spacing w:line="360" w:lineRule="auto"/>
      <w:ind w:firstLine="425"/>
    </w:pPr>
    <w:rPr>
      <w:rFonts w:ascii="仿宋_GB2312" w:eastAsia="仿宋_GB2312"/>
      <w:sz w:val="28"/>
    </w:rPr>
  </w:style>
  <w:style w:type="paragraph" w:customStyle="1" w:styleId="59">
    <w:name w:val="修订2"/>
    <w:qFormat/>
    <w:uiPriority w:val="0"/>
    <w:rPr>
      <w:rFonts w:ascii="Times New Roman" w:hAnsi="Times New Roman" w:eastAsia="宋体" w:cs="Times New Roman"/>
      <w:kern w:val="2"/>
      <w:sz w:val="21"/>
      <w:lang w:val="en-US" w:eastAsia="zh-CN" w:bidi="ar-SA"/>
    </w:rPr>
  </w:style>
  <w:style w:type="paragraph" w:customStyle="1" w:styleId="60">
    <w:name w:val="纯文本1"/>
    <w:basedOn w:val="1"/>
    <w:qFormat/>
    <w:uiPriority w:val="0"/>
    <w:pPr>
      <w:adjustRightInd w:val="0"/>
      <w:spacing w:line="312" w:lineRule="atLeast"/>
      <w:textAlignment w:val="baseline"/>
    </w:pPr>
    <w:rPr>
      <w:rFonts w:ascii="宋体" w:hAnsi="Courier New"/>
      <w:kern w:val="0"/>
    </w:rPr>
  </w:style>
  <w:style w:type="paragraph" w:customStyle="1" w:styleId="61">
    <w:name w:val="批注主题1"/>
    <w:basedOn w:val="7"/>
    <w:next w:val="7"/>
    <w:qFormat/>
    <w:uiPriority w:val="0"/>
    <w:rPr>
      <w:b/>
    </w:rPr>
  </w:style>
  <w:style w:type="paragraph" w:customStyle="1" w:styleId="62">
    <w:name w:val="Char2"/>
    <w:basedOn w:val="1"/>
    <w:qFormat/>
    <w:uiPriority w:val="0"/>
  </w:style>
  <w:style w:type="paragraph" w:customStyle="1" w:styleId="63">
    <w:name w:val="正文首行缩进1"/>
    <w:basedOn w:val="8"/>
    <w:qFormat/>
    <w:uiPriority w:val="0"/>
    <w:pPr>
      <w:adjustRightInd/>
      <w:spacing w:after="120" w:line="240" w:lineRule="auto"/>
      <w:ind w:firstLine="420" w:firstLineChars="100"/>
      <w:jc w:val="both"/>
    </w:pPr>
    <w:rPr>
      <w:kern w:val="2"/>
      <w:sz w:val="21"/>
    </w:rPr>
  </w:style>
  <w:style w:type="paragraph" w:customStyle="1" w:styleId="64">
    <w:name w:val="文档结构图1"/>
    <w:basedOn w:val="1"/>
    <w:link w:val="68"/>
    <w:qFormat/>
    <w:uiPriority w:val="0"/>
    <w:rPr>
      <w:rFonts w:ascii="宋体"/>
      <w:sz w:val="18"/>
      <w:szCs w:val="18"/>
    </w:rPr>
  </w:style>
  <w:style w:type="paragraph" w:customStyle="1" w:styleId="65">
    <w:name w:val="批注主题2"/>
    <w:basedOn w:val="7"/>
    <w:next w:val="7"/>
    <w:link w:val="69"/>
    <w:qFormat/>
    <w:uiPriority w:val="0"/>
    <w:rPr>
      <w:b/>
      <w:bCs/>
    </w:rPr>
  </w:style>
  <w:style w:type="paragraph" w:customStyle="1" w:styleId="66">
    <w:name w:val="文档结构图11"/>
    <w:basedOn w:val="1"/>
    <w:qFormat/>
    <w:uiPriority w:val="0"/>
    <w:pPr>
      <w:shd w:val="clear" w:color="auto" w:fill="000080"/>
    </w:p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character" w:customStyle="1" w:styleId="68">
    <w:name w:val="文档结构图 Char"/>
    <w:link w:val="64"/>
    <w:qFormat/>
    <w:uiPriority w:val="0"/>
    <w:rPr>
      <w:rFonts w:ascii="宋体"/>
      <w:kern w:val="2"/>
      <w:sz w:val="18"/>
      <w:szCs w:val="18"/>
    </w:rPr>
  </w:style>
  <w:style w:type="character" w:customStyle="1" w:styleId="69">
    <w:name w:val="批注主题 Char"/>
    <w:link w:val="65"/>
    <w:qFormat/>
    <w:uiPriority w:val="0"/>
    <w:rPr>
      <w:b/>
      <w:bCs/>
      <w:kern w:val="2"/>
      <w:sz w:val="21"/>
    </w:rPr>
  </w:style>
  <w:style w:type="character" w:customStyle="1" w:styleId="70">
    <w:name w:val="HTML 预设格式 Char"/>
    <w:link w:val="54"/>
    <w:qFormat/>
    <w:uiPriority w:val="0"/>
    <w:rPr>
      <w:rFonts w:ascii="宋体" w:hAnsi="宋体"/>
      <w:sz w:val="24"/>
      <w:szCs w:val="24"/>
    </w:rPr>
  </w:style>
  <w:style w:type="character" w:customStyle="1" w:styleId="71">
    <w:name w:val="批注引用1"/>
    <w:qFormat/>
    <w:uiPriority w:val="0"/>
    <w:rPr>
      <w:sz w:val="21"/>
    </w:rPr>
  </w:style>
  <w:style w:type="character" w:customStyle="1" w:styleId="72">
    <w:name w:val="批注引用2"/>
    <w:qFormat/>
    <w:uiPriority w:val="0"/>
    <w:rPr>
      <w:sz w:val="21"/>
      <w:szCs w:val="21"/>
    </w:rPr>
  </w:style>
  <w:style w:type="character" w:customStyle="1" w:styleId="73">
    <w:name w:val="页码1"/>
    <w:basedOn w:val="23"/>
    <w:qFormat/>
    <w:uiPriority w:val="0"/>
  </w:style>
  <w:style w:type="character" w:customStyle="1" w:styleId="74">
    <w:name w:val="批注主题 Char1"/>
    <w:basedOn w:val="50"/>
    <w:link w:val="20"/>
    <w:qFormat/>
    <w:uiPriority w:val="99"/>
    <w:rPr>
      <w:b/>
      <w:kern w:val="2"/>
      <w:sz w:val="21"/>
    </w:rPr>
  </w:style>
  <w:style w:type="paragraph" w:customStyle="1" w:styleId="75">
    <w:name w:val="修订4"/>
    <w:hidden/>
    <w:semiHidden/>
    <w:qFormat/>
    <w:uiPriority w:val="99"/>
    <w:rPr>
      <w:rFonts w:ascii="Times New Roman" w:hAnsi="Times New Roman" w:eastAsia="宋体" w:cs="Times New Roman"/>
      <w:kern w:val="2"/>
      <w:sz w:val="21"/>
      <w:lang w:val="en-US" w:eastAsia="zh-CN" w:bidi="ar-SA"/>
    </w:rPr>
  </w:style>
  <w:style w:type="character" w:customStyle="1" w:styleId="76">
    <w:name w:val="页眉 Char"/>
    <w:qFormat/>
    <w:uiPriority w:val="0"/>
    <w:rPr>
      <w:rFonts w:eastAsia="宋体"/>
      <w:kern w:val="2"/>
      <w:sz w:val="18"/>
      <w:lang w:val="en-US" w:eastAsia="zh-CN"/>
    </w:rPr>
  </w:style>
  <w:style w:type="character" w:customStyle="1" w:styleId="77">
    <w:name w:val="页脚 Char"/>
    <w:qFormat/>
    <w:uiPriority w:val="99"/>
    <w:rPr>
      <w:kern w:val="2"/>
      <w:sz w:val="18"/>
    </w:rPr>
  </w:style>
  <w:style w:type="character" w:customStyle="1" w:styleId="78">
    <w:name w:val="页脚 字符"/>
    <w:qFormat/>
    <w:uiPriority w:val="99"/>
    <w:rPr>
      <w:kern w:val="2"/>
      <w:sz w:val="18"/>
    </w:rPr>
  </w:style>
  <w:style w:type="character" w:customStyle="1" w:styleId="79">
    <w:name w:val="页眉 字符"/>
    <w:qFormat/>
    <w:uiPriority w:val="0"/>
    <w:rPr>
      <w:rFonts w:eastAsia="宋体"/>
      <w:kern w:val="2"/>
      <w:sz w:val="18"/>
      <w:lang w:val="en-US" w:eastAsia="zh-CN"/>
    </w:rPr>
  </w:style>
  <w:style w:type="character" w:customStyle="1" w:styleId="80">
    <w:name w:val="15"/>
    <w:basedOn w:val="23"/>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4DD0A-0D22-469A-915F-E78954DFCFF4}">
  <ds:schemaRefs/>
</ds:datastoreItem>
</file>

<file path=customXml/itemProps3.xml><?xml version="1.0" encoding="utf-8"?>
<ds:datastoreItem xmlns:ds="http://schemas.openxmlformats.org/officeDocument/2006/customXml" ds:itemID="{D51E5AA3-4163-41CA-BC7E-D56C513A7AB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3488</Words>
  <Characters>19886</Characters>
  <Lines>1</Lines>
  <Paragraphs>1</Paragraphs>
  <TotalTime>6</TotalTime>
  <ScaleCrop>false</ScaleCrop>
  <LinksUpToDate>false</LinksUpToDate>
  <CharactersWithSpaces>23328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2023-01-30T02:31:00Z</dcterms:created>
  <dc:creator>zhangminjun</dc:creator>
  <cp:lastModifiedBy>喻秋燕0620</cp:lastModifiedBy>
  <dcterms:modified xsi:type="dcterms:W3CDTF">2023-06-20T02:55:09Z</dcterms:modified>
  <dc:title>___证券投资基金招募说明书1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