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32"/>
        </w:rPr>
      </w:pPr>
    </w:p>
    <w:p>
      <w:pPr>
        <w:spacing w:line="360" w:lineRule="auto"/>
        <w:rPr>
          <w:sz w:val="32"/>
        </w:rPr>
      </w:pPr>
    </w:p>
    <w:p>
      <w:pPr>
        <w:spacing w:line="360" w:lineRule="auto"/>
        <w:rPr>
          <w:sz w:val="32"/>
        </w:rPr>
      </w:pPr>
    </w:p>
    <w:p>
      <w:pPr>
        <w:spacing w:line="360" w:lineRule="auto"/>
        <w:jc w:val="center"/>
        <w:rPr>
          <w:sz w:val="32"/>
        </w:rPr>
      </w:pPr>
      <w: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spacing w:line="360" w:lineRule="auto"/>
        <w:jc w:val="center"/>
        <w:rPr>
          <w:b/>
          <w:sz w:val="32"/>
        </w:rPr>
      </w:pPr>
    </w:p>
    <w:p>
      <w:pPr>
        <w:spacing w:line="360" w:lineRule="auto"/>
        <w:jc w:val="center"/>
        <w:rPr>
          <w:b/>
          <w:sz w:val="32"/>
        </w:rPr>
      </w:pPr>
    </w:p>
    <w:p>
      <w:pPr>
        <w:spacing w:line="360" w:lineRule="auto"/>
        <w:rPr>
          <w:b/>
          <w:sz w:val="44"/>
        </w:rPr>
      </w:pPr>
    </w:p>
    <w:p>
      <w:pPr>
        <w:adjustRightInd w:val="0"/>
        <w:snapToGrid w:val="0"/>
        <w:spacing w:line="360" w:lineRule="auto"/>
        <w:jc w:val="center"/>
        <w:rPr>
          <w:rFonts w:hAnsi="宋体"/>
          <w:b/>
          <w:sz w:val="44"/>
        </w:rPr>
      </w:pPr>
      <w:r>
        <w:rPr>
          <w:rFonts w:hAnsi="宋体"/>
          <w:b/>
          <w:sz w:val="44"/>
        </w:rPr>
        <w:t>交银施罗德</w:t>
      </w:r>
      <w:r>
        <w:rPr>
          <w:rFonts w:hint="eastAsia" w:hAnsi="宋体"/>
          <w:b/>
          <w:sz w:val="44"/>
        </w:rPr>
        <w:t>启盛</w:t>
      </w:r>
      <w:r>
        <w:rPr>
          <w:rFonts w:hAnsi="宋体"/>
          <w:b/>
          <w:sz w:val="44"/>
        </w:rPr>
        <w:t>混合型证券投资基金</w:t>
      </w:r>
    </w:p>
    <w:p>
      <w:pPr>
        <w:adjustRightInd w:val="0"/>
        <w:snapToGrid w:val="0"/>
        <w:spacing w:line="360" w:lineRule="auto"/>
        <w:jc w:val="center"/>
        <w:rPr>
          <w:sz w:val="24"/>
        </w:rPr>
      </w:pPr>
      <w:r>
        <w:rPr>
          <w:rFonts w:hAnsi="宋体"/>
          <w:b/>
          <w:sz w:val="44"/>
        </w:rPr>
        <w:t>招募说明书</w:t>
      </w: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ind w:left="1978" w:leftChars="942"/>
        <w:rPr>
          <w:b/>
          <w:sz w:val="28"/>
        </w:rPr>
      </w:pPr>
      <w:r>
        <w:rPr>
          <w:rFonts w:hAnsi="宋体"/>
          <w:b/>
          <w:sz w:val="28"/>
        </w:rPr>
        <w:t>基金管理人：交银施罗德基金管理有限公司</w:t>
      </w:r>
    </w:p>
    <w:p>
      <w:pPr>
        <w:spacing w:line="360" w:lineRule="auto"/>
        <w:ind w:left="1978" w:leftChars="942"/>
        <w:rPr>
          <w:b/>
          <w:sz w:val="28"/>
        </w:rPr>
      </w:pPr>
      <w:r>
        <w:rPr>
          <w:rFonts w:hAnsi="宋体"/>
          <w:b/>
          <w:sz w:val="28"/>
        </w:rPr>
        <w:t>基金托管人：</w:t>
      </w:r>
      <w:r>
        <w:rPr>
          <w:rFonts w:hint="eastAsia" w:hAnsi="宋体"/>
          <w:b/>
          <w:sz w:val="28"/>
        </w:rPr>
        <w:t>上海浦东发展银行股份有限公司</w:t>
      </w:r>
    </w:p>
    <w:p>
      <w:pPr>
        <w:widowControl/>
        <w:spacing w:line="360" w:lineRule="auto"/>
        <w:ind w:firstLine="420" w:firstLineChars="200"/>
        <w:rPr>
          <w:rFonts w:ascii="宋体" w:hAnsi="宋体"/>
          <w:kern w:val="0"/>
        </w:rPr>
      </w:pPr>
    </w:p>
    <w:p>
      <w:pPr>
        <w:widowControl/>
        <w:spacing w:line="360" w:lineRule="auto"/>
        <w:ind w:firstLine="420" w:firstLineChars="200"/>
        <w:rPr>
          <w:rFonts w:ascii="宋体" w:hAnsi="宋体"/>
          <w:kern w:val="0"/>
        </w:rPr>
      </w:pPr>
    </w:p>
    <w:p>
      <w:pPr>
        <w:autoSpaceDE w:val="0"/>
        <w:autoSpaceDN w:val="0"/>
        <w:spacing w:line="360" w:lineRule="auto"/>
        <w:ind w:left="2996" w:hanging="2996"/>
        <w:jc w:val="center"/>
        <w:textAlignment w:val="bottom"/>
        <w:rPr>
          <w:rFonts w:hAnsi="宋体"/>
          <w:b/>
          <w:sz w:val="28"/>
        </w:rPr>
      </w:pPr>
      <w:r>
        <w:rPr>
          <w:rFonts w:hAnsi="宋体"/>
          <w:b/>
          <w:sz w:val="28"/>
        </w:rPr>
        <w:t>二〇二</w:t>
      </w:r>
      <w:r>
        <w:rPr>
          <w:rFonts w:hint="eastAsia" w:hAnsi="宋体"/>
          <w:b/>
          <w:sz w:val="28"/>
        </w:rPr>
        <w:t>三</w:t>
      </w:r>
      <w:r>
        <w:rPr>
          <w:rFonts w:hAnsi="宋体"/>
          <w:b/>
          <w:sz w:val="28"/>
        </w:rPr>
        <w:t>年</w:t>
      </w:r>
      <w:r>
        <w:rPr>
          <w:rFonts w:hint="eastAsia" w:hAnsi="宋体"/>
          <w:b/>
          <w:sz w:val="28"/>
        </w:rPr>
        <w:t>二</w:t>
      </w:r>
      <w:r>
        <w:rPr>
          <w:rFonts w:hAnsi="宋体"/>
          <w:b/>
          <w:sz w:val="28"/>
        </w:rPr>
        <w:t>月</w:t>
      </w:r>
    </w:p>
    <w:p>
      <w:pPr>
        <w:autoSpaceDE w:val="0"/>
        <w:autoSpaceDN w:val="0"/>
        <w:spacing w:line="360" w:lineRule="auto"/>
        <w:ind w:left="2996" w:hanging="2996"/>
        <w:jc w:val="center"/>
        <w:textAlignment w:val="bottom"/>
        <w:rPr>
          <w:b/>
          <w:sz w:val="24"/>
        </w:rPr>
      </w:pPr>
    </w:p>
    <w:p>
      <w:pPr>
        <w:widowControl/>
        <w:spacing w:line="360" w:lineRule="auto"/>
        <w:jc w:val="left"/>
        <w:rPr>
          <w:rFonts w:hAnsi="宋体"/>
          <w:kern w:val="0"/>
        </w:rPr>
      </w:pPr>
    </w:p>
    <w:p>
      <w:pPr>
        <w:widowControl/>
        <w:spacing w:line="360" w:lineRule="auto"/>
        <w:jc w:val="left"/>
        <w:rPr>
          <w:kern w:val="0"/>
        </w:rPr>
      </w:pPr>
    </w:p>
    <w:p>
      <w:pPr>
        <w:widowControl/>
        <w:spacing w:line="360" w:lineRule="auto"/>
        <w:jc w:val="center"/>
        <w:rPr>
          <w:rFonts w:ascii="宋体" w:hAnsi="宋体"/>
          <w:b/>
          <w:kern w:val="0"/>
          <w:sz w:val="30"/>
        </w:rPr>
      </w:pPr>
      <w:r>
        <w:rPr>
          <w:rFonts w:hint="eastAsia" w:ascii="宋体" w:hAnsi="宋体"/>
          <w:b/>
          <w:kern w:val="0"/>
          <w:sz w:val="30"/>
        </w:rPr>
        <w:t>【</w:t>
      </w:r>
      <w:r>
        <w:rPr>
          <w:rFonts w:ascii="宋体" w:hAnsi="宋体"/>
          <w:b/>
          <w:kern w:val="0"/>
          <w:sz w:val="30"/>
        </w:rPr>
        <w:t>重要提示】</w:t>
      </w:r>
    </w:p>
    <w:p>
      <w:pPr>
        <w:widowControl/>
        <w:adjustRightInd w:val="0"/>
        <w:snapToGrid w:val="0"/>
        <w:spacing w:line="360" w:lineRule="auto"/>
        <w:ind w:firstLine="480" w:firstLineChars="200"/>
        <w:rPr>
          <w:kern w:val="0"/>
          <w:sz w:val="24"/>
        </w:rPr>
      </w:pPr>
      <w:r>
        <w:rPr>
          <w:kern w:val="0"/>
          <w:sz w:val="24"/>
        </w:rPr>
        <w:t>交银施罗德</w:t>
      </w:r>
      <w:r>
        <w:rPr>
          <w:rFonts w:hint="eastAsia"/>
          <w:kern w:val="0"/>
          <w:sz w:val="24"/>
        </w:rPr>
        <w:t>启盛</w:t>
      </w:r>
      <w:r>
        <w:rPr>
          <w:kern w:val="0"/>
          <w:sz w:val="24"/>
        </w:rPr>
        <w:t>混合型证券投资基金（以下简称</w:t>
      </w:r>
      <w:r>
        <w:rPr>
          <w:rFonts w:ascii="宋体" w:hAnsi="宋体"/>
          <w:kern w:val="0"/>
          <w:sz w:val="24"/>
        </w:rPr>
        <w:t>“本基金”</w:t>
      </w:r>
      <w:r>
        <w:rPr>
          <w:rFonts w:hAnsi="宋体"/>
          <w:kern w:val="0"/>
          <w:sz w:val="24"/>
        </w:rPr>
        <w:t>）经</w:t>
      </w:r>
      <w:r>
        <w:rPr>
          <w:rFonts w:hint="eastAsia"/>
          <w:kern w:val="0"/>
          <w:sz w:val="24"/>
        </w:rPr>
        <w:t>2022年10月24日</w:t>
      </w:r>
      <w:r>
        <w:rPr>
          <w:rFonts w:hAnsi="宋体"/>
          <w:kern w:val="0"/>
          <w:sz w:val="24"/>
        </w:rPr>
        <w:t>中国证券监督管理委员会（以下简称</w:t>
      </w:r>
      <w:r>
        <w:rPr>
          <w:rFonts w:ascii="宋体" w:hAnsi="宋体"/>
          <w:kern w:val="0"/>
          <w:sz w:val="24"/>
        </w:rPr>
        <w:t>“中国证监会”</w:t>
      </w:r>
      <w:r>
        <w:rPr>
          <w:rFonts w:hAnsi="宋体"/>
          <w:kern w:val="0"/>
          <w:sz w:val="24"/>
        </w:rPr>
        <w:t>）证监许可【</w:t>
      </w:r>
      <w:r>
        <w:rPr>
          <w:kern w:val="0"/>
          <w:sz w:val="24"/>
        </w:rPr>
        <w:t>20</w:t>
      </w:r>
      <w:r>
        <w:rPr>
          <w:rFonts w:hint="eastAsia"/>
          <w:kern w:val="0"/>
          <w:sz w:val="24"/>
        </w:rPr>
        <w:t>22</w:t>
      </w:r>
      <w:r>
        <w:rPr>
          <w:rFonts w:hAnsi="宋体"/>
          <w:kern w:val="0"/>
          <w:sz w:val="24"/>
        </w:rPr>
        <w:t>】</w:t>
      </w:r>
      <w:r>
        <w:rPr>
          <w:rFonts w:hint="eastAsia" w:hAnsi="宋体"/>
          <w:kern w:val="0"/>
          <w:sz w:val="24"/>
        </w:rPr>
        <w:t>2550</w:t>
      </w:r>
      <w:r>
        <w:rPr>
          <w:rFonts w:hAnsi="宋体"/>
          <w:kern w:val="0"/>
          <w:sz w:val="24"/>
        </w:rPr>
        <w:t>号文</w:t>
      </w:r>
      <w:r>
        <w:rPr>
          <w:rFonts w:hint="eastAsia" w:hAnsi="宋体"/>
          <w:kern w:val="0"/>
          <w:sz w:val="24"/>
        </w:rPr>
        <w:t>准予</w:t>
      </w:r>
      <w:r>
        <w:rPr>
          <w:rFonts w:hAnsi="宋体"/>
          <w:kern w:val="0"/>
          <w:sz w:val="24"/>
        </w:rPr>
        <w:t>募集</w:t>
      </w:r>
      <w:r>
        <w:rPr>
          <w:rFonts w:hint="eastAsia" w:hAnsi="宋体"/>
          <w:kern w:val="0"/>
          <w:sz w:val="24"/>
        </w:rPr>
        <w:t>注册</w:t>
      </w:r>
      <w:r>
        <w:rPr>
          <w:rFonts w:hAnsi="宋体"/>
          <w:kern w:val="0"/>
          <w:sz w:val="24"/>
        </w:rPr>
        <w:t>。</w:t>
      </w:r>
    </w:p>
    <w:p>
      <w:pPr>
        <w:widowControl/>
        <w:adjustRightInd w:val="0"/>
        <w:snapToGrid w:val="0"/>
        <w:spacing w:line="360" w:lineRule="auto"/>
        <w:ind w:firstLine="480" w:firstLineChars="20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pPr>
        <w:widowControl/>
        <w:adjustRightInd w:val="0"/>
        <w:snapToGrid w:val="0"/>
        <w:spacing w:line="360" w:lineRule="auto"/>
        <w:ind w:firstLine="480" w:firstLineChars="20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pPr>
        <w:widowControl/>
        <w:adjustRightInd w:val="0"/>
        <w:snapToGrid w:val="0"/>
        <w:spacing w:line="360" w:lineRule="auto"/>
        <w:ind w:firstLine="480" w:firstLineChars="20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hint="eastAsia" w:ascii="宋体" w:hAnsi="宋体"/>
          <w:kern w:val="0"/>
          <w:sz w:val="24"/>
        </w:rPr>
        <w:t>市场风险；基金管理人在基金管理运作过程中产生的基金管理风险；流动性风险（包括实施</w:t>
      </w:r>
      <w:r>
        <w:rPr>
          <w:rFonts w:ascii="宋体" w:hAnsi="宋体"/>
          <w:kern w:val="0"/>
          <w:sz w:val="24"/>
        </w:rPr>
        <w:t>侧袋机制时的特定风险）</w:t>
      </w:r>
      <w:r>
        <w:rPr>
          <w:rFonts w:hint="eastAsia" w:ascii="宋体" w:hAnsi="宋体"/>
          <w:kern w:val="0"/>
          <w:sz w:val="24"/>
        </w:rPr>
        <w:t>；信用风险；投资股指期货的特定风险；投资资产支持证券的特定风险；投资流通受限证券的特定风险；投资港股通标的股票的特定风险；投资存托凭证的特定风险；连续50个工作日出现基金份额持有人数量不满200人或基金资产净值低于5000万元情形时基金合同终止的风险；投资本基金的其他风险等等</w:t>
      </w:r>
      <w:r>
        <w:rPr>
          <w:kern w:val="0"/>
          <w:sz w:val="24"/>
        </w:rPr>
        <w:t>。</w:t>
      </w:r>
      <w:r>
        <w:rPr>
          <w:rFonts w:hint="eastAsia"/>
          <w:kern w:val="0"/>
          <w:sz w:val="24"/>
        </w:rPr>
        <w:t>本基金是一只混合型基金，其预期风险和预期收益理论上高于债券型基金和货币市场基金，低于股票型基金。</w:t>
      </w:r>
    </w:p>
    <w:p>
      <w:pPr>
        <w:widowControl/>
        <w:adjustRightInd w:val="0"/>
        <w:snapToGrid w:val="0"/>
        <w:spacing w:line="360" w:lineRule="auto"/>
        <w:ind w:firstLine="480" w:firstLineChars="200"/>
        <w:rPr>
          <w:rFonts w:hAnsi="宋体"/>
          <w:sz w:val="24"/>
        </w:rPr>
      </w:pPr>
      <w:r>
        <w:rPr>
          <w:rFonts w:hint="eastAsia"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widowControl/>
        <w:adjustRightInd w:val="0"/>
        <w:snapToGrid w:val="0"/>
        <w:spacing w:line="360" w:lineRule="auto"/>
        <w:ind w:firstLine="480" w:firstLineChars="200"/>
        <w:rPr>
          <w:rFonts w:hAnsi="宋体"/>
          <w:sz w:val="24"/>
        </w:rPr>
      </w:pPr>
      <w:r>
        <w:rPr>
          <w:rFonts w:hint="eastAsia"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sz w:val="24"/>
        </w:rPr>
      </w:pPr>
      <w:r>
        <w:rPr>
          <w:rFonts w:hint="eastAsia"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sz w:val="24"/>
        </w:rPr>
      </w:pPr>
      <w:r>
        <w:rPr>
          <w:rFonts w:hint="eastAsia" w:hAnsi="宋体"/>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pPr>
        <w:widowControl/>
        <w:adjustRightInd w:val="0"/>
        <w:snapToGrid w:val="0"/>
        <w:spacing w:line="360" w:lineRule="auto"/>
        <w:ind w:firstLine="480" w:firstLineChars="200"/>
        <w:rPr>
          <w:rFonts w:hAnsi="宋体"/>
          <w:sz w:val="24"/>
        </w:rPr>
      </w:pPr>
      <w:r>
        <w:rPr>
          <w:rFonts w:hint="eastAsia" w:hAnsi="宋体"/>
          <w:sz w:val="24"/>
        </w:rPr>
        <w:t>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bCs/>
          <w:sz w:val="24"/>
        </w:rPr>
      </w:pPr>
      <w:r>
        <w:rPr>
          <w:rFonts w:hint="eastAsia" w:hAnsi="宋体"/>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hAnsi="宋体"/>
          <w:bCs/>
          <w:sz w:val="24"/>
        </w:rPr>
        <w:t>“</w:t>
      </w:r>
      <w:r>
        <w:rPr>
          <w:rFonts w:hint="eastAsia" w:hAnsi="宋体"/>
          <w:bCs/>
          <w:sz w:val="24"/>
        </w:rPr>
        <w:t>风险揭示</w:t>
      </w:r>
      <w:r>
        <w:rPr>
          <w:rFonts w:hAnsi="宋体"/>
          <w:bCs/>
          <w:sz w:val="24"/>
        </w:rPr>
        <w:t>”</w:t>
      </w:r>
      <w:r>
        <w:rPr>
          <w:rFonts w:hint="eastAsia" w:hAnsi="宋体"/>
          <w:bCs/>
          <w:sz w:val="24"/>
        </w:rPr>
        <w:t>章节内容。</w:t>
      </w:r>
    </w:p>
    <w:p>
      <w:pPr>
        <w:widowControl/>
        <w:adjustRightInd w:val="0"/>
        <w:snapToGrid w:val="0"/>
        <w:spacing w:line="360" w:lineRule="auto"/>
        <w:ind w:firstLine="480" w:firstLineChars="200"/>
        <w:rPr>
          <w:rFonts w:hAnsi="宋体"/>
          <w:sz w:val="24"/>
        </w:rPr>
      </w:pPr>
      <w:r>
        <w:rPr>
          <w:rFonts w:hint="eastAsia" w:hAnsi="宋体"/>
          <w:bCs/>
          <w:sz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kern w:val="0"/>
          <w:sz w:val="24"/>
        </w:rPr>
      </w:pPr>
      <w:r>
        <w:rPr>
          <w:kern w:val="0"/>
          <w:sz w:val="24"/>
        </w:rPr>
        <w:t>投资有风险，投资人在投资本基金前应认真阅读本基金的招募说明书、基金合同</w:t>
      </w:r>
      <w:r>
        <w:rPr>
          <w:rFonts w:hint="eastAsia"/>
          <w:kern w:val="0"/>
          <w:sz w:val="24"/>
        </w:rPr>
        <w:t>、</w:t>
      </w:r>
      <w:r>
        <w:rPr>
          <w:kern w:val="0"/>
          <w:sz w:val="24"/>
        </w:rPr>
        <w:t>基金产品资料概要等信息披露文件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本基金单一投资者持有基金份额数不得超过基金份额总数的50%，但在基金运作过程中因基金份额赎回等情形导致被动超过前述50%比例的除外。</w:t>
      </w:r>
    </w:p>
    <w:p>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t>目  录</w:t>
      </w:r>
    </w:p>
    <w:p>
      <w:pPr>
        <w:pStyle w:val="22"/>
        <w:adjustRightInd w:val="0"/>
        <w:snapToGrid w:val="0"/>
        <w:rPr>
          <w:rStyle w:val="31"/>
          <w:rFonts w:ascii="宋体"/>
          <w:b/>
          <w:kern w:val="0"/>
        </w:rPr>
      </w:pPr>
      <w:bookmarkStart w:id="0" w:name="_Toc109537379"/>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r>
        <w:fldChar w:fldCharType="begin"/>
      </w:r>
      <w:r>
        <w:instrText xml:space="preserve"> HYPERLINK \l "_Toc48122002" </w:instrText>
      </w:r>
      <w:r>
        <w:fldChar w:fldCharType="separate"/>
      </w:r>
      <w:r>
        <w:rPr>
          <w:rStyle w:val="31"/>
          <w:rFonts w:ascii="宋体"/>
          <w:b/>
          <w:kern w:val="0"/>
        </w:rPr>
        <w:t>一、绪言</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_Toc48122002 \h </w:instrText>
      </w:r>
      <w:r>
        <w:rPr>
          <w:rStyle w:val="31"/>
          <w:rFonts w:ascii="宋体"/>
          <w:b/>
          <w:kern w:val="0"/>
        </w:rPr>
        <w:fldChar w:fldCharType="separate"/>
      </w:r>
      <w:r>
        <w:rPr>
          <w:rStyle w:val="31"/>
          <w:rFonts w:ascii="宋体"/>
          <w:b/>
          <w:kern w:val="0"/>
        </w:rPr>
        <w:t>6</w:t>
      </w:r>
      <w:r>
        <w:rPr>
          <w:rStyle w:val="31"/>
          <w:rFonts w:ascii="宋体"/>
          <w:b/>
          <w:kern w:val="0"/>
        </w:rPr>
        <w:fldChar w:fldCharType="end"/>
      </w:r>
      <w:r>
        <w:rPr>
          <w:rStyle w:val="31"/>
          <w:rFonts w:ascii="宋体"/>
          <w:b/>
          <w:kern w:val="0"/>
        </w:rPr>
        <w:fldChar w:fldCharType="end"/>
      </w:r>
    </w:p>
    <w:p>
      <w:pPr>
        <w:pStyle w:val="22"/>
        <w:adjustRightInd w:val="0"/>
        <w:snapToGrid w:val="0"/>
        <w:rPr>
          <w:rStyle w:val="31"/>
          <w:rFonts w:ascii="宋体"/>
          <w:b/>
          <w:kern w:val="0"/>
        </w:rPr>
      </w:pPr>
      <w:r>
        <w:fldChar w:fldCharType="begin"/>
      </w:r>
      <w:r>
        <w:instrText xml:space="preserve"> HYPERLINK \l "_Toc48122003" </w:instrText>
      </w:r>
      <w:r>
        <w:fldChar w:fldCharType="separate"/>
      </w:r>
      <w:r>
        <w:rPr>
          <w:rStyle w:val="31"/>
          <w:rFonts w:ascii="宋体"/>
          <w:b/>
          <w:kern w:val="0"/>
        </w:rPr>
        <w:t>二、释义</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_Toc48122003 \h </w:instrText>
      </w:r>
      <w:r>
        <w:rPr>
          <w:rStyle w:val="31"/>
          <w:rFonts w:ascii="宋体"/>
          <w:b/>
          <w:kern w:val="0"/>
        </w:rPr>
        <w:fldChar w:fldCharType="separate"/>
      </w:r>
      <w:r>
        <w:rPr>
          <w:rStyle w:val="31"/>
          <w:rFonts w:ascii="宋体"/>
          <w:b/>
          <w:kern w:val="0"/>
        </w:rPr>
        <w:t>7</w:t>
      </w:r>
      <w:r>
        <w:rPr>
          <w:rStyle w:val="31"/>
          <w:rFonts w:ascii="宋体"/>
          <w:b/>
          <w:kern w:val="0"/>
        </w:rPr>
        <w:fldChar w:fldCharType="end"/>
      </w:r>
      <w:r>
        <w:rPr>
          <w:rStyle w:val="31"/>
          <w:rFonts w:ascii="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"_Toc48122004" </w:instrText>
      </w:r>
      <w:r>
        <w:fldChar w:fldCharType="separate"/>
      </w:r>
      <w:r>
        <w:rPr>
          <w:rStyle w:val="31"/>
          <w:rFonts w:ascii="宋体"/>
          <w:b/>
          <w:kern w:val="0"/>
        </w:rPr>
        <w:t>三、基金管理人</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_Toc48122004 \h </w:instrText>
      </w:r>
      <w:r>
        <w:rPr>
          <w:rStyle w:val="31"/>
          <w:rFonts w:ascii="宋体"/>
          <w:b/>
          <w:kern w:val="0"/>
        </w:rPr>
        <w:fldChar w:fldCharType="separate"/>
      </w:r>
      <w:r>
        <w:rPr>
          <w:rStyle w:val="31"/>
          <w:rFonts w:ascii="宋体"/>
          <w:b/>
          <w:kern w:val="0"/>
        </w:rPr>
        <w:t>12</w:t>
      </w:r>
      <w:r>
        <w:rPr>
          <w:rStyle w:val="31"/>
          <w:rFonts w:ascii="宋体"/>
          <w:b/>
          <w:kern w:val="0"/>
        </w:rPr>
        <w:fldChar w:fldCharType="end"/>
      </w:r>
      <w:r>
        <w:rPr>
          <w:rStyle w:val="31"/>
          <w:rFonts w:ascii="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"_Toc48122005" </w:instrText>
      </w:r>
      <w:r>
        <w:fldChar w:fldCharType="separate"/>
      </w:r>
      <w:r>
        <w:rPr>
          <w:rStyle w:val="31"/>
          <w:rFonts w:ascii="宋体"/>
          <w:b/>
          <w:kern w:val="0"/>
        </w:rPr>
        <w:t>四、基金托管人</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_Toc48122005 \h </w:instrText>
      </w:r>
      <w:r>
        <w:rPr>
          <w:rStyle w:val="31"/>
          <w:rFonts w:ascii="宋体" w:hAnsi="Times New Roman" w:eastAsia="宋体"/>
          <w:b/>
          <w:kern w:val="0"/>
        </w:rPr>
        <w:fldChar w:fldCharType="separate"/>
      </w:r>
      <w:r>
        <w:rPr>
          <w:rStyle w:val="31"/>
          <w:rFonts w:ascii="宋体" w:hAnsi="Times New Roman" w:eastAsia="宋体"/>
          <w:b/>
          <w:kern w:val="0"/>
        </w:rPr>
        <w:t>20</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"_Toc48122006" </w:instrText>
      </w:r>
      <w:r>
        <w:fldChar w:fldCharType="separate"/>
      </w:r>
      <w:r>
        <w:rPr>
          <w:rStyle w:val="31"/>
          <w:rFonts w:ascii="宋体"/>
          <w:b/>
          <w:kern w:val="0"/>
        </w:rPr>
        <w:t>五、相关服务机构</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_Toc48122006 \h </w:instrText>
      </w:r>
      <w:r>
        <w:rPr>
          <w:rStyle w:val="31"/>
          <w:rFonts w:ascii="宋体" w:hAnsi="Times New Roman" w:eastAsia="宋体"/>
          <w:b/>
          <w:kern w:val="0"/>
        </w:rPr>
        <w:fldChar w:fldCharType="separate"/>
      </w:r>
      <w:r>
        <w:rPr>
          <w:rStyle w:val="31"/>
          <w:rFonts w:ascii="宋体" w:hAnsi="Times New Roman" w:eastAsia="宋体"/>
          <w:b/>
          <w:kern w:val="0"/>
        </w:rPr>
        <w:t>25</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"_Toc48122007" </w:instrText>
      </w:r>
      <w:r>
        <w:fldChar w:fldCharType="separate"/>
      </w:r>
      <w:r>
        <w:rPr>
          <w:rStyle w:val="31"/>
          <w:rFonts w:ascii="宋体"/>
          <w:b/>
          <w:kern w:val="0"/>
        </w:rPr>
        <w:t>六、基金的募集</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_Toc48122007 \h </w:instrText>
      </w:r>
      <w:r>
        <w:rPr>
          <w:rStyle w:val="31"/>
          <w:rFonts w:ascii="宋体" w:hAnsi="Times New Roman" w:eastAsia="宋体"/>
          <w:b/>
          <w:kern w:val="0"/>
        </w:rPr>
        <w:fldChar w:fldCharType="separate"/>
      </w:r>
      <w:r>
        <w:rPr>
          <w:rStyle w:val="31"/>
          <w:rFonts w:ascii="宋体" w:hAnsi="Times New Roman" w:eastAsia="宋体"/>
          <w:b/>
          <w:kern w:val="0"/>
        </w:rPr>
        <w:t>28</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"_Toc48122008" </w:instrText>
      </w:r>
      <w:r>
        <w:fldChar w:fldCharType="separate"/>
      </w:r>
      <w:r>
        <w:rPr>
          <w:rStyle w:val="31"/>
          <w:rFonts w:ascii="宋体"/>
          <w:b/>
          <w:kern w:val="0"/>
        </w:rPr>
        <w:t>七、基金合同的生效</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_Toc48122008 \h </w:instrText>
      </w:r>
      <w:r>
        <w:rPr>
          <w:rStyle w:val="31"/>
          <w:rFonts w:ascii="宋体" w:hAnsi="Times New Roman" w:eastAsia="宋体"/>
          <w:b/>
          <w:kern w:val="0"/>
        </w:rPr>
        <w:fldChar w:fldCharType="separate"/>
      </w:r>
      <w:r>
        <w:rPr>
          <w:rStyle w:val="31"/>
          <w:rFonts w:ascii="宋体" w:hAnsi="Times New Roman" w:eastAsia="宋体"/>
          <w:b/>
          <w:kern w:val="0"/>
        </w:rPr>
        <w:t>34</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"_Toc48122009" </w:instrText>
      </w:r>
      <w:r>
        <w:fldChar w:fldCharType="separate"/>
      </w:r>
      <w:r>
        <w:rPr>
          <w:rStyle w:val="31"/>
          <w:rFonts w:ascii="宋体"/>
          <w:b/>
          <w:kern w:val="0"/>
        </w:rPr>
        <w:t>八、基金份额的申购与赎回</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_Toc48122009 \h </w:instrText>
      </w:r>
      <w:r>
        <w:rPr>
          <w:rStyle w:val="31"/>
          <w:rFonts w:ascii="宋体" w:hAnsi="Times New Roman" w:eastAsia="宋体"/>
          <w:b/>
          <w:kern w:val="0"/>
        </w:rPr>
        <w:fldChar w:fldCharType="separate"/>
      </w:r>
      <w:r>
        <w:rPr>
          <w:rStyle w:val="31"/>
          <w:rFonts w:ascii="宋体" w:hAnsi="Times New Roman" w:eastAsia="宋体"/>
          <w:b/>
          <w:kern w:val="0"/>
        </w:rPr>
        <w:t>35</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"_Toc48122010" </w:instrText>
      </w:r>
      <w:r>
        <w:fldChar w:fldCharType="separate"/>
      </w:r>
      <w:r>
        <w:rPr>
          <w:rStyle w:val="31"/>
          <w:rFonts w:ascii="宋体"/>
          <w:b/>
          <w:kern w:val="0"/>
        </w:rPr>
        <w:t>九、基金的投资</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_Toc48122010 \h </w:instrText>
      </w:r>
      <w:r>
        <w:rPr>
          <w:rStyle w:val="31"/>
          <w:rFonts w:ascii="宋体" w:hAnsi="Times New Roman" w:eastAsia="宋体"/>
          <w:b/>
          <w:kern w:val="0"/>
        </w:rPr>
        <w:fldChar w:fldCharType="separate"/>
      </w:r>
      <w:r>
        <w:rPr>
          <w:rStyle w:val="31"/>
          <w:rFonts w:ascii="宋体" w:hAnsi="Times New Roman" w:eastAsia="宋体"/>
          <w:b/>
          <w:kern w:val="0"/>
        </w:rPr>
        <w:t>50</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"_Toc48122011" </w:instrText>
      </w:r>
      <w:r>
        <w:fldChar w:fldCharType="separate"/>
      </w:r>
      <w:r>
        <w:rPr>
          <w:rStyle w:val="31"/>
          <w:rFonts w:ascii="宋体"/>
          <w:b/>
          <w:kern w:val="0"/>
        </w:rPr>
        <w:t>十、基金的财产</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_Toc48122011 \h </w:instrText>
      </w:r>
      <w:r>
        <w:rPr>
          <w:rStyle w:val="31"/>
          <w:rFonts w:ascii="宋体" w:hAnsi="Times New Roman" w:eastAsia="宋体"/>
          <w:b/>
          <w:kern w:val="0"/>
        </w:rPr>
        <w:fldChar w:fldCharType="separate"/>
      </w:r>
      <w:r>
        <w:rPr>
          <w:rStyle w:val="31"/>
          <w:rFonts w:ascii="宋体" w:hAnsi="Times New Roman" w:eastAsia="宋体"/>
          <w:b/>
          <w:kern w:val="0"/>
        </w:rPr>
        <w:t>59</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"_Toc48122012" </w:instrText>
      </w:r>
      <w:r>
        <w:fldChar w:fldCharType="separate"/>
      </w:r>
      <w:r>
        <w:rPr>
          <w:rStyle w:val="31"/>
          <w:rFonts w:ascii="宋体"/>
          <w:b/>
          <w:kern w:val="0"/>
        </w:rPr>
        <w:t>十一、基金资产的估值</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_Toc48122012 \h </w:instrText>
      </w:r>
      <w:r>
        <w:rPr>
          <w:rStyle w:val="31"/>
          <w:rFonts w:ascii="宋体" w:hAnsi="Times New Roman" w:eastAsia="宋体"/>
          <w:b/>
          <w:kern w:val="0"/>
        </w:rPr>
        <w:fldChar w:fldCharType="separate"/>
      </w:r>
      <w:r>
        <w:rPr>
          <w:rStyle w:val="31"/>
          <w:rFonts w:ascii="宋体" w:hAnsi="Times New Roman" w:eastAsia="宋体"/>
          <w:b/>
          <w:kern w:val="0"/>
        </w:rPr>
        <w:t>60</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"_Toc48122013" </w:instrText>
      </w:r>
      <w:r>
        <w:fldChar w:fldCharType="separate"/>
      </w:r>
      <w:r>
        <w:rPr>
          <w:rStyle w:val="31"/>
          <w:rFonts w:ascii="宋体"/>
          <w:b/>
          <w:kern w:val="0"/>
        </w:rPr>
        <w:t>十二、基金收益与分配</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_Toc48122013 \h </w:instrText>
      </w:r>
      <w:r>
        <w:rPr>
          <w:rStyle w:val="31"/>
          <w:rFonts w:ascii="宋体" w:hAnsi="Times New Roman" w:eastAsia="宋体"/>
          <w:b/>
          <w:kern w:val="0"/>
        </w:rPr>
        <w:fldChar w:fldCharType="separate"/>
      </w:r>
      <w:r>
        <w:rPr>
          <w:rStyle w:val="31"/>
          <w:rFonts w:ascii="宋体" w:hAnsi="Times New Roman" w:eastAsia="宋体"/>
          <w:b/>
          <w:kern w:val="0"/>
        </w:rPr>
        <w:t>67</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"_Toc48122014" </w:instrText>
      </w:r>
      <w:r>
        <w:fldChar w:fldCharType="separate"/>
      </w:r>
      <w:r>
        <w:rPr>
          <w:rStyle w:val="31"/>
          <w:rFonts w:ascii="宋体"/>
          <w:b/>
          <w:kern w:val="0"/>
        </w:rPr>
        <w:t>十三、基金的费用与税收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_Toc48122014 \h </w:instrText>
      </w:r>
      <w:r>
        <w:rPr>
          <w:rStyle w:val="31"/>
          <w:rFonts w:ascii="宋体" w:hAnsi="Times New Roman" w:eastAsia="宋体"/>
          <w:b/>
          <w:kern w:val="0"/>
        </w:rPr>
        <w:fldChar w:fldCharType="separate"/>
      </w:r>
      <w:r>
        <w:rPr>
          <w:rStyle w:val="31"/>
          <w:rFonts w:ascii="宋体" w:hAnsi="Times New Roman" w:eastAsia="宋体"/>
          <w:b/>
          <w:kern w:val="0"/>
        </w:rPr>
        <w:t>69</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"_Toc48122015" </w:instrText>
      </w:r>
      <w:r>
        <w:fldChar w:fldCharType="separate"/>
      </w:r>
      <w:r>
        <w:rPr>
          <w:rStyle w:val="31"/>
          <w:rFonts w:ascii="宋体"/>
          <w:b/>
          <w:kern w:val="0"/>
        </w:rPr>
        <w:t>十四、基金的会计与审计</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_Toc48122015 \h </w:instrText>
      </w:r>
      <w:r>
        <w:rPr>
          <w:rStyle w:val="31"/>
          <w:rFonts w:ascii="宋体" w:hAnsi="Times New Roman" w:eastAsia="宋体"/>
          <w:b/>
          <w:kern w:val="0"/>
        </w:rPr>
        <w:fldChar w:fldCharType="separate"/>
      </w:r>
      <w:r>
        <w:rPr>
          <w:rStyle w:val="31"/>
          <w:rFonts w:ascii="宋体" w:hAnsi="Times New Roman" w:eastAsia="宋体"/>
          <w:b/>
          <w:kern w:val="0"/>
        </w:rPr>
        <w:t>72</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"_Toc48122016" </w:instrText>
      </w:r>
      <w:r>
        <w:fldChar w:fldCharType="separate"/>
      </w:r>
      <w:r>
        <w:rPr>
          <w:rStyle w:val="31"/>
          <w:rFonts w:ascii="宋体"/>
          <w:b/>
          <w:kern w:val="0"/>
        </w:rPr>
        <w:t>十五、基金的信息披露</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_Toc48122016 \h </w:instrText>
      </w:r>
      <w:r>
        <w:rPr>
          <w:rStyle w:val="31"/>
          <w:rFonts w:ascii="宋体" w:hAnsi="Times New Roman" w:eastAsia="宋体"/>
          <w:b/>
          <w:kern w:val="0"/>
        </w:rPr>
        <w:fldChar w:fldCharType="separate"/>
      </w:r>
      <w:r>
        <w:rPr>
          <w:rStyle w:val="31"/>
          <w:rFonts w:ascii="宋体" w:hAnsi="Times New Roman" w:eastAsia="宋体"/>
          <w:b/>
          <w:kern w:val="0"/>
        </w:rPr>
        <w:t>73</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"_Toc48122017" </w:instrText>
      </w:r>
      <w:r>
        <w:fldChar w:fldCharType="separate"/>
      </w:r>
      <w:r>
        <w:rPr>
          <w:rStyle w:val="31"/>
          <w:rFonts w:ascii="宋体"/>
          <w:b/>
          <w:kern w:val="0"/>
        </w:rPr>
        <w:t>十六、侧袋机制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_Toc48122017 \h </w:instrText>
      </w:r>
      <w:r>
        <w:rPr>
          <w:rStyle w:val="31"/>
          <w:rFonts w:ascii="宋体" w:hAnsi="Times New Roman" w:eastAsia="宋体"/>
          <w:b/>
          <w:kern w:val="0"/>
        </w:rPr>
        <w:fldChar w:fldCharType="separate"/>
      </w:r>
      <w:r>
        <w:rPr>
          <w:rStyle w:val="31"/>
          <w:rFonts w:ascii="宋体" w:hAnsi="Times New Roman" w:eastAsia="宋体"/>
          <w:b/>
          <w:kern w:val="0"/>
        </w:rPr>
        <w:t>80</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"_Toc48122018" </w:instrText>
      </w:r>
      <w:r>
        <w:fldChar w:fldCharType="separate"/>
      </w:r>
      <w:r>
        <w:rPr>
          <w:rStyle w:val="31"/>
          <w:rFonts w:ascii="宋体"/>
          <w:b/>
          <w:kern w:val="0"/>
        </w:rPr>
        <w:t>十七、风险揭示</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_Toc48122018 \h </w:instrText>
      </w:r>
      <w:r>
        <w:rPr>
          <w:rStyle w:val="31"/>
          <w:rFonts w:ascii="宋体" w:hAnsi="Times New Roman" w:eastAsia="宋体"/>
          <w:b/>
          <w:kern w:val="0"/>
        </w:rPr>
        <w:fldChar w:fldCharType="separate"/>
      </w:r>
      <w:r>
        <w:rPr>
          <w:rStyle w:val="31"/>
          <w:rFonts w:ascii="宋体" w:hAnsi="Times New Roman" w:eastAsia="宋体"/>
          <w:b/>
          <w:kern w:val="0"/>
        </w:rPr>
        <w:t>83</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"_Toc48122019" </w:instrText>
      </w:r>
      <w:r>
        <w:fldChar w:fldCharType="separate"/>
      </w:r>
      <w:r>
        <w:rPr>
          <w:rStyle w:val="31"/>
          <w:b/>
          <w:kern w:val="0"/>
        </w:rPr>
        <w:t>十八、基金合同的变更、终止与基金财产的清算</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_Toc48122019 \h </w:instrText>
      </w:r>
      <w:r>
        <w:rPr>
          <w:rStyle w:val="31"/>
          <w:rFonts w:ascii="宋体" w:hAnsi="Times New Roman" w:eastAsia="宋体"/>
          <w:b/>
          <w:kern w:val="0"/>
        </w:rPr>
        <w:fldChar w:fldCharType="separate"/>
      </w:r>
      <w:r>
        <w:rPr>
          <w:rStyle w:val="31"/>
          <w:rFonts w:ascii="宋体" w:hAnsi="Times New Roman" w:eastAsia="宋体"/>
          <w:b/>
          <w:kern w:val="0"/>
        </w:rPr>
        <w:t>93</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"_Toc48122020" </w:instrText>
      </w:r>
      <w:r>
        <w:fldChar w:fldCharType="separate"/>
      </w:r>
      <w:r>
        <w:rPr>
          <w:rStyle w:val="31"/>
          <w:rFonts w:ascii="宋体"/>
          <w:b/>
          <w:kern w:val="0"/>
        </w:rPr>
        <w:t>十九、基金合同内容摘要</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_Toc48122020 \h </w:instrText>
      </w:r>
      <w:r>
        <w:rPr>
          <w:rStyle w:val="31"/>
          <w:rFonts w:ascii="宋体" w:hAnsi="Times New Roman" w:eastAsia="宋体"/>
          <w:b/>
          <w:kern w:val="0"/>
        </w:rPr>
        <w:fldChar w:fldCharType="separate"/>
      </w:r>
      <w:r>
        <w:rPr>
          <w:rStyle w:val="31"/>
          <w:rFonts w:ascii="宋体" w:hAnsi="Times New Roman" w:eastAsia="宋体"/>
          <w:b/>
          <w:kern w:val="0"/>
        </w:rPr>
        <w:t>95</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"_Toc48122021" </w:instrText>
      </w:r>
      <w:r>
        <w:fldChar w:fldCharType="separate"/>
      </w:r>
      <w:r>
        <w:rPr>
          <w:rStyle w:val="31"/>
          <w:rFonts w:ascii="宋体"/>
          <w:b/>
          <w:kern w:val="0"/>
        </w:rPr>
        <w:t>二十、托管协议的内容摘要</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_Toc48122021 \h </w:instrText>
      </w:r>
      <w:r>
        <w:rPr>
          <w:rStyle w:val="31"/>
          <w:rFonts w:ascii="宋体" w:hAnsi="Times New Roman" w:eastAsia="宋体"/>
          <w:b/>
          <w:kern w:val="0"/>
        </w:rPr>
        <w:fldChar w:fldCharType="separate"/>
      </w:r>
      <w:r>
        <w:rPr>
          <w:rStyle w:val="31"/>
          <w:rFonts w:ascii="宋体" w:hAnsi="Times New Roman" w:eastAsia="宋体"/>
          <w:b/>
          <w:kern w:val="0"/>
        </w:rPr>
        <w:t>113</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"_Toc48122022" </w:instrText>
      </w:r>
      <w:r>
        <w:fldChar w:fldCharType="separate"/>
      </w:r>
      <w:r>
        <w:rPr>
          <w:rStyle w:val="31"/>
          <w:rFonts w:ascii="宋体"/>
          <w:b/>
          <w:kern w:val="0"/>
        </w:rPr>
        <w:t>二十一、对基金份额持有人的服务</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_Toc48122022 \h </w:instrText>
      </w:r>
      <w:r>
        <w:rPr>
          <w:rStyle w:val="31"/>
          <w:rFonts w:ascii="宋体" w:hAnsi="Times New Roman" w:eastAsia="宋体"/>
          <w:b/>
          <w:kern w:val="0"/>
        </w:rPr>
        <w:fldChar w:fldCharType="separate"/>
      </w:r>
      <w:r>
        <w:rPr>
          <w:rStyle w:val="31"/>
          <w:rFonts w:ascii="宋体" w:hAnsi="Times New Roman" w:eastAsia="宋体"/>
          <w:b/>
          <w:kern w:val="0"/>
        </w:rPr>
        <w:t>132</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"_Toc48122023" </w:instrText>
      </w:r>
      <w:r>
        <w:fldChar w:fldCharType="separate"/>
      </w:r>
      <w:r>
        <w:rPr>
          <w:rStyle w:val="31"/>
          <w:rFonts w:ascii="宋体"/>
          <w:b/>
          <w:kern w:val="0"/>
        </w:rPr>
        <w:t>二十二、其他应披露事项</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_Toc48122023 \h </w:instrText>
      </w:r>
      <w:r>
        <w:rPr>
          <w:rStyle w:val="31"/>
          <w:rFonts w:ascii="宋体" w:hAnsi="Times New Roman" w:eastAsia="宋体"/>
          <w:b/>
          <w:kern w:val="0"/>
        </w:rPr>
        <w:fldChar w:fldCharType="separate"/>
      </w:r>
      <w:r>
        <w:rPr>
          <w:rStyle w:val="31"/>
          <w:rFonts w:ascii="宋体" w:hAnsi="Times New Roman" w:eastAsia="宋体"/>
          <w:b/>
          <w:kern w:val="0"/>
        </w:rPr>
        <w:t>134</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"_Toc48122024" </w:instrText>
      </w:r>
      <w:r>
        <w:fldChar w:fldCharType="separate"/>
      </w:r>
      <w:r>
        <w:rPr>
          <w:rStyle w:val="31"/>
          <w:rFonts w:ascii="宋体"/>
          <w:b/>
          <w:kern w:val="0"/>
        </w:rPr>
        <w:t>二十三、招募说明书的存放及查阅方式</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_Toc48122024 \h </w:instrText>
      </w:r>
      <w:r>
        <w:rPr>
          <w:rStyle w:val="31"/>
          <w:rFonts w:ascii="宋体" w:hAnsi="Times New Roman" w:eastAsia="宋体"/>
          <w:b/>
          <w:kern w:val="0"/>
        </w:rPr>
        <w:fldChar w:fldCharType="separate"/>
      </w:r>
      <w:r>
        <w:rPr>
          <w:rStyle w:val="31"/>
          <w:rFonts w:ascii="宋体" w:hAnsi="Times New Roman" w:eastAsia="宋体"/>
          <w:b/>
          <w:kern w:val="0"/>
        </w:rPr>
        <w:t>135</w:t>
      </w:r>
      <w:r>
        <w:rPr>
          <w:rStyle w:val="31"/>
          <w:rFonts w:ascii="宋体" w:hAnsi="Times New Roman" w:eastAsia="宋体"/>
          <w:b/>
          <w:kern w:val="0"/>
        </w:rP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"_Toc48122025" </w:instrText>
      </w:r>
      <w:r>
        <w:fldChar w:fldCharType="separate"/>
      </w:r>
      <w:r>
        <w:rPr>
          <w:rStyle w:val="31"/>
          <w:rFonts w:ascii="宋体"/>
          <w:b/>
          <w:kern w:val="0"/>
        </w:rPr>
        <w:t>二十四、备查文件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_Toc48122025 \h </w:instrText>
      </w:r>
      <w:r>
        <w:rPr>
          <w:rStyle w:val="31"/>
          <w:rFonts w:ascii="宋体" w:hAnsi="Times New Roman" w:eastAsia="宋体"/>
          <w:b/>
          <w:kern w:val="0"/>
        </w:rPr>
        <w:fldChar w:fldCharType="separate"/>
      </w:r>
      <w:r>
        <w:rPr>
          <w:rStyle w:val="31"/>
          <w:rFonts w:ascii="宋体" w:hAnsi="Times New Roman" w:eastAsia="宋体"/>
          <w:b/>
          <w:kern w:val="0"/>
        </w:rPr>
        <w:t>136</w:t>
      </w:r>
      <w:r>
        <w:rPr>
          <w:rStyle w:val="31"/>
          <w:rFonts w:ascii="宋体" w:hAnsi="Times New Roman" w:eastAsia="宋体"/>
          <w:b/>
          <w:kern w:val="0"/>
        </w:rPr>
        <w:fldChar w:fldCharType="end"/>
      </w:r>
      <w:r>
        <w:fldChar w:fldCharType="end"/>
      </w:r>
    </w:p>
    <w:p>
      <w:pPr>
        <w:adjustRightInd w:val="0"/>
        <w:snapToGrid w:val="0"/>
      </w:pPr>
      <w:r>
        <w:fldChar w:fldCharType="end"/>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kern w:val="0"/>
          <w:sz w:val="24"/>
        </w:rPr>
        <w:br w:type="page"/>
      </w:r>
      <w:bookmarkStart w:id="1" w:name="_Toc48122002"/>
      <w:r>
        <w:rPr>
          <w:rFonts w:hint="eastAsia" w:ascii="宋体" w:hAnsi="宋体"/>
          <w:b/>
          <w:kern w:val="0"/>
          <w:sz w:val="30"/>
        </w:rPr>
        <w:t>一、绪言</w:t>
      </w:r>
      <w:bookmarkEnd w:id="0"/>
      <w:bookmarkEnd w:id="1"/>
    </w:p>
    <w:p>
      <w:pPr>
        <w:widowControl/>
        <w:adjustRightInd w:val="0"/>
        <w:snapToGrid w:val="0"/>
        <w:spacing w:line="360" w:lineRule="auto"/>
        <w:ind w:firstLine="480" w:firstLineChars="200"/>
        <w:rPr>
          <w:kern w:val="0"/>
          <w:sz w:val="24"/>
        </w:rPr>
      </w:pPr>
      <w:r>
        <w:rPr>
          <w:rFonts w:ascii="宋体" w:hAnsi="宋体"/>
          <w:kern w:val="0"/>
          <w:sz w:val="24"/>
        </w:rPr>
        <w:t>《交银施罗德</w:t>
      </w:r>
      <w:r>
        <w:rPr>
          <w:rFonts w:hint="eastAsia" w:ascii="宋体" w:hAnsi="宋体"/>
          <w:kern w:val="0"/>
          <w:sz w:val="24"/>
        </w:rPr>
        <w:t>启盛</w:t>
      </w:r>
      <w:r>
        <w:rPr>
          <w:rFonts w:ascii="宋体" w:hAnsi="宋体"/>
          <w:kern w:val="0"/>
          <w:sz w:val="24"/>
        </w:rPr>
        <w:t>混合型证券投资基金招募说明书》（以下简称“本招募说明书”）依据《中华人民共和国证券投资基金法》</w:t>
      </w:r>
      <w:r>
        <w:rPr>
          <w:rFonts w:hint="eastAsia" w:ascii="宋体" w:hAnsi="宋体"/>
          <w:kern w:val="0"/>
          <w:sz w:val="24"/>
        </w:rPr>
        <w:t>（以下简称“《基金法》”）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证券投资基金运作管理办法》</w:t>
      </w:r>
      <w:r>
        <w:rPr>
          <w:rFonts w:hint="eastAsia" w:ascii="宋体" w:hAnsi="宋体"/>
          <w:kern w:val="0"/>
          <w:sz w:val="24"/>
        </w:rPr>
        <w:t>（以下简称“《运作办法》”）</w:t>
      </w:r>
      <w:r>
        <w:rPr>
          <w:rFonts w:ascii="宋体" w:hAnsi="宋体"/>
          <w:kern w:val="0"/>
          <w:sz w:val="24"/>
        </w:rPr>
        <w:t>、《公开募集证券投资基金销售机构监督管理办法》</w:t>
      </w:r>
      <w:r>
        <w:rPr>
          <w:rFonts w:hint="eastAsia" w:ascii="宋体" w:hAnsi="宋体"/>
          <w:kern w:val="0"/>
          <w:sz w:val="24"/>
        </w:rPr>
        <w:t>（以下简称“《销售办法》”）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证券投资基金信息披露管理办法》</w:t>
      </w:r>
      <w:r>
        <w:rPr>
          <w:rFonts w:hint="eastAsia" w:ascii="宋体" w:hAnsi="宋体"/>
          <w:kern w:val="0"/>
          <w:sz w:val="24"/>
        </w:rPr>
        <w:t>（以下简称“《信息披露办法》”）、《公开募集开放式证券投资基金流动性风险管理规定》（以下简称“《流动性</w:t>
      </w:r>
      <w:r>
        <w:rPr>
          <w:rFonts w:hint="eastAsia" w:hAnsi="宋体"/>
          <w:kern w:val="0"/>
          <w:sz w:val="24"/>
        </w:rPr>
        <w:t>风险管理</w:t>
      </w:r>
      <w:r>
        <w:rPr>
          <w:rFonts w:hint="eastAsia" w:ascii="宋体" w:hAnsi="宋体"/>
          <w:kern w:val="0"/>
          <w:sz w:val="24"/>
        </w:rPr>
        <w:t>规定》”）</w:t>
      </w:r>
      <w:r>
        <w:rPr>
          <w:rFonts w:ascii="宋体" w:hAnsi="宋体"/>
          <w:kern w:val="0"/>
          <w:sz w:val="24"/>
        </w:rPr>
        <w:t>和其他相关法律法规的规定以及《交银施罗德</w:t>
      </w:r>
      <w:r>
        <w:rPr>
          <w:rFonts w:hint="eastAsia" w:ascii="宋体" w:hAnsi="宋体"/>
          <w:kern w:val="0"/>
          <w:sz w:val="24"/>
        </w:rPr>
        <w:t>启盛</w:t>
      </w:r>
      <w:r>
        <w:rPr>
          <w:rFonts w:ascii="宋体" w:hAnsi="宋体"/>
          <w:kern w:val="0"/>
          <w:sz w:val="24"/>
        </w:rPr>
        <w:t>混合型证券投资基金基金合同》（以下简称“基金合同”）</w:t>
      </w:r>
      <w:r>
        <w:rPr>
          <w:rFonts w:hAnsi="宋体"/>
          <w:kern w:val="0"/>
          <w:sz w:val="24"/>
        </w:rPr>
        <w:t>编写。</w:t>
      </w:r>
    </w:p>
    <w:p>
      <w:pPr>
        <w:widowControl/>
        <w:adjustRightInd w:val="0"/>
        <w:snapToGrid w:val="0"/>
        <w:spacing w:line="360" w:lineRule="auto"/>
        <w:ind w:firstLine="480" w:firstLineChars="20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ascii="宋体" w:hAnsi="宋体"/>
          <w:kern w:val="0"/>
          <w:sz w:val="24"/>
        </w:rPr>
        <w:t>，</w:t>
      </w:r>
      <w:r>
        <w:rPr>
          <w:rFonts w:hAnsi="宋体"/>
          <w:kern w:val="0"/>
          <w:sz w:val="24"/>
        </w:rPr>
        <w:t>或对本招募说明书作任何解释或者说明。</w:t>
      </w:r>
    </w:p>
    <w:p>
      <w:pPr>
        <w:widowControl/>
        <w:adjustRightInd w:val="0"/>
        <w:snapToGrid w:val="0"/>
        <w:spacing w:line="360" w:lineRule="auto"/>
        <w:ind w:firstLine="480" w:firstLineChars="200"/>
        <w:rPr>
          <w:rFonts w:ascii="宋体" w:hAnsi="宋体"/>
          <w:b/>
          <w:kern w:val="0"/>
          <w:sz w:val="24"/>
        </w:rPr>
      </w:pPr>
      <w:r>
        <w:rPr>
          <w:rFonts w:hAnsi="宋体"/>
          <w:kern w:val="0"/>
          <w:sz w:val="24"/>
        </w:rPr>
        <w:t>本招募说明书根据本基金的基金合同编写，并经中国证监会</w:t>
      </w:r>
      <w:r>
        <w:rPr>
          <w:rFonts w:hint="eastAsia" w:hAnsi="宋体"/>
          <w:kern w:val="0"/>
          <w:sz w:val="24"/>
        </w:rPr>
        <w:t>注册</w:t>
      </w:r>
      <w:r>
        <w:rPr>
          <w:rFonts w:hAnsi="宋体"/>
          <w:kern w:val="0"/>
          <w:sz w:val="24"/>
        </w:rPr>
        <w:t>。基金合同是约定基金</w:t>
      </w:r>
      <w:r>
        <w:rPr>
          <w:rFonts w:hint="eastAsia" w:hAnsi="宋体"/>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widowControl/>
        <w:adjustRightInd w:val="0"/>
        <w:snapToGrid w:val="0"/>
        <w:spacing w:before="143" w:beforeLines="50" w:after="143" w:afterLines="50"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48122003"/>
      <w:r>
        <w:rPr>
          <w:rFonts w:hint="eastAsia" w:ascii="宋体" w:hAnsi="宋体"/>
          <w:b/>
          <w:kern w:val="0"/>
          <w:sz w:val="30"/>
        </w:rPr>
        <w:t>二、释义</w:t>
      </w:r>
      <w:bookmarkEnd w:id="2"/>
      <w:bookmarkEnd w:id="3"/>
    </w:p>
    <w:p>
      <w:pPr>
        <w:adjustRightInd w:val="0"/>
        <w:snapToGrid w:val="0"/>
        <w:spacing w:line="360" w:lineRule="auto"/>
        <w:ind w:firstLine="480" w:firstLineChars="200"/>
        <w:rPr>
          <w:spacing w:val="8"/>
          <w:sz w:val="24"/>
        </w:rPr>
      </w:pPr>
      <w:r>
        <w:rPr>
          <w:rFonts w:hAnsi="宋体"/>
          <w:sz w:val="24"/>
        </w:rPr>
        <w:t>在本招募说明书中，除非文意另有所指，下列词语或简称具有如下含义：</w:t>
      </w:r>
    </w:p>
    <w:p>
      <w:pPr>
        <w:adjustRightInd w:val="0"/>
        <w:snapToGrid w:val="0"/>
        <w:spacing w:line="360" w:lineRule="auto"/>
        <w:ind w:firstLine="480" w:firstLineChars="200"/>
        <w:rPr>
          <w:bCs/>
          <w:sz w:val="24"/>
        </w:rPr>
      </w:pPr>
      <w:bookmarkStart w:id="4" w:name="_Hlk49340113"/>
      <w:r>
        <w:rPr>
          <w:rFonts w:hint="eastAsia"/>
          <w:bCs/>
          <w:sz w:val="24"/>
        </w:rPr>
        <w:t>1、基金或本基金：指交银施罗德启盛混合型证券投资基金</w:t>
      </w:r>
    </w:p>
    <w:p>
      <w:pPr>
        <w:adjustRightInd w:val="0"/>
        <w:snapToGrid w:val="0"/>
        <w:spacing w:line="360" w:lineRule="auto"/>
        <w:ind w:firstLine="480" w:firstLineChars="200"/>
        <w:rPr>
          <w:bCs/>
          <w:sz w:val="24"/>
        </w:rPr>
      </w:pPr>
      <w:r>
        <w:rPr>
          <w:rFonts w:hint="eastAsia"/>
          <w:bCs/>
          <w:sz w:val="24"/>
        </w:rPr>
        <w:t>2、基金管理人：指交银施罗德基金管理有限公司</w:t>
      </w:r>
    </w:p>
    <w:p>
      <w:pPr>
        <w:adjustRightInd w:val="0"/>
        <w:snapToGrid w:val="0"/>
        <w:spacing w:line="360" w:lineRule="auto"/>
        <w:ind w:firstLine="480" w:firstLineChars="200"/>
        <w:rPr>
          <w:bCs/>
          <w:sz w:val="24"/>
        </w:rPr>
      </w:pPr>
      <w:r>
        <w:rPr>
          <w:rFonts w:hint="eastAsia"/>
          <w:bCs/>
          <w:sz w:val="24"/>
        </w:rPr>
        <w:t>3、基金托管人：指上海浦东发展银行股份有限公司</w:t>
      </w:r>
    </w:p>
    <w:p>
      <w:pPr>
        <w:adjustRightInd w:val="0"/>
        <w:snapToGrid w:val="0"/>
        <w:spacing w:line="360" w:lineRule="auto"/>
        <w:ind w:firstLine="480" w:firstLineChars="200"/>
        <w:rPr>
          <w:bCs/>
          <w:sz w:val="24"/>
        </w:rPr>
      </w:pPr>
      <w:r>
        <w:rPr>
          <w:rFonts w:hint="eastAsia"/>
          <w:bCs/>
          <w:sz w:val="24"/>
        </w:rPr>
        <w:t>4、基金合同：指《交银施罗德启盛混合型证券投资基金基金合同》及对基金合同的任何有效修订和补充</w:t>
      </w:r>
    </w:p>
    <w:p>
      <w:pPr>
        <w:adjustRightInd w:val="0"/>
        <w:snapToGrid w:val="0"/>
        <w:spacing w:line="360" w:lineRule="auto"/>
        <w:ind w:firstLine="480" w:firstLineChars="200"/>
        <w:rPr>
          <w:bCs/>
          <w:sz w:val="24"/>
        </w:rPr>
      </w:pPr>
      <w:r>
        <w:rPr>
          <w:rFonts w:hint="eastAsia"/>
          <w:bCs/>
          <w:sz w:val="24"/>
        </w:rPr>
        <w:t>5、托管协议：指基金管理人与基金托管人就本基金签订之《交银施罗德启盛混合型证券投资基金托管协议》及对该托管协议的任何有效修订和补充</w:t>
      </w:r>
    </w:p>
    <w:p>
      <w:pPr>
        <w:adjustRightInd w:val="0"/>
        <w:snapToGrid w:val="0"/>
        <w:spacing w:line="360" w:lineRule="auto"/>
        <w:ind w:firstLine="480" w:firstLineChars="200"/>
        <w:rPr>
          <w:bCs/>
          <w:sz w:val="24"/>
        </w:rPr>
      </w:pPr>
      <w:r>
        <w:rPr>
          <w:rFonts w:hint="eastAsia"/>
          <w:bCs/>
          <w:sz w:val="24"/>
        </w:rPr>
        <w:t>6、招募说明书或本招募说明书：指《交银施罗德启盛混合型证券投资基金招募说明书》及其更新</w:t>
      </w:r>
    </w:p>
    <w:p>
      <w:pPr>
        <w:adjustRightInd w:val="0"/>
        <w:snapToGrid w:val="0"/>
        <w:spacing w:line="360" w:lineRule="auto"/>
        <w:ind w:firstLine="480" w:firstLineChars="200"/>
        <w:rPr>
          <w:bCs/>
          <w:sz w:val="24"/>
        </w:rPr>
      </w:pPr>
      <w:r>
        <w:rPr>
          <w:rFonts w:hint="eastAsia"/>
          <w:bCs/>
          <w:sz w:val="24"/>
        </w:rPr>
        <w:t>7、基金产品资料概要：指《交银施罗德启盛混合型证券投资基金基金产品资料概要》及其更新</w:t>
      </w:r>
    </w:p>
    <w:p>
      <w:pPr>
        <w:adjustRightInd w:val="0"/>
        <w:snapToGrid w:val="0"/>
        <w:spacing w:line="360" w:lineRule="auto"/>
        <w:ind w:firstLine="480" w:firstLineChars="200"/>
        <w:rPr>
          <w:bCs/>
          <w:sz w:val="24"/>
        </w:rPr>
      </w:pPr>
      <w:r>
        <w:rPr>
          <w:rFonts w:hint="eastAsia"/>
          <w:bCs/>
          <w:sz w:val="24"/>
        </w:rPr>
        <w:t>8、基金份额发售公告：指《交银施罗德启盛混合型证券投资基金基金份额发售公告》</w:t>
      </w:r>
    </w:p>
    <w:p>
      <w:pPr>
        <w:adjustRightInd w:val="0"/>
        <w:snapToGrid w:val="0"/>
        <w:spacing w:line="360" w:lineRule="auto"/>
        <w:ind w:firstLine="480" w:firstLineChars="20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pPr>
        <w:adjustRightInd w:val="0"/>
        <w:snapToGrid w:val="0"/>
        <w:spacing w:line="360" w:lineRule="auto"/>
        <w:ind w:firstLine="480" w:firstLineChars="200"/>
        <w:rPr>
          <w:bCs/>
          <w:sz w:val="24"/>
        </w:rPr>
      </w:pPr>
      <w:r>
        <w:rPr>
          <w:bCs/>
          <w:sz w:val="24"/>
        </w:rPr>
        <w:t>10</w:t>
      </w:r>
      <w:r>
        <w:rPr>
          <w:rFonts w:hint="eastAsia"/>
          <w:bCs/>
          <w:sz w:val="24"/>
        </w:rPr>
        <w:t>、《基金法》：指《中华人民共和国证券投资基金法》及颁布机关对其不时做出的修订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、《销售办法》：指《</w:t>
      </w:r>
      <w:r>
        <w:rPr>
          <w:bCs/>
          <w:sz w:val="24"/>
        </w:rPr>
        <w:t>公开募集证券投资基金销售机构监督管理办法</w:t>
      </w:r>
      <w:r>
        <w:rPr>
          <w:rFonts w:hint="eastAsia"/>
          <w:bCs/>
          <w:sz w:val="24"/>
        </w:rPr>
        <w:t>》及颁布机关对其不时做出的修订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、中国证监会：指中国证券监督管理委员会</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、银行业监督管理机构：指中国人民银行和/或中国银行保险监督管理委员会</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pPr>
        <w:adjustRightInd w:val="0"/>
        <w:snapToGrid w:val="0"/>
        <w:spacing w:line="360" w:lineRule="auto"/>
        <w:ind w:firstLine="480" w:firstLineChars="20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pPr>
        <w:adjustRightInd w:val="0"/>
        <w:snapToGrid w:val="0"/>
        <w:spacing w:line="360" w:lineRule="auto"/>
        <w:ind w:firstLine="480" w:firstLineChars="200"/>
        <w:rPr>
          <w:bCs/>
          <w:sz w:val="24"/>
        </w:rPr>
      </w:pPr>
      <w:r>
        <w:rPr>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pPr>
        <w:adjustRightInd w:val="0"/>
        <w:snapToGrid w:val="0"/>
        <w:spacing w:line="360" w:lineRule="auto"/>
        <w:ind w:firstLine="480" w:firstLineChars="200"/>
        <w:rPr>
          <w:bCs/>
          <w:sz w:val="24"/>
        </w:rPr>
      </w:pPr>
      <w:r>
        <w:rPr>
          <w:rFonts w:hint="eastAsia"/>
          <w:bCs/>
          <w:sz w:val="24"/>
        </w:rPr>
        <w:t>2</w:t>
      </w:r>
      <w:r>
        <w:rPr>
          <w:bCs/>
          <w:sz w:val="24"/>
        </w:rPr>
        <w:t>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、合格境外投资者</w:t>
      </w:r>
      <w:r>
        <w:rPr>
          <w:bCs/>
          <w:sz w:val="24"/>
        </w:rPr>
        <w:t>以及法律法规或中国证监会允许购买证券投资基金的其他投资人的合称</w:t>
      </w:r>
    </w:p>
    <w:p>
      <w:pPr>
        <w:adjustRightInd w:val="0"/>
        <w:snapToGrid w:val="0"/>
        <w:spacing w:line="360" w:lineRule="auto"/>
        <w:ind w:firstLine="480" w:firstLineChars="200"/>
        <w:rPr>
          <w:bCs/>
          <w:sz w:val="24"/>
        </w:rPr>
      </w:pPr>
      <w:r>
        <w:rPr>
          <w:rFonts w:hint="eastAsia"/>
          <w:bCs/>
          <w:sz w:val="24"/>
        </w:rPr>
        <w:t>2</w:t>
      </w:r>
      <w:r>
        <w:rPr>
          <w:bCs/>
          <w:sz w:val="24"/>
        </w:rPr>
        <w:t>2</w:t>
      </w:r>
      <w:r>
        <w:rPr>
          <w:rFonts w:hint="eastAsia"/>
          <w:bCs/>
          <w:sz w:val="24"/>
        </w:rPr>
        <w:t>、基金份额持有人：指依基金合同和招募说明书合法取得基金份额的投资人</w:t>
      </w:r>
    </w:p>
    <w:p>
      <w:pPr>
        <w:adjustRightInd w:val="0"/>
        <w:snapToGrid w:val="0"/>
        <w:spacing w:line="360" w:lineRule="auto"/>
        <w:ind w:firstLine="480" w:firstLineChars="200"/>
        <w:rPr>
          <w:bCs/>
          <w:sz w:val="24"/>
        </w:rPr>
      </w:pPr>
      <w:r>
        <w:rPr>
          <w:rFonts w:hint="eastAsia"/>
          <w:bCs/>
          <w:sz w:val="24"/>
        </w:rPr>
        <w:t>2</w:t>
      </w:r>
      <w:r>
        <w:rPr>
          <w:bCs/>
          <w:sz w:val="24"/>
        </w:rPr>
        <w:t>3</w:t>
      </w:r>
      <w:r>
        <w:rPr>
          <w:rFonts w:hint="eastAsia"/>
          <w:bCs/>
          <w:sz w:val="24"/>
        </w:rPr>
        <w:t>、基金销售业务：指基金管理人或销售机构宣传推介基金，发售基金份额，办理基金份额的申购、赎回、转换、转托管及定期定额投资等业务</w:t>
      </w:r>
    </w:p>
    <w:p>
      <w:pPr>
        <w:adjustRightInd w:val="0"/>
        <w:snapToGrid w:val="0"/>
        <w:spacing w:line="360" w:lineRule="auto"/>
        <w:ind w:firstLine="480" w:firstLineChars="200"/>
        <w:rPr>
          <w:bCs/>
          <w:sz w:val="24"/>
        </w:rPr>
      </w:pPr>
      <w:r>
        <w:rPr>
          <w:rFonts w:hint="eastAsia"/>
          <w:bCs/>
          <w:sz w:val="24"/>
        </w:rPr>
        <w:t>2</w:t>
      </w:r>
      <w:r>
        <w:rPr>
          <w:bCs/>
          <w:sz w:val="24"/>
        </w:rPr>
        <w:t>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pPr>
        <w:adjustRightInd w:val="0"/>
        <w:snapToGrid w:val="0"/>
        <w:spacing w:line="360" w:lineRule="auto"/>
        <w:ind w:firstLine="480" w:firstLineChars="200"/>
        <w:rPr>
          <w:bCs/>
          <w:sz w:val="24"/>
        </w:rPr>
      </w:pPr>
      <w:r>
        <w:rPr>
          <w:rFonts w:hint="eastAsia"/>
          <w:bCs/>
          <w:sz w:val="24"/>
        </w:rPr>
        <w:t>2</w:t>
      </w:r>
      <w:r>
        <w:rPr>
          <w:bCs/>
          <w:sz w:val="24"/>
        </w:rPr>
        <w:t>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djustRightInd w:val="0"/>
        <w:snapToGrid w:val="0"/>
        <w:spacing w:line="360" w:lineRule="auto"/>
        <w:ind w:firstLine="480" w:firstLineChars="200"/>
        <w:rPr>
          <w:bCs/>
          <w:sz w:val="24"/>
        </w:rPr>
      </w:pPr>
      <w:r>
        <w:rPr>
          <w:rFonts w:hint="eastAsia"/>
          <w:bCs/>
          <w:sz w:val="24"/>
        </w:rPr>
        <w:t>2</w:t>
      </w:r>
      <w:r>
        <w:rPr>
          <w:bCs/>
          <w:sz w:val="24"/>
        </w:rPr>
        <w:t>6</w:t>
      </w:r>
      <w:r>
        <w:rPr>
          <w:rFonts w:hint="eastAsia"/>
          <w:bCs/>
          <w:sz w:val="24"/>
        </w:rPr>
        <w:t>、登记机构：指办理登记业务的机构。基金的登记机构为交银施罗德基金管理有限公司或接受交银施罗德基金管理有限公司委托代为办理登记业务的机构</w:t>
      </w:r>
    </w:p>
    <w:p>
      <w:pPr>
        <w:adjustRightInd w:val="0"/>
        <w:snapToGrid w:val="0"/>
        <w:spacing w:line="360" w:lineRule="auto"/>
        <w:ind w:firstLine="480" w:firstLineChars="200"/>
        <w:rPr>
          <w:bCs/>
          <w:sz w:val="24"/>
        </w:rPr>
      </w:pPr>
      <w:r>
        <w:rPr>
          <w:rFonts w:hint="eastAsia"/>
          <w:bCs/>
          <w:sz w:val="24"/>
        </w:rPr>
        <w:t>2</w:t>
      </w:r>
      <w:r>
        <w:rPr>
          <w:bCs/>
          <w:sz w:val="24"/>
        </w:rPr>
        <w:t>7</w:t>
      </w:r>
      <w:r>
        <w:rPr>
          <w:rFonts w:hint="eastAsia"/>
          <w:bCs/>
          <w:sz w:val="24"/>
        </w:rPr>
        <w:t>、基金账户：指登记机构为投资人开立的、记录其持有的、基金管理人所管理的基金份额余额及其变动情况的账户</w:t>
      </w:r>
    </w:p>
    <w:p>
      <w:pPr>
        <w:adjustRightInd w:val="0"/>
        <w:snapToGrid w:val="0"/>
        <w:spacing w:line="360" w:lineRule="auto"/>
        <w:ind w:firstLine="480" w:firstLineChars="200"/>
        <w:rPr>
          <w:bCs/>
          <w:sz w:val="24"/>
        </w:rPr>
      </w:pPr>
      <w:r>
        <w:rPr>
          <w:rFonts w:hint="eastAsia"/>
          <w:bCs/>
          <w:sz w:val="24"/>
        </w:rPr>
        <w:t>2</w:t>
      </w:r>
      <w:r>
        <w:rPr>
          <w:bCs/>
          <w:sz w:val="24"/>
        </w:rPr>
        <w:t>8</w:t>
      </w:r>
      <w:r>
        <w:rPr>
          <w:rFonts w:hint="eastAsia"/>
          <w:bCs/>
          <w:sz w:val="24"/>
        </w:rPr>
        <w:t>、基金交易账户：指销售机构为投资人开立的、记录投资人通过该销售机构办理认购、申购、赎回、转换及转托管等业务而引起的基金份额变动及结余情况的账户</w:t>
      </w:r>
    </w:p>
    <w:p>
      <w:pPr>
        <w:adjustRightInd w:val="0"/>
        <w:snapToGrid w:val="0"/>
        <w:spacing w:line="360" w:lineRule="auto"/>
        <w:ind w:firstLine="480" w:firstLineChars="20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pPr>
        <w:adjustRightInd w:val="0"/>
        <w:snapToGrid w:val="0"/>
        <w:spacing w:line="360" w:lineRule="auto"/>
        <w:ind w:firstLine="480" w:firstLineChars="200"/>
        <w:rPr>
          <w:bCs/>
          <w:sz w:val="24"/>
        </w:rPr>
      </w:pPr>
      <w:r>
        <w:rPr>
          <w:rFonts w:hint="eastAsia"/>
          <w:bCs/>
          <w:sz w:val="24"/>
        </w:rPr>
        <w:t>3</w:t>
      </w:r>
      <w:r>
        <w:rPr>
          <w:bCs/>
          <w:sz w:val="24"/>
        </w:rPr>
        <w:t>0</w:t>
      </w:r>
      <w:r>
        <w:rPr>
          <w:rFonts w:hint="eastAsia"/>
          <w:bCs/>
          <w:sz w:val="24"/>
        </w:rPr>
        <w:t>、基金合同终止日：指基金合同规定的基金合同终止事由出现后，基金财产清算完毕，清算结果报中国证监会备案并予以公告的日期</w:t>
      </w:r>
    </w:p>
    <w:p>
      <w:pPr>
        <w:adjustRightInd w:val="0"/>
        <w:snapToGrid w:val="0"/>
        <w:spacing w:line="360" w:lineRule="auto"/>
        <w:ind w:firstLine="480" w:firstLineChars="200"/>
        <w:rPr>
          <w:bCs/>
          <w:sz w:val="24"/>
        </w:rPr>
      </w:pPr>
      <w:r>
        <w:rPr>
          <w:rFonts w:hint="eastAsia"/>
          <w:bCs/>
          <w:sz w:val="24"/>
        </w:rPr>
        <w:t>3</w:t>
      </w:r>
      <w:r>
        <w:rPr>
          <w:bCs/>
          <w:sz w:val="24"/>
        </w:rPr>
        <w:t>1</w:t>
      </w:r>
      <w:r>
        <w:rPr>
          <w:rFonts w:hint="eastAsia"/>
          <w:bCs/>
          <w:sz w:val="24"/>
        </w:rPr>
        <w:t>、基金募集期：指自基金份额发售之日起至发售结束之日止的期间，最长不得超过3个月</w:t>
      </w:r>
    </w:p>
    <w:p>
      <w:pPr>
        <w:adjustRightInd w:val="0"/>
        <w:snapToGrid w:val="0"/>
        <w:spacing w:line="360" w:lineRule="auto"/>
        <w:ind w:firstLine="480" w:firstLineChars="200"/>
        <w:rPr>
          <w:bCs/>
          <w:sz w:val="24"/>
        </w:rPr>
      </w:pPr>
      <w:r>
        <w:rPr>
          <w:rFonts w:hint="eastAsia"/>
          <w:bCs/>
          <w:sz w:val="24"/>
        </w:rPr>
        <w:t>3</w:t>
      </w:r>
      <w:r>
        <w:rPr>
          <w:bCs/>
          <w:sz w:val="24"/>
        </w:rPr>
        <w:t>2</w:t>
      </w:r>
      <w:r>
        <w:rPr>
          <w:rFonts w:hint="eastAsia"/>
          <w:bCs/>
          <w:sz w:val="24"/>
        </w:rPr>
        <w:t>、存续期：指基金合同生效至终止之间的不定期期限</w:t>
      </w:r>
    </w:p>
    <w:p>
      <w:pPr>
        <w:adjustRightInd w:val="0"/>
        <w:snapToGrid w:val="0"/>
        <w:spacing w:line="360" w:lineRule="auto"/>
        <w:ind w:firstLine="480" w:firstLineChars="200"/>
        <w:rPr>
          <w:bCs/>
          <w:sz w:val="24"/>
        </w:rPr>
      </w:pPr>
      <w:r>
        <w:rPr>
          <w:rFonts w:hint="eastAsia"/>
          <w:bCs/>
          <w:sz w:val="24"/>
        </w:rPr>
        <w:t>3</w:t>
      </w:r>
      <w:r>
        <w:rPr>
          <w:bCs/>
          <w:sz w:val="24"/>
        </w:rPr>
        <w:t>3</w:t>
      </w:r>
      <w:r>
        <w:rPr>
          <w:rFonts w:hint="eastAsia"/>
          <w:bCs/>
          <w:sz w:val="24"/>
        </w:rPr>
        <w:t>、工作日：指上海证券交易所、深圳证券交易所的正常交易日</w:t>
      </w:r>
    </w:p>
    <w:p>
      <w:pPr>
        <w:adjustRightInd w:val="0"/>
        <w:snapToGrid w:val="0"/>
        <w:spacing w:line="360" w:lineRule="auto"/>
        <w:ind w:firstLine="480" w:firstLineChars="200"/>
        <w:rPr>
          <w:bCs/>
          <w:sz w:val="24"/>
        </w:rPr>
      </w:pPr>
      <w:r>
        <w:rPr>
          <w:rFonts w:hint="eastAsia"/>
          <w:bCs/>
          <w:sz w:val="24"/>
        </w:rPr>
        <w:t>3</w:t>
      </w:r>
      <w:r>
        <w:rPr>
          <w:bCs/>
          <w:sz w:val="24"/>
        </w:rPr>
        <w:t>4</w:t>
      </w:r>
      <w:r>
        <w:rPr>
          <w:rFonts w:hint="eastAsia"/>
          <w:bCs/>
          <w:sz w:val="24"/>
        </w:rPr>
        <w:t>、T日：指销售机构在规定时间受理投资人申购、赎回或其他业务申请的开放日</w:t>
      </w:r>
    </w:p>
    <w:p>
      <w:pPr>
        <w:adjustRightInd w:val="0"/>
        <w:snapToGrid w:val="0"/>
        <w:spacing w:line="360" w:lineRule="auto"/>
        <w:ind w:firstLine="480" w:firstLineChars="200"/>
        <w:rPr>
          <w:bCs/>
          <w:sz w:val="24"/>
        </w:rPr>
      </w:pPr>
      <w:r>
        <w:rPr>
          <w:rFonts w:hint="eastAsia"/>
          <w:bCs/>
          <w:sz w:val="24"/>
        </w:rPr>
        <w:t>3</w:t>
      </w:r>
      <w:r>
        <w:rPr>
          <w:bCs/>
          <w:sz w:val="24"/>
        </w:rPr>
        <w:t>5</w:t>
      </w:r>
      <w:r>
        <w:rPr>
          <w:rFonts w:hint="eastAsia"/>
          <w:bCs/>
          <w:sz w:val="24"/>
        </w:rPr>
        <w:t>、T+n日：指自T日起第n个工作日（不包含T日）</w:t>
      </w:r>
    </w:p>
    <w:p>
      <w:pPr>
        <w:adjustRightInd w:val="0"/>
        <w:snapToGrid w:val="0"/>
        <w:spacing w:line="360" w:lineRule="auto"/>
        <w:ind w:firstLine="480" w:firstLineChars="200"/>
        <w:rPr>
          <w:bCs/>
          <w:sz w:val="24"/>
        </w:rPr>
      </w:pPr>
      <w:r>
        <w:rPr>
          <w:bCs/>
          <w:sz w:val="24"/>
        </w:rPr>
        <w:t>3</w:t>
      </w:r>
      <w:r>
        <w:rPr>
          <w:rFonts w:hint="eastAsia"/>
          <w:bCs/>
          <w:sz w:val="24"/>
        </w:rPr>
        <w:t>6、开放日：指为投资人办理基金份额申购、赎回或其他业务的工作日（若该工作日为非港股通交易日，则本基金可不开放）</w:t>
      </w:r>
    </w:p>
    <w:p>
      <w:pPr>
        <w:adjustRightInd w:val="0"/>
        <w:snapToGrid w:val="0"/>
        <w:spacing w:line="360" w:lineRule="auto"/>
        <w:ind w:firstLine="480" w:firstLineChars="200"/>
        <w:rPr>
          <w:bCs/>
          <w:sz w:val="24"/>
        </w:rPr>
      </w:pPr>
      <w:r>
        <w:rPr>
          <w:bCs/>
          <w:sz w:val="24"/>
        </w:rPr>
        <w:t>3</w:t>
      </w:r>
      <w:r>
        <w:rPr>
          <w:rFonts w:hint="eastAsia"/>
          <w:bCs/>
          <w:sz w:val="24"/>
        </w:rPr>
        <w:t>7、开放时间：指开放日基金接受申购、赎回或其他交易的时间段</w:t>
      </w:r>
    </w:p>
    <w:p>
      <w:pPr>
        <w:adjustRightInd w:val="0"/>
        <w:snapToGrid w:val="0"/>
        <w:spacing w:line="360" w:lineRule="auto"/>
        <w:ind w:firstLine="480" w:firstLineChars="200"/>
        <w:rPr>
          <w:bCs/>
          <w:sz w:val="24"/>
        </w:rPr>
      </w:pPr>
      <w:r>
        <w:rPr>
          <w:rFonts w:hint="eastAsia"/>
          <w:bCs/>
          <w:sz w:val="24"/>
        </w:rPr>
        <w:t>38、《业务规则》：指中国证券登记结算有限责任公司相关业务规则及其不时做出的修订</w:t>
      </w:r>
    </w:p>
    <w:p>
      <w:pPr>
        <w:adjustRightInd w:val="0"/>
        <w:snapToGrid w:val="0"/>
        <w:spacing w:line="360" w:lineRule="auto"/>
        <w:ind w:firstLine="480" w:firstLineChars="200"/>
        <w:rPr>
          <w:bCs/>
          <w:sz w:val="24"/>
        </w:rPr>
      </w:pPr>
      <w:r>
        <w:rPr>
          <w:rFonts w:hint="eastAsia"/>
          <w:bCs/>
          <w:sz w:val="24"/>
        </w:rPr>
        <w:t>39、认购：指在基金募集期内，投资人根据基金合同和招募说明书的规定申请购买基金份额的行为</w:t>
      </w:r>
    </w:p>
    <w:p>
      <w:pPr>
        <w:adjustRightInd w:val="0"/>
        <w:snapToGrid w:val="0"/>
        <w:spacing w:line="360" w:lineRule="auto"/>
        <w:ind w:firstLine="480" w:firstLineChars="200"/>
        <w:rPr>
          <w:bCs/>
          <w:sz w:val="24"/>
        </w:rPr>
      </w:pPr>
      <w:r>
        <w:rPr>
          <w:bCs/>
          <w:sz w:val="24"/>
        </w:rPr>
        <w:t>4</w:t>
      </w:r>
      <w:r>
        <w:rPr>
          <w:rFonts w:hint="eastAsia"/>
          <w:bCs/>
          <w:sz w:val="24"/>
        </w:rPr>
        <w:t>0、申购：指基金合同生效后，投资人根据基金合同和招募说明书的规定申请购买基金份额的行为</w:t>
      </w:r>
    </w:p>
    <w:p>
      <w:pPr>
        <w:adjustRightInd w:val="0"/>
        <w:snapToGrid w:val="0"/>
        <w:spacing w:line="360" w:lineRule="auto"/>
        <w:ind w:firstLine="480" w:firstLineChars="200"/>
        <w:rPr>
          <w:bCs/>
          <w:sz w:val="24"/>
        </w:rPr>
      </w:pPr>
      <w:r>
        <w:rPr>
          <w:bCs/>
          <w:sz w:val="24"/>
        </w:rPr>
        <w:t>4</w:t>
      </w:r>
      <w:r>
        <w:rPr>
          <w:rFonts w:hint="eastAsia"/>
          <w:bCs/>
          <w:sz w:val="24"/>
        </w:rPr>
        <w:t>1、赎回：指基金合同生效后，基金份额持有人按基金合同和招募说明书规定的条件要求将基金份额兑换为现金的行为</w:t>
      </w:r>
    </w:p>
    <w:p>
      <w:pPr>
        <w:adjustRightInd w:val="0"/>
        <w:snapToGrid w:val="0"/>
        <w:spacing w:line="360" w:lineRule="auto"/>
        <w:ind w:firstLine="480" w:firstLineChars="200"/>
        <w:rPr>
          <w:bCs/>
          <w:sz w:val="24"/>
        </w:rPr>
      </w:pPr>
      <w:r>
        <w:rPr>
          <w:bCs/>
          <w:sz w:val="24"/>
        </w:rPr>
        <w:t>4</w:t>
      </w:r>
      <w:r>
        <w:rPr>
          <w:rFonts w:hint="eastAsia"/>
          <w:bCs/>
          <w:sz w:val="24"/>
        </w:rPr>
        <w:t>2、基金转换：指基金份额持有人按照基金合同和基金管理人届时有效公告规定的条件，申请将其持有基金管理人管理的、某一基金的基金份额转换为基金管理人管理的其他基金基金份额的行为</w:t>
      </w:r>
    </w:p>
    <w:p>
      <w:pPr>
        <w:adjustRightInd w:val="0"/>
        <w:snapToGrid w:val="0"/>
        <w:spacing w:line="360" w:lineRule="auto"/>
        <w:ind w:firstLine="480" w:firstLineChars="200"/>
        <w:rPr>
          <w:bCs/>
          <w:sz w:val="24"/>
        </w:rPr>
      </w:pPr>
      <w:r>
        <w:rPr>
          <w:bCs/>
          <w:sz w:val="24"/>
        </w:rPr>
        <w:t>4</w:t>
      </w:r>
      <w:r>
        <w:rPr>
          <w:rFonts w:hint="eastAsia"/>
          <w:bCs/>
          <w:sz w:val="24"/>
        </w:rPr>
        <w:t>3、转托管：指基金份额持有人在本基金的不同销售机构之间实施的变更所持基金份额销售机构的操作</w:t>
      </w:r>
    </w:p>
    <w:p>
      <w:pPr>
        <w:adjustRightInd w:val="0"/>
        <w:snapToGrid w:val="0"/>
        <w:spacing w:line="360" w:lineRule="auto"/>
        <w:ind w:firstLine="480" w:firstLineChars="200"/>
        <w:rPr>
          <w:bCs/>
          <w:sz w:val="24"/>
        </w:rPr>
      </w:pPr>
      <w:r>
        <w:rPr>
          <w:bCs/>
          <w:sz w:val="24"/>
        </w:rPr>
        <w:t>4</w:t>
      </w:r>
      <w:r>
        <w:rPr>
          <w:rFonts w:hint="eastAsia"/>
          <w:bCs/>
          <w:sz w:val="24"/>
        </w:rPr>
        <w:t>4、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djustRightInd w:val="0"/>
        <w:snapToGrid w:val="0"/>
        <w:spacing w:line="360" w:lineRule="auto"/>
        <w:ind w:firstLine="480" w:firstLineChars="200"/>
        <w:rPr>
          <w:bCs/>
          <w:sz w:val="24"/>
        </w:rPr>
      </w:pPr>
      <w:r>
        <w:rPr>
          <w:bCs/>
          <w:sz w:val="24"/>
        </w:rPr>
        <w:t>4</w:t>
      </w:r>
      <w:r>
        <w:rPr>
          <w:rFonts w:hint="eastAsia"/>
          <w:bCs/>
          <w:sz w:val="24"/>
        </w:rPr>
        <w:t>5、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djustRightInd w:val="0"/>
        <w:snapToGrid w:val="0"/>
        <w:spacing w:line="360" w:lineRule="auto"/>
        <w:ind w:firstLine="480" w:firstLineChars="200"/>
        <w:rPr>
          <w:bCs/>
          <w:sz w:val="24"/>
        </w:rPr>
      </w:pPr>
      <w:r>
        <w:rPr>
          <w:bCs/>
          <w:sz w:val="24"/>
        </w:rPr>
        <w:t>4</w:t>
      </w:r>
      <w:r>
        <w:rPr>
          <w:rFonts w:hint="eastAsia"/>
          <w:bCs/>
          <w:sz w:val="24"/>
        </w:rPr>
        <w:t>6、元：指人民币元</w:t>
      </w:r>
    </w:p>
    <w:p>
      <w:pPr>
        <w:adjustRightInd w:val="0"/>
        <w:snapToGrid w:val="0"/>
        <w:spacing w:line="360" w:lineRule="auto"/>
        <w:ind w:firstLine="480" w:firstLineChars="200"/>
        <w:rPr>
          <w:bCs/>
          <w:sz w:val="24"/>
        </w:rPr>
      </w:pPr>
      <w:r>
        <w:rPr>
          <w:bCs/>
          <w:sz w:val="24"/>
        </w:rPr>
        <w:t>4</w:t>
      </w:r>
      <w:r>
        <w:rPr>
          <w:rFonts w:hint="eastAsia"/>
          <w:bCs/>
          <w:sz w:val="24"/>
        </w:rPr>
        <w:t>7、基金收益：指基金投资所得红利、股息、债券利息、买卖证券价差、银行存款利息、已实现的其他合法收入及因运用基金财产带来的成本和费用的节约</w:t>
      </w:r>
    </w:p>
    <w:p>
      <w:pPr>
        <w:adjustRightInd w:val="0"/>
        <w:snapToGrid w:val="0"/>
        <w:spacing w:line="360" w:lineRule="auto"/>
        <w:ind w:firstLine="480" w:firstLineChars="200"/>
        <w:rPr>
          <w:bCs/>
          <w:sz w:val="24"/>
        </w:rPr>
      </w:pPr>
      <w:r>
        <w:rPr>
          <w:rFonts w:hint="eastAsia"/>
          <w:bCs/>
          <w:sz w:val="24"/>
        </w:rPr>
        <w:t>48、基金资产总值：指基金拥有的各类有价证券、股指期货合约、银行存款本息、基金应收款项及其他资产的价值总和</w:t>
      </w:r>
    </w:p>
    <w:p>
      <w:pPr>
        <w:adjustRightInd w:val="0"/>
        <w:snapToGrid w:val="0"/>
        <w:spacing w:line="360" w:lineRule="auto"/>
        <w:ind w:firstLine="480" w:firstLineChars="200"/>
        <w:rPr>
          <w:bCs/>
          <w:sz w:val="24"/>
        </w:rPr>
      </w:pPr>
      <w:r>
        <w:rPr>
          <w:rFonts w:hint="eastAsia"/>
          <w:bCs/>
          <w:sz w:val="24"/>
        </w:rPr>
        <w:t>49、基金资产净值：指基金资产总值减去基金负债后的价值</w:t>
      </w:r>
    </w:p>
    <w:p>
      <w:pPr>
        <w:adjustRightInd w:val="0"/>
        <w:snapToGrid w:val="0"/>
        <w:spacing w:line="360" w:lineRule="auto"/>
        <w:ind w:firstLine="480" w:firstLineChars="200"/>
        <w:rPr>
          <w:bCs/>
          <w:sz w:val="24"/>
        </w:rPr>
      </w:pPr>
      <w:r>
        <w:rPr>
          <w:rFonts w:hint="eastAsia"/>
          <w:bCs/>
          <w:sz w:val="24"/>
        </w:rPr>
        <w:t>50、基金份额净值：指计算日基金资产净值除以计算日基金份额总数</w:t>
      </w:r>
    </w:p>
    <w:p>
      <w:pPr>
        <w:adjustRightInd w:val="0"/>
        <w:snapToGrid w:val="0"/>
        <w:spacing w:line="360" w:lineRule="auto"/>
        <w:ind w:firstLine="480" w:firstLineChars="200"/>
        <w:rPr>
          <w:bCs/>
          <w:sz w:val="24"/>
        </w:rPr>
      </w:pPr>
      <w:r>
        <w:rPr>
          <w:bCs/>
          <w:sz w:val="24"/>
        </w:rPr>
        <w:t>5</w:t>
      </w:r>
      <w:r>
        <w:rPr>
          <w:rFonts w:hint="eastAsia"/>
          <w:bCs/>
          <w:sz w:val="24"/>
        </w:rPr>
        <w:t>1、基金资产估值：指计算评估基金资产和负债的价值，以确定基金资产净值和基金份额净值的过程</w:t>
      </w:r>
    </w:p>
    <w:p>
      <w:pPr>
        <w:adjustRightInd w:val="0"/>
        <w:snapToGrid w:val="0"/>
        <w:spacing w:line="360" w:lineRule="auto"/>
        <w:ind w:firstLine="480" w:firstLineChars="200"/>
        <w:rPr>
          <w:bCs/>
          <w:sz w:val="24"/>
        </w:rPr>
      </w:pPr>
      <w:r>
        <w:rPr>
          <w:bCs/>
          <w:sz w:val="24"/>
        </w:rPr>
        <w:t>5</w:t>
      </w:r>
      <w:r>
        <w:rPr>
          <w:rFonts w:hint="eastAsia"/>
          <w:bCs/>
          <w:sz w:val="24"/>
        </w:rPr>
        <w:t>2、港股通：指内地投资者委托内地证券公司，经由内地证券交易所在香港设立的证券交易服务公司，向香港联合交易所进行申报，买卖规定范围内的香港联合交易所上市的股票</w:t>
      </w:r>
    </w:p>
    <w:p>
      <w:pPr>
        <w:adjustRightInd w:val="0"/>
        <w:snapToGrid w:val="0"/>
        <w:spacing w:line="360" w:lineRule="auto"/>
        <w:ind w:firstLine="480" w:firstLineChars="200"/>
        <w:rPr>
          <w:bCs/>
          <w:sz w:val="24"/>
        </w:rPr>
      </w:pPr>
      <w:r>
        <w:rPr>
          <w:bCs/>
          <w:sz w:val="24"/>
        </w:rPr>
        <w:t>5</w:t>
      </w:r>
      <w:r>
        <w:rPr>
          <w:rFonts w:hint="eastAsia"/>
          <w:bCs/>
          <w:sz w:val="24"/>
        </w:rPr>
        <w:t>3、销售服务费：指从基金财产中计提的，用于本基金市场推广、销售以及基金份额持有人服务的费用</w:t>
      </w:r>
    </w:p>
    <w:p>
      <w:pPr>
        <w:adjustRightInd w:val="0"/>
        <w:snapToGrid w:val="0"/>
        <w:spacing w:line="360" w:lineRule="auto"/>
        <w:ind w:firstLine="480" w:firstLineChars="200"/>
        <w:rPr>
          <w:bCs/>
          <w:sz w:val="24"/>
        </w:rPr>
      </w:pPr>
      <w:r>
        <w:rPr>
          <w:bCs/>
          <w:sz w:val="24"/>
        </w:rPr>
        <w:t>5</w:t>
      </w:r>
      <w:r>
        <w:rPr>
          <w:rFonts w:hint="eastAsia"/>
          <w:bCs/>
          <w:sz w:val="24"/>
        </w:rPr>
        <w:t>4、A类基金份额：指在投资人认购/申购时收取认购/申购费用、赎回时收取赎回费用且不从本类别基金资产中计提销售服务费的基金份额</w:t>
      </w:r>
    </w:p>
    <w:p>
      <w:pPr>
        <w:adjustRightInd w:val="0"/>
        <w:snapToGrid w:val="0"/>
        <w:spacing w:line="360" w:lineRule="auto"/>
        <w:ind w:firstLine="480" w:firstLineChars="200"/>
        <w:rPr>
          <w:bCs/>
          <w:sz w:val="24"/>
        </w:rPr>
      </w:pPr>
      <w:r>
        <w:rPr>
          <w:bCs/>
          <w:sz w:val="24"/>
        </w:rPr>
        <w:t>5</w:t>
      </w:r>
      <w:r>
        <w:rPr>
          <w:rFonts w:hint="eastAsia"/>
          <w:bCs/>
          <w:sz w:val="24"/>
        </w:rPr>
        <w:t>5、C类基金份额：指在投资人认购/申购时不收取认购/申购费用、赎回时收取赎回费用，并从本类别基金资产中计提销售服务费的基金份额</w:t>
      </w:r>
    </w:p>
    <w:p>
      <w:pPr>
        <w:adjustRightInd w:val="0"/>
        <w:snapToGrid w:val="0"/>
        <w:spacing w:line="360" w:lineRule="auto"/>
        <w:ind w:firstLine="480" w:firstLineChars="200"/>
        <w:rPr>
          <w:bCs/>
          <w:sz w:val="24"/>
        </w:rPr>
      </w:pPr>
      <w:r>
        <w:rPr>
          <w:bCs/>
          <w:sz w:val="24"/>
        </w:rPr>
        <w:t>5</w:t>
      </w:r>
      <w:r>
        <w:rPr>
          <w:rFonts w:hint="eastAsia"/>
          <w:bCs/>
          <w:sz w:val="24"/>
        </w:rPr>
        <w:t>6、规定媒介：指符合中国证监会规定条件的用以进行信息披露的全国性报刊及《信息披露办法》规定的互联网网站（包括基金管理人网站、基金托管人网站、中国证监会基金电子披露网站）等媒介</w:t>
      </w:r>
    </w:p>
    <w:p>
      <w:pPr>
        <w:adjustRightInd w:val="0"/>
        <w:snapToGrid w:val="0"/>
        <w:spacing w:line="360" w:lineRule="auto"/>
        <w:ind w:firstLine="480" w:firstLineChars="200"/>
        <w:rPr>
          <w:bCs/>
          <w:sz w:val="24"/>
        </w:rPr>
      </w:pPr>
      <w:r>
        <w:rPr>
          <w:bCs/>
          <w:sz w:val="24"/>
        </w:rPr>
        <w:t>5</w:t>
      </w:r>
      <w:r>
        <w:rPr>
          <w:rFonts w:hint="eastAsia"/>
          <w:bCs/>
          <w:sz w:val="24"/>
        </w:rPr>
        <w:t>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djustRightInd w:val="0"/>
        <w:snapToGrid w:val="0"/>
        <w:spacing w:line="360" w:lineRule="auto"/>
        <w:ind w:firstLine="480" w:firstLineChars="200"/>
        <w:rPr>
          <w:bCs/>
          <w:sz w:val="24"/>
        </w:rPr>
      </w:pPr>
      <w:r>
        <w:rPr>
          <w:rFonts w:hint="eastAsia"/>
          <w:bCs/>
          <w:sz w:val="24"/>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djustRightInd w:val="0"/>
        <w:snapToGrid w:val="0"/>
        <w:spacing w:line="360" w:lineRule="auto"/>
        <w:ind w:firstLine="480" w:firstLineChars="200"/>
        <w:rPr>
          <w:bCs/>
          <w:sz w:val="24"/>
        </w:rPr>
      </w:pPr>
      <w:r>
        <w:rPr>
          <w:rFonts w:hint="eastAsia"/>
          <w:bCs/>
          <w:sz w:val="24"/>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djustRightInd w:val="0"/>
        <w:snapToGrid w:val="0"/>
        <w:spacing w:line="360" w:lineRule="auto"/>
        <w:ind w:firstLine="480" w:firstLineChars="200"/>
        <w:rPr>
          <w:bCs/>
          <w:sz w:val="24"/>
        </w:rPr>
      </w:pPr>
      <w:r>
        <w:rPr>
          <w:rFonts w:hint="eastAsia"/>
          <w:bCs/>
          <w:sz w:val="24"/>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djustRightInd w:val="0"/>
        <w:snapToGrid w:val="0"/>
        <w:spacing w:line="360" w:lineRule="auto"/>
        <w:ind w:firstLine="480" w:firstLineChars="200"/>
        <w:rPr>
          <w:bCs/>
          <w:sz w:val="24"/>
        </w:rPr>
      </w:pPr>
      <w:r>
        <w:rPr>
          <w:bCs/>
          <w:sz w:val="24"/>
        </w:rPr>
        <w:t>6</w:t>
      </w:r>
      <w:r>
        <w:rPr>
          <w:rFonts w:hint="eastAsia"/>
          <w:bCs/>
          <w:sz w:val="24"/>
        </w:rPr>
        <w:t>1、不可抗力：指基金合同当事人不能预见、不能避免且不能克服的客观事件</w:t>
      </w:r>
      <w:bookmarkEnd w:id="4"/>
    </w:p>
    <w:p>
      <w:pPr>
        <w:rPr>
          <w:bCs/>
          <w:sz w:val="24"/>
        </w:rPr>
      </w:pPr>
      <w:r>
        <w:rPr>
          <w:rFonts w:hint="eastAsia"/>
          <w:bCs/>
          <w:sz w:val="24"/>
        </w:rPr>
        <w:br w:type="page"/>
      </w:r>
    </w:p>
    <w:p>
      <w:pPr>
        <w:spacing w:line="360" w:lineRule="auto"/>
        <w:jc w:val="center"/>
        <w:outlineLvl w:val="0"/>
        <w:rPr>
          <w:rFonts w:ascii="宋体" w:hAnsi="宋体"/>
          <w:b/>
          <w:kern w:val="0"/>
          <w:sz w:val="30"/>
        </w:rPr>
      </w:pPr>
      <w:bookmarkStart w:id="5" w:name="_Hlt80961854"/>
      <w:bookmarkEnd w:id="5"/>
      <w:bookmarkStart w:id="6" w:name="_Hlt81034163"/>
      <w:bookmarkEnd w:id="6"/>
      <w:bookmarkStart w:id="7" w:name="_Toc109537381"/>
      <w:bookmarkStart w:id="8" w:name="_Toc48122004"/>
      <w:r>
        <w:rPr>
          <w:rFonts w:hint="eastAsia" w:ascii="宋体" w:hAnsi="宋体"/>
          <w:b/>
          <w:kern w:val="0"/>
          <w:sz w:val="30"/>
        </w:rPr>
        <w:t>三、基金管理人</w:t>
      </w:r>
      <w:bookmarkEnd w:id="7"/>
      <w:bookmarkEnd w:id="8"/>
    </w:p>
    <w:p>
      <w:pPr>
        <w:widowControl/>
        <w:adjustRightInd w:val="0"/>
        <w:snapToGrid w:val="0"/>
        <w:spacing w:line="360" w:lineRule="auto"/>
        <w:ind w:firstLine="482" w:firstLineChars="200"/>
        <w:outlineLvl w:val="1"/>
        <w:rPr>
          <w:rFonts w:hAnsi="宋体"/>
          <w:b/>
          <w:kern w:val="0"/>
          <w:sz w:val="24"/>
        </w:rPr>
      </w:pPr>
      <w:r>
        <w:rPr>
          <w:rFonts w:hAnsi="宋体"/>
          <w:b/>
          <w:kern w:val="0"/>
          <w:sz w:val="24"/>
        </w:rPr>
        <w:t>（一）基金管理人概况</w:t>
      </w:r>
    </w:p>
    <w:p>
      <w:pPr>
        <w:widowControl/>
        <w:adjustRightInd w:val="0"/>
        <w:snapToGrid w:val="0"/>
        <w:spacing w:line="360" w:lineRule="auto"/>
        <w:ind w:firstLine="480" w:firstLineChars="200"/>
        <w:rPr>
          <w:kern w:val="0"/>
          <w:sz w:val="24"/>
        </w:rPr>
      </w:pPr>
      <w:r>
        <w:rPr>
          <w:rFonts w:hAnsi="宋体"/>
          <w:kern w:val="0"/>
          <w:sz w:val="24"/>
        </w:rPr>
        <w:t>名称：交银施罗德基金管理有限公司</w:t>
      </w:r>
    </w:p>
    <w:p>
      <w:pPr>
        <w:widowControl/>
        <w:adjustRightInd w:val="0"/>
        <w:snapToGrid w:val="0"/>
        <w:spacing w:line="360" w:lineRule="auto"/>
        <w:ind w:firstLine="480" w:firstLineChars="200"/>
        <w:rPr>
          <w:kern w:val="0"/>
          <w:sz w:val="24"/>
        </w:rPr>
      </w:pPr>
      <w:r>
        <w:rPr>
          <w:rFonts w:hAnsi="宋体"/>
          <w:kern w:val="0"/>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pPr>
        <w:widowControl/>
        <w:adjustRightInd w:val="0"/>
        <w:snapToGrid w:val="0"/>
        <w:spacing w:line="360" w:lineRule="auto"/>
        <w:ind w:firstLine="480" w:firstLineChars="200"/>
        <w:rPr>
          <w:kern w:val="0"/>
          <w:sz w:val="24"/>
        </w:rPr>
      </w:pPr>
      <w:r>
        <w:rPr>
          <w:rFonts w:hAnsi="宋体"/>
          <w:kern w:val="0"/>
          <w:sz w:val="24"/>
        </w:rPr>
        <w:t>办公地址：</w:t>
      </w:r>
      <w:r>
        <w:rPr>
          <w:rFonts w:hint="eastAsia" w:ascii="宋体" w:hAnsi="宋体" w:cs="宋体"/>
          <w:kern w:val="0"/>
          <w:sz w:val="24"/>
        </w:rPr>
        <w:t>上海市浦东</w:t>
      </w:r>
      <w:r>
        <w:rPr>
          <w:rFonts w:ascii="宋体" w:hAnsi="宋体" w:cs="宋体"/>
          <w:kern w:val="0"/>
          <w:sz w:val="24"/>
        </w:rPr>
        <w:t>新区</w:t>
      </w:r>
      <w:r>
        <w:rPr>
          <w:rFonts w:hint="eastAsia" w:ascii="宋体" w:hAnsi="宋体" w:cs="宋体"/>
          <w:kern w:val="0"/>
          <w:sz w:val="24"/>
        </w:rPr>
        <w:t>世纪大道8号国金中心二期21-22楼</w:t>
      </w:r>
    </w:p>
    <w:p>
      <w:pPr>
        <w:widowControl/>
        <w:adjustRightInd w:val="0"/>
        <w:snapToGrid w:val="0"/>
        <w:spacing w:line="360" w:lineRule="auto"/>
        <w:ind w:firstLine="480" w:firstLineChars="200"/>
        <w:rPr>
          <w:kern w:val="0"/>
          <w:sz w:val="24"/>
        </w:rPr>
      </w:pPr>
      <w:r>
        <w:rPr>
          <w:rFonts w:hAnsi="宋体"/>
          <w:sz w:val="24"/>
        </w:rPr>
        <w:t>邮政编码：</w:t>
      </w:r>
      <w:r>
        <w:rPr>
          <w:sz w:val="24"/>
        </w:rPr>
        <w:t>200120</w:t>
      </w:r>
    </w:p>
    <w:p>
      <w:pPr>
        <w:widowControl/>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阮红</w:t>
      </w:r>
    </w:p>
    <w:p>
      <w:pPr>
        <w:widowControl/>
        <w:adjustRightInd w:val="0"/>
        <w:snapToGrid w:val="0"/>
        <w:spacing w:line="360" w:lineRule="auto"/>
        <w:ind w:firstLine="480" w:firstLineChars="20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pPr>
        <w:widowControl/>
        <w:adjustRightInd w:val="0"/>
        <w:snapToGrid w:val="0"/>
        <w:spacing w:line="360" w:lineRule="auto"/>
        <w:ind w:firstLine="480" w:firstLineChars="200"/>
        <w:rPr>
          <w:kern w:val="0"/>
          <w:sz w:val="24"/>
        </w:rPr>
      </w:pPr>
      <w:r>
        <w:rPr>
          <w:rFonts w:hAnsi="宋体"/>
          <w:kern w:val="0"/>
          <w:sz w:val="24"/>
        </w:rPr>
        <w:t>注册资本：</w:t>
      </w:r>
      <w:r>
        <w:rPr>
          <w:kern w:val="0"/>
          <w:sz w:val="24"/>
        </w:rPr>
        <w:t>2</w:t>
      </w:r>
      <w:r>
        <w:rPr>
          <w:rFonts w:hAnsi="宋体"/>
          <w:kern w:val="0"/>
          <w:sz w:val="24"/>
        </w:rPr>
        <w:t>亿元人民币</w:t>
      </w:r>
    </w:p>
    <w:p>
      <w:pPr>
        <w:widowControl/>
        <w:adjustRightInd w:val="0"/>
        <w:snapToGrid w:val="0"/>
        <w:spacing w:line="360" w:lineRule="auto"/>
        <w:ind w:firstLine="480" w:firstLineChars="200"/>
        <w:rPr>
          <w:kern w:val="0"/>
          <w:sz w:val="24"/>
        </w:rPr>
      </w:pPr>
      <w:r>
        <w:rPr>
          <w:rFonts w:hAnsi="宋体"/>
          <w:kern w:val="0"/>
          <w:sz w:val="24"/>
        </w:rPr>
        <w:t>存续期间：持续经营</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郭佳敏</w:t>
      </w:r>
    </w:p>
    <w:p>
      <w:pPr>
        <w:widowControl/>
        <w:adjustRightInd w:val="0"/>
        <w:snapToGrid w:val="0"/>
        <w:spacing w:line="360" w:lineRule="auto"/>
        <w:ind w:firstLine="480" w:firstLineChars="200"/>
        <w:rPr>
          <w:kern w:val="0"/>
          <w:sz w:val="24"/>
        </w:rPr>
      </w:pPr>
      <w:r>
        <w:rPr>
          <w:rFonts w:hAnsi="宋体"/>
          <w:kern w:val="0"/>
          <w:sz w:val="24"/>
        </w:rPr>
        <w:t>电话：</w:t>
      </w:r>
      <w:r>
        <w:rPr>
          <w:rFonts w:hint="eastAsia" w:hAnsi="宋体"/>
          <w:kern w:val="0"/>
          <w:sz w:val="24"/>
        </w:rPr>
        <w:t>（</w:t>
      </w:r>
      <w:r>
        <w:rPr>
          <w:kern w:val="0"/>
          <w:sz w:val="24"/>
        </w:rPr>
        <w:t>021</w:t>
      </w:r>
      <w:r>
        <w:rPr>
          <w:rFonts w:hint="eastAsia"/>
          <w:kern w:val="0"/>
          <w:sz w:val="24"/>
        </w:rPr>
        <w:t>）</w:t>
      </w:r>
      <w:r>
        <w:rPr>
          <w:kern w:val="0"/>
          <w:sz w:val="24"/>
        </w:rPr>
        <w:t>61055050</w:t>
      </w:r>
    </w:p>
    <w:p>
      <w:pPr>
        <w:widowControl/>
        <w:adjustRightInd w:val="0"/>
        <w:snapToGrid w:val="0"/>
        <w:spacing w:line="360" w:lineRule="auto"/>
        <w:ind w:firstLine="480" w:firstLineChars="200"/>
        <w:rPr>
          <w:kern w:val="0"/>
          <w:sz w:val="24"/>
        </w:rPr>
      </w:pPr>
      <w:r>
        <w:rPr>
          <w:rFonts w:hAnsi="宋体"/>
          <w:kern w:val="0"/>
          <w:sz w:val="24"/>
        </w:rPr>
        <w:t>传真：</w:t>
      </w:r>
      <w:r>
        <w:rPr>
          <w:rFonts w:hint="eastAsia" w:hAnsi="宋体"/>
          <w:kern w:val="0"/>
          <w:sz w:val="24"/>
        </w:rPr>
        <w:t>（</w:t>
      </w:r>
      <w:r>
        <w:rPr>
          <w:kern w:val="0"/>
          <w:sz w:val="24"/>
        </w:rPr>
        <w:t>021</w:t>
      </w:r>
      <w:r>
        <w:rPr>
          <w:rFonts w:hint="eastAsia"/>
          <w:kern w:val="0"/>
          <w:sz w:val="24"/>
        </w:rPr>
        <w:t>）</w:t>
      </w:r>
      <w:r>
        <w:rPr>
          <w:kern w:val="0"/>
          <w:sz w:val="24"/>
        </w:rPr>
        <w:t>61055034</w:t>
      </w:r>
    </w:p>
    <w:p>
      <w:pPr>
        <w:widowControl/>
        <w:adjustRightInd w:val="0"/>
        <w:snapToGrid w:val="0"/>
        <w:spacing w:line="360" w:lineRule="auto"/>
        <w:ind w:firstLine="480" w:firstLineChars="20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0" w:type="dxa"/>
          </w:tcPr>
          <w:p>
            <w:pPr>
              <w:widowControl/>
              <w:jc w:val="center"/>
              <w:rPr>
                <w:kern w:val="0"/>
                <w:sz w:val="24"/>
              </w:rPr>
            </w:pPr>
            <w:r>
              <w:rPr>
                <w:rFonts w:hAnsi="宋体"/>
                <w:kern w:val="0"/>
                <w:sz w:val="24"/>
              </w:rPr>
              <w:t>股东名称</w:t>
            </w:r>
          </w:p>
        </w:tc>
        <w:tc>
          <w:tcPr>
            <w:tcW w:w="3060" w:type="dxa"/>
          </w:tcPr>
          <w:p>
            <w:pPr>
              <w:widowControl/>
              <w:jc w:val="center"/>
              <w:rPr>
                <w:kern w:val="0"/>
                <w:sz w:val="24"/>
              </w:rPr>
            </w:pPr>
            <w:r>
              <w:rPr>
                <w:rFonts w:hAnsi="宋体"/>
                <w:kern w:val="0"/>
                <w:sz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0" w:type="dxa"/>
          </w:tcPr>
          <w:p>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pPr>
              <w:widowControl/>
              <w:jc w:val="center"/>
              <w:rPr>
                <w:kern w:val="0"/>
                <w:sz w:val="24"/>
              </w:rPr>
            </w:pPr>
            <w:r>
              <w:rPr>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rPr>
                <w:kern w:val="0"/>
                <w:sz w:val="24"/>
              </w:rPr>
            </w:pPr>
            <w:r>
              <w:rPr>
                <w:rFonts w:hAnsi="宋体"/>
                <w:kern w:val="0"/>
                <w:sz w:val="24"/>
              </w:rPr>
              <w:t>施罗德投资管理有限公司</w:t>
            </w:r>
          </w:p>
        </w:tc>
        <w:tc>
          <w:tcPr>
            <w:tcW w:w="3060" w:type="dxa"/>
            <w:vAlign w:val="center"/>
          </w:tcPr>
          <w:p>
            <w:pPr>
              <w:widowControl/>
              <w:jc w:val="center"/>
              <w:rPr>
                <w:kern w:val="0"/>
                <w:sz w:val="24"/>
              </w:rPr>
            </w:pPr>
            <w:r>
              <w:rPr>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400" w:type="dxa"/>
          </w:tcPr>
          <w:p>
            <w:pPr>
              <w:widowControl/>
              <w:rPr>
                <w:kern w:val="0"/>
                <w:sz w:val="24"/>
              </w:rPr>
            </w:pPr>
            <w:r>
              <w:rPr>
                <w:rFonts w:hAnsi="宋体"/>
                <w:kern w:val="0"/>
                <w:sz w:val="24"/>
              </w:rPr>
              <w:t>中国国际海运集装箱（集团）股份有限公司</w:t>
            </w:r>
          </w:p>
        </w:tc>
        <w:tc>
          <w:tcPr>
            <w:tcW w:w="3060" w:type="dxa"/>
            <w:vAlign w:val="center"/>
          </w:tcPr>
          <w:p>
            <w:pPr>
              <w:widowControl/>
              <w:jc w:val="center"/>
              <w:rPr>
                <w:kern w:val="0"/>
                <w:sz w:val="24"/>
              </w:rPr>
            </w:pPr>
            <w:r>
              <w:rPr>
                <w:kern w:val="0"/>
                <w:sz w:val="24"/>
              </w:rPr>
              <w:t>5%</w:t>
            </w:r>
          </w:p>
        </w:tc>
      </w:tr>
    </w:tbl>
    <w:p>
      <w:pPr>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2" w:firstLineChars="200"/>
        <w:outlineLvl w:val="1"/>
        <w:rPr>
          <w:rFonts w:hAnsi="宋体"/>
          <w:b/>
          <w:kern w:val="0"/>
          <w:sz w:val="24"/>
        </w:rPr>
      </w:pPr>
      <w:r>
        <w:rPr>
          <w:rFonts w:hAnsi="宋体"/>
          <w:b/>
          <w:kern w:val="0"/>
          <w:sz w:val="24"/>
        </w:rPr>
        <w:t>（二）主要成员情况</w:t>
      </w:r>
    </w:p>
    <w:p>
      <w:pPr>
        <w:widowControl/>
        <w:adjustRightInd w:val="0"/>
        <w:snapToGrid w:val="0"/>
        <w:spacing w:line="360" w:lineRule="auto"/>
        <w:ind w:firstLine="480" w:firstLineChars="200"/>
        <w:outlineLvl w:val="2"/>
        <w:rPr>
          <w:kern w:val="0"/>
          <w:sz w:val="24"/>
        </w:rPr>
      </w:pPr>
      <w:r>
        <w:rPr>
          <w:kern w:val="0"/>
          <w:sz w:val="24"/>
        </w:rPr>
        <w:t>1、基金管理人董事会成员</w:t>
      </w:r>
    </w:p>
    <w:p>
      <w:pPr>
        <w:widowControl/>
        <w:adjustRightInd w:val="0"/>
        <w:snapToGrid w:val="0"/>
        <w:spacing w:line="360" w:lineRule="auto"/>
        <w:ind w:firstLine="480" w:firstLineChars="200"/>
        <w:outlineLvl w:val="2"/>
        <w:rPr>
          <w:kern w:val="0"/>
          <w:sz w:val="24"/>
        </w:rPr>
      </w:pPr>
      <w:r>
        <w:rPr>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pPr>
        <w:widowControl/>
        <w:adjustRightInd w:val="0"/>
        <w:snapToGrid w:val="0"/>
        <w:spacing w:line="360" w:lineRule="auto"/>
        <w:ind w:firstLine="480" w:firstLineChars="200"/>
        <w:outlineLvl w:val="2"/>
        <w:rPr>
          <w:kern w:val="0"/>
          <w:sz w:val="24"/>
        </w:rPr>
      </w:pPr>
      <w:r>
        <w:rPr>
          <w:kern w:val="0"/>
          <w:sz w:val="24"/>
        </w:rPr>
        <w:t>童洁萍女士，董事，在职工商管理硕士。现任交通银行总行个人金融业务部副总经理。历任交通银行南京分行个人金融业务部副高级经理、江苏省分行个人金融业务部副总经理、总经理、玄武支行行长。</w:t>
      </w:r>
    </w:p>
    <w:p>
      <w:pPr>
        <w:widowControl/>
        <w:adjustRightInd w:val="0"/>
        <w:snapToGrid w:val="0"/>
        <w:spacing w:line="360" w:lineRule="auto"/>
        <w:ind w:firstLine="480" w:firstLineChars="200"/>
        <w:outlineLvl w:val="2"/>
        <w:rPr>
          <w:kern w:val="0"/>
          <w:sz w:val="24"/>
        </w:rPr>
      </w:pPr>
      <w:r>
        <w:rPr>
          <w:kern w:val="0"/>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p>
    <w:p>
      <w:pPr>
        <w:widowControl/>
        <w:adjustRightInd w:val="0"/>
        <w:snapToGrid w:val="0"/>
        <w:spacing w:line="360" w:lineRule="auto"/>
        <w:ind w:firstLine="480" w:firstLineChars="200"/>
        <w:outlineLvl w:val="2"/>
        <w:rPr>
          <w:kern w:val="0"/>
          <w:sz w:val="24"/>
        </w:rPr>
      </w:pPr>
      <w:r>
        <w:rPr>
          <w:kern w:val="0"/>
          <w:sz w:val="24"/>
        </w:rPr>
        <w:t>谢卫先生，董事，总经理，代任首席信息官，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widowControl/>
        <w:adjustRightInd w:val="0"/>
        <w:snapToGrid w:val="0"/>
        <w:spacing w:line="360" w:lineRule="auto"/>
        <w:ind w:firstLine="480" w:firstLineChars="200"/>
        <w:outlineLvl w:val="2"/>
        <w:rPr>
          <w:kern w:val="0"/>
          <w:sz w:val="24"/>
        </w:rPr>
      </w:pPr>
      <w:r>
        <w:rPr>
          <w:kern w:val="0"/>
          <w:sz w:val="24"/>
        </w:rPr>
        <w:t>李定邦（Lieven Debruyne）先生，董事，硕士。现任施罗德集团全球业务总裁，担任集团管理委员会成员。历任施罗德投资管理有限公司亚洲投资产品总监、亚太区行政总裁、施罗德投资管理（香港）有限公司行政总裁兼亚太区基金业务拓展总监。</w:t>
      </w:r>
    </w:p>
    <w:p>
      <w:pPr>
        <w:widowControl/>
        <w:adjustRightInd w:val="0"/>
        <w:snapToGrid w:val="0"/>
        <w:spacing w:line="360" w:lineRule="auto"/>
        <w:ind w:firstLine="480" w:firstLineChars="200"/>
        <w:outlineLvl w:val="2"/>
        <w:rPr>
          <w:kern w:val="0"/>
          <w:sz w:val="24"/>
        </w:rPr>
      </w:pPr>
      <w:r>
        <w:rPr>
          <w:kern w:val="0"/>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pPr>
        <w:widowControl/>
        <w:adjustRightInd w:val="0"/>
        <w:snapToGrid w:val="0"/>
        <w:spacing w:line="360" w:lineRule="auto"/>
        <w:ind w:firstLine="480" w:firstLineChars="200"/>
        <w:outlineLvl w:val="2"/>
        <w:rPr>
          <w:kern w:val="0"/>
          <w:sz w:val="24"/>
        </w:rPr>
      </w:pPr>
      <w:r>
        <w:rPr>
          <w:kern w:val="0"/>
          <w:sz w:val="24"/>
        </w:rPr>
        <w:t>郝爱群女士，独立董事，学士。历任人民银行稽核司副处长、处长，合作司调研员，非银司副巡视员、副司长，银监会非银部副主任，银行监管一部副主任、巡视员，汇金公司派出董事。</w:t>
      </w:r>
    </w:p>
    <w:p>
      <w:pPr>
        <w:widowControl/>
        <w:adjustRightInd w:val="0"/>
        <w:snapToGrid w:val="0"/>
        <w:spacing w:line="360" w:lineRule="auto"/>
        <w:ind w:firstLine="480" w:firstLineChars="200"/>
        <w:outlineLvl w:val="2"/>
        <w:rPr>
          <w:kern w:val="0"/>
          <w:sz w:val="24"/>
        </w:rPr>
      </w:pPr>
      <w:r>
        <w:rPr>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widowControl/>
        <w:adjustRightInd w:val="0"/>
        <w:snapToGrid w:val="0"/>
        <w:spacing w:line="360" w:lineRule="auto"/>
        <w:ind w:firstLine="480" w:firstLineChars="200"/>
        <w:outlineLvl w:val="2"/>
        <w:rPr>
          <w:kern w:val="0"/>
          <w:sz w:val="24"/>
        </w:rPr>
      </w:pPr>
      <w:r>
        <w:rPr>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widowControl/>
        <w:adjustRightInd w:val="0"/>
        <w:snapToGrid w:val="0"/>
        <w:spacing w:line="360" w:lineRule="auto"/>
        <w:ind w:firstLine="480" w:firstLineChars="200"/>
        <w:outlineLvl w:val="2"/>
        <w:rPr>
          <w:kern w:val="0"/>
          <w:sz w:val="24"/>
        </w:rPr>
      </w:pPr>
      <w:r>
        <w:rPr>
          <w:kern w:val="0"/>
          <w:sz w:val="24"/>
        </w:rPr>
        <w:t>2、基金管理人监事会成员</w:t>
      </w:r>
    </w:p>
    <w:p>
      <w:pPr>
        <w:widowControl/>
        <w:adjustRightInd w:val="0"/>
        <w:snapToGrid w:val="0"/>
        <w:spacing w:line="360" w:lineRule="auto"/>
        <w:ind w:firstLine="480" w:firstLineChars="200"/>
        <w:outlineLvl w:val="2"/>
        <w:rPr>
          <w:kern w:val="0"/>
          <w:sz w:val="24"/>
        </w:rPr>
      </w:pPr>
      <w:r>
        <w:rPr>
          <w:kern w:val="0"/>
          <w:sz w:val="24"/>
        </w:rPr>
        <w:t>梅津芝女士，监事长，学士。高级经济师、审计师。现任交通银行私人银行部总经理。历任交通银行山西省分行个人金融业务部高级经理，交通银行山西省分行副行长，交通银行个人金融业务部副总经理。</w:t>
      </w:r>
    </w:p>
    <w:p>
      <w:pPr>
        <w:widowControl/>
        <w:adjustRightInd w:val="0"/>
        <w:snapToGrid w:val="0"/>
        <w:spacing w:line="360" w:lineRule="auto"/>
        <w:ind w:firstLine="480" w:firstLineChars="200"/>
        <w:outlineLvl w:val="2"/>
        <w:rPr>
          <w:kern w:val="0"/>
          <w:sz w:val="24"/>
        </w:rPr>
      </w:pPr>
      <w:r>
        <w:rPr>
          <w:kern w:val="0"/>
          <w:sz w:val="24"/>
        </w:rPr>
        <w:t>林凯珊女士，监事，硕士。现任施罗德投资管理（香港）有限公司中国内地及中国香港法律部主管。历任香港证券及期货事务监察委员会发牌科经理、的近律师行律师。</w:t>
      </w:r>
    </w:p>
    <w:p>
      <w:pPr>
        <w:widowControl/>
        <w:adjustRightInd w:val="0"/>
        <w:snapToGrid w:val="0"/>
        <w:spacing w:line="360" w:lineRule="auto"/>
        <w:ind w:firstLine="480" w:firstLineChars="200"/>
        <w:outlineLvl w:val="2"/>
        <w:rPr>
          <w:kern w:val="0"/>
          <w:sz w:val="24"/>
        </w:rPr>
      </w:pPr>
      <w:r>
        <w:rPr>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pPr>
        <w:widowControl/>
        <w:adjustRightInd w:val="0"/>
        <w:snapToGrid w:val="0"/>
        <w:spacing w:line="360" w:lineRule="auto"/>
        <w:ind w:firstLine="480" w:firstLineChars="200"/>
        <w:outlineLvl w:val="2"/>
        <w:rPr>
          <w:kern w:val="0"/>
          <w:sz w:val="24"/>
        </w:rPr>
      </w:pPr>
      <w:r>
        <w:rPr>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pPr>
        <w:widowControl/>
        <w:adjustRightInd w:val="0"/>
        <w:snapToGrid w:val="0"/>
        <w:spacing w:line="360" w:lineRule="auto"/>
        <w:ind w:firstLine="480" w:firstLineChars="200"/>
        <w:outlineLvl w:val="2"/>
        <w:rPr>
          <w:kern w:val="0"/>
          <w:sz w:val="24"/>
        </w:rPr>
      </w:pPr>
      <w:r>
        <w:rPr>
          <w:kern w:val="0"/>
          <w:sz w:val="24"/>
        </w:rPr>
        <w:t>3、基金管理人高级管理人员</w:t>
      </w:r>
    </w:p>
    <w:p>
      <w:pPr>
        <w:widowControl/>
        <w:adjustRightInd w:val="0"/>
        <w:snapToGrid w:val="0"/>
        <w:spacing w:line="360" w:lineRule="auto"/>
        <w:ind w:firstLine="480" w:firstLineChars="200"/>
        <w:outlineLvl w:val="2"/>
        <w:rPr>
          <w:kern w:val="0"/>
          <w:sz w:val="24"/>
        </w:rPr>
      </w:pPr>
      <w:r>
        <w:rPr>
          <w:kern w:val="0"/>
          <w:sz w:val="24"/>
        </w:rPr>
        <w:t>谢卫先生，总经理、代任首席信息官。简历同上。</w:t>
      </w:r>
    </w:p>
    <w:p>
      <w:pPr>
        <w:widowControl/>
        <w:adjustRightInd w:val="0"/>
        <w:snapToGrid w:val="0"/>
        <w:spacing w:line="360" w:lineRule="auto"/>
        <w:ind w:firstLine="480" w:firstLineChars="200"/>
        <w:outlineLvl w:val="2"/>
        <w:rPr>
          <w:kern w:val="0"/>
          <w:sz w:val="24"/>
        </w:rPr>
      </w:pPr>
      <w:r>
        <w:rPr>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pPr>
        <w:widowControl/>
        <w:adjustRightInd w:val="0"/>
        <w:snapToGrid w:val="0"/>
        <w:spacing w:line="360" w:lineRule="auto"/>
        <w:ind w:firstLine="480" w:firstLineChars="200"/>
        <w:outlineLvl w:val="2"/>
        <w:rPr>
          <w:kern w:val="0"/>
          <w:sz w:val="24"/>
        </w:rPr>
      </w:pPr>
      <w:r>
        <w:rPr>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kern w:val="0"/>
          <w:sz w:val="24"/>
        </w:rPr>
      </w:pPr>
      <w:r>
        <w:rPr>
          <w:kern w:val="0"/>
          <w:sz w:val="24"/>
        </w:rPr>
        <w:t>马俊先生，副总经理，硕士。历任交通银行总行投资管理部高级投资分析、副高级经理，交银施罗德基金管理有限公司总裁办公室总经理、研究部副总经理、研究总监、综合管理部总经理。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outlineLvl w:val="2"/>
        <w:rPr>
          <w:kern w:val="0"/>
          <w:sz w:val="24"/>
        </w:rPr>
      </w:pPr>
      <w:r>
        <w:rPr>
          <w:kern w:val="0"/>
          <w:sz w:val="24"/>
        </w:rPr>
        <w:t>4</w:t>
      </w:r>
      <w:r>
        <w:rPr>
          <w:rFonts w:hAnsi="宋体"/>
          <w:kern w:val="0"/>
          <w:sz w:val="24"/>
        </w:rPr>
        <w:t>、本基金基金经理</w:t>
      </w:r>
    </w:p>
    <w:p>
      <w:pPr>
        <w:widowControl/>
        <w:adjustRightInd w:val="0"/>
        <w:snapToGrid w:val="0"/>
        <w:spacing w:line="360" w:lineRule="auto"/>
        <w:ind w:firstLine="480" w:firstLineChars="200"/>
        <w:rPr>
          <w:rFonts w:hAnsi="宋体"/>
          <w:kern w:val="0"/>
          <w:sz w:val="24"/>
        </w:rPr>
      </w:pPr>
      <w:r>
        <w:rPr>
          <w:rFonts w:hint="eastAsia"/>
          <w:kern w:val="0"/>
          <w:sz w:val="24"/>
        </w:rPr>
        <w:t>封晴先生，基金经理。中山大学地产经营与管理硕士、中南财经政法大学投资学学士、华中科技大学英语学士，12年证券投资行业从业经验。2011年至2013年任金鹰基金研究员，2013至2014年任中海基金研究员。2014年加入交银施罗德基金管理有限公司，曾任行业分析师、基金经理助理，现任权益部基金经理。现任交银施罗德先锋混合型证券投资基金（2020年07月03日至今）、交银施罗德内核驱动混合型证券投资基金（2021年09月04日至今）的基金经理。</w:t>
      </w:r>
    </w:p>
    <w:p>
      <w:pPr>
        <w:adjustRightInd w:val="0"/>
        <w:snapToGrid w:val="0"/>
        <w:spacing w:line="360" w:lineRule="auto"/>
        <w:ind w:firstLine="480" w:firstLineChars="200"/>
        <w:outlineLvl w:val="2"/>
        <w:rPr>
          <w:rFonts w:hAnsi="宋体"/>
          <w:kern w:val="0"/>
          <w:sz w:val="24"/>
        </w:rPr>
      </w:pPr>
      <w:r>
        <w:rPr>
          <w:rFonts w:hAnsi="宋体"/>
          <w:kern w:val="0"/>
          <w:sz w:val="24"/>
        </w:rPr>
        <w:t>5、投资决策委员会成员</w:t>
      </w:r>
    </w:p>
    <w:p>
      <w:pPr>
        <w:autoSpaceDE w:val="0"/>
        <w:autoSpaceDN w:val="0"/>
        <w:adjustRightInd w:val="0"/>
        <w:snapToGrid w:val="0"/>
        <w:spacing w:line="360" w:lineRule="auto"/>
        <w:ind w:firstLine="480" w:firstLineChars="200"/>
        <w:jc w:val="left"/>
        <w:rPr>
          <w:sz w:val="24"/>
        </w:rPr>
      </w:pPr>
      <w:r>
        <w:rPr>
          <w:sz w:val="24"/>
        </w:rPr>
        <w:t>委员：</w:t>
      </w:r>
      <w:r>
        <w:rPr>
          <w:rFonts w:hint="eastAsia"/>
          <w:sz w:val="24"/>
        </w:rPr>
        <w:t>谢卫（总经理）</w:t>
      </w:r>
    </w:p>
    <w:p>
      <w:pPr>
        <w:autoSpaceDE w:val="0"/>
        <w:autoSpaceDN w:val="0"/>
        <w:adjustRightInd w:val="0"/>
        <w:snapToGrid w:val="0"/>
        <w:spacing w:line="360" w:lineRule="auto"/>
        <w:ind w:firstLine="1200" w:firstLineChars="500"/>
        <w:jc w:val="left"/>
        <w:rPr>
          <w:sz w:val="24"/>
        </w:rPr>
      </w:pPr>
      <w:r>
        <w:rPr>
          <w:rFonts w:hint="eastAsia"/>
          <w:sz w:val="24"/>
        </w:rPr>
        <w:t>马俊（副总经理、研究总监）</w:t>
      </w:r>
    </w:p>
    <w:p>
      <w:pPr>
        <w:autoSpaceDE w:val="0"/>
        <w:autoSpaceDN w:val="0"/>
        <w:adjustRightInd w:val="0"/>
        <w:snapToGrid w:val="0"/>
        <w:spacing w:line="360" w:lineRule="auto"/>
        <w:ind w:firstLine="1200" w:firstLineChars="500"/>
        <w:jc w:val="left"/>
        <w:rPr>
          <w:sz w:val="24"/>
        </w:rPr>
      </w:pPr>
      <w:r>
        <w:rPr>
          <w:rFonts w:hint="eastAsia"/>
          <w:sz w:val="24"/>
        </w:rPr>
        <w:t>王少成（权益投资总监、基金经理）</w:t>
      </w:r>
    </w:p>
    <w:p>
      <w:pPr>
        <w:autoSpaceDE w:val="0"/>
        <w:autoSpaceDN w:val="0"/>
        <w:adjustRightInd w:val="0"/>
        <w:snapToGrid w:val="0"/>
        <w:spacing w:line="360" w:lineRule="auto"/>
        <w:ind w:firstLine="1200" w:firstLineChars="500"/>
        <w:jc w:val="left"/>
        <w:rPr>
          <w:sz w:val="24"/>
        </w:rPr>
      </w:pPr>
      <w:r>
        <w:rPr>
          <w:rFonts w:hint="eastAsia"/>
          <w:sz w:val="24"/>
        </w:rPr>
        <w:t>于海颖（固定收益（公募）投资总监、基金经理）</w:t>
      </w:r>
    </w:p>
    <w:p>
      <w:pPr>
        <w:adjustRightInd w:val="0"/>
        <w:snapToGrid w:val="0"/>
        <w:spacing w:line="360" w:lineRule="auto"/>
        <w:ind w:firstLine="1200" w:firstLineChars="500"/>
        <w:rPr>
          <w:sz w:val="24"/>
        </w:rPr>
      </w:pPr>
      <w:r>
        <w:rPr>
          <w:rFonts w:hint="eastAsia"/>
          <w:sz w:val="24"/>
        </w:rPr>
        <w:t>王崇（权益投资副总监、权益部一级专家、基金经理）</w:t>
      </w:r>
    </w:p>
    <w:p>
      <w:pPr>
        <w:adjustRightInd w:val="0"/>
        <w:snapToGrid w:val="0"/>
        <w:spacing w:line="360" w:lineRule="auto"/>
        <w:ind w:firstLine="1200" w:firstLineChars="500"/>
        <w:rPr>
          <w:rFonts w:ascii="宋体" w:hAnsi="宋体"/>
          <w:kern w:val="0"/>
          <w:sz w:val="24"/>
        </w:rPr>
      </w:pPr>
      <w:r>
        <w:rPr>
          <w:rFonts w:ascii="宋体" w:hAnsi="宋体"/>
          <w:kern w:val="0"/>
          <w:sz w:val="24"/>
        </w:rPr>
        <w:t>上述人员之间</w:t>
      </w:r>
      <w:r>
        <w:rPr>
          <w:rFonts w:hint="eastAsia" w:ascii="宋体" w:hAnsi="宋体"/>
          <w:kern w:val="0"/>
          <w:sz w:val="24"/>
        </w:rPr>
        <w:t>不存在</w:t>
      </w:r>
      <w:r>
        <w:rPr>
          <w:rFonts w:ascii="宋体" w:hAnsi="宋体"/>
          <w:kern w:val="0"/>
          <w:sz w:val="24"/>
        </w:rPr>
        <w:t>近亲属关系。</w:t>
      </w:r>
    </w:p>
    <w:p>
      <w:pPr>
        <w:widowControl/>
        <w:adjustRightInd w:val="0"/>
        <w:snapToGrid w:val="0"/>
        <w:spacing w:line="360" w:lineRule="auto"/>
        <w:ind w:firstLine="482" w:firstLineChars="200"/>
        <w:outlineLvl w:val="1"/>
        <w:rPr>
          <w:b/>
          <w:kern w:val="0"/>
          <w:sz w:val="24"/>
        </w:rPr>
      </w:pPr>
      <w:r>
        <w:rPr>
          <w:rFonts w:hAnsi="宋体"/>
          <w:b/>
          <w:kern w:val="0"/>
          <w:sz w:val="24"/>
        </w:rPr>
        <w:t>（三）基金管理人的职责</w:t>
      </w:r>
    </w:p>
    <w:p>
      <w:pPr>
        <w:adjustRightInd w:val="0"/>
        <w:snapToGrid w:val="0"/>
        <w:spacing w:line="360" w:lineRule="auto"/>
        <w:ind w:firstLine="480" w:firstLineChars="200"/>
        <w:rPr>
          <w:sz w:val="24"/>
          <w:szCs w:val="24"/>
        </w:rPr>
      </w:pPr>
      <w:r>
        <w:rPr>
          <w:sz w:val="24"/>
          <w:szCs w:val="24"/>
        </w:rPr>
        <w:t>1、依法募集资金，办理或者委托经中国证监会认定的其他机构办理基金份额的发售、申购、赎回和登记事宜；</w:t>
      </w:r>
    </w:p>
    <w:p>
      <w:pPr>
        <w:adjustRightInd w:val="0"/>
        <w:snapToGrid w:val="0"/>
        <w:spacing w:line="360" w:lineRule="auto"/>
        <w:ind w:firstLine="480" w:firstLineChars="200"/>
        <w:rPr>
          <w:sz w:val="24"/>
          <w:szCs w:val="24"/>
        </w:rPr>
      </w:pPr>
      <w:r>
        <w:rPr>
          <w:sz w:val="24"/>
          <w:szCs w:val="24"/>
        </w:rPr>
        <w:t>2、办理基金备案手续；</w:t>
      </w:r>
    </w:p>
    <w:p>
      <w:pPr>
        <w:adjustRightInd w:val="0"/>
        <w:snapToGrid w:val="0"/>
        <w:spacing w:line="360" w:lineRule="auto"/>
        <w:ind w:firstLine="480" w:firstLineChars="200"/>
        <w:rPr>
          <w:sz w:val="24"/>
          <w:szCs w:val="24"/>
        </w:rPr>
      </w:pPr>
      <w:r>
        <w:rPr>
          <w:sz w:val="24"/>
          <w:szCs w:val="24"/>
        </w:rPr>
        <w:t>3、对所管理的不同基金财产分别管理、分别记账，进行证券投资；</w:t>
      </w:r>
    </w:p>
    <w:p>
      <w:pPr>
        <w:adjustRightInd w:val="0"/>
        <w:snapToGrid w:val="0"/>
        <w:spacing w:line="360" w:lineRule="auto"/>
        <w:ind w:firstLine="480" w:firstLineChars="200"/>
        <w:rPr>
          <w:sz w:val="24"/>
          <w:szCs w:val="24"/>
        </w:rPr>
      </w:pPr>
      <w:r>
        <w:rPr>
          <w:sz w:val="24"/>
          <w:szCs w:val="24"/>
        </w:rPr>
        <w:t>4、按照基金合同的约定确定基金收益分配方案，及时向基金份额持有人分配收益；</w:t>
      </w:r>
    </w:p>
    <w:p>
      <w:pPr>
        <w:adjustRightInd w:val="0"/>
        <w:snapToGrid w:val="0"/>
        <w:spacing w:line="360" w:lineRule="auto"/>
        <w:ind w:firstLine="480" w:firstLineChars="200"/>
        <w:rPr>
          <w:sz w:val="24"/>
          <w:szCs w:val="24"/>
        </w:rPr>
      </w:pPr>
      <w:r>
        <w:rPr>
          <w:sz w:val="24"/>
          <w:szCs w:val="24"/>
        </w:rPr>
        <w:t>5、进行基金会计核算并编制基金财务会计报告；</w:t>
      </w:r>
    </w:p>
    <w:p>
      <w:pPr>
        <w:adjustRightInd w:val="0"/>
        <w:snapToGrid w:val="0"/>
        <w:spacing w:line="360" w:lineRule="auto"/>
        <w:ind w:firstLine="480" w:firstLineChars="200"/>
        <w:rPr>
          <w:sz w:val="24"/>
          <w:szCs w:val="24"/>
        </w:rPr>
      </w:pPr>
      <w:r>
        <w:rPr>
          <w:sz w:val="24"/>
          <w:szCs w:val="24"/>
        </w:rPr>
        <w:t>6、编制季度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pPr>
        <w:adjustRightInd w:val="0"/>
        <w:snapToGrid w:val="0"/>
        <w:spacing w:line="360" w:lineRule="auto"/>
        <w:ind w:firstLine="480" w:firstLineChars="200"/>
        <w:rPr>
          <w:sz w:val="24"/>
          <w:szCs w:val="24"/>
        </w:rPr>
      </w:pPr>
      <w:r>
        <w:rPr>
          <w:sz w:val="24"/>
          <w:szCs w:val="24"/>
        </w:rPr>
        <w:t>7、计算并公告基金</w:t>
      </w:r>
      <w:r>
        <w:rPr>
          <w:rFonts w:hint="eastAsia"/>
          <w:bCs/>
          <w:sz w:val="24"/>
        </w:rPr>
        <w:t>净值信息</w:t>
      </w:r>
      <w:r>
        <w:rPr>
          <w:sz w:val="24"/>
          <w:szCs w:val="24"/>
        </w:rPr>
        <w:t>，确定基金份额申购、赎回价格；</w:t>
      </w:r>
    </w:p>
    <w:p>
      <w:pPr>
        <w:adjustRightInd w:val="0"/>
        <w:snapToGrid w:val="0"/>
        <w:spacing w:line="360" w:lineRule="auto"/>
        <w:ind w:firstLine="480" w:firstLineChars="200"/>
        <w:rPr>
          <w:sz w:val="24"/>
          <w:szCs w:val="24"/>
        </w:rPr>
      </w:pPr>
      <w:r>
        <w:rPr>
          <w:sz w:val="24"/>
          <w:szCs w:val="24"/>
        </w:rPr>
        <w:t>8、办理与基金财产管理业务活动有关的信息披露事项；</w:t>
      </w:r>
    </w:p>
    <w:p>
      <w:pPr>
        <w:adjustRightInd w:val="0"/>
        <w:snapToGrid w:val="0"/>
        <w:spacing w:line="360" w:lineRule="auto"/>
        <w:ind w:firstLine="480" w:firstLineChars="200"/>
        <w:rPr>
          <w:sz w:val="24"/>
          <w:szCs w:val="24"/>
        </w:rPr>
      </w:pPr>
      <w:r>
        <w:rPr>
          <w:sz w:val="24"/>
          <w:szCs w:val="24"/>
        </w:rPr>
        <w:t>9、按照规定召集基金份额持有人大会；</w:t>
      </w:r>
    </w:p>
    <w:p>
      <w:pPr>
        <w:adjustRightInd w:val="0"/>
        <w:snapToGrid w:val="0"/>
        <w:spacing w:line="360" w:lineRule="auto"/>
        <w:ind w:firstLine="480" w:firstLineChars="200"/>
        <w:rPr>
          <w:sz w:val="24"/>
          <w:szCs w:val="24"/>
        </w:rPr>
      </w:pPr>
      <w:r>
        <w:rPr>
          <w:sz w:val="24"/>
          <w:szCs w:val="24"/>
        </w:rPr>
        <w:t>10、保存基金财产管理业务活动的记录、账册、报表和其他相关资料；</w:t>
      </w:r>
    </w:p>
    <w:p>
      <w:pPr>
        <w:adjustRightInd w:val="0"/>
        <w:snapToGrid w:val="0"/>
        <w:spacing w:line="360" w:lineRule="auto"/>
        <w:ind w:firstLine="480" w:firstLineChars="200"/>
        <w:rPr>
          <w:sz w:val="24"/>
          <w:szCs w:val="24"/>
        </w:rPr>
      </w:pPr>
      <w:r>
        <w:rPr>
          <w:sz w:val="24"/>
          <w:szCs w:val="24"/>
        </w:rPr>
        <w:t>11、以基金管理人名义，代表基金份额持有人利益行使诉讼权利或者实施其他法律行为；</w:t>
      </w:r>
    </w:p>
    <w:p>
      <w:pPr>
        <w:adjustRightInd w:val="0"/>
        <w:snapToGrid w:val="0"/>
        <w:spacing w:line="360" w:lineRule="auto"/>
        <w:ind w:firstLine="480" w:firstLineChars="200"/>
        <w:rPr>
          <w:sz w:val="24"/>
          <w:szCs w:val="24"/>
        </w:rPr>
      </w:pPr>
      <w:r>
        <w:rPr>
          <w:sz w:val="24"/>
          <w:szCs w:val="24"/>
        </w:rPr>
        <w:t>12、有关法律法规和中国证监会规定的其他职责。</w:t>
      </w:r>
    </w:p>
    <w:p>
      <w:pPr>
        <w:widowControl/>
        <w:adjustRightInd w:val="0"/>
        <w:snapToGrid w:val="0"/>
        <w:spacing w:line="360" w:lineRule="auto"/>
        <w:ind w:firstLine="482" w:firstLineChars="200"/>
        <w:jc w:val="left"/>
        <w:outlineLvl w:val="1"/>
        <w:rPr>
          <w:b/>
          <w:kern w:val="0"/>
          <w:sz w:val="24"/>
        </w:rPr>
      </w:pPr>
      <w:r>
        <w:rPr>
          <w:rFonts w:hAnsi="宋体"/>
          <w:b/>
          <w:kern w:val="0"/>
          <w:sz w:val="24"/>
        </w:rPr>
        <w:t>（四）基金管理人的承诺</w:t>
      </w:r>
    </w:p>
    <w:p>
      <w:pPr>
        <w:adjustRightInd w:val="0"/>
        <w:snapToGrid w:val="0"/>
        <w:spacing w:line="360" w:lineRule="auto"/>
        <w:ind w:firstLine="480" w:firstLineChars="200"/>
        <w:rPr>
          <w:sz w:val="24"/>
          <w:szCs w:val="24"/>
        </w:rPr>
      </w:pPr>
      <w:r>
        <w:rPr>
          <w:sz w:val="24"/>
          <w:szCs w:val="24"/>
        </w:rPr>
        <w:t>1、基金管理人承诺不从事违反《中华人民共和国证券法》的行为，并承诺建立健全内部控制制度，采取有效措施，防止违反《中华人民共和国证券法》行为的发生；</w:t>
      </w:r>
    </w:p>
    <w:p>
      <w:pPr>
        <w:adjustRightInd w:val="0"/>
        <w:snapToGrid w:val="0"/>
        <w:spacing w:line="360" w:lineRule="auto"/>
        <w:ind w:firstLine="480" w:firstLineChars="200"/>
        <w:rPr>
          <w:sz w:val="24"/>
          <w:szCs w:val="24"/>
        </w:rPr>
      </w:pPr>
      <w:r>
        <w:rPr>
          <w:sz w:val="24"/>
          <w:szCs w:val="24"/>
        </w:rPr>
        <w:t>2、基金管理人承诺不从事违反《基金法》的行为，并承诺建立健全内部风险控制制度，采取有效措施，防止下列行为的发生：</w:t>
      </w:r>
    </w:p>
    <w:p>
      <w:pPr>
        <w:adjustRightInd w:val="0"/>
        <w:snapToGrid w:val="0"/>
        <w:spacing w:line="360" w:lineRule="auto"/>
        <w:ind w:firstLine="480" w:firstLineChars="200"/>
        <w:rPr>
          <w:sz w:val="24"/>
          <w:szCs w:val="24"/>
        </w:rPr>
      </w:pPr>
      <w:r>
        <w:rPr>
          <w:sz w:val="24"/>
          <w:szCs w:val="24"/>
        </w:rPr>
        <w:t>（1）将基金管理人固有财产或者他人财产混同于基金财产从事证券投资；</w:t>
      </w:r>
    </w:p>
    <w:p>
      <w:pPr>
        <w:adjustRightInd w:val="0"/>
        <w:snapToGrid w:val="0"/>
        <w:spacing w:line="360" w:lineRule="auto"/>
        <w:ind w:firstLine="480" w:firstLineChars="200"/>
        <w:rPr>
          <w:sz w:val="24"/>
          <w:szCs w:val="24"/>
        </w:rPr>
      </w:pPr>
      <w:r>
        <w:rPr>
          <w:sz w:val="24"/>
          <w:szCs w:val="24"/>
        </w:rPr>
        <w:t>（2）不公平地对待管理的不同基金财产；</w:t>
      </w:r>
    </w:p>
    <w:p>
      <w:pPr>
        <w:adjustRightInd w:val="0"/>
        <w:snapToGrid w:val="0"/>
        <w:spacing w:line="360" w:lineRule="auto"/>
        <w:ind w:firstLine="480" w:firstLineChars="200"/>
        <w:rPr>
          <w:sz w:val="24"/>
          <w:szCs w:val="24"/>
        </w:rPr>
      </w:pPr>
      <w:r>
        <w:rPr>
          <w:sz w:val="24"/>
          <w:szCs w:val="24"/>
        </w:rPr>
        <w:t>（3）利用基金财产为基金份额持有人以外的第三人牟取利益；</w:t>
      </w:r>
    </w:p>
    <w:p>
      <w:pPr>
        <w:adjustRightInd w:val="0"/>
        <w:snapToGrid w:val="0"/>
        <w:spacing w:line="360" w:lineRule="auto"/>
        <w:ind w:firstLine="480" w:firstLineChars="200"/>
        <w:rPr>
          <w:sz w:val="24"/>
          <w:szCs w:val="24"/>
        </w:rPr>
      </w:pPr>
      <w:r>
        <w:rPr>
          <w:sz w:val="24"/>
          <w:szCs w:val="24"/>
        </w:rPr>
        <w:t>（4）向基金份额持有人违规承诺收益或者承担损失；</w:t>
      </w:r>
    </w:p>
    <w:p>
      <w:pPr>
        <w:adjustRightInd w:val="0"/>
        <w:snapToGrid w:val="0"/>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）侵占、挪用基金财产；</w:t>
      </w:r>
    </w:p>
    <w:p>
      <w:pPr>
        <w:adjustRightInd w:val="0"/>
        <w:snapToGrid w:val="0"/>
        <w:spacing w:line="360" w:lineRule="auto"/>
        <w:ind w:firstLine="480" w:firstLineChars="200"/>
        <w:rPr>
          <w:sz w:val="24"/>
          <w:szCs w:val="24"/>
        </w:rPr>
      </w:pPr>
      <w:r>
        <w:rPr>
          <w:sz w:val="24"/>
          <w:szCs w:val="24"/>
        </w:rPr>
        <w:t>（6）法律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pPr>
        <w:adjustRightInd w:val="0"/>
        <w:snapToGrid w:val="0"/>
        <w:spacing w:line="360" w:lineRule="auto"/>
        <w:ind w:firstLine="480" w:firstLineChars="200"/>
        <w:rPr>
          <w:sz w:val="24"/>
          <w:szCs w:val="24"/>
        </w:rPr>
      </w:pPr>
      <w:r>
        <w:rPr>
          <w:sz w:val="24"/>
          <w:szCs w:val="24"/>
        </w:rPr>
        <w:t>3、基金管理人承诺严格遵守基金合同，并承诺建立健全内部控制制度，采取有效措施，防止违反基金合同行为的发生；</w:t>
      </w:r>
    </w:p>
    <w:p>
      <w:pPr>
        <w:adjustRightInd w:val="0"/>
        <w:snapToGrid w:val="0"/>
        <w:spacing w:line="360" w:lineRule="auto"/>
        <w:ind w:firstLine="480" w:firstLineChars="200"/>
        <w:rPr>
          <w:sz w:val="24"/>
          <w:szCs w:val="24"/>
        </w:rPr>
      </w:pPr>
      <w:r>
        <w:rPr>
          <w:sz w:val="24"/>
          <w:szCs w:val="24"/>
        </w:rPr>
        <w:t>4、基金管理人承诺加强人员管理，强化职业操守，督促和约束员工遵守国家有关法律法规及行业规范，诚实信用、勤勉尽责；</w:t>
      </w:r>
    </w:p>
    <w:p>
      <w:pPr>
        <w:adjustRightInd w:val="0"/>
        <w:snapToGrid w:val="0"/>
        <w:spacing w:line="360" w:lineRule="auto"/>
        <w:ind w:firstLine="480" w:firstLineChars="200"/>
        <w:rPr>
          <w:sz w:val="24"/>
          <w:szCs w:val="24"/>
        </w:rPr>
      </w:pPr>
      <w:r>
        <w:rPr>
          <w:sz w:val="24"/>
          <w:szCs w:val="24"/>
        </w:rPr>
        <w:t>5、基金管理人承诺不从事其他法规规定禁止从事的行为。</w:t>
      </w:r>
    </w:p>
    <w:p>
      <w:pPr>
        <w:widowControl/>
        <w:adjustRightInd w:val="0"/>
        <w:snapToGrid w:val="0"/>
        <w:spacing w:line="360" w:lineRule="auto"/>
        <w:ind w:firstLine="482" w:firstLineChars="200"/>
        <w:jc w:val="left"/>
        <w:outlineLvl w:val="1"/>
        <w:rPr>
          <w:b/>
          <w:kern w:val="0"/>
          <w:sz w:val="24"/>
        </w:rPr>
      </w:pPr>
      <w:r>
        <w:rPr>
          <w:rFonts w:hAnsi="宋体"/>
          <w:b/>
          <w:kern w:val="0"/>
          <w:sz w:val="24"/>
        </w:rPr>
        <w:t>（五）基金经理承诺</w:t>
      </w:r>
    </w:p>
    <w:p>
      <w:pPr>
        <w:adjustRightInd w:val="0"/>
        <w:snapToGrid w:val="0"/>
        <w:spacing w:line="360" w:lineRule="auto"/>
        <w:ind w:firstLine="480" w:firstLineChars="200"/>
        <w:rPr>
          <w:sz w:val="24"/>
          <w:szCs w:val="24"/>
        </w:rPr>
      </w:pPr>
      <w:r>
        <w:rPr>
          <w:sz w:val="24"/>
          <w:szCs w:val="24"/>
        </w:rPr>
        <w:t>1、依照有关法律法规和基金合同的规定，本着谨慎的原则为基金份额持有人谋取最大利益；</w:t>
      </w:r>
    </w:p>
    <w:p>
      <w:pPr>
        <w:adjustRightInd w:val="0"/>
        <w:snapToGrid w:val="0"/>
        <w:spacing w:line="360" w:lineRule="auto"/>
        <w:ind w:firstLine="480" w:firstLineChars="200"/>
        <w:rPr>
          <w:sz w:val="24"/>
          <w:szCs w:val="24"/>
        </w:rPr>
      </w:pPr>
      <w:r>
        <w:rPr>
          <w:sz w:val="24"/>
          <w:szCs w:val="24"/>
        </w:rPr>
        <w:t>2、不利用职务之便为自己、受雇人或任何第三者谋取利益；</w:t>
      </w:r>
    </w:p>
    <w:p>
      <w:pPr>
        <w:widowControl/>
        <w:adjustRightInd w:val="0"/>
        <w:snapToGrid w:val="0"/>
        <w:spacing w:line="360" w:lineRule="auto"/>
        <w:ind w:firstLine="480" w:firstLineChars="200"/>
        <w:rPr>
          <w:sz w:val="24"/>
          <w:szCs w:val="24"/>
        </w:rPr>
      </w:pPr>
      <w:r>
        <w:rPr>
          <w:sz w:val="24"/>
          <w:szCs w:val="24"/>
        </w:rPr>
        <w:t>3、不泄露在任职期间知悉的有关证券、基金的商业秘密，尚未依法公开的基金投资内容、基金投资计划等信息，或利用该信息从事或者明示、暗示他人从事相关的交易活动；</w:t>
      </w:r>
    </w:p>
    <w:p>
      <w:pPr>
        <w:widowControl/>
        <w:adjustRightInd w:val="0"/>
        <w:snapToGrid w:val="0"/>
        <w:spacing w:line="360" w:lineRule="auto"/>
        <w:ind w:firstLine="480" w:firstLineChars="200"/>
        <w:rPr>
          <w:kern w:val="0"/>
          <w:sz w:val="24"/>
          <w:szCs w:val="24"/>
        </w:rPr>
      </w:pPr>
      <w:r>
        <w:rPr>
          <w:sz w:val="24"/>
          <w:szCs w:val="24"/>
        </w:rPr>
        <w:t>4、不以任何形式为其他组织或个人进行证券交易。</w:t>
      </w:r>
    </w:p>
    <w:p>
      <w:pPr>
        <w:widowControl/>
        <w:adjustRightInd w:val="0"/>
        <w:snapToGrid w:val="0"/>
        <w:spacing w:line="360" w:lineRule="auto"/>
        <w:ind w:firstLine="482" w:firstLineChars="200"/>
        <w:outlineLvl w:val="1"/>
        <w:rPr>
          <w:b/>
          <w:kern w:val="0"/>
          <w:sz w:val="24"/>
        </w:rPr>
      </w:pPr>
      <w:r>
        <w:rPr>
          <w:rFonts w:hAnsi="宋体"/>
          <w:b/>
          <w:kern w:val="0"/>
          <w:sz w:val="24"/>
        </w:rPr>
        <w:t>（六）基金管理人的内部控制制度</w:t>
      </w:r>
    </w:p>
    <w:p>
      <w:pPr>
        <w:widowControl/>
        <w:adjustRightInd w:val="0"/>
        <w:snapToGrid w:val="0"/>
        <w:spacing w:line="360" w:lineRule="auto"/>
        <w:ind w:firstLine="480" w:firstLineChars="200"/>
        <w:outlineLvl w:val="2"/>
        <w:rPr>
          <w:kern w:val="0"/>
          <w:sz w:val="24"/>
          <w:szCs w:val="24"/>
        </w:rPr>
      </w:pPr>
      <w:r>
        <w:rPr>
          <w:kern w:val="0"/>
          <w:sz w:val="24"/>
          <w:szCs w:val="24"/>
        </w:rPr>
        <w:t>1、风险管理的原则</w:t>
      </w:r>
    </w:p>
    <w:p>
      <w:pPr>
        <w:widowControl/>
        <w:adjustRightInd w:val="0"/>
        <w:snapToGrid w:val="0"/>
        <w:spacing w:line="360" w:lineRule="auto"/>
        <w:ind w:firstLine="480" w:firstLineChars="200"/>
        <w:rPr>
          <w:kern w:val="0"/>
          <w:sz w:val="24"/>
          <w:szCs w:val="24"/>
        </w:rPr>
      </w:pPr>
      <w:r>
        <w:rPr>
          <w:kern w:val="0"/>
          <w:sz w:val="24"/>
          <w:szCs w:val="24"/>
        </w:rPr>
        <w:t>（1）全面性原则</w:t>
      </w:r>
    </w:p>
    <w:p>
      <w:pPr>
        <w:widowControl/>
        <w:adjustRightInd w:val="0"/>
        <w:snapToGrid w:val="0"/>
        <w:spacing w:line="360" w:lineRule="auto"/>
        <w:ind w:firstLine="480" w:firstLineChars="200"/>
        <w:rPr>
          <w:kern w:val="0"/>
          <w:sz w:val="24"/>
          <w:szCs w:val="24"/>
        </w:rPr>
      </w:pPr>
      <w:r>
        <w:rPr>
          <w:kern w:val="0"/>
          <w:sz w:val="24"/>
          <w:szCs w:val="24"/>
        </w:rPr>
        <w:t>公司风险管理必须覆盖公司的所有部门和岗位，渗透各项业务过程和业务环节。</w:t>
      </w:r>
    </w:p>
    <w:p>
      <w:pPr>
        <w:widowControl/>
        <w:adjustRightInd w:val="0"/>
        <w:snapToGrid w:val="0"/>
        <w:spacing w:line="360" w:lineRule="auto"/>
        <w:ind w:firstLine="480" w:firstLineChars="200"/>
        <w:rPr>
          <w:kern w:val="0"/>
          <w:sz w:val="24"/>
          <w:szCs w:val="24"/>
        </w:rPr>
      </w:pPr>
      <w:r>
        <w:rPr>
          <w:kern w:val="0"/>
          <w:sz w:val="24"/>
          <w:szCs w:val="24"/>
        </w:rPr>
        <w:t>（2）独立性原则</w:t>
      </w:r>
    </w:p>
    <w:p>
      <w:pPr>
        <w:widowControl/>
        <w:adjustRightInd w:val="0"/>
        <w:snapToGrid w:val="0"/>
        <w:spacing w:line="360" w:lineRule="auto"/>
        <w:ind w:firstLine="480" w:firstLineChars="200"/>
        <w:rPr>
          <w:kern w:val="0"/>
          <w:sz w:val="24"/>
          <w:szCs w:val="24"/>
        </w:rPr>
      </w:pPr>
      <w:r>
        <w:rPr>
          <w:kern w:val="0"/>
          <w:sz w:val="24"/>
          <w:szCs w:val="24"/>
        </w:rPr>
        <w:t>公司设立独立的风险管理部，风险管理部保持高度的独立性和权威性，负责对公司各部门风险控制工作进行监督和检查。</w:t>
      </w:r>
    </w:p>
    <w:p>
      <w:pPr>
        <w:widowControl/>
        <w:adjustRightInd w:val="0"/>
        <w:snapToGrid w:val="0"/>
        <w:spacing w:line="360" w:lineRule="auto"/>
        <w:ind w:firstLine="480" w:firstLineChars="200"/>
        <w:rPr>
          <w:kern w:val="0"/>
          <w:sz w:val="24"/>
          <w:szCs w:val="24"/>
        </w:rPr>
      </w:pPr>
      <w:r>
        <w:rPr>
          <w:kern w:val="0"/>
          <w:sz w:val="24"/>
          <w:szCs w:val="24"/>
        </w:rPr>
        <w:t>（3）相互制约原则</w:t>
      </w:r>
    </w:p>
    <w:p>
      <w:pPr>
        <w:widowControl/>
        <w:adjustRightInd w:val="0"/>
        <w:snapToGrid w:val="0"/>
        <w:spacing w:line="360" w:lineRule="auto"/>
        <w:ind w:firstLine="480" w:firstLineChars="200"/>
        <w:rPr>
          <w:kern w:val="0"/>
          <w:sz w:val="24"/>
          <w:szCs w:val="24"/>
        </w:rPr>
      </w:pPr>
      <w:r>
        <w:rPr>
          <w:kern w:val="0"/>
          <w:sz w:val="24"/>
          <w:szCs w:val="24"/>
        </w:rPr>
        <w:t>公司及各部门在内部组织结构的设计上要形成一种相互制约的机制，建立不同岗位之间的制衡体系。</w:t>
      </w:r>
    </w:p>
    <w:p>
      <w:pPr>
        <w:widowControl/>
        <w:adjustRightInd w:val="0"/>
        <w:snapToGrid w:val="0"/>
        <w:spacing w:line="360" w:lineRule="auto"/>
        <w:ind w:firstLine="480" w:firstLineChars="200"/>
        <w:rPr>
          <w:kern w:val="0"/>
          <w:sz w:val="24"/>
          <w:szCs w:val="24"/>
        </w:rPr>
      </w:pPr>
      <w:r>
        <w:rPr>
          <w:kern w:val="0"/>
          <w:sz w:val="24"/>
          <w:szCs w:val="24"/>
        </w:rPr>
        <w:t>（4）定性和定量相结合原则</w:t>
      </w:r>
    </w:p>
    <w:p>
      <w:pPr>
        <w:widowControl/>
        <w:adjustRightInd w:val="0"/>
        <w:snapToGrid w:val="0"/>
        <w:spacing w:line="360" w:lineRule="auto"/>
        <w:ind w:firstLine="480" w:firstLineChars="200"/>
        <w:rPr>
          <w:kern w:val="0"/>
          <w:sz w:val="24"/>
          <w:szCs w:val="24"/>
        </w:rPr>
      </w:pPr>
      <w:r>
        <w:rPr>
          <w:kern w:val="0"/>
          <w:sz w:val="24"/>
          <w:szCs w:val="24"/>
        </w:rPr>
        <w:t>建立完备的风险管理指标体系，使风险管理更具客观性和操作性。</w:t>
      </w:r>
    </w:p>
    <w:p>
      <w:pPr>
        <w:widowControl/>
        <w:adjustRightInd w:val="0"/>
        <w:snapToGrid w:val="0"/>
        <w:spacing w:line="360" w:lineRule="auto"/>
        <w:ind w:firstLine="480" w:firstLineChars="200"/>
        <w:outlineLvl w:val="2"/>
        <w:rPr>
          <w:kern w:val="0"/>
          <w:sz w:val="24"/>
          <w:szCs w:val="24"/>
        </w:rPr>
      </w:pPr>
      <w:r>
        <w:rPr>
          <w:kern w:val="0"/>
          <w:sz w:val="24"/>
          <w:szCs w:val="24"/>
        </w:rPr>
        <w:t>2、风险管理和内部风险控制体系结构</w:t>
      </w:r>
    </w:p>
    <w:p>
      <w:pPr>
        <w:widowControl/>
        <w:adjustRightInd w:val="0"/>
        <w:snapToGrid w:val="0"/>
        <w:spacing w:line="360" w:lineRule="auto"/>
        <w:ind w:firstLine="480" w:firstLineChars="20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widowControl/>
        <w:adjustRightInd w:val="0"/>
        <w:snapToGrid w:val="0"/>
        <w:spacing w:line="360" w:lineRule="auto"/>
        <w:ind w:firstLine="480" w:firstLineChars="200"/>
        <w:rPr>
          <w:kern w:val="0"/>
          <w:sz w:val="24"/>
          <w:szCs w:val="24"/>
        </w:rPr>
      </w:pPr>
      <w:r>
        <w:rPr>
          <w:kern w:val="0"/>
          <w:sz w:val="24"/>
          <w:szCs w:val="24"/>
        </w:rPr>
        <w:t>（1）董事会</w:t>
      </w:r>
    </w:p>
    <w:p>
      <w:pPr>
        <w:widowControl/>
        <w:adjustRightInd w:val="0"/>
        <w:snapToGrid w:val="0"/>
        <w:spacing w:line="360" w:lineRule="auto"/>
        <w:ind w:firstLine="480" w:firstLineChars="200"/>
        <w:rPr>
          <w:kern w:val="0"/>
          <w:sz w:val="24"/>
          <w:szCs w:val="24"/>
        </w:rPr>
      </w:pPr>
      <w:r>
        <w:rPr>
          <w:kern w:val="0"/>
          <w:sz w:val="24"/>
          <w:szCs w:val="24"/>
        </w:rPr>
        <w:t>负责制定公司的风险管理政策，对风险管理负完全的和最终的责任。</w:t>
      </w:r>
    </w:p>
    <w:p>
      <w:pPr>
        <w:widowControl/>
        <w:adjustRightInd w:val="0"/>
        <w:snapToGrid w:val="0"/>
        <w:spacing w:line="360" w:lineRule="auto"/>
        <w:ind w:firstLine="480" w:firstLineChars="200"/>
        <w:rPr>
          <w:kern w:val="0"/>
          <w:sz w:val="24"/>
          <w:szCs w:val="24"/>
        </w:rPr>
      </w:pPr>
      <w:r>
        <w:rPr>
          <w:kern w:val="0"/>
          <w:sz w:val="24"/>
          <w:szCs w:val="24"/>
        </w:rPr>
        <w:t>（2）监事会</w:t>
      </w:r>
    </w:p>
    <w:p>
      <w:pPr>
        <w:widowControl/>
        <w:adjustRightInd w:val="0"/>
        <w:snapToGrid w:val="0"/>
        <w:spacing w:line="360" w:lineRule="auto"/>
        <w:ind w:firstLine="480" w:firstLineChars="200"/>
        <w:rPr>
          <w:kern w:val="0"/>
          <w:sz w:val="24"/>
          <w:szCs w:val="24"/>
        </w:rPr>
      </w:pPr>
      <w:r>
        <w:rPr>
          <w:kern w:val="0"/>
          <w:sz w:val="24"/>
          <w:szCs w:val="24"/>
        </w:rPr>
        <w:t>是公司常设的监事机构，对股东会负责。监事会对公司财务、公司董事、总经理及其他高级管理人员进行监督。</w:t>
      </w:r>
    </w:p>
    <w:p>
      <w:pPr>
        <w:widowControl/>
        <w:adjustRightInd w:val="0"/>
        <w:snapToGrid w:val="0"/>
        <w:spacing w:line="360" w:lineRule="auto"/>
        <w:ind w:firstLine="480" w:firstLineChars="200"/>
        <w:rPr>
          <w:kern w:val="0"/>
          <w:sz w:val="24"/>
          <w:szCs w:val="24"/>
        </w:rPr>
      </w:pPr>
      <w:r>
        <w:rPr>
          <w:kern w:val="0"/>
          <w:sz w:val="24"/>
          <w:szCs w:val="24"/>
        </w:rPr>
        <w:t>（3）合规审核及风险管理委员会</w:t>
      </w:r>
    </w:p>
    <w:p>
      <w:pPr>
        <w:widowControl/>
        <w:adjustRightInd w:val="0"/>
        <w:snapToGrid w:val="0"/>
        <w:spacing w:line="360" w:lineRule="auto"/>
        <w:ind w:firstLine="480" w:firstLineChars="20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widowControl/>
        <w:adjustRightInd w:val="0"/>
        <w:snapToGrid w:val="0"/>
        <w:spacing w:line="360" w:lineRule="auto"/>
        <w:ind w:firstLine="480" w:firstLineChars="200"/>
        <w:rPr>
          <w:kern w:val="0"/>
          <w:sz w:val="24"/>
          <w:szCs w:val="24"/>
        </w:rPr>
      </w:pPr>
      <w:r>
        <w:rPr>
          <w:kern w:val="0"/>
          <w:sz w:val="24"/>
          <w:szCs w:val="24"/>
        </w:rPr>
        <w:t>（4）风险控制委员会</w:t>
      </w:r>
    </w:p>
    <w:p>
      <w:pPr>
        <w:widowControl/>
        <w:adjustRightInd w:val="0"/>
        <w:snapToGrid w:val="0"/>
        <w:spacing w:line="360" w:lineRule="auto"/>
        <w:ind w:firstLine="480" w:firstLineChars="20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widowControl/>
        <w:adjustRightInd w:val="0"/>
        <w:snapToGrid w:val="0"/>
        <w:spacing w:line="360" w:lineRule="auto"/>
        <w:ind w:firstLine="360" w:firstLineChars="150"/>
        <w:rPr>
          <w:kern w:val="0"/>
          <w:sz w:val="24"/>
          <w:szCs w:val="24"/>
        </w:rPr>
      </w:pPr>
      <w:r>
        <w:rPr>
          <w:kern w:val="0"/>
          <w:sz w:val="24"/>
          <w:szCs w:val="24"/>
        </w:rPr>
        <w:t>（5）督察长</w:t>
      </w:r>
    </w:p>
    <w:p>
      <w:pPr>
        <w:widowControl/>
        <w:adjustRightInd w:val="0"/>
        <w:snapToGrid w:val="0"/>
        <w:spacing w:line="360" w:lineRule="auto"/>
        <w:ind w:firstLine="480" w:firstLineChars="20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pPr>
        <w:widowControl/>
        <w:adjustRightInd w:val="0"/>
        <w:snapToGrid w:val="0"/>
        <w:spacing w:line="360" w:lineRule="auto"/>
        <w:ind w:firstLine="480" w:firstLineChars="200"/>
        <w:rPr>
          <w:kern w:val="0"/>
          <w:sz w:val="24"/>
          <w:szCs w:val="24"/>
        </w:rPr>
      </w:pPr>
      <w:r>
        <w:rPr>
          <w:kern w:val="0"/>
          <w:sz w:val="24"/>
          <w:szCs w:val="24"/>
        </w:rPr>
        <w:t>（6）风险管理部</w:t>
      </w:r>
    </w:p>
    <w:p>
      <w:pPr>
        <w:widowControl/>
        <w:adjustRightInd w:val="0"/>
        <w:snapToGrid w:val="0"/>
        <w:spacing w:line="360" w:lineRule="auto"/>
        <w:ind w:firstLine="480" w:firstLineChars="20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pPr>
        <w:widowControl/>
        <w:adjustRightInd w:val="0"/>
        <w:snapToGrid w:val="0"/>
        <w:spacing w:line="360" w:lineRule="auto"/>
        <w:ind w:firstLine="480" w:firstLineChars="20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pPr>
        <w:widowControl/>
        <w:adjustRightInd w:val="0"/>
        <w:snapToGrid w:val="0"/>
        <w:spacing w:line="360" w:lineRule="auto"/>
        <w:ind w:firstLine="480" w:firstLineChars="20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widowControl/>
        <w:adjustRightInd w:val="0"/>
        <w:snapToGrid w:val="0"/>
        <w:spacing w:line="360" w:lineRule="auto"/>
        <w:ind w:firstLine="480" w:firstLineChars="200"/>
        <w:rPr>
          <w:kern w:val="0"/>
          <w:sz w:val="24"/>
          <w:szCs w:val="24"/>
        </w:rPr>
      </w:pPr>
      <w:r>
        <w:rPr>
          <w:kern w:val="0"/>
          <w:sz w:val="24"/>
          <w:szCs w:val="24"/>
        </w:rPr>
        <w:t>（9）业务部门</w:t>
      </w:r>
    </w:p>
    <w:p>
      <w:pPr>
        <w:widowControl/>
        <w:adjustRightInd w:val="0"/>
        <w:snapToGrid w:val="0"/>
        <w:spacing w:line="360" w:lineRule="auto"/>
        <w:ind w:firstLine="480" w:firstLineChars="20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pPr>
        <w:widowControl/>
        <w:adjustRightInd w:val="0"/>
        <w:snapToGrid w:val="0"/>
        <w:spacing w:line="360" w:lineRule="auto"/>
        <w:ind w:firstLine="480" w:firstLineChars="200"/>
        <w:outlineLvl w:val="2"/>
        <w:rPr>
          <w:kern w:val="0"/>
          <w:sz w:val="24"/>
          <w:szCs w:val="24"/>
        </w:rPr>
      </w:pPr>
      <w:r>
        <w:rPr>
          <w:kern w:val="0"/>
          <w:sz w:val="24"/>
          <w:szCs w:val="24"/>
        </w:rPr>
        <w:t>3、风险管理和内部风险控制的措施</w:t>
      </w:r>
    </w:p>
    <w:p>
      <w:pPr>
        <w:widowControl/>
        <w:adjustRightInd w:val="0"/>
        <w:snapToGrid w:val="0"/>
        <w:spacing w:line="360" w:lineRule="auto"/>
        <w:ind w:firstLine="480" w:firstLineChars="200"/>
        <w:rPr>
          <w:kern w:val="0"/>
          <w:sz w:val="24"/>
          <w:szCs w:val="24"/>
        </w:rPr>
      </w:pPr>
      <w:r>
        <w:rPr>
          <w:kern w:val="0"/>
          <w:sz w:val="24"/>
          <w:szCs w:val="24"/>
        </w:rPr>
        <w:t>（1）建立内控体系，完善内控制度</w:t>
      </w:r>
    </w:p>
    <w:p>
      <w:pPr>
        <w:widowControl/>
        <w:adjustRightInd w:val="0"/>
        <w:snapToGrid w:val="0"/>
        <w:spacing w:line="360" w:lineRule="auto"/>
        <w:ind w:firstLine="480" w:firstLineChars="20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pPr>
        <w:widowControl/>
        <w:adjustRightInd w:val="0"/>
        <w:snapToGrid w:val="0"/>
        <w:spacing w:line="360" w:lineRule="auto"/>
        <w:ind w:firstLine="480" w:firstLineChars="200"/>
        <w:rPr>
          <w:kern w:val="0"/>
          <w:sz w:val="24"/>
          <w:szCs w:val="24"/>
        </w:rPr>
      </w:pPr>
      <w:r>
        <w:rPr>
          <w:kern w:val="0"/>
          <w:sz w:val="24"/>
          <w:szCs w:val="24"/>
        </w:rPr>
        <w:t>（2）建立相互分离、相互制衡的内控机制</w:t>
      </w:r>
    </w:p>
    <w:p>
      <w:pPr>
        <w:widowControl/>
        <w:adjustRightInd w:val="0"/>
        <w:snapToGrid w:val="0"/>
        <w:spacing w:line="360" w:lineRule="auto"/>
        <w:ind w:firstLine="480" w:firstLineChars="20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pPr>
        <w:widowControl/>
        <w:adjustRightInd w:val="0"/>
        <w:snapToGrid w:val="0"/>
        <w:spacing w:line="360" w:lineRule="auto"/>
        <w:ind w:firstLine="480" w:firstLineChars="200"/>
        <w:rPr>
          <w:kern w:val="0"/>
          <w:sz w:val="24"/>
          <w:szCs w:val="24"/>
        </w:rPr>
      </w:pPr>
      <w:r>
        <w:rPr>
          <w:kern w:val="0"/>
          <w:sz w:val="24"/>
          <w:szCs w:val="24"/>
        </w:rPr>
        <w:t>（3）建立、健全岗位责任制</w:t>
      </w:r>
    </w:p>
    <w:p>
      <w:pPr>
        <w:widowControl/>
        <w:adjustRightInd w:val="0"/>
        <w:snapToGrid w:val="0"/>
        <w:spacing w:line="360" w:lineRule="auto"/>
        <w:ind w:firstLine="480" w:firstLineChars="200"/>
        <w:rPr>
          <w:kern w:val="0"/>
          <w:sz w:val="24"/>
          <w:szCs w:val="24"/>
        </w:rPr>
      </w:pPr>
      <w:r>
        <w:rPr>
          <w:kern w:val="0"/>
          <w:sz w:val="24"/>
          <w:szCs w:val="24"/>
        </w:rPr>
        <w:t>建立、健全了岗位责任制，使每个员工都明确自己的任务、职责，并及时将各自工作领域中的风险隐患上报，以防范和减少风险。</w:t>
      </w:r>
    </w:p>
    <w:p>
      <w:pPr>
        <w:widowControl/>
        <w:adjustRightInd w:val="0"/>
        <w:snapToGrid w:val="0"/>
        <w:spacing w:line="360" w:lineRule="auto"/>
        <w:ind w:firstLine="480" w:firstLineChars="200"/>
        <w:rPr>
          <w:kern w:val="0"/>
          <w:sz w:val="24"/>
          <w:szCs w:val="24"/>
        </w:rPr>
      </w:pPr>
      <w:r>
        <w:rPr>
          <w:kern w:val="0"/>
          <w:sz w:val="24"/>
          <w:szCs w:val="24"/>
        </w:rPr>
        <w:t>（4）建立风险分类、识别、评估、报告、提示程序</w:t>
      </w:r>
    </w:p>
    <w:p>
      <w:pPr>
        <w:widowControl/>
        <w:adjustRightInd w:val="0"/>
        <w:snapToGrid w:val="0"/>
        <w:spacing w:line="360" w:lineRule="auto"/>
        <w:ind w:firstLine="480" w:firstLineChars="20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widowControl/>
        <w:adjustRightInd w:val="0"/>
        <w:snapToGrid w:val="0"/>
        <w:spacing w:line="360" w:lineRule="auto"/>
        <w:ind w:firstLine="480" w:firstLineChars="200"/>
        <w:rPr>
          <w:kern w:val="0"/>
          <w:sz w:val="24"/>
          <w:szCs w:val="24"/>
        </w:rPr>
      </w:pPr>
      <w:r>
        <w:rPr>
          <w:kern w:val="0"/>
          <w:sz w:val="24"/>
          <w:szCs w:val="24"/>
        </w:rPr>
        <w:t>（5）建立有效的内部监控系统</w:t>
      </w:r>
    </w:p>
    <w:p>
      <w:pPr>
        <w:widowControl/>
        <w:adjustRightInd w:val="0"/>
        <w:snapToGrid w:val="0"/>
        <w:spacing w:line="360" w:lineRule="auto"/>
        <w:ind w:firstLine="480" w:firstLineChars="200"/>
        <w:rPr>
          <w:kern w:val="0"/>
          <w:sz w:val="24"/>
          <w:szCs w:val="24"/>
        </w:rPr>
      </w:pPr>
      <w:r>
        <w:rPr>
          <w:kern w:val="0"/>
          <w:sz w:val="24"/>
          <w:szCs w:val="24"/>
        </w:rPr>
        <w:t>建立了足够、有效的内部监控系统，如电脑预警系统、投资监控系统，对可能出现的各种风险进行全面和实时的监控。</w:t>
      </w:r>
    </w:p>
    <w:p>
      <w:pPr>
        <w:widowControl/>
        <w:adjustRightInd w:val="0"/>
        <w:snapToGrid w:val="0"/>
        <w:spacing w:line="360" w:lineRule="auto"/>
        <w:ind w:firstLine="480" w:firstLineChars="200"/>
        <w:rPr>
          <w:kern w:val="0"/>
          <w:sz w:val="24"/>
          <w:szCs w:val="24"/>
        </w:rPr>
      </w:pPr>
      <w:r>
        <w:rPr>
          <w:kern w:val="0"/>
          <w:sz w:val="24"/>
          <w:szCs w:val="24"/>
        </w:rPr>
        <w:t>（6）使用数量化的风险管理手段</w:t>
      </w:r>
    </w:p>
    <w:p>
      <w:pPr>
        <w:widowControl/>
        <w:adjustRightInd w:val="0"/>
        <w:snapToGrid w:val="0"/>
        <w:spacing w:line="360" w:lineRule="auto"/>
        <w:ind w:firstLine="480" w:firstLineChars="20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pPr>
        <w:widowControl/>
        <w:adjustRightInd w:val="0"/>
        <w:snapToGrid w:val="0"/>
        <w:spacing w:line="360" w:lineRule="auto"/>
        <w:ind w:firstLine="480" w:firstLineChars="200"/>
        <w:rPr>
          <w:kern w:val="0"/>
          <w:sz w:val="24"/>
          <w:szCs w:val="24"/>
        </w:rPr>
      </w:pPr>
      <w:r>
        <w:rPr>
          <w:kern w:val="0"/>
          <w:sz w:val="24"/>
          <w:szCs w:val="24"/>
        </w:rPr>
        <w:t>（7）提供足够的培训</w:t>
      </w:r>
    </w:p>
    <w:p>
      <w:pPr>
        <w:widowControl/>
        <w:adjustRightInd w:val="0"/>
        <w:snapToGrid w:val="0"/>
        <w:spacing w:line="360" w:lineRule="auto"/>
        <w:ind w:firstLine="480" w:firstLineChars="200"/>
        <w:rPr>
          <w:kern w:val="0"/>
          <w:sz w:val="24"/>
          <w:szCs w:val="24"/>
        </w:rPr>
      </w:pPr>
      <w:r>
        <w:rPr>
          <w:kern w:val="0"/>
          <w:sz w:val="24"/>
          <w:szCs w:val="24"/>
        </w:rPr>
        <w:t>制定了完整的培训计划，为所有员工提供足够和适当的培训，使员工明确其职责所在，控制风险。</w:t>
      </w:r>
      <w:bookmarkStart w:id="9" w:name="_Toc109537382"/>
    </w:p>
    <w:p>
      <w:pPr>
        <w:widowControl/>
        <w:adjustRightInd/>
        <w:snapToGrid/>
        <w:spacing w:line="240" w:lineRule="auto"/>
        <w:ind w:firstLine="0" w:firstLineChars="0"/>
        <w:rPr>
          <w:kern w:val="0"/>
          <w:sz w:val="24"/>
          <w:szCs w:val="24"/>
        </w:rPr>
      </w:pPr>
      <w:r>
        <w:rPr>
          <w:kern w:val="0"/>
          <w:sz w:val="24"/>
          <w:szCs w:val="24"/>
        </w:rPr>
        <w:br w:type="page"/>
      </w:r>
    </w:p>
    <w:p>
      <w:pPr>
        <w:widowControl/>
        <w:adjustRightInd w:val="0"/>
        <w:snapToGrid w:val="0"/>
        <w:spacing w:line="360" w:lineRule="auto"/>
        <w:ind w:firstLine="480" w:firstLineChars="200"/>
        <w:rPr>
          <w:kern w:val="0"/>
          <w:sz w:val="24"/>
          <w:szCs w:val="24"/>
        </w:rPr>
      </w:pPr>
    </w:p>
    <w:p>
      <w:pPr>
        <w:spacing w:line="360" w:lineRule="auto"/>
        <w:jc w:val="center"/>
        <w:outlineLvl w:val="0"/>
        <w:rPr>
          <w:rFonts w:ascii="宋体" w:hAnsi="宋体"/>
          <w:b/>
          <w:kern w:val="0"/>
          <w:sz w:val="30"/>
        </w:rPr>
      </w:pPr>
      <w:bookmarkStart w:id="10" w:name="_Toc48122005"/>
      <w:r>
        <w:rPr>
          <w:rFonts w:hint="eastAsia" w:ascii="宋体" w:hAnsi="宋体"/>
          <w:b/>
          <w:kern w:val="0"/>
          <w:sz w:val="30"/>
        </w:rPr>
        <w:t>四、基金托管人</w:t>
      </w:r>
      <w:bookmarkEnd w:id="9"/>
      <w:bookmarkEnd w:id="10"/>
    </w:p>
    <w:p>
      <w:pPr>
        <w:adjustRightInd w:val="0"/>
        <w:snapToGrid w:val="0"/>
        <w:spacing w:line="360" w:lineRule="auto"/>
        <w:ind w:firstLine="482" w:firstLineChars="200"/>
        <w:outlineLvl w:val="1"/>
        <w:rPr>
          <w:b/>
          <w:sz w:val="24"/>
          <w:szCs w:val="24"/>
        </w:rPr>
      </w:pPr>
      <w:r>
        <w:rPr>
          <w:rFonts w:hint="eastAsia"/>
          <w:b/>
          <w:sz w:val="24"/>
          <w:szCs w:val="24"/>
        </w:rPr>
        <w:t>（</w:t>
      </w:r>
      <w:r>
        <w:rPr>
          <w:rFonts w:hAnsi="宋体"/>
          <w:b/>
          <w:sz w:val="24"/>
          <w:szCs w:val="24"/>
        </w:rPr>
        <w:t>一</w:t>
      </w:r>
      <w:r>
        <w:rPr>
          <w:rFonts w:hint="eastAsia"/>
          <w:b/>
          <w:sz w:val="24"/>
          <w:szCs w:val="24"/>
        </w:rPr>
        <w:t>）</w:t>
      </w:r>
      <w:r>
        <w:rPr>
          <w:rFonts w:hAnsi="宋体"/>
          <w:b/>
          <w:sz w:val="24"/>
          <w:szCs w:val="24"/>
        </w:rPr>
        <w:t>基金托管人情况</w:t>
      </w:r>
    </w:p>
    <w:p>
      <w:pPr>
        <w:widowControl/>
        <w:adjustRightInd w:val="0"/>
        <w:snapToGrid w:val="0"/>
        <w:spacing w:line="360" w:lineRule="auto"/>
        <w:ind w:firstLine="480" w:firstLineChars="200"/>
        <w:outlineLvl w:val="2"/>
        <w:rPr>
          <w:kern w:val="0"/>
          <w:sz w:val="24"/>
          <w:szCs w:val="24"/>
        </w:rPr>
      </w:pPr>
      <w:r>
        <w:rPr>
          <w:kern w:val="0"/>
          <w:sz w:val="24"/>
          <w:szCs w:val="24"/>
        </w:rPr>
        <w:t>1</w:t>
      </w:r>
      <w:r>
        <w:rPr>
          <w:rFonts w:hint="eastAsia"/>
          <w:kern w:val="0"/>
          <w:sz w:val="24"/>
          <w:szCs w:val="24"/>
        </w:rPr>
        <w:t>、基本情况</w:t>
      </w:r>
    </w:p>
    <w:p>
      <w:pPr>
        <w:widowControl/>
        <w:adjustRightInd w:val="0"/>
        <w:snapToGrid w:val="0"/>
        <w:spacing w:line="360" w:lineRule="auto"/>
        <w:ind w:firstLine="480" w:firstLineChars="200"/>
        <w:rPr>
          <w:kern w:val="0"/>
          <w:sz w:val="24"/>
          <w:szCs w:val="24"/>
        </w:rPr>
      </w:pPr>
      <w:r>
        <w:rPr>
          <w:rFonts w:hint="eastAsia"/>
          <w:kern w:val="0"/>
          <w:sz w:val="24"/>
          <w:szCs w:val="24"/>
        </w:rPr>
        <w:t>名称：上海浦东发展银行股份有限公司（简称“</w:t>
      </w:r>
      <w:r>
        <w:rPr>
          <w:rFonts w:hint="eastAsia"/>
          <w:bCs/>
          <w:kern w:val="0"/>
          <w:sz w:val="24"/>
          <w:szCs w:val="24"/>
        </w:rPr>
        <w:t>上海浦东发展银行</w:t>
      </w:r>
      <w:r>
        <w:rPr>
          <w:rFonts w:hint="eastAsia"/>
          <w:kern w:val="0"/>
          <w:sz w:val="24"/>
          <w:szCs w:val="24"/>
        </w:rPr>
        <w:t>”）</w:t>
      </w:r>
    </w:p>
    <w:p>
      <w:pPr>
        <w:widowControl/>
        <w:adjustRightInd w:val="0"/>
        <w:snapToGrid w:val="0"/>
        <w:spacing w:line="360" w:lineRule="auto"/>
        <w:ind w:firstLine="480" w:firstLineChars="200"/>
        <w:rPr>
          <w:kern w:val="0"/>
          <w:sz w:val="24"/>
          <w:szCs w:val="24"/>
        </w:rPr>
      </w:pPr>
      <w:r>
        <w:rPr>
          <w:rFonts w:hint="eastAsia"/>
          <w:kern w:val="0"/>
          <w:sz w:val="24"/>
          <w:szCs w:val="24"/>
        </w:rPr>
        <w:t>注册地址：上海市中山东一路12 号</w:t>
      </w:r>
    </w:p>
    <w:p>
      <w:pPr>
        <w:widowControl/>
        <w:adjustRightInd w:val="0"/>
        <w:snapToGrid w:val="0"/>
        <w:spacing w:line="360" w:lineRule="auto"/>
        <w:ind w:firstLine="480" w:firstLineChars="200"/>
        <w:rPr>
          <w:kern w:val="0"/>
          <w:sz w:val="24"/>
          <w:szCs w:val="24"/>
        </w:rPr>
      </w:pPr>
      <w:r>
        <w:rPr>
          <w:rFonts w:hint="eastAsia"/>
          <w:kern w:val="0"/>
          <w:sz w:val="24"/>
          <w:szCs w:val="24"/>
        </w:rPr>
        <w:t>办公地址：上海市中山东一路12 号</w:t>
      </w:r>
    </w:p>
    <w:p>
      <w:pPr>
        <w:widowControl/>
        <w:adjustRightInd w:val="0"/>
        <w:snapToGrid w:val="0"/>
        <w:spacing w:line="360" w:lineRule="auto"/>
        <w:ind w:firstLine="480" w:firstLineChars="200"/>
        <w:rPr>
          <w:kern w:val="0"/>
          <w:sz w:val="24"/>
          <w:szCs w:val="24"/>
        </w:rPr>
      </w:pPr>
      <w:r>
        <w:rPr>
          <w:rFonts w:hint="eastAsia"/>
          <w:kern w:val="0"/>
          <w:sz w:val="24"/>
          <w:szCs w:val="24"/>
        </w:rPr>
        <w:t>法定代表人：郑杨</w:t>
      </w:r>
    </w:p>
    <w:p>
      <w:pPr>
        <w:widowControl/>
        <w:adjustRightInd w:val="0"/>
        <w:snapToGrid w:val="0"/>
        <w:spacing w:line="360" w:lineRule="auto"/>
        <w:ind w:firstLine="480" w:firstLineChars="200"/>
        <w:rPr>
          <w:kern w:val="0"/>
          <w:sz w:val="24"/>
          <w:szCs w:val="24"/>
        </w:rPr>
      </w:pPr>
      <w:r>
        <w:rPr>
          <w:rFonts w:hint="eastAsia"/>
          <w:kern w:val="0"/>
          <w:sz w:val="24"/>
          <w:szCs w:val="24"/>
        </w:rPr>
        <w:t>成立时间： 1992 年10 月19 日</w:t>
      </w:r>
    </w:p>
    <w:p>
      <w:pPr>
        <w:widowControl/>
        <w:adjustRightInd w:val="0"/>
        <w:snapToGrid w:val="0"/>
        <w:spacing w:line="360" w:lineRule="auto"/>
        <w:ind w:firstLine="480" w:firstLineChars="200"/>
        <w:rPr>
          <w:kern w:val="0"/>
          <w:sz w:val="24"/>
          <w:szCs w:val="24"/>
        </w:rPr>
      </w:pPr>
      <w:r>
        <w:rPr>
          <w:rFonts w:hint="eastAsia"/>
          <w:kern w:val="0"/>
          <w:sz w:val="24"/>
          <w:szCs w:val="24"/>
        </w:rPr>
        <w:t>经营范围：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pPr>
        <w:widowControl/>
        <w:adjustRightInd w:val="0"/>
        <w:snapToGrid w:val="0"/>
        <w:spacing w:line="360" w:lineRule="auto"/>
        <w:ind w:firstLine="480" w:firstLineChars="200"/>
        <w:rPr>
          <w:kern w:val="0"/>
          <w:sz w:val="24"/>
          <w:szCs w:val="24"/>
        </w:rPr>
      </w:pPr>
      <w:r>
        <w:rPr>
          <w:rFonts w:hint="eastAsia"/>
          <w:kern w:val="0"/>
          <w:sz w:val="24"/>
          <w:szCs w:val="24"/>
        </w:rPr>
        <w:t>组织形式： 股份有限公司</w:t>
      </w:r>
    </w:p>
    <w:p>
      <w:pPr>
        <w:widowControl/>
        <w:adjustRightInd w:val="0"/>
        <w:snapToGrid w:val="0"/>
        <w:spacing w:line="360" w:lineRule="auto"/>
        <w:ind w:firstLine="480" w:firstLineChars="200"/>
        <w:rPr>
          <w:kern w:val="0"/>
          <w:sz w:val="24"/>
          <w:szCs w:val="24"/>
        </w:rPr>
      </w:pPr>
      <w:r>
        <w:rPr>
          <w:rFonts w:hint="eastAsia"/>
          <w:kern w:val="0"/>
          <w:sz w:val="24"/>
          <w:szCs w:val="24"/>
        </w:rPr>
        <w:t>注册资本： 293.52 亿元人民币</w:t>
      </w:r>
    </w:p>
    <w:p>
      <w:pPr>
        <w:widowControl/>
        <w:adjustRightInd w:val="0"/>
        <w:snapToGrid w:val="0"/>
        <w:spacing w:line="360" w:lineRule="auto"/>
        <w:ind w:firstLine="480" w:firstLineChars="200"/>
        <w:rPr>
          <w:kern w:val="0"/>
          <w:sz w:val="24"/>
          <w:szCs w:val="24"/>
        </w:rPr>
      </w:pPr>
      <w:r>
        <w:rPr>
          <w:rFonts w:hint="eastAsia"/>
          <w:kern w:val="0"/>
          <w:sz w:val="24"/>
          <w:szCs w:val="24"/>
        </w:rPr>
        <w:t>存续期间： 持续经营</w:t>
      </w:r>
    </w:p>
    <w:p>
      <w:pPr>
        <w:widowControl/>
        <w:adjustRightInd w:val="0"/>
        <w:snapToGrid w:val="0"/>
        <w:spacing w:line="360" w:lineRule="auto"/>
        <w:ind w:firstLine="480" w:firstLineChars="200"/>
        <w:rPr>
          <w:kern w:val="0"/>
          <w:sz w:val="24"/>
          <w:szCs w:val="24"/>
        </w:rPr>
      </w:pPr>
      <w:r>
        <w:rPr>
          <w:rFonts w:hint="eastAsia"/>
          <w:kern w:val="0"/>
          <w:sz w:val="24"/>
          <w:szCs w:val="24"/>
        </w:rPr>
        <w:t>基金托管资格批文及文号：中国证监会证监基金字[2003]105 号</w:t>
      </w:r>
    </w:p>
    <w:p>
      <w:pPr>
        <w:widowControl/>
        <w:adjustRightInd w:val="0"/>
        <w:snapToGrid w:val="0"/>
        <w:spacing w:line="360" w:lineRule="auto"/>
        <w:ind w:firstLine="480" w:firstLineChars="200"/>
        <w:rPr>
          <w:kern w:val="0"/>
          <w:sz w:val="24"/>
          <w:szCs w:val="24"/>
        </w:rPr>
      </w:pPr>
      <w:r>
        <w:rPr>
          <w:rFonts w:hint="eastAsia"/>
          <w:kern w:val="0"/>
          <w:sz w:val="24"/>
          <w:szCs w:val="24"/>
        </w:rPr>
        <w:t>联系人：朱萍</w:t>
      </w:r>
    </w:p>
    <w:p>
      <w:pPr>
        <w:widowControl/>
        <w:adjustRightInd w:val="0"/>
        <w:snapToGrid w:val="0"/>
        <w:spacing w:line="360" w:lineRule="auto"/>
        <w:ind w:firstLine="480" w:firstLineChars="200"/>
        <w:rPr>
          <w:kern w:val="0"/>
          <w:sz w:val="24"/>
          <w:szCs w:val="24"/>
        </w:rPr>
      </w:pPr>
      <w:r>
        <w:rPr>
          <w:rFonts w:hint="eastAsia"/>
          <w:kern w:val="0"/>
          <w:sz w:val="24"/>
          <w:szCs w:val="24"/>
        </w:rPr>
        <w:t>联系电话：（021）61618888</w:t>
      </w:r>
    </w:p>
    <w:p>
      <w:pPr>
        <w:widowControl/>
        <w:adjustRightInd w:val="0"/>
        <w:snapToGrid w:val="0"/>
        <w:spacing w:line="360" w:lineRule="auto"/>
        <w:ind w:firstLine="480" w:firstLineChars="200"/>
        <w:rPr>
          <w:kern w:val="0"/>
          <w:sz w:val="24"/>
          <w:szCs w:val="24"/>
        </w:rPr>
      </w:pPr>
      <w:r>
        <w:rPr>
          <w:rFonts w:hint="eastAsia"/>
          <w:kern w:val="0"/>
          <w:sz w:val="24"/>
          <w:szCs w:val="24"/>
        </w:rPr>
        <w:t>上海浦东发展银行自 2003 年开展资产托管业务，是较早开展银行资产托管服务的股份制商业银行之一。经过二十年来的稳健经营和业务开拓，各项业务发展一直保持较快增长，各项经营指标在股份制商业银行中处于较好水平。</w:t>
      </w:r>
    </w:p>
    <w:p>
      <w:pPr>
        <w:widowControl/>
        <w:adjustRightInd w:val="0"/>
        <w:snapToGrid w:val="0"/>
        <w:spacing w:line="360" w:lineRule="auto"/>
        <w:ind w:firstLine="480" w:firstLineChars="200"/>
        <w:rPr>
          <w:kern w:val="0"/>
          <w:sz w:val="24"/>
          <w:szCs w:val="24"/>
        </w:rPr>
      </w:pPr>
      <w:r>
        <w:rPr>
          <w:rFonts w:hint="eastAsia"/>
          <w:kern w:val="0"/>
          <w:sz w:val="24"/>
          <w:szCs w:val="24"/>
        </w:rPr>
        <w:t>上海浦东发展银行总行于2003年设立基金托管部，2005年更名为资产托管部，2013年更名为资产托管与养老金业务部，2016年进行组织架构优化调整，并更名为资产托管部，目前下设证券托管处、客户资产托管处、养老金业务处、内控管理处、业务保障处、总行资产托管运营中心（含合肥分中心）六个职能处室。</w:t>
      </w:r>
    </w:p>
    <w:p>
      <w:pPr>
        <w:widowControl/>
        <w:adjustRightInd w:val="0"/>
        <w:snapToGrid w:val="0"/>
        <w:spacing w:line="360" w:lineRule="auto"/>
        <w:ind w:firstLine="480" w:firstLineChars="200"/>
        <w:rPr>
          <w:bCs/>
          <w:kern w:val="0"/>
          <w:sz w:val="24"/>
          <w:szCs w:val="24"/>
        </w:rPr>
      </w:pPr>
      <w:r>
        <w:rPr>
          <w:rFonts w:hint="eastAsia"/>
          <w:kern w:val="0"/>
          <w:sz w:val="24"/>
          <w:szCs w:val="24"/>
        </w:rPr>
        <w:t>目前，上海浦东发展银行已拥有客户资金托管、资金信托保管、证券投资基金托管、全球资产托管、保险资金托管、基金专户理财托管、证券公司客户资产托管、期货公司客户资产托管、私募证券投资基金托管、私募股权托管、银行理财产品托管、企业年金托管等多项托管产品，形成完备的产品体系，可满足多领域客户、境内外市场的资产托管需求。</w:t>
      </w:r>
    </w:p>
    <w:p>
      <w:pPr>
        <w:widowControl/>
        <w:numPr>
          <w:ilvl w:val="0"/>
          <w:numId w:val="1"/>
        </w:numPr>
        <w:adjustRightInd w:val="0"/>
        <w:snapToGrid w:val="0"/>
        <w:spacing w:line="360" w:lineRule="auto"/>
        <w:ind w:firstLine="480" w:firstLineChars="200"/>
        <w:outlineLvl w:val="2"/>
        <w:rPr>
          <w:kern w:val="0"/>
          <w:sz w:val="24"/>
          <w:szCs w:val="24"/>
        </w:rPr>
      </w:pPr>
      <w:r>
        <w:rPr>
          <w:rFonts w:hint="eastAsia"/>
          <w:kern w:val="0"/>
          <w:sz w:val="24"/>
          <w:szCs w:val="24"/>
        </w:rPr>
        <w:t>主要人员情况</w:t>
      </w:r>
    </w:p>
    <w:p>
      <w:pPr>
        <w:widowControl/>
        <w:numPr>
          <w:ilvl w:val="255"/>
          <w:numId w:val="0"/>
        </w:numPr>
        <w:adjustRightInd w:val="0"/>
        <w:snapToGrid w:val="0"/>
        <w:spacing w:line="360" w:lineRule="auto"/>
        <w:ind w:firstLine="480" w:firstLineChars="200"/>
        <w:outlineLvl w:val="2"/>
        <w:rPr>
          <w:kern w:val="0"/>
          <w:sz w:val="24"/>
          <w:szCs w:val="24"/>
        </w:rPr>
      </w:pPr>
      <w:r>
        <w:rPr>
          <w:rFonts w:hint="eastAsia"/>
          <w:kern w:val="0"/>
          <w:sz w:val="24"/>
          <w:szCs w:val="24"/>
        </w:rPr>
        <w:t>郑杨，男，1966年出生，研究生学历，博士学位，高级经济师。曾任国家经贸委经济法规司调研处副处长；中国机电设备招标中心开发处处长、第七招标业务处处长；国家外汇管理局资本项目司副司长；中国人民银行上海分行党委委员、副行长、国家外汇管理局上海市分局副局长；中国人民银行上海总部党委委员、副主任兼外汇管理部主任；上海市金融工作党委副书记、市金融办主任；上海市金融工作党委书记、市金融办主任；上海市金融工作党委书记、市地方金融监管局（市金融工作局）局长。现任上海浦东发展银行党委书记、董事长。</w:t>
      </w:r>
    </w:p>
    <w:p>
      <w:pPr>
        <w:widowControl/>
        <w:adjustRightInd w:val="0"/>
        <w:snapToGrid w:val="0"/>
        <w:spacing w:line="360" w:lineRule="auto"/>
        <w:ind w:firstLine="480" w:firstLineChars="200"/>
        <w:outlineLvl w:val="2"/>
        <w:rPr>
          <w:kern w:val="0"/>
          <w:sz w:val="24"/>
          <w:szCs w:val="24"/>
        </w:rPr>
      </w:pPr>
      <w:r>
        <w:rPr>
          <w:rFonts w:hint="eastAsia"/>
          <w:kern w:val="0"/>
          <w:sz w:val="24"/>
          <w:szCs w:val="24"/>
        </w:rPr>
        <w:t>潘卫东，男，1966年出生，硕士研究生，高级经济师。曾任宁波证券公司业务一部副经理；上海浦东发展银行宁波分行资财部总经理兼任北仑办事处主任、宁波分行副行长；上海浦东发展银行产品开发部总经理；上海浦东发展银行昆明分行行长、党组书记；上海市金融服务办公室挂职并任金融机构处处长；上海国际集团党委委员、总经理助理，上海国际集团党委委员、副总经理，上海国际信托有限公司党委书记、董事长；上海浦东发展银行党委委员、执行董事、副行长、财务总监。现任上海浦东发展银行党委副书记、副董事长、行长，上海国际信托有限公司董事长。</w:t>
      </w:r>
    </w:p>
    <w:p>
      <w:pPr>
        <w:widowControl/>
        <w:adjustRightInd w:val="0"/>
        <w:snapToGrid w:val="0"/>
        <w:spacing w:line="360" w:lineRule="auto"/>
        <w:ind w:firstLine="480" w:firstLineChars="200"/>
        <w:outlineLvl w:val="2"/>
        <w:rPr>
          <w:kern w:val="0"/>
          <w:sz w:val="24"/>
          <w:szCs w:val="24"/>
        </w:rPr>
      </w:pPr>
      <w:r>
        <w:rPr>
          <w:rFonts w:hint="eastAsia"/>
          <w:kern w:val="0"/>
          <w:sz w:val="24"/>
          <w:szCs w:val="24"/>
        </w:rPr>
        <w:t>李国光，男，1967年出生，硕士研究生。历任上海浦东发展银行天津分行资财部总经理，天津分行行长助理、副行长，总行资金总部副总经理，总行资产负债管理委员会主任，总行清算作业部总经理，沈阳分行党委书记、行长。现任上海浦东发展银行总行资产托管部部门负责人。</w:t>
      </w:r>
    </w:p>
    <w:p>
      <w:pPr>
        <w:widowControl/>
        <w:adjustRightInd w:val="0"/>
        <w:snapToGrid w:val="0"/>
        <w:spacing w:line="360" w:lineRule="auto"/>
        <w:ind w:firstLine="480" w:firstLineChars="200"/>
        <w:outlineLvl w:val="2"/>
        <w:rPr>
          <w:kern w:val="0"/>
          <w:sz w:val="24"/>
          <w:szCs w:val="24"/>
        </w:rPr>
      </w:pPr>
      <w:r>
        <w:rPr>
          <w:rFonts w:hint="eastAsia"/>
          <w:kern w:val="0"/>
          <w:sz w:val="24"/>
          <w:szCs w:val="24"/>
        </w:rPr>
        <w:t>3、基金托管业务经营情况</w:t>
      </w:r>
    </w:p>
    <w:p>
      <w:pPr>
        <w:widowControl/>
        <w:adjustRightInd w:val="0"/>
        <w:snapToGrid w:val="0"/>
        <w:spacing w:line="360" w:lineRule="auto"/>
        <w:ind w:firstLine="480" w:firstLineChars="200"/>
        <w:rPr>
          <w:bCs/>
          <w:kern w:val="0"/>
          <w:sz w:val="24"/>
          <w:szCs w:val="24"/>
        </w:rPr>
      </w:pPr>
      <w:r>
        <w:rPr>
          <w:rFonts w:hint="eastAsia"/>
          <w:kern w:val="0"/>
          <w:sz w:val="24"/>
          <w:szCs w:val="24"/>
        </w:rPr>
        <w:t>截止2022年12月31日，上海浦东发展银行证券投资基金托管规模为12,312.23亿元，托管证券投资基金共三百九十二只。</w:t>
      </w:r>
    </w:p>
    <w:p>
      <w:pPr>
        <w:spacing w:line="360" w:lineRule="auto"/>
        <w:ind w:firstLine="482" w:firstLineChars="200"/>
        <w:outlineLvl w:val="1"/>
        <w:rPr>
          <w:rFonts w:ascii="宋体" w:hAnsi="宋体" w:cs="宋体"/>
          <w:b/>
          <w:kern w:val="0"/>
          <w:sz w:val="24"/>
          <w:szCs w:val="24"/>
        </w:rPr>
      </w:pPr>
      <w:r>
        <w:rPr>
          <w:rFonts w:hint="eastAsia" w:ascii="宋体" w:hAnsi="宋体" w:cs="宋体"/>
          <w:b/>
          <w:kern w:val="0"/>
          <w:sz w:val="24"/>
          <w:szCs w:val="24"/>
        </w:rPr>
        <w:t>（二）基金托管人的内部风险控制制度说明</w:t>
      </w:r>
    </w:p>
    <w:p>
      <w:pPr>
        <w:snapToGrid w:val="0"/>
        <w:spacing w:line="360" w:lineRule="auto"/>
        <w:ind w:firstLine="480" w:firstLineChars="200"/>
        <w:rPr>
          <w:bCs/>
          <w:kern w:val="0"/>
          <w:sz w:val="24"/>
          <w:szCs w:val="24"/>
        </w:rPr>
      </w:pPr>
      <w:r>
        <w:rPr>
          <w:rFonts w:hint="eastAsia"/>
          <w:bCs/>
          <w:kern w:val="0"/>
          <w:sz w:val="24"/>
          <w:szCs w:val="24"/>
        </w:rPr>
        <w:t>1、内部控制目标为：确保经营活动中严格遵守国家有关法律法规、监管部门监管规则和上海浦东发展银行规章制度，形成守法经营、规范运作的经营思想。确保经营业务的稳健运行，保证基金资产的安全和完整，确保业务活动信息的真实、准确、完整，保护基金份额持有人的合法权益。</w:t>
      </w:r>
    </w:p>
    <w:p>
      <w:pPr>
        <w:snapToGrid w:val="0"/>
        <w:spacing w:line="360" w:lineRule="auto"/>
        <w:ind w:firstLine="480" w:firstLineChars="200"/>
        <w:rPr>
          <w:bCs/>
          <w:kern w:val="0"/>
          <w:sz w:val="24"/>
          <w:szCs w:val="24"/>
        </w:rPr>
      </w:pPr>
      <w:r>
        <w:rPr>
          <w:rFonts w:hint="eastAsia"/>
          <w:bCs/>
          <w:kern w:val="0"/>
          <w:sz w:val="24"/>
          <w:szCs w:val="24"/>
        </w:rPr>
        <w:t>2、上海浦东发展银行内部控制组织架构为：总行法律合规部是全行内部控制的牵头管理部门，指导业务部门建立并维护资产托管业务的内部控制体系。</w:t>
      </w:r>
    </w:p>
    <w:p>
      <w:pPr>
        <w:snapToGrid w:val="0"/>
        <w:spacing w:line="360" w:lineRule="auto"/>
        <w:ind w:firstLine="480" w:firstLineChars="200"/>
        <w:rPr>
          <w:bCs/>
          <w:kern w:val="0"/>
          <w:sz w:val="24"/>
          <w:szCs w:val="24"/>
        </w:rPr>
      </w:pPr>
      <w:r>
        <w:rPr>
          <w:rFonts w:hint="eastAsia"/>
          <w:bCs/>
          <w:kern w:val="0"/>
          <w:sz w:val="24"/>
          <w:szCs w:val="24"/>
        </w:rPr>
        <w:t>总行风险监控部是全行操作风险的牵头管理部门。指导业务部门开展资产托管业务的操作风险管控工作。总行资产托管部下设内控管理处。内控管理处是全行托管业务条线的内部控制具体管理实施机构，并配备专职内控监督人员负责托管业务的内控监督工作，独立行使监督稽核职责。</w:t>
      </w:r>
    </w:p>
    <w:p>
      <w:pPr>
        <w:snapToGrid w:val="0"/>
        <w:spacing w:line="360" w:lineRule="auto"/>
        <w:ind w:firstLine="480" w:firstLineChars="200"/>
        <w:rPr>
          <w:bCs/>
          <w:kern w:val="0"/>
          <w:sz w:val="24"/>
          <w:szCs w:val="24"/>
        </w:rPr>
      </w:pPr>
      <w:r>
        <w:rPr>
          <w:rFonts w:hint="eastAsia"/>
          <w:bCs/>
          <w:kern w:val="0"/>
          <w:sz w:val="24"/>
          <w:szCs w:val="24"/>
        </w:rPr>
        <w:t>3、内部控制制度及措施: 上海浦东发展银行已建立完善的内部控制制度。内控制度贯穿资产托管业务的决策、执行、监督全过程，渗透到各业务流程和各操作环节，覆盖到从事资产托管各级组织结构、岗位及人员。内部控制以防范风险、合规经营为出发点，各项业务流程体现“内控优先”要求。</w:t>
      </w:r>
    </w:p>
    <w:p>
      <w:pPr>
        <w:snapToGrid w:val="0"/>
        <w:spacing w:line="360" w:lineRule="auto"/>
        <w:ind w:firstLine="480" w:firstLineChars="200"/>
        <w:rPr>
          <w:rFonts w:ascii="宋体" w:hAnsi="宋体" w:cs="宋体"/>
          <w:sz w:val="24"/>
          <w:szCs w:val="24"/>
        </w:rPr>
      </w:pPr>
      <w:r>
        <w:rPr>
          <w:rFonts w:hint="eastAsia"/>
          <w:bCs/>
          <w:kern w:val="0"/>
          <w:sz w:val="24"/>
          <w:szCs w:val="24"/>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组织灾备演练，建立重大事项报告制度；在基金运作办公区域建立健全安全监控系统，利用录音、录像等技术手段实现风险控制；定期对业务情况进行自查、内部稽核等措施进行监控，通过专项/全面审计等措施实施业务监控，排查风险隐患</w:t>
      </w:r>
      <w:r>
        <w:rPr>
          <w:rFonts w:hint="eastAsia" w:ascii="宋体" w:hAnsi="宋体" w:cs="宋体"/>
          <w:sz w:val="24"/>
          <w:szCs w:val="24"/>
        </w:rPr>
        <w:t>。</w:t>
      </w:r>
    </w:p>
    <w:p>
      <w:pPr>
        <w:widowControl/>
        <w:spacing w:line="360" w:lineRule="auto"/>
        <w:ind w:right="-178" w:rightChars="-85" w:firstLine="482" w:firstLineChars="200"/>
        <w:outlineLvl w:val="1"/>
        <w:rPr>
          <w:rFonts w:ascii="宋体" w:hAnsi="宋体" w:cs="宋体"/>
          <w:b/>
          <w:kern w:val="0"/>
          <w:sz w:val="24"/>
          <w:szCs w:val="24"/>
        </w:rPr>
      </w:pPr>
      <w:r>
        <w:rPr>
          <w:rFonts w:hint="eastAsia" w:ascii="宋体" w:hAnsi="宋体" w:cs="宋体"/>
          <w:b/>
          <w:kern w:val="0"/>
          <w:sz w:val="24"/>
          <w:szCs w:val="24"/>
        </w:rPr>
        <w:t>（三）基金托管人对基金管理人运作基金进行监督的方法和程序</w:t>
      </w:r>
    </w:p>
    <w:p>
      <w:pPr>
        <w:adjustRightInd w:val="0"/>
        <w:snapToGrid w:val="0"/>
        <w:spacing w:line="360" w:lineRule="auto"/>
        <w:ind w:firstLine="480" w:firstLineChars="200"/>
        <w:outlineLvl w:val="2"/>
        <w:rPr>
          <w:bCs/>
          <w:kern w:val="0"/>
          <w:sz w:val="24"/>
          <w:szCs w:val="24"/>
        </w:rPr>
      </w:pPr>
      <w:r>
        <w:rPr>
          <w:rFonts w:hint="eastAsia"/>
          <w:bCs/>
          <w:kern w:val="0"/>
          <w:sz w:val="24"/>
          <w:szCs w:val="24"/>
        </w:rPr>
        <w:t>1、监督依据</w:t>
      </w:r>
    </w:p>
    <w:p>
      <w:pPr>
        <w:adjustRightInd w:val="0"/>
        <w:snapToGrid w:val="0"/>
        <w:spacing w:line="360" w:lineRule="auto"/>
        <w:ind w:firstLine="480" w:firstLineChars="200"/>
        <w:rPr>
          <w:bCs/>
          <w:kern w:val="0"/>
          <w:sz w:val="24"/>
          <w:szCs w:val="24"/>
        </w:rPr>
      </w:pPr>
      <w:r>
        <w:rPr>
          <w:rFonts w:hint="eastAsia"/>
          <w:bCs/>
          <w:kern w:val="0"/>
          <w:sz w:val="24"/>
          <w:szCs w:val="24"/>
        </w:rPr>
        <w:t>托管人严格按照有关政策法规、以及基金合同、托管协议等进行监督。监督依据具体包括：</w:t>
      </w:r>
    </w:p>
    <w:p>
      <w:pPr>
        <w:adjustRightInd w:val="0"/>
        <w:snapToGrid w:val="0"/>
        <w:spacing w:line="360" w:lineRule="auto"/>
        <w:ind w:firstLine="480" w:firstLineChars="200"/>
        <w:rPr>
          <w:bCs/>
          <w:kern w:val="0"/>
          <w:sz w:val="24"/>
          <w:szCs w:val="24"/>
        </w:rPr>
      </w:pPr>
      <w:r>
        <w:rPr>
          <w:rFonts w:hint="eastAsia"/>
          <w:bCs/>
          <w:kern w:val="0"/>
          <w:sz w:val="24"/>
          <w:szCs w:val="24"/>
        </w:rPr>
        <w:t>（1）《中华人民共和国证券法》；</w:t>
      </w:r>
    </w:p>
    <w:p>
      <w:pPr>
        <w:adjustRightInd w:val="0"/>
        <w:snapToGrid w:val="0"/>
        <w:spacing w:line="360" w:lineRule="auto"/>
        <w:ind w:firstLine="480" w:firstLineChars="200"/>
        <w:rPr>
          <w:bCs/>
          <w:kern w:val="0"/>
          <w:sz w:val="24"/>
          <w:szCs w:val="24"/>
        </w:rPr>
      </w:pPr>
      <w:r>
        <w:rPr>
          <w:rFonts w:hint="eastAsia"/>
          <w:bCs/>
          <w:kern w:val="0"/>
          <w:sz w:val="24"/>
          <w:szCs w:val="24"/>
        </w:rPr>
        <w:t>（2）《基金法》；</w:t>
      </w:r>
    </w:p>
    <w:p>
      <w:pPr>
        <w:adjustRightInd w:val="0"/>
        <w:snapToGrid w:val="0"/>
        <w:spacing w:line="360" w:lineRule="auto"/>
        <w:ind w:firstLine="480" w:firstLineChars="200"/>
        <w:rPr>
          <w:bCs/>
          <w:kern w:val="0"/>
          <w:sz w:val="24"/>
          <w:szCs w:val="24"/>
        </w:rPr>
      </w:pPr>
      <w:r>
        <w:rPr>
          <w:rFonts w:hint="eastAsia"/>
          <w:bCs/>
          <w:kern w:val="0"/>
          <w:sz w:val="24"/>
          <w:szCs w:val="24"/>
        </w:rPr>
        <w:t>（3）《运作办法》；</w:t>
      </w:r>
    </w:p>
    <w:p>
      <w:pPr>
        <w:adjustRightInd w:val="0"/>
        <w:snapToGrid w:val="0"/>
        <w:spacing w:line="360" w:lineRule="auto"/>
        <w:ind w:firstLine="480" w:firstLineChars="200"/>
        <w:rPr>
          <w:bCs/>
          <w:kern w:val="0"/>
          <w:sz w:val="24"/>
          <w:szCs w:val="24"/>
        </w:rPr>
      </w:pPr>
      <w:r>
        <w:rPr>
          <w:rFonts w:hint="eastAsia"/>
          <w:bCs/>
          <w:kern w:val="0"/>
          <w:sz w:val="24"/>
          <w:szCs w:val="24"/>
        </w:rPr>
        <w:t>（4）《销售办法》；</w:t>
      </w:r>
    </w:p>
    <w:p>
      <w:pPr>
        <w:adjustRightInd w:val="0"/>
        <w:snapToGrid w:val="0"/>
        <w:spacing w:line="360" w:lineRule="auto"/>
        <w:ind w:firstLine="480" w:firstLineChars="200"/>
        <w:rPr>
          <w:bCs/>
          <w:kern w:val="0"/>
          <w:sz w:val="24"/>
          <w:szCs w:val="24"/>
        </w:rPr>
      </w:pPr>
      <w:r>
        <w:rPr>
          <w:rFonts w:hint="eastAsia"/>
          <w:bCs/>
          <w:kern w:val="0"/>
          <w:sz w:val="24"/>
          <w:szCs w:val="24"/>
        </w:rPr>
        <w:t>（5）《基金合同》、《托管协议》；</w:t>
      </w:r>
    </w:p>
    <w:p>
      <w:pPr>
        <w:adjustRightInd w:val="0"/>
        <w:snapToGrid w:val="0"/>
        <w:spacing w:line="360" w:lineRule="auto"/>
        <w:ind w:firstLine="480" w:firstLineChars="200"/>
        <w:rPr>
          <w:bCs/>
          <w:kern w:val="0"/>
          <w:sz w:val="24"/>
          <w:szCs w:val="24"/>
        </w:rPr>
      </w:pPr>
      <w:r>
        <w:rPr>
          <w:rFonts w:hint="eastAsia"/>
          <w:bCs/>
          <w:kern w:val="0"/>
          <w:sz w:val="24"/>
          <w:szCs w:val="24"/>
        </w:rPr>
        <w:t>（6） 法律、法规、政策的其他规定。</w:t>
      </w:r>
    </w:p>
    <w:p>
      <w:pPr>
        <w:adjustRightInd w:val="0"/>
        <w:snapToGrid w:val="0"/>
        <w:spacing w:line="360" w:lineRule="auto"/>
        <w:ind w:firstLine="480" w:firstLineChars="200"/>
        <w:outlineLvl w:val="2"/>
        <w:rPr>
          <w:bCs/>
          <w:kern w:val="0"/>
          <w:sz w:val="24"/>
          <w:szCs w:val="24"/>
        </w:rPr>
      </w:pPr>
      <w:r>
        <w:rPr>
          <w:rFonts w:hint="eastAsia"/>
          <w:bCs/>
          <w:kern w:val="0"/>
          <w:sz w:val="24"/>
          <w:szCs w:val="24"/>
        </w:rPr>
        <w:t>2、监督内容</w:t>
      </w:r>
    </w:p>
    <w:p>
      <w:pPr>
        <w:adjustRightInd w:val="0"/>
        <w:snapToGrid w:val="0"/>
        <w:spacing w:line="360" w:lineRule="auto"/>
        <w:ind w:firstLine="480" w:firstLineChars="200"/>
        <w:rPr>
          <w:bCs/>
          <w:kern w:val="0"/>
          <w:sz w:val="24"/>
          <w:szCs w:val="24"/>
        </w:rPr>
      </w:pPr>
      <w:r>
        <w:rPr>
          <w:rFonts w:hint="eastAsia"/>
          <w:bCs/>
          <w:kern w:val="0"/>
          <w:sz w:val="24"/>
          <w:szCs w:val="24"/>
        </w:rPr>
        <w:t>基金托管人根据基金合同及托管协议约定，对基金合同生效之后所托管基金的投资范围、投资比例、投资限制等进行严格监督，及时提示基金管理人违规风险。</w:t>
      </w:r>
    </w:p>
    <w:p>
      <w:pPr>
        <w:adjustRightInd w:val="0"/>
        <w:snapToGrid w:val="0"/>
        <w:spacing w:line="360" w:lineRule="auto"/>
        <w:ind w:firstLine="480" w:firstLineChars="200"/>
        <w:outlineLvl w:val="2"/>
        <w:rPr>
          <w:bCs/>
          <w:kern w:val="0"/>
          <w:sz w:val="24"/>
          <w:szCs w:val="24"/>
        </w:rPr>
      </w:pPr>
      <w:r>
        <w:rPr>
          <w:rFonts w:hint="eastAsia"/>
          <w:bCs/>
          <w:kern w:val="0"/>
          <w:sz w:val="24"/>
          <w:szCs w:val="24"/>
        </w:rPr>
        <w:t>3、监督方法</w:t>
      </w:r>
    </w:p>
    <w:p>
      <w:pPr>
        <w:adjustRightInd w:val="0"/>
        <w:snapToGrid w:val="0"/>
        <w:spacing w:line="360" w:lineRule="auto"/>
        <w:ind w:firstLine="480" w:firstLineChars="200"/>
        <w:rPr>
          <w:bCs/>
          <w:kern w:val="0"/>
          <w:sz w:val="24"/>
          <w:szCs w:val="24"/>
        </w:rPr>
      </w:pPr>
      <w:r>
        <w:rPr>
          <w:rFonts w:hint="eastAsia"/>
          <w:bCs/>
          <w:kern w:val="0"/>
          <w:sz w:val="24"/>
          <w:szCs w:val="24"/>
        </w:rPr>
        <w:t>（1）资产托管部设置核算监督岗位，配备相应的业务人员，在授权范围内独立行使对基金管理人投资交易行为的监督职责，规范基金运作，维护基金投资人的合法权益，不受任何外界力量的干预；</w:t>
      </w:r>
    </w:p>
    <w:p>
      <w:pPr>
        <w:adjustRightInd w:val="0"/>
        <w:snapToGrid w:val="0"/>
        <w:spacing w:line="360" w:lineRule="auto"/>
        <w:ind w:firstLine="480" w:firstLineChars="200"/>
        <w:rPr>
          <w:bCs/>
          <w:kern w:val="0"/>
          <w:sz w:val="24"/>
          <w:szCs w:val="24"/>
        </w:rPr>
      </w:pPr>
      <w:r>
        <w:rPr>
          <w:rFonts w:hint="eastAsia"/>
          <w:bCs/>
          <w:kern w:val="0"/>
          <w:sz w:val="24"/>
          <w:szCs w:val="24"/>
        </w:rPr>
        <w:t>（2）在日常运作中，凡可量化的监督指标，由核算监督岗通过托管业务的自动处理程序进行监督，实现系统的自动跟踪和预警；</w:t>
      </w:r>
    </w:p>
    <w:p>
      <w:pPr>
        <w:adjustRightInd w:val="0"/>
        <w:snapToGrid w:val="0"/>
        <w:spacing w:line="360" w:lineRule="auto"/>
        <w:ind w:firstLine="480" w:firstLineChars="200"/>
        <w:rPr>
          <w:bCs/>
          <w:kern w:val="0"/>
          <w:sz w:val="24"/>
          <w:szCs w:val="24"/>
        </w:rPr>
      </w:pPr>
      <w:r>
        <w:rPr>
          <w:rFonts w:hint="eastAsia"/>
          <w:bCs/>
          <w:kern w:val="0"/>
          <w:sz w:val="24"/>
          <w:szCs w:val="24"/>
        </w:rPr>
        <w:t>（3）对非量化指标、投资指令、管理人提供的各种报表和报告等，采取人工监督的方法。</w:t>
      </w:r>
    </w:p>
    <w:p>
      <w:pPr>
        <w:adjustRightInd w:val="0"/>
        <w:snapToGrid w:val="0"/>
        <w:spacing w:line="360" w:lineRule="auto"/>
        <w:ind w:firstLine="480" w:firstLineChars="200"/>
        <w:outlineLvl w:val="2"/>
        <w:rPr>
          <w:bCs/>
          <w:kern w:val="0"/>
          <w:sz w:val="24"/>
          <w:szCs w:val="24"/>
        </w:rPr>
      </w:pPr>
      <w:r>
        <w:rPr>
          <w:rFonts w:hint="eastAsia"/>
          <w:bCs/>
          <w:kern w:val="0"/>
          <w:sz w:val="24"/>
          <w:szCs w:val="24"/>
        </w:rPr>
        <w:t>4、监督结果的处理方式</w:t>
      </w:r>
    </w:p>
    <w:p>
      <w:pPr>
        <w:adjustRightInd w:val="0"/>
        <w:snapToGrid w:val="0"/>
        <w:spacing w:line="360" w:lineRule="auto"/>
        <w:ind w:firstLine="480" w:firstLineChars="200"/>
        <w:rPr>
          <w:bCs/>
          <w:kern w:val="0"/>
          <w:sz w:val="24"/>
          <w:szCs w:val="24"/>
        </w:rPr>
      </w:pPr>
      <w:r>
        <w:rPr>
          <w:rFonts w:hint="eastAsia"/>
          <w:bCs/>
          <w:kern w:val="0"/>
          <w:sz w:val="24"/>
          <w:szCs w:val="24"/>
        </w:rPr>
        <w:t>（1）基金托管人对基金管理人的投资运作监督结果，采取定期和不定期报告形式向基金管理人和中国证监会报告。定期报告包括基金监控周报等。不定期报告包括提示函、临时日报、其他临时报告等；</w:t>
      </w:r>
    </w:p>
    <w:p>
      <w:pPr>
        <w:adjustRightInd w:val="0"/>
        <w:snapToGrid w:val="0"/>
        <w:spacing w:line="360" w:lineRule="auto"/>
        <w:ind w:firstLine="480" w:firstLineChars="200"/>
        <w:rPr>
          <w:bCs/>
          <w:kern w:val="0"/>
          <w:sz w:val="24"/>
          <w:szCs w:val="24"/>
        </w:rPr>
      </w:pPr>
      <w:r>
        <w:rPr>
          <w:rFonts w:hint="eastAsia"/>
          <w:bCs/>
          <w:kern w:val="0"/>
          <w:sz w:val="24"/>
          <w:szCs w:val="24"/>
        </w:rPr>
        <w:t>（2）若基金托管人发现基金管理人违规违法操作，以电话、邮件、书面提示函的方式通知基金管理人，指明违规事项，明确纠正期限。在规定期限内基金托管人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pPr>
        <w:adjustRightInd w:val="0"/>
        <w:snapToGrid w:val="0"/>
        <w:spacing w:line="360" w:lineRule="auto"/>
        <w:ind w:firstLine="480" w:firstLineChars="200"/>
        <w:rPr>
          <w:color w:val="000000"/>
          <w:sz w:val="24"/>
          <w:szCs w:val="24"/>
        </w:rPr>
      </w:pPr>
      <w:r>
        <w:rPr>
          <w:rFonts w:hint="eastAsia"/>
          <w:bCs/>
          <w:kern w:val="0"/>
          <w:sz w:val="24"/>
          <w:szCs w:val="24"/>
        </w:rPr>
        <w:t>（3）针对中国证监会、中国人民银行对基金投资运作监督情况的检查，应及时提供有关情况和资料。</w:t>
      </w:r>
    </w:p>
    <w:p>
      <w:pPr>
        <w:widowControl/>
        <w:adjustRightInd w:val="0"/>
        <w:snapToGrid w:val="0"/>
        <w:spacing w:before="143" w:beforeLines="50" w:after="143" w:afterLines="50" w:line="360" w:lineRule="auto"/>
        <w:ind w:firstLine="602" w:firstLineChars="200"/>
        <w:jc w:val="center"/>
        <w:outlineLvl w:val="0"/>
        <w:rPr>
          <w:rFonts w:ascii="宋体" w:hAnsi="宋体"/>
          <w:b/>
          <w:kern w:val="0"/>
          <w:sz w:val="30"/>
        </w:rPr>
      </w:pPr>
      <w:bookmarkStart w:id="11" w:name="_Toc109537383"/>
      <w:r>
        <w:rPr>
          <w:rFonts w:ascii="宋体" w:hAnsi="宋体"/>
          <w:b/>
          <w:kern w:val="0"/>
          <w:sz w:val="30"/>
        </w:rPr>
        <w:br w:type="page"/>
      </w:r>
      <w:bookmarkStart w:id="12" w:name="_Toc48122006"/>
      <w:r>
        <w:rPr>
          <w:rFonts w:hint="eastAsia" w:ascii="宋体" w:hAnsi="宋体"/>
          <w:b/>
          <w:kern w:val="0"/>
          <w:sz w:val="30"/>
        </w:rPr>
        <w:t>五、相关服务机构</w:t>
      </w:r>
      <w:bookmarkEnd w:id="11"/>
      <w:bookmarkEnd w:id="12"/>
    </w:p>
    <w:p>
      <w:pPr>
        <w:widowControl/>
        <w:adjustRightInd w:val="0"/>
        <w:snapToGrid w:val="0"/>
        <w:spacing w:line="360" w:lineRule="auto"/>
        <w:ind w:firstLine="482" w:firstLineChars="200"/>
        <w:outlineLvl w:val="1"/>
        <w:rPr>
          <w:b/>
          <w:kern w:val="0"/>
          <w:sz w:val="24"/>
        </w:rPr>
      </w:pPr>
      <w:r>
        <w:rPr>
          <w:rFonts w:hAnsi="宋体"/>
          <w:b/>
          <w:kern w:val="0"/>
          <w:sz w:val="24"/>
        </w:rPr>
        <w:t>（一）基金份额销售机构</w:t>
      </w:r>
    </w:p>
    <w:p>
      <w:pPr>
        <w:adjustRightInd w:val="0"/>
        <w:snapToGrid w:val="0"/>
        <w:spacing w:line="360" w:lineRule="auto"/>
        <w:ind w:firstLine="465"/>
        <w:outlineLvl w:val="2"/>
        <w:rPr>
          <w:rFonts w:hAnsi="宋体"/>
          <w:sz w:val="24"/>
        </w:rPr>
      </w:pPr>
      <w:r>
        <w:rPr>
          <w:rFonts w:hAnsi="宋体"/>
          <w:sz w:val="24"/>
        </w:rPr>
        <w:t>1、直销机构</w:t>
      </w:r>
    </w:p>
    <w:p>
      <w:pPr>
        <w:adjustRightInd w:val="0"/>
        <w:snapToGrid w:val="0"/>
        <w:spacing w:line="360" w:lineRule="auto"/>
        <w:ind w:firstLine="465"/>
        <w:rPr>
          <w:rFonts w:hAnsi="宋体"/>
          <w:sz w:val="24"/>
        </w:rPr>
      </w:pPr>
      <w:r>
        <w:rPr>
          <w:rFonts w:hAnsi="宋体"/>
          <w:sz w:val="24"/>
        </w:rPr>
        <w:t>本基金直销机构为</w:t>
      </w:r>
      <w:r>
        <w:rPr>
          <w:rFonts w:hint="eastAsia" w:hAnsi="宋体"/>
          <w:sz w:val="24"/>
        </w:rPr>
        <w:t>基金管理人直销柜台</w:t>
      </w:r>
      <w:r>
        <w:rPr>
          <w:rFonts w:hAnsi="宋体"/>
          <w:sz w:val="24"/>
        </w:rPr>
        <w:t>以及</w:t>
      </w:r>
      <w:r>
        <w:rPr>
          <w:rFonts w:hint="eastAsia" w:hAnsi="宋体"/>
          <w:sz w:val="24"/>
        </w:rPr>
        <w:t>基金管理人</w:t>
      </w:r>
      <w:r>
        <w:rPr>
          <w:rFonts w:hAnsi="宋体"/>
          <w:sz w:val="24"/>
        </w:rPr>
        <w:t>的网上直销交易平台</w:t>
      </w:r>
      <w:r>
        <w:rPr>
          <w:rFonts w:hint="eastAsia" w:hAnsi="宋体"/>
          <w:sz w:val="24"/>
        </w:rPr>
        <w:t>（网站</w:t>
      </w:r>
      <w:r>
        <w:rPr>
          <w:rFonts w:hAnsi="宋体"/>
          <w:sz w:val="24"/>
        </w:rPr>
        <w:t>及手机APP，下同）。</w:t>
      </w:r>
    </w:p>
    <w:p>
      <w:pPr>
        <w:adjustRightInd w:val="0"/>
        <w:snapToGrid w:val="0"/>
        <w:spacing w:line="360" w:lineRule="auto"/>
        <w:ind w:firstLine="465"/>
        <w:rPr>
          <w:rFonts w:hAnsi="宋体"/>
          <w:sz w:val="24"/>
        </w:rPr>
      </w:pPr>
      <w:r>
        <w:rPr>
          <w:rFonts w:hAnsi="宋体"/>
          <w:sz w:val="24"/>
        </w:rPr>
        <w:t>名称：</w:t>
      </w:r>
      <w:r>
        <w:rPr>
          <w:rFonts w:hint="eastAsia" w:hAnsi="宋体"/>
          <w:sz w:val="24"/>
        </w:rPr>
        <w:t>交银施罗德基金管理有限公司</w:t>
      </w:r>
    </w:p>
    <w:p>
      <w:pPr>
        <w:adjustRightInd w:val="0"/>
        <w:snapToGrid w:val="0"/>
        <w:spacing w:line="360" w:lineRule="auto"/>
        <w:ind w:firstLine="465"/>
        <w:rPr>
          <w:rFonts w:hAnsi="宋体"/>
          <w:sz w:val="24"/>
        </w:rPr>
      </w:pPr>
      <w:r>
        <w:rPr>
          <w:rFonts w:hAnsi="宋体"/>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w:t>
      </w:r>
      <w:r>
        <w:rPr>
          <w:rFonts w:hint="eastAsia" w:hAnsi="宋体"/>
          <w:sz w:val="24"/>
        </w:rPr>
        <w:t>银城中路188号交通银行大楼二层（裙）</w:t>
      </w:r>
    </w:p>
    <w:p>
      <w:pPr>
        <w:adjustRightInd w:val="0"/>
        <w:snapToGrid w:val="0"/>
        <w:spacing w:line="360" w:lineRule="auto"/>
        <w:ind w:firstLine="465"/>
        <w:rPr>
          <w:rFonts w:hAnsi="宋体"/>
          <w:sz w:val="24"/>
        </w:rPr>
      </w:pPr>
      <w:r>
        <w:rPr>
          <w:rFonts w:hAnsi="宋体"/>
          <w:sz w:val="24"/>
        </w:rPr>
        <w:t>办公地址：</w:t>
      </w:r>
      <w:r>
        <w:rPr>
          <w:rFonts w:hint="eastAsia" w:hAnsi="宋体"/>
          <w:sz w:val="24"/>
        </w:rPr>
        <w:t>上海市浦东新区世纪大道8号国金中心二期21-22楼</w:t>
      </w:r>
    </w:p>
    <w:p>
      <w:pPr>
        <w:adjustRightInd w:val="0"/>
        <w:snapToGrid w:val="0"/>
        <w:spacing w:line="360" w:lineRule="auto"/>
        <w:ind w:firstLine="465"/>
        <w:rPr>
          <w:rFonts w:hAnsi="宋体"/>
          <w:sz w:val="24"/>
        </w:rPr>
      </w:pPr>
      <w:r>
        <w:rPr>
          <w:rFonts w:hAnsi="宋体"/>
          <w:sz w:val="24"/>
        </w:rPr>
        <w:t>法定代表人：</w:t>
      </w:r>
      <w:r>
        <w:rPr>
          <w:rFonts w:hint="eastAsia" w:hAnsi="宋体"/>
          <w:sz w:val="24"/>
        </w:rPr>
        <w:t>阮红</w:t>
      </w:r>
    </w:p>
    <w:p>
      <w:pPr>
        <w:adjustRightInd w:val="0"/>
        <w:snapToGrid w:val="0"/>
        <w:spacing w:line="360" w:lineRule="auto"/>
        <w:ind w:firstLine="480" w:firstLineChars="200"/>
        <w:rPr>
          <w:sz w:val="24"/>
        </w:rPr>
      </w:pPr>
      <w:r>
        <w:rPr>
          <w:rFonts w:hAnsi="宋体"/>
          <w:sz w:val="24"/>
        </w:rPr>
        <w:t>成立时间：</w:t>
      </w:r>
      <w:r>
        <w:rPr>
          <w:rFonts w:hint="eastAsia" w:hAnsi="宋体"/>
          <w:sz w:val="24"/>
        </w:rPr>
        <w:t>2005年8月4日</w:t>
      </w:r>
    </w:p>
    <w:p>
      <w:pPr>
        <w:adjustRightInd w:val="0"/>
        <w:snapToGrid w:val="0"/>
        <w:spacing w:line="360" w:lineRule="auto"/>
        <w:ind w:firstLine="480" w:firstLineChars="200"/>
        <w:rPr>
          <w:sz w:val="24"/>
        </w:rPr>
      </w:pPr>
      <w:r>
        <w:rPr>
          <w:rFonts w:hAnsi="宋体"/>
          <w:sz w:val="24"/>
        </w:rPr>
        <w:t>电话：</w:t>
      </w:r>
      <w:r>
        <w:rPr>
          <w:rFonts w:hint="eastAsia" w:hAnsi="宋体"/>
          <w:sz w:val="24"/>
        </w:rPr>
        <w:t>（021）6105</w:t>
      </w:r>
      <w:r>
        <w:rPr>
          <w:rFonts w:hAnsi="宋体"/>
          <w:sz w:val="24"/>
        </w:rPr>
        <w:t>5724</w:t>
      </w:r>
    </w:p>
    <w:p>
      <w:pPr>
        <w:adjustRightInd w:val="0"/>
        <w:snapToGrid w:val="0"/>
        <w:spacing w:line="360" w:lineRule="auto"/>
        <w:ind w:firstLine="480" w:firstLineChars="200"/>
        <w:rPr>
          <w:sz w:val="24"/>
        </w:rPr>
      </w:pPr>
      <w:r>
        <w:rPr>
          <w:rFonts w:hAnsi="宋体"/>
          <w:sz w:val="24"/>
        </w:rPr>
        <w:t>传真：</w:t>
      </w:r>
      <w:r>
        <w:rPr>
          <w:rFonts w:hint="eastAsia" w:hAnsi="宋体"/>
          <w:sz w:val="24"/>
        </w:rPr>
        <w:t>（021）61055054</w:t>
      </w:r>
    </w:p>
    <w:p>
      <w:pPr>
        <w:adjustRightInd w:val="0"/>
        <w:snapToGrid w:val="0"/>
        <w:spacing w:line="360" w:lineRule="auto"/>
        <w:ind w:firstLine="480" w:firstLineChars="200"/>
        <w:rPr>
          <w:sz w:val="24"/>
        </w:rPr>
      </w:pPr>
      <w:r>
        <w:rPr>
          <w:rFonts w:hAnsi="宋体"/>
          <w:sz w:val="24"/>
        </w:rPr>
        <w:t>联系人：</w:t>
      </w:r>
      <w:r>
        <w:rPr>
          <w:rFonts w:hint="eastAsia" w:hAnsi="宋体"/>
          <w:sz w:val="24"/>
        </w:rPr>
        <w:t>傅鲸</w:t>
      </w:r>
    </w:p>
    <w:p>
      <w:pPr>
        <w:adjustRightInd w:val="0"/>
        <w:snapToGrid w:val="0"/>
        <w:spacing w:line="360" w:lineRule="auto"/>
        <w:ind w:firstLine="480" w:firstLineChars="200"/>
        <w:rPr>
          <w:sz w:val="24"/>
        </w:rPr>
      </w:pPr>
      <w:r>
        <w:rPr>
          <w:rFonts w:hAnsi="宋体"/>
          <w:sz w:val="24"/>
        </w:rPr>
        <w:t>客户服务电话：</w:t>
      </w:r>
      <w:r>
        <w:rPr>
          <w:rFonts w:hint="eastAsia" w:hAnsi="宋体"/>
          <w:sz w:val="24"/>
        </w:rPr>
        <w:t>400-700-5000（免长途话费），（021）61055000</w:t>
      </w:r>
    </w:p>
    <w:p>
      <w:pPr>
        <w:adjustRightInd w:val="0"/>
        <w:snapToGrid w:val="0"/>
        <w:spacing w:line="360" w:lineRule="auto"/>
        <w:ind w:firstLine="480" w:firstLineChars="200"/>
        <w:rPr>
          <w:rStyle w:val="31"/>
          <w:color w:val="auto"/>
          <w:sz w:val="24"/>
          <w:u w:val="none"/>
        </w:rPr>
      </w:pPr>
      <w:r>
        <w:rPr>
          <w:rFonts w:hAnsi="宋体"/>
          <w:sz w:val="24"/>
        </w:rPr>
        <w:t>网址：</w:t>
      </w:r>
      <w:r>
        <w:rPr>
          <w:rFonts w:hint="eastAsia" w:hAnsi="宋体"/>
          <w:sz w:val="24"/>
        </w:rPr>
        <w:t>www.fund001.com</w:t>
      </w:r>
    </w:p>
    <w:p>
      <w:pPr>
        <w:widowControl/>
        <w:adjustRightInd w:val="0"/>
        <w:snapToGrid w:val="0"/>
        <w:spacing w:line="360" w:lineRule="auto"/>
        <w:ind w:firstLine="480" w:firstLineChars="200"/>
        <w:rPr>
          <w:kern w:val="0"/>
          <w:sz w:val="24"/>
        </w:rPr>
      </w:pPr>
      <w:r>
        <w:rPr>
          <w:kern w:val="0"/>
          <w:sz w:val="24"/>
        </w:rPr>
        <w:t>个人投资者可以通过</w:t>
      </w:r>
      <w:r>
        <w:rPr>
          <w:rFonts w:hint="eastAsia" w:hAnsi="宋体"/>
          <w:kern w:val="0"/>
          <w:sz w:val="24"/>
          <w:szCs w:val="24"/>
        </w:rPr>
        <w:t>基金管理人</w:t>
      </w:r>
      <w:r>
        <w:rPr>
          <w:kern w:val="0"/>
          <w:sz w:val="24"/>
        </w:rPr>
        <w:t>网上直销交易平台办理开户、本基金的认购、申购、赎回等业务，具体交易细则请参阅</w:t>
      </w:r>
      <w:r>
        <w:rPr>
          <w:rFonts w:hint="eastAsia" w:hAnsi="宋体"/>
          <w:kern w:val="0"/>
          <w:sz w:val="24"/>
          <w:szCs w:val="24"/>
        </w:rPr>
        <w:t>基金管理人</w:t>
      </w:r>
      <w:r>
        <w:rPr>
          <w:kern w:val="0"/>
          <w:sz w:val="24"/>
        </w:rPr>
        <w:t>网站。</w:t>
      </w:r>
    </w:p>
    <w:p>
      <w:pPr>
        <w:widowControl/>
        <w:adjustRightInd w:val="0"/>
        <w:snapToGrid w:val="0"/>
        <w:spacing w:line="360" w:lineRule="auto"/>
        <w:ind w:firstLine="480" w:firstLineChars="200"/>
        <w:rPr>
          <w:rStyle w:val="31"/>
          <w:color w:val="auto"/>
          <w:kern w:val="0"/>
          <w:sz w:val="24"/>
          <w:u w:val="none"/>
        </w:rPr>
      </w:pPr>
      <w:r>
        <w:rPr>
          <w:kern w:val="0"/>
          <w:sz w:val="24"/>
        </w:rPr>
        <w:t>网上直销交易平台网址：</w:t>
      </w:r>
      <w:r>
        <w:fldChar w:fldCharType="begin"/>
      </w:r>
      <w:r>
        <w:instrText xml:space="preserve"> HYPERLINK "http://www.jysld.com" </w:instrText>
      </w:r>
      <w:r>
        <w:fldChar w:fldCharType="separate"/>
      </w:r>
      <w:r>
        <w:rPr>
          <w:rStyle w:val="31"/>
          <w:color w:val="auto"/>
          <w:sz w:val="24"/>
          <w:u w:val="none"/>
        </w:rPr>
        <w:t>www.fund001.com</w:t>
      </w:r>
      <w:r>
        <w:rPr>
          <w:rStyle w:val="31"/>
          <w:color w:val="auto"/>
          <w:sz w:val="24"/>
          <w:u w:val="none"/>
        </w:rPr>
        <w:fldChar w:fldCharType="end"/>
      </w:r>
      <w:r>
        <w:rPr>
          <w:rStyle w:val="31"/>
          <w:color w:val="auto"/>
          <w:sz w:val="24"/>
          <w:u w:val="none"/>
        </w:rPr>
        <w:t>。</w:t>
      </w:r>
    </w:p>
    <w:p>
      <w:pPr>
        <w:adjustRightInd w:val="0"/>
        <w:snapToGrid w:val="0"/>
        <w:spacing w:line="360" w:lineRule="auto"/>
        <w:ind w:firstLine="480" w:firstLineChars="200"/>
        <w:outlineLvl w:val="2"/>
        <w:rPr>
          <w:sz w:val="24"/>
        </w:rPr>
      </w:pPr>
      <w:r>
        <w:rPr>
          <w:rFonts w:hint="eastAsia"/>
          <w:sz w:val="24"/>
        </w:rPr>
        <w:t>2、除基金管理人之外的其他销售机构</w:t>
      </w:r>
    </w:p>
    <w:p>
      <w:pPr>
        <w:adjustRightInd w:val="0"/>
        <w:snapToGrid w:val="0"/>
        <w:spacing w:line="360" w:lineRule="auto"/>
        <w:ind w:firstLine="480" w:firstLineChars="200"/>
        <w:rPr>
          <w:rFonts w:hAnsi="宋体"/>
          <w:sz w:val="24"/>
        </w:rPr>
      </w:pPr>
      <w:r>
        <w:rPr>
          <w:rFonts w:hint="eastAsia" w:hAnsi="宋体"/>
          <w:sz w:val="24"/>
        </w:rPr>
        <w:t>（1）上海浦东发展银行股份有限公司</w:t>
      </w:r>
    </w:p>
    <w:p>
      <w:pPr>
        <w:adjustRightInd w:val="0"/>
        <w:snapToGrid w:val="0"/>
        <w:spacing w:line="360" w:lineRule="auto"/>
        <w:ind w:firstLine="480" w:firstLineChars="200"/>
        <w:rPr>
          <w:rFonts w:hAnsi="宋体"/>
          <w:sz w:val="24"/>
        </w:rPr>
      </w:pPr>
      <w:r>
        <w:rPr>
          <w:rFonts w:hint="eastAsia" w:hAnsi="宋体"/>
          <w:sz w:val="24"/>
        </w:rPr>
        <w:t>住所：上海市中山东一路12号</w:t>
      </w:r>
    </w:p>
    <w:p>
      <w:pPr>
        <w:adjustRightInd w:val="0"/>
        <w:snapToGrid w:val="0"/>
        <w:spacing w:line="360" w:lineRule="auto"/>
        <w:ind w:firstLine="480" w:firstLineChars="200"/>
        <w:rPr>
          <w:rFonts w:hAnsi="宋体"/>
          <w:sz w:val="24"/>
        </w:rPr>
      </w:pPr>
      <w:r>
        <w:rPr>
          <w:rFonts w:hint="eastAsia" w:hAnsi="宋体"/>
          <w:sz w:val="24"/>
        </w:rPr>
        <w:t>办公地址：上海市中山东一路12号</w:t>
      </w:r>
    </w:p>
    <w:p>
      <w:pPr>
        <w:adjustRightInd w:val="0"/>
        <w:snapToGrid w:val="0"/>
        <w:spacing w:line="360" w:lineRule="auto"/>
        <w:ind w:firstLine="480" w:firstLineChars="200"/>
        <w:rPr>
          <w:rFonts w:hAnsi="宋体"/>
          <w:sz w:val="24"/>
        </w:rPr>
      </w:pPr>
      <w:r>
        <w:rPr>
          <w:rFonts w:hint="eastAsia" w:hAnsi="宋体"/>
          <w:sz w:val="24"/>
        </w:rPr>
        <w:t>法定代表人：郑杨</w:t>
      </w:r>
    </w:p>
    <w:p>
      <w:pPr>
        <w:adjustRightInd w:val="0"/>
        <w:snapToGrid w:val="0"/>
        <w:spacing w:line="360" w:lineRule="auto"/>
        <w:ind w:firstLine="480" w:firstLineChars="200"/>
        <w:rPr>
          <w:rFonts w:hAnsi="宋体"/>
          <w:sz w:val="24"/>
        </w:rPr>
      </w:pPr>
      <w:r>
        <w:rPr>
          <w:rFonts w:hint="eastAsia" w:hAnsi="宋体"/>
          <w:sz w:val="24"/>
        </w:rPr>
        <w:t>电话：（021）61618888</w:t>
      </w:r>
    </w:p>
    <w:p>
      <w:pPr>
        <w:adjustRightInd w:val="0"/>
        <w:snapToGrid w:val="0"/>
        <w:spacing w:line="360" w:lineRule="auto"/>
        <w:ind w:firstLine="480" w:firstLineChars="200"/>
        <w:rPr>
          <w:rFonts w:hAnsi="宋体"/>
          <w:sz w:val="24"/>
        </w:rPr>
      </w:pPr>
      <w:r>
        <w:rPr>
          <w:rFonts w:hint="eastAsia" w:hAnsi="宋体"/>
          <w:sz w:val="24"/>
        </w:rPr>
        <w:t>传真：（021）61618888</w:t>
      </w:r>
    </w:p>
    <w:p>
      <w:pPr>
        <w:adjustRightInd w:val="0"/>
        <w:snapToGrid w:val="0"/>
        <w:spacing w:line="360" w:lineRule="auto"/>
        <w:ind w:firstLine="480" w:firstLineChars="200"/>
        <w:rPr>
          <w:rFonts w:hAnsi="宋体"/>
          <w:sz w:val="24"/>
        </w:rPr>
      </w:pPr>
      <w:r>
        <w:rPr>
          <w:rFonts w:hint="eastAsia" w:hAnsi="宋体"/>
          <w:sz w:val="24"/>
        </w:rPr>
        <w:t>联系人：江逸舟</w:t>
      </w:r>
    </w:p>
    <w:p>
      <w:pPr>
        <w:adjustRightInd w:val="0"/>
        <w:snapToGrid w:val="0"/>
        <w:spacing w:line="360" w:lineRule="auto"/>
        <w:ind w:firstLine="480" w:firstLineChars="200"/>
        <w:rPr>
          <w:rFonts w:hAnsi="宋体"/>
          <w:sz w:val="24"/>
        </w:rPr>
      </w:pPr>
      <w:r>
        <w:rPr>
          <w:rFonts w:hint="eastAsia" w:hAnsi="宋体"/>
          <w:sz w:val="24"/>
        </w:rPr>
        <w:t>客户服务电话：95528</w:t>
      </w:r>
    </w:p>
    <w:p>
      <w:pPr>
        <w:adjustRightInd w:val="0"/>
        <w:snapToGrid w:val="0"/>
        <w:spacing w:line="360" w:lineRule="auto"/>
        <w:ind w:firstLine="480" w:firstLineChars="200"/>
        <w:rPr>
          <w:rFonts w:hAnsi="宋体"/>
          <w:sz w:val="24"/>
        </w:rPr>
      </w:pPr>
      <w:r>
        <w:rPr>
          <w:rFonts w:hint="eastAsia" w:hAnsi="宋体"/>
          <w:sz w:val="24"/>
        </w:rPr>
        <w:t>网址：www.spdb.com.cn</w:t>
      </w:r>
    </w:p>
    <w:p>
      <w:pPr>
        <w:adjustRightInd w:val="0"/>
        <w:snapToGrid w:val="0"/>
        <w:spacing w:line="360" w:lineRule="auto"/>
        <w:ind w:firstLine="480" w:firstLineChars="200"/>
        <w:rPr>
          <w:rFonts w:hAnsi="宋体"/>
          <w:sz w:val="24"/>
        </w:rPr>
      </w:pPr>
      <w:r>
        <w:rPr>
          <w:rFonts w:hint="eastAsia" w:hAnsi="宋体"/>
          <w:sz w:val="24"/>
        </w:rPr>
        <w:t>（2）交通银行股份有限公司</w:t>
      </w:r>
    </w:p>
    <w:p>
      <w:pPr>
        <w:adjustRightInd w:val="0"/>
        <w:snapToGrid w:val="0"/>
        <w:spacing w:line="360" w:lineRule="auto"/>
        <w:ind w:firstLine="480" w:firstLineChars="200"/>
        <w:rPr>
          <w:rFonts w:hAnsi="宋体"/>
          <w:sz w:val="24"/>
        </w:rPr>
      </w:pPr>
      <w:r>
        <w:rPr>
          <w:rFonts w:hint="eastAsia" w:hAnsi="宋体"/>
          <w:sz w:val="24"/>
        </w:rPr>
        <w:t>住所：上海市浦东新区银城中路188号</w:t>
      </w:r>
    </w:p>
    <w:p>
      <w:pPr>
        <w:adjustRightInd w:val="0"/>
        <w:snapToGrid w:val="0"/>
        <w:spacing w:line="360" w:lineRule="auto"/>
        <w:ind w:firstLine="480" w:firstLineChars="200"/>
        <w:rPr>
          <w:rFonts w:hAnsi="宋体"/>
          <w:sz w:val="24"/>
        </w:rPr>
      </w:pPr>
      <w:r>
        <w:rPr>
          <w:rFonts w:hint="eastAsia" w:hAnsi="宋体"/>
          <w:sz w:val="24"/>
        </w:rPr>
        <w:t>办公地址：上海市浦东新区银城中路188号</w:t>
      </w:r>
    </w:p>
    <w:p>
      <w:pPr>
        <w:adjustRightInd w:val="0"/>
        <w:snapToGrid w:val="0"/>
        <w:spacing w:line="360" w:lineRule="auto"/>
        <w:ind w:firstLine="480" w:firstLineChars="200"/>
        <w:rPr>
          <w:rFonts w:hAnsi="宋体"/>
          <w:sz w:val="24"/>
        </w:rPr>
      </w:pPr>
      <w:r>
        <w:rPr>
          <w:rFonts w:hint="eastAsia" w:hAnsi="宋体"/>
          <w:sz w:val="24"/>
        </w:rPr>
        <w:t>法定代表人：任德奇</w:t>
      </w:r>
    </w:p>
    <w:p>
      <w:pPr>
        <w:adjustRightInd w:val="0"/>
        <w:snapToGrid w:val="0"/>
        <w:spacing w:line="360" w:lineRule="auto"/>
        <w:ind w:firstLine="480" w:firstLineChars="200"/>
        <w:rPr>
          <w:rFonts w:hAnsi="宋体"/>
          <w:sz w:val="24"/>
        </w:rPr>
      </w:pPr>
      <w:r>
        <w:rPr>
          <w:rFonts w:hint="eastAsia" w:hAnsi="宋体"/>
          <w:sz w:val="24"/>
        </w:rPr>
        <w:t>电话：（021）58781234</w:t>
      </w:r>
    </w:p>
    <w:p>
      <w:pPr>
        <w:adjustRightInd w:val="0"/>
        <w:snapToGrid w:val="0"/>
        <w:spacing w:line="360" w:lineRule="auto"/>
        <w:ind w:firstLine="480" w:firstLineChars="200"/>
        <w:rPr>
          <w:rFonts w:hAnsi="宋体"/>
          <w:sz w:val="24"/>
        </w:rPr>
      </w:pPr>
      <w:r>
        <w:rPr>
          <w:rFonts w:hint="eastAsia" w:hAnsi="宋体"/>
          <w:sz w:val="24"/>
        </w:rPr>
        <w:t>传真：（021）58408483</w:t>
      </w:r>
    </w:p>
    <w:p>
      <w:pPr>
        <w:adjustRightInd w:val="0"/>
        <w:snapToGrid w:val="0"/>
        <w:spacing w:line="360" w:lineRule="auto"/>
        <w:ind w:firstLine="480" w:firstLineChars="200"/>
        <w:rPr>
          <w:rFonts w:hAnsi="宋体"/>
          <w:sz w:val="24"/>
        </w:rPr>
      </w:pPr>
      <w:r>
        <w:rPr>
          <w:rFonts w:hint="eastAsia" w:hAnsi="宋体"/>
          <w:sz w:val="24"/>
        </w:rPr>
        <w:t>联系人：范瑞波</w:t>
      </w:r>
    </w:p>
    <w:p>
      <w:pPr>
        <w:adjustRightInd w:val="0"/>
        <w:snapToGrid w:val="0"/>
        <w:spacing w:line="360" w:lineRule="auto"/>
        <w:ind w:firstLine="480" w:firstLineChars="200"/>
        <w:rPr>
          <w:rFonts w:hAnsi="宋体"/>
          <w:sz w:val="24"/>
        </w:rPr>
      </w:pPr>
      <w:r>
        <w:rPr>
          <w:rFonts w:hint="eastAsia" w:hAnsi="宋体"/>
          <w:sz w:val="24"/>
        </w:rPr>
        <w:t>客户服务电话：95559</w:t>
      </w:r>
    </w:p>
    <w:p>
      <w:pPr>
        <w:adjustRightInd w:val="0"/>
        <w:snapToGrid w:val="0"/>
        <w:spacing w:line="360" w:lineRule="auto"/>
        <w:ind w:firstLine="480" w:firstLineChars="200"/>
        <w:rPr>
          <w:rFonts w:hint="eastAsia" w:hAnsi="宋体"/>
          <w:sz w:val="24"/>
        </w:rPr>
      </w:pPr>
      <w:r>
        <w:rPr>
          <w:rFonts w:hint="eastAsia" w:hAnsi="宋体"/>
          <w:sz w:val="24"/>
        </w:rPr>
        <w:t>网址：</w:t>
      </w:r>
      <w:r>
        <w:rPr>
          <w:rFonts w:hint="eastAsia" w:hAnsi="宋体"/>
          <w:sz w:val="24"/>
        </w:rPr>
        <w:fldChar w:fldCharType="begin"/>
      </w:r>
      <w:r>
        <w:rPr>
          <w:rFonts w:hint="eastAsia" w:hAnsi="宋体"/>
          <w:sz w:val="24"/>
        </w:rPr>
        <w:instrText xml:space="preserve"> HYPERLINK "http://www.bankcomm.com" </w:instrText>
      </w:r>
      <w:r>
        <w:rPr>
          <w:rFonts w:hint="eastAsia" w:hAnsi="宋体"/>
          <w:sz w:val="24"/>
        </w:rPr>
        <w:fldChar w:fldCharType="separate"/>
      </w:r>
      <w:r>
        <w:rPr>
          <w:rStyle w:val="31"/>
          <w:rFonts w:hint="eastAsia" w:hAnsi="宋体"/>
          <w:sz w:val="24"/>
        </w:rPr>
        <w:t>www.bankcomm.com</w:t>
      </w:r>
      <w:r>
        <w:rPr>
          <w:rFonts w:hint="eastAsia" w:hAnsi="宋体"/>
          <w:sz w:val="24"/>
        </w:rPr>
        <w:fldChar w:fldCharType="end"/>
      </w:r>
    </w:p>
    <w:p>
      <w:pPr>
        <w:adjustRightInd w:val="0"/>
        <w:snapToGrid w:val="0"/>
        <w:spacing w:line="360" w:lineRule="auto"/>
        <w:ind w:firstLine="480" w:firstLineChars="200"/>
        <w:rPr>
          <w:rFonts w:hint="eastAsia" w:hAnsi="宋体"/>
          <w:sz w:val="24"/>
          <w:lang w:eastAsia="zh-CN"/>
        </w:rPr>
      </w:pPr>
      <w:r>
        <w:rPr>
          <w:rFonts w:hint="eastAsia" w:hAnsi="宋体"/>
          <w:sz w:val="24"/>
          <w:lang w:eastAsia="zh-CN"/>
        </w:rPr>
        <w:t>（</w:t>
      </w:r>
      <w:r>
        <w:rPr>
          <w:rFonts w:hint="eastAsia" w:hAnsi="宋体"/>
          <w:sz w:val="24"/>
          <w:lang w:val="en-US" w:eastAsia="zh-CN"/>
        </w:rPr>
        <w:t>3</w:t>
      </w:r>
      <w:r>
        <w:rPr>
          <w:rFonts w:hint="eastAsia" w:hAnsi="宋体"/>
          <w:sz w:val="24"/>
          <w:lang w:eastAsia="zh-CN"/>
        </w:rPr>
        <w:t>）兴业证券股份有限公司</w:t>
      </w:r>
    </w:p>
    <w:p>
      <w:pPr>
        <w:adjustRightInd w:val="0"/>
        <w:snapToGrid w:val="0"/>
        <w:spacing w:line="360" w:lineRule="auto"/>
        <w:ind w:firstLine="480" w:firstLineChars="200"/>
        <w:rPr>
          <w:rFonts w:hint="eastAsia" w:hAnsi="宋体"/>
          <w:sz w:val="24"/>
          <w:lang w:eastAsia="zh-CN"/>
        </w:rPr>
      </w:pPr>
      <w:r>
        <w:rPr>
          <w:rFonts w:hint="eastAsia" w:hAnsi="宋体"/>
          <w:sz w:val="24"/>
          <w:lang w:eastAsia="zh-CN"/>
        </w:rPr>
        <w:t>住所：福州市湖东路268号</w:t>
      </w:r>
    </w:p>
    <w:p>
      <w:pPr>
        <w:adjustRightInd w:val="0"/>
        <w:snapToGrid w:val="0"/>
        <w:spacing w:line="360" w:lineRule="auto"/>
        <w:ind w:firstLine="480" w:firstLineChars="200"/>
        <w:rPr>
          <w:rFonts w:hint="eastAsia" w:hAnsi="宋体"/>
          <w:sz w:val="24"/>
          <w:lang w:eastAsia="zh-CN"/>
        </w:rPr>
      </w:pPr>
      <w:r>
        <w:rPr>
          <w:rFonts w:hint="eastAsia" w:hAnsi="宋体"/>
          <w:sz w:val="24"/>
          <w:lang w:eastAsia="zh-CN"/>
        </w:rPr>
        <w:t>办公地址：上海市浦东新区长柳路36号</w:t>
      </w:r>
    </w:p>
    <w:p>
      <w:pPr>
        <w:adjustRightInd w:val="0"/>
        <w:snapToGrid w:val="0"/>
        <w:spacing w:line="360" w:lineRule="auto"/>
        <w:ind w:firstLine="480" w:firstLineChars="200"/>
        <w:rPr>
          <w:rFonts w:hint="eastAsia" w:hAnsi="宋体"/>
          <w:sz w:val="24"/>
          <w:lang w:eastAsia="zh-CN"/>
        </w:rPr>
      </w:pPr>
      <w:r>
        <w:rPr>
          <w:rFonts w:hint="eastAsia" w:hAnsi="宋体"/>
          <w:sz w:val="24"/>
          <w:lang w:eastAsia="zh-CN"/>
        </w:rPr>
        <w:t>法定代表人：杨华辉</w:t>
      </w:r>
    </w:p>
    <w:p>
      <w:pPr>
        <w:adjustRightInd w:val="0"/>
        <w:snapToGrid w:val="0"/>
        <w:spacing w:line="360" w:lineRule="auto"/>
        <w:ind w:firstLine="480" w:firstLineChars="200"/>
        <w:rPr>
          <w:rFonts w:hint="eastAsia" w:hAnsi="宋体"/>
          <w:sz w:val="24"/>
          <w:lang w:eastAsia="zh-CN"/>
        </w:rPr>
      </w:pPr>
      <w:r>
        <w:rPr>
          <w:rFonts w:hint="eastAsia" w:hAnsi="宋体"/>
          <w:sz w:val="24"/>
          <w:lang w:eastAsia="zh-CN"/>
        </w:rPr>
        <w:t>电话： 021-38565547</w:t>
      </w:r>
    </w:p>
    <w:p>
      <w:pPr>
        <w:adjustRightInd w:val="0"/>
        <w:snapToGrid w:val="0"/>
        <w:spacing w:line="360" w:lineRule="auto"/>
        <w:ind w:firstLine="480" w:firstLineChars="200"/>
        <w:rPr>
          <w:rFonts w:hint="eastAsia" w:hAnsi="宋体"/>
          <w:sz w:val="24"/>
          <w:lang w:eastAsia="zh-CN"/>
        </w:rPr>
      </w:pPr>
      <w:r>
        <w:rPr>
          <w:rFonts w:hint="eastAsia" w:hAnsi="宋体"/>
          <w:sz w:val="24"/>
          <w:lang w:eastAsia="zh-CN"/>
        </w:rPr>
        <w:t>联系人：乔琳雪</w:t>
      </w:r>
    </w:p>
    <w:p>
      <w:pPr>
        <w:adjustRightInd w:val="0"/>
        <w:snapToGrid w:val="0"/>
        <w:spacing w:line="360" w:lineRule="auto"/>
        <w:ind w:firstLine="480" w:firstLineChars="200"/>
        <w:rPr>
          <w:rFonts w:hint="eastAsia" w:hAnsi="宋体"/>
          <w:sz w:val="24"/>
          <w:lang w:eastAsia="zh-CN"/>
        </w:rPr>
      </w:pPr>
      <w:r>
        <w:rPr>
          <w:rFonts w:hint="eastAsia" w:hAnsi="宋体"/>
          <w:sz w:val="24"/>
          <w:lang w:eastAsia="zh-CN"/>
        </w:rPr>
        <w:t>网址： www.xyzq.com.cn</w:t>
      </w:r>
    </w:p>
    <w:p>
      <w:pPr>
        <w:adjustRightInd w:val="0"/>
        <w:snapToGrid w:val="0"/>
        <w:spacing w:line="360" w:lineRule="auto"/>
        <w:ind w:firstLine="480" w:firstLineChars="200"/>
        <w:rPr>
          <w:rFonts w:hint="eastAsia" w:hAnsi="宋体" w:eastAsia="宋体"/>
          <w:sz w:val="24"/>
          <w:lang w:eastAsia="zh-CN"/>
        </w:rPr>
      </w:pPr>
      <w:r>
        <w:rPr>
          <w:rFonts w:hint="eastAsia" w:hAnsi="宋体"/>
          <w:sz w:val="24"/>
          <w:lang w:eastAsia="zh-CN"/>
        </w:rPr>
        <w:t>客户服务电话：95562</w:t>
      </w:r>
    </w:p>
    <w:p>
      <w:pPr>
        <w:adjustRightInd w:val="0"/>
        <w:snapToGrid w:val="0"/>
        <w:spacing w:line="360" w:lineRule="auto"/>
        <w:ind w:firstLine="480" w:firstLineChars="200"/>
        <w:rPr>
          <w:rFonts w:hAnsi="宋体"/>
          <w:sz w:val="24"/>
        </w:rPr>
      </w:pPr>
      <w:r>
        <w:rPr>
          <w:rFonts w:hint="eastAsia" w:hAnsi="宋体"/>
          <w:sz w:val="24"/>
        </w:rPr>
        <w:t>基金管理人可根据有关法律法规的要求，选择其它符合要求的机构销售本基金，并在基金管理人网站公示。</w:t>
      </w:r>
    </w:p>
    <w:p>
      <w:pPr>
        <w:widowControl/>
        <w:adjustRightInd w:val="0"/>
        <w:snapToGrid w:val="0"/>
        <w:spacing w:line="360" w:lineRule="auto"/>
        <w:ind w:firstLine="482" w:firstLineChars="200"/>
        <w:outlineLvl w:val="1"/>
        <w:rPr>
          <w:b/>
          <w:kern w:val="0"/>
          <w:sz w:val="24"/>
        </w:rPr>
      </w:pPr>
      <w:r>
        <w:rPr>
          <w:rFonts w:hAnsi="宋体"/>
          <w:b/>
          <w:kern w:val="0"/>
          <w:sz w:val="24"/>
        </w:rPr>
        <w:t>（二）登记机构</w:t>
      </w:r>
    </w:p>
    <w:p>
      <w:pPr>
        <w:adjustRightInd w:val="0"/>
        <w:snapToGrid w:val="0"/>
        <w:spacing w:line="360" w:lineRule="auto"/>
        <w:ind w:firstLine="480" w:firstLineChars="200"/>
        <w:rPr>
          <w:kern w:val="0"/>
          <w:sz w:val="24"/>
        </w:rPr>
      </w:pPr>
      <w:r>
        <w:rPr>
          <w:rFonts w:hAnsi="宋体"/>
          <w:kern w:val="0"/>
          <w:sz w:val="24"/>
        </w:rPr>
        <w:t>名称：中国证券登记结算有限责任公司</w:t>
      </w:r>
    </w:p>
    <w:p>
      <w:pPr>
        <w:adjustRightInd w:val="0"/>
        <w:snapToGrid w:val="0"/>
        <w:spacing w:line="360" w:lineRule="auto"/>
        <w:ind w:firstLine="480" w:firstLineChars="200"/>
        <w:rPr>
          <w:kern w:val="0"/>
          <w:sz w:val="24"/>
        </w:rPr>
      </w:pPr>
      <w:r>
        <w:rPr>
          <w:rFonts w:hAnsi="宋体"/>
          <w:kern w:val="0"/>
          <w:sz w:val="24"/>
        </w:rPr>
        <w:t>住所：北京市西城区太平桥大街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办公地址：北京市西城区太平桥大街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lang w:eastAsia="zh-Hans"/>
        </w:rPr>
        <w:t>于文强</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pPr>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赵亦清</w:t>
      </w:r>
    </w:p>
    <w:p>
      <w:pPr>
        <w:widowControl/>
        <w:adjustRightInd w:val="0"/>
        <w:snapToGrid w:val="0"/>
        <w:spacing w:line="360" w:lineRule="auto"/>
        <w:ind w:firstLine="482" w:firstLineChars="200"/>
        <w:outlineLvl w:val="1"/>
        <w:rPr>
          <w:b/>
          <w:kern w:val="0"/>
          <w:sz w:val="24"/>
        </w:rPr>
      </w:pPr>
      <w:r>
        <w:rPr>
          <w:rFonts w:hAnsi="宋体"/>
          <w:b/>
          <w:kern w:val="0"/>
          <w:sz w:val="24"/>
        </w:rPr>
        <w:t>（三）出具法律意见书的律师事务所</w:t>
      </w:r>
    </w:p>
    <w:p>
      <w:pPr>
        <w:widowControl/>
        <w:adjustRightInd w:val="0"/>
        <w:snapToGrid w:val="0"/>
        <w:spacing w:line="360" w:lineRule="auto"/>
        <w:ind w:firstLine="480" w:firstLineChars="200"/>
        <w:rPr>
          <w:kern w:val="0"/>
          <w:sz w:val="24"/>
        </w:rPr>
      </w:pPr>
      <w:r>
        <w:rPr>
          <w:rFonts w:hAnsi="宋体"/>
          <w:kern w:val="0"/>
          <w:sz w:val="24"/>
        </w:rPr>
        <w:t>名称：上海市通力律师事务所</w:t>
      </w:r>
    </w:p>
    <w:p>
      <w:pPr>
        <w:widowControl/>
        <w:adjustRightInd w:val="0"/>
        <w:snapToGrid w:val="0"/>
        <w:spacing w:line="360" w:lineRule="auto"/>
        <w:ind w:firstLine="480" w:firstLineChars="20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负责人：</w:t>
      </w:r>
      <w:r>
        <w:rPr>
          <w:rFonts w:hint="eastAsia" w:hAnsi="宋体"/>
          <w:kern w:val="0"/>
          <w:sz w:val="24"/>
        </w:rPr>
        <w:t>韩炯</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联系人：丁媛</w:t>
      </w:r>
    </w:p>
    <w:p>
      <w:pPr>
        <w:widowControl/>
        <w:adjustRightInd w:val="0"/>
        <w:snapToGrid w:val="0"/>
        <w:spacing w:line="360" w:lineRule="auto"/>
        <w:ind w:firstLine="480" w:firstLineChars="200"/>
        <w:rPr>
          <w:rFonts w:hAnsi="宋体"/>
          <w:kern w:val="0"/>
          <w:sz w:val="24"/>
        </w:rPr>
      </w:pPr>
      <w:r>
        <w:rPr>
          <w:rFonts w:hAnsi="宋体"/>
          <w:kern w:val="0"/>
          <w:sz w:val="24"/>
        </w:rPr>
        <w:t>经办律师：黎明</w:t>
      </w:r>
      <w:r>
        <w:rPr>
          <w:rFonts w:hint="eastAsia" w:hAnsi="宋体"/>
          <w:kern w:val="0"/>
          <w:sz w:val="24"/>
        </w:rPr>
        <w:t>、丁媛</w:t>
      </w:r>
    </w:p>
    <w:p>
      <w:pPr>
        <w:widowControl/>
        <w:adjustRightInd w:val="0"/>
        <w:snapToGrid w:val="0"/>
        <w:spacing w:line="360" w:lineRule="auto"/>
        <w:ind w:firstLine="482" w:firstLineChars="200"/>
        <w:outlineLvl w:val="1"/>
        <w:rPr>
          <w:b/>
          <w:kern w:val="0"/>
          <w:sz w:val="24"/>
        </w:rPr>
      </w:pPr>
      <w:r>
        <w:rPr>
          <w:rFonts w:hAnsi="宋体"/>
          <w:b/>
          <w:kern w:val="0"/>
          <w:sz w:val="24"/>
        </w:rPr>
        <w:t>（四）审计基金财产的会计师事务所</w:t>
      </w:r>
    </w:p>
    <w:p>
      <w:pPr>
        <w:widowControl/>
        <w:adjustRightInd w:val="0"/>
        <w:snapToGrid w:val="0"/>
        <w:spacing w:line="360" w:lineRule="auto"/>
        <w:ind w:firstLine="480" w:firstLineChars="200"/>
        <w:rPr>
          <w:rFonts w:hAnsi="宋体"/>
          <w:kern w:val="0"/>
          <w:sz w:val="24"/>
        </w:rPr>
      </w:pPr>
      <w:r>
        <w:rPr>
          <w:rFonts w:hint="eastAsia" w:hAnsi="宋体"/>
          <w:kern w:val="0"/>
          <w:sz w:val="24"/>
        </w:rPr>
        <w:t>名称：普华永道中天会计师事务所（特殊普通合伙）</w:t>
      </w:r>
    </w:p>
    <w:p>
      <w:pPr>
        <w:widowControl/>
        <w:adjustRightInd w:val="0"/>
        <w:snapToGrid w:val="0"/>
        <w:spacing w:line="360" w:lineRule="auto"/>
        <w:ind w:firstLine="480" w:firstLineChars="200"/>
        <w:rPr>
          <w:rFonts w:hAnsi="宋体"/>
          <w:kern w:val="0"/>
          <w:sz w:val="24"/>
        </w:rPr>
      </w:pPr>
      <w:r>
        <w:rPr>
          <w:rFonts w:hint="eastAsia" w:hAnsi="宋体"/>
          <w:kern w:val="0"/>
          <w:sz w:val="24"/>
        </w:rPr>
        <w:t>住所：中国(上海)自由贸易试验区陆家嘴环路1318号星展银行大厦507单元01室</w:t>
      </w:r>
    </w:p>
    <w:p>
      <w:pPr>
        <w:widowControl/>
        <w:adjustRightInd w:val="0"/>
        <w:snapToGrid w:val="0"/>
        <w:spacing w:line="360" w:lineRule="auto"/>
        <w:ind w:firstLine="480" w:firstLineChars="200"/>
        <w:rPr>
          <w:rFonts w:hAnsi="宋体"/>
          <w:kern w:val="0"/>
          <w:sz w:val="24"/>
        </w:rPr>
      </w:pPr>
      <w:r>
        <w:rPr>
          <w:rFonts w:hint="eastAsia" w:hAnsi="宋体"/>
          <w:kern w:val="0"/>
          <w:sz w:val="24"/>
        </w:rPr>
        <w:t>办公地址：中国上海市浦东新区东育路588号前滩中心42楼</w:t>
      </w:r>
    </w:p>
    <w:p>
      <w:pPr>
        <w:widowControl/>
        <w:adjustRightInd w:val="0"/>
        <w:snapToGrid w:val="0"/>
        <w:spacing w:line="360" w:lineRule="auto"/>
        <w:ind w:firstLine="480" w:firstLineChars="200"/>
        <w:rPr>
          <w:rFonts w:hAnsi="宋体"/>
          <w:kern w:val="0"/>
          <w:sz w:val="24"/>
        </w:rPr>
      </w:pPr>
      <w:r>
        <w:rPr>
          <w:rFonts w:hint="eastAsia" w:hAnsi="宋体"/>
          <w:kern w:val="0"/>
          <w:sz w:val="24"/>
        </w:rPr>
        <w:t>执行事务合伙人：李丹</w:t>
      </w:r>
    </w:p>
    <w:p>
      <w:pPr>
        <w:widowControl/>
        <w:adjustRightInd w:val="0"/>
        <w:snapToGrid w:val="0"/>
        <w:spacing w:line="360" w:lineRule="auto"/>
        <w:ind w:firstLine="480" w:firstLineChars="200"/>
        <w:rPr>
          <w:rFonts w:hAnsi="宋体"/>
          <w:kern w:val="0"/>
          <w:sz w:val="24"/>
        </w:rPr>
      </w:pPr>
      <w:r>
        <w:rPr>
          <w:rFonts w:hint="eastAsia" w:hAnsi="宋体"/>
          <w:kern w:val="0"/>
          <w:sz w:val="24"/>
        </w:rPr>
        <w:t>电话：（021）23238888</w:t>
      </w:r>
    </w:p>
    <w:p>
      <w:pPr>
        <w:widowControl/>
        <w:adjustRightInd w:val="0"/>
        <w:snapToGrid w:val="0"/>
        <w:spacing w:line="360" w:lineRule="auto"/>
        <w:ind w:firstLine="480" w:firstLineChars="200"/>
        <w:rPr>
          <w:rFonts w:hAnsi="宋体"/>
          <w:kern w:val="0"/>
          <w:sz w:val="24"/>
        </w:rPr>
      </w:pPr>
      <w:r>
        <w:rPr>
          <w:rFonts w:hint="eastAsia" w:hAnsi="宋体"/>
          <w:kern w:val="0"/>
          <w:sz w:val="24"/>
        </w:rPr>
        <w:t>传真：（021）23238800</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联系人：金诗涛</w:t>
      </w:r>
    </w:p>
    <w:p>
      <w:pPr>
        <w:widowControl/>
        <w:adjustRightInd w:val="0"/>
        <w:snapToGrid w:val="0"/>
        <w:spacing w:line="360" w:lineRule="auto"/>
        <w:ind w:firstLine="480" w:firstLineChars="200"/>
        <w:rPr>
          <w:rFonts w:hAnsi="宋体"/>
          <w:kern w:val="0"/>
          <w:sz w:val="24"/>
        </w:rPr>
      </w:pPr>
      <w:r>
        <w:rPr>
          <w:rFonts w:hint="eastAsia" w:hAnsi="宋体"/>
          <w:kern w:val="0"/>
          <w:sz w:val="24"/>
        </w:rPr>
        <w:t>经办注册会计师：沈兆杰、金诗涛</w:t>
      </w:r>
    </w:p>
    <w:p>
      <w:pPr>
        <w:widowControl/>
        <w:adjustRightInd w:val="0"/>
        <w:snapToGrid w:val="0"/>
        <w:spacing w:line="360" w:lineRule="auto"/>
        <w:ind w:firstLine="480" w:firstLineChars="200"/>
        <w:rPr>
          <w:rFonts w:hAnsi="宋体"/>
          <w:kern w:val="0"/>
          <w:sz w:val="24"/>
        </w:rPr>
      </w:pPr>
    </w:p>
    <w:p>
      <w:pPr>
        <w:spacing w:line="360" w:lineRule="auto"/>
        <w:jc w:val="center"/>
        <w:outlineLvl w:val="0"/>
        <w:rPr>
          <w:rFonts w:ascii="宋体" w:hAnsi="宋体"/>
          <w:b/>
          <w:kern w:val="0"/>
          <w:sz w:val="30"/>
        </w:rPr>
      </w:pPr>
      <w:r>
        <w:rPr>
          <w:rFonts w:hAnsi="宋体"/>
          <w:kern w:val="0"/>
          <w:sz w:val="24"/>
        </w:rPr>
        <w:br w:type="page"/>
      </w:r>
      <w:bookmarkStart w:id="13" w:name="_Toc48122007"/>
      <w:r>
        <w:rPr>
          <w:rFonts w:hint="eastAsia" w:ascii="宋体" w:hAnsi="宋体"/>
          <w:b/>
          <w:kern w:val="0"/>
          <w:sz w:val="30"/>
        </w:rPr>
        <w:t>六、基金的募集</w:t>
      </w:r>
      <w:bookmarkEnd w:id="13"/>
    </w:p>
    <w:p>
      <w:pPr>
        <w:adjustRightInd w:val="0"/>
        <w:snapToGrid w:val="0"/>
        <w:spacing w:line="360" w:lineRule="auto"/>
        <w:ind w:firstLine="482" w:firstLineChars="200"/>
        <w:outlineLvl w:val="1"/>
        <w:rPr>
          <w:b/>
          <w:sz w:val="24"/>
          <w:szCs w:val="24"/>
        </w:rPr>
      </w:pPr>
      <w:r>
        <w:rPr>
          <w:b/>
          <w:sz w:val="24"/>
          <w:szCs w:val="24"/>
        </w:rPr>
        <w:t>（一）基金募集的依据</w:t>
      </w:r>
    </w:p>
    <w:p>
      <w:pPr>
        <w:widowControl/>
        <w:adjustRightInd w:val="0"/>
        <w:snapToGrid w:val="0"/>
        <w:spacing w:line="360" w:lineRule="auto"/>
        <w:ind w:firstLine="480" w:firstLineChars="20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Pr>
          <w:rFonts w:hint="eastAsia"/>
          <w:kern w:val="0"/>
          <w:sz w:val="24"/>
        </w:rPr>
        <w:t>2022年10月24日</w:t>
      </w:r>
      <w:r>
        <w:rPr>
          <w:kern w:val="0"/>
          <w:sz w:val="24"/>
        </w:rPr>
        <w:t>证监许可</w:t>
      </w:r>
      <w:r>
        <w:rPr>
          <w:rFonts w:hint="eastAsia"/>
          <w:kern w:val="0"/>
          <w:sz w:val="24"/>
        </w:rPr>
        <w:t>【2</w:t>
      </w:r>
      <w:r>
        <w:rPr>
          <w:kern w:val="0"/>
          <w:sz w:val="24"/>
        </w:rPr>
        <w:t>0</w:t>
      </w:r>
      <w:r>
        <w:rPr>
          <w:rFonts w:hint="eastAsia"/>
          <w:kern w:val="0"/>
          <w:sz w:val="24"/>
        </w:rPr>
        <w:t>22</w:t>
      </w:r>
      <w:r>
        <w:rPr>
          <w:kern w:val="0"/>
          <w:sz w:val="24"/>
        </w:rPr>
        <w:t>】</w:t>
      </w:r>
      <w:r>
        <w:rPr>
          <w:rFonts w:hint="eastAsia"/>
          <w:kern w:val="0"/>
          <w:sz w:val="24"/>
        </w:rPr>
        <w:t>2550</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pPr>
        <w:adjustRightInd w:val="0"/>
        <w:snapToGrid w:val="0"/>
        <w:spacing w:line="360" w:lineRule="auto"/>
        <w:ind w:firstLine="482" w:firstLineChars="200"/>
        <w:outlineLvl w:val="1"/>
        <w:rPr>
          <w:b/>
          <w:sz w:val="24"/>
          <w:szCs w:val="24"/>
        </w:rPr>
      </w:pPr>
      <w:r>
        <w:rPr>
          <w:b/>
          <w:sz w:val="24"/>
          <w:szCs w:val="24"/>
        </w:rPr>
        <w:t>（二）基金类</w:t>
      </w:r>
      <w:r>
        <w:rPr>
          <w:rFonts w:hint="eastAsia"/>
          <w:b/>
          <w:sz w:val="24"/>
          <w:szCs w:val="24"/>
        </w:rPr>
        <w:t>别</w:t>
      </w:r>
    </w:p>
    <w:p>
      <w:pPr>
        <w:widowControl/>
        <w:adjustRightInd w:val="0"/>
        <w:snapToGrid w:val="0"/>
        <w:spacing w:line="360" w:lineRule="auto"/>
        <w:ind w:firstLine="480" w:firstLineChars="200"/>
        <w:rPr>
          <w:kern w:val="0"/>
          <w:sz w:val="24"/>
        </w:rPr>
      </w:pPr>
      <w:r>
        <w:rPr>
          <w:kern w:val="0"/>
          <w:sz w:val="24"/>
        </w:rPr>
        <w:t>混合型</w:t>
      </w:r>
      <w:r>
        <w:rPr>
          <w:rFonts w:hint="eastAsia"/>
          <w:kern w:val="0"/>
          <w:sz w:val="24"/>
        </w:rPr>
        <w:t>证券投资</w:t>
      </w:r>
      <w:r>
        <w:rPr>
          <w:kern w:val="0"/>
          <w:sz w:val="24"/>
        </w:rPr>
        <w:t>基金</w:t>
      </w:r>
    </w:p>
    <w:p>
      <w:pPr>
        <w:adjustRightInd w:val="0"/>
        <w:snapToGrid w:val="0"/>
        <w:spacing w:line="360" w:lineRule="auto"/>
        <w:ind w:firstLine="482" w:firstLineChars="200"/>
        <w:outlineLvl w:val="1"/>
        <w:rPr>
          <w:b/>
          <w:sz w:val="24"/>
          <w:szCs w:val="24"/>
        </w:rPr>
      </w:pPr>
      <w:r>
        <w:rPr>
          <w:b/>
          <w:sz w:val="24"/>
          <w:szCs w:val="24"/>
        </w:rPr>
        <w:t>（三）基金运作方式</w:t>
      </w:r>
    </w:p>
    <w:p>
      <w:pPr>
        <w:adjustRightInd w:val="0"/>
        <w:snapToGrid w:val="0"/>
        <w:spacing w:line="360" w:lineRule="auto"/>
        <w:ind w:firstLine="480" w:firstLineChars="200"/>
        <w:rPr>
          <w:sz w:val="24"/>
        </w:rPr>
      </w:pPr>
      <w:r>
        <w:rPr>
          <w:sz w:val="24"/>
        </w:rPr>
        <w:t>契约型开放式</w:t>
      </w:r>
    </w:p>
    <w:p>
      <w:pPr>
        <w:adjustRightInd w:val="0"/>
        <w:snapToGrid w:val="0"/>
        <w:spacing w:line="360" w:lineRule="auto"/>
        <w:ind w:firstLine="482" w:firstLineChars="200"/>
        <w:outlineLvl w:val="1"/>
        <w:rPr>
          <w:b/>
          <w:sz w:val="24"/>
          <w:szCs w:val="24"/>
        </w:rPr>
      </w:pPr>
      <w:bookmarkStart w:id="14" w:name="_Hlk49341725"/>
      <w:r>
        <w:rPr>
          <w:b/>
          <w:sz w:val="24"/>
          <w:szCs w:val="24"/>
        </w:rPr>
        <w:t>（四）基金存续期限</w:t>
      </w:r>
    </w:p>
    <w:p>
      <w:pPr>
        <w:adjustRightInd w:val="0"/>
        <w:snapToGrid w:val="0"/>
        <w:spacing w:line="360" w:lineRule="auto"/>
        <w:ind w:firstLine="480" w:firstLineChars="200"/>
        <w:rPr>
          <w:sz w:val="24"/>
        </w:rPr>
      </w:pPr>
      <w:r>
        <w:rPr>
          <w:sz w:val="24"/>
        </w:rPr>
        <w:t>不定期</w:t>
      </w:r>
    </w:p>
    <w:p>
      <w:pPr>
        <w:adjustRightInd w:val="0"/>
        <w:snapToGrid w:val="0"/>
        <w:spacing w:line="360" w:lineRule="auto"/>
        <w:ind w:firstLine="482" w:firstLineChars="200"/>
        <w:outlineLvl w:val="1"/>
        <w:rPr>
          <w:b/>
          <w:bCs/>
          <w:sz w:val="24"/>
        </w:rPr>
      </w:pPr>
      <w:r>
        <w:rPr>
          <w:rFonts w:hint="eastAsia"/>
          <w:b/>
          <w:bCs/>
          <w:sz w:val="24"/>
        </w:rPr>
        <w:t>（五）基金份额类别</w:t>
      </w:r>
    </w:p>
    <w:p>
      <w:pPr>
        <w:adjustRightInd w:val="0"/>
        <w:snapToGrid w:val="0"/>
        <w:spacing w:line="360" w:lineRule="auto"/>
        <w:ind w:firstLine="480" w:firstLineChars="200"/>
        <w:rPr>
          <w:sz w:val="24"/>
        </w:rPr>
      </w:pPr>
      <w:r>
        <w:rPr>
          <w:rFonts w:hint="eastAsia"/>
          <w:sz w:val="24"/>
        </w:rPr>
        <w:t>本基金根据认购/申购费用、销售服务费收取方式的不同，将基金份额分为不同的类别。在投资人认购/申购时收取认购/申购费用、赎回时收取赎回费用且不从本类别基金资产中计提销售服务费的，称为A类基金份额；在投资人认购/申购时不收取认购/申购费用、赎回时收取赎回费用，并从本类别基金资产中计提销售服务费的，称为C类基金份额。</w:t>
      </w:r>
    </w:p>
    <w:p>
      <w:pPr>
        <w:adjustRightInd w:val="0"/>
        <w:snapToGrid w:val="0"/>
        <w:spacing w:line="360" w:lineRule="auto"/>
        <w:ind w:firstLine="480" w:firstLineChars="200"/>
        <w:rPr>
          <w:sz w:val="24"/>
        </w:rPr>
      </w:pPr>
      <w:r>
        <w:rPr>
          <w:rFonts w:hint="eastAsia"/>
          <w:sz w:val="24"/>
        </w:rPr>
        <w:t>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暂不开通互相转换业务。如后续开通此项业务的，无需召开基金份额持有人大会审议，但调整前基金管理人需及时公告。</w:t>
      </w:r>
    </w:p>
    <w:p>
      <w:pPr>
        <w:adjustRightInd w:val="0"/>
        <w:snapToGrid w:val="0"/>
        <w:spacing w:line="360" w:lineRule="auto"/>
        <w:ind w:firstLine="480" w:firstLineChars="200"/>
        <w:rPr>
          <w:sz w:val="24"/>
        </w:rPr>
      </w:pPr>
      <w:r>
        <w:rPr>
          <w:rFonts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pPr>
        <w:adjustRightInd w:val="0"/>
        <w:snapToGrid w:val="0"/>
        <w:spacing w:line="360" w:lineRule="auto"/>
        <w:ind w:firstLine="482" w:firstLineChars="200"/>
        <w:outlineLvl w:val="1"/>
        <w:rPr>
          <w:b/>
          <w:sz w:val="24"/>
          <w:szCs w:val="24"/>
        </w:rPr>
      </w:pPr>
      <w:r>
        <w:rPr>
          <w:b/>
          <w:sz w:val="24"/>
          <w:szCs w:val="24"/>
        </w:rPr>
        <w:t>（</w:t>
      </w:r>
      <w:r>
        <w:rPr>
          <w:rFonts w:hint="eastAsia"/>
          <w:b/>
          <w:sz w:val="24"/>
          <w:szCs w:val="24"/>
        </w:rPr>
        <w:t>六</w:t>
      </w:r>
      <w:r>
        <w:rPr>
          <w:b/>
          <w:sz w:val="24"/>
          <w:szCs w:val="24"/>
        </w:rPr>
        <w:t>）基金份额的认购</w:t>
      </w:r>
    </w:p>
    <w:p>
      <w:pPr>
        <w:adjustRightInd w:val="0"/>
        <w:snapToGrid w:val="0"/>
        <w:spacing w:line="360" w:lineRule="auto"/>
        <w:ind w:firstLine="480" w:firstLineChars="200"/>
        <w:rPr>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网上直销交易平台办理开户和本基金的认购业务。具体请见</w:t>
      </w:r>
      <w:r>
        <w:rPr>
          <w:bCs/>
          <w:sz w:val="24"/>
        </w:rPr>
        <w:t>基金份额发售公告以及基金管理人</w:t>
      </w:r>
      <w:r>
        <w:rPr>
          <w:rFonts w:hint="eastAsia"/>
          <w:bCs/>
          <w:sz w:val="24"/>
        </w:rPr>
        <w:t>网站。</w:t>
      </w:r>
      <w:r>
        <w:rPr>
          <w:sz w:val="24"/>
        </w:rPr>
        <w:t>除法律法规或中国证监会另有规定外，任何与基金份额发售有关的当事人不得预留和提前发售基金份额。</w:t>
      </w:r>
    </w:p>
    <w:p>
      <w:pPr>
        <w:adjustRightInd w:val="0"/>
        <w:snapToGrid w:val="0"/>
        <w:spacing w:line="360" w:lineRule="auto"/>
        <w:ind w:firstLine="480" w:firstLineChars="200"/>
        <w:outlineLvl w:val="2"/>
        <w:rPr>
          <w:sz w:val="24"/>
        </w:rPr>
      </w:pPr>
      <w:r>
        <w:rPr>
          <w:sz w:val="24"/>
        </w:rPr>
        <w:t>1、基金份额的发售时间、方式和对象</w:t>
      </w:r>
    </w:p>
    <w:p>
      <w:pPr>
        <w:adjustRightInd w:val="0"/>
        <w:snapToGrid w:val="0"/>
        <w:spacing w:line="360" w:lineRule="auto"/>
        <w:ind w:left="105" w:leftChars="50" w:firstLine="360" w:firstLineChars="150"/>
        <w:rPr>
          <w:sz w:val="24"/>
        </w:rPr>
      </w:pPr>
      <w:r>
        <w:rPr>
          <w:sz w:val="24"/>
        </w:rPr>
        <w:t>（1）募集期限：自基金份额发售之日起不超过3个月。本基金自</w:t>
      </w:r>
      <w:r>
        <w:rPr>
          <w:rFonts w:hint="eastAsia"/>
          <w:kern w:val="0"/>
          <w:sz w:val="24"/>
        </w:rPr>
        <w:t>2023年3月6日</w:t>
      </w:r>
      <w:r>
        <w:rPr>
          <w:rFonts w:hint="eastAsia"/>
          <w:sz w:val="24"/>
        </w:rPr>
        <w:t>起至</w:t>
      </w:r>
      <w:r>
        <w:rPr>
          <w:rFonts w:hint="eastAsia"/>
          <w:kern w:val="0"/>
          <w:sz w:val="24"/>
        </w:rPr>
        <w:t>2023年3月24日</w:t>
      </w:r>
      <w:r>
        <w:rPr>
          <w:sz w:val="24"/>
        </w:rPr>
        <w:t>止通过销售机构公开发售（详见基金份额发售公告及</w:t>
      </w:r>
      <w:r>
        <w:rPr>
          <w:rFonts w:hint="eastAsia"/>
          <w:sz w:val="24"/>
        </w:rPr>
        <w:t>销售</w:t>
      </w:r>
      <w:r>
        <w:rPr>
          <w:sz w:val="24"/>
        </w:rPr>
        <w:t>机构相关公告）。</w:t>
      </w:r>
      <w:r>
        <w:rPr>
          <w:rFonts w:hint="eastAsia"/>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pPr>
        <w:adjustRightInd w:val="0"/>
        <w:snapToGrid w:val="0"/>
        <w:spacing w:line="360" w:lineRule="auto"/>
        <w:ind w:firstLine="480" w:firstLineChars="200"/>
      </w:pPr>
      <w:r>
        <w:rPr>
          <w:sz w:val="24"/>
        </w:rPr>
        <w:t>（2）销售渠道：</w:t>
      </w:r>
      <w:r>
        <w:rPr>
          <w:rFonts w:hint="eastAsia"/>
          <w:sz w:val="24"/>
        </w:rPr>
        <w:t>销售机构</w:t>
      </w:r>
      <w:r>
        <w:rPr>
          <w:sz w:val="24"/>
        </w:rPr>
        <w:t>具体名单见基金份额发售公告</w:t>
      </w:r>
      <w:r>
        <w:rPr>
          <w:rFonts w:hint="eastAsia"/>
          <w:sz w:val="24"/>
        </w:rPr>
        <w:t>以及基金管理人网站</w:t>
      </w:r>
      <w:r>
        <w:t>。</w:t>
      </w:r>
    </w:p>
    <w:p>
      <w:pPr>
        <w:adjustRightInd w:val="0"/>
        <w:snapToGrid w:val="0"/>
        <w:spacing w:line="360" w:lineRule="auto"/>
        <w:ind w:firstLine="480" w:firstLineChars="200"/>
        <w:rPr>
          <w:sz w:val="24"/>
        </w:rPr>
      </w:pPr>
      <w:r>
        <w:rPr>
          <w:sz w:val="24"/>
        </w:rPr>
        <w:t>（3）销售对象：</w:t>
      </w:r>
      <w:r>
        <w:rPr>
          <w:bCs/>
          <w:sz w:val="24"/>
        </w:rPr>
        <w:t>符合法律法规规定的可投资于证券投资基金的个人投资者、机构投资者</w:t>
      </w:r>
      <w:r>
        <w:rPr>
          <w:rFonts w:hint="eastAsia"/>
          <w:bCs/>
          <w:sz w:val="24"/>
        </w:rPr>
        <w:t>、合格境外投资者</w:t>
      </w:r>
      <w:r>
        <w:rPr>
          <w:bCs/>
          <w:sz w:val="24"/>
        </w:rPr>
        <w:t>以及法律法规或中国证监会允许购买证券投资基金的其他投资人</w:t>
      </w:r>
      <w:r>
        <w:rPr>
          <w:sz w:val="24"/>
        </w:rPr>
        <w:t>。</w:t>
      </w:r>
    </w:p>
    <w:p>
      <w:pPr>
        <w:adjustRightInd w:val="0"/>
        <w:snapToGrid w:val="0"/>
        <w:spacing w:line="360" w:lineRule="auto"/>
        <w:ind w:firstLine="480" w:firstLineChars="200"/>
        <w:outlineLvl w:val="2"/>
        <w:rPr>
          <w:sz w:val="24"/>
        </w:rPr>
      </w:pPr>
      <w:r>
        <w:rPr>
          <w:sz w:val="24"/>
        </w:rPr>
        <w:t>2、基金份额的认购和持有限制</w:t>
      </w:r>
    </w:p>
    <w:p>
      <w:pPr>
        <w:adjustRightInd w:val="0"/>
        <w:snapToGrid w:val="0"/>
        <w:spacing w:line="360" w:lineRule="auto"/>
        <w:ind w:firstLine="480" w:firstLineChars="200"/>
        <w:rPr>
          <w:sz w:val="24"/>
        </w:rPr>
      </w:pPr>
      <w:r>
        <w:rPr>
          <w:sz w:val="24"/>
        </w:rPr>
        <w:t>（1）基金份额的认购采用金额认购方式。</w:t>
      </w:r>
    </w:p>
    <w:p>
      <w:pPr>
        <w:adjustRightInd w:val="0"/>
        <w:snapToGrid w:val="0"/>
        <w:spacing w:line="360" w:lineRule="auto"/>
        <w:ind w:firstLine="480" w:firstLineChars="200"/>
        <w:rPr>
          <w:sz w:val="24"/>
        </w:rPr>
      </w:pPr>
      <w:r>
        <w:rPr>
          <w:sz w:val="24"/>
        </w:rPr>
        <w:t>（2）投资人认购基金份额采用全额缴款的认购方式。投资人认购</w:t>
      </w:r>
      <w:r>
        <w:rPr>
          <w:rFonts w:hint="eastAsia"/>
          <w:sz w:val="24"/>
        </w:rPr>
        <w:t>时</w:t>
      </w:r>
      <w:r>
        <w:rPr>
          <w:sz w:val="24"/>
        </w:rPr>
        <w:t>，需按销售机构规定的方式备足认购的金额。</w:t>
      </w:r>
    </w:p>
    <w:p>
      <w:pPr>
        <w:adjustRightInd w:val="0"/>
        <w:snapToGrid w:val="0"/>
        <w:spacing w:line="360" w:lineRule="auto"/>
        <w:ind w:firstLine="480" w:firstLineChars="200"/>
        <w:rPr>
          <w:sz w:val="24"/>
        </w:rPr>
      </w:pPr>
      <w:r>
        <w:rPr>
          <w:sz w:val="24"/>
        </w:rPr>
        <w:t>（3）投资人在募集期内可以多次认购基金份额，认购</w:t>
      </w:r>
      <w:r>
        <w:rPr>
          <w:rFonts w:hint="eastAsia"/>
          <w:sz w:val="24"/>
        </w:rPr>
        <w:t>申请</w:t>
      </w:r>
      <w:r>
        <w:rPr>
          <w:sz w:val="24"/>
        </w:rPr>
        <w:t>一经登记机构受理不得撤销。</w:t>
      </w:r>
    </w:p>
    <w:p>
      <w:pPr>
        <w:adjustRightInd w:val="0"/>
        <w:snapToGrid w:val="0"/>
        <w:spacing w:line="360" w:lineRule="auto"/>
        <w:ind w:firstLine="480" w:firstLineChars="200"/>
        <w:rPr>
          <w:sz w:val="24"/>
        </w:rPr>
      </w:pPr>
      <w:r>
        <w:rPr>
          <w:sz w:val="24"/>
        </w:rPr>
        <w:t>（4）直销机构接受首次认购申请的最低金额为单笔</w:t>
      </w:r>
      <w:r>
        <w:rPr>
          <w:rFonts w:hint="eastAsia"/>
          <w:sz w:val="24"/>
        </w:rPr>
        <w:t>100万元</w:t>
      </w:r>
      <w:r>
        <w:rPr>
          <w:sz w:val="24"/>
        </w:rPr>
        <w:t>，追加认购的最低金额为单笔</w:t>
      </w:r>
      <w:r>
        <w:rPr>
          <w:rFonts w:hint="eastAsia"/>
          <w:sz w:val="24"/>
        </w:rPr>
        <w:t>10万元</w:t>
      </w:r>
      <w:r>
        <w:rPr>
          <w:sz w:val="24"/>
        </w:rPr>
        <w:t>；已在直销机构有认购或申购过本基金管理人管理的其他基金记录的投资人不受首次认购最低金额的限制。通过</w:t>
      </w:r>
      <w:r>
        <w:rPr>
          <w:rFonts w:hint="eastAsia"/>
          <w:sz w:val="24"/>
        </w:rPr>
        <w:t>基金管理人</w:t>
      </w:r>
      <w:r>
        <w:rPr>
          <w:sz w:val="24"/>
        </w:rPr>
        <w:t>网上直销交易平台办理本基金认购业务的不受直销机构最低认购金额的限制，认购最低金额为单笔1元。本基金直销机构单笔认购最低金额可由基金管理人酌情调整。</w:t>
      </w:r>
      <w:r>
        <w:rPr>
          <w:rFonts w:hint="eastAsia"/>
          <w:sz w:val="24"/>
        </w:rPr>
        <w:t>其他销售</w:t>
      </w:r>
      <w:r>
        <w:rPr>
          <w:sz w:val="24"/>
        </w:rPr>
        <w:t>机构接受认购申请的最低金额为单笔1元，如果</w:t>
      </w:r>
      <w:r>
        <w:rPr>
          <w:rFonts w:hint="eastAsia"/>
          <w:sz w:val="24"/>
        </w:rPr>
        <w:t>销售</w:t>
      </w:r>
      <w:r>
        <w:rPr>
          <w:sz w:val="24"/>
        </w:rPr>
        <w:t>机构业务规则规定的最低单笔认购金额高于1元，以</w:t>
      </w:r>
      <w:r>
        <w:rPr>
          <w:rFonts w:hint="eastAsia"/>
          <w:sz w:val="24"/>
        </w:rPr>
        <w:t>该销售</w:t>
      </w:r>
      <w:r>
        <w:rPr>
          <w:sz w:val="24"/>
        </w:rPr>
        <w:t>机构的规定为准。</w:t>
      </w:r>
    </w:p>
    <w:p>
      <w:pPr>
        <w:adjustRightInd w:val="0"/>
        <w:snapToGrid w:val="0"/>
        <w:spacing w:line="360" w:lineRule="auto"/>
        <w:ind w:firstLine="480" w:firstLineChars="200"/>
        <w:rPr>
          <w:sz w:val="24"/>
        </w:rPr>
      </w:pPr>
      <w:r>
        <w:rPr>
          <w:sz w:val="24"/>
        </w:rPr>
        <w:t>（5）</w:t>
      </w:r>
      <w:r>
        <w:rPr>
          <w:rFonts w:hint="eastAsia"/>
          <w:sz w:val="24"/>
        </w:rPr>
        <w:t>基金管理人可以对募集期间的单个投资人的累计认购金额进行限制，具体限制和处理方法请参看相关公告。</w:t>
      </w:r>
    </w:p>
    <w:p>
      <w:pPr>
        <w:adjustRightInd w:val="0"/>
        <w:snapToGrid w:val="0"/>
        <w:spacing w:line="360" w:lineRule="auto"/>
        <w:ind w:firstLine="480" w:firstLineChars="200"/>
        <w:rPr>
          <w:sz w:val="24"/>
        </w:rPr>
      </w:pPr>
      <w:r>
        <w:rPr>
          <w:rFonts w:hint="eastAsia"/>
          <w:sz w:val="24"/>
        </w:rPr>
        <w:t>（6）如本基金单个投资人累计认购的基金份额数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adjustRightInd w:val="0"/>
        <w:snapToGrid w:val="0"/>
        <w:spacing w:line="360" w:lineRule="auto"/>
        <w:ind w:firstLine="480" w:firstLineChars="200"/>
        <w:outlineLvl w:val="2"/>
        <w:rPr>
          <w:sz w:val="24"/>
        </w:rPr>
      </w:pPr>
      <w:r>
        <w:rPr>
          <w:sz w:val="24"/>
        </w:rPr>
        <w:t>3、基金份额的认购费用、认购价格及认购份额的计算公式</w:t>
      </w:r>
    </w:p>
    <w:p>
      <w:pPr>
        <w:adjustRightInd w:val="0"/>
        <w:snapToGrid w:val="0"/>
        <w:spacing w:line="360" w:lineRule="auto"/>
        <w:ind w:firstLine="480" w:firstLineChars="200"/>
        <w:rPr>
          <w:sz w:val="24"/>
        </w:rPr>
      </w:pPr>
      <w:r>
        <w:rPr>
          <w:sz w:val="24"/>
        </w:rPr>
        <w:t>（1）认购价格：本基金</w:t>
      </w:r>
      <w:r>
        <w:rPr>
          <w:rFonts w:hint="eastAsia"/>
          <w:sz w:val="24"/>
        </w:rPr>
        <w:t>基金</w:t>
      </w:r>
      <w:r>
        <w:rPr>
          <w:sz w:val="24"/>
        </w:rPr>
        <w:t>份额的认购价格为1.00元/份。</w:t>
      </w:r>
    </w:p>
    <w:p>
      <w:pPr>
        <w:adjustRightInd w:val="0"/>
        <w:snapToGrid w:val="0"/>
        <w:spacing w:line="360" w:lineRule="auto"/>
        <w:ind w:firstLine="480" w:firstLineChars="200"/>
        <w:rPr>
          <w:sz w:val="24"/>
        </w:rPr>
      </w:pPr>
      <w:r>
        <w:rPr>
          <w:sz w:val="24"/>
        </w:rPr>
        <w:t>（2）认购费率</w:t>
      </w:r>
    </w:p>
    <w:p>
      <w:pPr>
        <w:adjustRightInd w:val="0"/>
        <w:snapToGrid w:val="0"/>
        <w:spacing w:line="360" w:lineRule="auto"/>
        <w:ind w:firstLine="480" w:firstLineChars="200"/>
        <w:rPr>
          <w:sz w:val="24"/>
        </w:rPr>
      </w:pPr>
      <w:r>
        <w:rPr>
          <w:rFonts w:hint="eastAsia"/>
          <w:sz w:val="24"/>
        </w:rPr>
        <w:t>募集期内投资人可以多次认购本基金，认购费用按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w:t>
      </w:r>
      <w:r>
        <w:rPr>
          <w:rFonts w:hint="eastAsia"/>
          <w:kern w:val="0"/>
          <w:sz w:val="24"/>
        </w:rPr>
        <w:t>A类基金份额（非养老金客户）的</w:t>
      </w:r>
      <w:r>
        <w:rPr>
          <w:kern w:val="0"/>
          <w:sz w:val="24"/>
        </w:rPr>
        <w:t>认购费率如下表：</w:t>
      </w:r>
    </w:p>
    <w:tbl>
      <w:tblPr>
        <w:tblStyle w:val="28"/>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shd w:val="clear" w:color="auto" w:fill="FFFFFF"/>
            <w:vAlign w:val="center"/>
          </w:tcPr>
          <w:p>
            <w:pPr>
              <w:adjustRightInd w:val="0"/>
              <w:snapToGrid w:val="0"/>
              <w:jc w:val="center"/>
              <w:rPr>
                <w:b/>
                <w:sz w:val="24"/>
              </w:rPr>
            </w:pPr>
            <w:r>
              <w:rPr>
                <w:b/>
                <w:sz w:val="24"/>
              </w:rPr>
              <w:t>认购金额（含认购费）</w:t>
            </w:r>
          </w:p>
        </w:tc>
        <w:tc>
          <w:tcPr>
            <w:tcW w:w="3598" w:type="dxa"/>
            <w:shd w:val="clear" w:color="auto" w:fill="FFFFFF"/>
            <w:vAlign w:val="center"/>
          </w:tcPr>
          <w:p>
            <w:pPr>
              <w:adjustRightInd w:val="0"/>
              <w:snapToGrid w:val="0"/>
              <w:jc w:val="center"/>
              <w:rPr>
                <w:b/>
                <w:sz w:val="24"/>
              </w:rPr>
            </w:pPr>
            <w:r>
              <w:rPr>
                <w:rFonts w:hint="eastAsia"/>
                <w:b/>
                <w:color w:val="000000"/>
                <w:kern w:val="0"/>
                <w:sz w:val="24"/>
              </w:rPr>
              <w:t>A类基金份额</w:t>
            </w:r>
            <w:r>
              <w:rPr>
                <w:b/>
                <w:sz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sz w:val="24"/>
              </w:rPr>
              <w:t>100万元以下</w:t>
            </w:r>
          </w:p>
        </w:tc>
        <w:tc>
          <w:tcPr>
            <w:tcW w:w="3598" w:type="dxa"/>
          </w:tcPr>
          <w:p>
            <w:pPr>
              <w:adjustRightInd w:val="0"/>
              <w:snapToGrid w:val="0"/>
              <w:jc w:val="center"/>
              <w:rPr>
                <w:sz w:val="24"/>
              </w:rPr>
            </w:pPr>
            <w:r>
              <w:rPr>
                <w:sz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sz w:val="24"/>
              </w:rPr>
              <w:t>100万元（含）至</w:t>
            </w:r>
            <w:r>
              <w:rPr>
                <w:rFonts w:hint="eastAsia"/>
                <w:sz w:val="24"/>
              </w:rPr>
              <w:t>3</w:t>
            </w:r>
            <w:r>
              <w:rPr>
                <w:sz w:val="24"/>
              </w:rPr>
              <w:t>00万元</w:t>
            </w:r>
          </w:p>
        </w:tc>
        <w:tc>
          <w:tcPr>
            <w:tcW w:w="3598" w:type="dxa"/>
          </w:tcPr>
          <w:p>
            <w:pPr>
              <w:adjustRightInd w:val="0"/>
              <w:snapToGrid w:val="0"/>
              <w:jc w:val="center"/>
              <w:rPr>
                <w:sz w:val="24"/>
              </w:rPr>
            </w:pPr>
            <w:r>
              <w:rPr>
                <w:rFonts w:hint="eastAsia"/>
                <w:sz w:val="24"/>
              </w:rPr>
              <w:t>0</w:t>
            </w:r>
            <w:r>
              <w:rPr>
                <w:sz w:val="24"/>
              </w:rPr>
              <w:t>.8%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rFonts w:hint="eastAsia"/>
                <w:sz w:val="24"/>
              </w:rPr>
              <w:t>3</w:t>
            </w:r>
            <w:r>
              <w:rPr>
                <w:sz w:val="24"/>
              </w:rPr>
              <w:t>00万元（含）至500万元</w:t>
            </w:r>
          </w:p>
        </w:tc>
        <w:tc>
          <w:tcPr>
            <w:tcW w:w="3598" w:type="dxa"/>
          </w:tcPr>
          <w:p>
            <w:pPr>
              <w:adjustRightInd w:val="0"/>
              <w:snapToGrid w:val="0"/>
              <w:jc w:val="center"/>
              <w:rPr>
                <w:sz w:val="24"/>
              </w:rPr>
            </w:pPr>
            <w:r>
              <w:rPr>
                <w:rFonts w:hint="eastAsia"/>
                <w:sz w:val="24"/>
              </w:rPr>
              <w:t>0</w:t>
            </w:r>
            <w:r>
              <w:rPr>
                <w:sz w:val="24"/>
              </w:rPr>
              <w:t>.</w:t>
            </w:r>
            <w:r>
              <w:rPr>
                <w:rFonts w:hint="eastAsia"/>
                <w:sz w:val="24"/>
              </w:rPr>
              <w:t>6</w:t>
            </w:r>
            <w:r>
              <w:rPr>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sz w:val="24"/>
              </w:rPr>
              <w:t>500万元以上（含500万元）</w:t>
            </w:r>
          </w:p>
        </w:tc>
        <w:tc>
          <w:tcPr>
            <w:tcW w:w="3598" w:type="dxa"/>
          </w:tcPr>
          <w:p>
            <w:pPr>
              <w:adjustRightInd w:val="0"/>
              <w:snapToGrid w:val="0"/>
              <w:jc w:val="center"/>
              <w:rPr>
                <w:sz w:val="24"/>
              </w:rPr>
            </w:pPr>
            <w:r>
              <w:rPr>
                <w:sz w:val="24"/>
              </w:rPr>
              <w:t>每笔交易1000元</w:t>
            </w:r>
          </w:p>
        </w:tc>
      </w:tr>
    </w:tbl>
    <w:p>
      <w:pPr>
        <w:adjustRightInd w:val="0"/>
        <w:snapToGrid w:val="0"/>
        <w:spacing w:line="360" w:lineRule="auto"/>
        <w:ind w:firstLine="480" w:firstLineChars="200"/>
        <w:rPr>
          <w:sz w:val="24"/>
        </w:rPr>
      </w:pPr>
      <w:r>
        <w:rPr>
          <w:sz w:val="24"/>
        </w:rPr>
        <w:t>本基金对通过基金管理人直销柜台</w:t>
      </w:r>
      <w:r>
        <w:rPr>
          <w:rFonts w:hint="eastAsia"/>
          <w:sz w:val="24"/>
        </w:rPr>
        <w:t>认</w:t>
      </w:r>
      <w:r>
        <w:rPr>
          <w:sz w:val="24"/>
        </w:rPr>
        <w:t>购</w:t>
      </w:r>
      <w:r>
        <w:rPr>
          <w:rFonts w:hint="eastAsia"/>
          <w:sz w:val="24"/>
        </w:rPr>
        <w:t>A类基金份额的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sz w:val="24"/>
        </w:rPr>
      </w:pPr>
      <w:r>
        <w:rPr>
          <w:sz w:val="24"/>
        </w:rPr>
        <w:t>1</w:t>
      </w:r>
      <w:r>
        <w:rPr>
          <w:rFonts w:hint="eastAsia"/>
          <w:sz w:val="24"/>
        </w:rPr>
        <w:t>）</w:t>
      </w:r>
      <w:r>
        <w:rPr>
          <w:sz w:val="24"/>
        </w:rPr>
        <w:t>全国社会保障基金；</w:t>
      </w:r>
    </w:p>
    <w:p>
      <w:pPr>
        <w:adjustRightInd w:val="0"/>
        <w:snapToGrid w:val="0"/>
        <w:spacing w:line="360" w:lineRule="auto"/>
        <w:ind w:firstLine="480" w:firstLineChars="200"/>
        <w:rPr>
          <w:sz w:val="24"/>
        </w:rPr>
      </w:pPr>
      <w:r>
        <w:rPr>
          <w:sz w:val="24"/>
        </w:rPr>
        <w:t>2</w:t>
      </w:r>
      <w:r>
        <w:rPr>
          <w:rFonts w:hint="eastAsia"/>
          <w:sz w:val="24"/>
        </w:rPr>
        <w:t>）</w:t>
      </w:r>
      <w:r>
        <w:rPr>
          <w:sz w:val="24"/>
        </w:rPr>
        <w:t>可以投资基金的地方社会保障基金；</w:t>
      </w:r>
    </w:p>
    <w:p>
      <w:pPr>
        <w:adjustRightInd w:val="0"/>
        <w:snapToGrid w:val="0"/>
        <w:spacing w:line="360" w:lineRule="auto"/>
        <w:ind w:firstLine="480" w:firstLineChars="200"/>
        <w:rPr>
          <w:sz w:val="24"/>
        </w:rPr>
      </w:pPr>
      <w:r>
        <w:rPr>
          <w:sz w:val="24"/>
        </w:rPr>
        <w:t>3</w:t>
      </w:r>
      <w:r>
        <w:rPr>
          <w:rFonts w:hint="eastAsia"/>
          <w:sz w:val="24"/>
        </w:rPr>
        <w:t>）</w:t>
      </w:r>
      <w:r>
        <w:rPr>
          <w:sz w:val="24"/>
        </w:rPr>
        <w:t>企业年金单一计划以及集合计划</w:t>
      </w:r>
      <w:r>
        <w:rPr>
          <w:rFonts w:hint="eastAsia"/>
          <w:sz w:val="24"/>
        </w:rPr>
        <w:t>；</w:t>
      </w:r>
    </w:p>
    <w:p>
      <w:pPr>
        <w:adjustRightInd w:val="0"/>
        <w:snapToGrid w:val="0"/>
        <w:spacing w:line="360" w:lineRule="auto"/>
        <w:ind w:firstLine="480" w:firstLineChars="200"/>
        <w:rPr>
          <w:sz w:val="24"/>
        </w:rPr>
      </w:pPr>
      <w:r>
        <w:rPr>
          <w:rFonts w:hint="eastAsia"/>
          <w:sz w:val="24"/>
        </w:rPr>
        <w:t>4）企业年金理事会委托的特定客户资产管理计划；</w:t>
      </w:r>
    </w:p>
    <w:p>
      <w:pPr>
        <w:adjustRightInd w:val="0"/>
        <w:snapToGrid w:val="0"/>
        <w:spacing w:line="360" w:lineRule="auto"/>
        <w:ind w:firstLine="480" w:firstLineChars="200"/>
        <w:rPr>
          <w:sz w:val="24"/>
        </w:rPr>
      </w:pPr>
      <w:r>
        <w:rPr>
          <w:rFonts w:hint="eastAsia"/>
          <w:sz w:val="24"/>
        </w:rPr>
        <w:t>5）企业年金养老金产品</w:t>
      </w:r>
      <w:r>
        <w:rPr>
          <w:sz w:val="24"/>
        </w:rPr>
        <w:t>。</w:t>
      </w:r>
    </w:p>
    <w:p>
      <w:pPr>
        <w:adjustRightInd w:val="0"/>
        <w:snapToGrid w:val="0"/>
        <w:spacing w:line="360" w:lineRule="auto"/>
        <w:ind w:firstLine="480" w:firstLineChars="20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28"/>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shd w:val="clear" w:color="auto" w:fill="FFFFFF"/>
            <w:vAlign w:val="center"/>
          </w:tcPr>
          <w:p>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pPr>
              <w:adjustRightInd w:val="0"/>
              <w:snapToGrid w:val="0"/>
              <w:jc w:val="center"/>
              <w:rPr>
                <w:b/>
                <w:sz w:val="24"/>
              </w:rPr>
            </w:pPr>
            <w:r>
              <w:rPr>
                <w:rFonts w:hint="eastAsia"/>
                <w:b/>
                <w:sz w:val="24"/>
              </w:rPr>
              <w:t>A类基金份额特定认</w:t>
            </w:r>
            <w:r>
              <w:rPr>
                <w:b/>
                <w:sz w:val="24"/>
              </w:rPr>
              <w:t>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100</w:t>
            </w:r>
            <w:r>
              <w:rPr>
                <w:rFonts w:hAnsi="宋体"/>
                <w:sz w:val="24"/>
              </w:rPr>
              <w:t>万元以下</w:t>
            </w:r>
          </w:p>
        </w:tc>
        <w:tc>
          <w:tcPr>
            <w:tcW w:w="3767" w:type="dxa"/>
            <w:vAlign w:val="center"/>
          </w:tcPr>
          <w:p>
            <w:pPr>
              <w:adjustRightInd w:val="0"/>
              <w:snapToGrid w:val="0"/>
              <w:jc w:val="center"/>
              <w:rPr>
                <w:sz w:val="24"/>
              </w:rPr>
            </w:pPr>
            <w:r>
              <w:rPr>
                <w:rFonts w:hint="eastAsia"/>
                <w:sz w:val="24"/>
              </w:rPr>
              <w:t>0.48%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100万元（含）至</w:t>
            </w:r>
            <w:r>
              <w:rPr>
                <w:rFonts w:hint="eastAsia"/>
                <w:sz w:val="24"/>
              </w:rPr>
              <w:t>3</w:t>
            </w:r>
            <w:r>
              <w:rPr>
                <w:sz w:val="24"/>
              </w:rPr>
              <w:t>00万元</w:t>
            </w:r>
          </w:p>
        </w:tc>
        <w:tc>
          <w:tcPr>
            <w:tcW w:w="3767" w:type="dxa"/>
            <w:vAlign w:val="center"/>
          </w:tcPr>
          <w:p>
            <w:pPr>
              <w:adjustRightInd w:val="0"/>
              <w:snapToGrid w:val="0"/>
              <w:jc w:val="center"/>
              <w:rPr>
                <w:rFonts w:hAnsi="宋体"/>
                <w:sz w:val="24"/>
              </w:rPr>
            </w:pPr>
            <w:r>
              <w:rPr>
                <w:rFonts w:hint="eastAsia"/>
                <w:sz w:val="24"/>
              </w:rPr>
              <w:t>0</w:t>
            </w:r>
            <w:r>
              <w:rPr>
                <w:sz w:val="24"/>
              </w:rPr>
              <w:t>.32%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rFonts w:hint="eastAsia"/>
                <w:sz w:val="24"/>
              </w:rPr>
              <w:t>3</w:t>
            </w:r>
            <w:r>
              <w:rPr>
                <w:sz w:val="24"/>
              </w:rPr>
              <w:t>00万元（含）至500万元</w:t>
            </w:r>
          </w:p>
        </w:tc>
        <w:tc>
          <w:tcPr>
            <w:tcW w:w="3767" w:type="dxa"/>
            <w:vAlign w:val="center"/>
          </w:tcPr>
          <w:p>
            <w:pPr>
              <w:adjustRightInd w:val="0"/>
              <w:snapToGrid w:val="0"/>
              <w:jc w:val="center"/>
              <w:rPr>
                <w:rFonts w:hAnsi="宋体"/>
                <w:sz w:val="24"/>
              </w:rPr>
            </w:pPr>
            <w:r>
              <w:rPr>
                <w:rFonts w:hint="eastAsia"/>
                <w:sz w:val="24"/>
              </w:rPr>
              <w:t>0.18%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int="eastAsia" w:hAnsi="宋体"/>
                <w:sz w:val="24"/>
              </w:rPr>
              <w:t>元</w:t>
            </w:r>
            <w:r>
              <w:rPr>
                <w:rFonts w:hAnsi="宋体"/>
                <w:sz w:val="24"/>
              </w:rPr>
              <w:t>）</w:t>
            </w:r>
          </w:p>
        </w:tc>
        <w:tc>
          <w:tcPr>
            <w:tcW w:w="3767"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adjustRightInd w:val="0"/>
        <w:snapToGrid w:val="0"/>
        <w:spacing w:line="360" w:lineRule="auto"/>
        <w:ind w:firstLine="480" w:firstLineChars="200"/>
        <w:rPr>
          <w:sz w:val="24"/>
        </w:rPr>
      </w:pPr>
      <w:r>
        <w:rPr>
          <w:rFonts w:hint="eastAsia"/>
          <w:sz w:val="24"/>
        </w:rPr>
        <w:t>本</w:t>
      </w:r>
      <w:r>
        <w:rPr>
          <w:sz w:val="24"/>
        </w:rPr>
        <w:t>基金</w:t>
      </w:r>
      <w:r>
        <w:rPr>
          <w:rFonts w:hint="eastAsia"/>
          <w:color w:val="000000"/>
          <w:kern w:val="0"/>
          <w:sz w:val="24"/>
        </w:rPr>
        <w:t>A类基金份额的</w:t>
      </w:r>
      <w:r>
        <w:rPr>
          <w:sz w:val="24"/>
        </w:rPr>
        <w:t>认购费用</w:t>
      </w:r>
      <w:r>
        <w:rPr>
          <w:rFonts w:hint="eastAsia"/>
          <w:sz w:val="24"/>
        </w:rPr>
        <w:t>由认购</w:t>
      </w:r>
      <w:r>
        <w:rPr>
          <w:rFonts w:hint="eastAsia"/>
          <w:color w:val="000000"/>
          <w:kern w:val="0"/>
          <w:sz w:val="24"/>
        </w:rPr>
        <w:t>A类</w:t>
      </w:r>
      <w:r>
        <w:rPr>
          <w:rFonts w:hint="eastAsia"/>
          <w:sz w:val="24"/>
        </w:rPr>
        <w:t>基金份额的投资人承担，</w:t>
      </w:r>
      <w:r>
        <w:rPr>
          <w:sz w:val="24"/>
        </w:rPr>
        <w:t>认购费用不列入基金财产，主要用于基金的市场推广、销售、登记等募集期间发生的各项费用。</w:t>
      </w:r>
    </w:p>
    <w:p>
      <w:pPr>
        <w:adjustRightInd w:val="0"/>
        <w:snapToGrid w:val="0"/>
        <w:spacing w:line="360" w:lineRule="auto"/>
        <w:ind w:firstLine="480" w:firstLineChars="200"/>
        <w:rPr>
          <w:sz w:val="24"/>
        </w:rPr>
      </w:pPr>
      <w:r>
        <w:rPr>
          <w:sz w:val="24"/>
        </w:rPr>
        <w:t>（3）认购份额的计算</w:t>
      </w:r>
    </w:p>
    <w:p>
      <w:pPr>
        <w:adjustRightInd w:val="0"/>
        <w:snapToGrid w:val="0"/>
        <w:spacing w:line="360" w:lineRule="auto"/>
        <w:ind w:firstLine="480" w:firstLineChars="200"/>
        <w:rPr>
          <w:sz w:val="24"/>
        </w:rPr>
      </w:pPr>
      <w:r>
        <w:rPr>
          <w:rFonts w:hint="eastAsia"/>
          <w:sz w:val="24"/>
        </w:rPr>
        <w:t>1）A类基金份额的认购</w:t>
      </w:r>
    </w:p>
    <w:p>
      <w:pPr>
        <w:adjustRightInd w:val="0"/>
        <w:snapToGrid w:val="0"/>
        <w:spacing w:line="360" w:lineRule="auto"/>
        <w:ind w:firstLine="480" w:firstLineChars="20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pPr>
        <w:adjustRightInd w:val="0"/>
        <w:snapToGrid w:val="0"/>
        <w:spacing w:line="360" w:lineRule="auto"/>
        <w:ind w:firstLine="480" w:firstLineChars="200"/>
        <w:rPr>
          <w:sz w:val="24"/>
        </w:rPr>
      </w:pPr>
      <w:r>
        <w:rPr>
          <w:sz w:val="24"/>
        </w:rPr>
        <w:t>认购总金额=申请总金额</w:t>
      </w:r>
    </w:p>
    <w:p>
      <w:pPr>
        <w:adjustRightInd w:val="0"/>
        <w:snapToGrid w:val="0"/>
        <w:spacing w:line="360" w:lineRule="auto"/>
        <w:ind w:firstLine="480" w:firstLineChars="200"/>
        <w:rPr>
          <w:sz w:val="24"/>
        </w:rPr>
      </w:pPr>
      <w:r>
        <w:rPr>
          <w:sz w:val="24"/>
        </w:rPr>
        <w:t>净认购金额=认购总金额/（1+认购费率）</w:t>
      </w:r>
    </w:p>
    <w:p>
      <w:pPr>
        <w:adjustRightInd w:val="0"/>
        <w:snapToGrid w:val="0"/>
        <w:spacing w:line="360" w:lineRule="auto"/>
        <w:ind w:firstLine="480" w:firstLineChars="200"/>
        <w:rPr>
          <w:sz w:val="24"/>
        </w:rPr>
      </w:pPr>
      <w:r>
        <w:rPr>
          <w:sz w:val="24"/>
        </w:rPr>
        <w:t>（注：对于适用固定金额认购费用的认购，净认购金额＝认购总金额－固定认购费用金额）</w:t>
      </w:r>
    </w:p>
    <w:p>
      <w:pPr>
        <w:adjustRightInd w:val="0"/>
        <w:snapToGrid w:val="0"/>
        <w:spacing w:line="360" w:lineRule="auto"/>
        <w:ind w:firstLine="480" w:firstLineChars="200"/>
        <w:rPr>
          <w:sz w:val="24"/>
        </w:rPr>
      </w:pPr>
      <w:r>
        <w:rPr>
          <w:sz w:val="24"/>
        </w:rPr>
        <w:t>认购费用=认购总金额-净认购金额</w:t>
      </w:r>
    </w:p>
    <w:p>
      <w:pPr>
        <w:adjustRightInd w:val="0"/>
        <w:snapToGrid w:val="0"/>
        <w:spacing w:line="360" w:lineRule="auto"/>
        <w:ind w:firstLine="480" w:firstLineChars="200"/>
        <w:rPr>
          <w:sz w:val="24"/>
        </w:rPr>
      </w:pPr>
      <w:r>
        <w:rPr>
          <w:sz w:val="24"/>
        </w:rPr>
        <w:t>（注：对于适用固定金额认购费用的认购，认购费用＝固定认购费用金额）</w:t>
      </w:r>
    </w:p>
    <w:p>
      <w:pPr>
        <w:adjustRightInd w:val="0"/>
        <w:snapToGrid w:val="0"/>
        <w:spacing w:line="360" w:lineRule="auto"/>
        <w:ind w:firstLine="480" w:firstLineChars="200"/>
        <w:rPr>
          <w:sz w:val="24"/>
        </w:rPr>
      </w:pPr>
      <w:r>
        <w:rPr>
          <w:sz w:val="24"/>
        </w:rPr>
        <w:t>认购份额=净认购金额/基金份额初始面值+认购利息/基金份额初始面值</w:t>
      </w:r>
    </w:p>
    <w:p>
      <w:pPr>
        <w:adjustRightInd w:val="0"/>
        <w:snapToGrid w:val="0"/>
        <w:spacing w:line="360" w:lineRule="auto"/>
        <w:ind w:firstLine="480" w:firstLineChars="200"/>
        <w:rPr>
          <w:sz w:val="24"/>
        </w:rPr>
      </w:pPr>
      <w:r>
        <w:rPr>
          <w:sz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sz w:val="24"/>
        </w:rPr>
      </w:pPr>
      <w:r>
        <w:rPr>
          <w:sz w:val="24"/>
        </w:rPr>
        <w:t>例一：</w:t>
      </w:r>
      <w:r>
        <w:rPr>
          <w:rFonts w:hint="eastAsia"/>
          <w:sz w:val="24"/>
        </w:rPr>
        <w:t>某投资者（非养老金客户）投资本基金</w:t>
      </w:r>
      <w:r>
        <w:rPr>
          <w:rFonts w:hint="eastAsia"/>
          <w:color w:val="000000"/>
          <w:kern w:val="0"/>
          <w:sz w:val="24"/>
        </w:rPr>
        <w:t>A类基金份额</w:t>
      </w:r>
      <w:r>
        <w:rPr>
          <w:rFonts w:hint="eastAsia"/>
          <w:sz w:val="24"/>
        </w:rPr>
        <w:t>100,000元，且该认购申请被全额确认，假定募集期产生的利息为10.00元，</w:t>
      </w:r>
      <w:r>
        <w:rPr>
          <w:sz w:val="24"/>
        </w:rPr>
        <w:t>认购费率为1.2%，则可认购基金份额为：</w:t>
      </w:r>
    </w:p>
    <w:p>
      <w:pPr>
        <w:adjustRightInd w:val="0"/>
        <w:snapToGrid w:val="0"/>
        <w:spacing w:line="360" w:lineRule="auto"/>
        <w:ind w:firstLine="480" w:firstLineChars="200"/>
        <w:rPr>
          <w:sz w:val="24"/>
        </w:rPr>
      </w:pPr>
      <w:r>
        <w:rPr>
          <w:sz w:val="24"/>
        </w:rPr>
        <w:t>认购总金额=100,000元</w:t>
      </w:r>
    </w:p>
    <w:p>
      <w:pPr>
        <w:adjustRightInd w:val="0"/>
        <w:snapToGrid w:val="0"/>
        <w:spacing w:line="360" w:lineRule="auto"/>
        <w:ind w:firstLine="480" w:firstLineChars="200"/>
        <w:rPr>
          <w:sz w:val="24"/>
        </w:rPr>
      </w:pPr>
      <w:r>
        <w:rPr>
          <w:rFonts w:hint="eastAsia"/>
          <w:sz w:val="24"/>
        </w:rPr>
        <w:t>净</w:t>
      </w:r>
      <w:r>
        <w:rPr>
          <w:sz w:val="24"/>
        </w:rPr>
        <w:t>认购金额＝100,000/（1＋1.2%）＝98,814.23元</w:t>
      </w:r>
    </w:p>
    <w:p>
      <w:pPr>
        <w:adjustRightInd w:val="0"/>
        <w:snapToGrid w:val="0"/>
        <w:spacing w:line="360" w:lineRule="auto"/>
        <w:ind w:firstLine="480" w:firstLineChars="200"/>
        <w:rPr>
          <w:sz w:val="24"/>
        </w:rPr>
      </w:pPr>
      <w:r>
        <w:rPr>
          <w:sz w:val="24"/>
        </w:rPr>
        <w:t>认购费用＝100,000-98,814.23＝1,185.77元</w:t>
      </w:r>
    </w:p>
    <w:p>
      <w:pPr>
        <w:adjustRightInd w:val="0"/>
        <w:snapToGrid w:val="0"/>
        <w:spacing w:line="360" w:lineRule="auto"/>
        <w:ind w:firstLine="480" w:firstLineChars="200"/>
        <w:rPr>
          <w:sz w:val="24"/>
        </w:rPr>
      </w:pPr>
      <w:r>
        <w:rPr>
          <w:sz w:val="24"/>
        </w:rPr>
        <w:t>认购份额＝98,814.23/1.00＋10.00/1.00＝98,824.23份</w:t>
      </w:r>
    </w:p>
    <w:p>
      <w:pPr>
        <w:adjustRightInd w:val="0"/>
        <w:snapToGrid w:val="0"/>
        <w:spacing w:line="360" w:lineRule="auto"/>
        <w:ind w:firstLine="480" w:firstLineChars="200"/>
        <w:rPr>
          <w:sz w:val="24"/>
        </w:rPr>
      </w:pPr>
      <w:r>
        <w:rPr>
          <w:rFonts w:hint="eastAsia"/>
          <w:sz w:val="24"/>
        </w:rPr>
        <w:t>即：若该投资者（非养老金客户）投资本基金</w:t>
      </w:r>
      <w:r>
        <w:rPr>
          <w:rFonts w:hint="eastAsia"/>
          <w:color w:val="000000"/>
          <w:kern w:val="0"/>
          <w:sz w:val="24"/>
        </w:rPr>
        <w:t>A类基金份额</w:t>
      </w:r>
      <w:r>
        <w:rPr>
          <w:rFonts w:hint="eastAsia"/>
          <w:sz w:val="24"/>
        </w:rPr>
        <w:t>100,000元，假定募集期产生的利息为10.00元，则投资100,000元本金可得到</w:t>
      </w:r>
      <w:r>
        <w:rPr>
          <w:sz w:val="24"/>
        </w:rPr>
        <w:t>98,824.23</w:t>
      </w:r>
      <w:r>
        <w:rPr>
          <w:rFonts w:hint="eastAsia"/>
          <w:sz w:val="24"/>
        </w:rPr>
        <w:t>份A类基金份额。</w:t>
      </w:r>
    </w:p>
    <w:p>
      <w:pPr>
        <w:adjustRightInd w:val="0"/>
        <w:snapToGrid w:val="0"/>
        <w:spacing w:line="360" w:lineRule="auto"/>
        <w:ind w:firstLine="480" w:firstLineChars="200"/>
        <w:rPr>
          <w:rFonts w:hint="eastAsia"/>
          <w:sz w:val="24"/>
        </w:rPr>
      </w:pPr>
      <w:r>
        <w:rPr>
          <w:rFonts w:hint="eastAsia"/>
          <w:sz w:val="24"/>
        </w:rPr>
        <w:t>例二：某养老金客户通过基金管理人的直销柜台投资本基金A类基金份额1,000,000元，且该认购申请被全额确认，假定募集期产生的利息为50.00元，认购费率为0.32%，则可认购基金份额为：</w:t>
      </w:r>
    </w:p>
    <w:p>
      <w:pPr>
        <w:adjustRightInd w:val="0"/>
        <w:snapToGrid w:val="0"/>
        <w:spacing w:line="360" w:lineRule="auto"/>
        <w:ind w:firstLine="480" w:firstLineChars="200"/>
        <w:rPr>
          <w:rFonts w:hint="eastAsia"/>
          <w:sz w:val="24"/>
        </w:rPr>
      </w:pPr>
      <w:r>
        <w:rPr>
          <w:rFonts w:hint="eastAsia"/>
          <w:sz w:val="24"/>
        </w:rPr>
        <w:t>认购总金额=1,000,000元</w:t>
      </w:r>
    </w:p>
    <w:p>
      <w:pPr>
        <w:adjustRightInd w:val="0"/>
        <w:snapToGrid w:val="0"/>
        <w:spacing w:line="360" w:lineRule="auto"/>
        <w:ind w:firstLine="480" w:firstLineChars="200"/>
        <w:rPr>
          <w:rFonts w:hint="eastAsia"/>
          <w:sz w:val="24"/>
        </w:rPr>
      </w:pPr>
      <w:r>
        <w:rPr>
          <w:rFonts w:hint="eastAsia"/>
          <w:sz w:val="24"/>
        </w:rPr>
        <w:t>净认购金额＝1,000,000/（1＋0.32%）＝996,810.21元</w:t>
      </w:r>
    </w:p>
    <w:p>
      <w:pPr>
        <w:adjustRightInd w:val="0"/>
        <w:snapToGrid w:val="0"/>
        <w:spacing w:line="360" w:lineRule="auto"/>
        <w:ind w:firstLine="480" w:firstLineChars="200"/>
        <w:rPr>
          <w:rFonts w:hint="eastAsia"/>
          <w:sz w:val="24"/>
        </w:rPr>
      </w:pPr>
      <w:r>
        <w:rPr>
          <w:rFonts w:hint="eastAsia"/>
          <w:sz w:val="24"/>
        </w:rPr>
        <w:t>认购费用＝1,000,000-996,810.21＝3,189.79元</w:t>
      </w:r>
    </w:p>
    <w:p>
      <w:pPr>
        <w:adjustRightInd w:val="0"/>
        <w:snapToGrid w:val="0"/>
        <w:spacing w:line="360" w:lineRule="auto"/>
        <w:ind w:firstLine="480" w:firstLineChars="200"/>
        <w:rPr>
          <w:rFonts w:hint="eastAsia"/>
          <w:sz w:val="24"/>
        </w:rPr>
      </w:pPr>
      <w:r>
        <w:rPr>
          <w:rFonts w:hint="eastAsia"/>
          <w:sz w:val="24"/>
        </w:rPr>
        <w:t>认购份额＝996,810.21/1.00＋50.00/1.00＝996,860.21份</w:t>
      </w:r>
    </w:p>
    <w:p>
      <w:pPr>
        <w:adjustRightInd w:val="0"/>
        <w:snapToGrid w:val="0"/>
        <w:spacing w:line="360" w:lineRule="auto"/>
        <w:ind w:firstLine="480" w:firstLineChars="200"/>
        <w:rPr>
          <w:sz w:val="24"/>
        </w:rPr>
      </w:pPr>
      <w:r>
        <w:rPr>
          <w:rFonts w:hint="eastAsia"/>
          <w:sz w:val="24"/>
        </w:rPr>
        <w:t>即：若该养老金客户通过基金管理人的直销柜台投资本基金A类基金份额1,000,000元，假定募集期产生的利息为50.00元，可得到996,860.21份A类基金份额。</w:t>
      </w:r>
      <w:bookmarkStart w:id="108" w:name="_GoBack"/>
      <w:bookmarkEnd w:id="108"/>
    </w:p>
    <w:p>
      <w:pPr>
        <w:adjustRightInd w:val="0"/>
        <w:snapToGrid w:val="0"/>
        <w:spacing w:line="360" w:lineRule="auto"/>
        <w:ind w:firstLine="480" w:firstLineChars="200"/>
        <w:rPr>
          <w:sz w:val="24"/>
        </w:rPr>
      </w:pPr>
      <w:r>
        <w:rPr>
          <w:rFonts w:hint="eastAsia"/>
          <w:sz w:val="24"/>
        </w:rPr>
        <w:t>2） C类基金份额的认购</w:t>
      </w:r>
    </w:p>
    <w:p>
      <w:pPr>
        <w:adjustRightInd w:val="0"/>
        <w:snapToGrid w:val="0"/>
        <w:spacing w:line="360" w:lineRule="auto"/>
        <w:ind w:firstLine="480" w:firstLineChars="200"/>
        <w:rPr>
          <w:sz w:val="24"/>
        </w:rPr>
      </w:pPr>
      <w:r>
        <w:rPr>
          <w:rFonts w:hint="eastAsia"/>
          <w:sz w:val="24"/>
        </w:rPr>
        <w:t>如果投资者选择认购本基金的C类基金份额，则认购份额的计算方式如下：</w:t>
      </w:r>
    </w:p>
    <w:p>
      <w:pPr>
        <w:adjustRightInd w:val="0"/>
        <w:snapToGrid w:val="0"/>
        <w:spacing w:line="360" w:lineRule="auto"/>
        <w:ind w:firstLine="480" w:firstLineChars="200"/>
        <w:rPr>
          <w:sz w:val="24"/>
        </w:rPr>
      </w:pPr>
      <w:r>
        <w:rPr>
          <w:rFonts w:hint="eastAsia"/>
          <w:sz w:val="24"/>
        </w:rPr>
        <w:t>认购总金额 = 申请总金额</w:t>
      </w:r>
    </w:p>
    <w:p>
      <w:pPr>
        <w:adjustRightInd w:val="0"/>
        <w:snapToGrid w:val="0"/>
        <w:spacing w:line="360" w:lineRule="auto"/>
        <w:ind w:firstLine="480" w:firstLineChars="200"/>
        <w:rPr>
          <w:sz w:val="24"/>
        </w:rPr>
      </w:pPr>
      <w:r>
        <w:rPr>
          <w:rFonts w:hint="eastAsia"/>
          <w:sz w:val="24"/>
        </w:rPr>
        <w:t>认购份额 = 认购总金额/基金份额初始面值＋认购利息/基金份额初始面值。</w:t>
      </w:r>
    </w:p>
    <w:p>
      <w:pPr>
        <w:adjustRightInd w:val="0"/>
        <w:snapToGrid w:val="0"/>
        <w:spacing w:line="360" w:lineRule="auto"/>
        <w:ind w:firstLine="480" w:firstLineChars="200"/>
        <w:rPr>
          <w:sz w:val="24"/>
        </w:rPr>
      </w:pPr>
      <w:r>
        <w:rPr>
          <w:rFonts w:hint="eastAsia"/>
          <w:sz w:val="24"/>
        </w:rPr>
        <w:t>认购份额计算结果保留到小数点后2位，小数点后2位以后的部分四舍五入，由此误差产生的收益或损失由基金财产承担。</w:t>
      </w:r>
    </w:p>
    <w:p>
      <w:pPr>
        <w:adjustRightInd w:val="0"/>
        <w:snapToGrid w:val="0"/>
        <w:spacing w:line="360" w:lineRule="auto"/>
        <w:ind w:firstLine="480" w:firstLineChars="200"/>
        <w:rPr>
          <w:sz w:val="24"/>
        </w:rPr>
      </w:pPr>
      <w:r>
        <w:rPr>
          <w:rFonts w:hint="eastAsia"/>
          <w:sz w:val="24"/>
        </w:rPr>
        <w:t>例三：某投资者认购本基金C类基金份额100,000元，且该认购申请被全额确认。假定该笔认购金额产生利息50.00元。则认购份额为：</w:t>
      </w:r>
    </w:p>
    <w:p>
      <w:pPr>
        <w:adjustRightInd w:val="0"/>
        <w:snapToGrid w:val="0"/>
        <w:spacing w:line="360" w:lineRule="auto"/>
        <w:ind w:firstLine="480" w:firstLineChars="200"/>
        <w:rPr>
          <w:sz w:val="24"/>
        </w:rPr>
      </w:pPr>
      <w:r>
        <w:rPr>
          <w:rFonts w:hint="eastAsia"/>
          <w:sz w:val="24"/>
        </w:rPr>
        <w:t>认购总金额=100,000元</w:t>
      </w:r>
    </w:p>
    <w:p>
      <w:pPr>
        <w:adjustRightInd w:val="0"/>
        <w:snapToGrid w:val="0"/>
        <w:spacing w:line="360" w:lineRule="auto"/>
        <w:ind w:firstLine="480" w:firstLineChars="200"/>
        <w:rPr>
          <w:sz w:val="24"/>
        </w:rPr>
      </w:pPr>
      <w:r>
        <w:rPr>
          <w:rFonts w:hint="eastAsia"/>
          <w:sz w:val="24"/>
        </w:rPr>
        <w:t>认购份额＝100,000/1.00＋50.00/1.00＝100,050.00份</w:t>
      </w:r>
    </w:p>
    <w:p>
      <w:pPr>
        <w:adjustRightInd w:val="0"/>
        <w:snapToGrid w:val="0"/>
        <w:spacing w:line="360" w:lineRule="auto"/>
        <w:ind w:firstLine="480" w:firstLineChars="200"/>
        <w:rPr>
          <w:sz w:val="24"/>
        </w:rPr>
      </w:pPr>
      <w:r>
        <w:rPr>
          <w:rFonts w:hint="eastAsia"/>
          <w:sz w:val="24"/>
        </w:rPr>
        <w:t>即：若该投资者选择投资100,000元认购C类基金份额，假定该笔认购金额产生利息50.00元，可得到100,050.00份C类基金份额。</w:t>
      </w:r>
    </w:p>
    <w:p>
      <w:pPr>
        <w:adjustRightInd w:val="0"/>
        <w:snapToGrid w:val="0"/>
        <w:spacing w:line="360" w:lineRule="auto"/>
        <w:ind w:firstLine="480" w:firstLineChars="200"/>
        <w:outlineLvl w:val="2"/>
        <w:rPr>
          <w:sz w:val="24"/>
        </w:rPr>
      </w:pPr>
      <w:r>
        <w:rPr>
          <w:sz w:val="24"/>
        </w:rPr>
        <w:t>4、认购的程序</w:t>
      </w:r>
    </w:p>
    <w:p>
      <w:pPr>
        <w:adjustRightInd w:val="0"/>
        <w:snapToGrid w:val="0"/>
        <w:spacing w:line="360" w:lineRule="auto"/>
        <w:ind w:firstLine="480" w:firstLineChars="200"/>
        <w:rPr>
          <w:sz w:val="24"/>
        </w:rPr>
      </w:pPr>
      <w:r>
        <w:rPr>
          <w:sz w:val="24"/>
        </w:rPr>
        <w:t>（1）申请方式：书面申请或基金管理人公告的其他方式。</w:t>
      </w:r>
    </w:p>
    <w:p>
      <w:pPr>
        <w:adjustRightInd w:val="0"/>
        <w:snapToGrid w:val="0"/>
        <w:spacing w:line="360" w:lineRule="auto"/>
        <w:ind w:firstLine="480" w:firstLineChars="200"/>
        <w:rPr>
          <w:sz w:val="24"/>
        </w:rPr>
      </w:pPr>
      <w:r>
        <w:rPr>
          <w:sz w:val="24"/>
        </w:rPr>
        <w:t>（2）认购款项支付：投资人认购时，采用全额缴款方式。</w:t>
      </w:r>
    </w:p>
    <w:p>
      <w:pPr>
        <w:widowControl/>
        <w:adjustRightInd w:val="0"/>
        <w:snapToGrid w:val="0"/>
        <w:spacing w:line="360" w:lineRule="auto"/>
        <w:ind w:firstLine="480" w:firstLineChars="200"/>
        <w:outlineLvl w:val="2"/>
        <w:rPr>
          <w:sz w:val="24"/>
          <w:szCs w:val="21"/>
        </w:rPr>
      </w:pPr>
      <w:r>
        <w:rPr>
          <w:sz w:val="24"/>
          <w:szCs w:val="21"/>
        </w:rPr>
        <w:t>5、认购的确认</w:t>
      </w:r>
    </w:p>
    <w:p>
      <w:pPr>
        <w:widowControl/>
        <w:adjustRightInd w:val="0"/>
        <w:snapToGrid w:val="0"/>
        <w:spacing w:line="360" w:lineRule="auto"/>
        <w:ind w:firstLine="480" w:firstLineChars="200"/>
        <w:rPr>
          <w:sz w:val="24"/>
          <w:szCs w:val="21"/>
        </w:rPr>
      </w:pPr>
      <w:r>
        <w:rPr>
          <w:sz w:val="24"/>
          <w:szCs w:val="21"/>
        </w:rPr>
        <w:t>当日（T日）在规定时间内提交的申请，投资人通常可在T+2日后（包括该日）到</w:t>
      </w:r>
      <w:r>
        <w:rPr>
          <w:rFonts w:hint="eastAsia"/>
          <w:sz w:val="24"/>
          <w:szCs w:val="21"/>
        </w:rPr>
        <w:t>销售</w:t>
      </w:r>
      <w:r>
        <w:rPr>
          <w:sz w:val="24"/>
          <w:szCs w:val="21"/>
        </w:rPr>
        <w:t>网点查询交易情况。基金销售机构对申请的受理并不表示对该申请的成功确认，而仅代表销售机构确实接收到认购申请。申请的成功确认应以基金合同生效后、登记机构的确认登记为准。</w:t>
      </w:r>
      <w:r>
        <w:rPr>
          <w:rFonts w:hAnsi="宋体"/>
          <w:sz w:val="24"/>
        </w:rPr>
        <w:t>对于认购申请及认购份额的确认情况，投资人应及时查询。</w:t>
      </w:r>
      <w:r>
        <w:rPr>
          <w:sz w:val="24"/>
          <w:szCs w:val="21"/>
        </w:rPr>
        <w:t>投资人可以在基金合同生效后到原认购网点打印认购成交确认凭证。</w:t>
      </w:r>
    </w:p>
    <w:p>
      <w:pPr>
        <w:widowControl/>
        <w:adjustRightInd w:val="0"/>
        <w:snapToGrid w:val="0"/>
        <w:spacing w:line="360" w:lineRule="auto"/>
        <w:ind w:firstLine="480" w:firstLineChars="200"/>
        <w:rPr>
          <w:sz w:val="24"/>
          <w:szCs w:val="21"/>
        </w:rPr>
      </w:pPr>
      <w:r>
        <w:rPr>
          <w:sz w:val="24"/>
          <w:szCs w:val="21"/>
        </w:rPr>
        <w:t>投资人开户和认购所需提交的文件和办理的具体程序，请参阅基金份额发售公告。</w:t>
      </w:r>
    </w:p>
    <w:p>
      <w:pPr>
        <w:widowControl/>
        <w:adjustRightInd w:val="0"/>
        <w:snapToGrid w:val="0"/>
        <w:spacing w:line="360" w:lineRule="auto"/>
        <w:ind w:firstLine="480" w:firstLineChars="200"/>
        <w:outlineLvl w:val="2"/>
        <w:rPr>
          <w:sz w:val="24"/>
          <w:szCs w:val="21"/>
        </w:rPr>
      </w:pPr>
      <w:r>
        <w:rPr>
          <w:sz w:val="24"/>
          <w:szCs w:val="21"/>
        </w:rPr>
        <w:t>6、募集期利息的处理方式</w:t>
      </w:r>
    </w:p>
    <w:p>
      <w:pPr>
        <w:widowControl/>
        <w:adjustRightInd w:val="0"/>
        <w:snapToGrid w:val="0"/>
        <w:spacing w:line="360" w:lineRule="auto"/>
        <w:ind w:firstLine="480" w:firstLineChars="200"/>
        <w:rPr>
          <w:sz w:val="24"/>
          <w:szCs w:val="21"/>
        </w:rPr>
      </w:pPr>
      <w:r>
        <w:rPr>
          <w:sz w:val="24"/>
          <w:szCs w:val="21"/>
        </w:rPr>
        <w:t>本基金基金合同生效前，投资人的有效认购款项只能存入专门账户，任何人不得动用。有效认购款项在募集期间产生的利息将折算为基金份额归基金份额持有人所有。</w:t>
      </w:r>
    </w:p>
    <w:p>
      <w:pPr>
        <w:adjustRightInd w:val="0"/>
        <w:snapToGrid w:val="0"/>
        <w:spacing w:line="360" w:lineRule="auto"/>
        <w:ind w:firstLine="480" w:firstLineChars="20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5" w:name="_Hlt91264078"/>
      <w:bookmarkEnd w:id="15"/>
      <w:bookmarkStart w:id="16" w:name="_Hlt90455312"/>
      <w:bookmarkEnd w:id="16"/>
      <w:bookmarkStart w:id="17" w:name="_Hlt91264042"/>
      <w:bookmarkEnd w:id="17"/>
      <w:bookmarkStart w:id="18" w:name="_Hlt90801570"/>
      <w:bookmarkEnd w:id="18"/>
      <w:bookmarkStart w:id="19" w:name="_Hlt91148053"/>
      <w:bookmarkEnd w:id="19"/>
      <w:bookmarkStart w:id="20" w:name="_Toc109537384"/>
      <w:r>
        <w:rPr>
          <w:sz w:val="24"/>
          <w:szCs w:val="21"/>
        </w:rPr>
        <w:t>。</w:t>
      </w:r>
      <w:bookmarkEnd w:id="14"/>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1" w:name="_Toc48122008"/>
      <w:r>
        <w:rPr>
          <w:rFonts w:hint="eastAsia" w:ascii="宋体" w:hAnsi="宋体"/>
          <w:b/>
          <w:kern w:val="0"/>
          <w:sz w:val="30"/>
        </w:rPr>
        <w:t>七、基金合同的生效</w:t>
      </w:r>
      <w:bookmarkEnd w:id="21"/>
    </w:p>
    <w:bookmarkEnd w:id="20"/>
    <w:p>
      <w:pPr>
        <w:pStyle w:val="4"/>
        <w:autoSpaceDE w:val="0"/>
        <w:autoSpaceDN w:val="0"/>
        <w:adjustRightInd w:val="0"/>
        <w:snapToGrid w:val="0"/>
        <w:spacing w:line="360" w:lineRule="auto"/>
        <w:ind w:firstLine="482"/>
        <w:outlineLvl w:val="1"/>
        <w:rPr>
          <w:b/>
          <w:sz w:val="24"/>
        </w:rPr>
      </w:pPr>
      <w:bookmarkStart w:id="22" w:name="_Hlt88901074"/>
      <w:bookmarkEnd w:id="22"/>
      <w:bookmarkStart w:id="23" w:name="_Toc57530272"/>
      <w:bookmarkStart w:id="24" w:name="_Toc15118260"/>
      <w:bookmarkStart w:id="25" w:name="_Toc79392603"/>
      <w:bookmarkStart w:id="26" w:name="_Toc109537386"/>
      <w:r>
        <w:rPr>
          <w:rFonts w:hAnsi="宋体"/>
          <w:b/>
          <w:sz w:val="24"/>
        </w:rPr>
        <w:t>（一）基金备案的条件</w:t>
      </w:r>
    </w:p>
    <w:p>
      <w:pPr>
        <w:pStyle w:val="4"/>
        <w:autoSpaceDE w:val="0"/>
        <w:autoSpaceDN w:val="0"/>
        <w:adjustRightInd w:val="0"/>
        <w:snapToGrid w:val="0"/>
        <w:spacing w:line="360" w:lineRule="auto"/>
        <w:ind w:firstLine="480"/>
        <w:rPr>
          <w:rFonts w:hAnsi="宋体"/>
          <w:sz w:val="24"/>
        </w:rPr>
      </w:pPr>
      <w:r>
        <w:rPr>
          <w:rFonts w:hint="eastAsia" w:hAnsi="宋体"/>
          <w:sz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pPr>
        <w:adjustRightInd w:val="0"/>
        <w:snapToGrid w:val="0"/>
        <w:spacing w:line="360" w:lineRule="auto"/>
        <w:ind w:firstLine="480" w:firstLineChars="200"/>
        <w:rPr>
          <w:rFonts w:hAnsi="宋体"/>
          <w:sz w:val="24"/>
        </w:rPr>
      </w:pPr>
      <w:r>
        <w:rPr>
          <w:rFonts w:hint="eastAsia" w:hAnsi="宋体"/>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adjustRightInd w:val="0"/>
        <w:snapToGrid w:val="0"/>
        <w:spacing w:line="360" w:lineRule="auto"/>
        <w:ind w:firstLine="482" w:firstLineChars="200"/>
        <w:outlineLvl w:val="1"/>
        <w:rPr>
          <w:bCs/>
          <w:sz w:val="24"/>
        </w:rPr>
      </w:pPr>
      <w:r>
        <w:rPr>
          <w:rFonts w:hAnsi="宋体"/>
          <w:b/>
          <w:sz w:val="24"/>
        </w:rPr>
        <w:t>（二）</w:t>
      </w:r>
      <w:r>
        <w:rPr>
          <w:b/>
          <w:bCs/>
          <w:sz w:val="24"/>
        </w:rPr>
        <w:t>基金合同不能生效时募集资金的处理方式</w:t>
      </w:r>
    </w:p>
    <w:p>
      <w:pPr>
        <w:adjustRightInd w:val="0"/>
        <w:snapToGrid w:val="0"/>
        <w:spacing w:line="360" w:lineRule="auto"/>
        <w:ind w:firstLine="480" w:firstLineChars="200"/>
        <w:rPr>
          <w:rFonts w:hAnsi="宋体"/>
          <w:sz w:val="24"/>
        </w:rPr>
      </w:pPr>
      <w:r>
        <w:rPr>
          <w:rFonts w:hint="eastAsia" w:hAnsi="宋体"/>
          <w:sz w:val="24"/>
        </w:rPr>
        <w:t>如果募集期限届满，未满足基金备案条件，基金管理人应当承担下列责任：</w:t>
      </w:r>
    </w:p>
    <w:p>
      <w:pPr>
        <w:adjustRightInd w:val="0"/>
        <w:snapToGrid w:val="0"/>
        <w:spacing w:line="360" w:lineRule="auto"/>
        <w:ind w:firstLine="480" w:firstLineChars="200"/>
        <w:rPr>
          <w:rFonts w:hAnsi="宋体"/>
          <w:sz w:val="24"/>
        </w:rPr>
      </w:pPr>
      <w:r>
        <w:rPr>
          <w:rFonts w:hint="eastAsia" w:hAnsi="宋体"/>
          <w:sz w:val="24"/>
        </w:rPr>
        <w:t>1、以其固有财产承担因募集行为而产生的债务和费用；</w:t>
      </w:r>
    </w:p>
    <w:p>
      <w:pPr>
        <w:adjustRightInd w:val="0"/>
        <w:snapToGrid w:val="0"/>
        <w:spacing w:line="360" w:lineRule="auto"/>
        <w:ind w:firstLine="480" w:firstLineChars="200"/>
        <w:rPr>
          <w:rFonts w:hAnsi="宋体"/>
          <w:sz w:val="24"/>
        </w:rPr>
      </w:pPr>
      <w:r>
        <w:rPr>
          <w:rFonts w:hint="eastAsia" w:hAnsi="宋体"/>
          <w:sz w:val="24"/>
        </w:rPr>
        <w:t>2、在基金募集期限届满后30日内返还投资者已缴纳的款项，并加计银行同期活期存款利息；</w:t>
      </w:r>
    </w:p>
    <w:p>
      <w:pPr>
        <w:adjustRightInd w:val="0"/>
        <w:snapToGrid w:val="0"/>
        <w:spacing w:line="360" w:lineRule="auto"/>
        <w:ind w:firstLine="480" w:firstLineChars="200"/>
        <w:rPr>
          <w:rFonts w:hAnsi="宋体"/>
          <w:sz w:val="24"/>
        </w:rPr>
      </w:pPr>
      <w:r>
        <w:rPr>
          <w:rFonts w:hint="eastAsia" w:hAnsi="宋体"/>
          <w:sz w:val="24"/>
        </w:rPr>
        <w:t>3、如基金募集失败，基金管理人、基金托管人及销售机构不得请求报酬。基金管理人、基金托管人和销售机构为基金募集支付之一切费用应由各方各自承担。</w:t>
      </w:r>
    </w:p>
    <w:p>
      <w:pPr>
        <w:adjustRightInd w:val="0"/>
        <w:snapToGrid w:val="0"/>
        <w:spacing w:line="360" w:lineRule="auto"/>
        <w:ind w:firstLine="482" w:firstLineChars="200"/>
        <w:outlineLvl w:val="1"/>
        <w:rPr>
          <w:b/>
          <w:sz w:val="24"/>
        </w:rPr>
      </w:pPr>
      <w:r>
        <w:rPr>
          <w:rFonts w:hAnsi="宋体"/>
          <w:b/>
          <w:sz w:val="24"/>
        </w:rPr>
        <w:t>（三）基金存续期内的基金份额持有人数量和资产规模</w:t>
      </w:r>
    </w:p>
    <w:bookmarkEnd w:id="23"/>
    <w:bookmarkEnd w:id="24"/>
    <w:bookmarkEnd w:id="25"/>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pPr>
        <w:widowControl/>
        <w:adjustRightInd w:val="0"/>
        <w:snapToGrid w:val="0"/>
        <w:spacing w:line="360" w:lineRule="auto"/>
        <w:ind w:firstLine="482"/>
      </w:pPr>
      <w:r>
        <w:rPr>
          <w:rFonts w:hint="eastAsia" w:ascii="宋体" w:hAnsi="宋体"/>
          <w:kern w:val="0"/>
          <w:sz w:val="24"/>
          <w:szCs w:val="24"/>
        </w:rPr>
        <w:t>法律法规或中国证监会另有规定时，从其规定。</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7" w:name="_Toc48122009"/>
      <w:r>
        <w:rPr>
          <w:rFonts w:hint="eastAsia" w:ascii="宋体" w:hAnsi="宋体"/>
          <w:b/>
          <w:kern w:val="0"/>
          <w:sz w:val="30"/>
        </w:rPr>
        <w:t>八、基金份额的申购与赎回</w:t>
      </w:r>
      <w:bookmarkEnd w:id="26"/>
      <w:bookmarkEnd w:id="27"/>
    </w:p>
    <w:p>
      <w:pPr>
        <w:widowControl/>
        <w:adjustRightInd w:val="0"/>
        <w:snapToGrid w:val="0"/>
        <w:spacing w:line="360" w:lineRule="auto"/>
        <w:ind w:firstLine="482" w:firstLineChars="200"/>
        <w:outlineLvl w:val="1"/>
        <w:rPr>
          <w:b/>
          <w:kern w:val="0"/>
          <w:sz w:val="24"/>
          <w:szCs w:val="24"/>
        </w:rPr>
      </w:pPr>
      <w:bookmarkStart w:id="28" w:name="_Hlk49342362"/>
      <w:r>
        <w:rPr>
          <w:rFonts w:hAnsi="宋体"/>
          <w:b/>
          <w:kern w:val="0"/>
          <w:sz w:val="24"/>
          <w:szCs w:val="24"/>
        </w:rPr>
        <w:t>（一）申购和赎回的场所</w:t>
      </w:r>
    </w:p>
    <w:p>
      <w:pPr>
        <w:pStyle w:val="4"/>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pPr>
        <w:pStyle w:val="4"/>
        <w:autoSpaceDE w:val="0"/>
        <w:autoSpaceDN w:val="0"/>
        <w:adjustRightInd w:val="0"/>
        <w:snapToGrid w:val="0"/>
        <w:spacing w:line="360" w:lineRule="auto"/>
        <w:ind w:firstLine="480"/>
        <w:outlineLvl w:val="2"/>
        <w:rPr>
          <w:sz w:val="24"/>
          <w:szCs w:val="24"/>
        </w:rPr>
      </w:pPr>
      <w:r>
        <w:rPr>
          <w:sz w:val="24"/>
          <w:szCs w:val="24"/>
        </w:rPr>
        <w:t>1</w:t>
      </w:r>
      <w:r>
        <w:rPr>
          <w:rFonts w:hAnsi="宋体"/>
          <w:sz w:val="24"/>
          <w:szCs w:val="24"/>
        </w:rPr>
        <w:t>、本基金管理人的直销机构</w:t>
      </w:r>
    </w:p>
    <w:p>
      <w:pPr>
        <w:widowControl/>
        <w:adjustRightInd w:val="0"/>
        <w:snapToGrid w:val="0"/>
        <w:spacing w:line="360" w:lineRule="auto"/>
        <w:ind w:firstLine="480" w:firstLineChars="200"/>
        <w:rPr>
          <w:kern w:val="0"/>
          <w:sz w:val="24"/>
          <w:szCs w:val="24"/>
        </w:rPr>
      </w:pPr>
      <w:r>
        <w:rPr>
          <w:rFonts w:hAnsi="宋体"/>
          <w:kern w:val="0"/>
          <w:sz w:val="24"/>
          <w:szCs w:val="24"/>
        </w:rPr>
        <w:t>本基金直销机构为</w:t>
      </w:r>
      <w:r>
        <w:rPr>
          <w:rFonts w:hint="eastAsia" w:hAnsi="宋体"/>
          <w:sz w:val="24"/>
          <w:szCs w:val="24"/>
        </w:rPr>
        <w:t>基金管理人直销柜台以及基金管理人</w:t>
      </w:r>
      <w:r>
        <w:rPr>
          <w:rFonts w:hAnsi="宋体"/>
          <w:kern w:val="0"/>
          <w:sz w:val="24"/>
          <w:szCs w:val="24"/>
        </w:rPr>
        <w:t>的网上直销交易平台。</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名称：交银施罗德基金管理有限公司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住所：中国（上海）自由贸易试验区银城中路188号交通银行大楼二层（裙）</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办公地址：上海市浦东新区世纪大道8号国金中心二期21-22楼</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电话：（021）6105</w:t>
      </w:r>
      <w:r>
        <w:rPr>
          <w:rStyle w:val="31"/>
          <w:color w:val="auto"/>
          <w:sz w:val="24"/>
          <w:szCs w:val="24"/>
          <w:u w:val="none"/>
        </w:rPr>
        <w:t>5724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传真：（021）61055054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联系人：傅</w:t>
      </w:r>
      <w:r>
        <w:rPr>
          <w:rStyle w:val="31"/>
          <w:color w:val="auto"/>
          <w:sz w:val="24"/>
          <w:szCs w:val="24"/>
          <w:u w:val="none"/>
        </w:rPr>
        <w:t>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客户服务电话：400-700-5000（免长途话费），（021）61055000</w:t>
      </w:r>
    </w:p>
    <w:p>
      <w:pPr>
        <w:pStyle w:val="4"/>
        <w:autoSpaceDE w:val="0"/>
        <w:autoSpaceDN w:val="0"/>
        <w:adjustRightInd w:val="0"/>
        <w:snapToGrid w:val="0"/>
        <w:spacing w:line="360" w:lineRule="auto"/>
        <w:ind w:firstLine="480"/>
        <w:rPr>
          <w:sz w:val="24"/>
          <w:szCs w:val="24"/>
        </w:rPr>
      </w:pPr>
      <w:r>
        <w:rPr>
          <w:rStyle w:val="31"/>
          <w:rFonts w:hint="eastAsia"/>
          <w:color w:val="auto"/>
          <w:sz w:val="24"/>
          <w:szCs w:val="24"/>
          <w:u w:val="none"/>
        </w:rPr>
        <w:t>网址：www.fund001.com</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个人投资者可以通过</w:t>
      </w:r>
      <w:r>
        <w:rPr>
          <w:rFonts w:hint="eastAsia" w:hAnsi="宋体"/>
          <w:sz w:val="24"/>
          <w:szCs w:val="24"/>
        </w:rPr>
        <w:t>基金管理人</w:t>
      </w:r>
      <w:r>
        <w:rPr>
          <w:rFonts w:hAnsi="宋体"/>
          <w:kern w:val="0"/>
          <w:sz w:val="24"/>
          <w:szCs w:val="24"/>
        </w:rPr>
        <w:t>网上直销交易平台办理开户、本基金的申购、赎回等业务，具体交易细则请参阅</w:t>
      </w:r>
      <w:r>
        <w:rPr>
          <w:rFonts w:hint="eastAsia" w:hAnsi="宋体"/>
          <w:sz w:val="24"/>
          <w:szCs w:val="24"/>
        </w:rPr>
        <w:t>基金管理人</w:t>
      </w:r>
      <w:r>
        <w:rPr>
          <w:rFonts w:hAnsi="宋体"/>
          <w:kern w:val="0"/>
          <w:sz w:val="24"/>
          <w:szCs w:val="24"/>
        </w:rPr>
        <w:t>网站。</w:t>
      </w:r>
    </w:p>
    <w:p>
      <w:pPr>
        <w:pStyle w:val="4"/>
        <w:autoSpaceDE w:val="0"/>
        <w:autoSpaceDN w:val="0"/>
        <w:adjustRightInd w:val="0"/>
        <w:snapToGrid w:val="0"/>
        <w:spacing w:line="360" w:lineRule="auto"/>
        <w:ind w:firstLine="480"/>
      </w:pPr>
      <w:r>
        <w:rPr>
          <w:rFonts w:hAnsi="宋体"/>
          <w:kern w:val="0"/>
          <w:sz w:val="24"/>
          <w:szCs w:val="24"/>
        </w:rPr>
        <w:t>网上直销交易平台网址：</w:t>
      </w:r>
      <w:r>
        <w:rPr>
          <w:rStyle w:val="31"/>
          <w:color w:val="auto"/>
          <w:sz w:val="24"/>
          <w:szCs w:val="24"/>
          <w:u w:val="none"/>
        </w:rPr>
        <w:t>www.fund001.com</w:t>
      </w:r>
    </w:p>
    <w:p>
      <w:pPr>
        <w:pStyle w:val="4"/>
        <w:autoSpaceDE w:val="0"/>
        <w:autoSpaceDN w:val="0"/>
        <w:adjustRightInd w:val="0"/>
        <w:snapToGrid w:val="0"/>
        <w:spacing w:line="360" w:lineRule="auto"/>
        <w:ind w:firstLine="480"/>
        <w:outlineLvl w:val="2"/>
        <w:rPr>
          <w:kern w:val="0"/>
          <w:sz w:val="24"/>
          <w:szCs w:val="24"/>
        </w:rPr>
      </w:pPr>
      <w:r>
        <w:rPr>
          <w:kern w:val="0"/>
          <w:sz w:val="24"/>
        </w:rPr>
        <w:t>2、</w:t>
      </w:r>
      <w:r>
        <w:rPr>
          <w:rFonts w:hint="eastAsia"/>
          <w:kern w:val="0"/>
          <w:sz w:val="24"/>
        </w:rPr>
        <w:t>除基金管理人之外的其他销售</w:t>
      </w:r>
      <w:r>
        <w:rPr>
          <w:kern w:val="0"/>
          <w:sz w:val="24"/>
          <w:szCs w:val="24"/>
        </w:rPr>
        <w:t>机构</w:t>
      </w:r>
    </w:p>
    <w:p>
      <w:pPr>
        <w:adjustRightInd w:val="0"/>
        <w:snapToGrid w:val="0"/>
        <w:spacing w:line="360" w:lineRule="auto"/>
        <w:ind w:firstLine="480" w:firstLineChars="20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lang w:eastAsia="zh-Hans"/>
        </w:rPr>
        <w:t>基金管理人</w:t>
      </w:r>
      <w:r>
        <w:rPr>
          <w:kern w:val="0"/>
          <w:sz w:val="24"/>
          <w:szCs w:val="24"/>
        </w:rPr>
        <w:t>客户服务电话进行咨询。</w:t>
      </w:r>
    </w:p>
    <w:p>
      <w:pPr>
        <w:adjustRightInd w:val="0"/>
        <w:snapToGrid w:val="0"/>
        <w:spacing w:line="360" w:lineRule="auto"/>
        <w:ind w:firstLine="480" w:firstLineChars="20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pPr>
        <w:adjustRightInd w:val="0"/>
        <w:snapToGrid w:val="0"/>
        <w:spacing w:line="360" w:lineRule="auto"/>
        <w:ind w:firstLine="480" w:firstLineChars="20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pPr>
        <w:adjustRightInd w:val="0"/>
        <w:snapToGrid w:val="0"/>
        <w:spacing w:line="360" w:lineRule="auto"/>
        <w:ind w:firstLine="482" w:firstLineChars="200"/>
        <w:outlineLvl w:val="1"/>
        <w:rPr>
          <w:sz w:val="24"/>
          <w:szCs w:val="24"/>
        </w:rPr>
      </w:pPr>
      <w:r>
        <w:rPr>
          <w:rFonts w:hAnsi="宋体"/>
          <w:b/>
          <w:kern w:val="0"/>
          <w:sz w:val="24"/>
          <w:szCs w:val="24"/>
        </w:rPr>
        <w:t>（二）申购和赎回的开放日及时间</w:t>
      </w:r>
    </w:p>
    <w:p>
      <w:pPr>
        <w:adjustRightInd w:val="0"/>
        <w:snapToGrid w:val="0"/>
        <w:spacing w:line="360" w:lineRule="auto"/>
        <w:ind w:firstLine="480" w:firstLineChars="200"/>
        <w:outlineLvl w:val="2"/>
        <w:rPr>
          <w:bCs/>
          <w:sz w:val="24"/>
          <w:szCs w:val="24"/>
        </w:rPr>
      </w:pPr>
      <w:r>
        <w:rPr>
          <w:bCs/>
          <w:sz w:val="24"/>
          <w:szCs w:val="24"/>
        </w:rPr>
        <w:t>1、开放日及开放时间</w:t>
      </w:r>
    </w:p>
    <w:p>
      <w:pPr>
        <w:adjustRightInd w:val="0"/>
        <w:snapToGrid w:val="0"/>
        <w:spacing w:line="360" w:lineRule="auto"/>
        <w:ind w:firstLine="480" w:firstLineChars="200"/>
        <w:rPr>
          <w:sz w:val="24"/>
          <w:szCs w:val="24"/>
        </w:rPr>
      </w:pPr>
      <w:r>
        <w:rPr>
          <w:rFonts w:hint="eastAsia"/>
          <w:sz w:val="24"/>
          <w:szCs w:val="24"/>
        </w:rPr>
        <w:t>投资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p>
    <w:p>
      <w:pPr>
        <w:adjustRightInd w:val="0"/>
        <w:snapToGrid w:val="0"/>
        <w:spacing w:line="360" w:lineRule="auto"/>
        <w:ind w:firstLine="480" w:firstLineChars="200"/>
        <w:rPr>
          <w:bCs/>
          <w:sz w:val="24"/>
          <w:szCs w:val="24"/>
        </w:rPr>
      </w:pPr>
      <w:r>
        <w:rPr>
          <w:rFonts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adjustRightInd w:val="0"/>
        <w:snapToGrid w:val="0"/>
        <w:spacing w:line="360" w:lineRule="auto"/>
        <w:ind w:firstLine="480" w:firstLineChars="200"/>
        <w:outlineLvl w:val="2"/>
        <w:rPr>
          <w:bCs/>
          <w:sz w:val="24"/>
          <w:szCs w:val="24"/>
        </w:rPr>
      </w:pPr>
      <w:r>
        <w:rPr>
          <w:bCs/>
          <w:sz w:val="24"/>
          <w:szCs w:val="24"/>
        </w:rPr>
        <w:t>2、申购、赎回开始日及业务办理时间</w:t>
      </w:r>
    </w:p>
    <w:p>
      <w:pPr>
        <w:adjustRightInd w:val="0"/>
        <w:snapToGrid w:val="0"/>
        <w:spacing w:line="360" w:lineRule="auto"/>
        <w:ind w:firstLine="480" w:firstLineChars="200"/>
        <w:rPr>
          <w:sz w:val="24"/>
          <w:szCs w:val="24"/>
        </w:rPr>
      </w:pPr>
      <w:r>
        <w:rPr>
          <w:rFonts w:hint="eastAsia"/>
          <w:sz w:val="24"/>
          <w:szCs w:val="24"/>
        </w:rPr>
        <w:t>基金管理人可根据实际情况依法决定本基金开始办理申购的具体日期，具体业务办理时间在申购开始公告中规定。</w:t>
      </w:r>
    </w:p>
    <w:p>
      <w:pPr>
        <w:adjustRightInd w:val="0"/>
        <w:snapToGrid w:val="0"/>
        <w:spacing w:line="360" w:lineRule="auto"/>
        <w:ind w:firstLine="480" w:firstLineChars="200"/>
        <w:rPr>
          <w:sz w:val="24"/>
          <w:szCs w:val="24"/>
        </w:rPr>
      </w:pPr>
      <w:r>
        <w:rPr>
          <w:rFonts w:hint="eastAsia"/>
          <w:sz w:val="24"/>
          <w:szCs w:val="24"/>
        </w:rPr>
        <w:t>基金管理人自基金合同生效之日起不超过3个月开始办理赎回，具体业务办理时间在赎回开始公告中规定。</w:t>
      </w:r>
    </w:p>
    <w:p>
      <w:pPr>
        <w:adjustRightInd w:val="0"/>
        <w:snapToGrid w:val="0"/>
        <w:spacing w:line="360" w:lineRule="auto"/>
        <w:ind w:firstLine="480" w:firstLineChars="20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pPr>
        <w:adjustRightInd w:val="0"/>
        <w:snapToGrid w:val="0"/>
        <w:spacing w:line="360" w:lineRule="auto"/>
        <w:ind w:firstLine="480" w:firstLineChars="20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pPr>
        <w:adjustRightInd w:val="0"/>
        <w:snapToGrid w:val="0"/>
        <w:spacing w:line="360" w:lineRule="auto"/>
        <w:ind w:firstLine="482" w:firstLineChars="200"/>
        <w:outlineLvl w:val="1"/>
        <w:rPr>
          <w:sz w:val="24"/>
          <w:szCs w:val="24"/>
        </w:rPr>
      </w:pPr>
      <w:r>
        <w:rPr>
          <w:rFonts w:hAnsi="宋体"/>
          <w:b/>
          <w:kern w:val="0"/>
          <w:sz w:val="24"/>
          <w:szCs w:val="24"/>
        </w:rPr>
        <w:t>（三）申购</w:t>
      </w:r>
      <w:r>
        <w:rPr>
          <w:rFonts w:hint="eastAsia" w:hAnsi="宋体"/>
          <w:b/>
          <w:kern w:val="0"/>
          <w:sz w:val="24"/>
          <w:szCs w:val="24"/>
        </w:rPr>
        <w:t>与</w:t>
      </w:r>
      <w:r>
        <w:rPr>
          <w:rFonts w:hAnsi="宋体"/>
          <w:b/>
          <w:kern w:val="0"/>
          <w:sz w:val="24"/>
          <w:szCs w:val="24"/>
        </w:rPr>
        <w:t>赎回的原则</w:t>
      </w:r>
    </w:p>
    <w:p>
      <w:pPr>
        <w:adjustRightInd w:val="0"/>
        <w:snapToGrid w:val="0"/>
        <w:spacing w:line="360" w:lineRule="auto"/>
        <w:ind w:firstLine="480" w:firstLineChars="200"/>
        <w:rPr>
          <w:sz w:val="24"/>
          <w:szCs w:val="24"/>
        </w:rPr>
      </w:pPr>
      <w:r>
        <w:rPr>
          <w:rFonts w:hint="eastAsia"/>
          <w:sz w:val="24"/>
          <w:szCs w:val="24"/>
        </w:rPr>
        <w:t>1、“未知价”原则，即申购、赎回价格以申请当日收市后计算的基金份额净值为基准进行计算；</w:t>
      </w:r>
    </w:p>
    <w:p>
      <w:pPr>
        <w:adjustRightInd w:val="0"/>
        <w:snapToGrid w:val="0"/>
        <w:spacing w:line="360" w:lineRule="auto"/>
        <w:ind w:firstLine="480" w:firstLineChars="200"/>
        <w:rPr>
          <w:sz w:val="24"/>
          <w:szCs w:val="24"/>
        </w:rPr>
      </w:pPr>
      <w:r>
        <w:rPr>
          <w:rFonts w:hint="eastAsia"/>
          <w:sz w:val="24"/>
          <w:szCs w:val="24"/>
        </w:rPr>
        <w:t>2、“金额申购、份额赎回”原则，即申购以金额申请，赎回以份额申请；</w:t>
      </w:r>
    </w:p>
    <w:p>
      <w:pPr>
        <w:adjustRightInd w:val="0"/>
        <w:snapToGrid w:val="0"/>
        <w:spacing w:line="360" w:lineRule="auto"/>
        <w:ind w:firstLine="480" w:firstLineChars="200"/>
        <w:rPr>
          <w:sz w:val="24"/>
          <w:szCs w:val="24"/>
        </w:rPr>
      </w:pPr>
      <w:r>
        <w:rPr>
          <w:rFonts w:hint="eastAsia"/>
          <w:sz w:val="24"/>
          <w:szCs w:val="24"/>
        </w:rPr>
        <w:t>3、当日的申购与赎回申请可以在基金管理人规定的时间以内撤销，但申请经登记机构受理的不得撤销；</w:t>
      </w:r>
    </w:p>
    <w:p>
      <w:pPr>
        <w:adjustRightInd w:val="0"/>
        <w:snapToGrid w:val="0"/>
        <w:spacing w:line="360" w:lineRule="auto"/>
        <w:ind w:firstLine="480" w:firstLineChars="200"/>
        <w:rPr>
          <w:sz w:val="24"/>
          <w:szCs w:val="24"/>
        </w:rPr>
      </w:pPr>
      <w:r>
        <w:rPr>
          <w:rFonts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djustRightInd w:val="0"/>
        <w:snapToGrid w:val="0"/>
        <w:spacing w:line="360" w:lineRule="auto"/>
        <w:ind w:firstLine="480" w:firstLineChars="200"/>
        <w:rPr>
          <w:sz w:val="24"/>
          <w:szCs w:val="24"/>
        </w:rPr>
      </w:pPr>
      <w:r>
        <w:rPr>
          <w:rFonts w:hint="eastAsia"/>
          <w:sz w:val="24"/>
          <w:szCs w:val="24"/>
        </w:rPr>
        <w:t>5、办理申购、赎回业务时，应当遵循基金份额持有人利益优先原则，确保投资者的合法权益不受损害并得到公平对待。</w:t>
      </w:r>
    </w:p>
    <w:p>
      <w:pPr>
        <w:adjustRightInd w:val="0"/>
        <w:snapToGrid w:val="0"/>
        <w:spacing w:line="360" w:lineRule="auto"/>
        <w:ind w:firstLine="480" w:firstLineChars="20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（四）申购和赎回的数额限定</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、申购金额的限制</w:t>
      </w:r>
    </w:p>
    <w:p>
      <w:pPr>
        <w:widowControl/>
        <w:adjustRightInd w:val="0"/>
        <w:snapToGrid w:val="0"/>
        <w:spacing w:line="360" w:lineRule="auto"/>
        <w:ind w:firstLine="480" w:firstLineChars="200"/>
        <w:rPr>
          <w:rFonts w:ascii="宋体" w:hAnsi="宋体"/>
          <w:kern w:val="0"/>
          <w:sz w:val="24"/>
        </w:rPr>
      </w:pPr>
      <w:r>
        <w:rPr>
          <w:kern w:val="0"/>
          <w:sz w:val="24"/>
          <w:szCs w:val="24"/>
        </w:rPr>
        <w:t>直销机构首次申购的最低金额为单笔</w:t>
      </w:r>
      <w:r>
        <w:rPr>
          <w:rFonts w:hint="eastAsia"/>
          <w:kern w:val="0"/>
          <w:sz w:val="24"/>
          <w:szCs w:val="24"/>
        </w:rPr>
        <w:t>100万元</w:t>
      </w:r>
      <w:r>
        <w:rPr>
          <w:kern w:val="0"/>
          <w:sz w:val="24"/>
          <w:szCs w:val="24"/>
        </w:rPr>
        <w:t>，追加申购的最低金额为单笔</w:t>
      </w:r>
      <w:r>
        <w:rPr>
          <w:rFonts w:hint="eastAsia"/>
          <w:kern w:val="0"/>
          <w:sz w:val="24"/>
          <w:szCs w:val="24"/>
        </w:rPr>
        <w:t>10万元</w:t>
      </w:r>
      <w:r>
        <w:rPr>
          <w:kern w:val="0"/>
          <w:sz w:val="24"/>
          <w:szCs w:val="24"/>
        </w:rPr>
        <w:t>；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r>
        <w:rPr>
          <w:rFonts w:hint="eastAsia"/>
          <w:kern w:val="0"/>
          <w:sz w:val="24"/>
          <w:szCs w:val="24"/>
        </w:rPr>
        <w:t>其他销售机构</w:t>
      </w:r>
      <w:r>
        <w:rPr>
          <w:kern w:val="0"/>
          <w:sz w:val="24"/>
          <w:szCs w:val="24"/>
        </w:rPr>
        <w:t>接受申购申请的最低金额为单笔1元，如果</w:t>
      </w:r>
      <w:r>
        <w:rPr>
          <w:rFonts w:hint="eastAsia"/>
          <w:kern w:val="0"/>
          <w:sz w:val="24"/>
          <w:szCs w:val="24"/>
        </w:rPr>
        <w:t>销售</w:t>
      </w:r>
      <w:r>
        <w:rPr>
          <w:kern w:val="0"/>
          <w:sz w:val="24"/>
          <w:szCs w:val="24"/>
        </w:rPr>
        <w:t>机构业务规则规定的最低单笔申购金额高于1元，以</w:t>
      </w:r>
      <w:r>
        <w:rPr>
          <w:rFonts w:hint="eastAsia"/>
          <w:kern w:val="0"/>
          <w:sz w:val="24"/>
          <w:szCs w:val="24"/>
        </w:rPr>
        <w:t>该销售</w:t>
      </w:r>
      <w:r>
        <w:rPr>
          <w:kern w:val="0"/>
          <w:sz w:val="24"/>
          <w:szCs w:val="24"/>
        </w:rPr>
        <w:t>机构的规定为准。</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、赎回份额的限制</w:t>
      </w:r>
    </w:p>
    <w:p>
      <w:pPr>
        <w:widowControl/>
        <w:adjustRightInd w:val="0"/>
        <w:snapToGrid w:val="0"/>
        <w:spacing w:line="360" w:lineRule="auto"/>
        <w:ind w:firstLine="480" w:firstLineChars="20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int="eastAsia" w:hAnsi="宋体"/>
          <w:kern w:val="0"/>
          <w:sz w:val="24"/>
          <w:szCs w:val="24"/>
        </w:rPr>
        <w:t>，如果销售机构业务规则规定的最低单笔赎回份额高于1份，以该销售机构的规定为准。</w:t>
      </w:r>
    </w:p>
    <w:p>
      <w:pPr>
        <w:widowControl/>
        <w:adjustRightInd w:val="0"/>
        <w:snapToGrid w:val="0"/>
        <w:spacing w:line="360" w:lineRule="auto"/>
        <w:ind w:firstLine="480" w:firstLineChars="200"/>
        <w:rPr>
          <w:kern w:val="0"/>
          <w:sz w:val="24"/>
          <w:szCs w:val="24"/>
        </w:rPr>
      </w:pPr>
      <w:bookmarkStart w:id="29" w:name="OLE_LINK6"/>
      <w:r>
        <w:rPr>
          <w:kern w:val="0"/>
          <w:sz w:val="24"/>
          <w:szCs w:val="24"/>
        </w:rPr>
        <w:t>3</w:t>
      </w:r>
      <w:r>
        <w:rPr>
          <w:rFonts w:hAnsi="宋体"/>
          <w:kern w:val="0"/>
          <w:sz w:val="24"/>
          <w:szCs w:val="24"/>
        </w:rPr>
        <w:t>、最低</w:t>
      </w:r>
      <w:r>
        <w:rPr>
          <w:rFonts w:hint="eastAsia" w:hAnsi="宋体"/>
          <w:kern w:val="0"/>
          <w:sz w:val="24"/>
          <w:szCs w:val="24"/>
        </w:rPr>
        <w:t>基金份额</w:t>
      </w:r>
      <w:r>
        <w:rPr>
          <w:rFonts w:hAnsi="宋体"/>
          <w:kern w:val="0"/>
          <w:sz w:val="24"/>
          <w:szCs w:val="24"/>
        </w:rPr>
        <w:t>余额的限制</w:t>
      </w:r>
    </w:p>
    <w:bookmarkEnd w:id="29"/>
    <w:p>
      <w:pPr>
        <w:widowControl/>
        <w:adjustRightInd w:val="0"/>
        <w:snapToGrid w:val="0"/>
        <w:spacing w:line="360" w:lineRule="auto"/>
        <w:ind w:firstLine="480" w:firstLineChars="200"/>
        <w:rPr>
          <w:rFonts w:hAnsi="宋体"/>
          <w:sz w:val="24"/>
          <w:szCs w:val="24"/>
        </w:rPr>
      </w:pPr>
      <w:r>
        <w:rPr>
          <w:rFonts w:hint="eastAsia" w:hAnsi="宋体"/>
          <w:sz w:val="24"/>
          <w:szCs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pPr>
        <w:widowControl/>
        <w:adjustRightInd w:val="0"/>
        <w:snapToGrid w:val="0"/>
        <w:spacing w:line="360" w:lineRule="auto"/>
        <w:ind w:firstLine="480" w:firstLineChars="200"/>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w:t>
      </w:r>
      <w:r>
        <w:rPr>
          <w:rFonts w:hint="eastAsia" w:hAnsi="宋体"/>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int="eastAsia" w:hAnsi="宋体"/>
          <w:kern w:val="0"/>
          <w:sz w:val="24"/>
          <w:szCs w:val="24"/>
        </w:rPr>
        <w:t>实施</w:t>
      </w:r>
      <w:r>
        <w:rPr>
          <w:rFonts w:hAnsi="宋体"/>
          <w:kern w:val="0"/>
          <w:sz w:val="24"/>
          <w:szCs w:val="24"/>
        </w:rPr>
        <w:t>前依照《信息披露办法》的有关规定在规定媒介上公告。</w:t>
      </w:r>
    </w:p>
    <w:p>
      <w:pPr>
        <w:adjustRightInd w:val="0"/>
        <w:snapToGrid w:val="0"/>
        <w:spacing w:line="360" w:lineRule="auto"/>
        <w:ind w:firstLine="482" w:firstLineChars="200"/>
        <w:outlineLvl w:val="1"/>
        <w:rPr>
          <w:sz w:val="24"/>
          <w:szCs w:val="24"/>
        </w:rPr>
      </w:pPr>
      <w:r>
        <w:rPr>
          <w:rFonts w:hAnsi="宋体"/>
          <w:b/>
          <w:kern w:val="0"/>
          <w:sz w:val="24"/>
          <w:szCs w:val="24"/>
        </w:rPr>
        <w:t>（五）申购和赎回的程序</w:t>
      </w:r>
    </w:p>
    <w:p>
      <w:pPr>
        <w:adjustRightInd w:val="0"/>
        <w:snapToGrid w:val="0"/>
        <w:spacing w:line="360" w:lineRule="auto"/>
        <w:ind w:firstLine="480" w:firstLineChars="200"/>
        <w:outlineLvl w:val="2"/>
        <w:rPr>
          <w:sz w:val="24"/>
          <w:szCs w:val="24"/>
        </w:rPr>
      </w:pPr>
      <w:r>
        <w:rPr>
          <w:sz w:val="24"/>
          <w:szCs w:val="24"/>
        </w:rPr>
        <w:t>1</w:t>
      </w:r>
      <w:r>
        <w:rPr>
          <w:rFonts w:hAnsi="宋体"/>
          <w:sz w:val="24"/>
          <w:szCs w:val="24"/>
        </w:rPr>
        <w:t>、申购和赎回的申请方式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申购和赎回的款项支付</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投资人申购基金份额时，必须全额交付申购款项，若申购资金在规定时间内未全额到账则申购不成立。投资人全额交付申购款项，申购成立；基金登记机构确认基金份额时，申购生效。</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基金份额持有人递交赎回申请，赎回成立；基金登记机构确认赎回时，赎回生效。投资者赎回申请生效后，基金管理人将在T</w:t>
      </w:r>
      <w:r>
        <w:rPr>
          <w:rFonts w:hAnsi="宋体"/>
          <w:kern w:val="0"/>
          <w:sz w:val="24"/>
          <w:szCs w:val="24"/>
        </w:rPr>
        <w:t>+</w:t>
      </w:r>
      <w:r>
        <w:rPr>
          <w:rFonts w:hint="eastAsia" w:hAnsi="宋体"/>
          <w:kern w:val="0"/>
          <w:sz w:val="24"/>
          <w:szCs w:val="24"/>
        </w:rPr>
        <w:t>7日（包括该日）内支付赎回款项。在发生巨额赎回或基金合同载明的其他暂停赎回或延缓支付赎回款项的情形时，款项的支付办法参照基金合同有关条款处理。</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3</w:t>
      </w:r>
      <w:r>
        <w:rPr>
          <w:rFonts w:hint="eastAsia" w:hAnsi="宋体"/>
          <w:kern w:val="0"/>
          <w:sz w:val="24"/>
          <w:szCs w:val="24"/>
        </w:rPr>
        <w:t>、</w:t>
      </w:r>
      <w:r>
        <w:rPr>
          <w:rFonts w:hAnsi="宋体"/>
          <w:kern w:val="0"/>
          <w:sz w:val="24"/>
          <w:szCs w:val="24"/>
        </w:rPr>
        <w:t>申购和赎回申请的确认</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基金管理人可在法律法规允许的范围内，依法对上述申购和赎回申请的确认时间进行调整，并必须在调整实施日前按照《信息披露办法》的有关规定在规定媒介上公告。</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pPr>
        <w:pStyle w:val="4"/>
        <w:autoSpaceDE w:val="0"/>
        <w:autoSpaceDN w:val="0"/>
        <w:adjustRightInd w:val="0"/>
        <w:snapToGrid w:val="0"/>
        <w:spacing w:line="360" w:lineRule="auto"/>
        <w:ind w:firstLine="480"/>
        <w:outlineLvl w:val="2"/>
        <w:rPr>
          <w:sz w:val="24"/>
          <w:szCs w:val="24"/>
        </w:rPr>
      </w:pPr>
      <w:r>
        <w:rPr>
          <w:sz w:val="24"/>
          <w:szCs w:val="24"/>
        </w:rPr>
        <w:t>4</w:t>
      </w:r>
      <w:r>
        <w:rPr>
          <w:rFonts w:hAnsi="宋体"/>
          <w:sz w:val="24"/>
          <w:szCs w:val="24"/>
        </w:rPr>
        <w:t>、申购和赎回的登记</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w:t>
      </w:r>
      <w:r>
        <w:rPr>
          <w:rFonts w:hint="eastAsia" w:hAnsi="宋体"/>
          <w:sz w:val="24"/>
          <w:szCs w:val="24"/>
        </w:rPr>
        <w:t>，投资人自T＋2日起（包括该日）有权赎回该部分基金份额</w:t>
      </w:r>
      <w:r>
        <w:rPr>
          <w:rFonts w:hAnsi="宋体"/>
          <w:sz w:val="24"/>
          <w:szCs w:val="24"/>
        </w:rPr>
        <w:t>。投资人应及时查询有关申请的确认情况。</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（六）基金的申购费和赎回费</w:t>
      </w:r>
    </w:p>
    <w:p>
      <w:pPr>
        <w:widowControl/>
        <w:adjustRightInd w:val="0"/>
        <w:snapToGrid w:val="0"/>
        <w:spacing w:line="360" w:lineRule="auto"/>
        <w:ind w:firstLine="480" w:firstLineChars="200"/>
        <w:rPr>
          <w:rFonts w:hAnsi="宋体"/>
          <w:sz w:val="24"/>
          <w:szCs w:val="24"/>
        </w:rPr>
      </w:pPr>
      <w:r>
        <w:rPr>
          <w:rFonts w:hAnsi="宋体"/>
          <w:sz w:val="24"/>
          <w:szCs w:val="24"/>
        </w:rPr>
        <w:t>1、申购费用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本基金基金份额分为A类基金份额和C类基金份额，投资人申购A类基金份额在申购时支付申购费用、赎回时收取赎回费用；申购C类基金份额不支付申购费用、赎回时收取赎回</w:t>
      </w:r>
      <w:r>
        <w:rPr>
          <w:rFonts w:hint="eastAsia" w:hAnsi="宋体"/>
          <w:sz w:val="24"/>
          <w:szCs w:val="24"/>
          <w:lang w:eastAsia="zh-Hans"/>
        </w:rPr>
        <w:t>费用</w:t>
      </w:r>
      <w:r>
        <w:rPr>
          <w:rFonts w:hAnsi="宋体"/>
          <w:sz w:val="24"/>
          <w:szCs w:val="24"/>
          <w:lang w:eastAsia="zh-Hans"/>
        </w:rPr>
        <w:t>，</w:t>
      </w:r>
      <w:r>
        <w:rPr>
          <w:rFonts w:hint="eastAsia" w:hAnsi="宋体"/>
          <w:sz w:val="24"/>
          <w:szCs w:val="24"/>
        </w:rPr>
        <w:t>并从该类别基金资产中计提销售服务费。</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color w:val="000000"/>
          <w:sz w:val="24"/>
          <w:szCs w:val="24"/>
        </w:rPr>
        <w:t>A类基金份额</w:t>
      </w:r>
      <w:r>
        <w:rPr>
          <w:rFonts w:hAnsi="宋体"/>
          <w:sz w:val="24"/>
          <w:szCs w:val="24"/>
        </w:rPr>
        <w:t>的申购费用由</w:t>
      </w:r>
      <w:r>
        <w:rPr>
          <w:rFonts w:hint="eastAsia" w:hAnsi="宋体"/>
          <w:sz w:val="24"/>
          <w:szCs w:val="24"/>
        </w:rPr>
        <w:t>申购A类基金份额的</w:t>
      </w:r>
      <w:r>
        <w:rPr>
          <w:rFonts w:hAnsi="宋体"/>
          <w:sz w:val="24"/>
          <w:szCs w:val="24"/>
        </w:rPr>
        <w:t>基金申购人承担，不列入基金财产，主要用于本基金的市场推广、销售、登记等各项费用。</w:t>
      </w:r>
    </w:p>
    <w:p>
      <w:pPr>
        <w:widowControl/>
        <w:adjustRightInd w:val="0"/>
        <w:snapToGrid w:val="0"/>
        <w:spacing w:line="360" w:lineRule="auto"/>
        <w:ind w:firstLine="480" w:firstLineChars="200"/>
        <w:rPr>
          <w:rFonts w:hAnsi="宋体"/>
          <w:sz w:val="24"/>
          <w:szCs w:val="24"/>
        </w:rPr>
      </w:pPr>
      <w:r>
        <w:rPr>
          <w:rFonts w:hAnsi="宋体"/>
          <w:sz w:val="24"/>
          <w:szCs w:val="24"/>
        </w:rPr>
        <w:t>投资人可以多次申购本基金，申购费</w:t>
      </w:r>
      <w:r>
        <w:rPr>
          <w:rFonts w:hint="eastAsia" w:hAnsi="宋体"/>
          <w:sz w:val="24"/>
          <w:szCs w:val="24"/>
        </w:rPr>
        <w:t>用</w:t>
      </w:r>
      <w:r>
        <w:rPr>
          <w:rFonts w:hAnsi="宋体"/>
          <w:sz w:val="24"/>
          <w:szCs w:val="24"/>
        </w:rPr>
        <w:t>按每笔申购申请单独计算。</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sz w:val="24"/>
          <w:szCs w:val="24"/>
        </w:rPr>
        <w:t>A类基金份额</w:t>
      </w:r>
      <w:r>
        <w:rPr>
          <w:rFonts w:hint="eastAsia"/>
          <w:kern w:val="0"/>
          <w:sz w:val="24"/>
        </w:rPr>
        <w:t>（非养老金客户）</w:t>
      </w:r>
      <w:r>
        <w:rPr>
          <w:rFonts w:hAnsi="宋体"/>
          <w:sz w:val="24"/>
          <w:szCs w:val="24"/>
        </w:rPr>
        <w:t>的申购费率如下：</w:t>
      </w:r>
    </w:p>
    <w:tbl>
      <w:tblPr>
        <w:tblStyle w:val="28"/>
        <w:tblW w:w="7339"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407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4079" w:type="dxa"/>
            <w:shd w:val="clear" w:color="auto" w:fill="FFFFFF"/>
            <w:vAlign w:val="center"/>
          </w:tcPr>
          <w:p>
            <w:pPr>
              <w:adjustRightInd w:val="0"/>
              <w:snapToGrid w:val="0"/>
              <w:jc w:val="center"/>
              <w:rPr>
                <w:b/>
                <w:sz w:val="24"/>
              </w:rPr>
            </w:pPr>
            <w:r>
              <w:rPr>
                <w:rFonts w:hint="eastAsia"/>
                <w:b/>
                <w:sz w:val="24"/>
              </w:rPr>
              <w:t>A类基金份额</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w:t>
            </w:r>
            <w:r>
              <w:rPr>
                <w:rFonts w:hAnsi="宋体"/>
                <w:sz w:val="24"/>
              </w:rPr>
              <w:t>万元以下</w:t>
            </w:r>
          </w:p>
        </w:tc>
        <w:tc>
          <w:tcPr>
            <w:tcW w:w="4079" w:type="dxa"/>
          </w:tcPr>
          <w:p>
            <w:pPr>
              <w:adjustRightInd w:val="0"/>
              <w:snapToGrid w:val="0"/>
              <w:jc w:val="center"/>
              <w:rPr>
                <w:sz w:val="24"/>
              </w:rPr>
            </w:pPr>
            <w:r>
              <w:rPr>
                <w:sz w:val="24"/>
              </w:rPr>
              <w:t>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w:t>
            </w:r>
            <w:r>
              <w:rPr>
                <w:rFonts w:hAnsi="宋体"/>
                <w:sz w:val="24"/>
              </w:rPr>
              <w:t>万元（含）至</w:t>
            </w:r>
            <w:r>
              <w:rPr>
                <w:rFonts w:hint="eastAsia" w:hAnsi="宋体"/>
                <w:sz w:val="24"/>
              </w:rPr>
              <w:t>3</w:t>
            </w:r>
            <w:r>
              <w:rPr>
                <w:sz w:val="24"/>
              </w:rPr>
              <w:t>00</w:t>
            </w:r>
            <w:r>
              <w:rPr>
                <w:rFonts w:hAnsi="宋体"/>
                <w:sz w:val="24"/>
              </w:rPr>
              <w:t>万元</w:t>
            </w:r>
          </w:p>
        </w:tc>
        <w:tc>
          <w:tcPr>
            <w:tcW w:w="4079" w:type="dxa"/>
          </w:tcPr>
          <w:p>
            <w:pPr>
              <w:adjustRightInd w:val="0"/>
              <w:snapToGrid w:val="0"/>
              <w:jc w:val="center"/>
              <w:rPr>
                <w:rFonts w:hAnsi="宋体"/>
                <w:sz w:val="24"/>
              </w:rPr>
            </w:pPr>
            <w:r>
              <w:rPr>
                <w:rFonts w:hint="eastAsia"/>
                <w:sz w:val="24"/>
              </w:rPr>
              <w:t>1</w:t>
            </w:r>
            <w:r>
              <w:rPr>
                <w:sz w:val="24"/>
              </w:rPr>
              <w:t>.</w:t>
            </w:r>
            <w:r>
              <w:rPr>
                <w:rFonts w:hint="eastAsia"/>
                <w:sz w:val="24"/>
              </w:rPr>
              <w:t>0</w:t>
            </w:r>
            <w:r>
              <w:rPr>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rFonts w:hint="eastAsia"/>
                <w:sz w:val="24"/>
              </w:rPr>
              <w:t>3</w:t>
            </w:r>
            <w:r>
              <w:rPr>
                <w:sz w:val="24"/>
              </w:rPr>
              <w:t>00</w:t>
            </w:r>
            <w:r>
              <w:rPr>
                <w:rFonts w:hAnsi="宋体"/>
                <w:sz w:val="24"/>
              </w:rPr>
              <w:t>万元（含）至</w:t>
            </w:r>
            <w:r>
              <w:rPr>
                <w:rFonts w:hint="eastAsia" w:hAnsi="宋体"/>
                <w:sz w:val="24"/>
              </w:rPr>
              <w:t>5</w:t>
            </w:r>
            <w:r>
              <w:rPr>
                <w:sz w:val="24"/>
              </w:rPr>
              <w:t>00</w:t>
            </w:r>
            <w:r>
              <w:rPr>
                <w:rFonts w:hAnsi="宋体"/>
                <w:sz w:val="24"/>
              </w:rPr>
              <w:t>万元</w:t>
            </w:r>
          </w:p>
        </w:tc>
        <w:tc>
          <w:tcPr>
            <w:tcW w:w="4079" w:type="dxa"/>
          </w:tcPr>
          <w:p>
            <w:pPr>
              <w:adjustRightInd w:val="0"/>
              <w:snapToGrid w:val="0"/>
              <w:jc w:val="center"/>
              <w:rPr>
                <w:rFonts w:hAnsi="宋体"/>
                <w:sz w:val="24"/>
              </w:rPr>
            </w:pPr>
            <w:r>
              <w:rPr>
                <w:rFonts w:hint="eastAsia"/>
                <w:sz w:val="24"/>
              </w:rPr>
              <w:t>0.8%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int="eastAsia" w:hAnsi="宋体"/>
                <w:sz w:val="24"/>
              </w:rPr>
              <w:t>元</w:t>
            </w:r>
            <w:r>
              <w:rPr>
                <w:rFonts w:hAnsi="宋体"/>
                <w:sz w:val="24"/>
              </w:rPr>
              <w:t>）</w:t>
            </w:r>
          </w:p>
        </w:tc>
        <w:tc>
          <w:tcPr>
            <w:tcW w:w="4079"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sz w:val="24"/>
          <w:szCs w:val="24"/>
        </w:rPr>
      </w:pPr>
      <w:r>
        <w:rPr>
          <w:rFonts w:hint="eastAsia" w:hAnsi="宋体"/>
          <w:sz w:val="24"/>
          <w:szCs w:val="24"/>
        </w:rPr>
        <w:t>持有A类基金份额的投资人因红利自动再投资而产生的A类基金份额，不收取相应的申购费用。</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本基金对通过基金管理人直销柜台</w:t>
      </w:r>
      <w:r>
        <w:rPr>
          <w:rFonts w:hint="eastAsia" w:hAnsi="宋体"/>
          <w:kern w:val="0"/>
          <w:sz w:val="24"/>
          <w:szCs w:val="24"/>
        </w:rPr>
        <w:t>申</w:t>
      </w:r>
      <w:r>
        <w:rPr>
          <w:rFonts w:hAnsi="宋体"/>
          <w:kern w:val="0"/>
          <w:sz w:val="24"/>
          <w:szCs w:val="24"/>
        </w:rPr>
        <w:t>购</w:t>
      </w:r>
      <w:r>
        <w:rPr>
          <w:rFonts w:hint="eastAsia" w:hAnsi="宋体"/>
          <w:kern w:val="0"/>
          <w:sz w:val="24"/>
          <w:szCs w:val="24"/>
        </w:rPr>
        <w:t>A类基金份额的养老金客户实施特定申购费率。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养老金客户指基本养老基金与依法成立的养老计划筹集的资金及其投资运营收益形成的补充养老基金等，具体包括：</w:t>
      </w:r>
    </w:p>
    <w:p>
      <w:pPr>
        <w:widowControl/>
        <w:adjustRightInd w:val="0"/>
        <w:snapToGrid w:val="0"/>
        <w:spacing w:line="360" w:lineRule="auto"/>
        <w:ind w:firstLine="480" w:firstLineChars="200"/>
        <w:rPr>
          <w:kern w:val="0"/>
          <w:sz w:val="24"/>
          <w:szCs w:val="24"/>
        </w:rPr>
      </w:pPr>
      <w:r>
        <w:rPr>
          <w:rFonts w:hint="eastAsia" w:hAnsi="宋体"/>
          <w:kern w:val="0"/>
          <w:sz w:val="24"/>
          <w:szCs w:val="24"/>
        </w:rPr>
        <w:t>1）</w:t>
      </w:r>
      <w:r>
        <w:rPr>
          <w:rFonts w:hAnsi="宋体"/>
          <w:kern w:val="0"/>
          <w:sz w:val="24"/>
          <w:szCs w:val="24"/>
        </w:rPr>
        <w:t>全国社会保障基金；</w:t>
      </w:r>
    </w:p>
    <w:p>
      <w:pPr>
        <w:widowControl/>
        <w:adjustRightInd w:val="0"/>
        <w:snapToGrid w:val="0"/>
        <w:spacing w:line="360" w:lineRule="auto"/>
        <w:ind w:firstLine="480" w:firstLineChars="200"/>
        <w:rPr>
          <w:kern w:val="0"/>
          <w:sz w:val="24"/>
          <w:szCs w:val="24"/>
        </w:rPr>
      </w:pPr>
      <w:r>
        <w:rPr>
          <w:kern w:val="0"/>
          <w:sz w:val="24"/>
          <w:szCs w:val="24"/>
        </w:rPr>
        <w:t>2</w:t>
      </w:r>
      <w:r>
        <w:rPr>
          <w:rFonts w:hint="eastAsia" w:hAnsi="宋体"/>
          <w:kern w:val="0"/>
          <w:sz w:val="24"/>
          <w:szCs w:val="24"/>
        </w:rPr>
        <w:t>）</w:t>
      </w:r>
      <w:r>
        <w:rPr>
          <w:rFonts w:hAnsi="宋体"/>
          <w:kern w:val="0"/>
          <w:sz w:val="24"/>
          <w:szCs w:val="24"/>
        </w:rPr>
        <w:t>可以投资基金的地方社会保障基金；</w:t>
      </w:r>
    </w:p>
    <w:p>
      <w:pPr>
        <w:widowControl/>
        <w:adjustRightInd w:val="0"/>
        <w:snapToGrid w:val="0"/>
        <w:spacing w:line="360" w:lineRule="auto"/>
        <w:ind w:firstLine="480" w:firstLineChars="200"/>
        <w:rPr>
          <w:kern w:val="0"/>
          <w:sz w:val="24"/>
          <w:szCs w:val="24"/>
        </w:rPr>
      </w:pPr>
      <w:r>
        <w:rPr>
          <w:kern w:val="0"/>
          <w:sz w:val="24"/>
          <w:szCs w:val="24"/>
        </w:rPr>
        <w:t>3</w:t>
      </w:r>
      <w:r>
        <w:rPr>
          <w:rFonts w:hint="eastAsia" w:hAnsi="宋体"/>
          <w:kern w:val="0"/>
          <w:sz w:val="24"/>
          <w:szCs w:val="24"/>
        </w:rPr>
        <w:t>）</w:t>
      </w:r>
      <w:r>
        <w:rPr>
          <w:rFonts w:hAnsi="宋体"/>
          <w:kern w:val="0"/>
          <w:sz w:val="24"/>
          <w:szCs w:val="24"/>
        </w:rPr>
        <w:t>企业年金单一计划以及集合计划</w:t>
      </w:r>
      <w:r>
        <w:rPr>
          <w:rFonts w:hint="eastAsia" w:hAnsi="宋体"/>
          <w:kern w:val="0"/>
          <w:sz w:val="24"/>
          <w:szCs w:val="24"/>
        </w:rPr>
        <w:t>；</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4）企业年金理事会委托的特定客户资产管理计划；</w:t>
      </w:r>
    </w:p>
    <w:p>
      <w:pPr>
        <w:widowControl/>
        <w:adjustRightInd w:val="0"/>
        <w:snapToGrid w:val="0"/>
        <w:spacing w:line="360" w:lineRule="auto"/>
        <w:ind w:firstLine="480" w:firstLineChars="200"/>
        <w:rPr>
          <w:kern w:val="0"/>
          <w:sz w:val="24"/>
          <w:szCs w:val="24"/>
        </w:rPr>
      </w:pPr>
      <w:r>
        <w:rPr>
          <w:rFonts w:hint="eastAsia" w:hAnsi="宋体"/>
          <w:kern w:val="0"/>
          <w:sz w:val="24"/>
          <w:szCs w:val="24"/>
        </w:rPr>
        <w:t>5）企业年金养老金产品。</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如将来出现经养老基金监管部门认可的新的养老基金类型，</w:t>
      </w:r>
      <w:r>
        <w:rPr>
          <w:rFonts w:hint="eastAsia" w:hAnsi="宋体"/>
          <w:kern w:val="0"/>
          <w:sz w:val="24"/>
          <w:szCs w:val="24"/>
        </w:rPr>
        <w:t>基金管理人可在招募说明书更新或</w:t>
      </w:r>
      <w:r>
        <w:rPr>
          <w:rFonts w:hAnsi="宋体"/>
          <w:kern w:val="0"/>
          <w:sz w:val="24"/>
          <w:szCs w:val="24"/>
        </w:rPr>
        <w:t>发布临时公告将其纳入养老金客户范围。</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通过基金管理人直销柜台申购本基金A类基金份额的养老金客户特定申购费率如下表：</w:t>
      </w:r>
    </w:p>
    <w:tbl>
      <w:tblPr>
        <w:tblStyle w:val="28"/>
        <w:tblW w:w="7198"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93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3938" w:type="dxa"/>
            <w:shd w:val="clear" w:color="auto" w:fill="FFFFFF"/>
            <w:vAlign w:val="center"/>
          </w:tcPr>
          <w:p>
            <w:pPr>
              <w:adjustRightInd w:val="0"/>
              <w:snapToGrid w:val="0"/>
              <w:jc w:val="center"/>
              <w:rPr>
                <w:b/>
                <w:sz w:val="24"/>
              </w:rPr>
            </w:pPr>
            <w:r>
              <w:rPr>
                <w:rFonts w:hint="eastAsia"/>
                <w:b/>
                <w:sz w:val="24"/>
              </w:rPr>
              <w:t>A类基金份额特定</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w:t>
            </w:r>
            <w:r>
              <w:rPr>
                <w:rFonts w:hAnsi="宋体"/>
                <w:sz w:val="24"/>
              </w:rPr>
              <w:t>万元以下</w:t>
            </w:r>
          </w:p>
        </w:tc>
        <w:tc>
          <w:tcPr>
            <w:tcW w:w="3938" w:type="dxa"/>
          </w:tcPr>
          <w:p>
            <w:pPr>
              <w:adjustRightInd w:val="0"/>
              <w:snapToGrid w:val="0"/>
              <w:jc w:val="center"/>
              <w:rPr>
                <w:sz w:val="24"/>
              </w:rPr>
            </w:pPr>
            <w:r>
              <w:rPr>
                <w:rFonts w:hint="eastAsia"/>
                <w:sz w:val="24"/>
              </w:rPr>
              <w:t>0.6</w:t>
            </w:r>
            <w:r>
              <w:rPr>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w:t>
            </w:r>
            <w:r>
              <w:rPr>
                <w:rFonts w:hAnsi="宋体"/>
                <w:sz w:val="24"/>
              </w:rPr>
              <w:t>万元（含）至</w:t>
            </w:r>
            <w:r>
              <w:rPr>
                <w:rFonts w:hint="eastAsia" w:hAnsi="宋体"/>
                <w:sz w:val="24"/>
              </w:rPr>
              <w:t>3</w:t>
            </w:r>
            <w:r>
              <w:rPr>
                <w:sz w:val="24"/>
              </w:rPr>
              <w:t>00</w:t>
            </w:r>
            <w:r>
              <w:rPr>
                <w:rFonts w:hAnsi="宋体"/>
                <w:sz w:val="24"/>
              </w:rPr>
              <w:t>万元</w:t>
            </w:r>
          </w:p>
        </w:tc>
        <w:tc>
          <w:tcPr>
            <w:tcW w:w="3938" w:type="dxa"/>
          </w:tcPr>
          <w:p>
            <w:pPr>
              <w:adjustRightInd w:val="0"/>
              <w:snapToGrid w:val="0"/>
              <w:jc w:val="center"/>
              <w:rPr>
                <w:rFonts w:hAnsi="宋体"/>
                <w:sz w:val="24"/>
              </w:rPr>
            </w:pPr>
            <w:r>
              <w:rPr>
                <w:rFonts w:hint="eastAsia"/>
                <w:sz w:val="24"/>
              </w:rPr>
              <w:t>0</w:t>
            </w:r>
            <w:r>
              <w:rPr>
                <w:sz w:val="24"/>
              </w:rPr>
              <w:t>.</w:t>
            </w:r>
            <w:r>
              <w:rPr>
                <w:rFonts w:hint="eastAsia"/>
                <w:sz w:val="24"/>
              </w:rPr>
              <w:t>4</w:t>
            </w:r>
            <w:r>
              <w:rPr>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rFonts w:hint="eastAsia"/>
                <w:sz w:val="24"/>
              </w:rPr>
              <w:t>3</w:t>
            </w:r>
            <w:r>
              <w:rPr>
                <w:sz w:val="24"/>
              </w:rPr>
              <w:t>00</w:t>
            </w:r>
            <w:r>
              <w:rPr>
                <w:rFonts w:hAnsi="宋体"/>
                <w:sz w:val="24"/>
              </w:rPr>
              <w:t>万元（含）至</w:t>
            </w:r>
            <w:r>
              <w:rPr>
                <w:rFonts w:hint="eastAsia" w:hAnsi="宋体"/>
                <w:sz w:val="24"/>
              </w:rPr>
              <w:t>5</w:t>
            </w:r>
            <w:r>
              <w:rPr>
                <w:sz w:val="24"/>
              </w:rPr>
              <w:t>00</w:t>
            </w:r>
            <w:r>
              <w:rPr>
                <w:rFonts w:hAnsi="宋体"/>
                <w:sz w:val="24"/>
              </w:rPr>
              <w:t>万元</w:t>
            </w:r>
          </w:p>
        </w:tc>
        <w:tc>
          <w:tcPr>
            <w:tcW w:w="3938" w:type="dxa"/>
          </w:tcPr>
          <w:p>
            <w:pPr>
              <w:adjustRightInd w:val="0"/>
              <w:snapToGrid w:val="0"/>
              <w:jc w:val="center"/>
              <w:rPr>
                <w:rFonts w:hAnsi="宋体"/>
                <w:sz w:val="24"/>
              </w:rPr>
            </w:pPr>
            <w:r>
              <w:rPr>
                <w:rFonts w:hint="eastAsia"/>
                <w:sz w:val="24"/>
              </w:rPr>
              <w:t>0.24</w:t>
            </w:r>
            <w:r>
              <w:rPr>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int="eastAsia" w:hAnsi="宋体"/>
                <w:sz w:val="24"/>
              </w:rPr>
              <w:t>元</w:t>
            </w:r>
            <w:r>
              <w:rPr>
                <w:rFonts w:hAnsi="宋体"/>
                <w:sz w:val="24"/>
              </w:rPr>
              <w:t>）</w:t>
            </w:r>
          </w:p>
        </w:tc>
        <w:tc>
          <w:tcPr>
            <w:tcW w:w="3938"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kern w:val="0"/>
          <w:sz w:val="24"/>
          <w:szCs w:val="24"/>
        </w:rPr>
      </w:pPr>
      <w:r>
        <w:rPr>
          <w:rFonts w:hAnsi="宋体"/>
          <w:sz w:val="24"/>
          <w:szCs w:val="24"/>
        </w:rPr>
        <w:t>2、赎回费用</w:t>
      </w:r>
    </w:p>
    <w:p>
      <w:pPr>
        <w:widowControl/>
        <w:adjustRightInd w:val="0"/>
        <w:snapToGrid w:val="0"/>
        <w:spacing w:line="360" w:lineRule="auto"/>
        <w:ind w:firstLine="480" w:firstLineChars="200"/>
        <w:rPr>
          <w:sz w:val="24"/>
          <w:szCs w:val="24"/>
        </w:rPr>
      </w:pPr>
      <w:r>
        <w:rPr>
          <w:rFonts w:hint="eastAsia" w:hAnsi="宋体"/>
          <w:sz w:val="24"/>
          <w:szCs w:val="24"/>
        </w:rPr>
        <w:t>（1）本基金A类基金份额的赎回费用由赎回A类基金份额的基金份额持有人承担，</w:t>
      </w:r>
      <w:r>
        <w:rPr>
          <w:rFonts w:hint="eastAsia"/>
          <w:sz w:val="24"/>
          <w:szCs w:val="24"/>
        </w:rPr>
        <w:t>在基金份额持有人赎回基金份额时收取，</w:t>
      </w:r>
      <w:r>
        <w:rPr>
          <w:rFonts w:hint="eastAsia" w:hAnsi="宋体"/>
          <w:sz w:val="24"/>
          <w:szCs w:val="24"/>
        </w:rPr>
        <w:t>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将赎回费总额的</w:t>
      </w:r>
      <w:r>
        <w:rPr>
          <w:rFonts w:hAnsi="宋体"/>
          <w:sz w:val="24"/>
          <w:szCs w:val="24"/>
        </w:rPr>
        <w:t>25</w:t>
      </w:r>
      <w:r>
        <w:rPr>
          <w:rFonts w:hint="eastAsia" w:hAnsi="宋体"/>
          <w:sz w:val="24"/>
          <w:szCs w:val="24"/>
        </w:rPr>
        <w:t>%计入基金财产。上述</w:t>
      </w:r>
      <w:r>
        <w:rPr>
          <w:rFonts w:hAnsi="宋体"/>
          <w:sz w:val="24"/>
          <w:szCs w:val="24"/>
        </w:rPr>
        <w:t>“</w:t>
      </w:r>
      <w:r>
        <w:rPr>
          <w:rFonts w:hint="eastAsia" w:hAnsi="宋体"/>
          <w:sz w:val="24"/>
          <w:szCs w:val="24"/>
        </w:rPr>
        <w:t>月</w:t>
      </w:r>
      <w:r>
        <w:rPr>
          <w:rFonts w:hAnsi="宋体"/>
          <w:sz w:val="24"/>
          <w:szCs w:val="24"/>
        </w:rPr>
        <w:t>”</w:t>
      </w:r>
      <w:r>
        <w:rPr>
          <w:rFonts w:hint="eastAsia" w:hAnsi="宋体"/>
          <w:sz w:val="24"/>
          <w:szCs w:val="24"/>
        </w:rPr>
        <w:t>指的是30个自然日。未归入基金财产的部分用于支付登记费和其他必要的手续费。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本基金A类基金份额的赎回费率如下：</w:t>
      </w:r>
    </w:p>
    <w:tbl>
      <w:tblPr>
        <w:tblStyle w:val="28"/>
        <w:tblW w:w="7668"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502"/>
        <w:gridCol w:w="3240"/>
        <w:gridCol w:w="192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2502" w:type="dxa"/>
            <w:vMerge w:val="restart"/>
            <w:tcBorders>
              <w:top w:val="single" w:color="808080" w:sz="4" w:space="0"/>
              <w:left w:val="single" w:color="808080" w:sz="4" w:space="0"/>
              <w:bottom w:val="single" w:color="808080" w:sz="4" w:space="0"/>
              <w:right w:val="single" w:color="808080" w:sz="4" w:space="0"/>
              <w:tl2br w:val="nil"/>
              <w:tr2bl w:val="nil"/>
            </w:tcBorders>
            <w:shd w:val="clear" w:color="auto" w:fill="auto"/>
            <w:vAlign w:val="center"/>
          </w:tcPr>
          <w:p>
            <w:pPr>
              <w:adjustRightInd w:val="0"/>
              <w:snapToGrid w:val="0"/>
              <w:jc w:val="center"/>
              <w:rPr>
                <w:sz w:val="24"/>
                <w:szCs w:val="24"/>
              </w:rPr>
            </w:pPr>
            <w:r>
              <w:rPr>
                <w:rFonts w:hint="eastAsia" w:hAnsi="宋体"/>
                <w:sz w:val="24"/>
                <w:szCs w:val="24"/>
              </w:rPr>
              <w:t>A类基金份额的赎回费率</w:t>
            </w:r>
          </w:p>
        </w:tc>
        <w:tc>
          <w:tcPr>
            <w:tcW w:w="3240"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hAnsi="宋体"/>
                <w:b/>
                <w:sz w:val="24"/>
                <w:szCs w:val="24"/>
              </w:rPr>
              <w:t>持有期限</w:t>
            </w:r>
          </w:p>
        </w:tc>
        <w:tc>
          <w:tcPr>
            <w:tcW w:w="1926"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hAnsi="宋体"/>
                <w:b/>
                <w:sz w:val="24"/>
                <w:szCs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p>
        </w:tc>
        <w:tc>
          <w:tcPr>
            <w:tcW w:w="324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7日</w:t>
            </w:r>
            <w:r>
              <w:rPr>
                <w:rFonts w:hint="eastAsia" w:hAnsi="宋体"/>
                <w:sz w:val="24"/>
                <w:szCs w:val="24"/>
              </w:rPr>
              <w:t>以内</w:t>
            </w:r>
          </w:p>
        </w:tc>
        <w:tc>
          <w:tcPr>
            <w:tcW w:w="1926"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1</w:t>
            </w:r>
            <w:r>
              <w:rPr>
                <w:sz w:val="24"/>
                <w:szCs w:val="24"/>
              </w:rPr>
              <w:t>.5%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p>
        </w:tc>
        <w:tc>
          <w:tcPr>
            <w:tcW w:w="324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7日（含）—30日</w:t>
            </w:r>
          </w:p>
        </w:tc>
        <w:tc>
          <w:tcPr>
            <w:tcW w:w="1926"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0.75%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p>
        </w:tc>
        <w:tc>
          <w:tcPr>
            <w:tcW w:w="324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30日（含）—1年</w:t>
            </w:r>
          </w:p>
        </w:tc>
        <w:tc>
          <w:tcPr>
            <w:tcW w:w="1926"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p>
        </w:tc>
        <w:tc>
          <w:tcPr>
            <w:tcW w:w="324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sz w:val="24"/>
                <w:szCs w:val="24"/>
              </w:rPr>
              <w:t>1</w:t>
            </w:r>
            <w:r>
              <w:rPr>
                <w:rFonts w:hint="eastAsia" w:hAnsi="宋体"/>
                <w:sz w:val="24"/>
                <w:szCs w:val="24"/>
              </w:rPr>
              <w:t>年（含）</w:t>
            </w:r>
            <w:r>
              <w:rPr>
                <w:sz w:val="24"/>
                <w:szCs w:val="24"/>
              </w:rPr>
              <w:t>—2</w:t>
            </w:r>
            <w:r>
              <w:rPr>
                <w:rFonts w:hint="eastAsia" w:hAnsi="宋体"/>
                <w:sz w:val="24"/>
                <w:szCs w:val="24"/>
              </w:rPr>
              <w:t>年</w:t>
            </w:r>
          </w:p>
        </w:tc>
        <w:tc>
          <w:tcPr>
            <w:tcW w:w="1926"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sz w:val="24"/>
                <w:szCs w:val="24"/>
              </w:rPr>
              <w:t>0.2</w:t>
            </w:r>
            <w:r>
              <w:rPr>
                <w:rFonts w:hint="eastAsia"/>
                <w:sz w:val="24"/>
                <w:szCs w:val="24"/>
              </w:rPr>
              <w:t>5</w:t>
            </w:r>
            <w:r>
              <w:rPr>
                <w:sz w:val="24"/>
                <w:szCs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p>
        </w:tc>
        <w:tc>
          <w:tcPr>
            <w:tcW w:w="324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sz w:val="24"/>
                <w:szCs w:val="24"/>
              </w:rPr>
              <w:t>2</w:t>
            </w:r>
            <w:r>
              <w:rPr>
                <w:rFonts w:hint="eastAsia" w:hAnsi="宋体"/>
                <w:sz w:val="24"/>
                <w:szCs w:val="24"/>
              </w:rPr>
              <w:t>年以上（含）</w:t>
            </w:r>
          </w:p>
        </w:tc>
        <w:tc>
          <w:tcPr>
            <w:tcW w:w="1926"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sz w:val="24"/>
                <w:szCs w:val="24"/>
              </w:rPr>
              <w:t>0</w:t>
            </w:r>
          </w:p>
        </w:tc>
      </w:tr>
    </w:tbl>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上表中的“年”指的是365个自然日。</w:t>
      </w:r>
    </w:p>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（2）本基金C类基金份额的赎回费率如下：</w:t>
      </w:r>
    </w:p>
    <w:tbl>
      <w:tblPr>
        <w:tblStyle w:val="28"/>
        <w:tblW w:w="0" w:type="auto"/>
        <w:tblInd w:w="392"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551"/>
        <w:gridCol w:w="2977"/>
        <w:gridCol w:w="24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2551" w:type="dxa"/>
            <w:vMerge w:val="restart"/>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rFonts w:ascii="宋体" w:hAnsi="宋体"/>
                <w:color w:val="000000"/>
                <w:sz w:val="24"/>
                <w:szCs w:val="24"/>
              </w:rPr>
            </w:pPr>
            <w:r>
              <w:rPr>
                <w:rFonts w:hint="eastAsia" w:ascii="宋体" w:hAnsi="宋体"/>
                <w:color w:val="000000"/>
                <w:sz w:val="24"/>
                <w:szCs w:val="24"/>
              </w:rPr>
              <w:t>C类基金份额的</w:t>
            </w:r>
          </w:p>
          <w:p>
            <w:pPr>
              <w:adjustRightInd w:val="0"/>
              <w:snapToGrid w:val="0"/>
              <w:jc w:val="center"/>
              <w:rPr>
                <w:rFonts w:ascii="宋体" w:hAnsi="宋体"/>
                <w:color w:val="000000"/>
                <w:sz w:val="24"/>
                <w:szCs w:val="24"/>
              </w:rPr>
            </w:pPr>
            <w:r>
              <w:rPr>
                <w:rFonts w:hint="eastAsia" w:ascii="宋体" w:hAnsi="宋体"/>
                <w:color w:val="000000"/>
                <w:sz w:val="24"/>
                <w:szCs w:val="24"/>
              </w:rPr>
              <w:t>赎回费率</w:t>
            </w:r>
          </w:p>
        </w:tc>
        <w:tc>
          <w:tcPr>
            <w:tcW w:w="2977" w:type="dxa"/>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rFonts w:ascii="宋体" w:hAnsi="宋体"/>
                <w:b/>
                <w:color w:val="000000"/>
                <w:sz w:val="24"/>
                <w:szCs w:val="24"/>
              </w:rPr>
            </w:pPr>
            <w:r>
              <w:rPr>
                <w:rFonts w:hint="eastAsia" w:ascii="宋体" w:hAnsi="宋体"/>
                <w:b/>
                <w:color w:val="000000"/>
                <w:sz w:val="24"/>
                <w:szCs w:val="24"/>
              </w:rPr>
              <w:t>持有期限</w:t>
            </w:r>
          </w:p>
        </w:tc>
        <w:tc>
          <w:tcPr>
            <w:tcW w:w="2410" w:type="dxa"/>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rFonts w:ascii="宋体" w:hAnsi="宋体"/>
                <w:b/>
                <w:color w:val="000000"/>
                <w:sz w:val="24"/>
                <w:szCs w:val="24"/>
              </w:rPr>
            </w:pPr>
            <w:r>
              <w:rPr>
                <w:rFonts w:hint="eastAsia" w:ascii="宋体" w:hAnsi="宋体"/>
                <w:b/>
                <w:color w:val="000000"/>
                <w:sz w:val="24"/>
                <w:szCs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551"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p>
        </w:tc>
        <w:tc>
          <w:tcPr>
            <w:tcW w:w="297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r>
              <w:rPr>
                <w:rFonts w:hint="eastAsia" w:ascii="宋体" w:hAnsi="宋体"/>
                <w:color w:val="000000"/>
                <w:sz w:val="24"/>
                <w:szCs w:val="24"/>
              </w:rPr>
              <w:t>7日以内</w:t>
            </w:r>
          </w:p>
        </w:tc>
        <w:tc>
          <w:tcPr>
            <w:tcW w:w="241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ascii="宋体" w:hAnsi="宋体"/>
                <w:color w:val="000000"/>
                <w:sz w:val="24"/>
                <w:szCs w:val="24"/>
              </w:rPr>
            </w:pPr>
            <w:r>
              <w:rPr>
                <w:rFonts w:hint="eastAsia" w:ascii="宋体" w:hAnsi="宋体"/>
                <w:color w:val="000000"/>
                <w:sz w:val="24"/>
                <w:szCs w:val="24"/>
              </w:rPr>
              <w:t>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551"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p>
        </w:tc>
        <w:tc>
          <w:tcPr>
            <w:tcW w:w="297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r>
              <w:rPr>
                <w:rFonts w:hint="eastAsia" w:ascii="宋体" w:hAnsi="宋体"/>
                <w:color w:val="000000"/>
                <w:sz w:val="24"/>
                <w:szCs w:val="24"/>
              </w:rPr>
              <w:t>7日（含）-30日</w:t>
            </w:r>
          </w:p>
        </w:tc>
        <w:tc>
          <w:tcPr>
            <w:tcW w:w="241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ascii="宋体" w:hAnsi="宋体"/>
                <w:color w:val="000000"/>
                <w:sz w:val="24"/>
                <w:szCs w:val="24"/>
              </w:rPr>
            </w:pPr>
            <w:r>
              <w:rPr>
                <w:rFonts w:hint="eastAsia" w:ascii="宋体" w:hAnsi="宋体"/>
                <w:color w:val="000000"/>
                <w:sz w:val="24"/>
                <w:szCs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75" w:hRule="atLeast"/>
        </w:trPr>
        <w:tc>
          <w:tcPr>
            <w:tcW w:w="2551"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p>
        </w:tc>
        <w:tc>
          <w:tcPr>
            <w:tcW w:w="297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r>
              <w:rPr>
                <w:rFonts w:hint="eastAsia" w:ascii="宋体" w:hAnsi="宋体"/>
                <w:color w:val="000000"/>
                <w:sz w:val="24"/>
                <w:szCs w:val="24"/>
              </w:rPr>
              <w:t>30日以上（含）</w:t>
            </w:r>
          </w:p>
        </w:tc>
        <w:tc>
          <w:tcPr>
            <w:tcW w:w="241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ascii="宋体" w:hAnsi="宋体"/>
                <w:color w:val="000000"/>
                <w:sz w:val="24"/>
                <w:szCs w:val="24"/>
              </w:rPr>
            </w:pPr>
            <w:r>
              <w:rPr>
                <w:rFonts w:hint="eastAsia" w:ascii="宋体" w:hAnsi="宋体"/>
                <w:color w:val="000000"/>
                <w:sz w:val="24"/>
                <w:szCs w:val="24"/>
              </w:rPr>
              <w:t>0</w:t>
            </w:r>
          </w:p>
        </w:tc>
      </w:tr>
    </w:tbl>
    <w:p>
      <w:pPr>
        <w:widowControl/>
        <w:adjustRightInd w:val="0"/>
        <w:snapToGrid w:val="0"/>
        <w:spacing w:line="360" w:lineRule="auto"/>
        <w:ind w:firstLine="480" w:firstLineChars="200"/>
        <w:rPr>
          <w:rFonts w:hAnsi="宋体"/>
          <w:sz w:val="24"/>
          <w:szCs w:val="24"/>
        </w:rPr>
      </w:pPr>
      <w:r>
        <w:rPr>
          <w:rFonts w:hint="eastAsia" w:hAnsi="宋体"/>
          <w:color w:val="000000"/>
          <w:kern w:val="0"/>
          <w:sz w:val="24"/>
          <w:szCs w:val="24"/>
        </w:rPr>
        <w:t>本基金C类基金份额的赎回费用由赎回C类基金份额的基金份额持有人承担，在基金份额持有人赎回C类基金份额时收取，对C类基金份额持有人收取的赎回费全额计入基金财产。</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bCs/>
          <w:kern w:val="0"/>
          <w:sz w:val="24"/>
          <w:szCs w:val="24"/>
        </w:rPr>
        <w:t>经与基金托管人协商一致，</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、当本基金发生大额申购或赎回情形时，基金管理人可以采用摆动定价机制，以确保基金估值的公平性。具体处理原则与操作规范遵循相关法律法规以及监管部门、自律规则的规定。</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widowControl/>
        <w:adjustRightInd w:val="0"/>
        <w:snapToGrid w:val="0"/>
        <w:spacing w:line="360" w:lineRule="auto"/>
        <w:ind w:firstLine="482" w:firstLineChars="200"/>
        <w:outlineLvl w:val="1"/>
        <w:rPr>
          <w:b/>
          <w:kern w:val="0"/>
          <w:sz w:val="24"/>
          <w:szCs w:val="24"/>
        </w:rPr>
      </w:pPr>
      <w:bookmarkStart w:id="30" w:name="_Hlt91144389"/>
      <w:bookmarkEnd w:id="30"/>
      <w:bookmarkStart w:id="31" w:name="_Hlt81024033"/>
      <w:bookmarkEnd w:id="31"/>
      <w:bookmarkStart w:id="32" w:name="_Hlt90458725"/>
      <w:bookmarkEnd w:id="32"/>
      <w:r>
        <w:rPr>
          <w:rFonts w:hAnsi="宋体"/>
          <w:b/>
          <w:kern w:val="0"/>
          <w:sz w:val="24"/>
          <w:szCs w:val="24"/>
        </w:rPr>
        <w:t>（七）申购和赎回的数额和价格</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1、申购和赎回数额、余额的处理方式</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（1）申购</w:t>
      </w:r>
      <w:r>
        <w:rPr>
          <w:sz w:val="24"/>
        </w:rPr>
        <w:t>A</w:t>
      </w:r>
      <w:r>
        <w:rPr>
          <w:rFonts w:hAnsi="宋体"/>
          <w:sz w:val="24"/>
        </w:rPr>
        <w:t>类基金份额</w:t>
      </w:r>
      <w:r>
        <w:rPr>
          <w:rFonts w:hint="eastAsia" w:hAnsi="宋体"/>
          <w:sz w:val="24"/>
        </w:rPr>
        <w:t>或C类基金份额</w:t>
      </w:r>
      <w:r>
        <w:rPr>
          <w:rFonts w:hAnsi="宋体"/>
          <w:kern w:val="0"/>
          <w:sz w:val="24"/>
          <w:szCs w:val="24"/>
        </w:rPr>
        <w:t>的有效份额为净申购金额除以当日</w:t>
      </w:r>
      <w:r>
        <w:rPr>
          <w:rFonts w:hint="eastAsia"/>
          <w:bCs/>
          <w:sz w:val="24"/>
        </w:rPr>
        <w:t>该类基金份额</w:t>
      </w:r>
      <w:r>
        <w:rPr>
          <w:rFonts w:hAnsi="宋体"/>
          <w:kern w:val="0"/>
          <w:sz w:val="24"/>
          <w:szCs w:val="24"/>
        </w:rPr>
        <w:t>的基金份额净值，有效份额单位为份，</w:t>
      </w:r>
      <w:r>
        <w:rPr>
          <w:rFonts w:hint="eastAsia" w:hAnsi="宋体"/>
          <w:kern w:val="0"/>
          <w:sz w:val="24"/>
          <w:szCs w:val="24"/>
        </w:rPr>
        <w:t>申购份额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（2）赎回金额为按实际确认的</w:t>
      </w:r>
      <w:r>
        <w:rPr>
          <w:rFonts w:hint="eastAsia" w:hAnsi="宋体"/>
          <w:kern w:val="0"/>
          <w:sz w:val="24"/>
          <w:szCs w:val="24"/>
        </w:rPr>
        <w:t>A类基金份额和C类基金份额</w:t>
      </w:r>
      <w:r>
        <w:rPr>
          <w:rFonts w:hAnsi="宋体"/>
          <w:kern w:val="0"/>
          <w:sz w:val="24"/>
          <w:szCs w:val="24"/>
        </w:rPr>
        <w:t>有效赎回份额乘以当日</w:t>
      </w:r>
      <w:r>
        <w:rPr>
          <w:rFonts w:hint="eastAsia"/>
          <w:bCs/>
          <w:sz w:val="24"/>
        </w:rPr>
        <w:t>该类</w:t>
      </w:r>
      <w:r>
        <w:rPr>
          <w:rFonts w:hAnsi="宋体"/>
          <w:kern w:val="0"/>
          <w:sz w:val="24"/>
          <w:szCs w:val="24"/>
        </w:rPr>
        <w:t>基金份额</w:t>
      </w:r>
      <w:r>
        <w:rPr>
          <w:rFonts w:hint="eastAsia"/>
          <w:bCs/>
          <w:sz w:val="24"/>
        </w:rPr>
        <w:t>的</w:t>
      </w:r>
      <w:r>
        <w:rPr>
          <w:rFonts w:hAnsi="宋体"/>
          <w:kern w:val="0"/>
          <w:sz w:val="24"/>
          <w:szCs w:val="24"/>
        </w:rPr>
        <w:t>基金份额净值并扣除相应的费用（如有），赎回金额单位为元。</w:t>
      </w:r>
      <w:r>
        <w:rPr>
          <w:rFonts w:hint="eastAsia" w:hAnsi="宋体"/>
          <w:kern w:val="0"/>
          <w:sz w:val="24"/>
          <w:szCs w:val="24"/>
        </w:rPr>
        <w:t>赎回金额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2、申购份额的计算</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w:t>
      </w:r>
      <w:r>
        <w:rPr>
          <w:rFonts w:hint="eastAsia" w:hAnsi="宋体"/>
          <w:kern w:val="0"/>
          <w:sz w:val="24"/>
          <w:szCs w:val="24"/>
        </w:rPr>
        <w:t>A类基金份额的申购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净申购金额=申购总金额/（1+申购费率）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（注：对于适用固定金额申购费用的申购，净申购金额＝申购总金额－固定申购费用金额）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申购费用=申购总金额-净申购金额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（注：对于适用固定金额申购费用的申购，申购费用＝固定申购费用金额）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w:t>
      </w:r>
      <w:r>
        <w:rPr>
          <w:rFonts w:hint="eastAsia" w:ascii="宋体" w:hAnsi="宋体"/>
          <w:sz w:val="24"/>
        </w:rPr>
        <w:t>（申购总金额-申购费用）</w:t>
      </w:r>
      <w:r>
        <w:rPr>
          <w:rFonts w:hint="eastAsia" w:hAnsi="宋体"/>
          <w:kern w:val="0"/>
          <w:sz w:val="24"/>
          <w:szCs w:val="24"/>
        </w:rPr>
        <w:t>/T日A类基金份额净值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例四：某投资者（非养老金客户）投资</w:t>
      </w:r>
      <w:r>
        <w:rPr>
          <w:rFonts w:hAnsi="宋体"/>
          <w:kern w:val="0"/>
          <w:sz w:val="24"/>
          <w:szCs w:val="24"/>
        </w:rPr>
        <w:t>40,000</w:t>
      </w:r>
      <w:r>
        <w:rPr>
          <w:rFonts w:hint="eastAsia" w:hAnsi="宋体"/>
          <w:kern w:val="0"/>
          <w:sz w:val="24"/>
          <w:szCs w:val="24"/>
        </w:rPr>
        <w:t>元申购本基金A类基金份额，假设申购当日A类基金份额净值为1.04</w:t>
      </w:r>
      <w:r>
        <w:rPr>
          <w:rFonts w:hAnsi="宋体"/>
          <w:kern w:val="0"/>
          <w:sz w:val="24"/>
          <w:szCs w:val="24"/>
        </w:rPr>
        <w:t>0</w:t>
      </w:r>
      <w:r>
        <w:rPr>
          <w:rFonts w:hint="eastAsia" w:hAnsi="宋体"/>
          <w:kern w:val="0"/>
          <w:sz w:val="24"/>
          <w:szCs w:val="24"/>
        </w:rPr>
        <w:t>0元，申购费率为1.5%，则其可得到的申购份额为：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申购总金额＝40,000元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净申购金额=40,000/（1+1.5%）=39,408.87元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申购费用=40,000-39,408.87=591.13元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申购份额=（40,000-591.13）/1.0400=37,893.14份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即：某投资者（非养老金客户）投资</w:t>
      </w:r>
      <w:r>
        <w:rPr>
          <w:rFonts w:hAnsi="宋体"/>
          <w:kern w:val="0"/>
          <w:sz w:val="24"/>
          <w:szCs w:val="24"/>
        </w:rPr>
        <w:t>40,000</w:t>
      </w:r>
      <w:r>
        <w:rPr>
          <w:rFonts w:hint="eastAsia" w:hAnsi="宋体"/>
          <w:kern w:val="0"/>
          <w:sz w:val="24"/>
          <w:szCs w:val="24"/>
        </w:rPr>
        <w:t>元申购本基金A类基金份额，假设申购当日A类基金份额净值为1.0400元，则其可得到37,893.14份A类基金份额。</w:t>
      </w:r>
    </w:p>
    <w:p>
      <w:pPr>
        <w:widowControl/>
        <w:adjustRightInd w:val="0"/>
        <w:snapToGrid w:val="0"/>
        <w:spacing w:line="360" w:lineRule="auto"/>
        <w:ind w:firstLine="480" w:firstLineChars="200"/>
        <w:rPr>
          <w:rFonts w:hint="eastAsia" w:hAnsi="宋体"/>
          <w:kern w:val="0"/>
          <w:sz w:val="24"/>
          <w:szCs w:val="24"/>
        </w:rPr>
      </w:pPr>
      <w:r>
        <w:rPr>
          <w:rFonts w:hint="eastAsia" w:hAnsi="宋体"/>
          <w:kern w:val="0"/>
          <w:sz w:val="24"/>
          <w:szCs w:val="24"/>
        </w:rPr>
        <w:t>例五：某养老金客户投资1,000,000元通过基金管理人的直销柜台申购本基金A类基金份额，假设申购当日A类基金份额净值为1.0400元，申购费率为0.4%，则其可得到的申购份额为：</w:t>
      </w:r>
    </w:p>
    <w:p>
      <w:pPr>
        <w:widowControl/>
        <w:adjustRightInd w:val="0"/>
        <w:snapToGrid w:val="0"/>
        <w:spacing w:line="360" w:lineRule="auto"/>
        <w:ind w:firstLine="480" w:firstLineChars="200"/>
        <w:rPr>
          <w:rFonts w:hint="eastAsia" w:hAnsi="宋体"/>
          <w:kern w:val="0"/>
          <w:sz w:val="24"/>
          <w:szCs w:val="24"/>
        </w:rPr>
      </w:pPr>
      <w:r>
        <w:rPr>
          <w:rFonts w:hint="eastAsia" w:hAnsi="宋体"/>
          <w:kern w:val="0"/>
          <w:sz w:val="24"/>
          <w:szCs w:val="24"/>
        </w:rPr>
        <w:t>申购总金额＝1,000,000元</w:t>
      </w:r>
    </w:p>
    <w:p>
      <w:pPr>
        <w:widowControl/>
        <w:adjustRightInd w:val="0"/>
        <w:snapToGrid w:val="0"/>
        <w:spacing w:line="360" w:lineRule="auto"/>
        <w:ind w:firstLine="480" w:firstLineChars="200"/>
        <w:rPr>
          <w:rFonts w:hint="eastAsia" w:hAnsi="宋体"/>
          <w:kern w:val="0"/>
          <w:sz w:val="24"/>
          <w:szCs w:val="24"/>
        </w:rPr>
      </w:pPr>
      <w:r>
        <w:rPr>
          <w:rFonts w:hint="eastAsia" w:hAnsi="宋体"/>
          <w:kern w:val="0"/>
          <w:sz w:val="24"/>
          <w:szCs w:val="24"/>
        </w:rPr>
        <w:t>净申购金额=1,000,000/（1+0.4%）=996,015.94元</w:t>
      </w:r>
    </w:p>
    <w:p>
      <w:pPr>
        <w:widowControl/>
        <w:adjustRightInd w:val="0"/>
        <w:snapToGrid w:val="0"/>
        <w:spacing w:line="360" w:lineRule="auto"/>
        <w:ind w:firstLine="480" w:firstLineChars="200"/>
        <w:rPr>
          <w:rFonts w:hint="eastAsia" w:hAnsi="宋体"/>
          <w:kern w:val="0"/>
          <w:sz w:val="24"/>
          <w:szCs w:val="24"/>
        </w:rPr>
      </w:pPr>
      <w:r>
        <w:rPr>
          <w:rFonts w:hint="eastAsia" w:hAnsi="宋体"/>
          <w:kern w:val="0"/>
          <w:sz w:val="24"/>
          <w:szCs w:val="24"/>
        </w:rPr>
        <w:t>申购费用=1,000,000-996,015.94=3,984.06元</w:t>
      </w:r>
    </w:p>
    <w:p>
      <w:pPr>
        <w:widowControl/>
        <w:adjustRightInd w:val="0"/>
        <w:snapToGrid w:val="0"/>
        <w:spacing w:line="360" w:lineRule="auto"/>
        <w:ind w:firstLine="480" w:firstLineChars="200"/>
        <w:rPr>
          <w:rFonts w:hint="eastAsia" w:hAnsi="宋体"/>
          <w:kern w:val="0"/>
          <w:sz w:val="24"/>
          <w:szCs w:val="24"/>
        </w:rPr>
      </w:pPr>
      <w:r>
        <w:rPr>
          <w:rFonts w:hint="eastAsia" w:hAnsi="宋体"/>
          <w:kern w:val="0"/>
          <w:sz w:val="24"/>
          <w:szCs w:val="24"/>
        </w:rPr>
        <w:t>申购份额=（1,000,000-3,984.06）/1.0400=957,707.63份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即：该养老金客户投资1,000,000元通过基金管理人的直销柜台申购本基金A类基金份额，假设申购当日A类基金份额净值为1.0400元，则其可得到957,707.63份A类基金份额。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C类基金份额的申购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如果投资者选择申购C类基金份额，则申购份额的计算方法如下：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 xml:space="preserve">申购份额=申购总金额/T日C类基金份额净值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例六：某投资者投资100,000元申购本基金的C类基金份额，假设申购当日C类基金份额净值为1.0400元，则其可得到的申购份额为：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申购份额＝100,000/1.0400＝96,153.85份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即：投资者投资100,000元申购本基金的C类基金份额，假设申购当日C类基金份额净值为1.0400元，则其可得到96,153.85份C类基金份额。</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3、赎回金额的计算</w:t>
      </w:r>
    </w:p>
    <w:p>
      <w:pPr>
        <w:widowControl/>
        <w:adjustRightInd w:val="0"/>
        <w:snapToGrid w:val="0"/>
        <w:spacing w:line="360" w:lineRule="auto"/>
        <w:ind w:firstLine="480" w:firstLineChars="200"/>
        <w:rPr>
          <w:rFonts w:hAnsi="宋体"/>
          <w:sz w:val="24"/>
          <w:szCs w:val="24"/>
        </w:rPr>
      </w:pPr>
      <w:r>
        <w:rPr>
          <w:rFonts w:hint="eastAsia" w:hAnsi="宋体"/>
          <w:sz w:val="24"/>
          <w:szCs w:val="24"/>
        </w:rPr>
        <w:t>（1）A类基金份额的赎回</w:t>
      </w:r>
    </w:p>
    <w:p>
      <w:pPr>
        <w:widowControl/>
        <w:adjustRightInd w:val="0"/>
        <w:snapToGrid w:val="0"/>
        <w:spacing w:line="360" w:lineRule="auto"/>
        <w:ind w:firstLine="480" w:firstLineChars="200"/>
        <w:rPr>
          <w:rFonts w:hAnsi="宋体"/>
          <w:sz w:val="24"/>
          <w:szCs w:val="24"/>
        </w:rPr>
      </w:pPr>
      <w:r>
        <w:rPr>
          <w:rFonts w:hint="eastAsia" w:hAnsi="宋体"/>
          <w:sz w:val="24"/>
          <w:szCs w:val="24"/>
        </w:rPr>
        <w:t>如果投资者赎回A类基金份额，则赎回金额的计算方法如下：</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赎回费用=赎回份额×T日A类基金份额净值×赎回费率</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赎回金额=赎回份额×T日A类基金份额净值-赎回费用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例七：某投资者赎回持有的10,000份A类基金份额，持有期限为30日，对应的赎回费率为0.5%，假设赎回当日A类基金份额净值是1.0160元，则其可得到的赎回金额为：</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赎回费用=10,000×1.0160×0.5%＝50.80元</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赎回金额=10,000×1.0160-50.80＝10,109.20元</w:t>
      </w:r>
    </w:p>
    <w:p>
      <w:pPr>
        <w:widowControl/>
        <w:adjustRightInd w:val="0"/>
        <w:snapToGrid w:val="0"/>
        <w:spacing w:line="360" w:lineRule="auto"/>
        <w:ind w:firstLine="480" w:firstLineChars="200"/>
        <w:rPr>
          <w:rFonts w:hAnsi="宋体"/>
          <w:sz w:val="24"/>
          <w:szCs w:val="24"/>
        </w:rPr>
      </w:pPr>
      <w:r>
        <w:rPr>
          <w:rFonts w:hint="eastAsia" w:hAnsi="宋体"/>
          <w:sz w:val="24"/>
          <w:szCs w:val="24"/>
        </w:rPr>
        <w:t>即：该投资者赎回本基金10,000份A类基金份额，持有期限为30日，对应的赎回费率为0.5%，假设赎回当日A类基金份额净值是1.0160元，则其可得到的赎回金额为10,109.20元。</w:t>
      </w:r>
    </w:p>
    <w:p>
      <w:pPr>
        <w:widowControl/>
        <w:adjustRightInd w:val="0"/>
        <w:snapToGrid w:val="0"/>
        <w:spacing w:line="360" w:lineRule="auto"/>
        <w:ind w:firstLine="480" w:firstLineChars="200"/>
        <w:rPr>
          <w:rFonts w:hAnsi="宋体"/>
          <w:sz w:val="24"/>
          <w:szCs w:val="24"/>
        </w:rPr>
      </w:pPr>
      <w:r>
        <w:rPr>
          <w:rFonts w:hint="eastAsia" w:hAnsi="宋体"/>
          <w:sz w:val="24"/>
          <w:szCs w:val="24"/>
        </w:rPr>
        <w:t>（2）C类基金份额的赎回</w:t>
      </w:r>
    </w:p>
    <w:p>
      <w:pPr>
        <w:widowControl/>
        <w:adjustRightInd w:val="0"/>
        <w:snapToGrid w:val="0"/>
        <w:spacing w:line="360" w:lineRule="auto"/>
        <w:ind w:firstLine="480" w:firstLineChars="200"/>
        <w:rPr>
          <w:rFonts w:hAnsi="宋体"/>
          <w:sz w:val="24"/>
          <w:szCs w:val="24"/>
        </w:rPr>
      </w:pPr>
      <w:r>
        <w:rPr>
          <w:rFonts w:hint="eastAsia" w:hAnsi="宋体"/>
          <w:sz w:val="24"/>
          <w:szCs w:val="24"/>
        </w:rPr>
        <w:t>如果投资者赎回C类基金份额，赎回金额的计算方法如下：</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赎回费用=赎回份额×T日C类基金份额净值×赎回费率</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赎回金额=赎回份额×T日C类基金份额净值—赎回费用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 xml:space="preserve">例八：某投资者赎回持有的10,000份C类基金份额，持有时间为20日，对应的赎回费率为0.5%，假设赎回当日C类基金份额净值是1.0160元，则其可得到的赎回金额为： </w:t>
      </w:r>
    </w:p>
    <w:p>
      <w:pPr>
        <w:widowControl/>
        <w:adjustRightInd w:val="0"/>
        <w:snapToGrid w:val="0"/>
        <w:spacing w:line="360" w:lineRule="auto"/>
        <w:ind w:firstLine="480" w:firstLineChars="200"/>
        <w:rPr>
          <w:rFonts w:hAnsi="宋体"/>
          <w:sz w:val="24"/>
          <w:szCs w:val="24"/>
        </w:rPr>
      </w:pPr>
      <w:r>
        <w:rPr>
          <w:rFonts w:hint="eastAsia" w:hAnsi="宋体"/>
          <w:sz w:val="24"/>
          <w:szCs w:val="24"/>
        </w:rPr>
        <w:t xml:space="preserve">赎回费用=10,000×1.0160×0.5%＝50.80元 </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赎回金额=10,000×1.0160-50.80＝10,109.20元</w:t>
      </w:r>
    </w:p>
    <w:p>
      <w:pPr>
        <w:widowControl/>
        <w:adjustRightInd w:val="0"/>
        <w:snapToGrid w:val="0"/>
        <w:spacing w:line="360" w:lineRule="auto"/>
        <w:ind w:firstLine="480" w:firstLineChars="200"/>
        <w:rPr>
          <w:rFonts w:hAnsi="宋体"/>
          <w:kern w:val="0"/>
          <w:sz w:val="24"/>
          <w:szCs w:val="24"/>
        </w:rPr>
      </w:pPr>
      <w:r>
        <w:rPr>
          <w:rFonts w:hint="eastAsia" w:hAnsi="宋体"/>
          <w:sz w:val="24"/>
          <w:szCs w:val="24"/>
        </w:rPr>
        <w:t>即：投资者赎回本基金10,000份C类基金份额，持有时间为20日，对应的赎回费率为0.5%，假设赎回当日C类基金份额净值是1.0160元，则其可得到的赎回金额为10,109.20元。</w:t>
      </w:r>
    </w:p>
    <w:p>
      <w:pPr>
        <w:widowControl/>
        <w:adjustRightInd w:val="0"/>
        <w:snapToGrid w:val="0"/>
        <w:spacing w:line="360" w:lineRule="auto"/>
        <w:ind w:firstLine="480" w:firstLineChars="200"/>
        <w:outlineLvl w:val="2"/>
        <w:rPr>
          <w:kern w:val="0"/>
          <w:sz w:val="24"/>
          <w:szCs w:val="24"/>
        </w:rPr>
      </w:pPr>
      <w:r>
        <w:rPr>
          <w:kern w:val="0"/>
          <w:sz w:val="24"/>
          <w:szCs w:val="24"/>
        </w:rPr>
        <w:t>4</w:t>
      </w:r>
      <w:r>
        <w:rPr>
          <w:rFonts w:hAnsi="宋体"/>
          <w:kern w:val="0"/>
          <w:sz w:val="24"/>
          <w:szCs w:val="24"/>
        </w:rPr>
        <w:t>、基金份额净值的计算公式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A类基金份额净值＝A类基金份额的基金资产净值总额/发行在外的A类基金份额总数</w:t>
      </w:r>
    </w:p>
    <w:p>
      <w:pPr>
        <w:widowControl/>
        <w:adjustRightInd w:val="0"/>
        <w:snapToGrid w:val="0"/>
        <w:spacing w:line="360" w:lineRule="auto"/>
        <w:ind w:firstLine="480" w:firstLineChars="200"/>
        <w:rPr>
          <w:kern w:val="0"/>
          <w:sz w:val="24"/>
          <w:szCs w:val="24"/>
        </w:rPr>
      </w:pPr>
      <w:r>
        <w:rPr>
          <w:rFonts w:hint="eastAsia" w:hAnsi="宋体"/>
          <w:kern w:val="0"/>
          <w:sz w:val="24"/>
          <w:szCs w:val="24"/>
        </w:rPr>
        <w:t>C类基金份额净值＝C类基金份额的基金资产净值总额/发行在外的C类基金份额总数</w:t>
      </w:r>
    </w:p>
    <w:p>
      <w:pPr>
        <w:widowControl/>
        <w:adjustRightInd w:val="0"/>
        <w:snapToGrid w:val="0"/>
        <w:spacing w:line="360" w:lineRule="auto"/>
        <w:ind w:firstLine="480" w:firstLineChars="20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int="eastAsia" w:hAnsi="宋体"/>
          <w:kern w:val="0"/>
          <w:sz w:val="24"/>
          <w:szCs w:val="24"/>
        </w:rPr>
        <w:t>（包括该日）内</w:t>
      </w:r>
      <w:r>
        <w:rPr>
          <w:rFonts w:hAnsi="宋体"/>
          <w:kern w:val="0"/>
          <w:sz w:val="24"/>
          <w:szCs w:val="24"/>
        </w:rPr>
        <w:t>公告。遇特殊情况，经</w:t>
      </w:r>
      <w:r>
        <w:rPr>
          <w:rFonts w:hint="eastAsia" w:hAnsi="宋体"/>
          <w:kern w:val="0"/>
          <w:sz w:val="24"/>
          <w:szCs w:val="24"/>
        </w:rPr>
        <w:t>履行适当程序</w:t>
      </w:r>
      <w:r>
        <w:rPr>
          <w:rFonts w:hAnsi="宋体"/>
          <w:kern w:val="0"/>
          <w:sz w:val="24"/>
          <w:szCs w:val="24"/>
        </w:rPr>
        <w:t>，可以适当延迟计算或公告。</w:t>
      </w:r>
      <w:r>
        <w:rPr>
          <w:rFonts w:hAnsi="宋体"/>
          <w:sz w:val="24"/>
          <w:szCs w:val="24"/>
        </w:rPr>
        <w:t>本基金</w:t>
      </w:r>
      <w:r>
        <w:rPr>
          <w:rFonts w:hint="eastAsia" w:hAnsi="宋体"/>
          <w:sz w:val="24"/>
          <w:szCs w:val="24"/>
        </w:rPr>
        <w:t>A类基金份额和C类基金份额的</w:t>
      </w:r>
      <w:r>
        <w:rPr>
          <w:rFonts w:hAnsi="宋体"/>
          <w:sz w:val="24"/>
          <w:szCs w:val="24"/>
        </w:rPr>
        <w:t>份额净值的计算，</w:t>
      </w:r>
      <w:r>
        <w:rPr>
          <w:rFonts w:hint="eastAsia" w:hAnsi="宋体"/>
          <w:sz w:val="24"/>
          <w:szCs w:val="24"/>
        </w:rPr>
        <w:t>均</w:t>
      </w:r>
      <w:r>
        <w:rPr>
          <w:rFonts w:hAnsi="宋体"/>
          <w:sz w:val="24"/>
          <w:szCs w:val="24"/>
        </w:rPr>
        <w:t>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pPr>
        <w:adjustRightInd w:val="0"/>
        <w:snapToGrid w:val="0"/>
        <w:spacing w:line="360" w:lineRule="auto"/>
        <w:ind w:firstLine="482" w:firstLineChars="200"/>
        <w:outlineLvl w:val="1"/>
        <w:rPr>
          <w:rFonts w:hAnsi="宋体"/>
          <w:kern w:val="0"/>
          <w:sz w:val="24"/>
          <w:szCs w:val="24"/>
        </w:rPr>
      </w:pPr>
      <w:bookmarkStart w:id="33" w:name="_Toc79392615"/>
      <w:r>
        <w:rPr>
          <w:rFonts w:hAnsi="宋体"/>
          <w:b/>
          <w:kern w:val="0"/>
          <w:sz w:val="24"/>
          <w:szCs w:val="24"/>
        </w:rPr>
        <w:t>（八）拒绝或暂停申购的情形</w:t>
      </w:r>
      <w:bookmarkEnd w:id="33"/>
    </w:p>
    <w:p>
      <w:pPr>
        <w:widowControl/>
        <w:adjustRightInd w:val="0"/>
        <w:snapToGrid w:val="0"/>
        <w:spacing w:line="360" w:lineRule="auto"/>
        <w:ind w:firstLine="480" w:firstLineChars="200"/>
        <w:rPr>
          <w:rFonts w:hAnsi="宋体"/>
          <w:kern w:val="0"/>
          <w:sz w:val="24"/>
          <w:szCs w:val="24"/>
        </w:rPr>
      </w:pPr>
      <w:bookmarkStart w:id="34" w:name="_Hlt70481650"/>
      <w:bookmarkEnd w:id="34"/>
      <w:r>
        <w:rPr>
          <w:rFonts w:hint="eastAsia" w:hAnsi="宋体"/>
          <w:kern w:val="0"/>
          <w:sz w:val="24"/>
          <w:szCs w:val="24"/>
        </w:rPr>
        <w:t>发生下列情况时，基金管理人可拒绝或暂停接受投资人的申购申请：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1、因不可抗力导致基金无法正常运作。</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4、接受某笔或某些申购申请可能会影响或损害现有基金份额持有人利益时。</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5、基金资产规模过大，使基金管理人无法找到合适的投资品种，或其他可能对基金业绩产生负面影响，或发生其他损害现有基金份额持有人利益的情形。</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、当前一估值日基金资产净值50%以上的资产出现无可参考的活跃市场价格且采用估值技术仍导致公允价值存在重大不确定性时，经与基金托管人协商确认后，基金管理人应当暂停接受基金申购申请。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7、港股通交易每日额度不足。</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8</w:t>
      </w:r>
      <w:r>
        <w:rPr>
          <w:rFonts w:hint="eastAsia" w:hAnsi="宋体"/>
          <w:kern w:val="0"/>
          <w:sz w:val="24"/>
          <w:szCs w:val="24"/>
        </w:rPr>
        <w:t>、基金管理人接受某笔或者某些申购申请有可能导致单一投资者持有基金份额的比例超过50%，或者变相规避50%集中度的。出现上述情形时，基金管理人有权将上述申购申请全部或部分确认失败。</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9</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发生上述第</w:t>
      </w:r>
      <w:r>
        <w:rPr>
          <w:bCs/>
          <w:sz w:val="24"/>
        </w:rPr>
        <w:t>1、2、</w:t>
      </w:r>
      <w:r>
        <w:rPr>
          <w:rFonts w:hint="eastAsia"/>
          <w:bCs/>
          <w:sz w:val="24"/>
        </w:rPr>
        <w:t>3</w:t>
      </w:r>
      <w:r>
        <w:rPr>
          <w:bCs/>
          <w:sz w:val="24"/>
        </w:rPr>
        <w:t>、5</w:t>
      </w:r>
      <w:r>
        <w:rPr>
          <w:rFonts w:hint="eastAsia"/>
          <w:bCs/>
          <w:sz w:val="24"/>
        </w:rPr>
        <w:t>、6、7</w:t>
      </w:r>
      <w:r>
        <w:rPr>
          <w:bCs/>
          <w:sz w:val="24"/>
        </w:rPr>
        <w:t>、9</w:t>
      </w:r>
      <w:r>
        <w:rPr>
          <w:rFonts w:hint="eastAsia" w:hAnsi="宋体"/>
          <w:kern w:val="0"/>
          <w:sz w:val="24"/>
          <w:szCs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（九）暂停赎回或延缓支付赎回款项的情形</w:t>
      </w:r>
    </w:p>
    <w:p>
      <w:pPr>
        <w:widowControl/>
        <w:adjustRightInd w:val="0"/>
        <w:snapToGrid w:val="0"/>
        <w:spacing w:line="360" w:lineRule="auto"/>
        <w:ind w:firstLine="480" w:firstLineChars="200"/>
        <w:rPr>
          <w:rFonts w:hAnsi="宋体"/>
          <w:kern w:val="0"/>
          <w:sz w:val="24"/>
          <w:szCs w:val="24"/>
        </w:rPr>
      </w:pPr>
      <w:bookmarkStart w:id="35" w:name="_Toc79392616"/>
      <w:r>
        <w:rPr>
          <w:rFonts w:hint="eastAsia" w:hAnsi="宋体"/>
          <w:kern w:val="0"/>
          <w:sz w:val="24"/>
          <w:szCs w:val="24"/>
        </w:rPr>
        <w:t>发生下列情形时，基金管理人可暂停接受投资人的赎回申请或延缓支付赎回款项：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1、因不可抗力导致基金管理人不能支付赎回款项。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4、连续两个或两个以上开放日发生巨额赎回。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5、发生继续接受赎回申请将损害现有基金份额持有人利益的情形时，基金管理人可暂停接受基金份额持有人的赎回申请。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7</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发生上述情形之一且基金管理人决定暂停接受基金份额持有人的赎回申请或延缓支付赎回款项时，基金管理人应</w:t>
      </w:r>
      <w:r>
        <w:rPr>
          <w:rFonts w:hint="eastAsia"/>
          <w:bCs/>
          <w:sz w:val="24"/>
        </w:rPr>
        <w:t>及时</w:t>
      </w:r>
      <w:r>
        <w:rPr>
          <w:rFonts w:hint="eastAsia" w:hAnsi="宋体"/>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（十）巨额赎回的情形及处理方式</w:t>
      </w:r>
      <w:bookmarkEnd w:id="35"/>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w:t>
      </w:r>
      <w:r>
        <w:rPr>
          <w:rFonts w:hint="eastAsia" w:hAnsi="宋体"/>
          <w:kern w:val="0"/>
          <w:sz w:val="24"/>
          <w:szCs w:val="24"/>
        </w:rPr>
        <w:t>、</w:t>
      </w:r>
      <w:r>
        <w:rPr>
          <w:rFonts w:hAnsi="宋体"/>
          <w:kern w:val="0"/>
          <w:sz w:val="24"/>
          <w:szCs w:val="24"/>
        </w:rPr>
        <w:t>巨额赎回的认定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巨额赎回的处理方式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i/>
          <w:kern w:val="0"/>
          <w:sz w:val="24"/>
          <w:u w:val="single"/>
        </w:rPr>
      </w:pPr>
      <w:r>
        <w:rPr>
          <w:rFonts w:hAnsi="宋体"/>
          <w:kern w:val="0"/>
          <w:sz w:val="24"/>
          <w:szCs w:val="24"/>
        </w:rPr>
        <w:t>3</w:t>
      </w:r>
      <w:r>
        <w:rPr>
          <w:rFonts w:hint="eastAsia" w:hAnsi="宋体"/>
          <w:kern w:val="0"/>
          <w:sz w:val="24"/>
          <w:szCs w:val="24"/>
        </w:rPr>
        <w:t>、</w:t>
      </w:r>
      <w:r>
        <w:rPr>
          <w:rFonts w:hAnsi="宋体"/>
          <w:kern w:val="0"/>
          <w:sz w:val="24"/>
          <w:szCs w:val="24"/>
        </w:rPr>
        <w:t>巨额赎回的公告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当发生上述</w:t>
      </w:r>
      <w:r>
        <w:rPr>
          <w:rFonts w:hint="eastAsia" w:hAnsi="宋体"/>
          <w:bCs/>
          <w:kern w:val="0"/>
          <w:sz w:val="24"/>
          <w:szCs w:val="24"/>
        </w:rPr>
        <w:t>巨额</w:t>
      </w:r>
      <w:r>
        <w:rPr>
          <w:rFonts w:hAnsi="宋体"/>
          <w:kern w:val="0"/>
          <w:sz w:val="24"/>
          <w:szCs w:val="24"/>
        </w:rPr>
        <w:t>赎回并延期办理时，基金管理人应当通过邮寄、传真</w:t>
      </w:r>
      <w:r>
        <w:rPr>
          <w:rFonts w:hint="eastAsia" w:hAnsi="宋体"/>
          <w:kern w:val="0"/>
          <w:sz w:val="24"/>
          <w:szCs w:val="24"/>
        </w:rPr>
        <w:t>、刊登公告或者通知销售机构代为告知等</w:t>
      </w:r>
      <w:r>
        <w:rPr>
          <w:rFonts w:hAnsi="宋体"/>
          <w:kern w:val="0"/>
          <w:sz w:val="24"/>
          <w:szCs w:val="24"/>
        </w:rPr>
        <w:t>方式在</w:t>
      </w:r>
      <w:r>
        <w:rPr>
          <w:rFonts w:hint="eastAsia" w:hAnsi="宋体"/>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pPr>
        <w:widowControl/>
        <w:adjustRightInd w:val="0"/>
        <w:snapToGrid w:val="0"/>
        <w:spacing w:line="360" w:lineRule="auto"/>
        <w:ind w:firstLine="482" w:firstLineChars="200"/>
        <w:outlineLvl w:val="1"/>
        <w:rPr>
          <w:b/>
          <w:kern w:val="0"/>
          <w:sz w:val="24"/>
          <w:szCs w:val="24"/>
        </w:rPr>
      </w:pPr>
      <w:bookmarkStart w:id="36" w:name="_Toc79392617"/>
      <w:r>
        <w:rPr>
          <w:rFonts w:hAnsi="宋体"/>
          <w:b/>
          <w:kern w:val="0"/>
          <w:sz w:val="24"/>
          <w:szCs w:val="24"/>
        </w:rPr>
        <w:t>（十一）暂停申购或赎回的公告和重新开放申购或赎回的公告</w:t>
      </w:r>
      <w:bookmarkEnd w:id="36"/>
    </w:p>
    <w:p>
      <w:pPr>
        <w:widowControl/>
        <w:adjustRightInd w:val="0"/>
        <w:snapToGrid w:val="0"/>
        <w:spacing w:line="360" w:lineRule="auto"/>
        <w:ind w:firstLine="480" w:firstLineChars="200"/>
        <w:rPr>
          <w:rFonts w:hAnsi="宋体"/>
          <w:kern w:val="0"/>
          <w:sz w:val="24"/>
          <w:szCs w:val="24"/>
        </w:rPr>
      </w:pPr>
      <w:bookmarkStart w:id="37" w:name="_Toc59441259"/>
      <w:bookmarkStart w:id="38" w:name="_Toc79392618"/>
      <w:bookmarkStart w:id="39" w:name="_Toc15118274"/>
      <w:r>
        <w:rPr>
          <w:rFonts w:hint="eastAsia" w:hAnsi="宋体"/>
          <w:kern w:val="0"/>
          <w:sz w:val="24"/>
          <w:szCs w:val="24"/>
        </w:rPr>
        <w:t>1、发生上述暂停申购或赎回情况的，基金管理人应在规定期限内在规定媒介上刊登暂停公告。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2、如发生暂停的时间为1日，基金管理人应于重新开放日，在规定媒介上刊登基金重新开放申购或赎回公告，并公布最近1个开放日各类基金份额的基金份额净值。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37"/>
    <w:bookmarkEnd w:id="38"/>
    <w:bookmarkEnd w:id="39"/>
    <w:p>
      <w:pPr>
        <w:widowControl/>
        <w:adjustRightInd w:val="0"/>
        <w:snapToGrid w:val="0"/>
        <w:spacing w:line="360" w:lineRule="auto"/>
        <w:ind w:firstLine="482" w:firstLineChars="200"/>
        <w:outlineLvl w:val="1"/>
        <w:rPr>
          <w:b/>
          <w:kern w:val="0"/>
          <w:sz w:val="24"/>
          <w:szCs w:val="24"/>
        </w:rPr>
      </w:pPr>
      <w:bookmarkStart w:id="40" w:name="_Toc79392621"/>
      <w:r>
        <w:rPr>
          <w:rFonts w:hAnsi="宋体"/>
          <w:b/>
          <w:kern w:val="0"/>
          <w:sz w:val="24"/>
          <w:szCs w:val="24"/>
        </w:rPr>
        <w:t>（十二）基金转换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（十三）基金的非交易过户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int="eastAsia" w:hAnsi="宋体"/>
          <w:kern w:val="0"/>
          <w:sz w:val="24"/>
          <w:szCs w:val="24"/>
        </w:rPr>
        <w:t>非交易过户。无论在上述何种情况下，接受划转的主体必须是依法可以持有本基金基金份额的投资人。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（十四）基金的转托管</w:t>
      </w:r>
      <w:bookmarkEnd w:id="40"/>
    </w:p>
    <w:p>
      <w:pPr>
        <w:widowControl/>
        <w:adjustRightInd w:val="0"/>
        <w:snapToGrid w:val="0"/>
        <w:spacing w:line="360" w:lineRule="auto"/>
        <w:ind w:firstLine="480" w:firstLineChars="200"/>
        <w:rPr>
          <w:rFonts w:hAnsi="宋体"/>
          <w:kern w:val="0"/>
          <w:sz w:val="24"/>
          <w:szCs w:val="24"/>
        </w:rPr>
      </w:pPr>
      <w:bookmarkStart w:id="41" w:name="_Toc79392620"/>
      <w:r>
        <w:rPr>
          <w:rFonts w:hint="eastAsia" w:hAnsi="宋体"/>
          <w:kern w:val="0"/>
          <w:sz w:val="24"/>
          <w:szCs w:val="24"/>
        </w:rPr>
        <w:t>基金份额持有人可办理已持有基金份额在不同销售机构之间的转托管，基金销售机构可以按照规定的标准收取转托管费。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（十五）定期定额投资计划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（十六）</w:t>
      </w:r>
      <w:r>
        <w:rPr>
          <w:rFonts w:hAnsi="宋体"/>
          <w:b/>
          <w:sz w:val="24"/>
          <w:szCs w:val="24"/>
        </w:rPr>
        <w:t>基金份额的冻结和解冻</w:t>
      </w:r>
      <w:bookmarkEnd w:id="41"/>
    </w:p>
    <w:p>
      <w:pPr>
        <w:adjustRightInd w:val="0"/>
        <w:snapToGrid w:val="0"/>
        <w:spacing w:line="360" w:lineRule="auto"/>
        <w:ind w:firstLine="480" w:firstLineChars="200"/>
        <w:rPr>
          <w:rFonts w:hAnsi="宋体"/>
          <w:kern w:val="0"/>
          <w:sz w:val="24"/>
          <w:szCs w:val="24"/>
        </w:rPr>
      </w:pPr>
      <w:r>
        <w:rPr>
          <w:rFonts w:hint="eastAsia" w:hAnsi="宋体"/>
          <w:kern w:val="0"/>
          <w:sz w:val="24"/>
          <w:szCs w:val="24"/>
        </w:rPr>
        <w:t>基金登记机构只受理国家有权机关依法要求的基金份额的冻结与解冻，以及登记机构认可、符合法律法规的其他情况下的冻结与解冻。</w:t>
      </w:r>
    </w:p>
    <w:p>
      <w:pPr>
        <w:adjustRightInd w:val="0"/>
        <w:snapToGrid w:val="0"/>
        <w:spacing w:line="360" w:lineRule="auto"/>
        <w:ind w:firstLine="482" w:firstLineChars="200"/>
        <w:outlineLvl w:val="1"/>
        <w:rPr>
          <w:rFonts w:hAnsi="宋体"/>
          <w:b/>
          <w:sz w:val="24"/>
          <w:szCs w:val="24"/>
        </w:rPr>
      </w:pPr>
      <w:bookmarkStart w:id="42" w:name="_Toc109059024"/>
      <w:bookmarkStart w:id="43" w:name="_Toc66720082"/>
      <w:bookmarkStart w:id="44" w:name="_Toc66719557"/>
      <w:r>
        <w:rPr>
          <w:rFonts w:hint="eastAsia" w:hAnsi="宋体"/>
          <w:b/>
          <w:sz w:val="24"/>
          <w:szCs w:val="24"/>
        </w:rPr>
        <w:t>（十七）基金份额的转让</w:t>
      </w:r>
    </w:p>
    <w:p>
      <w:pPr>
        <w:adjustRightInd w:val="0"/>
        <w:snapToGrid w:val="0"/>
        <w:spacing w:line="360" w:lineRule="auto"/>
        <w:ind w:firstLine="480" w:firstLineChars="200"/>
        <w:rPr>
          <w:rFonts w:hAnsi="宋体"/>
          <w:sz w:val="24"/>
          <w:szCs w:val="24"/>
        </w:rPr>
      </w:pPr>
      <w:r>
        <w:rPr>
          <w:rFonts w:hint="eastAsia" w:hAnsi="宋体"/>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djustRightInd w:val="0"/>
        <w:snapToGrid w:val="0"/>
        <w:spacing w:line="360" w:lineRule="auto"/>
        <w:ind w:firstLine="482" w:firstLineChars="200"/>
        <w:outlineLvl w:val="1"/>
        <w:rPr>
          <w:rFonts w:hAnsi="宋体"/>
          <w:b/>
          <w:kern w:val="0"/>
          <w:sz w:val="24"/>
          <w:szCs w:val="24"/>
        </w:rPr>
      </w:pPr>
      <w:r>
        <w:rPr>
          <w:rFonts w:hAnsi="宋体"/>
          <w:b/>
          <w:kern w:val="0"/>
          <w:sz w:val="24"/>
          <w:szCs w:val="24"/>
        </w:rPr>
        <w:t>（十</w:t>
      </w:r>
      <w:r>
        <w:rPr>
          <w:rFonts w:hint="eastAsia" w:hAnsi="宋体"/>
          <w:b/>
          <w:kern w:val="0"/>
          <w:sz w:val="24"/>
          <w:szCs w:val="24"/>
        </w:rPr>
        <w:t>八</w:t>
      </w:r>
      <w:r>
        <w:rPr>
          <w:rFonts w:hAnsi="宋体"/>
          <w:b/>
          <w:kern w:val="0"/>
          <w:sz w:val="24"/>
          <w:szCs w:val="24"/>
        </w:rPr>
        <w:t>）</w:t>
      </w:r>
      <w:r>
        <w:rPr>
          <w:rFonts w:hint="eastAsia" w:hAnsi="宋体"/>
          <w:b/>
          <w:kern w:val="0"/>
          <w:sz w:val="24"/>
          <w:szCs w:val="24"/>
        </w:rPr>
        <w:t>实施侧袋机制期间本基金的申购与赎回</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本基金实施侧袋机制的，本基金的申购和赎回安排详见本招募说明书“侧袋机制”部分的规定或相关公告。</w:t>
      </w:r>
    </w:p>
    <w:p>
      <w:pPr>
        <w:adjustRightInd w:val="0"/>
        <w:snapToGrid w:val="0"/>
        <w:spacing w:line="360" w:lineRule="auto"/>
        <w:ind w:firstLine="482" w:firstLineChars="200"/>
        <w:outlineLvl w:val="1"/>
        <w:rPr>
          <w:rFonts w:hAnsi="宋体"/>
          <w:i/>
          <w:kern w:val="0"/>
          <w:sz w:val="24"/>
          <w:u w:val="single"/>
        </w:rPr>
      </w:pPr>
      <w:r>
        <w:rPr>
          <w:rFonts w:hint="eastAsia" w:hAnsi="宋体"/>
          <w:b/>
          <w:kern w:val="0"/>
          <w:sz w:val="24"/>
          <w:szCs w:val="24"/>
        </w:rPr>
        <w:t>（十九</w:t>
      </w:r>
      <w:r>
        <w:rPr>
          <w:rFonts w:hAnsi="宋体"/>
          <w:b/>
          <w:kern w:val="0"/>
          <w:sz w:val="24"/>
          <w:szCs w:val="24"/>
        </w:rPr>
        <w:t>）</w:t>
      </w:r>
      <w:r>
        <w:rPr>
          <w:rFonts w:hint="eastAsia" w:hAnsi="宋体"/>
          <w:b/>
          <w:sz w:val="24"/>
          <w:szCs w:val="24"/>
        </w:rPr>
        <w:t>其他业务</w:t>
      </w:r>
    </w:p>
    <w:p>
      <w:pPr>
        <w:adjustRightInd w:val="0"/>
        <w:snapToGrid w:val="0"/>
        <w:spacing w:line="360" w:lineRule="auto"/>
        <w:ind w:firstLine="480" w:firstLineChars="200"/>
        <w:rPr>
          <w:rFonts w:ascii="宋体" w:hAnsi="宋体"/>
          <w:sz w:val="24"/>
        </w:rPr>
      </w:pPr>
      <w:r>
        <w:rPr>
          <w:rFonts w:hint="eastAsia"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End w:id="28"/>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45" w:name="_Toc48122010"/>
      <w:r>
        <w:rPr>
          <w:rFonts w:hint="eastAsia" w:ascii="宋体" w:hAnsi="宋体"/>
          <w:b/>
          <w:kern w:val="0"/>
          <w:sz w:val="30"/>
        </w:rPr>
        <w:t>九、基金的投资</w:t>
      </w:r>
      <w:bookmarkEnd w:id="45"/>
    </w:p>
    <w:p>
      <w:pPr>
        <w:adjustRightInd w:val="0"/>
        <w:snapToGrid w:val="0"/>
        <w:spacing w:line="360" w:lineRule="auto"/>
        <w:ind w:firstLine="482" w:firstLineChars="200"/>
        <w:outlineLvl w:val="1"/>
        <w:rPr>
          <w:rFonts w:hAnsi="宋体"/>
          <w:kern w:val="0"/>
          <w:sz w:val="24"/>
          <w:szCs w:val="24"/>
        </w:rPr>
      </w:pPr>
      <w:bookmarkStart w:id="46" w:name="_Hlk50018503"/>
      <w:r>
        <w:rPr>
          <w:rFonts w:hint="eastAsia"/>
          <w:b/>
          <w:bCs/>
          <w:sz w:val="24"/>
        </w:rPr>
        <w:t>（一）投资目标</w:t>
      </w:r>
    </w:p>
    <w:p>
      <w:pPr>
        <w:adjustRightInd w:val="0"/>
        <w:snapToGrid w:val="0"/>
        <w:spacing w:line="360" w:lineRule="auto"/>
        <w:ind w:firstLine="482"/>
        <w:rPr>
          <w:bCs/>
          <w:sz w:val="24"/>
        </w:rPr>
      </w:pPr>
      <w:r>
        <w:rPr>
          <w:rFonts w:hint="eastAsia"/>
          <w:bCs/>
          <w:sz w:val="24"/>
        </w:rPr>
        <w:t>本基金在严格控制风险的前提下，充分发挥专业研究与管理能力，力争为投资者提供长期稳健的投资回报。</w:t>
      </w:r>
    </w:p>
    <w:p>
      <w:pPr>
        <w:adjustRightInd w:val="0"/>
        <w:snapToGrid w:val="0"/>
        <w:spacing w:line="360" w:lineRule="auto"/>
        <w:ind w:firstLine="482"/>
        <w:outlineLvl w:val="1"/>
        <w:rPr>
          <w:b/>
          <w:bCs/>
          <w:sz w:val="24"/>
        </w:rPr>
      </w:pPr>
      <w:r>
        <w:rPr>
          <w:rFonts w:hint="eastAsia"/>
          <w:b/>
          <w:bCs/>
          <w:sz w:val="24"/>
        </w:rPr>
        <w:t>（二）投资范围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本基金的投资范围为具有良好流动性的金融工具，包括国内依法发行上市的股票（含创业板及其他经中国证监会核准</w:t>
      </w:r>
      <w:r>
        <w:rPr>
          <w:rFonts w:hint="eastAsia"/>
          <w:bCs/>
          <w:sz w:val="24"/>
        </w:rPr>
        <w:t>或注册</w:t>
      </w:r>
      <w:r>
        <w:rPr>
          <w:rFonts w:hint="eastAsia" w:ascii="宋体" w:hAnsi="宋体"/>
          <w:bCs/>
          <w:sz w:val="24"/>
          <w:szCs w:val="24"/>
        </w:rPr>
        <w:t>上市的股票、存托凭证）、</w:t>
      </w:r>
      <w:r>
        <w:rPr>
          <w:rFonts w:hint="eastAsia"/>
          <w:bCs/>
          <w:sz w:val="24"/>
        </w:rPr>
        <w:t>港股通标的股票、</w:t>
      </w:r>
      <w:r>
        <w:rPr>
          <w:rFonts w:hint="eastAsia" w:ascii="宋体" w:hAnsi="宋体"/>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2"/>
        <w:rPr>
          <w:rFonts w:ascii="宋体" w:hAnsi="宋体"/>
          <w:bCs/>
          <w:sz w:val="24"/>
          <w:szCs w:val="24"/>
        </w:rPr>
      </w:pPr>
      <w:r>
        <w:rPr>
          <w:rFonts w:hint="eastAsia" w:ascii="宋体" w:hAnsi="宋体"/>
          <w:bCs/>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基金的投资组合比例为：</w:t>
      </w:r>
      <w:r>
        <w:rPr>
          <w:rFonts w:hint="eastAsia"/>
          <w:bCs/>
          <w:sz w:val="24"/>
        </w:rPr>
        <w:t>股票投资（含存托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2"/>
        <w:rPr>
          <w:bCs/>
          <w:sz w:val="24"/>
        </w:rPr>
      </w:pPr>
      <w:r>
        <w:rPr>
          <w:rFonts w:hint="eastAsia" w:ascii="宋体" w:hAnsi="宋体"/>
          <w:bCs/>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firstLineChars="200"/>
        <w:outlineLvl w:val="1"/>
        <w:rPr>
          <w:rFonts w:hAnsi="宋体"/>
          <w:kern w:val="0"/>
          <w:sz w:val="24"/>
          <w:szCs w:val="24"/>
        </w:rPr>
      </w:pPr>
      <w:r>
        <w:rPr>
          <w:rFonts w:hint="eastAsia"/>
          <w:b/>
          <w:bCs/>
          <w:sz w:val="24"/>
        </w:rPr>
        <w:t>（三）投资策略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Pr>
          <w:rFonts w:hint="eastAsia" w:ascii="宋体" w:hAnsi="宋体"/>
          <w:bCs/>
          <w:sz w:val="24"/>
          <w:szCs w:val="24"/>
        </w:rPr>
        <w:t>个券；在保持总体风险水平相对稳定的基础上，力争获取投资组合的较高回报。</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1、大类资产配置</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本基金利用经交银施罗德研究团队修正后的投资时钟分析框架，通过“自上而下”的定性分析和定量分析相结合形成对不同资产市场表现的预测和判断，确定基金资产在</w:t>
      </w:r>
      <w:r>
        <w:rPr>
          <w:rFonts w:hint="eastAsia"/>
          <w:bCs/>
          <w:sz w:val="24"/>
        </w:rPr>
        <w:t>沪深A股、港股</w:t>
      </w:r>
      <w:r>
        <w:rPr>
          <w:rFonts w:hint="eastAsia" w:ascii="宋体" w:hAnsi="宋体"/>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2、股票投资策略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（1）品质筛选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筛选出在公司治理、财务及管理品质上符合基本品质要求的公司，构建备选股票池。主要筛选指标包括：</w:t>
      </w:r>
    </w:p>
    <w:p>
      <w:pPr>
        <w:pStyle w:val="50"/>
        <w:numPr>
          <w:ilvl w:val="0"/>
          <w:numId w:val="2"/>
        </w:numPr>
        <w:adjustRightInd w:val="0"/>
        <w:snapToGrid w:val="0"/>
        <w:spacing w:line="360" w:lineRule="auto"/>
        <w:ind w:firstLineChars="0"/>
        <w:rPr>
          <w:rFonts w:ascii="宋体" w:hAnsi="宋体"/>
          <w:bCs/>
          <w:sz w:val="24"/>
          <w:szCs w:val="24"/>
        </w:rPr>
      </w:pPr>
      <w:r>
        <w:rPr>
          <w:rFonts w:hint="eastAsia" w:ascii="宋体" w:hAnsi="宋体"/>
          <w:bCs/>
          <w:sz w:val="24"/>
          <w:szCs w:val="24"/>
        </w:rPr>
        <w:t>盈利能力指标：如市盈率（P/E）、市现率（P/Cash Flow）、股价与每股自由现金流比率（P/FCF）、市销率（P/S）、股价与每股息税前利润比率（P/EBIT）等；</w:t>
      </w:r>
    </w:p>
    <w:p>
      <w:pPr>
        <w:pStyle w:val="50"/>
        <w:numPr>
          <w:ilvl w:val="0"/>
          <w:numId w:val="2"/>
        </w:numPr>
        <w:adjustRightInd w:val="0"/>
        <w:snapToGrid w:val="0"/>
        <w:spacing w:line="360" w:lineRule="auto"/>
        <w:ind w:firstLineChars="0"/>
        <w:rPr>
          <w:rFonts w:ascii="宋体" w:hAnsi="宋体"/>
          <w:bCs/>
          <w:sz w:val="24"/>
          <w:szCs w:val="24"/>
        </w:rPr>
      </w:pPr>
      <w:r>
        <w:rPr>
          <w:rFonts w:hint="eastAsia" w:ascii="宋体" w:hAnsi="宋体"/>
          <w:bCs/>
          <w:sz w:val="24"/>
          <w:szCs w:val="24"/>
        </w:rPr>
        <w:t>经营效率指标：如净资产收益率（ROE）、资产收益率（ROA）、经营资产回报率（Return on operating assets）等；</w:t>
      </w:r>
    </w:p>
    <w:p>
      <w:pPr>
        <w:pStyle w:val="50"/>
        <w:numPr>
          <w:ilvl w:val="0"/>
          <w:numId w:val="2"/>
        </w:numPr>
        <w:adjustRightInd w:val="0"/>
        <w:snapToGrid w:val="0"/>
        <w:spacing w:line="360" w:lineRule="auto"/>
        <w:ind w:firstLineChars="0"/>
        <w:rPr>
          <w:rFonts w:ascii="宋体" w:hAnsi="宋体"/>
          <w:bCs/>
          <w:sz w:val="24"/>
          <w:szCs w:val="24"/>
        </w:rPr>
      </w:pPr>
      <w:r>
        <w:rPr>
          <w:rFonts w:hint="eastAsia" w:ascii="宋体" w:hAnsi="宋体"/>
          <w:bCs/>
          <w:sz w:val="24"/>
          <w:szCs w:val="24"/>
        </w:rPr>
        <w:t>财务状况指标：如资产负债率（D/A）、流动比率等；</w:t>
      </w:r>
    </w:p>
    <w:p>
      <w:pPr>
        <w:pStyle w:val="50"/>
        <w:numPr>
          <w:ilvl w:val="0"/>
          <w:numId w:val="2"/>
        </w:numPr>
        <w:adjustRightInd w:val="0"/>
        <w:snapToGrid w:val="0"/>
        <w:spacing w:line="360" w:lineRule="auto"/>
        <w:ind w:firstLineChars="0"/>
        <w:rPr>
          <w:rFonts w:ascii="宋体" w:hAnsi="宋体"/>
          <w:bCs/>
          <w:sz w:val="24"/>
          <w:szCs w:val="24"/>
        </w:rPr>
      </w:pPr>
      <w:r>
        <w:rPr>
          <w:rFonts w:hint="eastAsia" w:ascii="宋体" w:hAnsi="宋体"/>
          <w:bCs/>
          <w:sz w:val="24"/>
          <w:szCs w:val="24"/>
        </w:rPr>
        <w:t>研发投入指标：如研发投入与营业收入比率、科研人员数量及占比、专利数量及在同行业的占比等。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（2）价值评估</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（3）港股通标的股票投资策略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本基金可通过内地与香港股票市场交易互联互通机制投资于香港股票市场。本基金优先将基本面健康、业绩向上弹性较大、具有估值优势的港股纳入本基金的股票投资组合。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本基金可根据投资策略需要或不同配置地市场环境的变化，选择将部分基金资产投资于港股或选择不将基金资产投资于港股，基金资产并非必然投资港股。</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（4）存托凭证的投资策略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本基金投资存托凭证的策略依照境内上市交易的股票投资策略执行。</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3、债券投资策略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本基金的债券投资采取主动的投资管理方式，获得与风险相匹配的投资收益，以实现在一定程度上规避股票市场的系统性风险和保证基金资产的流动性。</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w:t>
      </w:r>
      <w:r>
        <w:rPr>
          <w:rFonts w:hint="eastAsia"/>
          <w:bCs/>
          <w:sz w:val="24"/>
        </w:rPr>
        <w:t>类属配置策略、</w:t>
      </w:r>
      <w:r>
        <w:rPr>
          <w:rFonts w:hint="eastAsia" w:ascii="宋体" w:hAnsi="宋体"/>
          <w:bCs/>
          <w:sz w:val="24"/>
          <w:szCs w:val="24"/>
        </w:rPr>
        <w:t>期限结构配置策略、</w:t>
      </w:r>
      <w:r>
        <w:rPr>
          <w:rFonts w:hint="eastAsia"/>
          <w:bCs/>
          <w:sz w:val="24"/>
        </w:rPr>
        <w:t>回购策略、信用债券投资策略、可转换债券投资策略</w:t>
      </w:r>
      <w:r>
        <w:rPr>
          <w:rFonts w:hint="eastAsia" w:ascii="宋体" w:hAnsi="宋体"/>
          <w:bCs/>
          <w:sz w:val="24"/>
          <w:szCs w:val="24"/>
        </w:rPr>
        <w:t>等多种策略，以期获取债券市场的长期稳定收益。</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4、资产支持证券投资策略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5</w:t>
      </w:r>
      <w:r>
        <w:rPr>
          <w:rFonts w:hint="eastAsia" w:ascii="宋体" w:hAnsi="宋体"/>
          <w:bCs/>
          <w:sz w:val="24"/>
          <w:szCs w:val="24"/>
        </w:rPr>
        <w:t>、股指期货投资策略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adjustRightInd w:val="0"/>
        <w:snapToGrid w:val="0"/>
        <w:spacing w:line="360" w:lineRule="auto"/>
        <w:ind w:firstLine="482" w:firstLineChars="200"/>
        <w:outlineLvl w:val="1"/>
        <w:rPr>
          <w:rFonts w:hAnsi="宋体"/>
          <w:kern w:val="0"/>
          <w:sz w:val="24"/>
        </w:rPr>
      </w:pPr>
      <w:r>
        <w:rPr>
          <w:rFonts w:hint="eastAsia"/>
          <w:b/>
          <w:bCs/>
          <w:sz w:val="24"/>
        </w:rPr>
        <w:t>（四）投资限制</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1、组合限制</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基金的投资组合应遵循以下限制：</w:t>
      </w:r>
    </w:p>
    <w:p>
      <w:pPr>
        <w:adjustRightInd w:val="0"/>
        <w:snapToGrid w:val="0"/>
        <w:spacing w:line="360" w:lineRule="auto"/>
        <w:ind w:firstLine="480" w:firstLineChars="200"/>
        <w:rPr>
          <w:bCs/>
          <w:sz w:val="24"/>
        </w:rPr>
      </w:pPr>
      <w:r>
        <w:rPr>
          <w:rFonts w:hint="eastAsia"/>
          <w:bCs/>
          <w:sz w:val="24"/>
        </w:rPr>
        <w:t>（1）股票投资（含存托凭证）占基金资产的比例为60%-95%，其中投资于港股通标的股票的比例占股票资产的0%-50%；</w:t>
      </w:r>
    </w:p>
    <w:p>
      <w:pPr>
        <w:adjustRightInd w:val="0"/>
        <w:snapToGrid w:val="0"/>
        <w:spacing w:line="360" w:lineRule="auto"/>
        <w:ind w:firstLine="480" w:firstLineChars="200"/>
        <w:rPr>
          <w:bCs/>
          <w:sz w:val="24"/>
        </w:rPr>
      </w:pPr>
      <w:r>
        <w:rPr>
          <w:rFonts w:hint="eastAsia"/>
          <w:bCs/>
          <w:sz w:val="24"/>
        </w:rPr>
        <w:t>（2）每个交易日日终在扣除股指期货合约需缴纳的交易保证金后，本基金持有</w:t>
      </w:r>
      <w:r>
        <w:rPr>
          <w:bCs/>
          <w:sz w:val="24"/>
        </w:rPr>
        <w:t>的现金或者到期日在一年以内的政府债券</w:t>
      </w:r>
      <w:r>
        <w:rPr>
          <w:rFonts w:hint="eastAsia"/>
          <w:bCs/>
          <w:sz w:val="24"/>
        </w:rPr>
        <w:t>的投资比例合计不低于基金资产净值的5%，</w:t>
      </w:r>
      <w:r>
        <w:rPr>
          <w:bCs/>
          <w:sz w:val="24"/>
        </w:rPr>
        <w:t>其中现金不包括结算备付金、存出保证金和应收申购款等</w:t>
      </w:r>
      <w:r>
        <w:rPr>
          <w:rFonts w:hint="eastAsia"/>
          <w:bCs/>
          <w:sz w:val="24"/>
        </w:rPr>
        <w:t>；</w:t>
      </w:r>
    </w:p>
    <w:p>
      <w:pPr>
        <w:adjustRightInd w:val="0"/>
        <w:snapToGrid w:val="0"/>
        <w:spacing w:line="360" w:lineRule="auto"/>
        <w:ind w:firstLine="480" w:firstLineChars="200"/>
        <w:rPr>
          <w:bCs/>
          <w:sz w:val="24"/>
        </w:rPr>
      </w:pPr>
      <w:r>
        <w:rPr>
          <w:rFonts w:hint="eastAsia"/>
          <w:bCs/>
          <w:sz w:val="24"/>
        </w:rPr>
        <w:t>（3）本基金持有一家公司发行的证券（同一家公司在内地和香港同时上市的A+H股合计计算），其市值不超过基金资产净值的10％；</w:t>
      </w:r>
    </w:p>
    <w:p>
      <w:pPr>
        <w:adjustRightInd w:val="0"/>
        <w:snapToGrid w:val="0"/>
        <w:spacing w:line="360" w:lineRule="auto"/>
        <w:ind w:firstLine="480" w:firstLineChars="200"/>
        <w:rPr>
          <w:bCs/>
          <w:sz w:val="24"/>
        </w:rPr>
      </w:pPr>
      <w:r>
        <w:rPr>
          <w:rFonts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adjustRightInd w:val="0"/>
        <w:snapToGrid w:val="0"/>
        <w:spacing w:line="360" w:lineRule="auto"/>
        <w:ind w:firstLine="480" w:firstLineChars="200"/>
        <w:rPr>
          <w:bCs/>
          <w:sz w:val="24"/>
        </w:rPr>
      </w:pPr>
      <w:r>
        <w:rPr>
          <w:rFonts w:hint="eastAsia"/>
          <w:bCs/>
          <w:sz w:val="24"/>
        </w:rPr>
        <w:t>（6）本基金持有的全部资产支持证券，其市值不得超过基金资产净值的20％；</w:t>
      </w:r>
    </w:p>
    <w:p>
      <w:pPr>
        <w:adjustRightInd w:val="0"/>
        <w:snapToGrid w:val="0"/>
        <w:spacing w:line="360" w:lineRule="auto"/>
        <w:ind w:firstLine="480" w:firstLineChars="200"/>
        <w:rPr>
          <w:bCs/>
          <w:sz w:val="24"/>
        </w:rPr>
      </w:pPr>
      <w:r>
        <w:rPr>
          <w:rFonts w:hint="eastAsia"/>
          <w:bCs/>
          <w:sz w:val="24"/>
        </w:rPr>
        <w:t>（7）本基金持有的同一（指同一信用级别）资产支持证券的比例，不得超过该资产支持证券规模的10％；</w:t>
      </w:r>
    </w:p>
    <w:p>
      <w:pPr>
        <w:adjustRightInd w:val="0"/>
        <w:snapToGrid w:val="0"/>
        <w:spacing w:line="360" w:lineRule="auto"/>
        <w:ind w:firstLine="480" w:firstLineChars="200"/>
        <w:rPr>
          <w:bCs/>
          <w:sz w:val="24"/>
        </w:rPr>
      </w:pPr>
      <w:r>
        <w:rPr>
          <w:rFonts w:hint="eastAsia"/>
          <w:bCs/>
          <w:sz w:val="24"/>
        </w:rPr>
        <w:t>（8）本基金管理人管理的全部基金投资于同一原始权益人的各类资产支持证券，不得超过其各类资产支持证券合计规模的10％；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）本基金进入全国银行间同业市场进行债券回购的资金余额不得超过基金资产净值的40%，进入全国银行间同业市场进行债券回购的最长期限为1年，债券回购到期后不得展期；</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）本基金参与股指期货交易，则：</w:t>
      </w:r>
    </w:p>
    <w:p>
      <w:pPr>
        <w:adjustRightInd w:val="0"/>
        <w:snapToGrid w:val="0"/>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adjustRightInd w:val="0"/>
        <w:snapToGrid w:val="0"/>
        <w:spacing w:line="360" w:lineRule="auto"/>
        <w:ind w:firstLine="480" w:firstLineChars="200"/>
        <w:rPr>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adjustRightInd w:val="0"/>
        <w:snapToGrid w:val="0"/>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adjustRightInd w:val="0"/>
        <w:snapToGrid w:val="0"/>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）本基金资产总值不超过基金资产净值的140%；</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）本基金投资存托凭证的比例限制依照境内上市交易的股票执行；</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）法律法规及中国证监会规定的和《基金合同》约定的其他投资限制。</w:t>
      </w:r>
    </w:p>
    <w:p>
      <w:pPr>
        <w:adjustRightInd w:val="0"/>
        <w:snapToGrid w:val="0"/>
        <w:spacing w:line="360" w:lineRule="auto"/>
        <w:ind w:firstLine="480" w:firstLineChars="200"/>
        <w:rPr>
          <w:bCs/>
          <w:sz w:val="24"/>
        </w:rPr>
      </w:pPr>
      <w:r>
        <w:rPr>
          <w:rFonts w:hint="eastAsia"/>
          <w:bCs/>
          <w:sz w:val="24"/>
        </w:rPr>
        <w:t>除上述（2）、（9）、（1</w:t>
      </w:r>
      <w:r>
        <w:rPr>
          <w:bCs/>
          <w:sz w:val="24"/>
        </w:rPr>
        <w:t>3</w:t>
      </w:r>
      <w:r>
        <w:rPr>
          <w:rFonts w:hint="eastAsia"/>
          <w:bCs/>
          <w:sz w:val="24"/>
        </w:rPr>
        <w:t>）、（1</w:t>
      </w:r>
      <w:r>
        <w:rPr>
          <w:bCs/>
          <w:sz w:val="24"/>
        </w:rPr>
        <w:t>4</w:t>
      </w:r>
      <w:r>
        <w:rPr>
          <w:rFonts w:hint="eastAsia"/>
          <w:bCs/>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napToGrid w:val="0"/>
        <w:spacing w:line="360" w:lineRule="auto"/>
        <w:ind w:firstLine="480" w:firstLineChars="20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snapToGrid w:val="0"/>
        <w:spacing w:line="360" w:lineRule="auto"/>
        <w:ind w:firstLine="480" w:firstLineChars="200"/>
        <w:outlineLvl w:val="2"/>
        <w:rPr>
          <w:rFonts w:ascii="宋体" w:hAnsi="宋体"/>
          <w:sz w:val="24"/>
          <w:szCs w:val="24"/>
        </w:rPr>
      </w:pPr>
      <w:r>
        <w:rPr>
          <w:rFonts w:hint="eastAsia" w:ascii="宋体" w:hAnsi="宋体"/>
          <w:sz w:val="24"/>
          <w:szCs w:val="24"/>
        </w:rPr>
        <w:t>2、禁止行为</w:t>
      </w:r>
    </w:p>
    <w:p>
      <w:pPr>
        <w:snapToGrid w:val="0"/>
        <w:spacing w:line="360" w:lineRule="auto"/>
        <w:ind w:firstLine="480" w:firstLineChars="200"/>
        <w:rPr>
          <w:rFonts w:ascii="宋体" w:hAnsi="宋体"/>
          <w:sz w:val="24"/>
          <w:szCs w:val="24"/>
        </w:rPr>
      </w:pPr>
      <w:r>
        <w:rPr>
          <w:rFonts w:hint="eastAsia" w:ascii="宋体" w:hAnsi="宋体"/>
          <w:sz w:val="24"/>
          <w:szCs w:val="24"/>
        </w:rPr>
        <w:t>为维护基金份额持有人的合法权益，基金财产不得用于下列投资或者活动：</w:t>
      </w:r>
    </w:p>
    <w:p>
      <w:pPr>
        <w:snapToGrid w:val="0"/>
        <w:spacing w:line="360" w:lineRule="auto"/>
        <w:ind w:firstLine="480" w:firstLineChars="200"/>
        <w:rPr>
          <w:rFonts w:ascii="宋体" w:hAnsi="宋体"/>
          <w:sz w:val="24"/>
          <w:szCs w:val="24"/>
        </w:rPr>
      </w:pPr>
      <w:r>
        <w:rPr>
          <w:rFonts w:hint="eastAsia" w:ascii="宋体" w:hAnsi="宋体"/>
          <w:sz w:val="24"/>
          <w:szCs w:val="24"/>
        </w:rPr>
        <w:t>（1）承销证券；</w:t>
      </w:r>
    </w:p>
    <w:p>
      <w:pPr>
        <w:snapToGrid w:val="0"/>
        <w:spacing w:line="360" w:lineRule="auto"/>
        <w:ind w:firstLine="480" w:firstLineChars="200"/>
        <w:rPr>
          <w:rFonts w:ascii="宋体" w:hAnsi="宋体"/>
          <w:sz w:val="24"/>
          <w:szCs w:val="24"/>
        </w:rPr>
      </w:pPr>
      <w:r>
        <w:rPr>
          <w:rFonts w:hint="eastAsia" w:ascii="宋体" w:hAnsi="宋体"/>
          <w:sz w:val="24"/>
          <w:szCs w:val="24"/>
        </w:rPr>
        <w:t>（2）违反规定向他人贷款或者提供担保；</w:t>
      </w:r>
    </w:p>
    <w:p>
      <w:pPr>
        <w:snapToGrid w:val="0"/>
        <w:spacing w:line="360" w:lineRule="auto"/>
        <w:ind w:firstLine="480" w:firstLineChars="200"/>
        <w:rPr>
          <w:rFonts w:ascii="宋体" w:hAnsi="宋体"/>
          <w:sz w:val="24"/>
          <w:szCs w:val="24"/>
        </w:rPr>
      </w:pPr>
      <w:r>
        <w:rPr>
          <w:rFonts w:hint="eastAsia" w:ascii="宋体" w:hAnsi="宋体"/>
          <w:sz w:val="24"/>
          <w:szCs w:val="24"/>
        </w:rPr>
        <w:t>（3）从事承担无限责任的投资；</w:t>
      </w:r>
    </w:p>
    <w:p>
      <w:pPr>
        <w:snapToGrid w:val="0"/>
        <w:spacing w:line="360" w:lineRule="auto"/>
        <w:ind w:firstLine="480" w:firstLineChars="200"/>
        <w:rPr>
          <w:rFonts w:ascii="宋体" w:hAnsi="宋体"/>
          <w:sz w:val="24"/>
          <w:szCs w:val="24"/>
        </w:rPr>
      </w:pPr>
      <w:r>
        <w:rPr>
          <w:rFonts w:hint="eastAsia" w:ascii="宋体" w:hAnsi="宋体"/>
          <w:sz w:val="24"/>
          <w:szCs w:val="24"/>
        </w:rPr>
        <w:t>（4）买卖其他基金份额，但是中国证监会另有规定的除外；</w:t>
      </w:r>
    </w:p>
    <w:p>
      <w:pPr>
        <w:snapToGrid w:val="0"/>
        <w:spacing w:line="360" w:lineRule="auto"/>
        <w:ind w:firstLine="480" w:firstLineChars="200"/>
        <w:rPr>
          <w:rFonts w:ascii="宋体" w:hAnsi="宋体"/>
          <w:sz w:val="24"/>
          <w:szCs w:val="24"/>
        </w:rPr>
      </w:pPr>
      <w:r>
        <w:rPr>
          <w:rFonts w:hint="eastAsia" w:ascii="宋体" w:hAnsi="宋体"/>
          <w:sz w:val="24"/>
          <w:szCs w:val="24"/>
        </w:rPr>
        <w:t>（5）向其基金管理人、基金托管人出资；</w:t>
      </w:r>
    </w:p>
    <w:p>
      <w:pPr>
        <w:snapToGrid w:val="0"/>
        <w:spacing w:line="360" w:lineRule="auto"/>
        <w:ind w:firstLine="480" w:firstLineChars="200"/>
        <w:rPr>
          <w:rFonts w:ascii="宋体" w:hAnsi="宋体"/>
          <w:sz w:val="24"/>
          <w:szCs w:val="24"/>
        </w:rPr>
      </w:pPr>
      <w:r>
        <w:rPr>
          <w:rFonts w:hint="eastAsia" w:ascii="宋体" w:hAnsi="宋体"/>
          <w:sz w:val="24"/>
          <w:szCs w:val="24"/>
        </w:rPr>
        <w:t>（6）从事内幕交易、操纵证券交易价格及其他不正当的证券交易活动；</w:t>
      </w:r>
    </w:p>
    <w:p>
      <w:pPr>
        <w:snapToGrid w:val="0"/>
        <w:spacing w:line="360" w:lineRule="auto"/>
        <w:ind w:firstLine="480" w:firstLineChars="200"/>
        <w:rPr>
          <w:rFonts w:ascii="宋体" w:hAnsi="宋体"/>
          <w:sz w:val="24"/>
          <w:szCs w:val="24"/>
        </w:rPr>
      </w:pPr>
      <w:r>
        <w:rPr>
          <w:rFonts w:hint="eastAsia" w:ascii="宋体" w:hAnsi="宋体"/>
          <w:sz w:val="24"/>
          <w:szCs w:val="24"/>
        </w:rPr>
        <w:t>（7）法律、行政法规和中国证监会规定禁止的其他活动。</w:t>
      </w:r>
    </w:p>
    <w:p>
      <w:pPr>
        <w:snapToGrid w:val="0"/>
        <w:spacing w:line="360" w:lineRule="auto"/>
        <w:ind w:firstLine="480" w:firstLineChars="200"/>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napToGrid w:val="0"/>
        <w:spacing w:line="360" w:lineRule="auto"/>
        <w:ind w:firstLine="480" w:firstLineChars="200"/>
        <w:rPr>
          <w:rFonts w:ascii="宋体" w:hAnsi="宋体"/>
          <w:sz w:val="24"/>
          <w:szCs w:val="24"/>
        </w:rPr>
      </w:pPr>
      <w:r>
        <w:rPr>
          <w:rFonts w:hint="eastAsia" w:ascii="宋体" w:hAnsi="宋体"/>
          <w:sz w:val="24"/>
          <w:szCs w:val="24"/>
        </w:rPr>
        <w:t>如法律、行政法规或监管部门取消或变更上述规定，如适用于本基金，基金管理人在履行适当程序后，本基金可不受上述规定的限制。</w:t>
      </w:r>
    </w:p>
    <w:p>
      <w:pPr>
        <w:adjustRightInd w:val="0"/>
        <w:snapToGrid w:val="0"/>
        <w:spacing w:line="360" w:lineRule="auto"/>
        <w:ind w:firstLine="482" w:firstLineChars="200"/>
        <w:outlineLvl w:val="1"/>
        <w:rPr>
          <w:rFonts w:hAnsi="宋体"/>
          <w:kern w:val="0"/>
          <w:sz w:val="24"/>
        </w:rPr>
      </w:pPr>
      <w:r>
        <w:rPr>
          <w:rFonts w:hint="eastAsia"/>
          <w:b/>
          <w:bCs/>
          <w:sz w:val="24"/>
        </w:rPr>
        <w:t>（五）业绩比较基准</w:t>
      </w:r>
    </w:p>
    <w:p>
      <w:pPr>
        <w:adjustRightInd w:val="0"/>
        <w:snapToGrid w:val="0"/>
        <w:spacing w:line="360" w:lineRule="auto"/>
        <w:ind w:firstLine="480" w:firstLineChars="200"/>
        <w:rPr>
          <w:bCs/>
          <w:sz w:val="24"/>
        </w:rPr>
      </w:pPr>
      <w:r>
        <w:rPr>
          <w:rFonts w:hint="eastAsia"/>
          <w:bCs/>
          <w:sz w:val="24"/>
        </w:rPr>
        <w:t>沪深300指数收益率×70%+恒生指数收益率×5%+中证综合债券指数收益率×25%</w:t>
      </w:r>
    </w:p>
    <w:p>
      <w:pPr>
        <w:adjustRightInd w:val="0"/>
        <w:snapToGrid w:val="0"/>
        <w:spacing w:line="360" w:lineRule="auto"/>
        <w:ind w:firstLine="480" w:firstLineChars="200"/>
        <w:rPr>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adjustRightInd w:val="0"/>
        <w:snapToGrid w:val="0"/>
        <w:spacing w:line="360" w:lineRule="auto"/>
        <w:ind w:firstLine="480" w:firstLineChars="200"/>
        <w:rPr>
          <w:bCs/>
          <w:sz w:val="24"/>
        </w:rPr>
      </w:pPr>
      <w:r>
        <w:rPr>
          <w:rFonts w:hint="eastAsia"/>
          <w:bCs/>
          <w:sz w:val="24"/>
        </w:rPr>
        <w:t>恒生指数是由恒生指数服务有限公司编制，以香港股票市场中的50家上市股票为成份股样本，以其发行量为权数的加权平均股价指数，是反映香港股市价幅趋势最有影响的一种股价指数。</w:t>
      </w:r>
    </w:p>
    <w:p>
      <w:pPr>
        <w:adjustRightInd w:val="0"/>
        <w:snapToGrid w:val="0"/>
        <w:spacing w:line="360" w:lineRule="auto"/>
        <w:ind w:firstLine="480" w:firstLineChars="20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adjustRightInd w:val="0"/>
        <w:snapToGrid w:val="0"/>
        <w:spacing w:line="360" w:lineRule="auto"/>
        <w:ind w:firstLine="480" w:firstLineChars="200"/>
        <w:rPr>
          <w:bCs/>
          <w:sz w:val="24"/>
        </w:rPr>
      </w:pPr>
      <w:r>
        <w:rPr>
          <w:rFonts w:hint="eastAsia"/>
          <w:bCs/>
          <w:sz w:val="24"/>
        </w:rPr>
        <w:t>根据本基金的投资范围和投资比例，选用上述业绩比较基准能够客观、合理地反映本基金的风险收益特征。</w:t>
      </w:r>
    </w:p>
    <w:p>
      <w:pPr>
        <w:snapToGrid w:val="0"/>
        <w:spacing w:line="360" w:lineRule="auto"/>
        <w:ind w:firstLine="480" w:firstLineChars="200"/>
        <w:rPr>
          <w:rFonts w:ascii="宋体" w:hAnsi="宋体"/>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adjustRightInd w:val="0"/>
        <w:snapToGrid w:val="0"/>
        <w:spacing w:line="360" w:lineRule="auto"/>
        <w:ind w:firstLine="482" w:firstLineChars="200"/>
        <w:outlineLvl w:val="1"/>
        <w:rPr>
          <w:rFonts w:hAnsi="宋体"/>
          <w:kern w:val="0"/>
          <w:sz w:val="24"/>
        </w:rPr>
      </w:pPr>
      <w:r>
        <w:rPr>
          <w:rFonts w:hint="eastAsia"/>
          <w:b/>
          <w:bCs/>
          <w:sz w:val="24"/>
        </w:rPr>
        <w:t>（六）风险收益特征</w:t>
      </w:r>
    </w:p>
    <w:p>
      <w:pPr>
        <w:adjustRightInd w:val="0"/>
        <w:snapToGrid w:val="0"/>
        <w:spacing w:line="360" w:lineRule="auto"/>
        <w:ind w:firstLine="480" w:firstLineChars="200"/>
        <w:rPr>
          <w:rFonts w:ascii="宋体" w:hAnsi="宋体"/>
          <w:sz w:val="24"/>
        </w:rPr>
      </w:pPr>
      <w:r>
        <w:rPr>
          <w:rFonts w:hint="eastAsia" w:ascii="宋体" w:hAnsi="宋体"/>
          <w:sz w:val="24"/>
        </w:rPr>
        <w:t>本基金是一只混合型基金，其预期风险和预期收益理论上高于债券型基金和货币市场基金，低于股票型基金。</w:t>
      </w:r>
    </w:p>
    <w:p>
      <w:pPr>
        <w:adjustRightInd w:val="0"/>
        <w:snapToGrid w:val="0"/>
        <w:spacing w:line="360" w:lineRule="auto"/>
        <w:ind w:firstLine="480" w:firstLineChars="200"/>
        <w:rPr>
          <w:rFonts w:ascii="宋体" w:hAnsi="宋体"/>
          <w:sz w:val="24"/>
        </w:rPr>
      </w:pPr>
      <w:r>
        <w:rPr>
          <w:rFonts w:hint="eastAsia" w:ascii="宋体" w:hAnsi="宋体"/>
          <w:sz w:val="24"/>
        </w:rPr>
        <w:t>本基金可投资港股通标的股票，会面临港股通机制下因投资环境、投资标的、市场制度以及交易规则等差异带来的特有风险。</w:t>
      </w:r>
    </w:p>
    <w:p>
      <w:pPr>
        <w:adjustRightInd w:val="0"/>
        <w:snapToGrid w:val="0"/>
        <w:spacing w:line="360" w:lineRule="auto"/>
        <w:ind w:firstLine="482" w:firstLineChars="200"/>
        <w:outlineLvl w:val="1"/>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pPr>
        <w:adjustRightInd w:val="0"/>
        <w:snapToGrid w:val="0"/>
        <w:spacing w:line="360" w:lineRule="auto"/>
        <w:ind w:firstLine="480" w:firstLineChars="200"/>
        <w:rPr>
          <w:rFonts w:ascii="宋体" w:hAnsi="宋体"/>
          <w:sz w:val="24"/>
        </w:rPr>
      </w:pPr>
      <w:r>
        <w:rPr>
          <w:rFonts w:hint="eastAsia" w:ascii="宋体" w:hAnsi="宋体"/>
          <w:sz w:val="24"/>
        </w:rPr>
        <w:t>1、基金管理人按照国家有关规定代表基金独立行使股东或债权人权利，保护基金份额持有人的利益；</w:t>
      </w:r>
    </w:p>
    <w:p>
      <w:pPr>
        <w:adjustRightInd w:val="0"/>
        <w:snapToGrid w:val="0"/>
        <w:spacing w:line="360" w:lineRule="auto"/>
        <w:ind w:firstLine="480" w:firstLineChars="200"/>
        <w:rPr>
          <w:rFonts w:ascii="宋体" w:hAnsi="宋体"/>
          <w:sz w:val="24"/>
        </w:rPr>
      </w:pPr>
      <w:r>
        <w:rPr>
          <w:rFonts w:hint="eastAsia" w:ascii="宋体" w:hAnsi="宋体"/>
          <w:sz w:val="24"/>
        </w:rPr>
        <w:t>2、不谋求对上市公司的控股；</w:t>
      </w:r>
    </w:p>
    <w:p>
      <w:pPr>
        <w:adjustRightInd w:val="0"/>
        <w:snapToGrid w:val="0"/>
        <w:spacing w:line="360" w:lineRule="auto"/>
        <w:ind w:firstLine="480" w:firstLineChars="200"/>
        <w:rPr>
          <w:rFonts w:ascii="宋体" w:hAnsi="宋体"/>
          <w:sz w:val="24"/>
        </w:rPr>
      </w:pPr>
      <w:r>
        <w:rPr>
          <w:rFonts w:hint="eastAsia" w:ascii="宋体" w:hAnsi="宋体"/>
          <w:sz w:val="24"/>
        </w:rPr>
        <w:t>3、有利于基金财产的安全与增值；</w:t>
      </w:r>
    </w:p>
    <w:p>
      <w:pPr>
        <w:adjustRightInd w:val="0"/>
        <w:snapToGrid w:val="0"/>
        <w:spacing w:line="360" w:lineRule="auto"/>
        <w:ind w:firstLine="480" w:firstLineChars="200"/>
        <w:rPr>
          <w:rFonts w:ascii="宋体" w:hAnsi="宋体"/>
          <w:sz w:val="24"/>
        </w:rPr>
      </w:pPr>
      <w:r>
        <w:rPr>
          <w:rFonts w:hint="eastAsia" w:ascii="宋体" w:hAnsi="宋体"/>
          <w:sz w:val="24"/>
        </w:rPr>
        <w:t>4、不通过关联交易为自身、雇员、授权代理人或任何存在利害关系的第三人牟取任何不当利益。</w:t>
      </w:r>
    </w:p>
    <w:bookmarkEnd w:id="42"/>
    <w:bookmarkEnd w:id="43"/>
    <w:bookmarkEnd w:id="44"/>
    <w:p>
      <w:pPr>
        <w:adjustRightInd w:val="0"/>
        <w:snapToGrid w:val="0"/>
        <w:spacing w:line="360" w:lineRule="auto"/>
        <w:ind w:firstLine="482" w:firstLineChars="200"/>
        <w:outlineLvl w:val="1"/>
        <w:rPr>
          <w:rFonts w:hAnsi="宋体"/>
          <w:b/>
          <w:sz w:val="24"/>
          <w:szCs w:val="24"/>
        </w:rPr>
      </w:pPr>
      <w:bookmarkStart w:id="47" w:name="_Hlt5528681"/>
      <w:bookmarkEnd w:id="47"/>
      <w:bookmarkStart w:id="48" w:name="_Toc109059036"/>
      <w:bookmarkEnd w:id="48"/>
      <w:bookmarkStart w:id="49" w:name="_Hlt81033424"/>
      <w:bookmarkEnd w:id="49"/>
      <w:bookmarkStart w:id="50" w:name="_Hlt5604240"/>
      <w:bookmarkEnd w:id="50"/>
      <w:bookmarkStart w:id="51" w:name="_Toc109059037"/>
      <w:bookmarkEnd w:id="51"/>
      <w:bookmarkStart w:id="52" w:name="_Hlt81033092"/>
      <w:bookmarkEnd w:id="52"/>
      <w:bookmarkStart w:id="53" w:name="_Toc109059025"/>
      <w:bookmarkEnd w:id="53"/>
      <w:bookmarkStart w:id="54" w:name="_Hlt88281392"/>
      <w:bookmarkEnd w:id="54"/>
      <w:bookmarkStart w:id="55" w:name="_Toc154909614"/>
      <w:bookmarkStart w:id="56" w:name="_Toc155690783"/>
      <w:r>
        <w:rPr>
          <w:rFonts w:hAnsi="宋体"/>
          <w:b/>
          <w:sz w:val="24"/>
          <w:szCs w:val="24"/>
        </w:rPr>
        <w:t>（</w:t>
      </w:r>
      <w:r>
        <w:rPr>
          <w:rFonts w:hint="eastAsia" w:hAnsi="宋体"/>
          <w:b/>
          <w:sz w:val="24"/>
          <w:szCs w:val="24"/>
        </w:rPr>
        <w:t>八</w:t>
      </w:r>
      <w:r>
        <w:rPr>
          <w:rFonts w:hAnsi="宋体"/>
          <w:b/>
          <w:sz w:val="24"/>
          <w:szCs w:val="24"/>
        </w:rPr>
        <w:t>）</w:t>
      </w:r>
      <w:r>
        <w:rPr>
          <w:rFonts w:hint="eastAsia" w:hAnsi="宋体"/>
          <w:b/>
          <w:sz w:val="24"/>
          <w:szCs w:val="24"/>
        </w:rPr>
        <w:t>侧袋机制的实施和投资运作安排</w:t>
      </w:r>
    </w:p>
    <w:p>
      <w:pPr>
        <w:adjustRightInd w:val="0"/>
        <w:snapToGrid w:val="0"/>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ascii="宋体" w:hAnsi="宋体"/>
          <w:sz w:val="24"/>
        </w:rPr>
      </w:pPr>
      <w:r>
        <w:rPr>
          <w:rFonts w:hint="eastAsia" w:ascii="宋体" w:hAnsi="宋体"/>
          <w:sz w:val="24"/>
        </w:rPr>
        <w:t>侧袋机制实施期间，本部分约定的投资组合比例、投资策略、组合限制、业绩比较基准、风险收益特征等约定仅适用于主袋账户。</w:t>
      </w:r>
    </w:p>
    <w:p>
      <w:pPr>
        <w:adjustRightInd w:val="0"/>
        <w:snapToGrid w:val="0"/>
        <w:spacing w:line="360" w:lineRule="auto"/>
        <w:ind w:firstLine="480" w:firstLineChars="200"/>
        <w:rPr>
          <w:rFonts w:ascii="宋体" w:hAnsi="宋体"/>
          <w:sz w:val="24"/>
        </w:rPr>
      </w:pPr>
      <w:r>
        <w:rPr>
          <w:rFonts w:hint="eastAsia" w:ascii="宋体" w:hAnsi="宋体"/>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hint="eastAsia" w:ascii="宋体" w:hAnsi="宋体"/>
          <w:sz w:val="24"/>
        </w:rPr>
        <w:t>部分的规定。</w:t>
      </w:r>
    </w:p>
    <w:p>
      <w:pPr>
        <w:adjustRightInd w:val="0"/>
        <w:snapToGrid w:val="0"/>
        <w:spacing w:line="360" w:lineRule="auto"/>
        <w:ind w:firstLine="482" w:firstLineChars="200"/>
        <w:outlineLvl w:val="1"/>
        <w:rPr>
          <w:b/>
          <w:sz w:val="24"/>
          <w:szCs w:val="24"/>
        </w:rPr>
      </w:pPr>
      <w:r>
        <w:rPr>
          <w:rFonts w:hint="eastAsia" w:hAnsi="宋体"/>
          <w:b/>
          <w:sz w:val="24"/>
          <w:szCs w:val="24"/>
        </w:rPr>
        <w:t>（九</w:t>
      </w:r>
      <w:r>
        <w:rPr>
          <w:rFonts w:hAnsi="宋体"/>
          <w:b/>
          <w:sz w:val="24"/>
          <w:szCs w:val="24"/>
        </w:rPr>
        <w:t>）投资决策依据和投资流程</w:t>
      </w:r>
    </w:p>
    <w:p>
      <w:pPr>
        <w:adjustRightInd w:val="0"/>
        <w:snapToGrid w:val="0"/>
        <w:spacing w:line="360" w:lineRule="auto"/>
        <w:ind w:firstLine="480" w:firstLineChars="200"/>
        <w:outlineLvl w:val="2"/>
        <w:rPr>
          <w:sz w:val="24"/>
          <w:szCs w:val="24"/>
        </w:rPr>
      </w:pPr>
      <w:r>
        <w:rPr>
          <w:sz w:val="24"/>
          <w:szCs w:val="24"/>
        </w:rPr>
        <w:t>1</w:t>
      </w:r>
      <w:r>
        <w:rPr>
          <w:rFonts w:hAnsi="宋体"/>
          <w:sz w:val="24"/>
          <w:szCs w:val="24"/>
        </w:rPr>
        <w:t>、投资决策依据</w:t>
      </w:r>
    </w:p>
    <w:p>
      <w:pPr>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pPr>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）公司投资及风险控制政策；</w:t>
      </w:r>
    </w:p>
    <w:p>
      <w:pPr>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pPr>
        <w:adjustRightInd w:val="0"/>
        <w:snapToGrid w:val="0"/>
        <w:spacing w:line="360" w:lineRule="auto"/>
        <w:ind w:firstLine="480" w:firstLineChars="20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pPr>
        <w:adjustRightInd w:val="0"/>
        <w:snapToGrid w:val="0"/>
        <w:spacing w:line="360" w:lineRule="auto"/>
        <w:ind w:firstLine="480" w:firstLineChars="200"/>
        <w:outlineLvl w:val="2"/>
        <w:rPr>
          <w:sz w:val="24"/>
          <w:szCs w:val="24"/>
        </w:rPr>
      </w:pPr>
      <w:r>
        <w:rPr>
          <w:sz w:val="24"/>
          <w:szCs w:val="24"/>
        </w:rPr>
        <w:t>2</w:t>
      </w:r>
      <w:r>
        <w:rPr>
          <w:rFonts w:hAnsi="宋体"/>
          <w:sz w:val="24"/>
          <w:szCs w:val="24"/>
        </w:rPr>
        <w:t>、投资决策机制</w:t>
      </w:r>
    </w:p>
    <w:p>
      <w:pPr>
        <w:adjustRightInd w:val="0"/>
        <w:snapToGrid w:val="0"/>
        <w:spacing w:line="360" w:lineRule="auto"/>
        <w:ind w:firstLine="480" w:firstLineChars="20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pPr>
        <w:adjustRightInd w:val="0"/>
        <w:snapToGrid w:val="0"/>
        <w:spacing w:line="360" w:lineRule="auto"/>
        <w:ind w:firstLine="480" w:firstLineChars="200"/>
        <w:rPr>
          <w:sz w:val="24"/>
          <w:szCs w:val="24"/>
        </w:rPr>
      </w:pPr>
      <w:r>
        <w:rPr>
          <w:rFonts w:hAnsi="宋体"/>
          <w:sz w:val="24"/>
          <w:szCs w:val="24"/>
        </w:rPr>
        <w:t>基金经理的主要职责是在投资决策委员会确定的资产配置范围内构建和调整投资组合，并向中央交易室下达投资指令。</w:t>
      </w:r>
    </w:p>
    <w:p>
      <w:pPr>
        <w:adjustRightInd w:val="0"/>
        <w:snapToGrid w:val="0"/>
        <w:spacing w:line="360" w:lineRule="auto"/>
        <w:ind w:firstLine="480" w:firstLineChars="200"/>
        <w:rPr>
          <w:sz w:val="24"/>
          <w:szCs w:val="24"/>
        </w:rPr>
      </w:pPr>
      <w:r>
        <w:rPr>
          <w:rFonts w:hAnsi="宋体"/>
          <w:sz w:val="24"/>
          <w:szCs w:val="24"/>
        </w:rPr>
        <w:t>中央交易室负责交易执行和一线监控。通过严格的交易制度和实时的一线监控功能，保证基金经理的投资指令在合法、合规的前提下得到高效的执行。</w:t>
      </w:r>
    </w:p>
    <w:p>
      <w:pPr>
        <w:adjustRightInd w:val="0"/>
        <w:snapToGrid w:val="0"/>
        <w:spacing w:line="360" w:lineRule="auto"/>
        <w:ind w:firstLine="480" w:firstLineChars="200"/>
        <w:outlineLvl w:val="2"/>
        <w:rPr>
          <w:sz w:val="24"/>
          <w:szCs w:val="24"/>
        </w:rPr>
      </w:pPr>
      <w:r>
        <w:rPr>
          <w:sz w:val="24"/>
          <w:szCs w:val="24"/>
        </w:rPr>
        <w:t>3</w:t>
      </w:r>
      <w:r>
        <w:rPr>
          <w:rFonts w:hAnsi="宋体"/>
          <w:sz w:val="24"/>
          <w:szCs w:val="24"/>
        </w:rPr>
        <w:t>、投资管理流程</w:t>
      </w:r>
    </w:p>
    <w:p>
      <w:pPr>
        <w:adjustRightInd w:val="0"/>
        <w:snapToGrid w:val="0"/>
        <w:spacing w:line="360" w:lineRule="auto"/>
        <w:ind w:firstLine="480" w:firstLineChars="200"/>
        <w:rPr>
          <w:rFonts w:hAnsi="宋体"/>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pPr>
        <w:adjustRightInd w:val="0"/>
        <w:snapToGrid w:val="0"/>
        <w:spacing w:line="360" w:lineRule="auto"/>
        <w:ind w:firstLine="480" w:firstLineChars="200"/>
        <w:rPr>
          <w:rFonts w:hAnsi="宋体"/>
          <w:sz w:val="24"/>
          <w:szCs w:val="24"/>
        </w:rPr>
      </w:pPr>
      <w:r>
        <w:rPr>
          <w:rFonts w:hAnsi="宋体"/>
          <w:sz w:val="24"/>
          <w:szCs w:val="24"/>
        </w:rPr>
        <w:t>（1）研究部宏观分析师、策略分析师、行业分析师、信用分析师、数量分析师各自独立完成相应的研究报告，为投资决策提供依据；</w:t>
      </w:r>
    </w:p>
    <w:p>
      <w:pPr>
        <w:adjustRightInd w:val="0"/>
        <w:snapToGrid w:val="0"/>
        <w:spacing w:line="360" w:lineRule="auto"/>
        <w:ind w:firstLine="480" w:firstLineChars="200"/>
        <w:rPr>
          <w:rFonts w:hAnsi="宋体"/>
          <w:sz w:val="24"/>
          <w:szCs w:val="24"/>
        </w:rPr>
      </w:pPr>
      <w:r>
        <w:rPr>
          <w:rFonts w:hAnsi="宋体"/>
          <w:sz w:val="24"/>
          <w:szCs w:val="24"/>
        </w:rPr>
        <w:t>（2）投资决策委员会每月召开投资决策会议，对资产配置比例提出指导性意见，并讨论股票、债券的投资重点等；</w:t>
      </w:r>
    </w:p>
    <w:p>
      <w:pPr>
        <w:adjustRightInd w:val="0"/>
        <w:snapToGrid w:val="0"/>
        <w:spacing w:line="360" w:lineRule="auto"/>
        <w:ind w:firstLine="480" w:firstLineChars="200"/>
        <w:rPr>
          <w:rFonts w:hAnsi="宋体"/>
          <w:sz w:val="24"/>
          <w:szCs w:val="24"/>
        </w:rPr>
      </w:pPr>
      <w:r>
        <w:rPr>
          <w:rFonts w:hAnsi="宋体"/>
          <w:sz w:val="24"/>
          <w:szCs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pPr>
        <w:adjustRightInd w:val="0"/>
        <w:snapToGrid w:val="0"/>
        <w:spacing w:line="360" w:lineRule="auto"/>
        <w:ind w:firstLine="480" w:firstLineChars="200"/>
        <w:rPr>
          <w:rFonts w:hAnsi="宋体"/>
          <w:sz w:val="24"/>
          <w:szCs w:val="24"/>
        </w:rPr>
      </w:pPr>
      <w:r>
        <w:rPr>
          <w:rFonts w:hAnsi="宋体"/>
          <w:sz w:val="24"/>
          <w:szCs w:val="24"/>
        </w:rPr>
        <w:t>（4）基金经理根据基金投资组合方案，向中央交易室下达交易指令；</w:t>
      </w:r>
    </w:p>
    <w:p>
      <w:pPr>
        <w:adjustRightInd w:val="0"/>
        <w:snapToGrid w:val="0"/>
        <w:spacing w:line="360" w:lineRule="auto"/>
        <w:ind w:firstLine="480" w:firstLineChars="200"/>
        <w:rPr>
          <w:rFonts w:hAnsi="宋体"/>
          <w:sz w:val="24"/>
          <w:szCs w:val="24"/>
        </w:rPr>
      </w:pPr>
      <w:r>
        <w:rPr>
          <w:rFonts w:hAnsi="宋体"/>
          <w:sz w:val="24"/>
          <w:szCs w:val="24"/>
        </w:rPr>
        <w:t>（5）交易指令通过风控系统的自动合规核查后，由中央交易室执行，中央交易室对交易情况及时反馈；</w:t>
      </w:r>
    </w:p>
    <w:p>
      <w:pPr>
        <w:adjustRightInd w:val="0"/>
        <w:snapToGrid w:val="0"/>
        <w:spacing w:line="360" w:lineRule="auto"/>
        <w:ind w:firstLine="480" w:firstLineChars="200"/>
        <w:rPr>
          <w:rFonts w:hAnsi="宋体"/>
          <w:sz w:val="24"/>
          <w:szCs w:val="24"/>
        </w:rPr>
      </w:pPr>
      <w:r>
        <w:rPr>
          <w:rFonts w:hAnsi="宋体"/>
          <w:sz w:val="24"/>
          <w:szCs w:val="24"/>
        </w:rPr>
        <w:t>（6）基金经理对每日交易执行情况进行回顾，并审视基金投资组合的变动情况；</w:t>
      </w:r>
    </w:p>
    <w:p>
      <w:pPr>
        <w:adjustRightInd w:val="0"/>
        <w:snapToGrid w:val="0"/>
        <w:spacing w:line="360" w:lineRule="auto"/>
        <w:ind w:firstLine="480" w:firstLineChars="200"/>
        <w:rPr>
          <w:rFonts w:hAnsi="宋体"/>
          <w:sz w:val="24"/>
          <w:szCs w:val="24"/>
        </w:rPr>
      </w:pPr>
      <w:r>
        <w:rPr>
          <w:rFonts w:hAnsi="宋体"/>
          <w:sz w:val="24"/>
          <w:szCs w:val="24"/>
        </w:rPr>
        <w:t>（7）风险管理部定期完成有关投资风险监控报告，量化投资部定期完成基金业绩评估报告。</w:t>
      </w:r>
    </w:p>
    <w:p>
      <w:pPr>
        <w:adjustRightInd w:val="0"/>
        <w:snapToGrid w:val="0"/>
        <w:spacing w:line="360" w:lineRule="auto"/>
        <w:ind w:firstLine="480" w:firstLineChars="200"/>
        <w:rPr>
          <w:rFonts w:hAnsi="宋体"/>
          <w:sz w:val="24"/>
          <w:szCs w:val="24"/>
        </w:rPr>
      </w:pPr>
      <w:r>
        <w:rPr>
          <w:rFonts w:hAnsi="宋体"/>
          <w:sz w:val="24"/>
          <w:szCs w:val="24"/>
        </w:rPr>
        <w:t>投资决策委员会有权根据市场变化和实际情况的需要，对上述投资管理程序作出调整。</w:t>
      </w:r>
      <w:bookmarkEnd w:id="46"/>
      <w:bookmarkStart w:id="57" w:name="_Toc78208364"/>
    </w:p>
    <w:p>
      <w:pPr>
        <w:widowControl/>
        <w:adjustRightInd w:val="0"/>
        <w:snapToGrid w:val="0"/>
        <w:spacing w:before="143" w:beforeLines="50" w:after="143" w:afterLines="50" w:line="360" w:lineRule="auto"/>
        <w:jc w:val="center"/>
        <w:outlineLvl w:val="0"/>
        <w:rPr>
          <w:rFonts w:ascii="宋体" w:hAnsi="宋体"/>
          <w:b/>
          <w:kern w:val="0"/>
          <w:sz w:val="30"/>
        </w:rPr>
      </w:pPr>
      <w:r>
        <w:rPr>
          <w:rFonts w:hAnsi="宋体"/>
          <w:sz w:val="24"/>
          <w:szCs w:val="24"/>
        </w:rPr>
        <w:br w:type="page"/>
      </w:r>
      <w:bookmarkStart w:id="58" w:name="_Toc48122011"/>
      <w:r>
        <w:rPr>
          <w:rFonts w:hint="eastAsia" w:ascii="宋体" w:hAnsi="宋体"/>
          <w:b/>
          <w:kern w:val="0"/>
          <w:sz w:val="30"/>
        </w:rPr>
        <w:t>十、基金的财产</w:t>
      </w:r>
      <w:bookmarkEnd w:id="58"/>
    </w:p>
    <w:p>
      <w:pPr>
        <w:adjustRightInd w:val="0"/>
        <w:snapToGrid w:val="0"/>
        <w:spacing w:line="360" w:lineRule="auto"/>
        <w:ind w:firstLine="482"/>
        <w:outlineLvl w:val="1"/>
        <w:rPr>
          <w:b/>
          <w:bCs/>
          <w:sz w:val="24"/>
        </w:rPr>
      </w:pPr>
      <w:bookmarkStart w:id="59" w:name="_Hlk49343903"/>
      <w:r>
        <w:rPr>
          <w:b/>
          <w:bCs/>
          <w:sz w:val="24"/>
        </w:rPr>
        <w:t>（一）基金资产总值</w:t>
      </w:r>
    </w:p>
    <w:p>
      <w:pPr>
        <w:widowControl/>
        <w:adjustRightInd w:val="0"/>
        <w:snapToGrid w:val="0"/>
        <w:spacing w:line="360" w:lineRule="auto"/>
        <w:ind w:firstLine="480" w:firstLineChars="200"/>
        <w:rPr>
          <w:kern w:val="0"/>
          <w:sz w:val="24"/>
        </w:rPr>
      </w:pPr>
      <w:r>
        <w:rPr>
          <w:rFonts w:hint="eastAsia" w:hAnsi="宋体"/>
          <w:sz w:val="24"/>
          <w:szCs w:val="21"/>
        </w:rPr>
        <w:t>基金资产总值是指基金拥有的各类有价证券、股指期货合约、银行存款本息、基金应收款</w:t>
      </w:r>
      <w:r>
        <w:rPr>
          <w:rFonts w:hint="eastAsia"/>
          <w:bCs/>
          <w:sz w:val="24"/>
        </w:rPr>
        <w:t>项</w:t>
      </w:r>
      <w:r>
        <w:rPr>
          <w:rFonts w:hint="eastAsia" w:hAnsi="宋体"/>
          <w:sz w:val="24"/>
          <w:szCs w:val="21"/>
        </w:rPr>
        <w:t>及其他资产的价值总和。</w:t>
      </w:r>
      <w:bookmarkEnd w:id="57"/>
      <w:bookmarkStart w:id="60" w:name="_Toc311810245"/>
    </w:p>
    <w:p>
      <w:pPr>
        <w:adjustRightInd w:val="0"/>
        <w:snapToGrid w:val="0"/>
        <w:spacing w:line="360" w:lineRule="auto"/>
        <w:ind w:firstLine="482"/>
        <w:outlineLvl w:val="1"/>
        <w:rPr>
          <w:b/>
          <w:bCs/>
          <w:sz w:val="24"/>
        </w:rPr>
      </w:pPr>
      <w:r>
        <w:rPr>
          <w:b/>
          <w:bCs/>
          <w:sz w:val="24"/>
        </w:rPr>
        <w:t>（二）基金资</w:t>
      </w:r>
      <w:bookmarkEnd w:id="60"/>
      <w:r>
        <w:rPr>
          <w:b/>
          <w:bCs/>
          <w:sz w:val="24"/>
        </w:rPr>
        <w:t>产</w:t>
      </w:r>
      <w:bookmarkEnd w:id="55"/>
      <w:bookmarkEnd w:id="56"/>
      <w:r>
        <w:rPr>
          <w:b/>
          <w:bCs/>
          <w:sz w:val="24"/>
        </w:rPr>
        <w:t>净</w:t>
      </w:r>
      <w:bookmarkStart w:id="61" w:name="_Toc109537391"/>
      <w:r>
        <w:rPr>
          <w:b/>
          <w:bCs/>
          <w:sz w:val="24"/>
        </w:rPr>
        <w:t>值</w:t>
      </w:r>
    </w:p>
    <w:p>
      <w:pPr>
        <w:widowControl/>
        <w:adjustRightInd w:val="0"/>
        <w:snapToGrid w:val="0"/>
        <w:spacing w:line="360" w:lineRule="auto"/>
        <w:ind w:firstLine="480" w:firstLineChars="200"/>
        <w:rPr>
          <w:rFonts w:hAnsi="宋体"/>
          <w:sz w:val="24"/>
          <w:szCs w:val="21"/>
        </w:rPr>
      </w:pPr>
      <w:r>
        <w:rPr>
          <w:rFonts w:hAnsi="宋体"/>
          <w:sz w:val="24"/>
          <w:szCs w:val="21"/>
        </w:rPr>
        <w:t>基</w:t>
      </w:r>
      <w:bookmarkEnd w:id="61"/>
      <w:r>
        <w:rPr>
          <w:rFonts w:hAnsi="宋体"/>
          <w:sz w:val="24"/>
          <w:szCs w:val="21"/>
        </w:rPr>
        <w:t>金资产净值是指基金资产总值</w:t>
      </w:r>
      <w:bookmarkStart w:id="62" w:name="_Toc79556449"/>
      <w:bookmarkStart w:id="63" w:name="_Toc79392635"/>
      <w:r>
        <w:rPr>
          <w:rFonts w:hAnsi="宋体"/>
          <w:sz w:val="24"/>
          <w:szCs w:val="21"/>
        </w:rPr>
        <w:t>减去基金负债后的价值。</w:t>
      </w:r>
    </w:p>
    <w:p>
      <w:pPr>
        <w:adjustRightInd w:val="0"/>
        <w:snapToGrid w:val="0"/>
        <w:spacing w:line="360" w:lineRule="auto"/>
        <w:ind w:firstLine="482"/>
        <w:outlineLvl w:val="1"/>
        <w:rPr>
          <w:b/>
          <w:bCs/>
          <w:sz w:val="24"/>
        </w:rPr>
      </w:pPr>
      <w:r>
        <w:rPr>
          <w:b/>
          <w:bCs/>
          <w:sz w:val="24"/>
        </w:rPr>
        <w:t>（三）基金财产的账户</w:t>
      </w:r>
    </w:p>
    <w:p>
      <w:pPr>
        <w:widowControl/>
        <w:adjustRightInd w:val="0"/>
        <w:snapToGrid w:val="0"/>
        <w:spacing w:line="360" w:lineRule="auto"/>
        <w:ind w:firstLine="480" w:firstLineChars="200"/>
        <w:rPr>
          <w:kern w:val="0"/>
          <w:sz w:val="24"/>
        </w:rPr>
      </w:pPr>
      <w:r>
        <w:rPr>
          <w:bCs/>
          <w:sz w:val="24"/>
        </w:rPr>
        <w:t>基金托管人根据相关法律法规、规范性文件为本基金开立资金账户、证券账户</w:t>
      </w:r>
      <w:r>
        <w:rPr>
          <w:rFonts w:hint="eastAsia"/>
          <w:bCs/>
          <w:sz w:val="24"/>
        </w:rPr>
        <w:t>、期货结算账户以及投资所需的其他专用账户</w:t>
      </w:r>
      <w:r>
        <w:rPr>
          <w:bCs/>
          <w:sz w:val="24"/>
        </w:rPr>
        <w:t>。开立的基金专用账户与基金管理人、基</w:t>
      </w:r>
      <w:bookmarkEnd w:id="62"/>
      <w:bookmarkEnd w:id="63"/>
      <w:r>
        <w:rPr>
          <w:bCs/>
          <w:sz w:val="24"/>
        </w:rPr>
        <w:t>金托管人、基金销售机构和基金登记机构自有的财产账户以及其他基金财产账户相独立。</w:t>
      </w:r>
    </w:p>
    <w:p>
      <w:pPr>
        <w:adjustRightInd w:val="0"/>
        <w:snapToGrid w:val="0"/>
        <w:spacing w:line="360" w:lineRule="auto"/>
        <w:ind w:firstLine="482"/>
        <w:outlineLvl w:val="1"/>
        <w:rPr>
          <w:b/>
          <w:bCs/>
          <w:sz w:val="24"/>
        </w:rPr>
      </w:pPr>
      <w:r>
        <w:rPr>
          <w:b/>
          <w:bCs/>
          <w:sz w:val="24"/>
        </w:rPr>
        <w:t>（四）基金财产的保管</w:t>
      </w:r>
      <w:r>
        <w:rPr>
          <w:rFonts w:hint="eastAsia"/>
          <w:b/>
          <w:bCs/>
          <w:sz w:val="24"/>
        </w:rPr>
        <w:t>和</w:t>
      </w:r>
      <w:r>
        <w:rPr>
          <w:b/>
          <w:bCs/>
          <w:sz w:val="24"/>
        </w:rPr>
        <w:t>处分</w:t>
      </w:r>
    </w:p>
    <w:p>
      <w:pPr>
        <w:widowControl/>
        <w:adjustRightInd w:val="0"/>
        <w:snapToGrid w:val="0"/>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widowControl/>
        <w:adjustRightInd w:val="0"/>
        <w:snapToGrid w:val="0"/>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bookmarkEnd w:id="59"/>
    </w:p>
    <w:p>
      <w:pPr>
        <w:widowControl/>
        <w:adjustRightInd w:val="0"/>
        <w:snapToGrid w:val="0"/>
        <w:spacing w:line="360" w:lineRule="auto"/>
        <w:ind w:firstLine="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64" w:name="_Toc48122012"/>
      <w:r>
        <w:rPr>
          <w:rFonts w:hint="eastAsia" w:ascii="宋体" w:hAnsi="宋体"/>
          <w:b/>
          <w:kern w:val="0"/>
          <w:sz w:val="30"/>
        </w:rPr>
        <w:t>十一、基金资产的估值</w:t>
      </w:r>
      <w:bookmarkEnd w:id="64"/>
    </w:p>
    <w:p>
      <w:pPr>
        <w:adjustRightInd w:val="0"/>
        <w:snapToGrid w:val="0"/>
        <w:spacing w:line="360" w:lineRule="auto"/>
        <w:ind w:firstLine="482" w:firstLineChars="200"/>
        <w:outlineLvl w:val="1"/>
        <w:rPr>
          <w:b/>
          <w:sz w:val="24"/>
          <w:szCs w:val="24"/>
        </w:rPr>
      </w:pPr>
      <w:bookmarkStart w:id="65" w:name="_Hlk50017869"/>
      <w:bookmarkStart w:id="66" w:name="_Hlk54606108"/>
      <w:r>
        <w:rPr>
          <w:rFonts w:hAnsi="宋体"/>
          <w:b/>
          <w:sz w:val="24"/>
          <w:szCs w:val="24"/>
        </w:rPr>
        <w:t>（一）估值日</w:t>
      </w:r>
    </w:p>
    <w:p>
      <w:pPr>
        <w:adjustRightInd w:val="0"/>
        <w:snapToGrid w:val="0"/>
        <w:spacing w:line="360" w:lineRule="auto"/>
        <w:ind w:firstLine="480" w:firstLineChars="200"/>
        <w:rPr>
          <w:sz w:val="24"/>
          <w:szCs w:val="24"/>
        </w:rPr>
      </w:pPr>
      <w:r>
        <w:rPr>
          <w:rFonts w:hint="eastAsia" w:hAnsi="宋体"/>
          <w:sz w:val="24"/>
          <w:szCs w:val="24"/>
        </w:rPr>
        <w:t>本基金的估值日为本基金相关的证券交易场所的交易日以及国家法律法规规定需要对外披露基金净值的非交易日。</w:t>
      </w:r>
    </w:p>
    <w:p>
      <w:pPr>
        <w:adjustRightInd w:val="0"/>
        <w:snapToGrid w:val="0"/>
        <w:spacing w:line="360" w:lineRule="auto"/>
        <w:ind w:firstLine="482" w:firstLineChars="200"/>
        <w:outlineLvl w:val="1"/>
        <w:rPr>
          <w:b/>
          <w:bCs/>
          <w:sz w:val="24"/>
          <w:szCs w:val="24"/>
        </w:rPr>
      </w:pPr>
      <w:r>
        <w:rPr>
          <w:b/>
          <w:bCs/>
          <w:sz w:val="24"/>
          <w:szCs w:val="24"/>
        </w:rPr>
        <w:t>（二）估值对象</w:t>
      </w:r>
    </w:p>
    <w:p>
      <w:pPr>
        <w:adjustRightInd w:val="0"/>
        <w:snapToGrid w:val="0"/>
        <w:spacing w:line="360" w:lineRule="auto"/>
        <w:ind w:firstLine="480" w:firstLineChars="200"/>
        <w:rPr>
          <w:bCs/>
          <w:sz w:val="24"/>
          <w:szCs w:val="24"/>
        </w:rPr>
      </w:pPr>
      <w:r>
        <w:rPr>
          <w:rFonts w:hint="eastAsia"/>
          <w:bCs/>
          <w:sz w:val="24"/>
          <w:szCs w:val="24"/>
        </w:rPr>
        <w:t>基金所拥有的股票、债券、资产支持证券、衍生工具和其他投资等持续以公允价值计量的金融资产及负债。</w:t>
      </w:r>
    </w:p>
    <w:p>
      <w:pPr>
        <w:adjustRightInd w:val="0"/>
        <w:snapToGrid w:val="0"/>
        <w:spacing w:line="360" w:lineRule="auto"/>
        <w:ind w:firstLine="482" w:firstLineChars="200"/>
        <w:outlineLvl w:val="1"/>
        <w:rPr>
          <w:rFonts w:hAnsi="宋体"/>
          <w:b/>
          <w:sz w:val="24"/>
          <w:szCs w:val="24"/>
        </w:rPr>
      </w:pPr>
      <w:r>
        <w:rPr>
          <w:rFonts w:hAnsi="宋体"/>
          <w:b/>
          <w:sz w:val="24"/>
          <w:szCs w:val="24"/>
        </w:rPr>
        <w:t>（三）估值</w:t>
      </w:r>
      <w:r>
        <w:rPr>
          <w:rFonts w:hint="eastAsia" w:hAnsi="宋体"/>
          <w:b/>
          <w:sz w:val="24"/>
          <w:szCs w:val="24"/>
        </w:rPr>
        <w:t>原则</w:t>
      </w:r>
    </w:p>
    <w:p>
      <w:pPr>
        <w:adjustRightInd w:val="0"/>
        <w:snapToGrid w:val="0"/>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adjustRightInd w:val="0"/>
        <w:snapToGrid w:val="0"/>
        <w:spacing w:line="360" w:lineRule="auto"/>
        <w:ind w:firstLine="480" w:firstLineChars="20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四</w:t>
      </w:r>
      <w:r>
        <w:rPr>
          <w:rFonts w:hAnsi="宋体"/>
          <w:b/>
          <w:sz w:val="24"/>
          <w:szCs w:val="24"/>
        </w:rPr>
        <w:t>）估值方法</w:t>
      </w:r>
    </w:p>
    <w:p>
      <w:pPr>
        <w:adjustRightInd w:val="0"/>
        <w:snapToGrid w:val="0"/>
        <w:spacing w:line="360" w:lineRule="auto"/>
        <w:ind w:firstLine="480" w:firstLineChars="200"/>
        <w:rPr>
          <w:sz w:val="24"/>
          <w:szCs w:val="24"/>
        </w:rPr>
      </w:pPr>
      <w:r>
        <w:rPr>
          <w:rFonts w:hint="eastAsia"/>
          <w:sz w:val="24"/>
          <w:szCs w:val="24"/>
        </w:rPr>
        <w:t>1、证券交易所上市的有价证券的估值</w:t>
      </w:r>
    </w:p>
    <w:p>
      <w:pPr>
        <w:adjustRightInd w:val="0"/>
        <w:snapToGrid w:val="0"/>
        <w:spacing w:line="360" w:lineRule="auto"/>
        <w:ind w:firstLine="480" w:firstLineChars="200"/>
        <w:rPr>
          <w:sz w:val="24"/>
          <w:szCs w:val="24"/>
        </w:rPr>
      </w:pPr>
      <w:r>
        <w:rPr>
          <w:rFonts w:hint="eastAsia"/>
          <w:sz w:val="24"/>
          <w:szCs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（2）交易所上市交易或挂牌转让的固定收益品种（另有规定的除外），选取估值日第三方估值机构提供的相应品种当日的估值净价进行估值；</w:t>
      </w:r>
    </w:p>
    <w:p>
      <w:pPr>
        <w:adjustRightInd w:val="0"/>
        <w:snapToGrid w:val="0"/>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（4）交易所上市实行全价交易的债券（可转债除外），选取第三方估值机构提供的估值全价减去估值全价中所含的债券（税后）应收利息得到的净价进行估值；</w:t>
      </w:r>
    </w:p>
    <w:p>
      <w:pPr>
        <w:adjustRightInd w:val="0"/>
        <w:snapToGrid w:val="0"/>
        <w:spacing w:line="360" w:lineRule="auto"/>
        <w:ind w:firstLine="480" w:firstLineChars="200"/>
        <w:rPr>
          <w:sz w:val="24"/>
          <w:szCs w:val="24"/>
        </w:rPr>
      </w:pPr>
      <w:r>
        <w:rPr>
          <w:rFonts w:hint="eastAsia"/>
          <w:sz w:val="24"/>
          <w:szCs w:val="24"/>
        </w:rPr>
        <w:t>（5）交易所上市不存在活跃市场的有价证券，采用估值技术确定公允价值。交易所市场挂牌转让的资产支持证券，采用估值技术确定公允价值；</w:t>
      </w:r>
    </w:p>
    <w:p>
      <w:pPr>
        <w:adjustRightInd w:val="0"/>
        <w:snapToGrid w:val="0"/>
        <w:spacing w:line="360" w:lineRule="auto"/>
        <w:ind w:firstLine="480" w:firstLineChars="200"/>
        <w:rPr>
          <w:sz w:val="24"/>
          <w:szCs w:val="24"/>
        </w:rPr>
      </w:pPr>
      <w:r>
        <w:rPr>
          <w:rFonts w:hint="eastAsia"/>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djustRightInd w:val="0"/>
        <w:snapToGrid w:val="0"/>
        <w:spacing w:line="360" w:lineRule="auto"/>
        <w:ind w:firstLine="480" w:firstLineChars="200"/>
        <w:rPr>
          <w:sz w:val="24"/>
          <w:szCs w:val="24"/>
        </w:rPr>
      </w:pPr>
      <w:r>
        <w:rPr>
          <w:rFonts w:hint="eastAsia"/>
          <w:sz w:val="24"/>
          <w:szCs w:val="24"/>
        </w:rPr>
        <w:t>2、</w:t>
      </w:r>
      <w:r>
        <w:rPr>
          <w:bCs/>
          <w:sz w:val="24"/>
        </w:rPr>
        <w:t>处于</w:t>
      </w:r>
      <w:r>
        <w:rPr>
          <w:rFonts w:hint="eastAsia"/>
          <w:sz w:val="24"/>
          <w:szCs w:val="24"/>
        </w:rPr>
        <w:t>未上市期间的有价证券应区分如下情况处理：</w:t>
      </w:r>
    </w:p>
    <w:p>
      <w:pPr>
        <w:adjustRightInd w:val="0"/>
        <w:snapToGrid w:val="0"/>
        <w:spacing w:line="360" w:lineRule="auto"/>
        <w:ind w:firstLine="480" w:firstLineChars="200"/>
        <w:rPr>
          <w:sz w:val="24"/>
          <w:szCs w:val="24"/>
        </w:rPr>
      </w:pPr>
      <w:r>
        <w:rPr>
          <w:rFonts w:hint="eastAsia"/>
          <w:sz w:val="24"/>
          <w:szCs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sz w:val="24"/>
          <w:szCs w:val="24"/>
        </w:rPr>
      </w:pPr>
      <w:r>
        <w:rPr>
          <w:rFonts w:hint="eastAsia"/>
          <w:sz w:val="24"/>
          <w:szCs w:val="24"/>
        </w:rPr>
        <w:t>（2）首次公开发行未上市的股票和债券，采用估值技术确定公允价值，在估值技术难以可靠计量公允价值的情况下，按成本估值；</w:t>
      </w:r>
    </w:p>
    <w:p>
      <w:pPr>
        <w:adjustRightInd w:val="0"/>
        <w:snapToGrid w:val="0"/>
        <w:spacing w:line="360" w:lineRule="auto"/>
        <w:ind w:firstLine="480" w:firstLineChars="200"/>
        <w:rPr>
          <w:sz w:val="24"/>
          <w:szCs w:val="24"/>
        </w:rPr>
      </w:pPr>
      <w:r>
        <w:rPr>
          <w:rFonts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sz w:val="24"/>
          <w:szCs w:val="24"/>
        </w:rPr>
      </w:pPr>
      <w:r>
        <w:rPr>
          <w:rFonts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djustRightInd w:val="0"/>
        <w:snapToGrid w:val="0"/>
        <w:spacing w:line="360" w:lineRule="auto"/>
        <w:ind w:firstLine="480" w:firstLineChars="200"/>
        <w:rPr>
          <w:sz w:val="24"/>
          <w:szCs w:val="24"/>
        </w:rPr>
      </w:pPr>
      <w:r>
        <w:rPr>
          <w:rFonts w:hint="eastAsia"/>
          <w:sz w:val="24"/>
          <w:szCs w:val="24"/>
        </w:rPr>
        <w:t>4、本基金投资股指期货合约，一般以估值当日结算价进行估值，估值当日无结算价的，且最近交易日后经济环境未发生重大变化的，采用最近交易日结算价估值。</w:t>
      </w:r>
    </w:p>
    <w:p>
      <w:pPr>
        <w:adjustRightInd w:val="0"/>
        <w:snapToGrid w:val="0"/>
        <w:spacing w:line="360" w:lineRule="auto"/>
        <w:ind w:firstLine="480" w:firstLineChars="200"/>
        <w:rPr>
          <w:sz w:val="24"/>
          <w:szCs w:val="24"/>
        </w:rPr>
      </w:pPr>
      <w:r>
        <w:rPr>
          <w:rFonts w:hint="eastAsia"/>
          <w:sz w:val="24"/>
          <w:szCs w:val="24"/>
        </w:rPr>
        <w:t>5、同一证券同时在两个或两个以上市场交易的，按证券所处的市场分别估值。</w:t>
      </w:r>
    </w:p>
    <w:p>
      <w:pPr>
        <w:adjustRightInd w:val="0"/>
        <w:snapToGrid w:val="0"/>
        <w:spacing w:line="360" w:lineRule="auto"/>
        <w:ind w:firstLine="480" w:firstLineChars="200"/>
        <w:rPr>
          <w:sz w:val="24"/>
          <w:szCs w:val="24"/>
        </w:rPr>
      </w:pPr>
      <w:r>
        <w:rPr>
          <w:sz w:val="24"/>
          <w:szCs w:val="24"/>
        </w:rPr>
        <w:t>6</w:t>
      </w:r>
      <w:r>
        <w:rPr>
          <w:rFonts w:hint="eastAsia"/>
          <w:sz w:val="24"/>
          <w:szCs w:val="24"/>
        </w:rPr>
        <w:t>、估值计算中涉及港币对人民币汇率的，将依据下列信息提供机构所提供的汇率为基准：当日中国人民银行</w:t>
      </w:r>
      <w:r>
        <w:rPr>
          <w:rFonts w:hint="eastAsia"/>
          <w:bCs/>
          <w:sz w:val="24"/>
        </w:rPr>
        <w:t>或其授权机构</w:t>
      </w:r>
      <w:r>
        <w:rPr>
          <w:rFonts w:hint="eastAsia"/>
          <w:sz w:val="24"/>
          <w:szCs w:val="24"/>
        </w:rPr>
        <w:t>公布的人民</w:t>
      </w:r>
      <w:r>
        <w:rPr>
          <w:rFonts w:hint="eastAsia"/>
          <w:bCs/>
          <w:sz w:val="24"/>
          <w:szCs w:val="24"/>
        </w:rPr>
        <w:t>币与港币的</w:t>
      </w:r>
      <w:r>
        <w:rPr>
          <w:rFonts w:hint="eastAsia"/>
          <w:sz w:val="24"/>
          <w:szCs w:val="24"/>
        </w:rPr>
        <w:t>中间价。</w:t>
      </w:r>
    </w:p>
    <w:p>
      <w:pPr>
        <w:adjustRightInd w:val="0"/>
        <w:snapToGrid w:val="0"/>
        <w:spacing w:line="360" w:lineRule="auto"/>
        <w:ind w:firstLine="480" w:firstLineChars="200"/>
        <w:rPr>
          <w:sz w:val="24"/>
          <w:szCs w:val="24"/>
        </w:rPr>
      </w:pPr>
      <w:r>
        <w:rPr>
          <w:rFonts w:hint="eastAsia"/>
          <w:sz w:val="24"/>
          <w:szCs w:val="24"/>
        </w:rPr>
        <w:t>7、对于因税收规定调整或其他原因导致产品实际交纳税金与估算的应交税金有差异的，产品将在相关税金调整日或实际支付日进行相应的会计处理。</w:t>
      </w:r>
    </w:p>
    <w:p>
      <w:pPr>
        <w:adjustRightInd w:val="0"/>
        <w:snapToGrid w:val="0"/>
        <w:spacing w:line="360" w:lineRule="auto"/>
        <w:ind w:firstLine="480" w:firstLineChars="200"/>
        <w:rPr>
          <w:bCs/>
          <w:sz w:val="24"/>
          <w:szCs w:val="24"/>
        </w:rPr>
      </w:pPr>
      <w:r>
        <w:rPr>
          <w:sz w:val="24"/>
          <w:szCs w:val="24"/>
        </w:rPr>
        <w:t>8、</w:t>
      </w:r>
      <w:r>
        <w:rPr>
          <w:rFonts w:hint="eastAsia"/>
          <w:bCs/>
          <w:sz w:val="24"/>
          <w:szCs w:val="24"/>
        </w:rPr>
        <w:t>本基金投资存托凭证的估值核算依照境内上市交易的股票执行。</w:t>
      </w:r>
    </w:p>
    <w:p>
      <w:pPr>
        <w:adjustRightInd w:val="0"/>
        <w:snapToGrid w:val="0"/>
        <w:spacing w:line="360" w:lineRule="auto"/>
        <w:ind w:firstLine="480" w:firstLineChars="200"/>
        <w:rPr>
          <w:sz w:val="24"/>
          <w:szCs w:val="24"/>
        </w:rPr>
      </w:pPr>
      <w:r>
        <w:rPr>
          <w:rFonts w:hint="eastAsia"/>
          <w:bCs/>
          <w:sz w:val="24"/>
          <w:szCs w:val="24"/>
        </w:rPr>
        <w:t>9、</w:t>
      </w:r>
      <w:r>
        <w:rPr>
          <w:rFonts w:hint="eastAsia"/>
          <w:sz w:val="24"/>
          <w:szCs w:val="24"/>
        </w:rPr>
        <w:t>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sz w:val="24"/>
          <w:szCs w:val="24"/>
        </w:rPr>
      </w:pPr>
      <w:r>
        <w:rPr>
          <w:sz w:val="24"/>
          <w:szCs w:val="24"/>
        </w:rPr>
        <w:t>10</w:t>
      </w:r>
      <w:r>
        <w:rPr>
          <w:rFonts w:hint="eastAsia"/>
          <w:sz w:val="24"/>
          <w:szCs w:val="24"/>
        </w:rPr>
        <w:t>、当发生大额申购或赎回情形时，基金管理人可以采用摆动定价机制，以确保基金估值的公平性。</w:t>
      </w:r>
    </w:p>
    <w:p>
      <w:pPr>
        <w:adjustRightInd w:val="0"/>
        <w:snapToGrid w:val="0"/>
        <w:spacing w:line="360" w:lineRule="auto"/>
        <w:ind w:firstLine="480" w:firstLineChars="200"/>
        <w:rPr>
          <w:sz w:val="24"/>
          <w:szCs w:val="24"/>
        </w:rPr>
      </w:pPr>
      <w:r>
        <w:rPr>
          <w:sz w:val="24"/>
          <w:szCs w:val="24"/>
        </w:rPr>
        <w:t>11</w:t>
      </w:r>
      <w:r>
        <w:rPr>
          <w:rFonts w:hint="eastAsia"/>
          <w:sz w:val="24"/>
          <w:szCs w:val="24"/>
        </w:rPr>
        <w:t>、相关法律法规以及监管部门有强制规定的，从其规定。如有新增事项，按国家最新规定估值。</w:t>
      </w:r>
    </w:p>
    <w:p>
      <w:pPr>
        <w:adjustRightInd w:val="0"/>
        <w:snapToGrid w:val="0"/>
        <w:spacing w:line="360" w:lineRule="auto"/>
        <w:ind w:firstLine="480" w:firstLineChars="20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净值信息</w:t>
      </w:r>
      <w:r>
        <w:rPr>
          <w:rFonts w:hint="eastAsia"/>
          <w:sz w:val="24"/>
          <w:szCs w:val="24"/>
        </w:rPr>
        <w:t>的计算结果对外予以公布。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五</w:t>
      </w:r>
      <w:r>
        <w:rPr>
          <w:rFonts w:hAnsi="宋体"/>
          <w:b/>
          <w:sz w:val="24"/>
          <w:szCs w:val="24"/>
        </w:rPr>
        <w:t>）估值程序</w:t>
      </w:r>
    </w:p>
    <w:p>
      <w:pPr>
        <w:adjustRightInd w:val="0"/>
        <w:snapToGrid w:val="0"/>
        <w:spacing w:line="360" w:lineRule="auto"/>
        <w:ind w:firstLine="480" w:firstLineChars="200"/>
        <w:rPr>
          <w:sz w:val="24"/>
          <w:szCs w:val="24"/>
        </w:rPr>
      </w:pPr>
      <w:r>
        <w:rPr>
          <w:rFonts w:hint="eastAsia"/>
          <w:sz w:val="24"/>
          <w:szCs w:val="24"/>
        </w:rPr>
        <w:t>1、</w:t>
      </w:r>
      <w:r>
        <w:rPr>
          <w:rFonts w:hint="eastAsia"/>
          <w:bCs/>
          <w:sz w:val="24"/>
        </w:rPr>
        <w:t>各类</w:t>
      </w:r>
      <w:r>
        <w:rPr>
          <w:bCs/>
          <w:sz w:val="24"/>
        </w:rPr>
        <w:t>基金份额</w:t>
      </w:r>
      <w:r>
        <w:rPr>
          <w:rFonts w:hint="eastAsia"/>
          <w:bCs/>
          <w:sz w:val="24"/>
        </w:rPr>
        <w:t>的</w:t>
      </w:r>
      <w:r>
        <w:rPr>
          <w:rFonts w:hint="eastAsia"/>
          <w:sz w:val="24"/>
          <w:szCs w:val="24"/>
        </w:rPr>
        <w:t>基金份额净值是按照每个工作日闭市后，</w:t>
      </w:r>
      <w:r>
        <w:rPr>
          <w:rFonts w:hint="eastAsia"/>
          <w:bCs/>
          <w:sz w:val="24"/>
        </w:rPr>
        <w:t>该类基金份额的</w:t>
      </w:r>
      <w:r>
        <w:rPr>
          <w:rFonts w:hint="eastAsia"/>
          <w:sz w:val="24"/>
          <w:szCs w:val="24"/>
        </w:rPr>
        <w:t>基金资产净值除以当日</w:t>
      </w:r>
      <w:r>
        <w:rPr>
          <w:rFonts w:hint="eastAsia"/>
          <w:bCs/>
          <w:sz w:val="24"/>
        </w:rPr>
        <w:t>该类</w:t>
      </w:r>
      <w:r>
        <w:rPr>
          <w:rFonts w:hint="eastAsia"/>
          <w:sz w:val="24"/>
          <w:szCs w:val="24"/>
        </w:rPr>
        <w:t>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sz w:val="24"/>
          <w:szCs w:val="24"/>
        </w:rPr>
      </w:pPr>
      <w:r>
        <w:rPr>
          <w:rFonts w:hint="eastAsia"/>
          <w:sz w:val="24"/>
          <w:szCs w:val="24"/>
        </w:rPr>
        <w:t>基金管理人于每个工作日计算</w:t>
      </w:r>
      <w:r>
        <w:rPr>
          <w:rFonts w:hint="eastAsia"/>
          <w:bCs/>
          <w:sz w:val="24"/>
        </w:rPr>
        <w:t>各类</w:t>
      </w:r>
      <w:r>
        <w:rPr>
          <w:bCs/>
          <w:sz w:val="24"/>
        </w:rPr>
        <w:t>基金</w:t>
      </w:r>
      <w:r>
        <w:rPr>
          <w:rFonts w:hint="eastAsia"/>
          <w:bCs/>
          <w:sz w:val="24"/>
        </w:rPr>
        <w:t>份额的</w:t>
      </w:r>
      <w:r>
        <w:rPr>
          <w:rFonts w:hint="eastAsia"/>
          <w:sz w:val="24"/>
          <w:szCs w:val="24"/>
        </w:rPr>
        <w:t>基金资产净值及基金份额净值，并按规定公告。如遇特殊情况，经履行适当程序，可以适当延迟计算或公告。</w:t>
      </w:r>
    </w:p>
    <w:p>
      <w:pPr>
        <w:adjustRightInd w:val="0"/>
        <w:snapToGrid w:val="0"/>
        <w:spacing w:line="360" w:lineRule="auto"/>
        <w:ind w:firstLine="480" w:firstLineChars="200"/>
        <w:rPr>
          <w:sz w:val="24"/>
          <w:szCs w:val="24"/>
        </w:rPr>
      </w:pPr>
      <w:r>
        <w:rPr>
          <w:rFonts w:hint="eastAsia"/>
          <w:sz w:val="24"/>
          <w:szCs w:val="24"/>
        </w:rPr>
        <w:t>2、基金管理人应每个工作日对基金资产估值。但基金管理人根据法律法规或基金合同的规定暂停估值时除外。基金管理人每个工作日对基金资产估值后，将</w:t>
      </w:r>
      <w:r>
        <w:rPr>
          <w:rFonts w:hint="eastAsia"/>
          <w:bCs/>
          <w:sz w:val="24"/>
        </w:rPr>
        <w:t>各类</w:t>
      </w:r>
      <w:r>
        <w:rPr>
          <w:rFonts w:hint="eastAsia"/>
          <w:sz w:val="24"/>
          <w:szCs w:val="24"/>
        </w:rPr>
        <w:t>基金份额净值结果发送基金托管人，经基金托管人复核无误后，由基金管理人依据基金合同和相关法律法规的规定对外公布。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六</w:t>
      </w:r>
      <w:r>
        <w:rPr>
          <w:rFonts w:hAnsi="宋体"/>
          <w:b/>
          <w:sz w:val="24"/>
          <w:szCs w:val="24"/>
        </w:rPr>
        <w:t>）估值错误的处理</w:t>
      </w:r>
    </w:p>
    <w:p>
      <w:pPr>
        <w:adjustRightInd w:val="0"/>
        <w:snapToGrid w:val="0"/>
        <w:spacing w:line="360" w:lineRule="auto"/>
        <w:ind w:firstLine="480" w:firstLineChars="200"/>
        <w:rPr>
          <w:rFonts w:hAnsi="宋体"/>
          <w:sz w:val="24"/>
          <w:szCs w:val="24"/>
        </w:rPr>
      </w:pPr>
      <w:r>
        <w:rPr>
          <w:rFonts w:hint="eastAsia" w:hAnsi="宋体"/>
          <w:sz w:val="24"/>
          <w:szCs w:val="24"/>
        </w:rPr>
        <w:t>基金管理人和基金托管人将采取必要、适当、合理的措施确保基金资产估值的准确性、及时性。当基金份额净值小数点后4位以内（含第4位）发生估值错误时，视为基金份额净值错误。</w:t>
      </w:r>
    </w:p>
    <w:p>
      <w:pPr>
        <w:adjustRightInd w:val="0"/>
        <w:snapToGrid w:val="0"/>
        <w:spacing w:line="360" w:lineRule="auto"/>
        <w:ind w:firstLine="480" w:firstLineChars="200"/>
        <w:rPr>
          <w:rFonts w:hAnsi="宋体"/>
          <w:sz w:val="24"/>
          <w:szCs w:val="24"/>
        </w:rPr>
      </w:pPr>
      <w:r>
        <w:rPr>
          <w:rFonts w:hint="eastAsia" w:hAnsi="宋体"/>
          <w:sz w:val="24"/>
          <w:szCs w:val="24"/>
        </w:rPr>
        <w:t>基金合同的当事人应按照以下约定处理：</w:t>
      </w:r>
    </w:p>
    <w:p>
      <w:pPr>
        <w:adjustRightInd w:val="0"/>
        <w:snapToGrid w:val="0"/>
        <w:spacing w:line="360" w:lineRule="auto"/>
        <w:ind w:firstLine="480" w:firstLineChars="200"/>
        <w:outlineLvl w:val="2"/>
        <w:rPr>
          <w:rFonts w:hAnsi="宋体"/>
          <w:sz w:val="24"/>
          <w:szCs w:val="24"/>
        </w:rPr>
      </w:pPr>
      <w:r>
        <w:rPr>
          <w:rFonts w:hint="eastAsia" w:hAnsi="宋体"/>
          <w:sz w:val="24"/>
          <w:szCs w:val="24"/>
        </w:rPr>
        <w:t>1、估值错误类型</w:t>
      </w:r>
    </w:p>
    <w:p>
      <w:pPr>
        <w:adjustRightInd w:val="0"/>
        <w:snapToGrid w:val="0"/>
        <w:spacing w:line="360" w:lineRule="auto"/>
        <w:ind w:firstLine="480" w:firstLineChars="200"/>
        <w:rPr>
          <w:rFonts w:hAnsi="宋体"/>
          <w:sz w:val="24"/>
          <w:szCs w:val="24"/>
        </w:rPr>
      </w:pPr>
      <w:r>
        <w:rPr>
          <w:rFonts w:hint="eastAsia" w:hAnsi="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djustRightInd w:val="0"/>
        <w:snapToGrid w:val="0"/>
        <w:spacing w:line="360" w:lineRule="auto"/>
        <w:ind w:firstLine="480" w:firstLineChars="200"/>
        <w:rPr>
          <w:rFonts w:hAnsi="宋体"/>
          <w:sz w:val="24"/>
          <w:szCs w:val="24"/>
        </w:rPr>
      </w:pPr>
      <w:r>
        <w:rPr>
          <w:rFonts w:hint="eastAsia" w:hAnsi="宋体"/>
          <w:sz w:val="24"/>
          <w:szCs w:val="24"/>
        </w:rPr>
        <w:t>上述估值错误的主要类型包括但不限于：资料申报差错、数据传输差错、数据计算差错、系统故障差错、下达指令差错等。</w:t>
      </w:r>
    </w:p>
    <w:p>
      <w:pPr>
        <w:adjustRightInd w:val="0"/>
        <w:snapToGrid w:val="0"/>
        <w:spacing w:line="360" w:lineRule="auto"/>
        <w:ind w:firstLine="480" w:firstLineChars="200"/>
        <w:rPr>
          <w:rFonts w:hAnsi="宋体"/>
          <w:sz w:val="24"/>
          <w:szCs w:val="24"/>
        </w:rPr>
      </w:pPr>
      <w:r>
        <w:rPr>
          <w:rFonts w:hint="eastAsia" w:hAnsi="宋体"/>
          <w:sz w:val="24"/>
          <w:szCs w:val="24"/>
        </w:rPr>
        <w:t>对于因技术原因引起的差错，若系同行业现有技术水平无法预见、无法避免、无法抗拒，则属不可抗力，按照下述规定执行。</w:t>
      </w:r>
    </w:p>
    <w:p>
      <w:pPr>
        <w:adjustRightInd w:val="0"/>
        <w:snapToGrid w:val="0"/>
        <w:spacing w:line="360" w:lineRule="auto"/>
        <w:ind w:firstLine="480" w:firstLineChars="200"/>
        <w:rPr>
          <w:rFonts w:hAnsi="宋体"/>
          <w:sz w:val="24"/>
          <w:szCs w:val="24"/>
        </w:rPr>
      </w:pPr>
      <w:r>
        <w:rPr>
          <w:rFonts w:hint="eastAsia" w:hAnsi="宋体"/>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djustRightInd w:val="0"/>
        <w:snapToGrid w:val="0"/>
        <w:spacing w:line="360" w:lineRule="auto"/>
        <w:ind w:firstLine="480" w:firstLineChars="200"/>
        <w:outlineLvl w:val="2"/>
        <w:rPr>
          <w:rFonts w:hAnsi="宋体"/>
          <w:sz w:val="24"/>
          <w:szCs w:val="24"/>
        </w:rPr>
      </w:pPr>
      <w:r>
        <w:rPr>
          <w:rFonts w:hint="eastAsia" w:hAnsi="宋体"/>
          <w:sz w:val="24"/>
          <w:szCs w:val="24"/>
        </w:rPr>
        <w:t>2、估值错误处理原则</w:t>
      </w:r>
    </w:p>
    <w:p>
      <w:pPr>
        <w:adjustRightInd w:val="0"/>
        <w:snapToGrid w:val="0"/>
        <w:spacing w:line="360" w:lineRule="auto"/>
        <w:ind w:firstLine="480" w:firstLineChars="200"/>
        <w:rPr>
          <w:rFonts w:hAnsi="宋体"/>
          <w:sz w:val="24"/>
          <w:szCs w:val="24"/>
        </w:rPr>
      </w:pPr>
      <w:r>
        <w:rPr>
          <w:rFonts w:hint="eastAsia" w:hAnsi="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djustRightInd w:val="0"/>
        <w:snapToGrid w:val="0"/>
        <w:spacing w:line="360" w:lineRule="auto"/>
        <w:ind w:firstLine="480" w:firstLineChars="200"/>
        <w:rPr>
          <w:rFonts w:hAnsi="宋体"/>
          <w:sz w:val="24"/>
          <w:szCs w:val="24"/>
        </w:rPr>
      </w:pPr>
      <w:r>
        <w:rPr>
          <w:rFonts w:hint="eastAsia" w:hAnsi="宋体"/>
          <w:sz w:val="24"/>
          <w:szCs w:val="24"/>
        </w:rPr>
        <w:t>（2）估值错误的责任方对有关当事人的直接损失负责，不对间接损失负责，并且仅对估值错误的有关直接当事人负责，不对第三方负责。</w:t>
      </w:r>
    </w:p>
    <w:p>
      <w:pPr>
        <w:adjustRightInd w:val="0"/>
        <w:snapToGrid w:val="0"/>
        <w:spacing w:line="360" w:lineRule="auto"/>
        <w:ind w:firstLine="480" w:firstLineChars="200"/>
        <w:rPr>
          <w:rFonts w:hAnsi="宋体"/>
          <w:sz w:val="24"/>
          <w:szCs w:val="24"/>
        </w:rPr>
      </w:pPr>
      <w:r>
        <w:rPr>
          <w:rFonts w:hint="eastAsia" w:hAnsi="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djustRightInd w:val="0"/>
        <w:snapToGrid w:val="0"/>
        <w:spacing w:line="360" w:lineRule="auto"/>
        <w:ind w:firstLine="480" w:firstLineChars="200"/>
        <w:rPr>
          <w:rFonts w:hAnsi="宋体"/>
          <w:sz w:val="24"/>
          <w:szCs w:val="24"/>
        </w:rPr>
      </w:pPr>
      <w:r>
        <w:rPr>
          <w:rFonts w:hint="eastAsia" w:hAnsi="宋体"/>
          <w:sz w:val="24"/>
          <w:szCs w:val="24"/>
        </w:rPr>
        <w:t>（4）估值错误调整采用尽量恢复至假设未发生估值错误的正确情形的方式。</w:t>
      </w:r>
    </w:p>
    <w:p>
      <w:pPr>
        <w:adjustRightInd w:val="0"/>
        <w:snapToGrid w:val="0"/>
        <w:spacing w:line="360" w:lineRule="auto"/>
        <w:ind w:firstLine="480" w:firstLineChars="200"/>
        <w:rPr>
          <w:rFonts w:hAnsi="宋体"/>
          <w:sz w:val="24"/>
          <w:szCs w:val="24"/>
        </w:rPr>
      </w:pPr>
      <w:r>
        <w:rPr>
          <w:rFonts w:hint="eastAsia" w:hAnsi="宋体"/>
          <w:sz w:val="24"/>
          <w:szCs w:val="24"/>
        </w:rPr>
        <w:t>（5）按法律法规规定的其他原则处理估值错误。</w:t>
      </w:r>
    </w:p>
    <w:p>
      <w:pPr>
        <w:adjustRightInd w:val="0"/>
        <w:snapToGrid w:val="0"/>
        <w:spacing w:line="360" w:lineRule="auto"/>
        <w:ind w:firstLine="480" w:firstLineChars="200"/>
        <w:outlineLvl w:val="2"/>
        <w:rPr>
          <w:rFonts w:hAnsi="宋体"/>
          <w:sz w:val="24"/>
          <w:szCs w:val="24"/>
        </w:rPr>
      </w:pPr>
      <w:r>
        <w:rPr>
          <w:rFonts w:hint="eastAsia" w:hAnsi="宋体"/>
          <w:sz w:val="24"/>
          <w:szCs w:val="24"/>
        </w:rPr>
        <w:t>3、估值错误处理程序</w:t>
      </w:r>
    </w:p>
    <w:p>
      <w:pPr>
        <w:adjustRightInd w:val="0"/>
        <w:snapToGrid w:val="0"/>
        <w:spacing w:line="360" w:lineRule="auto"/>
        <w:ind w:firstLine="480" w:firstLineChars="200"/>
        <w:rPr>
          <w:rFonts w:hAnsi="宋体"/>
          <w:sz w:val="24"/>
          <w:szCs w:val="24"/>
        </w:rPr>
      </w:pPr>
      <w:r>
        <w:rPr>
          <w:rFonts w:hint="eastAsia" w:hAnsi="宋体"/>
          <w:sz w:val="24"/>
          <w:szCs w:val="24"/>
        </w:rPr>
        <w:t>估值错误被发现后，有关的当事人应当及时进行处理，处理的程序如下：</w:t>
      </w:r>
    </w:p>
    <w:p>
      <w:pPr>
        <w:adjustRightInd w:val="0"/>
        <w:snapToGrid w:val="0"/>
        <w:spacing w:line="360" w:lineRule="auto"/>
        <w:ind w:firstLine="480" w:firstLineChars="200"/>
        <w:rPr>
          <w:rFonts w:hAnsi="宋体"/>
          <w:sz w:val="24"/>
          <w:szCs w:val="24"/>
        </w:rPr>
      </w:pPr>
      <w:r>
        <w:rPr>
          <w:rFonts w:hint="eastAsia" w:hAnsi="宋体"/>
          <w:sz w:val="24"/>
          <w:szCs w:val="24"/>
        </w:rPr>
        <w:t>（1）查明估值错误发生的原因，列明所有的当事人，并根据估值错误发生的原因确定估值错误的责任方；</w:t>
      </w:r>
    </w:p>
    <w:p>
      <w:pPr>
        <w:adjustRightInd w:val="0"/>
        <w:snapToGrid w:val="0"/>
        <w:spacing w:line="360" w:lineRule="auto"/>
        <w:ind w:firstLine="480" w:firstLineChars="200"/>
        <w:rPr>
          <w:rFonts w:hAnsi="宋体"/>
          <w:sz w:val="24"/>
          <w:szCs w:val="24"/>
        </w:rPr>
      </w:pPr>
      <w:r>
        <w:rPr>
          <w:rFonts w:hint="eastAsia" w:hAnsi="宋体"/>
          <w:sz w:val="24"/>
          <w:szCs w:val="24"/>
        </w:rPr>
        <w:t>（2）根据估值错误处理原则或当事人协商的方法对因估值错误造成的损失进行评估；</w:t>
      </w:r>
    </w:p>
    <w:p>
      <w:pPr>
        <w:adjustRightInd w:val="0"/>
        <w:snapToGrid w:val="0"/>
        <w:spacing w:line="360" w:lineRule="auto"/>
        <w:ind w:firstLine="480" w:firstLineChars="200"/>
        <w:rPr>
          <w:rFonts w:hAnsi="宋体"/>
          <w:sz w:val="24"/>
          <w:szCs w:val="24"/>
        </w:rPr>
      </w:pPr>
      <w:r>
        <w:rPr>
          <w:rFonts w:hint="eastAsia" w:hAnsi="宋体"/>
          <w:sz w:val="24"/>
          <w:szCs w:val="24"/>
        </w:rPr>
        <w:t>（3）根据估值错误处理原则或当事人协商的方法由估值错误的责任方进行更正和赔偿损失；</w:t>
      </w:r>
    </w:p>
    <w:p>
      <w:pPr>
        <w:adjustRightInd w:val="0"/>
        <w:snapToGrid w:val="0"/>
        <w:spacing w:line="360" w:lineRule="auto"/>
        <w:ind w:firstLine="480" w:firstLineChars="200"/>
        <w:rPr>
          <w:rFonts w:hAnsi="宋体"/>
          <w:sz w:val="24"/>
          <w:szCs w:val="24"/>
        </w:rPr>
      </w:pPr>
      <w:r>
        <w:rPr>
          <w:rFonts w:hint="eastAsia" w:hAnsi="宋体"/>
          <w:sz w:val="24"/>
          <w:szCs w:val="24"/>
        </w:rPr>
        <w:t>（4）根据估值错误处理的方法，需要修改基金登记机构交易数据的，由基金登记机构进行更正，并就估值错误的更正向有关当事人进行确认。</w:t>
      </w:r>
    </w:p>
    <w:p>
      <w:pPr>
        <w:adjustRightInd w:val="0"/>
        <w:snapToGrid w:val="0"/>
        <w:spacing w:line="360" w:lineRule="auto"/>
        <w:ind w:firstLine="480" w:firstLineChars="200"/>
        <w:outlineLvl w:val="2"/>
        <w:rPr>
          <w:rFonts w:hAnsi="宋体"/>
          <w:sz w:val="24"/>
          <w:szCs w:val="24"/>
        </w:rPr>
      </w:pPr>
      <w:r>
        <w:rPr>
          <w:rFonts w:hint="eastAsia" w:hAnsi="宋体"/>
          <w:sz w:val="24"/>
          <w:szCs w:val="24"/>
        </w:rPr>
        <w:t>4、基金份额净值估值错误处理的方法如下：</w:t>
      </w:r>
    </w:p>
    <w:p>
      <w:pPr>
        <w:adjustRightInd w:val="0"/>
        <w:snapToGrid w:val="0"/>
        <w:spacing w:line="360" w:lineRule="auto"/>
        <w:ind w:firstLine="480" w:firstLineChars="200"/>
        <w:rPr>
          <w:rFonts w:hAnsi="宋体"/>
          <w:sz w:val="24"/>
          <w:szCs w:val="24"/>
        </w:rPr>
      </w:pPr>
      <w:r>
        <w:rPr>
          <w:rFonts w:hint="eastAsia" w:hAnsi="宋体"/>
          <w:sz w:val="24"/>
          <w:szCs w:val="24"/>
        </w:rPr>
        <w:t>（1）基金份额净值计算出现错误时，基金管理人应当立即予以纠正，通报基金托管人，并采取合理的措施防止损失进一步扩大。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rFonts w:hAnsi="宋体"/>
          <w:sz w:val="24"/>
          <w:szCs w:val="24"/>
        </w:rPr>
      </w:pPr>
      <w:r>
        <w:rPr>
          <w:rFonts w:hint="eastAsia" w:hAnsi="宋体"/>
          <w:sz w:val="24"/>
          <w:szCs w:val="24"/>
        </w:rPr>
        <w:t>（2）错误偏差达到基金份额净值的0.25%时，基金管理人应当通报基金托管人并报中国证监会备案；错误偏差达到基金份额净值的0.5%时，基金管理人应当公告，并报中国证监会备案。</w:t>
      </w:r>
    </w:p>
    <w:p>
      <w:pPr>
        <w:adjustRightInd w:val="0"/>
        <w:snapToGrid w:val="0"/>
        <w:spacing w:line="360" w:lineRule="auto"/>
        <w:ind w:firstLine="480" w:firstLineChars="200"/>
        <w:rPr>
          <w:rFonts w:hAnsi="宋体"/>
          <w:sz w:val="24"/>
          <w:szCs w:val="24"/>
        </w:rPr>
      </w:pPr>
      <w:r>
        <w:rPr>
          <w:rFonts w:hint="eastAsia" w:hAnsi="宋体"/>
          <w:sz w:val="24"/>
          <w:szCs w:val="24"/>
        </w:rPr>
        <w:t>（3）前述内容如法律法规或监管机关另有规定的，从其规定处理。</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七</w:t>
      </w:r>
      <w:r>
        <w:rPr>
          <w:rFonts w:hAnsi="宋体"/>
          <w:b/>
          <w:sz w:val="24"/>
          <w:szCs w:val="24"/>
        </w:rPr>
        <w:t>）暂停估值的情形</w:t>
      </w:r>
    </w:p>
    <w:p>
      <w:pPr>
        <w:adjustRightInd w:val="0"/>
        <w:snapToGrid w:val="0"/>
        <w:spacing w:line="360" w:lineRule="auto"/>
        <w:ind w:firstLine="480" w:firstLineChars="200"/>
        <w:rPr>
          <w:sz w:val="24"/>
          <w:szCs w:val="24"/>
        </w:rPr>
      </w:pPr>
      <w:r>
        <w:rPr>
          <w:rFonts w:hint="eastAsia"/>
          <w:sz w:val="24"/>
          <w:szCs w:val="24"/>
        </w:rPr>
        <w:t>1、基金投资所涉及的证券、期货交易市场遇法定节假日或因其他原因暂停营业时；</w:t>
      </w:r>
    </w:p>
    <w:p>
      <w:pPr>
        <w:adjustRightInd w:val="0"/>
        <w:snapToGrid w:val="0"/>
        <w:spacing w:line="360" w:lineRule="auto"/>
        <w:ind w:firstLine="480" w:firstLineChars="200"/>
        <w:rPr>
          <w:sz w:val="24"/>
          <w:szCs w:val="24"/>
        </w:rPr>
      </w:pPr>
      <w:r>
        <w:rPr>
          <w:rFonts w:hint="eastAsia"/>
          <w:sz w:val="24"/>
          <w:szCs w:val="24"/>
        </w:rPr>
        <w:t>2、因不可抗力致使基金管理人、基金托管人无法准确评估基金资产价值时；</w:t>
      </w:r>
    </w:p>
    <w:p>
      <w:pPr>
        <w:adjustRightInd w:val="0"/>
        <w:snapToGrid w:val="0"/>
        <w:spacing w:line="360" w:lineRule="auto"/>
        <w:ind w:firstLine="480" w:firstLineChars="200"/>
        <w:rPr>
          <w:sz w:val="24"/>
          <w:szCs w:val="24"/>
        </w:rPr>
      </w:pPr>
      <w:r>
        <w:rPr>
          <w:rFonts w:hint="eastAsia"/>
          <w:sz w:val="24"/>
          <w:szCs w:val="24"/>
        </w:rPr>
        <w:t>3、当特定资产占前一估值日基金资产净值50%以上的，经与基金托管人协商确认后，基金管理人应当暂停估值；</w:t>
      </w:r>
    </w:p>
    <w:p>
      <w:pPr>
        <w:adjustRightInd w:val="0"/>
        <w:snapToGrid w:val="0"/>
        <w:spacing w:line="360" w:lineRule="auto"/>
        <w:ind w:firstLine="480" w:firstLineChars="200"/>
        <w:rPr>
          <w:sz w:val="24"/>
          <w:szCs w:val="24"/>
        </w:rPr>
      </w:pPr>
      <w:r>
        <w:rPr>
          <w:rFonts w:hint="eastAsia"/>
          <w:sz w:val="24"/>
          <w:szCs w:val="24"/>
        </w:rPr>
        <w:t>4、法律法规、中国证监会和基金合同认定的其它情形。</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八</w:t>
      </w:r>
      <w:r>
        <w:rPr>
          <w:rFonts w:hAnsi="宋体"/>
          <w:b/>
          <w:sz w:val="24"/>
          <w:szCs w:val="24"/>
        </w:rPr>
        <w:t>）基金净值的确认</w:t>
      </w:r>
    </w:p>
    <w:p>
      <w:pPr>
        <w:adjustRightInd w:val="0"/>
        <w:snapToGrid w:val="0"/>
        <w:spacing w:line="360" w:lineRule="auto"/>
        <w:ind w:firstLine="480" w:firstLineChars="200"/>
        <w:rPr>
          <w:sz w:val="24"/>
          <w:szCs w:val="24"/>
        </w:rPr>
      </w:pPr>
      <w:r>
        <w:rPr>
          <w:rFonts w:hint="eastAsia"/>
          <w:bCs/>
          <w:sz w:val="24"/>
        </w:rPr>
        <w:t>各类基金份额的</w:t>
      </w:r>
      <w:r>
        <w:rPr>
          <w:rFonts w:hint="eastAsia" w:hAnsi="宋体"/>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Pr>
          <w:rFonts w:hint="eastAsia" w:hAnsi="宋体"/>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九</w:t>
      </w:r>
      <w:r>
        <w:rPr>
          <w:rFonts w:hAnsi="宋体"/>
          <w:b/>
          <w:sz w:val="24"/>
          <w:szCs w:val="24"/>
        </w:rPr>
        <w:t>）特殊情</w:t>
      </w:r>
      <w:r>
        <w:rPr>
          <w:rFonts w:hint="eastAsia" w:hAnsi="宋体"/>
          <w:b/>
          <w:sz w:val="24"/>
          <w:szCs w:val="24"/>
        </w:rPr>
        <w:t>形</w:t>
      </w:r>
      <w:r>
        <w:rPr>
          <w:rFonts w:hAnsi="宋体"/>
          <w:b/>
          <w:sz w:val="24"/>
          <w:szCs w:val="24"/>
        </w:rPr>
        <w:t>的处理</w:t>
      </w:r>
    </w:p>
    <w:p>
      <w:pPr>
        <w:adjustRightInd w:val="0"/>
        <w:snapToGrid w:val="0"/>
        <w:spacing w:line="360" w:lineRule="auto"/>
        <w:ind w:firstLine="480" w:firstLineChars="200"/>
        <w:rPr>
          <w:sz w:val="24"/>
          <w:szCs w:val="24"/>
        </w:rPr>
      </w:pPr>
      <w:r>
        <w:rPr>
          <w:sz w:val="24"/>
          <w:szCs w:val="24"/>
        </w:rPr>
        <w:t>1</w:t>
      </w:r>
      <w:r>
        <w:rPr>
          <w:rFonts w:hint="eastAsia"/>
          <w:sz w:val="24"/>
          <w:szCs w:val="24"/>
        </w:rPr>
        <w:t>、基金管理人或基金托管人按估值方法的第</w:t>
      </w:r>
      <w:r>
        <w:rPr>
          <w:sz w:val="24"/>
          <w:szCs w:val="24"/>
        </w:rPr>
        <w:t>9</w:t>
      </w:r>
      <w:r>
        <w:rPr>
          <w:rFonts w:hint="eastAsia"/>
          <w:sz w:val="24"/>
          <w:szCs w:val="24"/>
        </w:rPr>
        <w:t>项进行估值时，所造成的误差不作为基金资产估值错误处理。</w:t>
      </w:r>
    </w:p>
    <w:p>
      <w:pPr>
        <w:adjustRightInd w:val="0"/>
        <w:snapToGrid w:val="0"/>
        <w:spacing w:line="360" w:lineRule="auto"/>
        <w:ind w:firstLine="480" w:firstLineChars="200"/>
        <w:rPr>
          <w:sz w:val="24"/>
          <w:szCs w:val="24"/>
        </w:rPr>
      </w:pPr>
      <w:r>
        <w:rPr>
          <w:sz w:val="24"/>
          <w:szCs w:val="24"/>
        </w:rPr>
        <w:t>2</w:t>
      </w:r>
      <w:r>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2" w:firstLineChars="200"/>
        <w:outlineLvl w:val="1"/>
        <w:rPr>
          <w:rFonts w:hAnsi="宋体"/>
          <w:b/>
          <w:sz w:val="24"/>
          <w:szCs w:val="24"/>
        </w:rPr>
      </w:pPr>
      <w:r>
        <w:rPr>
          <w:rFonts w:hint="eastAsia" w:hAnsi="宋体"/>
          <w:b/>
          <w:sz w:val="24"/>
          <w:szCs w:val="24"/>
        </w:rPr>
        <w:t>（十）实施侧袋机制期间的基金资产估值</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本基金实施侧袋机制的，应根据本部分的约定对主袋账户资产进行估值并披露主袋账户的基金净值信息，暂停披露侧袋账户份额净值。</w:t>
      </w:r>
      <w:bookmarkEnd w:id="65"/>
    </w:p>
    <w:bookmarkEnd w:id="66"/>
    <w:p>
      <w:pPr>
        <w:adjustRightInd w:val="0"/>
        <w:snapToGrid w:val="0"/>
        <w:spacing w:line="360" w:lineRule="auto"/>
        <w:jc w:val="center"/>
        <w:outlineLvl w:val="0"/>
        <w:rPr>
          <w:rFonts w:ascii="宋体" w:hAnsi="宋体"/>
          <w:b/>
          <w:kern w:val="0"/>
          <w:sz w:val="30"/>
        </w:rPr>
      </w:pPr>
      <w:r>
        <w:rPr>
          <w:sz w:val="24"/>
          <w:szCs w:val="24"/>
        </w:rPr>
        <w:br w:type="page"/>
      </w:r>
      <w:bookmarkStart w:id="67" w:name="_Toc48122013"/>
      <w:r>
        <w:rPr>
          <w:rFonts w:hint="eastAsia" w:ascii="宋体" w:hAnsi="宋体"/>
          <w:b/>
          <w:kern w:val="0"/>
          <w:sz w:val="30"/>
        </w:rPr>
        <w:t>十二、基金收益与分配</w:t>
      </w:r>
      <w:bookmarkEnd w:id="67"/>
    </w:p>
    <w:p>
      <w:pPr>
        <w:adjustRightInd w:val="0"/>
        <w:snapToGrid w:val="0"/>
        <w:spacing w:line="360" w:lineRule="auto"/>
        <w:ind w:firstLine="482" w:firstLineChars="200"/>
        <w:outlineLvl w:val="1"/>
        <w:rPr>
          <w:b/>
          <w:sz w:val="24"/>
        </w:rPr>
      </w:pPr>
      <w:bookmarkStart w:id="68" w:name="_Hlk49343954"/>
      <w:r>
        <w:rPr>
          <w:rFonts w:hAnsi="宋体"/>
          <w:b/>
          <w:sz w:val="24"/>
        </w:rPr>
        <w:t>（一）基金利润的构成</w:t>
      </w:r>
    </w:p>
    <w:p>
      <w:pPr>
        <w:adjustRightInd w:val="0"/>
        <w:snapToGrid w:val="0"/>
        <w:spacing w:line="360" w:lineRule="auto"/>
        <w:ind w:firstLine="480" w:firstLineChars="20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2" w:firstLineChars="200"/>
        <w:outlineLvl w:val="1"/>
        <w:rPr>
          <w:b/>
          <w:sz w:val="24"/>
        </w:rPr>
      </w:pPr>
      <w:r>
        <w:rPr>
          <w:rFonts w:hAnsi="宋体"/>
          <w:b/>
          <w:sz w:val="24"/>
        </w:rPr>
        <w:t>（二）基金可供分配利润</w:t>
      </w:r>
    </w:p>
    <w:p>
      <w:pPr>
        <w:adjustRightInd w:val="0"/>
        <w:snapToGrid w:val="0"/>
        <w:spacing w:line="360" w:lineRule="auto"/>
        <w:ind w:firstLine="480" w:firstLineChars="200"/>
        <w:rPr>
          <w:rFonts w:hAnsi="宋体"/>
          <w:sz w:val="24"/>
        </w:rPr>
      </w:pPr>
      <w:r>
        <w:rPr>
          <w:rFonts w:hAnsi="宋体"/>
          <w:sz w:val="24"/>
        </w:rPr>
        <w:t>基金可供分配利润指截至收益分</w:t>
      </w:r>
      <w:bookmarkStart w:id="69" w:name="_Hlt80435237"/>
      <w:bookmarkEnd w:id="69"/>
      <w:bookmarkStart w:id="70" w:name="_Hlt88900301"/>
      <w:bookmarkEnd w:id="70"/>
      <w:bookmarkStart w:id="71" w:name="_Hlt81129040"/>
      <w:bookmarkEnd w:id="71"/>
      <w:bookmarkStart w:id="72" w:name="_Toc15118286"/>
      <w:bookmarkStart w:id="73" w:name="_Toc109537392"/>
      <w:r>
        <w:rPr>
          <w:rFonts w:hAnsi="宋体"/>
          <w:sz w:val="24"/>
        </w:rPr>
        <w:t>配</w:t>
      </w:r>
      <w:bookmarkEnd w:id="72"/>
      <w:r>
        <w:rPr>
          <w:rFonts w:hAnsi="宋体"/>
          <w:sz w:val="24"/>
        </w:rPr>
        <w:t>基准日基金未分配利润与</w:t>
      </w:r>
      <w:bookmarkEnd w:id="73"/>
      <w:r>
        <w:rPr>
          <w:rFonts w:hAnsi="宋体"/>
          <w:sz w:val="24"/>
        </w:rPr>
        <w:t>未分配利润中已实现收益的孰低数。</w:t>
      </w:r>
    </w:p>
    <w:p>
      <w:pPr>
        <w:adjustRightInd w:val="0"/>
        <w:snapToGrid w:val="0"/>
        <w:spacing w:line="360" w:lineRule="auto"/>
        <w:ind w:firstLine="482" w:firstLineChars="200"/>
        <w:outlineLvl w:val="1"/>
        <w:rPr>
          <w:b/>
          <w:sz w:val="24"/>
        </w:rPr>
      </w:pPr>
      <w:r>
        <w:rPr>
          <w:rFonts w:hAnsi="宋体"/>
          <w:b/>
          <w:sz w:val="24"/>
        </w:rPr>
        <w:t>（三）</w:t>
      </w:r>
      <w:r>
        <w:rPr>
          <w:rFonts w:hint="eastAsia" w:hAnsi="宋体"/>
          <w:b/>
          <w:sz w:val="24"/>
        </w:rPr>
        <w:t>基金</w:t>
      </w:r>
      <w:r>
        <w:rPr>
          <w:rFonts w:hAnsi="宋体"/>
          <w:b/>
          <w:sz w:val="24"/>
        </w:rPr>
        <w:t>收益分配原则</w:t>
      </w:r>
    </w:p>
    <w:p>
      <w:pPr>
        <w:adjustRightInd w:val="0"/>
        <w:snapToGrid w:val="0"/>
        <w:spacing w:line="360" w:lineRule="auto"/>
        <w:ind w:firstLine="480" w:firstLineChars="200"/>
        <w:rPr>
          <w:rFonts w:ascii="宋体" w:hAnsi="宋体"/>
          <w:bCs/>
          <w:sz w:val="24"/>
          <w:szCs w:val="24"/>
        </w:rPr>
      </w:pPr>
      <w:bookmarkStart w:id="74" w:name="OLE_LINK73"/>
      <w:bookmarkStart w:id="75" w:name="OLE_LINK72"/>
      <w:r>
        <w:rPr>
          <w:rFonts w:hint="eastAsia" w:ascii="宋体" w:hAnsi="宋体"/>
          <w:bCs/>
          <w:sz w:val="24"/>
          <w:szCs w:val="24"/>
        </w:rPr>
        <w:t>1、由于本基金A类基金份额不收取销售服务费，C类基金份额收取销售服务费，各基金份额类别对应的可供分配利润将有所不同；</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在符合有关基金分红条件的前提下，本基金管理人可以根据实际情况进行收益分配，具体分配方案以公告为准，</w:t>
      </w:r>
      <w:r>
        <w:rPr>
          <w:rFonts w:ascii="宋体" w:hAnsi="宋体"/>
          <w:bCs/>
          <w:sz w:val="24"/>
          <w:szCs w:val="24"/>
        </w:rPr>
        <w:t>若《基金合同》生效不满3个月可不进行收益分配；</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Pr>
          <w:rFonts w:ascii="宋体" w:hAnsi="宋体"/>
          <w:bCs/>
          <w:sz w:val="24"/>
          <w:szCs w:val="24"/>
        </w:rPr>
        <w:t>基金份额进行再投资；若投资者不选择，本基金默认的收益分配方式是现金分红；</w:t>
      </w:r>
      <w:r>
        <w:rPr>
          <w:rFonts w:hAnsi="宋体"/>
          <w:sz w:val="24"/>
        </w:rPr>
        <w:t>基金份额持有人可对</w:t>
      </w:r>
      <w:r>
        <w:rPr>
          <w:rFonts w:hint="eastAsia" w:hAnsi="宋体"/>
          <w:sz w:val="24"/>
        </w:rPr>
        <w:t>其持有的</w:t>
      </w:r>
      <w:r>
        <w:rPr>
          <w:sz w:val="24"/>
        </w:rPr>
        <w:t>A</w:t>
      </w:r>
      <w:r>
        <w:rPr>
          <w:rFonts w:hAnsi="宋体"/>
          <w:sz w:val="24"/>
        </w:rPr>
        <w:t>类</w:t>
      </w:r>
      <w:r>
        <w:rPr>
          <w:rFonts w:hint="eastAsia"/>
          <w:bCs/>
          <w:sz w:val="24"/>
        </w:rPr>
        <w:t>基金份额</w:t>
      </w:r>
      <w:r>
        <w:rPr>
          <w:rFonts w:hint="eastAsia" w:hAnsi="宋体"/>
          <w:sz w:val="24"/>
        </w:rPr>
        <w:t>和</w:t>
      </w:r>
      <w:r>
        <w:rPr>
          <w:sz w:val="24"/>
        </w:rPr>
        <w:t>C</w:t>
      </w:r>
      <w:r>
        <w:rPr>
          <w:rFonts w:hAnsi="宋体"/>
          <w:sz w:val="24"/>
        </w:rPr>
        <w:t>类基金份额分别选择不同的收益分配方式</w:t>
      </w:r>
      <w:r>
        <w:rPr>
          <w:rFonts w:hint="eastAsia" w:ascii="宋体" w:hAnsi="宋体"/>
          <w:sz w:val="24"/>
        </w:rPr>
        <w:t>；</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、基金收益分配后</w:t>
      </w:r>
      <w:r>
        <w:rPr>
          <w:rFonts w:hint="eastAsia"/>
          <w:bCs/>
          <w:sz w:val="24"/>
        </w:rPr>
        <w:t>任一类</w:t>
      </w:r>
      <w:r>
        <w:rPr>
          <w:rFonts w:hint="eastAsia" w:ascii="宋体" w:hAnsi="宋体"/>
          <w:bCs/>
          <w:sz w:val="24"/>
          <w:szCs w:val="24"/>
        </w:rPr>
        <w:t>基金份额净值不能低于面值；即基金收益分配基准日的</w:t>
      </w:r>
      <w:r>
        <w:rPr>
          <w:rFonts w:hint="eastAsia"/>
          <w:bCs/>
          <w:sz w:val="24"/>
        </w:rPr>
        <w:t>任一类</w:t>
      </w:r>
      <w:r>
        <w:rPr>
          <w:rFonts w:hint="eastAsia" w:ascii="宋体" w:hAnsi="宋体"/>
          <w:bCs/>
          <w:sz w:val="24"/>
          <w:szCs w:val="24"/>
        </w:rPr>
        <w:t>基金份额净值减去</w:t>
      </w:r>
      <w:r>
        <w:rPr>
          <w:rFonts w:hint="eastAsia"/>
          <w:bCs/>
          <w:sz w:val="24"/>
        </w:rPr>
        <w:t>该类</w:t>
      </w:r>
      <w:r>
        <w:rPr>
          <w:rFonts w:hint="eastAsia" w:ascii="宋体" w:hAnsi="宋体"/>
          <w:bCs/>
          <w:sz w:val="24"/>
          <w:szCs w:val="24"/>
        </w:rPr>
        <w:t>每单位基金份额收益分配金额后不能低于面值；</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5、</w:t>
      </w:r>
      <w:r>
        <w:rPr>
          <w:rFonts w:hint="eastAsia"/>
          <w:bCs/>
          <w:sz w:val="24"/>
        </w:rPr>
        <w:t>本基金同一基金份额类别的</w:t>
      </w:r>
      <w:r>
        <w:rPr>
          <w:rFonts w:ascii="宋体" w:hAnsi="宋体"/>
          <w:bCs/>
          <w:sz w:val="24"/>
          <w:szCs w:val="24"/>
        </w:rPr>
        <w:t>每一基金份额享有同等分配权；</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6、法律法规或监管</w:t>
      </w:r>
      <w:r>
        <w:rPr>
          <w:rFonts w:hint="eastAsia" w:ascii="宋体" w:hAnsi="宋体"/>
          <w:bCs/>
          <w:sz w:val="24"/>
          <w:szCs w:val="24"/>
        </w:rPr>
        <w:t>机</w:t>
      </w:r>
      <w:r>
        <w:rPr>
          <w:rFonts w:ascii="宋体" w:hAnsi="宋体"/>
          <w:bCs/>
          <w:sz w:val="24"/>
          <w:szCs w:val="24"/>
        </w:rPr>
        <w:t>关另有规定的，从其规定。</w:t>
      </w:r>
    </w:p>
    <w:bookmarkEnd w:id="74"/>
    <w:bookmarkEnd w:id="75"/>
    <w:p>
      <w:pPr>
        <w:snapToGrid w:val="0"/>
        <w:spacing w:line="360" w:lineRule="auto"/>
        <w:ind w:firstLine="482" w:firstLineChars="200"/>
        <w:outlineLvl w:val="1"/>
        <w:rPr>
          <w:b/>
          <w:sz w:val="24"/>
        </w:rPr>
      </w:pPr>
      <w:r>
        <w:rPr>
          <w:rFonts w:hAnsi="宋体"/>
          <w:b/>
          <w:sz w:val="24"/>
        </w:rPr>
        <w:t>（四）收益分配方案</w:t>
      </w:r>
    </w:p>
    <w:p>
      <w:pPr>
        <w:adjustRightInd w:val="0"/>
        <w:snapToGrid w:val="0"/>
        <w:spacing w:line="360" w:lineRule="auto"/>
        <w:ind w:firstLine="480" w:firstLineChars="200"/>
        <w:rPr>
          <w:rFonts w:hAnsi="宋体"/>
          <w:sz w:val="24"/>
        </w:rPr>
      </w:pPr>
      <w:r>
        <w:rPr>
          <w:rFonts w:hAnsi="宋体"/>
          <w:sz w:val="24"/>
        </w:rPr>
        <w:t>基金收益分配方案中应载明截止收益分配基准日的可供分配利润、基金收益分配对象、分配时间、分配数额及比例、分配方式等内容。</w:t>
      </w:r>
    </w:p>
    <w:p>
      <w:pPr>
        <w:adjustRightInd w:val="0"/>
        <w:snapToGrid w:val="0"/>
        <w:spacing w:line="360" w:lineRule="auto"/>
        <w:ind w:firstLine="482" w:firstLineChars="200"/>
        <w:outlineLvl w:val="1"/>
        <w:rPr>
          <w:b/>
          <w:sz w:val="24"/>
        </w:rPr>
      </w:pPr>
      <w:r>
        <w:rPr>
          <w:rFonts w:hAnsi="宋体"/>
          <w:b/>
          <w:sz w:val="24"/>
        </w:rPr>
        <w:t>（五）收益分配方案的确定、公告与实施</w:t>
      </w:r>
    </w:p>
    <w:p>
      <w:pPr>
        <w:adjustRightInd w:val="0"/>
        <w:snapToGrid w:val="0"/>
        <w:spacing w:line="360" w:lineRule="auto"/>
        <w:ind w:firstLine="480" w:firstLineChars="200"/>
        <w:rPr>
          <w:bCs/>
          <w:sz w:val="24"/>
        </w:rPr>
      </w:pPr>
      <w:r>
        <w:rPr>
          <w:rFonts w:hint="eastAsia"/>
          <w:bCs/>
          <w:sz w:val="24"/>
        </w:rPr>
        <w:t>本基金收益分配方案由基金管理人拟定，并由基金托管人复核，依照《信息披露办法》的规定在规定媒介公告。</w:t>
      </w:r>
    </w:p>
    <w:p>
      <w:pPr>
        <w:adjustRightInd w:val="0"/>
        <w:snapToGrid w:val="0"/>
        <w:spacing w:line="360" w:lineRule="auto"/>
        <w:ind w:firstLine="480" w:firstLineChars="200"/>
        <w:rPr>
          <w:rFonts w:ascii="宋体" w:hAnsi="宋体"/>
          <w:sz w:val="24"/>
        </w:rPr>
      </w:pPr>
      <w:r>
        <w:rPr>
          <w:rFonts w:hint="eastAsia"/>
          <w:bCs/>
          <w:sz w:val="24"/>
        </w:rPr>
        <w:t>法律法规或监管机关另有规定的，从其规定。</w:t>
      </w:r>
    </w:p>
    <w:p>
      <w:pPr>
        <w:adjustRightInd w:val="0"/>
        <w:snapToGrid w:val="0"/>
        <w:spacing w:line="360" w:lineRule="auto"/>
        <w:ind w:firstLine="482" w:firstLineChars="200"/>
        <w:outlineLvl w:val="1"/>
        <w:rPr>
          <w:b/>
          <w:sz w:val="24"/>
        </w:rPr>
      </w:pPr>
      <w:r>
        <w:rPr>
          <w:b/>
          <w:sz w:val="24"/>
        </w:rPr>
        <w:t>（六）基金收益分配中发生的费用</w:t>
      </w:r>
    </w:p>
    <w:p>
      <w:pPr>
        <w:adjustRightInd w:val="0"/>
        <w:snapToGrid w:val="0"/>
        <w:spacing w:line="360" w:lineRule="auto"/>
        <w:ind w:firstLine="480" w:firstLineChars="20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djustRightInd w:val="0"/>
        <w:snapToGrid w:val="0"/>
        <w:spacing w:line="360" w:lineRule="auto"/>
        <w:ind w:firstLine="482" w:firstLineChars="200"/>
        <w:outlineLvl w:val="1"/>
        <w:rPr>
          <w:b/>
          <w:sz w:val="24"/>
        </w:rPr>
      </w:pPr>
      <w:r>
        <w:rPr>
          <w:b/>
          <w:sz w:val="24"/>
        </w:rPr>
        <w:t>（七）收益分配方式的修改</w:t>
      </w:r>
    </w:p>
    <w:p>
      <w:pPr>
        <w:adjustRightInd w:val="0"/>
        <w:snapToGrid w:val="0"/>
        <w:spacing w:line="360" w:lineRule="auto"/>
        <w:ind w:firstLine="480" w:firstLineChars="200"/>
        <w:rPr>
          <w:sz w:val="24"/>
        </w:rPr>
      </w:pPr>
      <w:r>
        <w:rPr>
          <w:sz w:val="24"/>
        </w:rPr>
        <w:t>投资人可至销售机构办理收益分配方式的修改，投资人对本基金不同的交易账户可设置不同的收益分配方式。</w:t>
      </w:r>
    </w:p>
    <w:p>
      <w:pPr>
        <w:adjustRightInd w:val="0"/>
        <w:snapToGrid w:val="0"/>
        <w:spacing w:line="360" w:lineRule="auto"/>
        <w:ind w:firstLine="480" w:firstLineChars="20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pPr>
        <w:adjustRightInd w:val="0"/>
        <w:snapToGrid w:val="0"/>
        <w:spacing w:line="360" w:lineRule="auto"/>
        <w:ind w:firstLine="482" w:firstLineChars="200"/>
        <w:outlineLvl w:val="1"/>
        <w:rPr>
          <w:b/>
          <w:sz w:val="24"/>
        </w:rPr>
      </w:pPr>
      <w:r>
        <w:rPr>
          <w:rFonts w:hint="eastAsia"/>
          <w:b/>
          <w:sz w:val="24"/>
        </w:rPr>
        <w:t>（八</w:t>
      </w:r>
      <w:r>
        <w:rPr>
          <w:b/>
          <w:sz w:val="24"/>
        </w:rPr>
        <w:t>）</w:t>
      </w:r>
      <w:r>
        <w:rPr>
          <w:rFonts w:hint="eastAsia"/>
          <w:b/>
          <w:sz w:val="24"/>
        </w:rPr>
        <w:t>实施侧袋机制期间的收益分配</w:t>
      </w:r>
    </w:p>
    <w:p>
      <w:pPr>
        <w:adjustRightInd w:val="0"/>
        <w:snapToGrid w:val="0"/>
        <w:spacing w:line="360" w:lineRule="auto"/>
        <w:ind w:firstLine="480" w:firstLineChars="200"/>
        <w:rPr>
          <w:sz w:val="24"/>
        </w:rPr>
      </w:pPr>
      <w:r>
        <w:rPr>
          <w:rFonts w:hint="eastAsia"/>
          <w:sz w:val="24"/>
        </w:rPr>
        <w:t>本基金实施侧袋机制的，侧袋账户不进行收益分配。</w:t>
      </w:r>
      <w:bookmarkEnd w:id="68"/>
    </w:p>
    <w:p>
      <w:pPr>
        <w:widowControl/>
        <w:adjustRightInd w:val="0"/>
        <w:snapToGrid w:val="0"/>
        <w:spacing w:line="360" w:lineRule="auto"/>
        <w:ind w:firstLine="200"/>
        <w:rPr>
          <w:rFonts w:ascii="宋体" w:hAnsi="宋体"/>
          <w:kern w:val="0"/>
          <w:sz w:val="24"/>
        </w:rPr>
      </w:pPr>
    </w:p>
    <w:p>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76" w:name="_Toc48122014"/>
      <w:r>
        <w:rPr>
          <w:rFonts w:hint="eastAsia" w:ascii="宋体" w:hAnsi="宋体"/>
          <w:b/>
          <w:kern w:val="0"/>
          <w:sz w:val="30"/>
        </w:rPr>
        <w:t>十三、基金的费用与税收</w:t>
      </w:r>
      <w:bookmarkEnd w:id="76"/>
    </w:p>
    <w:p>
      <w:pPr>
        <w:adjustRightInd w:val="0"/>
        <w:snapToGrid w:val="0"/>
        <w:spacing w:line="360" w:lineRule="auto"/>
        <w:ind w:firstLine="482" w:firstLineChars="200"/>
        <w:outlineLvl w:val="1"/>
        <w:rPr>
          <w:i/>
          <w:sz w:val="24"/>
          <w:u w:val="single"/>
        </w:rPr>
      </w:pPr>
      <w:bookmarkStart w:id="77" w:name="_Hlk49343964"/>
      <w:r>
        <w:rPr>
          <w:rFonts w:hAnsi="宋体"/>
          <w:b/>
          <w:sz w:val="24"/>
        </w:rPr>
        <w:t>（一）基金费用的种类</w:t>
      </w:r>
    </w:p>
    <w:p>
      <w:pPr>
        <w:adjustRightInd w:val="0"/>
        <w:snapToGrid w:val="0"/>
        <w:spacing w:line="360" w:lineRule="auto"/>
        <w:ind w:firstLine="480" w:firstLineChars="200"/>
        <w:rPr>
          <w:sz w:val="24"/>
        </w:rPr>
      </w:pPr>
      <w:r>
        <w:rPr>
          <w:sz w:val="24"/>
        </w:rPr>
        <w:t>1、基金管理人的管理费；</w:t>
      </w:r>
    </w:p>
    <w:p>
      <w:pPr>
        <w:adjustRightInd w:val="0"/>
        <w:snapToGrid w:val="0"/>
        <w:spacing w:line="360" w:lineRule="auto"/>
        <w:ind w:firstLine="480" w:firstLineChars="200"/>
        <w:rPr>
          <w:sz w:val="24"/>
        </w:rPr>
      </w:pPr>
      <w:r>
        <w:rPr>
          <w:rFonts w:hint="eastAsia"/>
          <w:sz w:val="24"/>
        </w:rPr>
        <w:t>2、基金托管人的托管费；</w:t>
      </w:r>
    </w:p>
    <w:p>
      <w:pPr>
        <w:adjustRightInd w:val="0"/>
        <w:snapToGrid w:val="0"/>
        <w:spacing w:line="360" w:lineRule="auto"/>
        <w:ind w:firstLine="480" w:firstLineChars="200"/>
        <w:rPr>
          <w:sz w:val="24"/>
        </w:rPr>
      </w:pPr>
      <w:r>
        <w:rPr>
          <w:rFonts w:hint="eastAsia"/>
          <w:sz w:val="24"/>
        </w:rPr>
        <w:t>3、《基金合同》生效后与基金相关的信息披露费用；</w:t>
      </w:r>
    </w:p>
    <w:p>
      <w:pPr>
        <w:adjustRightInd w:val="0"/>
        <w:snapToGrid w:val="0"/>
        <w:spacing w:line="360" w:lineRule="auto"/>
        <w:ind w:firstLine="480" w:firstLineChars="200"/>
        <w:rPr>
          <w:sz w:val="24"/>
        </w:rPr>
      </w:pPr>
      <w:r>
        <w:rPr>
          <w:rFonts w:hint="eastAsia"/>
          <w:sz w:val="24"/>
        </w:rPr>
        <w:t>4、《基金合同》生效后与基金相关的会计师费、律师费</w:t>
      </w:r>
      <w:r>
        <w:rPr>
          <w:rFonts w:hint="eastAsia"/>
          <w:bCs/>
          <w:sz w:val="24"/>
        </w:rPr>
        <w:t>、仲裁费</w:t>
      </w:r>
      <w:r>
        <w:rPr>
          <w:rFonts w:hint="eastAsia"/>
          <w:sz w:val="24"/>
        </w:rPr>
        <w:t>和诉讼费；</w:t>
      </w:r>
    </w:p>
    <w:p>
      <w:pPr>
        <w:adjustRightInd w:val="0"/>
        <w:snapToGrid w:val="0"/>
        <w:spacing w:line="360" w:lineRule="auto"/>
        <w:ind w:firstLine="480" w:firstLineChars="200"/>
        <w:rPr>
          <w:sz w:val="24"/>
        </w:rPr>
      </w:pPr>
      <w:r>
        <w:rPr>
          <w:rFonts w:hint="eastAsia"/>
          <w:sz w:val="24"/>
        </w:rPr>
        <w:t>5、基金份额持有人大会费用；</w:t>
      </w:r>
    </w:p>
    <w:p>
      <w:pPr>
        <w:adjustRightInd w:val="0"/>
        <w:snapToGrid w:val="0"/>
        <w:spacing w:line="360" w:lineRule="auto"/>
        <w:ind w:firstLine="480" w:firstLineChars="200"/>
        <w:rPr>
          <w:sz w:val="24"/>
        </w:rPr>
      </w:pPr>
      <w:r>
        <w:rPr>
          <w:rFonts w:hint="eastAsia"/>
          <w:sz w:val="24"/>
        </w:rPr>
        <w:t>6、基金的证券、期货交易费用；</w:t>
      </w:r>
    </w:p>
    <w:p>
      <w:pPr>
        <w:adjustRightInd w:val="0"/>
        <w:snapToGrid w:val="0"/>
        <w:spacing w:line="360" w:lineRule="auto"/>
        <w:ind w:firstLine="480" w:firstLineChars="200"/>
        <w:rPr>
          <w:sz w:val="24"/>
        </w:rPr>
      </w:pPr>
      <w:r>
        <w:rPr>
          <w:rFonts w:hint="eastAsia"/>
          <w:sz w:val="24"/>
        </w:rPr>
        <w:t>7、基金的银行汇划费用；</w:t>
      </w:r>
    </w:p>
    <w:p>
      <w:pPr>
        <w:adjustRightInd w:val="0"/>
        <w:snapToGrid w:val="0"/>
        <w:spacing w:line="360" w:lineRule="auto"/>
        <w:ind w:firstLine="480" w:firstLineChars="200"/>
        <w:rPr>
          <w:sz w:val="24"/>
        </w:rPr>
      </w:pPr>
      <w:r>
        <w:rPr>
          <w:rFonts w:hint="eastAsia"/>
          <w:sz w:val="24"/>
        </w:rPr>
        <w:t>8、基金的开户费用、账户维护费用；</w:t>
      </w:r>
    </w:p>
    <w:p>
      <w:pPr>
        <w:adjustRightInd w:val="0"/>
        <w:snapToGrid w:val="0"/>
        <w:spacing w:line="360" w:lineRule="auto"/>
        <w:ind w:firstLine="480" w:firstLineChars="200"/>
        <w:rPr>
          <w:sz w:val="24"/>
        </w:rPr>
      </w:pPr>
      <w:r>
        <w:rPr>
          <w:rFonts w:hint="eastAsia"/>
          <w:sz w:val="24"/>
        </w:rPr>
        <w:t>9、因投资港股通标的股票而产生的各项合理费用；</w:t>
      </w:r>
    </w:p>
    <w:p>
      <w:pPr>
        <w:adjustRightInd w:val="0"/>
        <w:snapToGrid w:val="0"/>
        <w:spacing w:line="360" w:lineRule="auto"/>
        <w:ind w:firstLine="480" w:firstLineChars="200"/>
        <w:rPr>
          <w:sz w:val="24"/>
        </w:rPr>
      </w:pPr>
      <w:r>
        <w:rPr>
          <w:sz w:val="24"/>
        </w:rPr>
        <w:t>10</w:t>
      </w:r>
      <w:r>
        <w:rPr>
          <w:rFonts w:hint="eastAsia"/>
          <w:sz w:val="24"/>
        </w:rPr>
        <w:t>、本基金从C类基金份额的基金财产中计提的销售服务费；</w:t>
      </w:r>
    </w:p>
    <w:p>
      <w:pPr>
        <w:adjustRightInd w:val="0"/>
        <w:snapToGrid w:val="0"/>
        <w:spacing w:line="360" w:lineRule="auto"/>
        <w:ind w:firstLine="480" w:firstLineChars="200"/>
        <w:rPr>
          <w:sz w:val="24"/>
        </w:rPr>
      </w:pPr>
      <w:r>
        <w:rPr>
          <w:rFonts w:hint="eastAsia"/>
          <w:sz w:val="24"/>
        </w:rPr>
        <w:t>11、按照国家有关规定和《基金合同》约定，可以在基金财产中列支的其他费用。</w:t>
      </w:r>
    </w:p>
    <w:p>
      <w:pPr>
        <w:adjustRightInd w:val="0"/>
        <w:snapToGrid w:val="0"/>
        <w:spacing w:line="360" w:lineRule="auto"/>
        <w:ind w:firstLine="482"/>
        <w:outlineLvl w:val="1"/>
        <w:rPr>
          <w:b/>
          <w:bCs/>
          <w:sz w:val="24"/>
        </w:rPr>
      </w:pPr>
      <w:r>
        <w:rPr>
          <w:b/>
          <w:bCs/>
          <w:sz w:val="24"/>
        </w:rPr>
        <w:t>（二）基金费用计提方法、计提标准和支付方式</w:t>
      </w:r>
    </w:p>
    <w:p>
      <w:pPr>
        <w:adjustRightInd w:val="0"/>
        <w:snapToGrid w:val="0"/>
        <w:spacing w:line="360" w:lineRule="auto"/>
        <w:ind w:firstLine="480" w:firstLineChars="200"/>
        <w:outlineLvl w:val="2"/>
        <w:rPr>
          <w:sz w:val="24"/>
        </w:rPr>
      </w:pPr>
      <w:r>
        <w:rPr>
          <w:rFonts w:hint="eastAsia"/>
          <w:sz w:val="24"/>
        </w:rPr>
        <w:t>1、与基金运作有关的费用</w:t>
      </w:r>
    </w:p>
    <w:p>
      <w:pPr>
        <w:adjustRightInd w:val="0"/>
        <w:snapToGrid w:val="0"/>
        <w:spacing w:line="360" w:lineRule="auto"/>
        <w:ind w:firstLine="480" w:firstLineChars="200"/>
        <w:rPr>
          <w:sz w:val="24"/>
        </w:rPr>
      </w:pPr>
      <w:r>
        <w:rPr>
          <w:rFonts w:hint="eastAsia"/>
          <w:sz w:val="24"/>
        </w:rPr>
        <w:t>（</w:t>
      </w:r>
      <w:r>
        <w:rPr>
          <w:sz w:val="24"/>
        </w:rPr>
        <w:t>1</w:t>
      </w:r>
      <w:r>
        <w:rPr>
          <w:rFonts w:hint="eastAsia" w:hAnsi="宋体"/>
          <w:sz w:val="24"/>
        </w:rPr>
        <w:t>）</w:t>
      </w:r>
      <w:r>
        <w:rPr>
          <w:rFonts w:hAnsi="宋体"/>
          <w:sz w:val="24"/>
        </w:rPr>
        <w:t>基金管理人的管理费</w:t>
      </w:r>
    </w:p>
    <w:p>
      <w:pPr>
        <w:adjustRightInd w:val="0"/>
        <w:snapToGrid w:val="0"/>
        <w:spacing w:line="360" w:lineRule="auto"/>
        <w:ind w:firstLine="480" w:firstLineChars="200"/>
        <w:rPr>
          <w:bCs/>
          <w:sz w:val="24"/>
        </w:rPr>
      </w:pPr>
      <w:r>
        <w:rPr>
          <w:rFonts w:hint="eastAsia"/>
          <w:bCs/>
          <w:sz w:val="24"/>
        </w:rPr>
        <w:t>本基金的管理费按前一日基金资产净值的</w:t>
      </w:r>
      <w:r>
        <w:rPr>
          <w:bCs/>
          <w:sz w:val="24"/>
        </w:rPr>
        <w:t>1.5</w:t>
      </w:r>
      <w:r>
        <w:rPr>
          <w:rFonts w:hint="eastAsia"/>
          <w:bCs/>
          <w:sz w:val="24"/>
        </w:rPr>
        <w:t>%年费率计提。管理费的计算方法如下：</w:t>
      </w:r>
    </w:p>
    <w:p>
      <w:pPr>
        <w:adjustRightInd w:val="0"/>
        <w:snapToGrid w:val="0"/>
        <w:spacing w:line="360" w:lineRule="auto"/>
        <w:ind w:firstLine="480" w:firstLineChars="200"/>
        <w:rPr>
          <w:bCs/>
          <w:sz w:val="24"/>
        </w:rPr>
      </w:pPr>
      <w:r>
        <w:rPr>
          <w:rFonts w:hint="eastAsia"/>
          <w:bCs/>
          <w:sz w:val="24"/>
        </w:rPr>
        <w:t>H＝E×年管理费率÷当年天数</w:t>
      </w:r>
    </w:p>
    <w:p>
      <w:pPr>
        <w:adjustRightInd w:val="0"/>
        <w:snapToGrid w:val="0"/>
        <w:spacing w:line="360" w:lineRule="auto"/>
        <w:ind w:firstLine="480" w:firstLineChars="200"/>
        <w:rPr>
          <w:bCs/>
          <w:sz w:val="24"/>
        </w:rPr>
      </w:pPr>
      <w:r>
        <w:rPr>
          <w:rFonts w:hint="eastAsia"/>
          <w:bCs/>
          <w:sz w:val="24"/>
        </w:rPr>
        <w:t>H为每日应计提的基金管理费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管理费每日计提，逐日累计至每月月末，按月支付。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pPr>
        <w:adjustRightInd w:val="0"/>
        <w:snapToGrid w:val="0"/>
        <w:spacing w:line="360" w:lineRule="auto"/>
        <w:ind w:firstLine="480" w:firstLineChars="200"/>
        <w:rPr>
          <w:sz w:val="24"/>
        </w:rPr>
      </w:pPr>
      <w:r>
        <w:rPr>
          <w:rFonts w:hint="eastAsia"/>
          <w:sz w:val="24"/>
        </w:rPr>
        <w:t>（</w:t>
      </w:r>
      <w:r>
        <w:rPr>
          <w:sz w:val="24"/>
        </w:rPr>
        <w:t>2</w:t>
      </w:r>
      <w:r>
        <w:rPr>
          <w:rFonts w:hint="eastAsia" w:hAnsi="宋体"/>
          <w:sz w:val="24"/>
        </w:rPr>
        <w:t>）</w:t>
      </w:r>
      <w:r>
        <w:rPr>
          <w:rFonts w:hAnsi="宋体"/>
          <w:sz w:val="24"/>
        </w:rPr>
        <w:t>基金托管人的托管费</w:t>
      </w:r>
    </w:p>
    <w:p>
      <w:pPr>
        <w:adjustRightInd w:val="0"/>
        <w:snapToGrid w:val="0"/>
        <w:spacing w:line="360" w:lineRule="auto"/>
        <w:ind w:firstLine="480" w:firstLineChars="200"/>
        <w:rPr>
          <w:bCs/>
          <w:sz w:val="24"/>
        </w:rPr>
      </w:pPr>
      <w:r>
        <w:rPr>
          <w:rFonts w:hint="eastAsia"/>
          <w:bCs/>
          <w:sz w:val="24"/>
        </w:rPr>
        <w:t>本基金的托管费按前一日基金资产净值的0.2</w:t>
      </w:r>
      <w:r>
        <w:rPr>
          <w:bCs/>
          <w:sz w:val="24"/>
        </w:rPr>
        <w:t>5</w:t>
      </w:r>
      <w:r>
        <w:rPr>
          <w:rFonts w:hint="eastAsia"/>
          <w:bCs/>
          <w:sz w:val="24"/>
        </w:rPr>
        <w:t>%年费率计提。托管费的计算方法如下：</w:t>
      </w:r>
    </w:p>
    <w:p>
      <w:pPr>
        <w:adjustRightInd w:val="0"/>
        <w:snapToGrid w:val="0"/>
        <w:spacing w:line="360" w:lineRule="auto"/>
        <w:ind w:firstLine="480" w:firstLineChars="200"/>
        <w:rPr>
          <w:bCs/>
          <w:sz w:val="24"/>
        </w:rPr>
      </w:pPr>
      <w:r>
        <w:rPr>
          <w:rFonts w:hint="eastAsia"/>
          <w:bCs/>
          <w:sz w:val="24"/>
        </w:rPr>
        <w:t>H＝E×年托管费率÷当年天数</w:t>
      </w:r>
    </w:p>
    <w:p>
      <w:pPr>
        <w:adjustRightInd w:val="0"/>
        <w:snapToGrid w:val="0"/>
        <w:spacing w:line="360" w:lineRule="auto"/>
        <w:ind w:firstLine="480" w:firstLineChars="200"/>
        <w:rPr>
          <w:bCs/>
          <w:sz w:val="24"/>
        </w:rPr>
      </w:pPr>
      <w:r>
        <w:rPr>
          <w:rFonts w:hint="eastAsia"/>
          <w:bCs/>
          <w:sz w:val="24"/>
        </w:rPr>
        <w:t>H为每日应计提的基金托管费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adjustRightInd w:val="0"/>
        <w:snapToGrid w:val="0"/>
        <w:spacing w:line="360" w:lineRule="auto"/>
        <w:ind w:firstLine="480" w:firstLineChars="200"/>
        <w:rPr>
          <w:bCs/>
          <w:sz w:val="24"/>
        </w:rPr>
      </w:pPr>
      <w:r>
        <w:rPr>
          <w:rFonts w:hint="eastAsia"/>
          <w:bCs/>
          <w:sz w:val="24"/>
        </w:rPr>
        <w:t>（</w:t>
      </w:r>
      <w:r>
        <w:rPr>
          <w:bCs/>
          <w:sz w:val="24"/>
        </w:rPr>
        <w:t>3</w:t>
      </w:r>
      <w:r>
        <w:rPr>
          <w:rFonts w:hint="eastAsia"/>
          <w:bCs/>
          <w:sz w:val="24"/>
        </w:rPr>
        <w:t>）C类基金份额的销售服务费</w:t>
      </w:r>
    </w:p>
    <w:p>
      <w:pPr>
        <w:adjustRightInd w:val="0"/>
        <w:snapToGrid w:val="0"/>
        <w:spacing w:line="360" w:lineRule="auto"/>
        <w:ind w:firstLine="480" w:firstLineChars="200"/>
        <w:rPr>
          <w:bCs/>
          <w:sz w:val="24"/>
        </w:rPr>
      </w:pPr>
      <w:r>
        <w:rPr>
          <w:rFonts w:hint="eastAsia"/>
          <w:bCs/>
          <w:sz w:val="24"/>
        </w:rPr>
        <w:t>本基金A类基金份额不收取销售服务费，C类基金份额的销售服务费按前一日C类基金资产净值的0.</w:t>
      </w:r>
      <w:r>
        <w:rPr>
          <w:bCs/>
          <w:sz w:val="24"/>
        </w:rPr>
        <w:t>6</w:t>
      </w:r>
      <w:r>
        <w:rPr>
          <w:rFonts w:hint="eastAsia"/>
          <w:bCs/>
          <w:sz w:val="24"/>
        </w:rPr>
        <w:t>%年费率计提。计算方法如下：</w:t>
      </w:r>
    </w:p>
    <w:p>
      <w:pPr>
        <w:adjustRightInd w:val="0"/>
        <w:snapToGrid w:val="0"/>
        <w:spacing w:line="360" w:lineRule="auto"/>
        <w:ind w:firstLine="480" w:firstLineChars="200"/>
        <w:rPr>
          <w:bCs/>
          <w:sz w:val="24"/>
        </w:rPr>
      </w:pPr>
      <w:r>
        <w:rPr>
          <w:rFonts w:hint="eastAsia"/>
          <w:bCs/>
          <w:sz w:val="24"/>
        </w:rPr>
        <w:t>H＝E×0.</w:t>
      </w:r>
      <w:r>
        <w:rPr>
          <w:bCs/>
          <w:sz w:val="24"/>
        </w:rPr>
        <w:t>6</w:t>
      </w:r>
      <w:r>
        <w:rPr>
          <w:rFonts w:hint="eastAsia"/>
          <w:bCs/>
          <w:sz w:val="24"/>
        </w:rPr>
        <w:t>%÷当年天数</w:t>
      </w:r>
    </w:p>
    <w:p>
      <w:pPr>
        <w:adjustRightInd w:val="0"/>
        <w:snapToGrid w:val="0"/>
        <w:spacing w:line="360" w:lineRule="auto"/>
        <w:ind w:firstLine="480" w:firstLineChars="200"/>
        <w:rPr>
          <w:bCs/>
          <w:sz w:val="24"/>
        </w:rPr>
      </w:pPr>
      <w:r>
        <w:rPr>
          <w:rFonts w:hint="eastAsia"/>
          <w:bCs/>
          <w:sz w:val="24"/>
        </w:rPr>
        <w:t>H为C类基金份额每日应计提的销售服务费</w:t>
      </w:r>
    </w:p>
    <w:p>
      <w:pPr>
        <w:adjustRightInd w:val="0"/>
        <w:snapToGrid w:val="0"/>
        <w:spacing w:line="360" w:lineRule="auto"/>
        <w:ind w:firstLine="480" w:firstLineChars="200"/>
        <w:rPr>
          <w:bCs/>
          <w:sz w:val="24"/>
        </w:rPr>
      </w:pPr>
      <w:r>
        <w:rPr>
          <w:rFonts w:hint="eastAsia"/>
          <w:bCs/>
          <w:sz w:val="24"/>
        </w:rPr>
        <w:t>E为C类基金份额前一日基金资产净值</w:t>
      </w:r>
    </w:p>
    <w:p>
      <w:pPr>
        <w:adjustRightInd w:val="0"/>
        <w:snapToGrid w:val="0"/>
        <w:spacing w:line="360" w:lineRule="auto"/>
        <w:ind w:firstLine="480" w:firstLineChars="200"/>
        <w:rPr>
          <w:bCs/>
          <w:sz w:val="24"/>
        </w:rPr>
      </w:pPr>
      <w:r>
        <w:rPr>
          <w:rFonts w:hint="eastAsia"/>
          <w:bCs/>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pPr>
        <w:adjustRightInd w:val="0"/>
        <w:snapToGrid w:val="0"/>
        <w:spacing w:line="360" w:lineRule="auto"/>
        <w:ind w:firstLine="480" w:firstLineChars="200"/>
        <w:rPr>
          <w:bCs/>
          <w:sz w:val="24"/>
        </w:rPr>
      </w:pPr>
      <w:r>
        <w:rPr>
          <w:rFonts w:hint="eastAsia"/>
          <w:bCs/>
          <w:sz w:val="24"/>
        </w:rPr>
        <w:t>C类基金份额的销售服务费将专门用于本基金的市场推广、销售与基金份额持有人服务。</w:t>
      </w:r>
    </w:p>
    <w:p>
      <w:pPr>
        <w:adjustRightInd w:val="0"/>
        <w:snapToGrid w:val="0"/>
        <w:spacing w:line="360" w:lineRule="auto"/>
        <w:ind w:firstLine="480" w:firstLineChars="200"/>
        <w:rPr>
          <w:sz w:val="24"/>
        </w:rPr>
      </w:pPr>
      <w:r>
        <w:rPr>
          <w:rFonts w:hint="eastAsia"/>
          <w:bCs/>
          <w:sz w:val="24"/>
        </w:rPr>
        <w:t>（4）</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中第3</w:t>
      </w:r>
      <w:r>
        <w:rPr>
          <w:rFonts w:hint="eastAsia"/>
          <w:bCs/>
          <w:sz w:val="24"/>
        </w:rPr>
        <w:t>－9项、第11</w:t>
      </w:r>
      <w:r>
        <w:rPr>
          <w:bCs/>
          <w:sz w:val="24"/>
        </w:rPr>
        <w:t>项费用，根据有关法规及相应协议规定，按费用实际支出金额列入当期费用，由基金托管人从基金财产中支付。</w:t>
      </w:r>
    </w:p>
    <w:p>
      <w:pPr>
        <w:adjustRightInd w:val="0"/>
        <w:snapToGrid w:val="0"/>
        <w:spacing w:line="360" w:lineRule="auto"/>
        <w:ind w:firstLine="480" w:firstLineChars="200"/>
        <w:outlineLvl w:val="2"/>
        <w:rPr>
          <w:bCs/>
          <w:sz w:val="24"/>
        </w:rPr>
      </w:pPr>
      <w:r>
        <w:rPr>
          <w:bCs/>
          <w:sz w:val="24"/>
        </w:rPr>
        <w:t>2、与基金销售有关的费用</w:t>
      </w:r>
    </w:p>
    <w:p>
      <w:pPr>
        <w:adjustRightInd w:val="0"/>
        <w:snapToGrid w:val="0"/>
        <w:spacing w:line="360" w:lineRule="auto"/>
        <w:ind w:firstLine="480" w:firstLineChars="200"/>
        <w:rPr>
          <w:bCs/>
          <w:sz w:val="24"/>
        </w:rPr>
      </w:pPr>
      <w:r>
        <w:rPr>
          <w:bCs/>
          <w:sz w:val="24"/>
        </w:rPr>
        <w:t>（1）申购费</w:t>
      </w:r>
    </w:p>
    <w:p>
      <w:pPr>
        <w:adjustRightInd w:val="0"/>
        <w:snapToGrid w:val="0"/>
        <w:spacing w:line="360" w:lineRule="auto"/>
        <w:ind w:firstLine="480" w:firstLineChars="20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0" w:firstLineChars="200"/>
        <w:rPr>
          <w:bCs/>
          <w:sz w:val="24"/>
        </w:rPr>
      </w:pPr>
      <w:r>
        <w:rPr>
          <w:bCs/>
          <w:sz w:val="24"/>
        </w:rPr>
        <w:t>（2）赎回费</w:t>
      </w:r>
    </w:p>
    <w:p>
      <w:pPr>
        <w:adjustRightInd w:val="0"/>
        <w:snapToGrid w:val="0"/>
        <w:spacing w:line="360" w:lineRule="auto"/>
        <w:ind w:firstLine="480" w:firstLineChars="20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2"/>
        <w:outlineLvl w:val="1"/>
        <w:rPr>
          <w:b/>
          <w:bCs/>
          <w:sz w:val="24"/>
        </w:rPr>
      </w:pPr>
      <w:r>
        <w:rPr>
          <w:b/>
          <w:bCs/>
          <w:sz w:val="24"/>
        </w:rPr>
        <w:t>（三）不列入基金费用的项目</w:t>
      </w:r>
    </w:p>
    <w:p>
      <w:pPr>
        <w:adjustRightInd w:val="0"/>
        <w:snapToGrid w:val="0"/>
        <w:spacing w:line="360" w:lineRule="auto"/>
        <w:ind w:firstLine="480" w:firstLineChars="200"/>
        <w:rPr>
          <w:rFonts w:hAnsi="宋体"/>
          <w:sz w:val="24"/>
          <w:szCs w:val="21"/>
        </w:rPr>
      </w:pPr>
      <w:r>
        <w:rPr>
          <w:rFonts w:hAnsi="宋体"/>
          <w:sz w:val="24"/>
          <w:szCs w:val="21"/>
        </w:rPr>
        <w:t>下列费用不列入基金费用：</w:t>
      </w:r>
    </w:p>
    <w:p>
      <w:pPr>
        <w:adjustRightInd w:val="0"/>
        <w:snapToGrid w:val="0"/>
        <w:spacing w:line="360" w:lineRule="auto"/>
        <w:ind w:firstLine="480" w:firstLineChars="200"/>
        <w:rPr>
          <w:rFonts w:hAnsi="宋体"/>
          <w:sz w:val="24"/>
          <w:szCs w:val="21"/>
        </w:rPr>
      </w:pPr>
      <w:r>
        <w:rPr>
          <w:rFonts w:hAnsi="宋体"/>
          <w:sz w:val="24"/>
          <w:szCs w:val="21"/>
        </w:rPr>
        <w:t>1、基金管理人和基金托管人因未履行或未完全履行义务导致的费用支出或基金财产的损失；</w:t>
      </w:r>
    </w:p>
    <w:p>
      <w:pPr>
        <w:adjustRightInd w:val="0"/>
        <w:snapToGrid w:val="0"/>
        <w:spacing w:line="360" w:lineRule="auto"/>
        <w:ind w:firstLine="480" w:firstLineChars="200"/>
        <w:rPr>
          <w:rFonts w:hAnsi="宋体"/>
          <w:sz w:val="24"/>
          <w:szCs w:val="21"/>
        </w:rPr>
      </w:pPr>
      <w:r>
        <w:rPr>
          <w:rFonts w:hAnsi="宋体"/>
          <w:sz w:val="24"/>
          <w:szCs w:val="21"/>
        </w:rPr>
        <w:t>2、基金管理人和基金托管人处理与基金运作无关的事项发生的费用；</w:t>
      </w:r>
    </w:p>
    <w:p>
      <w:pPr>
        <w:adjustRightInd w:val="0"/>
        <w:snapToGrid w:val="0"/>
        <w:spacing w:line="360" w:lineRule="auto"/>
        <w:ind w:firstLine="480" w:firstLineChars="200"/>
        <w:rPr>
          <w:rFonts w:hAnsi="宋体"/>
          <w:sz w:val="24"/>
          <w:szCs w:val="21"/>
        </w:rPr>
      </w:pPr>
      <w:r>
        <w:rPr>
          <w:rFonts w:hAnsi="宋体"/>
          <w:sz w:val="24"/>
          <w:szCs w:val="21"/>
        </w:rPr>
        <w:t>3、</w:t>
      </w:r>
      <w:r>
        <w:rPr>
          <w:rFonts w:hint="eastAsia" w:hAnsi="宋体"/>
          <w:sz w:val="24"/>
          <w:szCs w:val="21"/>
        </w:rPr>
        <w:t>《</w:t>
      </w:r>
      <w:r>
        <w:rPr>
          <w:rFonts w:hAnsi="宋体"/>
          <w:sz w:val="24"/>
          <w:szCs w:val="21"/>
        </w:rPr>
        <w:t>基金合同</w:t>
      </w:r>
      <w:r>
        <w:rPr>
          <w:rFonts w:hint="eastAsia" w:hAnsi="宋体"/>
          <w:sz w:val="24"/>
          <w:szCs w:val="21"/>
        </w:rPr>
        <w:t>》</w:t>
      </w:r>
      <w:r>
        <w:rPr>
          <w:rFonts w:hAnsi="宋体"/>
          <w:sz w:val="24"/>
          <w:szCs w:val="21"/>
        </w:rPr>
        <w:t>生效前的相关费用；</w:t>
      </w:r>
    </w:p>
    <w:p>
      <w:pPr>
        <w:adjustRightInd w:val="0"/>
        <w:snapToGrid w:val="0"/>
        <w:spacing w:line="360" w:lineRule="auto"/>
        <w:ind w:firstLine="480" w:firstLineChars="200"/>
        <w:rPr>
          <w:rFonts w:hAnsi="宋体"/>
          <w:sz w:val="24"/>
          <w:szCs w:val="21"/>
        </w:rPr>
      </w:pPr>
      <w:bookmarkStart w:id="78" w:name="_Hlt81193394"/>
      <w:bookmarkEnd w:id="78"/>
      <w:r>
        <w:rPr>
          <w:rFonts w:hAnsi="宋体"/>
          <w:sz w:val="24"/>
          <w:szCs w:val="21"/>
        </w:rPr>
        <w:t>4、其他根据相关法律法规及中国证监会的有关规定不得列入基金费用的项目。</w:t>
      </w:r>
    </w:p>
    <w:p>
      <w:pPr>
        <w:adjustRightInd w:val="0"/>
        <w:snapToGrid w:val="0"/>
        <w:spacing w:line="360" w:lineRule="auto"/>
        <w:ind w:firstLine="482"/>
        <w:outlineLvl w:val="1"/>
        <w:rPr>
          <w:b/>
          <w:bCs/>
          <w:sz w:val="24"/>
        </w:rPr>
      </w:pPr>
      <w:r>
        <w:rPr>
          <w:rFonts w:hint="eastAsia"/>
          <w:b/>
          <w:bCs/>
          <w:sz w:val="24"/>
        </w:rPr>
        <w:t>（</w:t>
      </w:r>
      <w:r>
        <w:rPr>
          <w:b/>
          <w:bCs/>
          <w:sz w:val="24"/>
        </w:rPr>
        <w:t>四</w:t>
      </w:r>
      <w:r>
        <w:rPr>
          <w:rFonts w:hint="eastAsia"/>
          <w:b/>
          <w:bCs/>
          <w:sz w:val="24"/>
        </w:rPr>
        <w:t>）实施侧袋机制期间的基金费用</w:t>
      </w:r>
    </w:p>
    <w:p>
      <w:pPr>
        <w:adjustRightInd w:val="0"/>
        <w:snapToGrid w:val="0"/>
        <w:spacing w:line="360" w:lineRule="auto"/>
        <w:ind w:firstLine="480" w:firstLineChars="200"/>
        <w:rPr>
          <w:rFonts w:hAnsi="宋体"/>
          <w:sz w:val="24"/>
          <w:szCs w:val="21"/>
        </w:rPr>
      </w:pPr>
      <w:r>
        <w:rPr>
          <w:rFonts w:hint="eastAsia" w:hAnsi="宋体"/>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pPr>
        <w:adjustRightInd w:val="0"/>
        <w:snapToGrid w:val="0"/>
        <w:spacing w:line="360" w:lineRule="auto"/>
        <w:ind w:firstLine="482"/>
        <w:outlineLvl w:val="1"/>
        <w:rPr>
          <w:b/>
          <w:bCs/>
          <w:sz w:val="24"/>
        </w:rPr>
      </w:pPr>
      <w:r>
        <w:rPr>
          <w:rFonts w:hint="eastAsia"/>
          <w:b/>
          <w:bCs/>
          <w:sz w:val="24"/>
        </w:rPr>
        <w:t>（五）</w:t>
      </w:r>
      <w:r>
        <w:rPr>
          <w:b/>
          <w:bCs/>
          <w:sz w:val="24"/>
        </w:rPr>
        <w:t>基金税收</w:t>
      </w:r>
    </w:p>
    <w:p>
      <w:pPr>
        <w:adjustRightInd w:val="0"/>
        <w:snapToGrid w:val="0"/>
        <w:spacing w:line="360" w:lineRule="auto"/>
        <w:ind w:firstLine="480" w:firstLineChars="200"/>
        <w:rPr>
          <w:rFonts w:ascii="宋体" w:hAnsi="宋体"/>
          <w:b/>
          <w:kern w:val="0"/>
          <w:sz w:val="30"/>
        </w:rPr>
      </w:pPr>
      <w:r>
        <w:rPr>
          <w:rFonts w:hint="eastAsia" w:hAnsi="宋体"/>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7"/>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79" w:name="_Toc48122015"/>
      <w:r>
        <w:rPr>
          <w:rFonts w:hint="eastAsia" w:ascii="宋体" w:hAnsi="宋体"/>
          <w:b/>
          <w:kern w:val="0"/>
          <w:sz w:val="30"/>
        </w:rPr>
        <w:t>十四、基金的会计与审计</w:t>
      </w:r>
      <w:bookmarkEnd w:id="79"/>
    </w:p>
    <w:p>
      <w:pPr>
        <w:adjustRightInd w:val="0"/>
        <w:snapToGrid w:val="0"/>
        <w:spacing w:line="360" w:lineRule="auto"/>
        <w:ind w:firstLine="482"/>
        <w:outlineLvl w:val="1"/>
        <w:rPr>
          <w:b/>
          <w:bCs/>
          <w:sz w:val="24"/>
        </w:rPr>
      </w:pPr>
      <w:bookmarkStart w:id="80" w:name="_Hlk49344167"/>
      <w:r>
        <w:rPr>
          <w:b/>
          <w:bCs/>
          <w:sz w:val="24"/>
        </w:rPr>
        <w:t>（一）基金会计政策</w:t>
      </w:r>
    </w:p>
    <w:p>
      <w:pPr>
        <w:adjustRightInd w:val="0"/>
        <w:snapToGrid w:val="0"/>
        <w:spacing w:line="360" w:lineRule="auto"/>
        <w:ind w:firstLine="480" w:firstLineChars="200"/>
        <w:rPr>
          <w:sz w:val="24"/>
          <w:szCs w:val="18"/>
        </w:rPr>
      </w:pPr>
      <w:r>
        <w:rPr>
          <w:sz w:val="24"/>
        </w:rPr>
        <w:t>1</w:t>
      </w:r>
      <w:r>
        <w:rPr>
          <w:rFonts w:hAnsi="宋体"/>
          <w:sz w:val="24"/>
        </w:rPr>
        <w:t>、基金管理人为本基金的基金会计责任方；</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基金的会计年度为公历年度的1月1日至12月31日；基金首次募集的会计年度按如下原则：如果《基金合同》生效少于2个月，可以并入下一个会计年度披露；</w:t>
      </w:r>
    </w:p>
    <w:p>
      <w:pPr>
        <w:adjustRightInd w:val="0"/>
        <w:snapToGrid w:val="0"/>
        <w:spacing w:line="360" w:lineRule="auto"/>
        <w:ind w:firstLine="480" w:firstLineChars="200"/>
        <w:rPr>
          <w:sz w:val="24"/>
          <w:szCs w:val="18"/>
        </w:rPr>
      </w:pPr>
      <w:bookmarkStart w:id="81" w:name="_Toc109537394"/>
      <w:r>
        <w:rPr>
          <w:sz w:val="24"/>
        </w:rPr>
        <w:t>3</w:t>
      </w:r>
      <w:r>
        <w:rPr>
          <w:rFonts w:hAnsi="宋体"/>
          <w:sz w:val="24"/>
        </w:rPr>
        <w:t>、</w:t>
      </w:r>
      <w:r>
        <w:rPr>
          <w:rFonts w:hAnsi="宋体"/>
          <w:sz w:val="24"/>
          <w:szCs w:val="21"/>
        </w:rPr>
        <w:t>基金核</w:t>
      </w:r>
      <w:bookmarkEnd w:id="81"/>
      <w:r>
        <w:rPr>
          <w:rFonts w:hAnsi="宋体"/>
          <w:sz w:val="24"/>
          <w:szCs w:val="21"/>
        </w:rPr>
        <w:t>算以人民币为记账本位币，以人民币元为记账单位；</w:t>
      </w:r>
    </w:p>
    <w:p>
      <w:pPr>
        <w:adjustRightInd w:val="0"/>
        <w:snapToGrid w:val="0"/>
        <w:spacing w:line="360" w:lineRule="auto"/>
        <w:ind w:firstLine="480" w:firstLineChars="200"/>
        <w:rPr>
          <w:sz w:val="24"/>
          <w:szCs w:val="18"/>
        </w:rPr>
      </w:pPr>
      <w:r>
        <w:rPr>
          <w:sz w:val="24"/>
        </w:rPr>
        <w:t>4</w:t>
      </w:r>
      <w:r>
        <w:rPr>
          <w:rFonts w:hAnsi="宋体"/>
          <w:sz w:val="24"/>
        </w:rPr>
        <w:t>、会计制度执行国家有关会计制度；</w:t>
      </w:r>
    </w:p>
    <w:p>
      <w:pPr>
        <w:adjustRightInd w:val="0"/>
        <w:snapToGrid w:val="0"/>
        <w:spacing w:line="360" w:lineRule="auto"/>
        <w:ind w:firstLine="480" w:firstLineChars="200"/>
        <w:rPr>
          <w:sz w:val="24"/>
          <w:szCs w:val="18"/>
        </w:rPr>
      </w:pPr>
      <w:r>
        <w:rPr>
          <w:sz w:val="24"/>
        </w:rPr>
        <w:t>5</w:t>
      </w:r>
      <w:r>
        <w:rPr>
          <w:rFonts w:hAnsi="宋体"/>
          <w:sz w:val="24"/>
        </w:rPr>
        <w:t>、本基金独立建账、独立核算；</w:t>
      </w:r>
    </w:p>
    <w:p>
      <w:pPr>
        <w:adjustRightInd w:val="0"/>
        <w:snapToGrid w:val="0"/>
        <w:spacing w:line="360" w:lineRule="auto"/>
        <w:ind w:firstLine="480" w:firstLineChars="20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pPr>
        <w:adjustRightInd w:val="0"/>
        <w:snapToGrid w:val="0"/>
        <w:spacing w:line="360" w:lineRule="auto"/>
        <w:ind w:firstLine="480" w:firstLineChars="200"/>
        <w:rPr>
          <w:sz w:val="24"/>
        </w:rPr>
      </w:pPr>
      <w:r>
        <w:rPr>
          <w:sz w:val="24"/>
          <w:szCs w:val="18"/>
        </w:rPr>
        <w:t>7</w:t>
      </w:r>
      <w:r>
        <w:rPr>
          <w:rFonts w:hAnsi="宋体"/>
          <w:sz w:val="24"/>
          <w:szCs w:val="18"/>
        </w:rPr>
        <w:t>、基金托管人每月与基金管理人就基金的会计核算、报表编制等进行核对并以书面方式</w:t>
      </w:r>
      <w:r>
        <w:rPr>
          <w:rFonts w:hint="eastAsia"/>
          <w:bCs/>
          <w:sz w:val="24"/>
        </w:rPr>
        <w:t>或双方认可的其他方式</w:t>
      </w:r>
      <w:r>
        <w:rPr>
          <w:rFonts w:hAnsi="宋体"/>
          <w:sz w:val="24"/>
          <w:szCs w:val="18"/>
        </w:rPr>
        <w:t>确认。</w:t>
      </w:r>
    </w:p>
    <w:p>
      <w:pPr>
        <w:adjustRightInd w:val="0"/>
        <w:snapToGrid w:val="0"/>
        <w:spacing w:line="360" w:lineRule="auto"/>
        <w:ind w:firstLine="482"/>
        <w:outlineLvl w:val="1"/>
        <w:rPr>
          <w:b/>
          <w:bCs/>
          <w:sz w:val="24"/>
        </w:rPr>
      </w:pPr>
      <w:r>
        <w:rPr>
          <w:b/>
          <w:bCs/>
          <w:sz w:val="24"/>
        </w:rPr>
        <w:t>（二）基金的年度审计</w:t>
      </w:r>
    </w:p>
    <w:p>
      <w:pPr>
        <w:adjustRightInd w:val="0"/>
        <w:snapToGrid w:val="0"/>
        <w:spacing w:line="360" w:lineRule="auto"/>
        <w:ind w:firstLine="480" w:firstLineChars="200"/>
        <w:rPr>
          <w:rFonts w:hAnsi="宋体"/>
          <w:sz w:val="24"/>
          <w:szCs w:val="18"/>
        </w:rPr>
      </w:pPr>
      <w:r>
        <w:rPr>
          <w:rFonts w:hAnsi="宋体"/>
          <w:sz w:val="24"/>
          <w:szCs w:val="18"/>
        </w:rPr>
        <w:t>1、基金管理人聘请与基金管理人、基金托管人相互独立的符合《中华人民共和国证券法》规定的会计师事务所及其注册会计师对本基金的年度财务报表进行审计。</w:t>
      </w:r>
    </w:p>
    <w:p>
      <w:pPr>
        <w:adjustRightInd w:val="0"/>
        <w:snapToGrid w:val="0"/>
        <w:spacing w:line="360" w:lineRule="auto"/>
        <w:ind w:firstLine="480" w:firstLineChars="200"/>
        <w:rPr>
          <w:rFonts w:hAnsi="宋体"/>
          <w:sz w:val="24"/>
          <w:szCs w:val="18"/>
        </w:rPr>
      </w:pPr>
      <w:r>
        <w:rPr>
          <w:rFonts w:hAnsi="宋体"/>
          <w:sz w:val="24"/>
          <w:szCs w:val="18"/>
        </w:rPr>
        <w:t>2、会计师事务所更换经办注册会计师，应事先征得基金管理人同意。</w:t>
      </w:r>
    </w:p>
    <w:p>
      <w:pPr>
        <w:adjustRightInd w:val="0"/>
        <w:snapToGrid w:val="0"/>
        <w:spacing w:line="360" w:lineRule="auto"/>
        <w:ind w:firstLine="480" w:firstLineChars="200"/>
        <w:rPr>
          <w:rFonts w:hAnsi="宋体"/>
          <w:sz w:val="24"/>
          <w:szCs w:val="18"/>
        </w:rPr>
      </w:pPr>
      <w:r>
        <w:rPr>
          <w:rFonts w:hAnsi="宋体"/>
          <w:sz w:val="24"/>
          <w:szCs w:val="18"/>
        </w:rPr>
        <w:t>3、</w:t>
      </w:r>
      <w:bookmarkStart w:id="82" w:name="_Hlt4221115"/>
      <w:bookmarkEnd w:id="82"/>
      <w:r>
        <w:rPr>
          <w:rFonts w:hAnsi="宋体"/>
          <w:sz w:val="24"/>
          <w:szCs w:val="18"/>
        </w:rPr>
        <w:t>基金管理人认为有充足理由更换会计师事务所，须通报基金托管人。更换会计师事务所需</w:t>
      </w:r>
      <w:r>
        <w:rPr>
          <w:rFonts w:hint="eastAsia" w:hAnsi="宋体"/>
          <w:sz w:val="24"/>
          <w:szCs w:val="18"/>
        </w:rPr>
        <w:t>依照《信息披露办法》的规定</w:t>
      </w:r>
      <w:r>
        <w:rPr>
          <w:rFonts w:hAnsi="宋体"/>
          <w:sz w:val="24"/>
          <w:szCs w:val="18"/>
        </w:rPr>
        <w:t>在</w:t>
      </w:r>
      <w:r>
        <w:rPr>
          <w:rFonts w:hint="eastAsia" w:hAnsi="宋体"/>
          <w:sz w:val="24"/>
          <w:szCs w:val="18"/>
        </w:rPr>
        <w:t>规定媒介</w:t>
      </w:r>
      <w:r>
        <w:rPr>
          <w:rFonts w:hAnsi="宋体"/>
          <w:sz w:val="24"/>
          <w:szCs w:val="18"/>
        </w:rPr>
        <w:t>公告。</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3" w:name="_Toc48122016"/>
      <w:r>
        <w:rPr>
          <w:rFonts w:hint="eastAsia" w:ascii="宋体" w:hAnsi="宋体"/>
          <w:b/>
          <w:kern w:val="0"/>
          <w:sz w:val="30"/>
        </w:rPr>
        <w:t>十五、基金的信息披露</w:t>
      </w:r>
      <w:bookmarkEnd w:id="83"/>
    </w:p>
    <w:p>
      <w:pPr>
        <w:adjustRightInd w:val="0"/>
        <w:snapToGrid w:val="0"/>
        <w:spacing w:line="360" w:lineRule="auto"/>
        <w:ind w:firstLine="482" w:firstLineChars="200"/>
        <w:rPr>
          <w:rFonts w:hAnsi="宋体"/>
          <w:sz w:val="24"/>
        </w:rPr>
      </w:pPr>
      <w:r>
        <w:rPr>
          <w:rFonts w:hAnsi="宋体"/>
          <w:b/>
          <w:sz w:val="24"/>
        </w:rPr>
        <w:t>（一）</w:t>
      </w:r>
      <w:r>
        <w:rPr>
          <w:rFonts w:hint="eastAsia" w:hAnsi="宋体"/>
          <w:sz w:val="24"/>
        </w:rPr>
        <w:t>本基金的信息披露应符合《基金法》、《运作办法》、《信息披露办法》、《流动性风险管理规定》、《基金合同》及其他有关规定。</w:t>
      </w:r>
    </w:p>
    <w:p>
      <w:pPr>
        <w:adjustRightInd w:val="0"/>
        <w:snapToGrid w:val="0"/>
        <w:spacing w:line="360" w:lineRule="auto"/>
        <w:ind w:firstLine="482" w:firstLineChars="200"/>
        <w:rPr>
          <w:b/>
          <w:sz w:val="24"/>
        </w:rPr>
      </w:pPr>
      <w:r>
        <w:rPr>
          <w:b/>
          <w:bCs/>
          <w:sz w:val="24"/>
        </w:rPr>
        <w:t>（二）信息披露义务人</w:t>
      </w:r>
    </w:p>
    <w:p>
      <w:pPr>
        <w:adjustRightInd w:val="0"/>
        <w:snapToGrid w:val="0"/>
        <w:spacing w:line="360" w:lineRule="auto"/>
        <w:ind w:firstLine="480" w:firstLineChars="200"/>
        <w:rPr>
          <w:rFonts w:hAnsi="宋体"/>
          <w:sz w:val="24"/>
        </w:rPr>
      </w:pPr>
      <w:r>
        <w:rPr>
          <w:rFonts w:hAnsi="宋体"/>
          <w:sz w:val="24"/>
        </w:rPr>
        <w:t>本基金信息披露义务人包括基金管理人、基金托管人、召集基金份额持有人大会的基金份额持有人等法律</w:t>
      </w:r>
      <w:r>
        <w:rPr>
          <w:rFonts w:hint="eastAsia" w:hAnsi="宋体"/>
          <w:sz w:val="24"/>
        </w:rPr>
        <w:t>、</w:t>
      </w:r>
      <w:r>
        <w:rPr>
          <w:rFonts w:hAnsi="宋体"/>
          <w:sz w:val="24"/>
        </w:rPr>
        <w:t>行政法规和中国证监会规定的自然人、法人和</w:t>
      </w:r>
      <w:r>
        <w:rPr>
          <w:rFonts w:hint="eastAsia"/>
          <w:bCs/>
          <w:sz w:val="24"/>
        </w:rPr>
        <w:t>非法人</w:t>
      </w:r>
      <w:r>
        <w:rPr>
          <w:rFonts w:hAnsi="宋体"/>
          <w:sz w:val="24"/>
        </w:rPr>
        <w:t>组织。</w:t>
      </w:r>
    </w:p>
    <w:p>
      <w:pPr>
        <w:adjustRightInd w:val="0"/>
        <w:snapToGrid w:val="0"/>
        <w:spacing w:line="360" w:lineRule="auto"/>
        <w:ind w:firstLine="480" w:firstLineChars="20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int="eastAsia" w:hAnsi="宋体"/>
          <w:sz w:val="24"/>
        </w:rPr>
        <w:t>、</w:t>
      </w:r>
      <w:r>
        <w:rPr>
          <w:rFonts w:hAnsi="宋体"/>
          <w:sz w:val="24"/>
        </w:rPr>
        <w:t>完整性</w:t>
      </w:r>
      <w:r>
        <w:rPr>
          <w:rFonts w:hint="eastAsia"/>
          <w:bCs/>
          <w:sz w:val="24"/>
        </w:rPr>
        <w:t>、及时性、简明性和易得性</w:t>
      </w:r>
      <w:r>
        <w:rPr>
          <w:rFonts w:hAnsi="宋体"/>
          <w:sz w:val="24"/>
        </w:rPr>
        <w:t>。</w:t>
      </w:r>
    </w:p>
    <w:p>
      <w:pPr>
        <w:adjustRightInd w:val="0"/>
        <w:snapToGrid w:val="0"/>
        <w:spacing w:line="360" w:lineRule="auto"/>
        <w:ind w:firstLine="480" w:firstLineChars="200"/>
        <w:rPr>
          <w:rFonts w:hAnsi="宋体"/>
          <w:sz w:val="24"/>
        </w:rPr>
      </w:pPr>
      <w:r>
        <w:rPr>
          <w:rFonts w:hint="eastAsia"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pPr>
        <w:adjustRightInd w:val="0"/>
        <w:snapToGrid w:val="0"/>
        <w:spacing w:line="360" w:lineRule="auto"/>
        <w:ind w:firstLine="482" w:firstLineChars="200"/>
        <w:rPr>
          <w:b/>
          <w:sz w:val="24"/>
        </w:rPr>
      </w:pPr>
      <w:r>
        <w:rPr>
          <w:rFonts w:hAnsi="宋体"/>
          <w:b/>
          <w:sz w:val="24"/>
        </w:rPr>
        <w:t>（三）本基金信息披露义务人承诺公开披露的基金信息，不得有下列行为：</w:t>
      </w:r>
    </w:p>
    <w:p>
      <w:pPr>
        <w:adjustRightInd w:val="0"/>
        <w:snapToGrid w:val="0"/>
        <w:spacing w:line="360" w:lineRule="auto"/>
        <w:ind w:firstLine="480" w:firstLineChars="200"/>
        <w:rPr>
          <w:rFonts w:hAnsi="宋体"/>
          <w:sz w:val="24"/>
        </w:rPr>
      </w:pPr>
      <w:r>
        <w:rPr>
          <w:rFonts w:hAnsi="宋体"/>
          <w:sz w:val="24"/>
        </w:rPr>
        <w:t>1、虚假记载、误导性陈述或者重大遗漏；</w:t>
      </w:r>
    </w:p>
    <w:p>
      <w:pPr>
        <w:adjustRightInd w:val="0"/>
        <w:snapToGrid w:val="0"/>
        <w:spacing w:line="360" w:lineRule="auto"/>
        <w:ind w:firstLine="480" w:firstLineChars="200"/>
        <w:rPr>
          <w:rFonts w:hAnsi="宋体"/>
          <w:sz w:val="24"/>
        </w:rPr>
      </w:pPr>
      <w:r>
        <w:rPr>
          <w:rFonts w:hAnsi="宋体"/>
          <w:sz w:val="24"/>
        </w:rPr>
        <w:t>2、对证券投资业绩进行预测；</w:t>
      </w:r>
    </w:p>
    <w:p>
      <w:pPr>
        <w:adjustRightInd w:val="0"/>
        <w:snapToGrid w:val="0"/>
        <w:spacing w:line="360" w:lineRule="auto"/>
        <w:ind w:firstLine="480" w:firstLineChars="200"/>
        <w:rPr>
          <w:rFonts w:hAnsi="宋体"/>
          <w:sz w:val="24"/>
        </w:rPr>
      </w:pPr>
      <w:r>
        <w:rPr>
          <w:rFonts w:hAnsi="宋体"/>
          <w:sz w:val="24"/>
        </w:rPr>
        <w:t>3、违规承诺收益或者承担损失；</w:t>
      </w:r>
    </w:p>
    <w:p>
      <w:pPr>
        <w:adjustRightInd w:val="0"/>
        <w:snapToGrid w:val="0"/>
        <w:spacing w:line="360" w:lineRule="auto"/>
        <w:ind w:firstLine="480" w:firstLineChars="200"/>
        <w:rPr>
          <w:rFonts w:hAnsi="宋体"/>
          <w:sz w:val="24"/>
        </w:rPr>
      </w:pPr>
      <w:r>
        <w:rPr>
          <w:rFonts w:hAnsi="宋体"/>
          <w:sz w:val="24"/>
        </w:rPr>
        <w:t>4、诋毁其他基金管理人、基金托管人或者基金销售机构；</w:t>
      </w:r>
    </w:p>
    <w:p>
      <w:pPr>
        <w:adjustRightInd w:val="0"/>
        <w:snapToGrid w:val="0"/>
        <w:spacing w:line="360" w:lineRule="auto"/>
        <w:ind w:firstLine="480" w:firstLineChars="200"/>
        <w:rPr>
          <w:rFonts w:hAnsi="宋体"/>
          <w:sz w:val="24"/>
        </w:rPr>
      </w:pPr>
      <w:r>
        <w:rPr>
          <w:rFonts w:hAnsi="宋体"/>
          <w:sz w:val="24"/>
        </w:rPr>
        <w:t>5、登载任何自然人、法人</w:t>
      </w:r>
      <w:r>
        <w:rPr>
          <w:rFonts w:hint="eastAsia"/>
          <w:bCs/>
          <w:sz w:val="24"/>
        </w:rPr>
        <w:t>和非法人</w:t>
      </w:r>
      <w:r>
        <w:rPr>
          <w:rFonts w:hAnsi="宋体"/>
          <w:sz w:val="24"/>
        </w:rPr>
        <w:t>组织的祝贺性、恭维性或推荐性的文字；</w:t>
      </w:r>
    </w:p>
    <w:p>
      <w:pPr>
        <w:adjustRightInd w:val="0"/>
        <w:snapToGrid w:val="0"/>
        <w:spacing w:line="360" w:lineRule="auto"/>
        <w:ind w:firstLine="480" w:firstLineChars="200"/>
        <w:rPr>
          <w:rFonts w:hAnsi="宋体"/>
          <w:sz w:val="24"/>
        </w:rPr>
      </w:pPr>
      <w:r>
        <w:rPr>
          <w:rFonts w:hAnsi="宋体"/>
          <w:sz w:val="24"/>
        </w:rPr>
        <w:t>6、中国证监会禁止的其他行为。</w:t>
      </w:r>
    </w:p>
    <w:p>
      <w:pPr>
        <w:adjustRightInd w:val="0"/>
        <w:snapToGrid w:val="0"/>
        <w:spacing w:line="360" w:lineRule="auto"/>
        <w:ind w:firstLine="482" w:firstLineChars="200"/>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int="eastAsia" w:hAnsi="宋体"/>
          <w:sz w:val="24"/>
        </w:rPr>
        <w:t>之间</w:t>
      </w:r>
      <w:r>
        <w:rPr>
          <w:rFonts w:hAnsi="宋体"/>
          <w:sz w:val="24"/>
        </w:rPr>
        <w:t>发生歧义的，以中文文本为准。</w:t>
      </w:r>
    </w:p>
    <w:p>
      <w:pPr>
        <w:adjustRightInd w:val="0"/>
        <w:snapToGrid w:val="0"/>
        <w:spacing w:line="360" w:lineRule="auto"/>
        <w:ind w:firstLine="480" w:firstLineChars="200"/>
        <w:rPr>
          <w:sz w:val="24"/>
        </w:rPr>
      </w:pPr>
      <w:r>
        <w:rPr>
          <w:rFonts w:hAnsi="宋体"/>
          <w:sz w:val="24"/>
        </w:rPr>
        <w:t>本基金公开披露的信息采用阿拉伯数字；除特别说明外，货币单位为人民币元。</w:t>
      </w:r>
    </w:p>
    <w:p>
      <w:pPr>
        <w:adjustRightInd w:val="0"/>
        <w:snapToGrid w:val="0"/>
        <w:spacing w:line="360" w:lineRule="auto"/>
        <w:ind w:firstLine="482" w:firstLineChars="200"/>
        <w:rPr>
          <w:b/>
          <w:sz w:val="24"/>
        </w:rPr>
      </w:pPr>
      <w:r>
        <w:rPr>
          <w:rFonts w:hAnsi="宋体"/>
          <w:b/>
          <w:sz w:val="24"/>
        </w:rPr>
        <w:t>（五）公开披露的基金信息</w:t>
      </w:r>
    </w:p>
    <w:p>
      <w:pPr>
        <w:adjustRightInd w:val="0"/>
        <w:snapToGrid w:val="0"/>
        <w:spacing w:line="360" w:lineRule="auto"/>
        <w:ind w:firstLine="480" w:firstLineChars="200"/>
        <w:rPr>
          <w:b/>
          <w:bCs/>
          <w:sz w:val="24"/>
        </w:rPr>
      </w:pPr>
      <w:r>
        <w:rPr>
          <w:bCs/>
          <w:sz w:val="24"/>
        </w:rPr>
        <w:t>公开披露的基金信息包括：</w:t>
      </w:r>
    </w:p>
    <w:p>
      <w:pPr>
        <w:adjustRightInd w:val="0"/>
        <w:snapToGrid w:val="0"/>
        <w:spacing w:line="360" w:lineRule="auto"/>
        <w:ind w:firstLine="480" w:firstLineChars="200"/>
        <w:rPr>
          <w:bCs/>
          <w:sz w:val="24"/>
        </w:rPr>
      </w:pPr>
      <w:r>
        <w:rPr>
          <w:bCs/>
          <w:sz w:val="24"/>
        </w:rPr>
        <w:t>1、基金招募说明书、《基金合同》、基金托管协议</w:t>
      </w:r>
      <w:r>
        <w:rPr>
          <w:rFonts w:hint="eastAsia"/>
          <w:bCs/>
          <w:sz w:val="24"/>
        </w:rPr>
        <w:t>、基金产品资料概要</w:t>
      </w:r>
    </w:p>
    <w:p>
      <w:pPr>
        <w:adjustRightInd w:val="0"/>
        <w:snapToGrid w:val="0"/>
        <w:spacing w:line="360" w:lineRule="auto"/>
        <w:ind w:firstLine="480" w:firstLineChars="200"/>
        <w:rPr>
          <w:rFonts w:hAnsi="宋体"/>
          <w:sz w:val="24"/>
        </w:rPr>
      </w:pPr>
      <w:r>
        <w:rPr>
          <w:rFonts w:hAnsi="宋体"/>
          <w:sz w:val="24"/>
        </w:rPr>
        <w:t>（1）《基金合同》是界定《基金合同》当事人的各项权利、义务关系，明确基金份额持有人大会召开的规则及具体程序，说明基金产品的特性等涉及基金投资者重大利益的事项的法律文件。</w:t>
      </w:r>
    </w:p>
    <w:p>
      <w:pPr>
        <w:adjustRightInd w:val="0"/>
        <w:snapToGrid w:val="0"/>
        <w:spacing w:line="360" w:lineRule="auto"/>
        <w:ind w:firstLine="480" w:firstLineChars="200"/>
        <w:rPr>
          <w:rFonts w:hAnsi="宋体"/>
          <w:sz w:val="24"/>
        </w:rPr>
      </w:pPr>
      <w:r>
        <w:rPr>
          <w:rFonts w:hAnsi="宋体"/>
          <w:sz w:val="24"/>
        </w:rPr>
        <w:t>（2）基金招募说明书应当最大限度地披露影响基金投资者决策的全部事项，说明基金认购、申购和赎回安排、基金投资、基金产品特性、风险揭示、信息披露及基金份额持有人服务等内容。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pPr>
        <w:adjustRightInd w:val="0"/>
        <w:snapToGrid w:val="0"/>
        <w:spacing w:line="360" w:lineRule="auto"/>
        <w:ind w:firstLine="480" w:firstLineChars="200"/>
        <w:rPr>
          <w:bCs/>
          <w:sz w:val="24"/>
        </w:rPr>
      </w:pPr>
      <w:r>
        <w:rPr>
          <w:rFonts w:hAnsi="宋体"/>
          <w:sz w:val="24"/>
        </w:rPr>
        <w:t>（3）基金托管协议是界定基金托管人和基金管理人在基金财产保管及基金运作监督等活动中的权利、义务关系的法律文件。</w:t>
      </w:r>
    </w:p>
    <w:p>
      <w:pPr>
        <w:adjustRightInd w:val="0"/>
        <w:snapToGrid w:val="0"/>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djustRightInd w:val="0"/>
        <w:snapToGrid w:val="0"/>
        <w:spacing w:line="360" w:lineRule="auto"/>
        <w:ind w:firstLine="480" w:firstLineChars="200"/>
        <w:rPr>
          <w:rFonts w:hAnsi="宋体"/>
          <w:sz w:val="24"/>
        </w:rPr>
      </w:pPr>
      <w:r>
        <w:rPr>
          <w:rFonts w:hint="eastAsia" w:hAnsi="宋体"/>
          <w:sz w:val="24"/>
        </w:rPr>
        <w:t>基金募集申请经中国证监会注册后，基金管理人在基金份额发售的三日前，将基金份额发售公告、基金招募说明书提示性公告和《基金合同》提示性公告登载在</w:t>
      </w:r>
      <w:r>
        <w:rPr>
          <w:rFonts w:hint="eastAsia"/>
          <w:bCs/>
          <w:sz w:val="24"/>
        </w:rPr>
        <w:t>规定</w:t>
      </w:r>
      <w:r>
        <w:rPr>
          <w:rFonts w:hint="eastAsia" w:hAnsi="宋体"/>
          <w:sz w:val="24"/>
        </w:rPr>
        <w:t>报刊上，将基金份额发售公告、基金招募说明书、基金产品资料概要、《基金合同》和基金托管协议登载在</w:t>
      </w:r>
      <w:r>
        <w:rPr>
          <w:rFonts w:hint="eastAsia"/>
          <w:bCs/>
          <w:sz w:val="24"/>
        </w:rPr>
        <w:t>规定</w:t>
      </w:r>
      <w:r>
        <w:rPr>
          <w:rFonts w:hint="eastAsia" w:hAnsi="宋体"/>
          <w:sz w:val="24"/>
        </w:rPr>
        <w:t>网站上，并将基金产品资料概要登载在基金销售机构网站或营业网点；基金托管人应当同时将《基金合同》、基金托管协议登载在网站上。</w:t>
      </w:r>
    </w:p>
    <w:p>
      <w:pPr>
        <w:adjustRightInd w:val="0"/>
        <w:snapToGrid w:val="0"/>
        <w:spacing w:line="360" w:lineRule="auto"/>
        <w:ind w:firstLine="480" w:firstLineChars="200"/>
        <w:rPr>
          <w:sz w:val="24"/>
        </w:rPr>
      </w:pPr>
      <w:r>
        <w:rPr>
          <w:sz w:val="24"/>
        </w:rPr>
        <w:t>2</w:t>
      </w:r>
      <w:r>
        <w:rPr>
          <w:rFonts w:hAnsi="宋体"/>
          <w:sz w:val="24"/>
        </w:rPr>
        <w:t>、基金份额发售公告</w:t>
      </w:r>
    </w:p>
    <w:p>
      <w:pPr>
        <w:adjustRightInd w:val="0"/>
        <w:snapToGrid w:val="0"/>
        <w:spacing w:line="360" w:lineRule="auto"/>
        <w:ind w:firstLine="480" w:firstLineChars="200"/>
        <w:rPr>
          <w:rFonts w:hAnsi="宋体"/>
          <w:sz w:val="24"/>
        </w:rPr>
      </w:pPr>
      <w:r>
        <w:rPr>
          <w:rFonts w:hAnsi="宋体"/>
          <w:sz w:val="24"/>
        </w:rPr>
        <w:t>基金管理人应当就基金份额发售的具体事宜编制基金份额发售公告，并在披露招募说明书的当日登载于规定媒介上。</w:t>
      </w:r>
    </w:p>
    <w:p>
      <w:pPr>
        <w:adjustRightInd w:val="0"/>
        <w:snapToGrid w:val="0"/>
        <w:spacing w:line="360" w:lineRule="auto"/>
        <w:ind w:firstLine="480" w:firstLineChars="200"/>
        <w:rPr>
          <w:sz w:val="24"/>
        </w:rPr>
      </w:pPr>
      <w:r>
        <w:rPr>
          <w:sz w:val="24"/>
        </w:rPr>
        <w:t>3</w:t>
      </w:r>
      <w:r>
        <w:rPr>
          <w:rFonts w:hAnsi="宋体"/>
          <w:sz w:val="24"/>
        </w:rPr>
        <w:t>、</w:t>
      </w:r>
      <w:r>
        <w:rPr>
          <w:bCs/>
          <w:sz w:val="24"/>
        </w:rPr>
        <w:t>《基金合同》</w:t>
      </w:r>
      <w:r>
        <w:rPr>
          <w:rFonts w:hAnsi="宋体"/>
          <w:sz w:val="24"/>
        </w:rPr>
        <w:t>生效公告</w:t>
      </w:r>
    </w:p>
    <w:p>
      <w:pPr>
        <w:adjustRightInd w:val="0"/>
        <w:snapToGrid w:val="0"/>
        <w:spacing w:line="360" w:lineRule="auto"/>
        <w:ind w:firstLine="480" w:firstLineChars="200"/>
        <w:rPr>
          <w:rFonts w:hAnsi="宋体"/>
          <w:sz w:val="24"/>
        </w:rPr>
      </w:pPr>
      <w:r>
        <w:rPr>
          <w:rFonts w:hAnsi="宋体"/>
          <w:sz w:val="24"/>
        </w:rPr>
        <w:t>基金管理人应当在收到中国证监会确认文件的次日在规定媒介上登载《基金合同》生效公告。</w:t>
      </w:r>
    </w:p>
    <w:p>
      <w:pPr>
        <w:adjustRightInd w:val="0"/>
        <w:snapToGrid w:val="0"/>
        <w:spacing w:line="360" w:lineRule="auto"/>
        <w:ind w:firstLine="480" w:firstLineChars="200"/>
        <w:rPr>
          <w:sz w:val="24"/>
        </w:rPr>
      </w:pPr>
      <w:r>
        <w:rPr>
          <w:sz w:val="24"/>
        </w:rPr>
        <w:t>4</w:t>
      </w:r>
      <w:r>
        <w:rPr>
          <w:rFonts w:hAnsi="宋体"/>
          <w:sz w:val="24"/>
        </w:rPr>
        <w:t>、基金</w:t>
      </w:r>
      <w:r>
        <w:rPr>
          <w:rFonts w:hint="eastAsia"/>
          <w:bCs/>
          <w:sz w:val="24"/>
        </w:rPr>
        <w:t>净值信息</w:t>
      </w:r>
    </w:p>
    <w:p>
      <w:pPr>
        <w:adjustRightInd w:val="0"/>
        <w:snapToGrid w:val="0"/>
        <w:spacing w:line="360" w:lineRule="auto"/>
        <w:ind w:firstLine="480" w:firstLineChars="200"/>
        <w:rPr>
          <w:bCs/>
          <w:sz w:val="24"/>
        </w:rPr>
      </w:pPr>
      <w:r>
        <w:rPr>
          <w:rFonts w:hint="eastAsia"/>
          <w:bCs/>
          <w:sz w:val="24"/>
        </w:rPr>
        <w:t>《基金合同》生效后，在开始办理基金份额申购或者赎回前，基金管理人应当至少每周在规定网站分别披露一次A类基金份额和C类基金份额所对应的基金份额净值和基金份额累计净值。</w:t>
      </w:r>
    </w:p>
    <w:p>
      <w:pPr>
        <w:adjustRightInd w:val="0"/>
        <w:snapToGrid w:val="0"/>
        <w:spacing w:line="360" w:lineRule="auto"/>
        <w:ind w:firstLine="480" w:firstLineChars="200"/>
        <w:rPr>
          <w:bCs/>
          <w:sz w:val="24"/>
        </w:rPr>
      </w:pPr>
      <w:r>
        <w:rPr>
          <w:rFonts w:hint="eastAsia"/>
          <w:bCs/>
          <w:sz w:val="24"/>
        </w:rPr>
        <w:t>在开始办理基金份额申购或者赎回后，基金管理人应当在不晚于每个开放日的次日，通过规定网站、基金销售机构网站或者营业网点分别披露开放日的</w:t>
      </w:r>
      <w:r>
        <w:rPr>
          <w:sz w:val="24"/>
        </w:rPr>
        <w:t>A</w:t>
      </w:r>
      <w:r>
        <w:rPr>
          <w:rFonts w:hAnsi="宋体"/>
          <w:sz w:val="24"/>
        </w:rPr>
        <w:t>类基金份额和</w:t>
      </w:r>
      <w:r>
        <w:rPr>
          <w:sz w:val="24"/>
        </w:rPr>
        <w:t>C</w:t>
      </w:r>
      <w:r>
        <w:rPr>
          <w:rFonts w:hAnsi="宋体"/>
          <w:sz w:val="24"/>
        </w:rPr>
        <w:t>类基金份额所对应</w:t>
      </w:r>
      <w:r>
        <w:rPr>
          <w:rFonts w:hint="eastAsia" w:hAnsi="宋体"/>
          <w:sz w:val="24"/>
        </w:rPr>
        <w:t>的</w:t>
      </w:r>
      <w:r>
        <w:rPr>
          <w:rFonts w:hint="eastAsia"/>
          <w:bCs/>
          <w:sz w:val="24"/>
        </w:rPr>
        <w:t>基金份额净值和基金份额累计净值。</w:t>
      </w:r>
    </w:p>
    <w:p>
      <w:pPr>
        <w:adjustRightInd w:val="0"/>
        <w:snapToGrid w:val="0"/>
        <w:spacing w:line="360" w:lineRule="auto"/>
        <w:ind w:firstLine="480" w:firstLineChars="200"/>
        <w:rPr>
          <w:rFonts w:hAnsi="宋体"/>
          <w:sz w:val="24"/>
        </w:rPr>
      </w:pPr>
      <w:r>
        <w:rPr>
          <w:rFonts w:hint="eastAsia"/>
          <w:bCs/>
          <w:sz w:val="24"/>
        </w:rPr>
        <w:t>基金管理人应当在不晚于半年度和年度最后一日的次日，在规定网站披露半年度和年度最后一日A类基金份额和C类基金份额所对应的基金份额净值和基金份额累计净值。</w:t>
      </w:r>
    </w:p>
    <w:p>
      <w:pPr>
        <w:adjustRightInd w:val="0"/>
        <w:snapToGrid w:val="0"/>
        <w:spacing w:line="360" w:lineRule="auto"/>
        <w:ind w:firstLine="480" w:firstLineChars="200"/>
        <w:rPr>
          <w:sz w:val="24"/>
        </w:rPr>
      </w:pPr>
      <w:r>
        <w:rPr>
          <w:sz w:val="24"/>
        </w:rPr>
        <w:t>5</w:t>
      </w:r>
      <w:r>
        <w:rPr>
          <w:rFonts w:hAnsi="宋体"/>
          <w:sz w:val="24"/>
        </w:rPr>
        <w:t>、基金份额申购、赎回价格</w:t>
      </w:r>
    </w:p>
    <w:p>
      <w:pPr>
        <w:adjustRightInd w:val="0"/>
        <w:snapToGrid w:val="0"/>
        <w:spacing w:line="360" w:lineRule="auto"/>
        <w:ind w:firstLine="480" w:firstLineChars="200"/>
        <w:rPr>
          <w:rFonts w:hAnsi="宋体"/>
          <w:sz w:val="24"/>
        </w:rPr>
      </w:pPr>
      <w:r>
        <w:rPr>
          <w:rFonts w:hAnsi="宋体"/>
          <w:sz w:val="24"/>
        </w:rPr>
        <w:t>基金管理人应当在《基金合同》、招募说明书等信息披露文件上载明基金份额申购、赎回价格的计算方式及有关申购、赎回费率，并保证投资者能够在基金</w:t>
      </w:r>
      <w:r>
        <w:rPr>
          <w:rFonts w:hint="eastAsia" w:hAnsi="宋体"/>
          <w:bCs/>
          <w:sz w:val="24"/>
        </w:rPr>
        <w:t>销售机构</w:t>
      </w:r>
      <w:r>
        <w:rPr>
          <w:rFonts w:hint="eastAsia"/>
          <w:bCs/>
          <w:sz w:val="24"/>
        </w:rPr>
        <w:t>网站或营业网点</w:t>
      </w:r>
      <w:r>
        <w:rPr>
          <w:rFonts w:hAnsi="宋体"/>
          <w:sz w:val="24"/>
        </w:rPr>
        <w:t>查阅或者复制前述信息资料。</w:t>
      </w:r>
    </w:p>
    <w:p>
      <w:pPr>
        <w:adjustRightInd w:val="0"/>
        <w:snapToGrid w:val="0"/>
        <w:spacing w:line="360" w:lineRule="auto"/>
        <w:ind w:firstLine="480" w:firstLineChars="20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pPr>
        <w:adjustRightInd w:val="0"/>
        <w:snapToGrid w:val="0"/>
        <w:spacing w:line="360" w:lineRule="auto"/>
        <w:ind w:firstLine="480" w:firstLineChars="200"/>
        <w:rPr>
          <w:rFonts w:hAnsi="宋体"/>
          <w:sz w:val="24"/>
        </w:rPr>
      </w:pPr>
      <w:r>
        <w:rPr>
          <w:rFonts w:hint="eastAsia" w:hAnsi="宋体"/>
          <w:sz w:val="24"/>
        </w:rPr>
        <w:t>基金管理人应当在每年结束之日起三个月内，编制完成基金年度报告，将年度报告登载在规定网站上，并将年度报告提示性公告登载在</w:t>
      </w:r>
      <w:r>
        <w:rPr>
          <w:rFonts w:hint="eastAsia"/>
          <w:bCs/>
          <w:sz w:val="24"/>
        </w:rPr>
        <w:t>规定</w:t>
      </w:r>
      <w:r>
        <w:rPr>
          <w:rFonts w:hint="eastAsia" w:hAnsi="宋体"/>
          <w:sz w:val="24"/>
        </w:rPr>
        <w:t>报刊上。基金年度报告中的财务会计报告应当经过符合《中华人民共和国证券法》规定的会计师事务所审计。</w:t>
      </w:r>
    </w:p>
    <w:p>
      <w:pPr>
        <w:adjustRightInd w:val="0"/>
        <w:snapToGrid w:val="0"/>
        <w:spacing w:line="360" w:lineRule="auto"/>
        <w:ind w:firstLine="480" w:firstLineChars="200"/>
        <w:rPr>
          <w:rFonts w:hAnsi="宋体"/>
          <w:sz w:val="24"/>
        </w:rPr>
      </w:pPr>
      <w:r>
        <w:rPr>
          <w:rFonts w:hint="eastAsia" w:hAnsi="宋体"/>
          <w:sz w:val="24"/>
        </w:rPr>
        <w:t>基金管理人应当在上半年结束之日起两个月内，编制完成基金中期报告，将中期报告登载在规定网站上，并将中期报告提示性公告登载在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基金管理人应当在季度结束之日起15个工作日内，编制完成基金季度报告，将季度报告登载在规定网站上，并将季度报告提示性公告登载在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《基金合同》生效不足2个月的，基金管理人可以不编制当期季度报告、中期报告或者年度报告。</w:t>
      </w:r>
    </w:p>
    <w:p>
      <w:pPr>
        <w:adjustRightInd w:val="0"/>
        <w:snapToGrid w:val="0"/>
        <w:spacing w:line="360" w:lineRule="auto"/>
        <w:ind w:firstLine="480" w:firstLineChars="200"/>
        <w:rPr>
          <w:rFonts w:hAnsi="宋体"/>
          <w:sz w:val="24"/>
        </w:rPr>
      </w:pPr>
      <w:r>
        <w:rPr>
          <w:rFonts w:hint="eastAsia"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djustRightInd w:val="0"/>
        <w:snapToGrid w:val="0"/>
        <w:spacing w:line="360" w:lineRule="auto"/>
        <w:ind w:firstLine="480" w:firstLineChars="200"/>
        <w:rPr>
          <w:rFonts w:hAnsi="宋体"/>
          <w:sz w:val="24"/>
        </w:rPr>
      </w:pPr>
      <w:r>
        <w:rPr>
          <w:rFonts w:hint="eastAsia" w:hAnsi="宋体"/>
          <w:sz w:val="24"/>
        </w:rPr>
        <w:t>基金管理人应当在基金年度报告和</w:t>
      </w:r>
      <w:r>
        <w:rPr>
          <w:rFonts w:hint="eastAsia"/>
          <w:bCs/>
          <w:sz w:val="24"/>
        </w:rPr>
        <w:t>中期</w:t>
      </w:r>
      <w:r>
        <w:rPr>
          <w:rFonts w:hint="eastAsia" w:hAnsi="宋体"/>
          <w:sz w:val="24"/>
        </w:rPr>
        <w:t>报告中披露基金组合资产情况及其流动性风险分析等。</w:t>
      </w:r>
    </w:p>
    <w:p>
      <w:pPr>
        <w:adjustRightInd w:val="0"/>
        <w:snapToGrid w:val="0"/>
        <w:spacing w:line="360" w:lineRule="auto"/>
        <w:ind w:firstLine="480" w:firstLineChars="200"/>
        <w:rPr>
          <w:sz w:val="24"/>
        </w:rPr>
      </w:pPr>
      <w:r>
        <w:rPr>
          <w:sz w:val="24"/>
        </w:rPr>
        <w:t>7</w:t>
      </w:r>
      <w:r>
        <w:rPr>
          <w:rFonts w:hAnsi="宋体"/>
          <w:sz w:val="24"/>
        </w:rPr>
        <w:t>、临时报告</w:t>
      </w:r>
    </w:p>
    <w:p>
      <w:pPr>
        <w:adjustRightInd w:val="0"/>
        <w:snapToGrid w:val="0"/>
        <w:spacing w:line="360" w:lineRule="auto"/>
        <w:ind w:firstLine="480" w:firstLineChars="200"/>
        <w:rPr>
          <w:rFonts w:hAnsi="宋体"/>
          <w:sz w:val="24"/>
        </w:rPr>
      </w:pPr>
      <w:r>
        <w:rPr>
          <w:rFonts w:hAnsi="宋体"/>
          <w:sz w:val="24"/>
        </w:rPr>
        <w:t>本基金发生重大事件，有关信息披露义务人应当</w:t>
      </w:r>
      <w:r>
        <w:rPr>
          <w:rFonts w:hint="eastAsia" w:hAnsi="宋体"/>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p>
      <w:pPr>
        <w:adjustRightInd w:val="0"/>
        <w:snapToGrid w:val="0"/>
        <w:spacing w:line="360" w:lineRule="auto"/>
        <w:ind w:firstLine="480" w:firstLineChars="200"/>
        <w:rPr>
          <w:rFonts w:hAnsi="宋体"/>
          <w:sz w:val="24"/>
        </w:rPr>
      </w:pPr>
      <w:r>
        <w:rPr>
          <w:rFonts w:hAnsi="宋体"/>
          <w:sz w:val="24"/>
        </w:rPr>
        <w:t>前款所称重大事件，是指可能对基金份额持有人权益或者基金份额的价格产生重大影响的下列事件：</w:t>
      </w:r>
    </w:p>
    <w:p>
      <w:pPr>
        <w:adjustRightInd w:val="0"/>
        <w:snapToGrid w:val="0"/>
        <w:spacing w:line="360" w:lineRule="auto"/>
        <w:ind w:firstLine="480" w:firstLineChars="200"/>
        <w:rPr>
          <w:bCs/>
          <w:sz w:val="24"/>
        </w:rPr>
      </w:pPr>
      <w:r>
        <w:rPr>
          <w:rFonts w:hint="eastAsia"/>
          <w:bCs/>
          <w:sz w:val="24"/>
        </w:rPr>
        <w:t>（1）基金份额持有人大会的召开及决定的事项；</w:t>
      </w:r>
    </w:p>
    <w:p>
      <w:pPr>
        <w:adjustRightInd w:val="0"/>
        <w:snapToGrid w:val="0"/>
        <w:spacing w:line="360" w:lineRule="auto"/>
        <w:ind w:firstLine="480" w:firstLineChars="200"/>
        <w:rPr>
          <w:bCs/>
          <w:sz w:val="24"/>
        </w:rPr>
      </w:pPr>
      <w:r>
        <w:rPr>
          <w:rFonts w:hint="eastAsia"/>
          <w:bCs/>
          <w:sz w:val="24"/>
        </w:rPr>
        <w:t>（2）《基金合同》终止、基金清算；</w:t>
      </w:r>
    </w:p>
    <w:p>
      <w:pPr>
        <w:adjustRightInd w:val="0"/>
        <w:snapToGrid w:val="0"/>
        <w:spacing w:line="360" w:lineRule="auto"/>
        <w:ind w:firstLine="480" w:firstLineChars="200"/>
        <w:rPr>
          <w:bCs/>
          <w:sz w:val="24"/>
        </w:rPr>
      </w:pPr>
      <w:r>
        <w:rPr>
          <w:rFonts w:hint="eastAsia"/>
          <w:bCs/>
          <w:sz w:val="24"/>
        </w:rPr>
        <w:t>（3）转换基金运作方式、基金合并；</w:t>
      </w:r>
    </w:p>
    <w:p>
      <w:pPr>
        <w:adjustRightInd w:val="0"/>
        <w:snapToGrid w:val="0"/>
        <w:spacing w:line="360" w:lineRule="auto"/>
        <w:ind w:firstLine="480" w:firstLineChars="200"/>
        <w:rPr>
          <w:bCs/>
          <w:sz w:val="24"/>
        </w:rPr>
      </w:pPr>
      <w:r>
        <w:rPr>
          <w:rFonts w:hint="eastAsia"/>
          <w:bCs/>
          <w:sz w:val="24"/>
        </w:rPr>
        <w:t>（4）更换基金管理人、基金托管人、基金份额登记机构，基金改聘会计师事务所；</w:t>
      </w:r>
    </w:p>
    <w:p>
      <w:pPr>
        <w:adjustRightInd w:val="0"/>
        <w:snapToGrid w:val="0"/>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80" w:firstLineChars="200"/>
        <w:rPr>
          <w:bCs/>
          <w:sz w:val="24"/>
        </w:rPr>
      </w:pPr>
      <w:r>
        <w:rPr>
          <w:rFonts w:hint="eastAsia"/>
          <w:bCs/>
          <w:sz w:val="24"/>
        </w:rPr>
        <w:t>（6）基金管理人、基金托管人的法定名称、住所发生变更；</w:t>
      </w:r>
    </w:p>
    <w:p>
      <w:pPr>
        <w:adjustRightInd w:val="0"/>
        <w:snapToGrid w:val="0"/>
        <w:spacing w:line="360" w:lineRule="auto"/>
        <w:ind w:firstLine="480" w:firstLineChars="200"/>
        <w:rPr>
          <w:bCs/>
          <w:sz w:val="24"/>
        </w:rPr>
      </w:pPr>
      <w:r>
        <w:rPr>
          <w:rFonts w:hint="eastAsia"/>
          <w:bCs/>
          <w:sz w:val="24"/>
        </w:rPr>
        <w:t>（7）基金管理人变更持有百分之五以上股权的股东、基金管理人的实际控制人变更；</w:t>
      </w:r>
    </w:p>
    <w:p>
      <w:pPr>
        <w:adjustRightInd w:val="0"/>
        <w:snapToGrid w:val="0"/>
        <w:spacing w:line="360" w:lineRule="auto"/>
        <w:ind w:firstLine="480" w:firstLineChars="200"/>
        <w:rPr>
          <w:bCs/>
          <w:sz w:val="24"/>
        </w:rPr>
      </w:pPr>
      <w:r>
        <w:rPr>
          <w:rFonts w:hint="eastAsia"/>
          <w:bCs/>
          <w:sz w:val="24"/>
        </w:rPr>
        <w:t>（8）基金募集期延长或提前结束募集；</w:t>
      </w:r>
    </w:p>
    <w:p>
      <w:pPr>
        <w:adjustRightInd w:val="0"/>
        <w:snapToGrid w:val="0"/>
        <w:spacing w:line="360" w:lineRule="auto"/>
        <w:ind w:firstLine="480" w:firstLineChars="200"/>
        <w:rPr>
          <w:bCs/>
          <w:sz w:val="24"/>
        </w:rPr>
      </w:pPr>
      <w:r>
        <w:rPr>
          <w:rFonts w:hint="eastAsia"/>
          <w:bCs/>
          <w:sz w:val="24"/>
        </w:rPr>
        <w:t>（9）基金管理人的高级管理人员、基金经理和基金托管人专门基金托管部门负责人发生变动；</w:t>
      </w:r>
    </w:p>
    <w:p>
      <w:pPr>
        <w:adjustRightInd w:val="0"/>
        <w:snapToGrid w:val="0"/>
        <w:spacing w:line="360" w:lineRule="auto"/>
        <w:ind w:firstLine="480" w:firstLineChars="200"/>
        <w:rPr>
          <w:bCs/>
          <w:sz w:val="24"/>
        </w:rPr>
      </w:pPr>
      <w:r>
        <w:rPr>
          <w:rFonts w:hint="eastAsia"/>
          <w:bCs/>
          <w:sz w:val="24"/>
        </w:rPr>
        <w:t>（10）基金管理人的董事在最近12个月内变更超过百分之五十，基金管理人、基金托管人专门基金托管部门的主要业务人员在最近12个月内变动超过百分之三十；</w:t>
      </w:r>
    </w:p>
    <w:p>
      <w:pPr>
        <w:adjustRightInd w:val="0"/>
        <w:snapToGrid w:val="0"/>
        <w:spacing w:line="360" w:lineRule="auto"/>
        <w:ind w:firstLine="480" w:firstLineChars="200"/>
        <w:rPr>
          <w:bCs/>
          <w:sz w:val="24"/>
        </w:rPr>
      </w:pPr>
      <w:r>
        <w:rPr>
          <w:rFonts w:hint="eastAsia"/>
          <w:bCs/>
          <w:sz w:val="24"/>
        </w:rPr>
        <w:t>（11）涉及基金财产、基金管理业务、基金托管业务的诉讼或仲裁；</w:t>
      </w:r>
    </w:p>
    <w:p>
      <w:pPr>
        <w:adjustRightInd w:val="0"/>
        <w:snapToGrid w:val="0"/>
        <w:spacing w:line="360" w:lineRule="auto"/>
        <w:ind w:firstLine="480" w:firstLineChars="200"/>
        <w:rPr>
          <w:bCs/>
          <w:sz w:val="24"/>
        </w:rPr>
      </w:pPr>
      <w:r>
        <w:rPr>
          <w:rFonts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djustRightInd w:val="0"/>
        <w:snapToGrid w:val="0"/>
        <w:spacing w:line="360" w:lineRule="auto"/>
        <w:ind w:firstLine="480" w:firstLineChars="200"/>
        <w:rPr>
          <w:bCs/>
          <w:sz w:val="24"/>
        </w:rPr>
      </w:pPr>
      <w:r>
        <w:rPr>
          <w:rFonts w:hint="eastAsia"/>
          <w:bCs/>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djustRightInd w:val="0"/>
        <w:snapToGrid w:val="0"/>
        <w:spacing w:line="360" w:lineRule="auto"/>
        <w:ind w:firstLine="480" w:firstLineChars="200"/>
        <w:rPr>
          <w:bCs/>
          <w:sz w:val="24"/>
        </w:rPr>
      </w:pPr>
      <w:r>
        <w:rPr>
          <w:rFonts w:hint="eastAsia"/>
          <w:bCs/>
          <w:sz w:val="24"/>
        </w:rPr>
        <w:t>（14）基金收益分配事项；</w:t>
      </w:r>
    </w:p>
    <w:p>
      <w:pPr>
        <w:adjustRightInd w:val="0"/>
        <w:snapToGrid w:val="0"/>
        <w:spacing w:line="360" w:lineRule="auto"/>
        <w:ind w:firstLine="480" w:firstLineChars="200"/>
        <w:rPr>
          <w:bCs/>
          <w:sz w:val="24"/>
        </w:rPr>
      </w:pPr>
      <w:r>
        <w:rPr>
          <w:rFonts w:hint="eastAsia"/>
          <w:bCs/>
          <w:sz w:val="24"/>
        </w:rPr>
        <w:t>（15）管理费、托管费、销售服务费、申购费、赎回费等费用计提标准、计提方式和费率发生变更；</w:t>
      </w:r>
    </w:p>
    <w:p>
      <w:pPr>
        <w:adjustRightInd w:val="0"/>
        <w:snapToGrid w:val="0"/>
        <w:spacing w:line="360" w:lineRule="auto"/>
        <w:ind w:firstLine="480" w:firstLineChars="200"/>
        <w:rPr>
          <w:bCs/>
          <w:sz w:val="24"/>
        </w:rPr>
      </w:pPr>
      <w:r>
        <w:rPr>
          <w:rFonts w:hint="eastAsia"/>
          <w:bCs/>
          <w:sz w:val="24"/>
        </w:rPr>
        <w:t>（16）任一类基金份额净值计价错误达该类基金份额净值百分之零点五；</w:t>
      </w:r>
    </w:p>
    <w:p>
      <w:pPr>
        <w:adjustRightInd w:val="0"/>
        <w:snapToGrid w:val="0"/>
        <w:spacing w:line="360" w:lineRule="auto"/>
        <w:ind w:firstLine="480" w:firstLineChars="200"/>
        <w:rPr>
          <w:bCs/>
          <w:sz w:val="24"/>
        </w:rPr>
      </w:pPr>
      <w:r>
        <w:rPr>
          <w:rFonts w:hint="eastAsia"/>
          <w:bCs/>
          <w:sz w:val="24"/>
        </w:rPr>
        <w:t>（17）本基金开始办理申购、赎回；</w:t>
      </w:r>
    </w:p>
    <w:p>
      <w:pPr>
        <w:adjustRightInd w:val="0"/>
        <w:snapToGrid w:val="0"/>
        <w:spacing w:line="360" w:lineRule="auto"/>
        <w:ind w:firstLine="480" w:firstLineChars="200"/>
        <w:rPr>
          <w:bCs/>
          <w:sz w:val="24"/>
        </w:rPr>
      </w:pPr>
      <w:r>
        <w:rPr>
          <w:rFonts w:hint="eastAsia"/>
          <w:bCs/>
          <w:sz w:val="24"/>
        </w:rPr>
        <w:t>（18）本基金发生巨额赎回并延期办理；</w:t>
      </w:r>
    </w:p>
    <w:p>
      <w:pPr>
        <w:adjustRightInd w:val="0"/>
        <w:snapToGrid w:val="0"/>
        <w:spacing w:line="360" w:lineRule="auto"/>
        <w:ind w:firstLine="480" w:firstLineChars="200"/>
        <w:rPr>
          <w:bCs/>
          <w:sz w:val="24"/>
        </w:rPr>
      </w:pPr>
      <w:r>
        <w:rPr>
          <w:rFonts w:hint="eastAsia"/>
          <w:bCs/>
          <w:sz w:val="24"/>
        </w:rPr>
        <w:t>（19）本基金连续发生巨额赎回并暂停接受赎回申请或延缓支付赎回款项；</w:t>
      </w:r>
    </w:p>
    <w:p>
      <w:pPr>
        <w:adjustRightInd w:val="0"/>
        <w:snapToGrid w:val="0"/>
        <w:spacing w:line="360" w:lineRule="auto"/>
        <w:ind w:firstLine="480" w:firstLineChars="200"/>
        <w:rPr>
          <w:bCs/>
          <w:sz w:val="24"/>
        </w:rPr>
      </w:pPr>
      <w:r>
        <w:rPr>
          <w:rFonts w:hint="eastAsia"/>
          <w:bCs/>
          <w:sz w:val="24"/>
        </w:rPr>
        <w:t>（20）本基金暂停接受申购、赎回申请或重新接受申购、赎回申请；</w:t>
      </w:r>
    </w:p>
    <w:p>
      <w:pPr>
        <w:adjustRightInd w:val="0"/>
        <w:snapToGrid w:val="0"/>
        <w:spacing w:line="360" w:lineRule="auto"/>
        <w:ind w:firstLine="480" w:firstLineChars="200"/>
        <w:rPr>
          <w:bCs/>
          <w:sz w:val="24"/>
        </w:rPr>
      </w:pPr>
      <w:r>
        <w:rPr>
          <w:rFonts w:hint="eastAsia"/>
          <w:bCs/>
          <w:sz w:val="24"/>
        </w:rPr>
        <w:t>（21）发生涉及基金申购、赎回事项调整或潜在影响投资者赎回等重大事项时；</w:t>
      </w:r>
    </w:p>
    <w:p>
      <w:pPr>
        <w:adjustRightInd w:val="0"/>
        <w:snapToGrid w:val="0"/>
        <w:spacing w:line="360" w:lineRule="auto"/>
        <w:ind w:firstLine="480" w:firstLineChars="200"/>
        <w:rPr>
          <w:bCs/>
          <w:sz w:val="24"/>
        </w:rPr>
      </w:pPr>
      <w:r>
        <w:rPr>
          <w:rFonts w:hint="eastAsia"/>
          <w:bCs/>
          <w:sz w:val="24"/>
        </w:rPr>
        <w:t>（22）基金管理人采用摆动定价机制进行估值；</w:t>
      </w:r>
    </w:p>
    <w:p>
      <w:pPr>
        <w:adjustRightInd w:val="0"/>
        <w:snapToGrid w:val="0"/>
        <w:spacing w:line="360" w:lineRule="auto"/>
        <w:ind w:firstLine="480" w:firstLineChars="200"/>
        <w:rPr>
          <w:bCs/>
          <w:sz w:val="24"/>
        </w:rPr>
      </w:pPr>
      <w:r>
        <w:rPr>
          <w:rFonts w:hint="eastAsia"/>
          <w:bCs/>
          <w:sz w:val="24"/>
        </w:rPr>
        <w:t>（23）本基金增加或调整基金份额类别；</w:t>
      </w:r>
    </w:p>
    <w:p>
      <w:pPr>
        <w:adjustRightInd w:val="0"/>
        <w:snapToGrid w:val="0"/>
        <w:spacing w:line="360" w:lineRule="auto"/>
        <w:ind w:firstLine="480" w:firstLineChars="200"/>
        <w:rPr>
          <w:bCs/>
          <w:sz w:val="24"/>
        </w:rPr>
      </w:pPr>
      <w:r>
        <w:rPr>
          <w:rFonts w:hint="eastAsia"/>
          <w:bCs/>
          <w:sz w:val="24"/>
        </w:rPr>
        <w:t>（24）本基金推出新业务或服务；</w:t>
      </w:r>
    </w:p>
    <w:p>
      <w:pPr>
        <w:adjustRightInd w:val="0"/>
        <w:snapToGrid w:val="0"/>
        <w:spacing w:line="360" w:lineRule="auto"/>
        <w:ind w:firstLine="480" w:firstLineChars="200"/>
        <w:rPr>
          <w:bCs/>
          <w:sz w:val="24"/>
        </w:rPr>
      </w:pPr>
      <w:r>
        <w:rPr>
          <w:rFonts w:hint="eastAsia"/>
          <w:bCs/>
          <w:sz w:val="24"/>
        </w:rPr>
        <w:t>（25）本基金连续30个工作日、40个工作日、45个工作日出现基金份额持有人数量不满200人或者基金资产净值低于5000万元情形的；</w:t>
      </w:r>
    </w:p>
    <w:p>
      <w:pPr>
        <w:adjustRightInd w:val="0"/>
        <w:snapToGrid w:val="0"/>
        <w:spacing w:line="360" w:lineRule="auto"/>
        <w:ind w:firstLine="480" w:firstLineChars="200"/>
        <w:rPr>
          <w:bCs/>
          <w:sz w:val="24"/>
        </w:rPr>
      </w:pPr>
      <w:r>
        <w:rPr>
          <w:rFonts w:hint="eastAsia"/>
          <w:bCs/>
          <w:sz w:val="24"/>
        </w:rPr>
        <w:t>（26）基金信息披露义务人认为可能对基金份额持有人权益或者基金份额的价格产生重大影响的其他事项或中国证监会规定和基金合同约定的其他事项。</w:t>
      </w:r>
    </w:p>
    <w:p>
      <w:pPr>
        <w:adjustRightInd w:val="0"/>
        <w:snapToGrid w:val="0"/>
        <w:spacing w:line="360" w:lineRule="auto"/>
        <w:ind w:firstLine="480" w:firstLineChars="200"/>
        <w:rPr>
          <w:sz w:val="24"/>
        </w:rPr>
      </w:pPr>
      <w:r>
        <w:rPr>
          <w:sz w:val="24"/>
        </w:rPr>
        <w:t>8</w:t>
      </w:r>
      <w:r>
        <w:rPr>
          <w:rFonts w:hAnsi="宋体"/>
          <w:sz w:val="24"/>
        </w:rPr>
        <w:t>、澄清公告</w:t>
      </w:r>
    </w:p>
    <w:p>
      <w:pPr>
        <w:adjustRightInd w:val="0"/>
        <w:snapToGrid w:val="0"/>
        <w:spacing w:line="360" w:lineRule="auto"/>
        <w:ind w:firstLine="480" w:firstLineChars="20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的，相关信息披露义务人知悉后应当立即对该消息进行公开澄清，并将有关情况立即报告中国证监会。</w:t>
      </w:r>
    </w:p>
    <w:p>
      <w:pPr>
        <w:adjustRightInd w:val="0"/>
        <w:snapToGrid w:val="0"/>
        <w:spacing w:line="360" w:lineRule="auto"/>
        <w:ind w:firstLine="480" w:firstLineChars="200"/>
        <w:rPr>
          <w:sz w:val="24"/>
        </w:rPr>
      </w:pPr>
      <w:r>
        <w:rPr>
          <w:sz w:val="24"/>
        </w:rPr>
        <w:t>9</w:t>
      </w:r>
      <w:r>
        <w:rPr>
          <w:rFonts w:hAnsi="宋体"/>
          <w:sz w:val="24"/>
        </w:rPr>
        <w:t>、基金份额持有人大会决议</w:t>
      </w:r>
    </w:p>
    <w:p>
      <w:pPr>
        <w:adjustRightInd w:val="0"/>
        <w:snapToGrid w:val="0"/>
        <w:spacing w:line="360" w:lineRule="auto"/>
        <w:ind w:firstLine="480" w:firstLineChars="200"/>
        <w:rPr>
          <w:bCs/>
          <w:sz w:val="24"/>
        </w:rPr>
      </w:pPr>
      <w:r>
        <w:rPr>
          <w:rFonts w:hint="eastAsia"/>
          <w:bCs/>
          <w:sz w:val="24"/>
        </w:rPr>
        <w:t>基金份额持有人大会决定的事项，应当依法报中国证监会备案，并予以公告。</w:t>
      </w:r>
    </w:p>
    <w:p>
      <w:pPr>
        <w:adjustRightInd w:val="0"/>
        <w:snapToGrid w:val="0"/>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adjustRightInd w:val="0"/>
        <w:snapToGrid w:val="0"/>
        <w:spacing w:line="360" w:lineRule="auto"/>
        <w:ind w:firstLine="480" w:firstLineChars="200"/>
        <w:rPr>
          <w:sz w:val="24"/>
        </w:rPr>
      </w:pPr>
      <w:r>
        <w:rPr>
          <w:rFonts w:hint="eastAsia"/>
          <w:sz w:val="24"/>
        </w:rPr>
        <w:t>1</w:t>
      </w:r>
      <w:r>
        <w:rPr>
          <w:sz w:val="24"/>
        </w:rPr>
        <w:t>0、</w:t>
      </w:r>
      <w:r>
        <w:rPr>
          <w:rFonts w:hint="eastAsia"/>
          <w:sz w:val="24"/>
        </w:rPr>
        <w:t>实施侧袋机制期间的信息披露</w:t>
      </w:r>
    </w:p>
    <w:p>
      <w:pPr>
        <w:adjustRightInd w:val="0"/>
        <w:snapToGrid w:val="0"/>
        <w:spacing w:line="360" w:lineRule="auto"/>
        <w:ind w:firstLine="480" w:firstLineChars="200"/>
        <w:rPr>
          <w:sz w:val="24"/>
        </w:rPr>
      </w:pPr>
      <w:r>
        <w:rPr>
          <w:rFonts w:hint="eastAsia"/>
          <w:sz w:val="24"/>
        </w:rPr>
        <w:t>本基金实施侧袋机制的，相关信息披露义务人应当根据法律法规、基金合同和招募说明书的规定进行信息披露，详见本招募说明书“侧袋</w:t>
      </w:r>
      <w:r>
        <w:rPr>
          <w:sz w:val="24"/>
        </w:rPr>
        <w:t>机制</w:t>
      </w:r>
      <w:r>
        <w:rPr>
          <w:rFonts w:hint="eastAsia"/>
          <w:sz w:val="24"/>
        </w:rPr>
        <w:t>”部分的规定。</w:t>
      </w:r>
    </w:p>
    <w:p>
      <w:pPr>
        <w:adjustRightInd w:val="0"/>
        <w:snapToGrid w:val="0"/>
        <w:spacing w:line="360" w:lineRule="auto"/>
        <w:ind w:firstLine="480" w:firstLineChars="200"/>
        <w:rPr>
          <w:sz w:val="24"/>
        </w:rPr>
      </w:pPr>
      <w:r>
        <w:rPr>
          <w:rFonts w:hint="eastAsia"/>
          <w:sz w:val="24"/>
        </w:rPr>
        <w:t>11、清算报告</w:t>
      </w:r>
    </w:p>
    <w:p>
      <w:pPr>
        <w:adjustRightInd w:val="0"/>
        <w:snapToGrid w:val="0"/>
        <w:spacing w:line="360" w:lineRule="auto"/>
        <w:ind w:firstLine="480" w:firstLineChars="200"/>
        <w:rPr>
          <w:sz w:val="24"/>
        </w:rPr>
      </w:pPr>
      <w:r>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w:t>
      </w:r>
      <w:r>
        <w:rPr>
          <w:rFonts w:hint="eastAsia"/>
          <w:bCs/>
          <w:sz w:val="24"/>
        </w:rPr>
        <w:t>规定</w:t>
      </w:r>
      <w:r>
        <w:rPr>
          <w:rFonts w:hint="eastAsia"/>
          <w:sz w:val="24"/>
        </w:rPr>
        <w:t>报刊上。</w:t>
      </w:r>
    </w:p>
    <w:p>
      <w:pPr>
        <w:adjustRightInd w:val="0"/>
        <w:snapToGrid w:val="0"/>
        <w:spacing w:line="360" w:lineRule="auto"/>
        <w:ind w:firstLine="480" w:firstLineChars="200"/>
        <w:rPr>
          <w:sz w:val="24"/>
        </w:rPr>
      </w:pPr>
      <w:r>
        <w:rPr>
          <w:rFonts w:hint="eastAsia"/>
          <w:sz w:val="24"/>
        </w:rPr>
        <w:t>1</w:t>
      </w:r>
      <w:r>
        <w:rPr>
          <w:sz w:val="24"/>
        </w:rPr>
        <w:t>2、</w:t>
      </w:r>
      <w:r>
        <w:rPr>
          <w:rFonts w:hint="eastAsia"/>
          <w:sz w:val="24"/>
        </w:rPr>
        <w:t>基金投资资产支持证券情况</w:t>
      </w:r>
    </w:p>
    <w:p>
      <w:pPr>
        <w:adjustRightInd w:val="0"/>
        <w:snapToGrid w:val="0"/>
        <w:spacing w:line="360" w:lineRule="auto"/>
        <w:ind w:firstLine="480" w:firstLineChars="200"/>
        <w:rPr>
          <w:sz w:val="24"/>
        </w:rPr>
      </w:pPr>
      <w:r>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sz w:val="24"/>
        </w:rPr>
      </w:pPr>
      <w:r>
        <w:rPr>
          <w:rFonts w:hint="eastAsia"/>
          <w:sz w:val="24"/>
        </w:rPr>
        <w:t>1</w:t>
      </w:r>
      <w:r>
        <w:rPr>
          <w:sz w:val="24"/>
        </w:rPr>
        <w:t>3、</w:t>
      </w:r>
      <w:r>
        <w:rPr>
          <w:rFonts w:hint="eastAsia"/>
          <w:sz w:val="24"/>
        </w:rPr>
        <w:t>基金投资股指期货情况</w:t>
      </w:r>
    </w:p>
    <w:p>
      <w:pPr>
        <w:adjustRightInd w:val="0"/>
        <w:snapToGrid w:val="0"/>
        <w:spacing w:line="360" w:lineRule="auto"/>
        <w:ind w:firstLine="480" w:firstLineChars="200"/>
        <w:rPr>
          <w:sz w:val="24"/>
        </w:rPr>
      </w:pPr>
      <w:r>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sz w:val="24"/>
        </w:rPr>
      </w:pPr>
      <w:r>
        <w:rPr>
          <w:rFonts w:hint="eastAsia"/>
          <w:sz w:val="24"/>
        </w:rPr>
        <w:t>1</w:t>
      </w:r>
      <w:r>
        <w:rPr>
          <w:sz w:val="24"/>
        </w:rPr>
        <w:t>4、</w:t>
      </w:r>
      <w:r>
        <w:rPr>
          <w:rFonts w:hint="eastAsia"/>
          <w:sz w:val="24"/>
        </w:rPr>
        <w:t>基金投资港股通标的股票情况</w:t>
      </w:r>
    </w:p>
    <w:p>
      <w:pPr>
        <w:adjustRightInd w:val="0"/>
        <w:snapToGrid w:val="0"/>
        <w:spacing w:line="360" w:lineRule="auto"/>
        <w:ind w:firstLine="480" w:firstLineChars="200"/>
        <w:rPr>
          <w:rFonts w:hAnsi="宋体"/>
          <w:sz w:val="24"/>
        </w:rPr>
      </w:pPr>
      <w:r>
        <w:rPr>
          <w:rFonts w:hint="eastAsia"/>
          <w:sz w:val="24"/>
        </w:rPr>
        <w:t>基金应当在季度报告、中期报告、年度报告等定期报告和招募说明书（更新）等文件中披露港股通标的股票的投资情况。法律法规或中国证监会另有规定的，从其规定。</w:t>
      </w:r>
    </w:p>
    <w:p>
      <w:pPr>
        <w:adjustRightInd w:val="0"/>
        <w:snapToGrid w:val="0"/>
        <w:spacing w:line="360" w:lineRule="auto"/>
        <w:ind w:firstLine="480" w:firstLineChars="200"/>
        <w:rPr>
          <w:sz w:val="24"/>
        </w:rPr>
      </w:pPr>
      <w:r>
        <w:rPr>
          <w:rFonts w:hint="eastAsia" w:hAnsi="宋体"/>
          <w:sz w:val="24"/>
        </w:rPr>
        <w:t>1</w:t>
      </w:r>
      <w:r>
        <w:rPr>
          <w:rFonts w:hAnsi="宋体"/>
          <w:sz w:val="24"/>
        </w:rPr>
        <w:t>5</w:t>
      </w:r>
      <w:r>
        <w:rPr>
          <w:rFonts w:hint="eastAsia" w:hAnsi="宋体"/>
          <w:sz w:val="24"/>
        </w:rPr>
        <w:t>、</w:t>
      </w:r>
      <w:r>
        <w:rPr>
          <w:rFonts w:hAnsi="宋体"/>
          <w:sz w:val="24"/>
        </w:rPr>
        <w:t>中国证监会规定的其他信息</w:t>
      </w:r>
      <w:r>
        <w:rPr>
          <w:rFonts w:hint="eastAsia" w:hAnsi="宋体"/>
          <w:sz w:val="24"/>
        </w:rPr>
        <w:t>。</w:t>
      </w:r>
    </w:p>
    <w:p>
      <w:pPr>
        <w:adjustRightInd w:val="0"/>
        <w:snapToGrid w:val="0"/>
        <w:spacing w:line="360" w:lineRule="auto"/>
        <w:ind w:firstLine="482" w:firstLineChars="200"/>
        <w:rPr>
          <w:b/>
          <w:bCs/>
          <w:sz w:val="24"/>
        </w:rPr>
      </w:pPr>
      <w:r>
        <w:rPr>
          <w:b/>
          <w:bCs/>
          <w:sz w:val="24"/>
        </w:rPr>
        <w:t>（六）信息披露事务管理</w:t>
      </w:r>
    </w:p>
    <w:p>
      <w:pPr>
        <w:adjustRightInd w:val="0"/>
        <w:snapToGrid w:val="0"/>
        <w:spacing w:line="360" w:lineRule="auto"/>
        <w:ind w:firstLine="480" w:firstLineChars="200"/>
        <w:rPr>
          <w:rFonts w:hAnsi="宋体"/>
          <w:sz w:val="24"/>
        </w:rPr>
      </w:pPr>
      <w:r>
        <w:rPr>
          <w:rFonts w:hint="eastAsia" w:hAnsi="宋体"/>
          <w:sz w:val="24"/>
        </w:rPr>
        <w:t>基金管理人、基金托管人应当建立健全信息披露管理制度，指定</w:t>
      </w:r>
      <w:r>
        <w:rPr>
          <w:rFonts w:hint="eastAsia"/>
          <w:bCs/>
          <w:sz w:val="24"/>
        </w:rPr>
        <w:t>专门部门及高级管理人员</w:t>
      </w:r>
      <w:r>
        <w:rPr>
          <w:rFonts w:hint="eastAsia" w:hAnsi="宋体"/>
          <w:sz w:val="24"/>
        </w:rPr>
        <w:t>负责管理信息披露事务。</w:t>
      </w:r>
    </w:p>
    <w:p>
      <w:pPr>
        <w:adjustRightInd w:val="0"/>
        <w:snapToGrid w:val="0"/>
        <w:spacing w:line="360" w:lineRule="auto"/>
        <w:ind w:firstLine="480" w:firstLineChars="200"/>
        <w:rPr>
          <w:rFonts w:hAnsi="宋体"/>
          <w:sz w:val="24"/>
        </w:rPr>
      </w:pPr>
      <w:r>
        <w:rPr>
          <w:rFonts w:hint="eastAsia" w:hAnsi="宋体"/>
          <w:sz w:val="24"/>
        </w:rPr>
        <w:t>基金信息披露义务人公开披露基金信息，应当符合中国证监会相关基金信息披露内容与格式准则</w:t>
      </w:r>
      <w:r>
        <w:rPr>
          <w:rFonts w:hint="eastAsia"/>
          <w:bCs/>
          <w:sz w:val="24"/>
        </w:rPr>
        <w:t>等法规</w:t>
      </w:r>
      <w:r>
        <w:rPr>
          <w:rFonts w:hint="eastAsia" w:hAnsi="宋体"/>
          <w:sz w:val="24"/>
        </w:rPr>
        <w:t>的规定。</w:t>
      </w:r>
    </w:p>
    <w:p>
      <w:pPr>
        <w:adjustRightInd w:val="0"/>
        <w:snapToGrid w:val="0"/>
        <w:spacing w:line="360" w:lineRule="auto"/>
        <w:ind w:firstLine="480" w:firstLineChars="200"/>
        <w:rPr>
          <w:rFonts w:hAnsi="宋体"/>
          <w:sz w:val="24"/>
        </w:rPr>
      </w:pPr>
      <w:r>
        <w:rPr>
          <w:rFonts w:hint="eastAsia" w:hAnsi="宋体"/>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rFonts w:hint="eastAsia" w:hAnsi="宋体"/>
          <w:sz w:val="24"/>
        </w:rPr>
        <w:t>更新的招募说明书</w:t>
      </w:r>
      <w:r>
        <w:rPr>
          <w:rFonts w:hint="eastAsia"/>
          <w:bCs/>
          <w:sz w:val="24"/>
        </w:rPr>
        <w:t>、基金产品资料概要、基金清算报告</w:t>
      </w:r>
      <w:r>
        <w:rPr>
          <w:rFonts w:hint="eastAsia" w:hAnsi="宋体"/>
          <w:sz w:val="24"/>
        </w:rPr>
        <w:t>等相关基金信息进行复核、审查，并向基金管理人</w:t>
      </w:r>
      <w:r>
        <w:rPr>
          <w:rFonts w:hint="eastAsia"/>
          <w:bCs/>
          <w:sz w:val="24"/>
        </w:rPr>
        <w:t>进行书面或电子</w:t>
      </w:r>
      <w:r>
        <w:rPr>
          <w:rFonts w:hint="eastAsia" w:hAnsi="宋体"/>
          <w:sz w:val="24"/>
        </w:rPr>
        <w:t>确认。</w:t>
      </w:r>
    </w:p>
    <w:p>
      <w:pPr>
        <w:adjustRightInd w:val="0"/>
        <w:snapToGrid w:val="0"/>
        <w:spacing w:line="360" w:lineRule="auto"/>
        <w:ind w:firstLine="480" w:firstLineChars="200"/>
        <w:rPr>
          <w:rFonts w:hAnsi="宋体"/>
          <w:sz w:val="24"/>
        </w:rPr>
      </w:pPr>
      <w:r>
        <w:rPr>
          <w:rFonts w:hint="eastAsia" w:hAnsi="宋体"/>
          <w:sz w:val="24"/>
        </w:rPr>
        <w:t>基金管理人、基金托管人应当在</w:t>
      </w:r>
      <w:r>
        <w:rPr>
          <w:rFonts w:hint="eastAsia"/>
          <w:bCs/>
          <w:sz w:val="24"/>
        </w:rPr>
        <w:t>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int="eastAsia" w:hAnsi="宋体"/>
          <w:sz w:val="24"/>
        </w:rPr>
        <w:t>。</w:t>
      </w:r>
    </w:p>
    <w:p>
      <w:pPr>
        <w:adjustRightInd w:val="0"/>
        <w:snapToGrid w:val="0"/>
        <w:spacing w:line="360" w:lineRule="auto"/>
        <w:ind w:firstLine="480" w:firstLineChars="200"/>
        <w:rPr>
          <w:rFonts w:hAnsi="宋体"/>
          <w:sz w:val="24"/>
        </w:rPr>
      </w:pPr>
      <w:r>
        <w:rPr>
          <w:rFonts w:hint="eastAsia"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djustRightInd w:val="0"/>
        <w:snapToGrid w:val="0"/>
        <w:spacing w:line="360" w:lineRule="auto"/>
        <w:ind w:firstLine="480" w:firstLineChars="200"/>
        <w:rPr>
          <w:rFonts w:hAnsi="宋体"/>
          <w:sz w:val="24"/>
        </w:rPr>
      </w:pPr>
      <w:r>
        <w:rPr>
          <w:rFonts w:hint="eastAsia" w:hAnsi="宋体"/>
          <w:sz w:val="24"/>
        </w:rPr>
        <w:t>为基金信息披露义务人公开披露的基金信息出具审计报告、法律意见书的专业机构，应当制作工作底稿，并将相关档案至少保存到《基金合同》终止后10年。</w:t>
      </w:r>
    </w:p>
    <w:p>
      <w:pPr>
        <w:adjustRightInd w:val="0"/>
        <w:snapToGrid w:val="0"/>
        <w:spacing w:line="360" w:lineRule="auto"/>
        <w:ind w:firstLine="480" w:firstLineChars="200"/>
        <w:rPr>
          <w:rFonts w:hAnsi="宋体"/>
          <w:sz w:val="24"/>
        </w:rPr>
      </w:pPr>
      <w:r>
        <w:rPr>
          <w:rFonts w:hint="eastAsia"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djustRightInd w:val="0"/>
        <w:snapToGrid w:val="0"/>
        <w:spacing w:line="360" w:lineRule="auto"/>
        <w:ind w:firstLine="482" w:firstLineChars="200"/>
        <w:rPr>
          <w:b/>
          <w:sz w:val="24"/>
        </w:rPr>
      </w:pPr>
      <w:r>
        <w:rPr>
          <w:rFonts w:hAnsi="宋体"/>
          <w:b/>
          <w:sz w:val="24"/>
        </w:rPr>
        <w:t>（七）信息披露文件的存放与查阅</w:t>
      </w:r>
    </w:p>
    <w:p>
      <w:pPr>
        <w:adjustRightInd w:val="0"/>
        <w:snapToGrid w:val="0"/>
        <w:spacing w:line="360" w:lineRule="auto"/>
        <w:ind w:firstLine="480" w:firstLineChars="200"/>
      </w:pPr>
      <w:r>
        <w:rPr>
          <w:rFonts w:hint="eastAsia"/>
          <w:bCs/>
          <w:sz w:val="24"/>
        </w:rPr>
        <w:t>依法必须披露的信息发布后，基金管理人、基金托管人应当按照相关法律法规规定将信息置备于各自办公场所，供社会公众查阅、复制</w:t>
      </w:r>
      <w:r>
        <w:rPr>
          <w:bCs/>
          <w:sz w:val="24"/>
        </w:rPr>
        <w:t>。</w:t>
      </w:r>
      <w:bookmarkEnd w:id="80"/>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4" w:name="_Toc48122017"/>
      <w:r>
        <w:rPr>
          <w:rFonts w:hint="eastAsia" w:ascii="宋体" w:hAnsi="宋体"/>
          <w:b/>
          <w:kern w:val="0"/>
          <w:sz w:val="30"/>
        </w:rPr>
        <w:t>十六、侧袋机制</w:t>
      </w:r>
      <w:bookmarkEnd w:id="84"/>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（一）侧袋机制的实施条件</w:t>
      </w:r>
    </w:p>
    <w:p>
      <w:pPr>
        <w:adjustRightInd w:val="0"/>
        <w:snapToGrid w:val="0"/>
        <w:spacing w:line="360" w:lineRule="auto"/>
        <w:ind w:firstLine="480" w:firstLineChars="200"/>
        <w:rPr>
          <w:rFonts w:hAnsi="宋体"/>
          <w:bCs/>
          <w:sz w:val="24"/>
          <w:szCs w:val="24"/>
        </w:rPr>
      </w:pPr>
      <w:r>
        <w:rPr>
          <w:rFonts w:hint="eastAsia" w:hAnsi="宋体"/>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基金管理人应当在启用侧袋机制后及时发布临时公告，</w:t>
      </w:r>
      <w:bookmarkStart w:id="85" w:name="_Hlk45746268"/>
      <w:r>
        <w:rPr>
          <w:rFonts w:hint="eastAsia" w:hAnsi="宋体"/>
          <w:bCs/>
          <w:sz w:val="24"/>
          <w:szCs w:val="24"/>
        </w:rPr>
        <w:t>并在</w:t>
      </w:r>
      <w:bookmarkStart w:id="86" w:name="_Hlk45746204"/>
      <w:r>
        <w:rPr>
          <w:rFonts w:hint="eastAsia" w:hAnsi="宋体"/>
          <w:bCs/>
          <w:sz w:val="24"/>
          <w:szCs w:val="24"/>
        </w:rPr>
        <w:t>五个工作日内</w:t>
      </w:r>
      <w:bookmarkEnd w:id="85"/>
      <w:bookmarkEnd w:id="86"/>
      <w:r>
        <w:rPr>
          <w:rFonts w:hint="eastAsia" w:hAnsi="宋体"/>
          <w:bCs/>
          <w:sz w:val="24"/>
          <w:szCs w:val="24"/>
        </w:rPr>
        <w:t>聘请</w:t>
      </w:r>
      <w:bookmarkStart w:id="87" w:name="_Hlk45746277"/>
      <w:r>
        <w:rPr>
          <w:rFonts w:hint="eastAsia" w:hAnsi="宋体"/>
          <w:bCs/>
          <w:sz w:val="24"/>
          <w:szCs w:val="24"/>
        </w:rPr>
        <w:t>侧袋机制启用日发表意见且</w:t>
      </w:r>
      <w:bookmarkEnd w:id="87"/>
      <w:r>
        <w:rPr>
          <w:rFonts w:hint="eastAsia" w:hAnsi="宋体"/>
          <w:bCs/>
          <w:sz w:val="24"/>
          <w:szCs w:val="24"/>
        </w:rPr>
        <w:t>符合《中华人民共和国证券法》规定的会计师事务所</w:t>
      </w:r>
      <w:bookmarkStart w:id="88" w:name="_Hlk45746299"/>
      <w:r>
        <w:rPr>
          <w:rFonts w:hint="eastAsia" w:hAnsi="宋体"/>
          <w:bCs/>
          <w:sz w:val="24"/>
          <w:szCs w:val="24"/>
        </w:rPr>
        <w:t>进行审计并披露</w:t>
      </w:r>
      <w:bookmarkEnd w:id="88"/>
      <w:r>
        <w:rPr>
          <w:rFonts w:hint="eastAsia" w:hAnsi="宋体"/>
          <w:bCs/>
          <w:sz w:val="24"/>
          <w:szCs w:val="24"/>
        </w:rPr>
        <w:t>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（二）实施侧袋机制期间基金份额的申购与赎回</w:t>
      </w:r>
    </w:p>
    <w:p>
      <w:pPr>
        <w:adjustRightInd w:val="0"/>
        <w:snapToGrid w:val="0"/>
        <w:spacing w:line="360" w:lineRule="auto"/>
        <w:ind w:firstLine="480" w:firstLineChars="200"/>
        <w:rPr>
          <w:rFonts w:hAnsi="宋体"/>
          <w:bCs/>
          <w:sz w:val="24"/>
          <w:szCs w:val="24"/>
        </w:rPr>
      </w:pPr>
      <w:r>
        <w:rPr>
          <w:rFonts w:hint="eastAsia" w:hAnsi="宋体"/>
          <w:bCs/>
          <w:sz w:val="24"/>
          <w:szCs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pPr>
        <w:adjustRightInd w:val="0"/>
        <w:snapToGrid w:val="0"/>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int="eastAsia" w:hAnsi="宋体"/>
          <w:bCs/>
          <w:sz w:val="24"/>
          <w:szCs w:val="24"/>
        </w:rPr>
        <w:t>%认定。</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（三）实施侧袋机制期间的基金投资</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侧袋机制实施期间，招募说明书“基金的投资”部分约定的</w:t>
      </w:r>
      <w:r>
        <w:rPr>
          <w:rFonts w:hAnsi="宋体"/>
          <w:bCs/>
          <w:sz w:val="24"/>
          <w:szCs w:val="24"/>
        </w:rPr>
        <w:t>投资组合比例</w:t>
      </w:r>
      <w:r>
        <w:rPr>
          <w:rFonts w:hint="eastAsia" w:hAnsi="宋体"/>
          <w:bCs/>
          <w:sz w:val="24"/>
          <w:szCs w:val="24"/>
        </w:rPr>
        <w:t>、投资策略、</w:t>
      </w:r>
      <w:r>
        <w:rPr>
          <w:rFonts w:hAnsi="宋体"/>
          <w:bCs/>
          <w:sz w:val="24"/>
          <w:szCs w:val="24"/>
        </w:rPr>
        <w:t>组合限制</w:t>
      </w:r>
      <w:r>
        <w:rPr>
          <w:rFonts w:hint="eastAsia" w:hAnsi="宋体"/>
          <w:bCs/>
          <w:sz w:val="24"/>
          <w:szCs w:val="24"/>
        </w:rPr>
        <w:t>、业绩比较基准、风险收益特征等约定仅适用于主袋账户。基金管理人计算各项投资运作指标和基金业绩指标时仅需考虑主袋账户资产。</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基金管理人原则上应当在侧袋</w:t>
      </w:r>
      <w:r>
        <w:rPr>
          <w:rFonts w:hAnsi="宋体"/>
          <w:bCs/>
          <w:sz w:val="24"/>
          <w:szCs w:val="24"/>
        </w:rPr>
        <w:t>机制启用后20个交易日内完成对主袋账户投资组合的调整，</w:t>
      </w:r>
      <w:r>
        <w:rPr>
          <w:rFonts w:hint="eastAsia" w:hAnsi="宋体"/>
          <w:bCs/>
          <w:sz w:val="24"/>
          <w:szCs w:val="24"/>
        </w:rPr>
        <w:t>因资产流动性受限等中国证监会规定的情形除外。</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基金管理人不得在侧袋账户中进行除特定资产处置变现以外的其他投资操作。</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（四）实施侧袋机制期间的基金估值</w:t>
      </w:r>
    </w:p>
    <w:p>
      <w:pPr>
        <w:adjustRightInd w:val="0"/>
        <w:snapToGrid w:val="0"/>
        <w:spacing w:line="360" w:lineRule="auto"/>
        <w:ind w:firstLine="480" w:firstLineChars="200"/>
        <w:rPr>
          <w:rFonts w:hAnsi="宋体"/>
          <w:bCs/>
          <w:sz w:val="24"/>
          <w:szCs w:val="24"/>
        </w:rPr>
      </w:pPr>
      <w:r>
        <w:rPr>
          <w:rFonts w:hint="eastAsia" w:hAnsi="宋体"/>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（五）实施侧袋账户期间的基金费用</w:t>
      </w:r>
    </w:p>
    <w:p>
      <w:pPr>
        <w:adjustRightInd w:val="0"/>
        <w:snapToGrid w:val="0"/>
        <w:spacing w:line="360" w:lineRule="auto"/>
        <w:ind w:firstLine="480" w:firstLineChars="200"/>
        <w:rPr>
          <w:rFonts w:hAnsi="宋体"/>
          <w:bCs/>
          <w:sz w:val="24"/>
          <w:szCs w:val="24"/>
        </w:rPr>
      </w:pPr>
      <w:r>
        <w:rPr>
          <w:rFonts w:hint="eastAsia" w:hAnsi="宋体"/>
          <w:bCs/>
          <w:sz w:val="24"/>
          <w:szCs w:val="24"/>
        </w:rPr>
        <w:t>1、本基金实施侧袋机制的，管理费、托管费等按主袋账户基金资产净值作为基数计提。</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、与侧袋账户有关的费用可从侧袋账户中列支，但应待侧袋账户资产变现后方可列支，有关费用可酌情收取或减免，但不得收取管理费。</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（六）侧袋账户中特定资产的处置变现和支付</w:t>
      </w:r>
    </w:p>
    <w:p>
      <w:pPr>
        <w:adjustRightInd w:val="0"/>
        <w:snapToGrid w:val="0"/>
        <w:spacing w:line="360" w:lineRule="auto"/>
        <w:ind w:firstLine="480" w:firstLineChars="200"/>
        <w:rPr>
          <w:rFonts w:hAnsi="宋体"/>
          <w:bCs/>
          <w:sz w:val="24"/>
          <w:szCs w:val="24"/>
        </w:rPr>
      </w:pPr>
      <w:r>
        <w:rPr>
          <w:rFonts w:hint="eastAsia" w:hAnsi="宋体"/>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侧袋账户资产全部完成变现并终止侧袋机制后，基金管理人应及时聘请符合《中华人民共和国证券法》规定的会计师事务所进行审计并披露专项审计意见。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（七）侧袋机制的信息披露</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1、临时公告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在启用侧袋机制、处置特定资产、终止侧袋机制以及发生其他可能对投资者利益产生重大影响的事项后基金管理人应及时发布临时公告。</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2、基金净值信息</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3、定期报告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侧袋机制实施期间，基金管理人应当在基金定期报告中披露报告期内侧袋账户相关信息，基金定期报告中的基金会计报表仅需针对主袋账户进行编制。</w:t>
      </w:r>
      <w:bookmarkStart w:id="89" w:name="_Hlk45747214"/>
      <w:r>
        <w:rPr>
          <w:rFonts w:hint="eastAsia" w:hAnsi="宋体"/>
          <w:bCs/>
          <w:sz w:val="24"/>
          <w:szCs w:val="24"/>
        </w:rPr>
        <w:t>会计师事务所对基金年度报告进行审计时，应对报告期内基金侧袋机制运行相关的会计核算和年度报告披露等发表审计意见。</w:t>
      </w:r>
      <w:bookmarkEnd w:id="89"/>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90" w:name="_Toc48122018"/>
      <w:r>
        <w:rPr>
          <w:rFonts w:hint="eastAsia" w:ascii="宋体" w:hAnsi="宋体"/>
          <w:b/>
          <w:kern w:val="0"/>
          <w:sz w:val="30"/>
        </w:rPr>
        <w:t>十七、风险揭示</w:t>
      </w:r>
      <w:bookmarkEnd w:id="90"/>
    </w:p>
    <w:p>
      <w:pPr>
        <w:adjustRightInd w:val="0"/>
        <w:snapToGrid w:val="0"/>
        <w:spacing w:line="360" w:lineRule="auto"/>
        <w:ind w:firstLine="480" w:firstLineChars="20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1" w:name="_Hlt91150550"/>
      <w:bookmarkEnd w:id="91"/>
      <w:bookmarkStart w:id="92" w:name="_Hlt88901012"/>
      <w:bookmarkEnd w:id="92"/>
      <w:bookmarkStart w:id="93" w:name="_Toc109537396"/>
      <w:r>
        <w:rPr>
          <w:rFonts w:hAnsi="宋体"/>
          <w:sz w:val="24"/>
          <w:szCs w:val="24"/>
        </w:rPr>
        <w:t>生的收益，也可能承担</w:t>
      </w:r>
      <w:bookmarkEnd w:id="93"/>
      <w:r>
        <w:rPr>
          <w:rFonts w:hAnsi="宋体"/>
          <w:sz w:val="24"/>
          <w:szCs w:val="24"/>
        </w:rPr>
        <w:t>基金投资所带来的损失。</w:t>
      </w:r>
    </w:p>
    <w:p>
      <w:pPr>
        <w:adjustRightInd w:val="0"/>
        <w:snapToGrid w:val="0"/>
        <w:spacing w:line="360" w:lineRule="auto"/>
        <w:ind w:firstLine="480" w:firstLineChars="20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int="eastAsia" w:hAnsi="宋体"/>
          <w:sz w:val="24"/>
          <w:szCs w:val="24"/>
        </w:rPr>
        <w:t>开放</w:t>
      </w:r>
      <w:r>
        <w:rPr>
          <w:rFonts w:hAnsi="宋体"/>
          <w:sz w:val="24"/>
          <w:szCs w:val="24"/>
        </w:rPr>
        <w:t>日基金的净赎回申请（赎回申请份额总数加上基金转换中转出申请份额总数</w:t>
      </w:r>
      <w:r>
        <w:rPr>
          <w:rFonts w:hint="eastAsia" w:hAnsi="宋体"/>
          <w:sz w:val="24"/>
          <w:szCs w:val="24"/>
        </w:rPr>
        <w:t>后</w:t>
      </w:r>
      <w:r>
        <w:rPr>
          <w:rFonts w:hAnsi="宋体"/>
          <w:sz w:val="24"/>
          <w:szCs w:val="24"/>
        </w:rPr>
        <w:t>扣除申购申请份额总数及基金转换中转入申请份额总数后的余额）超过</w:t>
      </w:r>
      <w:r>
        <w:rPr>
          <w:rFonts w:hint="eastAsia" w:hAnsi="宋体"/>
          <w:sz w:val="24"/>
          <w:szCs w:val="24"/>
        </w:rPr>
        <w:t>上一开放日</w:t>
      </w:r>
      <w:r>
        <w:rPr>
          <w:rFonts w:hAnsi="宋体"/>
          <w:sz w:val="24"/>
          <w:szCs w:val="24"/>
        </w:rPr>
        <w:t>基金总份额的百分之十时，投资人将可能无法及时赎回持有的全部基金份额。基金分为股票</w:t>
      </w:r>
      <w:r>
        <w:rPr>
          <w:rFonts w:hint="eastAsia" w:hAnsi="宋体"/>
          <w:sz w:val="24"/>
          <w:szCs w:val="24"/>
        </w:rPr>
        <w:t>型</w:t>
      </w:r>
      <w:r>
        <w:rPr>
          <w:rFonts w:hAnsi="宋体"/>
          <w:sz w:val="24"/>
          <w:szCs w:val="24"/>
        </w:rPr>
        <w:t>基金、混合</w:t>
      </w:r>
      <w:r>
        <w:rPr>
          <w:rFonts w:hint="eastAsia" w:hAnsi="宋体"/>
          <w:sz w:val="24"/>
          <w:szCs w:val="24"/>
        </w:rPr>
        <w:t>型</w:t>
      </w:r>
      <w:r>
        <w:rPr>
          <w:rFonts w:hAnsi="宋体"/>
          <w:sz w:val="24"/>
          <w:szCs w:val="24"/>
        </w:rPr>
        <w:t>基金、债券</w:t>
      </w:r>
      <w:r>
        <w:rPr>
          <w:rFonts w:hint="eastAsia" w:hAnsi="宋体"/>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pPr>
        <w:adjustRightInd w:val="0"/>
        <w:snapToGrid w:val="0"/>
        <w:spacing w:line="360" w:lineRule="auto"/>
        <w:ind w:firstLine="480" w:firstLineChars="200"/>
        <w:rPr>
          <w:sz w:val="24"/>
          <w:szCs w:val="24"/>
        </w:rPr>
      </w:pPr>
      <w:r>
        <w:rPr>
          <w:rFonts w:hAnsi="宋体"/>
          <w:sz w:val="24"/>
          <w:szCs w:val="24"/>
        </w:rPr>
        <w:t>投资人应当认真阅读《基金合同》、《招募说明书》、</w:t>
      </w:r>
      <w:r>
        <w:rPr>
          <w:rFonts w:hint="eastAsia" w:hAnsi="宋体"/>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widowControl/>
        <w:adjustRightInd w:val="0"/>
        <w:snapToGrid w:val="0"/>
        <w:spacing w:line="360" w:lineRule="auto"/>
        <w:ind w:firstLine="480" w:firstLineChars="200"/>
        <w:rPr>
          <w:sz w:val="24"/>
          <w:szCs w:val="24"/>
        </w:rPr>
      </w:pPr>
      <w:r>
        <w:rPr>
          <w:rFonts w:hAnsi="宋体"/>
          <w:sz w:val="24"/>
          <w:szCs w:val="24"/>
        </w:rPr>
        <w:t>因</w:t>
      </w:r>
      <w:r>
        <w:rPr>
          <w:rFonts w:hint="eastAsia" w:hAnsi="宋体"/>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int="eastAsia" w:hAnsi="宋体"/>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pPr>
        <w:widowControl/>
        <w:adjustRightInd w:val="0"/>
        <w:snapToGrid w:val="0"/>
        <w:spacing w:line="360" w:lineRule="auto"/>
        <w:ind w:firstLine="480" w:firstLineChars="20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pPr>
        <w:widowControl/>
        <w:adjustRightInd w:val="0"/>
        <w:snapToGrid w:val="0"/>
        <w:spacing w:line="360" w:lineRule="auto"/>
        <w:ind w:firstLine="480" w:firstLineChars="200"/>
        <w:rPr>
          <w:kern w:val="0"/>
          <w:sz w:val="24"/>
          <w:szCs w:val="24"/>
        </w:rPr>
      </w:pPr>
      <w:r>
        <w:rPr>
          <w:rFonts w:hAnsi="宋体"/>
          <w:kern w:val="0"/>
          <w:sz w:val="24"/>
          <w:szCs w:val="24"/>
        </w:rPr>
        <w:t>基金份额持有人须了解并承受以下风险：</w:t>
      </w:r>
    </w:p>
    <w:p>
      <w:pPr>
        <w:adjustRightInd w:val="0"/>
        <w:snapToGrid w:val="0"/>
        <w:spacing w:line="360" w:lineRule="auto"/>
        <w:ind w:firstLine="482"/>
        <w:outlineLvl w:val="1"/>
        <w:rPr>
          <w:b/>
          <w:bCs/>
          <w:sz w:val="24"/>
        </w:rPr>
      </w:pPr>
      <w:r>
        <w:rPr>
          <w:b/>
          <w:bCs/>
          <w:sz w:val="24"/>
        </w:rPr>
        <w:t>（一）市场风险</w:t>
      </w:r>
    </w:p>
    <w:p>
      <w:pPr>
        <w:widowControl/>
        <w:adjustRightInd w:val="0"/>
        <w:snapToGrid w:val="0"/>
        <w:spacing w:line="360" w:lineRule="auto"/>
        <w:ind w:firstLine="480" w:firstLineChars="20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pPr>
        <w:adjustRightInd w:val="0"/>
        <w:snapToGrid w:val="0"/>
        <w:spacing w:line="360" w:lineRule="auto"/>
        <w:ind w:firstLine="482"/>
        <w:outlineLvl w:val="1"/>
        <w:rPr>
          <w:b/>
          <w:bCs/>
          <w:sz w:val="24"/>
        </w:rPr>
      </w:pPr>
      <w:r>
        <w:rPr>
          <w:b/>
          <w:bCs/>
          <w:sz w:val="24"/>
        </w:rPr>
        <w:t>（二）管理风险</w:t>
      </w:r>
    </w:p>
    <w:p>
      <w:pPr>
        <w:widowControl/>
        <w:adjustRightInd w:val="0"/>
        <w:snapToGrid w:val="0"/>
        <w:spacing w:line="360" w:lineRule="auto"/>
        <w:ind w:firstLine="480" w:firstLineChars="20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djustRightInd w:val="0"/>
        <w:snapToGrid w:val="0"/>
        <w:spacing w:line="360" w:lineRule="auto"/>
        <w:ind w:firstLine="482"/>
        <w:outlineLvl w:val="1"/>
        <w:rPr>
          <w:b/>
          <w:bCs/>
          <w:sz w:val="24"/>
        </w:rPr>
      </w:pPr>
      <w:r>
        <w:rPr>
          <w:b/>
          <w:bCs/>
          <w:sz w:val="24"/>
        </w:rPr>
        <w:t>（三）流动性风险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1、本基金的申购、赎回安排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采用开放方式运作，基金管理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基金管理人可根据实际情况依法决定本基金开始办理申购的具体日期，具体业务办理时间在申购开始公告中规定。基金管理人自基金合同生效之日起不超过3个月开始办理赎回，具体业务办理时间在赎回开始公告中规定。</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2、投资市场、行业及资产的流动性风险评估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3、巨额赎回情形下的流动性风险管理措施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4、实施备用的流动性风险管理工具的情形、程序及对投资者的潜在影响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本基金在面临大规模赎回的情况下有可能因为无法变现造成流动性风险。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基金管理人将根据主袋账户运作情况合理确定申购政策，因此实施侧袋机制后主袋账户份额存在暂停申购的可能。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djustRightInd w:val="0"/>
        <w:snapToGrid w:val="0"/>
        <w:spacing w:line="360" w:lineRule="auto"/>
        <w:ind w:firstLine="482"/>
        <w:outlineLvl w:val="1"/>
        <w:rPr>
          <w:b/>
          <w:bCs/>
          <w:sz w:val="24"/>
        </w:rPr>
      </w:pPr>
      <w:r>
        <w:rPr>
          <w:b/>
          <w:bCs/>
          <w:sz w:val="24"/>
        </w:rPr>
        <w:t>（四）信用风险</w:t>
      </w:r>
    </w:p>
    <w:p>
      <w:pPr>
        <w:widowControl/>
        <w:adjustRightInd w:val="0"/>
        <w:snapToGrid w:val="0"/>
        <w:spacing w:line="360" w:lineRule="auto"/>
        <w:ind w:firstLine="480" w:firstLineChars="200"/>
        <w:rPr>
          <w:kern w:val="0"/>
          <w:sz w:val="24"/>
          <w:szCs w:val="24"/>
        </w:rPr>
      </w:pPr>
      <w:r>
        <w:rPr>
          <w:rFonts w:hAnsi="宋体"/>
          <w:kern w:val="0"/>
          <w:sz w:val="24"/>
          <w:szCs w:val="24"/>
        </w:rPr>
        <w:t>基金在交易过程</w:t>
      </w:r>
      <w:r>
        <w:rPr>
          <w:rFonts w:hint="eastAsia" w:hAnsi="宋体"/>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pPr>
        <w:adjustRightInd w:val="0"/>
        <w:snapToGrid w:val="0"/>
        <w:spacing w:line="360" w:lineRule="auto"/>
        <w:ind w:firstLine="482"/>
        <w:outlineLvl w:val="1"/>
        <w:rPr>
          <w:b/>
          <w:bCs/>
          <w:sz w:val="24"/>
        </w:rPr>
      </w:pPr>
      <w:r>
        <w:rPr>
          <w:b/>
          <w:bCs/>
          <w:sz w:val="24"/>
        </w:rPr>
        <w:t>（五）本基金的</w:t>
      </w:r>
      <w:r>
        <w:rPr>
          <w:rFonts w:hint="eastAsia"/>
          <w:b/>
          <w:bCs/>
          <w:sz w:val="24"/>
        </w:rPr>
        <w:t>特有</w:t>
      </w:r>
      <w:r>
        <w:rPr>
          <w:b/>
          <w:bCs/>
          <w:sz w:val="24"/>
        </w:rPr>
        <w:t>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w:t>
      </w:r>
      <w:r>
        <w:rPr>
          <w:rFonts w:hAnsi="宋体"/>
          <w:kern w:val="0"/>
          <w:sz w:val="24"/>
          <w:szCs w:val="24"/>
        </w:rPr>
        <w:t>本基金属于混合型基金，</w:t>
      </w:r>
      <w:r>
        <w:rPr>
          <w:rFonts w:hint="eastAsia" w:hAnsi="宋体"/>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3、基金合同提前终止风险。连续50个工作日出现基金份额持有人数量不满200人或者基金资产净值低于5000万元情形的，基金合同终止，不需召开基金份额持有人大会。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4、本基金可投资创业板股票，创业板个股上市后的前五个交易日不设价格涨跌幅限制，第六个交易日开始涨跌幅限制比例为20%。</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w:t>
      </w:r>
      <w:r>
        <w:rPr>
          <w:rFonts w:hint="eastAsia" w:hAnsi="宋体"/>
          <w:b/>
          <w:kern w:val="0"/>
          <w:sz w:val="24"/>
          <w:szCs w:val="24"/>
        </w:rPr>
        <w:t>六</w:t>
      </w:r>
      <w:r>
        <w:rPr>
          <w:rFonts w:hAnsi="宋体"/>
          <w:b/>
          <w:kern w:val="0"/>
          <w:sz w:val="24"/>
          <w:szCs w:val="24"/>
        </w:rPr>
        <w:t>）投资股指期货的特定风险</w:t>
      </w:r>
    </w:p>
    <w:p>
      <w:pPr>
        <w:widowControl/>
        <w:adjustRightInd w:val="0"/>
        <w:snapToGrid w:val="0"/>
        <w:spacing w:line="360" w:lineRule="auto"/>
        <w:ind w:firstLine="480" w:firstLineChars="20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pPr>
        <w:widowControl/>
        <w:adjustRightInd w:val="0"/>
        <w:snapToGrid w:val="0"/>
        <w:spacing w:line="360" w:lineRule="auto"/>
        <w:ind w:firstLine="480" w:firstLineChars="20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w:t>
      </w:r>
      <w:r>
        <w:rPr>
          <w:rFonts w:hint="eastAsia" w:hAnsi="宋体"/>
          <w:b/>
          <w:kern w:val="0"/>
          <w:sz w:val="24"/>
          <w:szCs w:val="24"/>
        </w:rPr>
        <w:t>七</w:t>
      </w:r>
      <w:r>
        <w:rPr>
          <w:rFonts w:hAnsi="宋体"/>
          <w:b/>
          <w:kern w:val="0"/>
          <w:sz w:val="24"/>
          <w:szCs w:val="24"/>
        </w:rPr>
        <w:t>）投资</w:t>
      </w:r>
      <w:r>
        <w:rPr>
          <w:rFonts w:hint="eastAsia" w:hAnsi="宋体"/>
          <w:b/>
          <w:kern w:val="0"/>
          <w:sz w:val="24"/>
          <w:szCs w:val="24"/>
        </w:rPr>
        <w:t>资产支持证券</w:t>
      </w:r>
      <w:r>
        <w:rPr>
          <w:rFonts w:hAnsi="宋体"/>
          <w:b/>
          <w:kern w:val="0"/>
          <w:sz w:val="24"/>
          <w:szCs w:val="24"/>
        </w:rPr>
        <w:t>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（八）投资流通受限证券的特定风险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adjustRightInd w:val="0"/>
        <w:snapToGrid w:val="0"/>
        <w:spacing w:line="360" w:lineRule="auto"/>
        <w:ind w:firstLine="482"/>
        <w:outlineLvl w:val="1"/>
        <w:rPr>
          <w:b/>
          <w:bCs/>
          <w:sz w:val="24"/>
        </w:rPr>
      </w:pPr>
      <w:r>
        <w:rPr>
          <w:rFonts w:hint="eastAsia"/>
          <w:b/>
          <w:bCs/>
          <w:sz w:val="24"/>
        </w:rPr>
        <w:t>（九）投资港股通标的股票的特定风险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本基金可投资港股通标的股票，会面临港股通机制下因投资环境、投资标的、市场制度以及交易规则等差异带来的特有风险，具体如下：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（1）港股交易失败风险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（2）汇率风险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（3）境外市场的风险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2）香港市场交易规则有别于内地A股市场规则，此外，在“内地与香港股票市场交易互联互通机制”下参与香港股票投资还将面临包括但不限于如下特殊风险：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a）香港市场实行T+0回转交易机制（即当日买入的股票，在交收前可以于当日卖出），且证券交易价格并无涨跌幅上下限的规定，因此每日涨跌幅空间相对较大，可能表现出比A股更为剧烈的股价波动；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c）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d）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（4）本基金可根据投资策略需要或不同配置地市场环境的变化，选择将部分基金资产投资于港股或选择不将基金资产投资于港股，基金资产并非必然投资港股。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以上所述因素可能会给本基金投资带来特殊交易风险。</w:t>
      </w:r>
    </w:p>
    <w:p>
      <w:pPr>
        <w:pStyle w:val="50"/>
        <w:widowControl/>
        <w:numPr>
          <w:ilvl w:val="0"/>
          <w:numId w:val="3"/>
        </w:numPr>
        <w:adjustRightInd w:val="0"/>
        <w:snapToGrid w:val="0"/>
        <w:spacing w:line="360" w:lineRule="auto"/>
        <w:ind w:firstLineChars="0"/>
        <w:outlineLvl w:val="1"/>
        <w:rPr>
          <w:rFonts w:hAnsi="宋体"/>
          <w:b/>
          <w:bCs/>
          <w:kern w:val="0"/>
          <w:sz w:val="24"/>
          <w:szCs w:val="24"/>
        </w:rPr>
      </w:pPr>
      <w:r>
        <w:rPr>
          <w:rFonts w:hint="eastAsia" w:hAnsi="宋体"/>
          <w:b/>
          <w:bCs/>
          <w:kern w:val="0"/>
          <w:sz w:val="24"/>
          <w:szCs w:val="24"/>
        </w:rPr>
        <w:t>投资存托凭证的特定风险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widowControl/>
        <w:adjustRightInd w:val="0"/>
        <w:snapToGrid w:val="0"/>
        <w:spacing w:line="360" w:lineRule="auto"/>
        <w:ind w:firstLine="480" w:firstLineChars="200"/>
        <w:rPr>
          <w:rFonts w:hAnsi="宋体"/>
          <w:kern w:val="0"/>
          <w:sz w:val="24"/>
          <w:szCs w:val="24"/>
        </w:rPr>
      </w:pPr>
      <w:r>
        <w:rPr>
          <w:rFonts w:hint="eastAsia" w:hAnsi="宋体"/>
          <w:bCs/>
          <w:kern w:val="0"/>
          <w:sz w:val="24"/>
          <w:szCs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2" w:firstLineChars="200"/>
        <w:outlineLvl w:val="1"/>
        <w:rPr>
          <w:b/>
          <w:kern w:val="0"/>
          <w:sz w:val="24"/>
          <w:szCs w:val="24"/>
        </w:rPr>
      </w:pPr>
      <w:r>
        <w:rPr>
          <w:rFonts w:hint="eastAsia" w:hAnsi="宋体"/>
          <w:b/>
          <w:kern w:val="0"/>
          <w:sz w:val="24"/>
          <w:szCs w:val="24"/>
        </w:rPr>
        <w:t>（十一）</w:t>
      </w:r>
      <w:r>
        <w:rPr>
          <w:rFonts w:hAnsi="宋体"/>
          <w:b/>
          <w:kern w:val="0"/>
          <w:sz w:val="24"/>
          <w:szCs w:val="24"/>
        </w:rPr>
        <w:t>其他风险</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、因技术因素而产生的风险，如电脑系统不可靠产生的风险；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、因人为因素而产生的风险、如内幕交易、欺诈行为等产生的风险；</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、对主要业务人员如基金经理的依赖而可能产生的风险；</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、因业务竞争压力可能产生的风险；</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pPr>
        <w:widowControl/>
        <w:adjustRightInd w:val="0"/>
        <w:snapToGrid w:val="0"/>
        <w:spacing w:line="360" w:lineRule="auto"/>
        <w:ind w:firstLine="480" w:firstLineChars="200"/>
        <w:rPr>
          <w:kern w:val="0"/>
          <w:sz w:val="24"/>
        </w:rPr>
      </w:pPr>
      <w:r>
        <w:rPr>
          <w:kern w:val="0"/>
          <w:sz w:val="24"/>
          <w:szCs w:val="24"/>
        </w:rPr>
        <w:t>7</w:t>
      </w:r>
      <w:r>
        <w:rPr>
          <w:rFonts w:hAnsi="宋体"/>
          <w:kern w:val="0"/>
          <w:sz w:val="24"/>
          <w:szCs w:val="24"/>
        </w:rPr>
        <w:t>、其他意外导致的风险。</w:t>
      </w:r>
      <w:bookmarkStart w:id="94" w:name="OLE_LINK15"/>
    </w:p>
    <w:p>
      <w:pPr>
        <w:widowControl/>
        <w:adjustRightInd w:val="0"/>
        <w:snapToGrid w:val="0"/>
        <w:spacing w:before="143" w:beforeLines="50" w:after="143" w:afterLines="50" w:line="360" w:lineRule="auto"/>
        <w:jc w:val="center"/>
        <w:outlineLvl w:val="0"/>
        <w:rPr>
          <w:b/>
          <w:kern w:val="0"/>
          <w:sz w:val="30"/>
        </w:rPr>
      </w:pPr>
      <w:r>
        <w:rPr>
          <w:rFonts w:hAnsi="宋体"/>
          <w:b/>
          <w:kern w:val="0"/>
          <w:sz w:val="30"/>
        </w:rPr>
        <w:br w:type="page"/>
      </w:r>
      <w:bookmarkStart w:id="95" w:name="_Toc48122019"/>
      <w:r>
        <w:rPr>
          <w:rFonts w:hint="eastAsia" w:hAnsi="宋体"/>
          <w:b/>
          <w:kern w:val="0"/>
          <w:sz w:val="30"/>
        </w:rPr>
        <w:t>十八</w:t>
      </w:r>
      <w:r>
        <w:rPr>
          <w:rFonts w:hAnsi="宋体"/>
          <w:b/>
          <w:kern w:val="0"/>
          <w:sz w:val="30"/>
        </w:rPr>
        <w:t>、基金合同的变更、终止与基金财</w:t>
      </w:r>
      <w:bookmarkEnd w:id="94"/>
      <w:r>
        <w:rPr>
          <w:rFonts w:hAnsi="宋体"/>
          <w:b/>
          <w:kern w:val="0"/>
          <w:sz w:val="30"/>
        </w:rPr>
        <w:t>产的清算</w:t>
      </w:r>
      <w:bookmarkEnd w:id="95"/>
    </w:p>
    <w:p>
      <w:pPr>
        <w:adjustRightInd w:val="0"/>
        <w:snapToGrid w:val="0"/>
        <w:spacing w:line="360" w:lineRule="auto"/>
        <w:ind w:firstLine="482"/>
        <w:outlineLvl w:val="1"/>
        <w:rPr>
          <w:b/>
          <w:bCs/>
          <w:sz w:val="24"/>
        </w:rPr>
      </w:pPr>
      <w:r>
        <w:rPr>
          <w:b/>
          <w:bCs/>
          <w:sz w:val="24"/>
        </w:rPr>
        <w:t>（一）《基金合同》的变更</w:t>
      </w:r>
    </w:p>
    <w:p>
      <w:pPr>
        <w:adjustRightInd w:val="0"/>
        <w:snapToGrid w:val="0"/>
        <w:spacing w:line="360" w:lineRule="auto"/>
        <w:ind w:firstLine="480" w:firstLineChars="200"/>
        <w:rPr>
          <w:rFonts w:hAnsi="宋体"/>
          <w:kern w:val="0"/>
          <w:sz w:val="24"/>
        </w:rPr>
      </w:pPr>
      <w:r>
        <w:rPr>
          <w:rFonts w:hint="eastAsia" w:hAnsi="宋体"/>
          <w:kern w:val="0"/>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2、关于《基金合同》变更的基金份额持有人大会决议自生效后方可执行，</w:t>
      </w:r>
      <w:r>
        <w:rPr>
          <w:rFonts w:hAnsi="宋体"/>
          <w:bCs/>
          <w:kern w:val="0"/>
          <w:sz w:val="24"/>
        </w:rPr>
        <w:t>自</w:t>
      </w:r>
      <w:r>
        <w:rPr>
          <w:rFonts w:hint="eastAsia" w:hAnsi="宋体"/>
          <w:bCs/>
          <w:kern w:val="0"/>
          <w:sz w:val="24"/>
        </w:rPr>
        <w:t>决议</w:t>
      </w:r>
      <w:r>
        <w:rPr>
          <w:rFonts w:hint="eastAsia" w:hAnsi="宋体"/>
          <w:kern w:val="0"/>
          <w:sz w:val="24"/>
        </w:rPr>
        <w:t>生效后依照《信息披露办法》的规定在规定媒介公告。</w:t>
      </w:r>
    </w:p>
    <w:p>
      <w:pPr>
        <w:adjustRightInd w:val="0"/>
        <w:snapToGrid w:val="0"/>
        <w:spacing w:line="360" w:lineRule="auto"/>
        <w:ind w:firstLine="482"/>
        <w:outlineLvl w:val="1"/>
        <w:rPr>
          <w:b/>
          <w:bCs/>
          <w:sz w:val="24"/>
        </w:rPr>
      </w:pPr>
      <w:r>
        <w:rPr>
          <w:b/>
          <w:bCs/>
          <w:sz w:val="24"/>
        </w:rPr>
        <w:t>（二）《基金合同》的终止事由</w:t>
      </w:r>
    </w:p>
    <w:p>
      <w:pPr>
        <w:adjustRightInd w:val="0"/>
        <w:snapToGrid w:val="0"/>
        <w:spacing w:line="360" w:lineRule="auto"/>
        <w:ind w:firstLine="480" w:firstLineChars="200"/>
        <w:rPr>
          <w:rFonts w:hAnsi="宋体"/>
          <w:kern w:val="0"/>
          <w:sz w:val="24"/>
        </w:rPr>
      </w:pPr>
      <w:r>
        <w:rPr>
          <w:rFonts w:hint="eastAsia" w:hAnsi="宋体"/>
          <w:kern w:val="0"/>
          <w:sz w:val="24"/>
        </w:rPr>
        <w:t>有下列情形之一的，</w:t>
      </w:r>
      <w:r>
        <w:rPr>
          <w:rFonts w:hint="eastAsia"/>
          <w:bCs/>
          <w:sz w:val="24"/>
        </w:rPr>
        <w:t>经履行相关程序后，</w:t>
      </w:r>
      <w:r>
        <w:rPr>
          <w:rFonts w:hint="eastAsia" w:hAnsi="宋体"/>
          <w:kern w:val="0"/>
          <w:sz w:val="24"/>
        </w:rPr>
        <w:t>《基金合同》应当终止：</w:t>
      </w:r>
    </w:p>
    <w:p>
      <w:pPr>
        <w:adjustRightInd w:val="0"/>
        <w:snapToGrid w:val="0"/>
        <w:spacing w:line="360" w:lineRule="auto"/>
        <w:ind w:firstLine="480" w:firstLineChars="200"/>
        <w:rPr>
          <w:rFonts w:hAnsi="宋体"/>
          <w:kern w:val="0"/>
          <w:sz w:val="24"/>
        </w:rPr>
      </w:pPr>
      <w:r>
        <w:rPr>
          <w:rFonts w:hint="eastAsia" w:hAnsi="宋体"/>
          <w:kern w:val="0"/>
          <w:sz w:val="24"/>
        </w:rPr>
        <w:t>1、基金份额持有人大会决定终止的；</w:t>
      </w:r>
    </w:p>
    <w:p>
      <w:pPr>
        <w:adjustRightInd w:val="0"/>
        <w:snapToGrid w:val="0"/>
        <w:spacing w:line="360" w:lineRule="auto"/>
        <w:ind w:firstLine="480" w:firstLineChars="200"/>
        <w:rPr>
          <w:rFonts w:hAnsi="宋体"/>
          <w:kern w:val="0"/>
          <w:sz w:val="24"/>
        </w:rPr>
      </w:pPr>
      <w:r>
        <w:rPr>
          <w:rFonts w:hint="eastAsia" w:hAnsi="宋体"/>
          <w:kern w:val="0"/>
          <w:sz w:val="24"/>
        </w:rPr>
        <w:t>2、基金管理人、基金托管人职责终止，在6个月内没有新基金管理人、新基金托管人承接的；</w:t>
      </w:r>
    </w:p>
    <w:p>
      <w:pPr>
        <w:adjustRightInd w:val="0"/>
        <w:snapToGrid w:val="0"/>
        <w:spacing w:line="360" w:lineRule="auto"/>
        <w:ind w:firstLine="480" w:firstLineChars="200"/>
        <w:rPr>
          <w:rFonts w:hAnsi="宋体"/>
          <w:kern w:val="0"/>
          <w:sz w:val="24"/>
        </w:rPr>
      </w:pPr>
      <w:r>
        <w:rPr>
          <w:rFonts w:hint="eastAsia" w:hAnsi="宋体"/>
          <w:kern w:val="0"/>
          <w:sz w:val="24"/>
        </w:rPr>
        <w:t>3、</w:t>
      </w:r>
      <w:r>
        <w:rPr>
          <w:rFonts w:hint="eastAsia" w:hAnsi="宋体"/>
          <w:bCs/>
          <w:kern w:val="0"/>
          <w:sz w:val="24"/>
        </w:rPr>
        <w:t>连续50个工作日出现基金份额持有人数量不满200人或者基金资产净值低于5000万元情形的，基金合同终止，不需召开基金份额持有人大会；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4、《基金合同》约定的其他情形；</w:t>
      </w:r>
    </w:p>
    <w:p>
      <w:pPr>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、相关法律法规和中国证监会规定的其他情况。</w:t>
      </w:r>
    </w:p>
    <w:p>
      <w:pPr>
        <w:adjustRightInd w:val="0"/>
        <w:snapToGrid w:val="0"/>
        <w:spacing w:line="360" w:lineRule="auto"/>
        <w:ind w:firstLine="482"/>
        <w:outlineLvl w:val="1"/>
        <w:rPr>
          <w:b/>
          <w:bCs/>
          <w:sz w:val="24"/>
        </w:rPr>
      </w:pPr>
      <w:r>
        <w:rPr>
          <w:b/>
          <w:bCs/>
          <w:sz w:val="24"/>
        </w:rPr>
        <w:t>（三）基金财产的清算</w:t>
      </w:r>
    </w:p>
    <w:p>
      <w:pPr>
        <w:adjustRightInd w:val="0"/>
        <w:snapToGrid w:val="0"/>
        <w:spacing w:line="360" w:lineRule="auto"/>
        <w:ind w:firstLine="480" w:firstLineChars="200"/>
        <w:rPr>
          <w:rFonts w:hAnsi="宋体"/>
          <w:kern w:val="0"/>
          <w:sz w:val="24"/>
        </w:rPr>
      </w:pPr>
      <w:r>
        <w:rPr>
          <w:rFonts w:hint="eastAsia" w:hAnsi="宋体"/>
          <w:kern w:val="0"/>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hAnsi="宋体"/>
          <w:kern w:val="0"/>
          <w:sz w:val="24"/>
        </w:rPr>
      </w:pPr>
      <w:r>
        <w:rPr>
          <w:rFonts w:hint="eastAsia" w:hAnsi="宋体"/>
          <w:kern w:val="0"/>
          <w:sz w:val="24"/>
        </w:rPr>
        <w:t>2、基金财产清算小组组成：基金财产清算小组成员由基金管理人、基金托管人、</w:t>
      </w:r>
      <w:r>
        <w:rPr>
          <w:bCs/>
          <w:sz w:val="24"/>
        </w:rPr>
        <w:t>符合</w:t>
      </w:r>
      <w:r>
        <w:rPr>
          <w:rFonts w:hint="eastAsia"/>
          <w:bCs/>
          <w:sz w:val="24"/>
        </w:rPr>
        <w:t>《中华人民共和国证券法》规定</w:t>
      </w:r>
      <w:r>
        <w:rPr>
          <w:rFonts w:hint="eastAsia" w:hAnsi="宋体"/>
          <w:kern w:val="0"/>
          <w:sz w:val="24"/>
        </w:rPr>
        <w:t>的注册会计师、律师以及中国证监会指定的人员组成。基金财产清算小组可以聘用必要的工作人员。</w:t>
      </w:r>
    </w:p>
    <w:p>
      <w:pPr>
        <w:adjustRightInd w:val="0"/>
        <w:snapToGrid w:val="0"/>
        <w:spacing w:line="360" w:lineRule="auto"/>
        <w:ind w:firstLine="480" w:firstLineChars="200"/>
        <w:rPr>
          <w:rFonts w:hAnsi="宋体"/>
          <w:kern w:val="0"/>
          <w:sz w:val="24"/>
        </w:rPr>
      </w:pPr>
      <w:r>
        <w:rPr>
          <w:rFonts w:hint="eastAsia" w:hAnsi="宋体"/>
          <w:kern w:val="0"/>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Ansi="宋体"/>
          <w:kern w:val="0"/>
          <w:sz w:val="24"/>
        </w:rPr>
      </w:pPr>
      <w:r>
        <w:rPr>
          <w:rFonts w:hint="eastAsia" w:hAnsi="宋体"/>
          <w:kern w:val="0"/>
          <w:sz w:val="24"/>
        </w:rPr>
        <w:t>4、基金财产清算程序：</w:t>
      </w:r>
    </w:p>
    <w:p>
      <w:pPr>
        <w:adjustRightInd w:val="0"/>
        <w:snapToGrid w:val="0"/>
        <w:spacing w:line="360" w:lineRule="auto"/>
        <w:ind w:firstLine="480" w:firstLineChars="200"/>
        <w:rPr>
          <w:rFonts w:hAnsi="宋体"/>
          <w:kern w:val="0"/>
          <w:sz w:val="24"/>
        </w:rPr>
      </w:pPr>
      <w:r>
        <w:rPr>
          <w:rFonts w:hint="eastAsia" w:hAnsi="宋体"/>
          <w:kern w:val="0"/>
          <w:sz w:val="24"/>
        </w:rPr>
        <w:t>（1）《基金合同》终止情形出现时，由基金财产清算小组统一接管基金；</w:t>
      </w:r>
    </w:p>
    <w:p>
      <w:pPr>
        <w:adjustRightInd w:val="0"/>
        <w:snapToGrid w:val="0"/>
        <w:spacing w:line="360" w:lineRule="auto"/>
        <w:ind w:firstLine="480" w:firstLineChars="200"/>
        <w:rPr>
          <w:rFonts w:hAnsi="宋体"/>
          <w:kern w:val="0"/>
          <w:sz w:val="24"/>
        </w:rPr>
      </w:pPr>
      <w:r>
        <w:rPr>
          <w:rFonts w:hint="eastAsia" w:hAnsi="宋体"/>
          <w:kern w:val="0"/>
          <w:sz w:val="24"/>
        </w:rPr>
        <w:t>（2）对基金财产和债权债务进行清理和确认；</w:t>
      </w:r>
    </w:p>
    <w:p>
      <w:pPr>
        <w:adjustRightInd w:val="0"/>
        <w:snapToGrid w:val="0"/>
        <w:spacing w:line="360" w:lineRule="auto"/>
        <w:ind w:firstLine="480" w:firstLineChars="200"/>
        <w:rPr>
          <w:rFonts w:hAnsi="宋体"/>
          <w:kern w:val="0"/>
          <w:sz w:val="24"/>
        </w:rPr>
      </w:pPr>
      <w:r>
        <w:rPr>
          <w:rFonts w:hint="eastAsia" w:hAnsi="宋体"/>
          <w:kern w:val="0"/>
          <w:sz w:val="24"/>
        </w:rPr>
        <w:t>（3）对基金财产进行估值和变现；</w:t>
      </w:r>
    </w:p>
    <w:p>
      <w:pPr>
        <w:adjustRightInd w:val="0"/>
        <w:snapToGrid w:val="0"/>
        <w:spacing w:line="360" w:lineRule="auto"/>
        <w:ind w:firstLine="480" w:firstLineChars="200"/>
        <w:rPr>
          <w:rFonts w:hAnsi="宋体"/>
          <w:kern w:val="0"/>
          <w:sz w:val="24"/>
        </w:rPr>
      </w:pPr>
      <w:r>
        <w:rPr>
          <w:rFonts w:hint="eastAsia" w:hAnsi="宋体"/>
          <w:kern w:val="0"/>
          <w:sz w:val="24"/>
        </w:rPr>
        <w:t>（4）制作清算报告；</w:t>
      </w:r>
    </w:p>
    <w:p>
      <w:pPr>
        <w:adjustRightInd w:val="0"/>
        <w:snapToGrid w:val="0"/>
        <w:spacing w:line="360" w:lineRule="auto"/>
        <w:ind w:firstLine="480" w:firstLineChars="200"/>
        <w:rPr>
          <w:rFonts w:hAnsi="宋体"/>
          <w:kern w:val="0"/>
          <w:sz w:val="24"/>
        </w:rPr>
      </w:pPr>
      <w:r>
        <w:rPr>
          <w:rFonts w:hint="eastAsia" w:hAnsi="宋体"/>
          <w:kern w:val="0"/>
          <w:sz w:val="24"/>
        </w:rPr>
        <w:t>（5）聘请会计师事务所对清算报告进行外部审计，聘请律师事务所对清算报告出具法律意见书；</w:t>
      </w:r>
    </w:p>
    <w:p>
      <w:pPr>
        <w:adjustRightInd w:val="0"/>
        <w:snapToGrid w:val="0"/>
        <w:spacing w:line="360" w:lineRule="auto"/>
        <w:ind w:firstLine="480" w:firstLineChars="200"/>
        <w:rPr>
          <w:rFonts w:hAnsi="宋体"/>
          <w:kern w:val="0"/>
          <w:sz w:val="24"/>
        </w:rPr>
      </w:pPr>
      <w:r>
        <w:rPr>
          <w:rFonts w:hint="eastAsia" w:hAnsi="宋体"/>
          <w:kern w:val="0"/>
          <w:sz w:val="24"/>
        </w:rPr>
        <w:t>（6）将清算报告报中国证监会备案并公告；</w:t>
      </w:r>
    </w:p>
    <w:p>
      <w:pPr>
        <w:adjustRightInd w:val="0"/>
        <w:snapToGrid w:val="0"/>
        <w:spacing w:line="360" w:lineRule="auto"/>
        <w:ind w:firstLine="480" w:firstLineChars="200"/>
        <w:rPr>
          <w:rFonts w:hAnsi="宋体"/>
          <w:kern w:val="0"/>
          <w:sz w:val="24"/>
        </w:rPr>
      </w:pPr>
      <w:r>
        <w:rPr>
          <w:rFonts w:hint="eastAsia" w:hAnsi="宋体"/>
          <w:kern w:val="0"/>
          <w:sz w:val="24"/>
        </w:rPr>
        <w:t>（7）对基金剩余财产进行分配。</w:t>
      </w:r>
    </w:p>
    <w:p>
      <w:pPr>
        <w:adjustRightInd w:val="0"/>
        <w:snapToGrid w:val="0"/>
        <w:spacing w:line="360" w:lineRule="auto"/>
        <w:ind w:firstLine="480" w:firstLineChars="200"/>
        <w:rPr>
          <w:rFonts w:hAnsi="宋体"/>
          <w:kern w:val="0"/>
          <w:sz w:val="24"/>
        </w:rPr>
      </w:pPr>
      <w:r>
        <w:rPr>
          <w:rFonts w:hint="eastAsia" w:hAnsi="宋体"/>
          <w:kern w:val="0"/>
          <w:sz w:val="24"/>
        </w:rPr>
        <w:t>5、基金财产清算的期限为6个月，但因本基金所持证券的流动性受到限制而不能及时变现的，清算期限相应顺延。</w:t>
      </w:r>
    </w:p>
    <w:p>
      <w:pPr>
        <w:adjustRightInd w:val="0"/>
        <w:snapToGrid w:val="0"/>
        <w:spacing w:line="360" w:lineRule="auto"/>
        <w:ind w:firstLine="482"/>
        <w:outlineLvl w:val="1"/>
        <w:rPr>
          <w:b/>
          <w:bCs/>
          <w:sz w:val="24"/>
        </w:rPr>
      </w:pPr>
      <w:r>
        <w:rPr>
          <w:b/>
          <w:bCs/>
          <w:sz w:val="24"/>
        </w:rPr>
        <w:t>（四）清算费用</w:t>
      </w:r>
    </w:p>
    <w:p>
      <w:pPr>
        <w:adjustRightInd w:val="0"/>
        <w:snapToGrid w:val="0"/>
        <w:spacing w:line="360" w:lineRule="auto"/>
        <w:ind w:firstLine="480" w:firstLineChars="200"/>
        <w:rPr>
          <w:rFonts w:hAnsi="宋体"/>
          <w:kern w:val="0"/>
          <w:sz w:val="24"/>
        </w:rPr>
      </w:pPr>
      <w:r>
        <w:rPr>
          <w:rFonts w:hint="eastAsia" w:hAnsi="宋体"/>
          <w:kern w:val="0"/>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2"/>
        <w:outlineLvl w:val="1"/>
        <w:rPr>
          <w:b/>
          <w:bCs/>
          <w:sz w:val="24"/>
        </w:rPr>
      </w:pPr>
      <w:r>
        <w:rPr>
          <w:b/>
          <w:bCs/>
          <w:sz w:val="24"/>
        </w:rPr>
        <w:t>（五）基金财产清算剩余资产的分配</w:t>
      </w:r>
    </w:p>
    <w:p>
      <w:pPr>
        <w:adjustRightInd w:val="0"/>
        <w:snapToGrid w:val="0"/>
        <w:spacing w:line="360" w:lineRule="auto"/>
        <w:ind w:firstLine="480" w:firstLineChars="200"/>
        <w:rPr>
          <w:rFonts w:hAnsi="宋体"/>
          <w:kern w:val="0"/>
          <w:sz w:val="24"/>
        </w:rPr>
      </w:pPr>
      <w:r>
        <w:rPr>
          <w:rFonts w:hint="eastAsia"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adjustRightInd w:val="0"/>
        <w:snapToGrid w:val="0"/>
        <w:spacing w:line="360" w:lineRule="auto"/>
        <w:ind w:firstLine="482"/>
        <w:outlineLvl w:val="1"/>
        <w:rPr>
          <w:b/>
          <w:bCs/>
          <w:sz w:val="24"/>
        </w:rPr>
      </w:pPr>
      <w:r>
        <w:rPr>
          <w:b/>
          <w:bCs/>
          <w:sz w:val="24"/>
        </w:rPr>
        <w:t>（六）基金财产清算的公告</w:t>
      </w:r>
    </w:p>
    <w:p>
      <w:pPr>
        <w:adjustRightInd w:val="0"/>
        <w:snapToGrid w:val="0"/>
        <w:spacing w:line="360" w:lineRule="auto"/>
        <w:ind w:firstLine="480" w:firstLineChars="200"/>
        <w:rPr>
          <w:rFonts w:hAnsi="宋体"/>
          <w:kern w:val="0"/>
          <w:sz w:val="24"/>
          <w:szCs w:val="24"/>
        </w:rPr>
      </w:pPr>
      <w:r>
        <w:rPr>
          <w:rFonts w:hint="eastAsia"/>
          <w:sz w:val="24"/>
          <w:szCs w:val="24"/>
        </w:rPr>
        <w:t>清算过程中的有关重大事项须及时公告；基金财产清算报告经</w:t>
      </w:r>
      <w:r>
        <w:rPr>
          <w:rFonts w:hint="eastAsia"/>
          <w:bCs/>
          <w:sz w:val="24"/>
        </w:rPr>
        <w:t>符合《中华人民共和国证券法》规定的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pPr>
        <w:adjustRightInd w:val="0"/>
        <w:snapToGrid w:val="0"/>
        <w:spacing w:line="360" w:lineRule="auto"/>
        <w:ind w:firstLine="482"/>
        <w:outlineLvl w:val="1"/>
        <w:rPr>
          <w:b/>
          <w:bCs/>
          <w:sz w:val="24"/>
        </w:rPr>
      </w:pPr>
      <w:r>
        <w:rPr>
          <w:b/>
          <w:bCs/>
          <w:sz w:val="24"/>
        </w:rPr>
        <w:t>（七）基金财产清算账册及文件的保存</w:t>
      </w:r>
    </w:p>
    <w:p>
      <w:pPr>
        <w:adjustRightInd w:val="0"/>
        <w:snapToGrid w:val="0"/>
        <w:spacing w:line="360" w:lineRule="auto"/>
        <w:ind w:firstLine="480" w:firstLineChars="200"/>
        <w:rPr>
          <w:rFonts w:ascii="宋体" w:hAnsi="宋体"/>
          <w:kern w:val="0"/>
          <w:sz w:val="24"/>
        </w:rPr>
      </w:pPr>
      <w:r>
        <w:rPr>
          <w:rFonts w:hint="eastAsia" w:hAnsi="宋体"/>
          <w:kern w:val="0"/>
          <w:sz w:val="24"/>
        </w:rPr>
        <w:t>基金财产清算账册及有关文件由基金托管人保存</w:t>
      </w:r>
      <w:r>
        <w:rPr>
          <w:rFonts w:hint="eastAsia"/>
          <w:bCs/>
          <w:sz w:val="24"/>
        </w:rPr>
        <w:t>不低于法律法规规定的最低期限</w:t>
      </w:r>
      <w:r>
        <w:rPr>
          <w:rFonts w:hint="eastAsia" w:hAnsi="宋体"/>
          <w:kern w:val="0"/>
          <w:sz w:val="24"/>
        </w:rPr>
        <w:t>。</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6" w:name="_Toc48122020"/>
      <w:r>
        <w:rPr>
          <w:rFonts w:hint="eastAsia" w:ascii="宋体" w:hAnsi="宋体"/>
          <w:b/>
          <w:kern w:val="0"/>
          <w:sz w:val="30"/>
        </w:rPr>
        <w:t>十九、基金合同内容摘要</w:t>
      </w:r>
      <w:bookmarkEnd w:id="96"/>
    </w:p>
    <w:p>
      <w:pPr>
        <w:adjustRightInd w:val="0"/>
        <w:snapToGrid w:val="0"/>
        <w:spacing w:line="360" w:lineRule="auto"/>
        <w:ind w:firstLine="482"/>
        <w:outlineLvl w:val="1"/>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pPr>
        <w:adjustRightInd w:val="0"/>
        <w:snapToGrid w:val="0"/>
        <w:spacing w:line="360" w:lineRule="auto"/>
        <w:ind w:firstLine="480" w:firstLineChars="200"/>
        <w:outlineLvl w:val="2"/>
        <w:rPr>
          <w:bCs/>
          <w:sz w:val="24"/>
        </w:rPr>
      </w:pPr>
      <w:r>
        <w:rPr>
          <w:bCs/>
          <w:sz w:val="24"/>
        </w:rPr>
        <w:t>1、基金管理人的权利与义务</w:t>
      </w:r>
    </w:p>
    <w:p>
      <w:pPr>
        <w:adjustRightInd w:val="0"/>
        <w:snapToGrid w:val="0"/>
        <w:spacing w:line="360" w:lineRule="auto"/>
        <w:ind w:firstLine="480" w:firstLineChars="200"/>
        <w:rPr>
          <w:bCs/>
          <w:sz w:val="24"/>
        </w:rPr>
      </w:pPr>
      <w:r>
        <w:rPr>
          <w:bCs/>
          <w:sz w:val="24"/>
        </w:rPr>
        <w:t>根据《基金法》、《运作办法》及其他有关规定，基金管理人的权利包括但不限于：</w:t>
      </w:r>
    </w:p>
    <w:p>
      <w:pPr>
        <w:adjustRightInd w:val="0"/>
        <w:snapToGrid w:val="0"/>
        <w:spacing w:line="360" w:lineRule="auto"/>
        <w:ind w:firstLine="480" w:firstLineChars="200"/>
        <w:rPr>
          <w:bCs/>
          <w:sz w:val="24"/>
        </w:rPr>
      </w:pPr>
      <w:r>
        <w:rPr>
          <w:bCs/>
          <w:sz w:val="24"/>
        </w:rPr>
        <w:t>（1）依法募集</w:t>
      </w:r>
      <w:r>
        <w:rPr>
          <w:rFonts w:hint="eastAsia"/>
          <w:bCs/>
          <w:sz w:val="24"/>
        </w:rPr>
        <w:t>资</w:t>
      </w:r>
      <w:r>
        <w:rPr>
          <w:bCs/>
          <w:sz w:val="24"/>
        </w:rPr>
        <w:t>金；</w:t>
      </w:r>
    </w:p>
    <w:p>
      <w:pPr>
        <w:adjustRightInd w:val="0"/>
        <w:snapToGrid w:val="0"/>
        <w:spacing w:line="360" w:lineRule="auto"/>
        <w:ind w:firstLine="480" w:firstLineChars="200"/>
        <w:rPr>
          <w:bCs/>
          <w:sz w:val="24"/>
        </w:rPr>
      </w:pPr>
      <w:r>
        <w:rPr>
          <w:bCs/>
          <w:sz w:val="24"/>
        </w:rPr>
        <w:t>（2）自《基金合同》生效之日起，根据法律法规和《基金合同》独立运用并管理基金财产；</w:t>
      </w:r>
    </w:p>
    <w:p>
      <w:pPr>
        <w:adjustRightInd w:val="0"/>
        <w:snapToGrid w:val="0"/>
        <w:spacing w:line="360" w:lineRule="auto"/>
        <w:ind w:firstLine="480" w:firstLineChars="200"/>
        <w:rPr>
          <w:bCs/>
          <w:sz w:val="24"/>
        </w:rPr>
      </w:pPr>
      <w:r>
        <w:rPr>
          <w:bCs/>
          <w:sz w:val="24"/>
        </w:rPr>
        <w:t>（3）依照《基金合同》收取基金管理费以及法律法规规定或中国证监会批准的其他费用；</w:t>
      </w:r>
    </w:p>
    <w:p>
      <w:pPr>
        <w:adjustRightInd w:val="0"/>
        <w:snapToGrid w:val="0"/>
        <w:spacing w:line="360" w:lineRule="auto"/>
        <w:ind w:firstLine="480" w:firstLineChars="200"/>
        <w:rPr>
          <w:bCs/>
          <w:sz w:val="24"/>
        </w:rPr>
      </w:pPr>
      <w:r>
        <w:rPr>
          <w:bCs/>
          <w:sz w:val="24"/>
        </w:rPr>
        <w:t>（4）销售基金份额；</w:t>
      </w:r>
    </w:p>
    <w:p>
      <w:pPr>
        <w:adjustRightInd w:val="0"/>
        <w:snapToGrid w:val="0"/>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adjustRightInd w:val="0"/>
        <w:snapToGrid w:val="0"/>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adjustRightInd w:val="0"/>
        <w:snapToGrid w:val="0"/>
        <w:spacing w:line="360" w:lineRule="auto"/>
        <w:ind w:firstLine="480" w:firstLineChars="200"/>
        <w:rPr>
          <w:bCs/>
          <w:sz w:val="24"/>
        </w:rPr>
      </w:pPr>
      <w:r>
        <w:rPr>
          <w:bCs/>
          <w:sz w:val="24"/>
        </w:rPr>
        <w:t>（7）在基金托管人更换时，提名新的基金托管人；</w:t>
      </w:r>
    </w:p>
    <w:p>
      <w:pPr>
        <w:adjustRightInd w:val="0"/>
        <w:snapToGrid w:val="0"/>
        <w:spacing w:line="360" w:lineRule="auto"/>
        <w:ind w:firstLine="480" w:firstLineChars="200"/>
        <w:rPr>
          <w:bCs/>
          <w:sz w:val="24"/>
        </w:rPr>
      </w:pPr>
      <w:r>
        <w:rPr>
          <w:bCs/>
          <w:sz w:val="24"/>
        </w:rPr>
        <w:t>（8）选择、更换基金销售机构，对基金销售机构的相关行为进行监督和处理；</w:t>
      </w:r>
    </w:p>
    <w:p>
      <w:pPr>
        <w:adjustRightInd w:val="0"/>
        <w:snapToGrid w:val="0"/>
        <w:spacing w:line="360" w:lineRule="auto"/>
        <w:ind w:firstLine="480" w:firstLineChars="200"/>
        <w:rPr>
          <w:bCs/>
          <w:sz w:val="24"/>
        </w:rPr>
      </w:pPr>
      <w:r>
        <w:rPr>
          <w:bCs/>
          <w:sz w:val="24"/>
        </w:rPr>
        <w:t>（9）担任或委托其他符合条件的机构担任基金登记机构办理基金登记业务并获得《基金合同》规定的费用；</w:t>
      </w:r>
    </w:p>
    <w:p>
      <w:pPr>
        <w:adjustRightInd w:val="0"/>
        <w:snapToGrid w:val="0"/>
        <w:spacing w:line="360" w:lineRule="auto"/>
        <w:ind w:firstLine="480" w:firstLineChars="200"/>
        <w:rPr>
          <w:bCs/>
          <w:sz w:val="24"/>
        </w:rPr>
      </w:pPr>
      <w:r>
        <w:rPr>
          <w:bCs/>
          <w:sz w:val="24"/>
        </w:rPr>
        <w:t>（10）依据《基金合同》及有关法律规定决定基金收益的分配方案；</w:t>
      </w:r>
    </w:p>
    <w:p>
      <w:pPr>
        <w:adjustRightInd w:val="0"/>
        <w:snapToGrid w:val="0"/>
        <w:spacing w:line="360" w:lineRule="auto"/>
        <w:ind w:firstLine="480" w:firstLineChars="200"/>
        <w:rPr>
          <w:bCs/>
          <w:sz w:val="24"/>
        </w:rPr>
      </w:pPr>
      <w:r>
        <w:rPr>
          <w:bCs/>
          <w:sz w:val="24"/>
        </w:rPr>
        <w:t>（11）在《基金合同》约定的范围内，拒绝或暂停受理申购与赎回申请；</w:t>
      </w:r>
    </w:p>
    <w:p>
      <w:pPr>
        <w:adjustRightInd w:val="0"/>
        <w:snapToGrid w:val="0"/>
        <w:spacing w:line="360" w:lineRule="auto"/>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adjustRightInd w:val="0"/>
        <w:snapToGrid w:val="0"/>
        <w:spacing w:line="360" w:lineRule="auto"/>
        <w:ind w:firstLine="480" w:firstLineChars="200"/>
        <w:rPr>
          <w:bCs/>
          <w:sz w:val="24"/>
        </w:rPr>
      </w:pPr>
      <w:r>
        <w:rPr>
          <w:bCs/>
          <w:sz w:val="24"/>
        </w:rPr>
        <w:t>（13）在法律法规允许的前提下，为基金的利益依法为基金进行融资；</w:t>
      </w:r>
    </w:p>
    <w:p>
      <w:pPr>
        <w:adjustRightInd w:val="0"/>
        <w:snapToGrid w:val="0"/>
        <w:spacing w:line="360" w:lineRule="auto"/>
        <w:ind w:firstLine="480" w:firstLineChars="200"/>
        <w:rPr>
          <w:bCs/>
          <w:sz w:val="24"/>
        </w:rPr>
      </w:pPr>
      <w:r>
        <w:rPr>
          <w:bCs/>
          <w:sz w:val="24"/>
        </w:rPr>
        <w:t>（14）以基金管理人的名义，代表基金份额持有人的利益行使诉讼权利或者实施其他法律行为；</w:t>
      </w:r>
      <w:r>
        <w:rPr>
          <w:bCs/>
          <w:sz w:val="24"/>
        </w:rPr>
        <w:tab/>
      </w:r>
    </w:p>
    <w:p>
      <w:pPr>
        <w:adjustRightInd w:val="0"/>
        <w:snapToGrid w:val="0"/>
        <w:spacing w:line="360" w:lineRule="auto"/>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r>
        <w:rPr>
          <w:bCs/>
          <w:sz w:val="24"/>
        </w:rPr>
        <w:tab/>
      </w:r>
    </w:p>
    <w:p>
      <w:pPr>
        <w:adjustRightInd w:val="0"/>
        <w:snapToGrid w:val="0"/>
        <w:spacing w:line="360" w:lineRule="auto"/>
        <w:ind w:firstLine="480" w:firstLineChars="200"/>
        <w:rPr>
          <w:bCs/>
          <w:sz w:val="24"/>
        </w:rPr>
      </w:pPr>
      <w:r>
        <w:rPr>
          <w:bCs/>
          <w:sz w:val="24"/>
        </w:rPr>
        <w:t>（16）在符合有关法律、法规的前提下，制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pPr>
        <w:adjustRightInd w:val="0"/>
        <w:snapToGrid w:val="0"/>
        <w:spacing w:line="360" w:lineRule="auto"/>
        <w:ind w:firstLine="480" w:firstLineChars="200"/>
        <w:rPr>
          <w:bCs/>
          <w:sz w:val="24"/>
        </w:rPr>
      </w:pPr>
      <w:r>
        <w:rPr>
          <w:bCs/>
          <w:sz w:val="24"/>
        </w:rPr>
        <w:t>（17）法律法规及中国证监会规定的和《基金合同》约定的其他权利。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根据《基金法》、《运作办法》及其他有关规定，基金管理人的义务包括但不限于：</w:t>
      </w:r>
    </w:p>
    <w:p>
      <w:pPr>
        <w:adjustRightInd w:val="0"/>
        <w:snapToGrid w:val="0"/>
        <w:spacing w:line="360" w:lineRule="auto"/>
        <w:ind w:firstLine="480" w:firstLineChars="200"/>
        <w:rPr>
          <w:bCs/>
          <w:sz w:val="24"/>
        </w:rPr>
      </w:pPr>
      <w:bookmarkStart w:id="97" w:name="_Hlt88897298"/>
      <w:bookmarkEnd w:id="97"/>
      <w:r>
        <w:rPr>
          <w:rFonts w:hint="eastAsia"/>
          <w:bCs/>
          <w:sz w:val="24"/>
        </w:rPr>
        <w:t>（1）依法募集资金，办理或者委托经中国证监会认定的其他机构办理基金份额的发售、申购、赎回和登记事宜；</w:t>
      </w:r>
    </w:p>
    <w:p>
      <w:pPr>
        <w:adjustRightInd w:val="0"/>
        <w:snapToGrid w:val="0"/>
        <w:spacing w:line="360" w:lineRule="auto"/>
        <w:ind w:firstLine="480" w:firstLineChars="200"/>
        <w:rPr>
          <w:bCs/>
          <w:sz w:val="24"/>
        </w:rPr>
      </w:pPr>
      <w:r>
        <w:rPr>
          <w:rFonts w:hint="eastAsia"/>
          <w:bCs/>
          <w:sz w:val="24"/>
        </w:rPr>
        <w:t>（2）办理基金备案手续；</w:t>
      </w:r>
    </w:p>
    <w:p>
      <w:pPr>
        <w:adjustRightInd w:val="0"/>
        <w:snapToGrid w:val="0"/>
        <w:spacing w:line="360" w:lineRule="auto"/>
        <w:ind w:firstLine="480" w:firstLineChars="200"/>
        <w:rPr>
          <w:bCs/>
          <w:sz w:val="24"/>
        </w:rPr>
      </w:pPr>
      <w:r>
        <w:rPr>
          <w:rFonts w:hint="eastAsia"/>
          <w:bCs/>
          <w:sz w:val="24"/>
        </w:rPr>
        <w:t>（3）自《基金合同》生效之日起，以诚实信用、谨慎勤勉的原则管理和运用基金财产；</w:t>
      </w:r>
    </w:p>
    <w:p>
      <w:pPr>
        <w:adjustRightInd w:val="0"/>
        <w:snapToGrid w:val="0"/>
        <w:spacing w:line="360" w:lineRule="auto"/>
        <w:ind w:firstLine="480" w:firstLineChars="200"/>
        <w:rPr>
          <w:bCs/>
          <w:sz w:val="24"/>
        </w:rPr>
      </w:pPr>
      <w:r>
        <w:rPr>
          <w:rFonts w:hint="eastAsia"/>
          <w:bCs/>
          <w:sz w:val="24"/>
        </w:rPr>
        <w:t>（4）配备足够的具有专业资格的人员进行基金投资分析、决策，以专业化的经营方式管理和运作基金财产；</w:t>
      </w:r>
    </w:p>
    <w:p>
      <w:pPr>
        <w:adjustRightInd w:val="0"/>
        <w:snapToGrid w:val="0"/>
        <w:spacing w:line="360" w:lineRule="auto"/>
        <w:ind w:firstLine="480" w:firstLineChars="200"/>
        <w:rPr>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adjustRightInd w:val="0"/>
        <w:snapToGrid w:val="0"/>
        <w:spacing w:line="360" w:lineRule="auto"/>
        <w:ind w:firstLine="480" w:firstLineChars="200"/>
        <w:rPr>
          <w:bCs/>
          <w:sz w:val="24"/>
        </w:rPr>
      </w:pPr>
      <w:r>
        <w:rPr>
          <w:rFonts w:hint="eastAsia"/>
          <w:bCs/>
          <w:sz w:val="24"/>
        </w:rPr>
        <w:t>（6）除依据《基金法》、《基金合同》及其他有关规定外，不得利用基金财产为自己及任何第三人谋取利益，不得委托第三人运作基金财产；</w:t>
      </w:r>
    </w:p>
    <w:p>
      <w:pPr>
        <w:adjustRightInd w:val="0"/>
        <w:snapToGrid w:val="0"/>
        <w:spacing w:line="360" w:lineRule="auto"/>
        <w:ind w:firstLine="480" w:firstLineChars="200"/>
        <w:rPr>
          <w:bCs/>
          <w:sz w:val="24"/>
        </w:rPr>
      </w:pPr>
      <w:r>
        <w:rPr>
          <w:rFonts w:hint="eastAsia"/>
          <w:bCs/>
          <w:sz w:val="24"/>
        </w:rPr>
        <w:t>（7）依法接受基金托管人的监督；</w:t>
      </w:r>
    </w:p>
    <w:p>
      <w:pPr>
        <w:adjustRightInd w:val="0"/>
        <w:snapToGrid w:val="0"/>
        <w:spacing w:line="360" w:lineRule="auto"/>
        <w:ind w:firstLine="480" w:firstLineChars="200"/>
        <w:rPr>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adjustRightInd w:val="0"/>
        <w:snapToGrid w:val="0"/>
        <w:spacing w:line="360" w:lineRule="auto"/>
        <w:ind w:firstLine="480" w:firstLineChars="200"/>
        <w:rPr>
          <w:bCs/>
          <w:sz w:val="24"/>
        </w:rPr>
      </w:pPr>
      <w:r>
        <w:rPr>
          <w:rFonts w:hint="eastAsia"/>
          <w:bCs/>
          <w:sz w:val="24"/>
        </w:rPr>
        <w:t>（9）进行基金会计核算并编制基金财务会计报告；</w:t>
      </w:r>
    </w:p>
    <w:p>
      <w:pPr>
        <w:adjustRightInd w:val="0"/>
        <w:snapToGrid w:val="0"/>
        <w:spacing w:line="360" w:lineRule="auto"/>
        <w:ind w:firstLine="480" w:firstLineChars="200"/>
        <w:rPr>
          <w:bCs/>
          <w:sz w:val="24"/>
        </w:rPr>
      </w:pPr>
      <w:r>
        <w:rPr>
          <w:rFonts w:hint="eastAsia"/>
          <w:bCs/>
          <w:sz w:val="24"/>
        </w:rPr>
        <w:t>（10）编制季度报告、中期报告和年度报告；</w:t>
      </w:r>
    </w:p>
    <w:p>
      <w:pPr>
        <w:adjustRightInd w:val="0"/>
        <w:snapToGrid w:val="0"/>
        <w:spacing w:line="360" w:lineRule="auto"/>
        <w:ind w:firstLine="480" w:firstLineChars="200"/>
        <w:rPr>
          <w:bCs/>
          <w:sz w:val="24"/>
        </w:rPr>
      </w:pPr>
      <w:r>
        <w:rPr>
          <w:rFonts w:hint="eastAsia"/>
          <w:bCs/>
          <w:sz w:val="24"/>
        </w:rPr>
        <w:t>（11）严格按照《基金法》、《基金合同》及其他有关规定，履行信息披露及报告义务；</w:t>
      </w:r>
    </w:p>
    <w:p>
      <w:pPr>
        <w:adjustRightInd w:val="0"/>
        <w:snapToGrid w:val="0"/>
        <w:spacing w:line="360" w:lineRule="auto"/>
        <w:ind w:firstLine="480" w:firstLineChars="200"/>
        <w:rPr>
          <w:bCs/>
          <w:sz w:val="24"/>
        </w:rPr>
      </w:pPr>
      <w:r>
        <w:rPr>
          <w:rFonts w:hint="eastAsia"/>
          <w:bCs/>
          <w:sz w:val="24"/>
        </w:rPr>
        <w:t>（12）保守基金商业秘密，不泄露基金投资计划、投资意向等。除《基金法》、《基金合同》及其他有关规定另有规定外，在基金信息公开披露前应予保密，不向他人泄露；</w:t>
      </w:r>
    </w:p>
    <w:p>
      <w:pPr>
        <w:adjustRightInd w:val="0"/>
        <w:snapToGrid w:val="0"/>
        <w:spacing w:line="360" w:lineRule="auto"/>
        <w:ind w:firstLine="480" w:firstLineChars="200"/>
        <w:rPr>
          <w:bCs/>
          <w:sz w:val="24"/>
        </w:rPr>
      </w:pPr>
      <w:r>
        <w:rPr>
          <w:rFonts w:hint="eastAsia"/>
          <w:bCs/>
          <w:sz w:val="24"/>
        </w:rPr>
        <w:t>（13）按《基金合同》的约定确定基金收益分配方案，及时向基金份额持有人分配基金收益；</w:t>
      </w:r>
    </w:p>
    <w:p>
      <w:pPr>
        <w:adjustRightInd w:val="0"/>
        <w:snapToGrid w:val="0"/>
        <w:spacing w:line="360" w:lineRule="auto"/>
        <w:ind w:firstLine="480" w:firstLineChars="200"/>
        <w:rPr>
          <w:bCs/>
          <w:sz w:val="24"/>
        </w:rPr>
      </w:pPr>
      <w:r>
        <w:rPr>
          <w:rFonts w:hint="eastAsia"/>
          <w:bCs/>
          <w:sz w:val="24"/>
        </w:rPr>
        <w:t>（14）按规定受理申购与赎回申请，及时、足额支付赎回款项；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bCs/>
          <w:sz w:val="24"/>
        </w:rPr>
      </w:pPr>
      <w:r>
        <w:rPr>
          <w:rFonts w:hint="eastAsia"/>
          <w:bCs/>
          <w:sz w:val="24"/>
        </w:rPr>
        <w:t>（16）按规定保存基金财产管理业务活动的会计账册、报表、记录和其他相关资料不低于法律法规规定的最低期限；</w:t>
      </w:r>
    </w:p>
    <w:p>
      <w:pPr>
        <w:adjustRightInd w:val="0"/>
        <w:snapToGrid w:val="0"/>
        <w:spacing w:line="360" w:lineRule="auto"/>
        <w:ind w:firstLine="480" w:firstLineChars="200"/>
        <w:rPr>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bCs/>
          <w:sz w:val="24"/>
        </w:rPr>
      </w:pPr>
      <w:r>
        <w:rPr>
          <w:rFonts w:hint="eastAsia"/>
          <w:bCs/>
          <w:sz w:val="24"/>
        </w:rPr>
        <w:t>（18）组织并参加基金财产清算小组，参与基金财产的保管、清理、估价、变现和分配；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（19）面临解散、依法被撤销或者被依法宣告破产时，及时报告中国证监会并通知基金托管人；</w:t>
      </w:r>
    </w:p>
    <w:p>
      <w:pPr>
        <w:adjustRightInd w:val="0"/>
        <w:snapToGrid w:val="0"/>
        <w:spacing w:line="360" w:lineRule="auto"/>
        <w:ind w:firstLine="480" w:firstLineChars="200"/>
        <w:rPr>
          <w:bCs/>
          <w:sz w:val="24"/>
        </w:rPr>
      </w:pPr>
      <w:r>
        <w:rPr>
          <w:rFonts w:hint="eastAsia"/>
          <w:bCs/>
          <w:sz w:val="24"/>
        </w:rPr>
        <w:t>（20）因违反《基金合同》导致基金财产的损失或损害基金份额持有人合法权益时，应当承担赔偿责任，其赔偿责任不因其退任而免除；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bCs/>
          <w:sz w:val="24"/>
        </w:rPr>
      </w:pPr>
      <w:r>
        <w:rPr>
          <w:rFonts w:hint="eastAsia"/>
          <w:bCs/>
          <w:sz w:val="24"/>
        </w:rPr>
        <w:t>（22）当基金管理人将其义务委托第三方处理时，应当对第三方处理有关基金事务的行为承担责任；</w:t>
      </w:r>
    </w:p>
    <w:p>
      <w:pPr>
        <w:adjustRightInd w:val="0"/>
        <w:snapToGrid w:val="0"/>
        <w:spacing w:line="360" w:lineRule="auto"/>
        <w:ind w:firstLine="480" w:firstLineChars="200"/>
        <w:rPr>
          <w:bCs/>
          <w:sz w:val="24"/>
        </w:rPr>
      </w:pPr>
      <w:r>
        <w:rPr>
          <w:rFonts w:hint="eastAsia"/>
          <w:bCs/>
          <w:sz w:val="24"/>
        </w:rPr>
        <w:t>（23）以基金管理人名义，代表基金份额持有人利益行使诉讼权利或实施其他法律行为；</w:t>
      </w:r>
      <w:r>
        <w:rPr>
          <w:rFonts w:hint="eastAsia"/>
          <w:bCs/>
          <w:sz w:val="24"/>
        </w:rPr>
        <w:tab/>
      </w:r>
    </w:p>
    <w:p>
      <w:pPr>
        <w:adjustRightInd w:val="0"/>
        <w:snapToGrid w:val="0"/>
        <w:spacing w:line="360" w:lineRule="auto"/>
        <w:ind w:firstLine="480" w:firstLineChars="200"/>
        <w:rPr>
          <w:bCs/>
          <w:sz w:val="24"/>
        </w:rPr>
      </w:pPr>
      <w:r>
        <w:rPr>
          <w:rFonts w:hint="eastAsia"/>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djustRightInd w:val="0"/>
        <w:snapToGrid w:val="0"/>
        <w:spacing w:line="360" w:lineRule="auto"/>
        <w:ind w:firstLine="480" w:firstLineChars="200"/>
        <w:rPr>
          <w:bCs/>
          <w:sz w:val="24"/>
        </w:rPr>
      </w:pPr>
      <w:r>
        <w:rPr>
          <w:rFonts w:hint="eastAsia"/>
          <w:bCs/>
          <w:sz w:val="24"/>
        </w:rPr>
        <w:t>（25）执行生效的基金份额持有人大会的决议；</w:t>
      </w:r>
    </w:p>
    <w:p>
      <w:pPr>
        <w:adjustRightInd w:val="0"/>
        <w:snapToGrid w:val="0"/>
        <w:spacing w:line="360" w:lineRule="auto"/>
        <w:ind w:firstLine="480" w:firstLineChars="200"/>
        <w:rPr>
          <w:bCs/>
          <w:sz w:val="24"/>
        </w:rPr>
      </w:pPr>
      <w:r>
        <w:rPr>
          <w:rFonts w:hint="eastAsia"/>
          <w:bCs/>
          <w:sz w:val="24"/>
        </w:rPr>
        <w:t>（26）建立并保存基金份额持有人名册；</w:t>
      </w:r>
    </w:p>
    <w:p>
      <w:pPr>
        <w:adjustRightInd w:val="0"/>
        <w:snapToGrid w:val="0"/>
        <w:spacing w:line="360" w:lineRule="auto"/>
        <w:ind w:firstLine="480" w:firstLineChars="200"/>
        <w:rPr>
          <w:bCs/>
          <w:sz w:val="24"/>
        </w:rPr>
      </w:pPr>
      <w:r>
        <w:rPr>
          <w:rFonts w:hint="eastAsia"/>
          <w:bCs/>
          <w:sz w:val="24"/>
        </w:rPr>
        <w:t>（27）法律法规及中国证监会规定的和《基金合同》约定的其他义务。</w:t>
      </w:r>
    </w:p>
    <w:p>
      <w:pPr>
        <w:adjustRightInd w:val="0"/>
        <w:snapToGrid w:val="0"/>
        <w:spacing w:line="360" w:lineRule="auto"/>
        <w:ind w:firstLine="480" w:firstLineChars="200"/>
        <w:outlineLvl w:val="2"/>
        <w:rPr>
          <w:bCs/>
          <w:sz w:val="24"/>
        </w:rPr>
      </w:pPr>
      <w:r>
        <w:rPr>
          <w:bCs/>
          <w:sz w:val="24"/>
        </w:rPr>
        <w:t>2、基金托管人的权利与义务</w:t>
      </w:r>
    </w:p>
    <w:p>
      <w:pPr>
        <w:adjustRightInd w:val="0"/>
        <w:snapToGrid w:val="0"/>
        <w:spacing w:line="360" w:lineRule="auto"/>
        <w:ind w:firstLine="480" w:firstLineChars="200"/>
        <w:rPr>
          <w:bCs/>
          <w:sz w:val="24"/>
        </w:rPr>
      </w:pPr>
      <w:r>
        <w:rPr>
          <w:bCs/>
          <w:sz w:val="24"/>
        </w:rPr>
        <w:t>根据《基金法》、《运作办法》及其他有关规定，基金托管人的权利包括但不限于：</w:t>
      </w:r>
    </w:p>
    <w:p>
      <w:pPr>
        <w:adjustRightInd w:val="0"/>
        <w:snapToGrid w:val="0"/>
        <w:spacing w:line="360" w:lineRule="auto"/>
        <w:ind w:firstLine="480" w:firstLineChars="200"/>
        <w:rPr>
          <w:bCs/>
          <w:sz w:val="24"/>
        </w:rPr>
      </w:pPr>
      <w:r>
        <w:rPr>
          <w:rFonts w:hint="eastAsia"/>
          <w:bCs/>
          <w:sz w:val="24"/>
        </w:rPr>
        <w:t>（1）自《基金合同》生效之日起，依法律法规和《基金合同》的规定安全保管基金财产；</w:t>
      </w:r>
    </w:p>
    <w:p>
      <w:pPr>
        <w:adjustRightInd w:val="0"/>
        <w:snapToGrid w:val="0"/>
        <w:spacing w:line="360" w:lineRule="auto"/>
        <w:ind w:firstLine="480" w:firstLineChars="200"/>
        <w:rPr>
          <w:bCs/>
          <w:sz w:val="24"/>
        </w:rPr>
      </w:pPr>
      <w:r>
        <w:rPr>
          <w:rFonts w:hint="eastAsia"/>
          <w:bCs/>
          <w:sz w:val="24"/>
        </w:rPr>
        <w:t>（2）依《基金合同》约定获得基金托管费以及法律法规规定或监管部门批准的其他费用；</w:t>
      </w:r>
    </w:p>
    <w:p>
      <w:pPr>
        <w:adjustRightInd w:val="0"/>
        <w:snapToGrid w:val="0"/>
        <w:spacing w:line="360" w:lineRule="auto"/>
        <w:ind w:firstLine="480" w:firstLineChars="200"/>
        <w:rPr>
          <w:bCs/>
          <w:sz w:val="24"/>
        </w:rPr>
      </w:pPr>
      <w:r>
        <w:rPr>
          <w:rFonts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bCs/>
          <w:sz w:val="24"/>
        </w:rPr>
      </w:pPr>
      <w:r>
        <w:rPr>
          <w:rFonts w:hint="eastAsia"/>
          <w:bCs/>
          <w:sz w:val="24"/>
        </w:rPr>
        <w:t>（4）根据相关市场规则，为基金开设资金账户、证券账户、期货结算账户等投资所需账户，为基金办理证券交易资金清算；</w:t>
      </w:r>
    </w:p>
    <w:p>
      <w:pPr>
        <w:adjustRightInd w:val="0"/>
        <w:snapToGrid w:val="0"/>
        <w:spacing w:line="360" w:lineRule="auto"/>
        <w:ind w:firstLine="480" w:firstLineChars="200"/>
        <w:rPr>
          <w:bCs/>
          <w:sz w:val="24"/>
        </w:rPr>
      </w:pPr>
      <w:r>
        <w:rPr>
          <w:rFonts w:hint="eastAsia"/>
          <w:bCs/>
          <w:sz w:val="24"/>
        </w:rPr>
        <w:t>（5）提议召开或召集基金份额持有人大会；</w:t>
      </w:r>
    </w:p>
    <w:p>
      <w:pPr>
        <w:adjustRightInd w:val="0"/>
        <w:snapToGrid w:val="0"/>
        <w:spacing w:line="360" w:lineRule="auto"/>
        <w:ind w:firstLine="480" w:firstLineChars="200"/>
        <w:rPr>
          <w:bCs/>
          <w:sz w:val="24"/>
        </w:rPr>
      </w:pPr>
      <w:r>
        <w:rPr>
          <w:rFonts w:hint="eastAsia"/>
          <w:bCs/>
          <w:sz w:val="24"/>
        </w:rPr>
        <w:t>（6）在基金管理人更换时，提名新的基金管理人；</w:t>
      </w:r>
    </w:p>
    <w:p>
      <w:pPr>
        <w:adjustRightInd w:val="0"/>
        <w:snapToGrid w:val="0"/>
        <w:spacing w:line="360" w:lineRule="auto"/>
        <w:ind w:firstLine="480" w:firstLineChars="200"/>
        <w:rPr>
          <w:bCs/>
          <w:sz w:val="24"/>
        </w:rPr>
      </w:pPr>
      <w:r>
        <w:rPr>
          <w:rFonts w:hint="eastAsia"/>
          <w:bCs/>
          <w:sz w:val="24"/>
        </w:rPr>
        <w:t>（7）法律法规及中国证监会规定的和《基金合同》约定的其他权利。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根据《基金法》、《运作办法》及其他有关规定，基金托管人的义务包括但不限于：</w:t>
      </w:r>
    </w:p>
    <w:p>
      <w:pPr>
        <w:adjustRightInd w:val="0"/>
        <w:snapToGrid w:val="0"/>
        <w:spacing w:line="360" w:lineRule="auto"/>
        <w:ind w:firstLine="480" w:firstLineChars="200"/>
        <w:rPr>
          <w:bCs/>
          <w:sz w:val="24"/>
        </w:rPr>
      </w:pPr>
      <w:r>
        <w:rPr>
          <w:rFonts w:hint="eastAsia"/>
          <w:bCs/>
          <w:sz w:val="24"/>
        </w:rPr>
        <w:t>（1）以诚实信用、勤勉尽责的原则持有并安全保管基金财产；</w:t>
      </w:r>
    </w:p>
    <w:p>
      <w:pPr>
        <w:adjustRightInd w:val="0"/>
        <w:snapToGrid w:val="0"/>
        <w:spacing w:line="360" w:lineRule="auto"/>
        <w:ind w:firstLine="480" w:firstLineChars="200"/>
        <w:rPr>
          <w:bCs/>
          <w:sz w:val="24"/>
        </w:rPr>
      </w:pPr>
      <w:r>
        <w:rPr>
          <w:rFonts w:hint="eastAsia"/>
          <w:bCs/>
          <w:sz w:val="24"/>
        </w:rPr>
        <w:t>（2）设立专门的基金托管部门，具有符合要求的营业场所，配备足够的、合格的熟悉基金托管业务的专职人员，负责基金财产托管事宜；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bCs/>
          <w:sz w:val="24"/>
        </w:rPr>
      </w:pPr>
      <w:r>
        <w:rPr>
          <w:rFonts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bCs/>
          <w:sz w:val="24"/>
        </w:rPr>
      </w:pPr>
      <w:r>
        <w:rPr>
          <w:rFonts w:hint="eastAsia"/>
          <w:bCs/>
          <w:sz w:val="24"/>
        </w:rPr>
        <w:t>（4）除依据《基金法》、《基金合同》及其他有关规定外，不得利用基金财产为自己及任何第三人谋取利益，不得委托第三人托管基金财产；</w:t>
      </w:r>
    </w:p>
    <w:p>
      <w:pPr>
        <w:adjustRightInd w:val="0"/>
        <w:snapToGrid w:val="0"/>
        <w:spacing w:line="360" w:lineRule="auto"/>
        <w:ind w:firstLine="480" w:firstLineChars="200"/>
        <w:rPr>
          <w:bCs/>
          <w:sz w:val="24"/>
        </w:rPr>
      </w:pPr>
      <w:r>
        <w:rPr>
          <w:rFonts w:hint="eastAsia"/>
          <w:bCs/>
          <w:sz w:val="24"/>
        </w:rPr>
        <w:t>（5）保管由基金管理人代表基金签订的与基金有关的重大合同及有关凭证；</w:t>
      </w:r>
    </w:p>
    <w:p>
      <w:pPr>
        <w:adjustRightInd w:val="0"/>
        <w:snapToGrid w:val="0"/>
        <w:spacing w:line="360" w:lineRule="auto"/>
        <w:ind w:firstLine="480" w:firstLineChars="200"/>
        <w:rPr>
          <w:bCs/>
          <w:sz w:val="24"/>
        </w:rPr>
      </w:pPr>
      <w:r>
        <w:rPr>
          <w:rFonts w:hint="eastAsia"/>
          <w:bCs/>
          <w:sz w:val="24"/>
        </w:rPr>
        <w:t>（6）按规定开设基金财产的资金账户、证券账户和期货结算账户等投资所需账户，按照《基金合同》的约定，根据基金管理人的投资指令，及时办理清算、交割事宜；</w:t>
      </w:r>
    </w:p>
    <w:p>
      <w:pPr>
        <w:adjustRightInd w:val="0"/>
        <w:snapToGrid w:val="0"/>
        <w:spacing w:line="360" w:lineRule="auto"/>
        <w:ind w:firstLine="480" w:firstLineChars="200"/>
        <w:rPr>
          <w:bCs/>
          <w:sz w:val="24"/>
        </w:rPr>
      </w:pPr>
      <w:r>
        <w:rPr>
          <w:rFonts w:hint="eastAsia"/>
          <w:bCs/>
          <w:sz w:val="24"/>
        </w:rPr>
        <w:t>（7）保守基金商业秘密，除《基金法》、《基金合同》及其他有关规定另有规定外，在基金信息公开披露前予以保密，不得向他人泄露；</w:t>
      </w:r>
    </w:p>
    <w:p>
      <w:pPr>
        <w:adjustRightInd w:val="0"/>
        <w:snapToGrid w:val="0"/>
        <w:spacing w:line="360" w:lineRule="auto"/>
        <w:ind w:firstLine="480" w:firstLineChars="200"/>
        <w:rPr>
          <w:bCs/>
          <w:sz w:val="24"/>
        </w:rPr>
      </w:pPr>
      <w:r>
        <w:rPr>
          <w:rFonts w:hint="eastAsia"/>
          <w:bCs/>
          <w:sz w:val="24"/>
        </w:rPr>
        <w:t>（8）复核、审查基金管理人计算的基金资产净值、基金份额净值、基金份额申购、赎回价格；</w:t>
      </w:r>
    </w:p>
    <w:p>
      <w:pPr>
        <w:adjustRightInd w:val="0"/>
        <w:snapToGrid w:val="0"/>
        <w:spacing w:line="360" w:lineRule="auto"/>
        <w:ind w:firstLine="480" w:firstLineChars="200"/>
        <w:rPr>
          <w:bCs/>
          <w:sz w:val="24"/>
        </w:rPr>
      </w:pPr>
      <w:r>
        <w:rPr>
          <w:rFonts w:hint="eastAsia"/>
          <w:bCs/>
          <w:sz w:val="24"/>
        </w:rPr>
        <w:t>（9）办理与基金托管业务活动有关的信息披露事项；</w:t>
      </w:r>
    </w:p>
    <w:p>
      <w:pPr>
        <w:adjustRightInd w:val="0"/>
        <w:snapToGrid w:val="0"/>
        <w:spacing w:line="360" w:lineRule="auto"/>
        <w:ind w:firstLine="480" w:firstLineChars="200"/>
        <w:rPr>
          <w:bCs/>
          <w:sz w:val="24"/>
        </w:rPr>
      </w:pPr>
      <w:r>
        <w:rPr>
          <w:rFonts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bCs/>
          <w:sz w:val="24"/>
        </w:rPr>
      </w:pPr>
      <w:r>
        <w:rPr>
          <w:rFonts w:hint="eastAsia"/>
          <w:bCs/>
          <w:sz w:val="24"/>
        </w:rPr>
        <w:t>（11）保存基金托管业务活动的记录、账册、报表和其他相关资料不低于法律法规规定的最低期限；</w:t>
      </w:r>
    </w:p>
    <w:p>
      <w:pPr>
        <w:adjustRightInd w:val="0"/>
        <w:snapToGrid w:val="0"/>
        <w:spacing w:line="360" w:lineRule="auto"/>
        <w:ind w:firstLine="480" w:firstLineChars="200"/>
        <w:rPr>
          <w:bCs/>
          <w:sz w:val="24"/>
        </w:rPr>
      </w:pPr>
      <w:r>
        <w:rPr>
          <w:rFonts w:hint="eastAsia"/>
          <w:bCs/>
          <w:sz w:val="24"/>
        </w:rPr>
        <w:t>（12）建立并保存基金份额持有人名册；</w:t>
      </w:r>
    </w:p>
    <w:p>
      <w:pPr>
        <w:adjustRightInd w:val="0"/>
        <w:snapToGrid w:val="0"/>
        <w:spacing w:line="360" w:lineRule="auto"/>
        <w:ind w:firstLine="480" w:firstLineChars="200"/>
        <w:rPr>
          <w:bCs/>
          <w:sz w:val="24"/>
        </w:rPr>
      </w:pPr>
      <w:r>
        <w:rPr>
          <w:rFonts w:hint="eastAsia"/>
          <w:bCs/>
          <w:sz w:val="24"/>
        </w:rPr>
        <w:t>（13）按规定制作相关账册并与基金管理人核对；</w:t>
      </w:r>
    </w:p>
    <w:p>
      <w:pPr>
        <w:adjustRightInd w:val="0"/>
        <w:snapToGrid w:val="0"/>
        <w:spacing w:line="360" w:lineRule="auto"/>
        <w:ind w:firstLine="480" w:firstLineChars="200"/>
        <w:rPr>
          <w:bCs/>
          <w:sz w:val="24"/>
        </w:rPr>
      </w:pPr>
      <w:r>
        <w:rPr>
          <w:rFonts w:hint="eastAsia"/>
          <w:bCs/>
          <w:sz w:val="24"/>
        </w:rPr>
        <w:t>（14）依据基金管理人的指令或有关规定向基金份额持有人支付基金收益和赎回款项；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（15）依据《基金法》、《基金合同》及其他有关规定，召集基金份额持有人大会或配合基金管理人、基金份额持有人依法召集基金份额持有人大会；</w:t>
      </w:r>
    </w:p>
    <w:p>
      <w:pPr>
        <w:adjustRightInd w:val="0"/>
        <w:snapToGrid w:val="0"/>
        <w:spacing w:line="360" w:lineRule="auto"/>
        <w:ind w:firstLine="480" w:firstLineChars="200"/>
        <w:rPr>
          <w:bCs/>
          <w:sz w:val="24"/>
        </w:rPr>
      </w:pPr>
      <w:r>
        <w:rPr>
          <w:rFonts w:hint="eastAsia"/>
          <w:bCs/>
          <w:sz w:val="24"/>
        </w:rPr>
        <w:t>（16）按照法律法规和《基金合同》的规定监督基金管理人的投资运作；</w:t>
      </w:r>
    </w:p>
    <w:p>
      <w:pPr>
        <w:adjustRightInd w:val="0"/>
        <w:snapToGrid w:val="0"/>
        <w:spacing w:line="360" w:lineRule="auto"/>
        <w:ind w:firstLine="480" w:firstLineChars="200"/>
        <w:rPr>
          <w:bCs/>
          <w:sz w:val="24"/>
        </w:rPr>
      </w:pPr>
      <w:r>
        <w:rPr>
          <w:rFonts w:hint="eastAsia"/>
          <w:bCs/>
          <w:sz w:val="24"/>
        </w:rPr>
        <w:t>（17）参加基金财产清算小组，参与基金财产的保管、清理、估价、变现和分配；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（18）面临解散、依法被撤销或者被依法宣告破产时，及时报告中国证监会和银行业监督管理机构，并通知基金管理人；</w:t>
      </w:r>
    </w:p>
    <w:p>
      <w:pPr>
        <w:adjustRightInd w:val="0"/>
        <w:snapToGrid w:val="0"/>
        <w:spacing w:line="360" w:lineRule="auto"/>
        <w:ind w:firstLine="480" w:firstLineChars="200"/>
        <w:rPr>
          <w:bCs/>
          <w:sz w:val="24"/>
        </w:rPr>
      </w:pPr>
      <w:r>
        <w:rPr>
          <w:rFonts w:hint="eastAsia"/>
          <w:bCs/>
          <w:sz w:val="24"/>
        </w:rPr>
        <w:t>（19）因违反《基金合同》导致基金财产损失时，应承担赔偿责任，其赔偿责任不因其退任而免除；</w:t>
      </w:r>
    </w:p>
    <w:p>
      <w:pPr>
        <w:adjustRightInd w:val="0"/>
        <w:snapToGrid w:val="0"/>
        <w:spacing w:line="360" w:lineRule="auto"/>
        <w:ind w:firstLine="480" w:firstLineChars="200"/>
        <w:rPr>
          <w:bCs/>
          <w:sz w:val="24"/>
        </w:rPr>
      </w:pPr>
      <w:r>
        <w:rPr>
          <w:rFonts w:hint="eastAsia"/>
          <w:bCs/>
          <w:sz w:val="24"/>
        </w:rPr>
        <w:t>（20）按规定监督基金管理人按法律法规和《基金合同》规定履行自己的义务，基金管理人因违反《基金合同》造成基金财产损失时，应为基金份额持有人利益向基金管理人追偿；</w:t>
      </w:r>
    </w:p>
    <w:p>
      <w:pPr>
        <w:adjustRightInd w:val="0"/>
        <w:snapToGrid w:val="0"/>
        <w:spacing w:line="360" w:lineRule="auto"/>
        <w:ind w:firstLine="480" w:firstLineChars="200"/>
        <w:rPr>
          <w:bCs/>
          <w:sz w:val="24"/>
        </w:rPr>
      </w:pPr>
      <w:r>
        <w:rPr>
          <w:rFonts w:hint="eastAsia"/>
          <w:bCs/>
          <w:sz w:val="24"/>
        </w:rPr>
        <w:t>（21）执行生效的基金份额持有人大会的决议；</w:t>
      </w:r>
    </w:p>
    <w:p>
      <w:pPr>
        <w:adjustRightInd w:val="0"/>
        <w:snapToGrid w:val="0"/>
        <w:spacing w:line="360" w:lineRule="auto"/>
        <w:ind w:firstLine="480" w:firstLineChars="200"/>
        <w:rPr>
          <w:bCs/>
          <w:sz w:val="24"/>
        </w:rPr>
      </w:pPr>
      <w:r>
        <w:rPr>
          <w:rFonts w:hint="eastAsia"/>
          <w:bCs/>
          <w:sz w:val="24"/>
        </w:rPr>
        <w:t>（22）法律法规及中国证监会规定的和《基金合同》约定的其他义务。</w:t>
      </w:r>
    </w:p>
    <w:p>
      <w:pPr>
        <w:adjustRightInd w:val="0"/>
        <w:snapToGrid w:val="0"/>
        <w:spacing w:line="360" w:lineRule="auto"/>
        <w:ind w:firstLine="480" w:firstLineChars="200"/>
        <w:outlineLvl w:val="2"/>
        <w:rPr>
          <w:bCs/>
          <w:sz w:val="24"/>
        </w:rPr>
      </w:pPr>
      <w:r>
        <w:rPr>
          <w:bCs/>
          <w:sz w:val="24"/>
        </w:rPr>
        <w:t>3、基金份额持有人的权利与义务</w:t>
      </w:r>
    </w:p>
    <w:p>
      <w:pPr>
        <w:adjustRightInd w:val="0"/>
        <w:snapToGrid w:val="0"/>
        <w:spacing w:line="360" w:lineRule="auto"/>
        <w:ind w:firstLine="480" w:firstLineChars="200"/>
        <w:rPr>
          <w:bCs/>
          <w:sz w:val="24"/>
        </w:rPr>
      </w:pPr>
      <w:r>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bCs/>
          <w:sz w:val="24"/>
        </w:rPr>
      </w:pPr>
      <w:r>
        <w:rPr>
          <w:rFonts w:hint="eastAsia"/>
          <w:bCs/>
          <w:sz w:val="24"/>
        </w:rPr>
        <w:t>同一类别每份基金份额具有同等的合法权益。</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根据《基金法》、《运作办法》及其他有关规定，基金份额持有人的权利包括但不限于：</w:t>
      </w:r>
    </w:p>
    <w:p>
      <w:pPr>
        <w:adjustRightInd w:val="0"/>
        <w:snapToGrid w:val="0"/>
        <w:spacing w:line="360" w:lineRule="auto"/>
        <w:ind w:firstLine="480" w:firstLineChars="200"/>
        <w:rPr>
          <w:bCs/>
          <w:sz w:val="24"/>
        </w:rPr>
      </w:pPr>
      <w:r>
        <w:rPr>
          <w:rFonts w:hint="eastAsia"/>
          <w:bCs/>
          <w:sz w:val="24"/>
        </w:rPr>
        <w:t>（1）分享基金财产收益；</w:t>
      </w:r>
    </w:p>
    <w:p>
      <w:pPr>
        <w:adjustRightInd w:val="0"/>
        <w:snapToGrid w:val="0"/>
        <w:spacing w:line="360" w:lineRule="auto"/>
        <w:ind w:firstLine="480" w:firstLineChars="200"/>
        <w:rPr>
          <w:bCs/>
          <w:sz w:val="24"/>
        </w:rPr>
      </w:pPr>
      <w:r>
        <w:rPr>
          <w:rFonts w:hint="eastAsia"/>
          <w:bCs/>
          <w:sz w:val="24"/>
        </w:rPr>
        <w:t>（2）参与分配清算后的剩余基金财产；</w:t>
      </w:r>
    </w:p>
    <w:p>
      <w:pPr>
        <w:adjustRightInd w:val="0"/>
        <w:snapToGrid w:val="0"/>
        <w:spacing w:line="360" w:lineRule="auto"/>
        <w:ind w:firstLine="480" w:firstLineChars="200"/>
        <w:rPr>
          <w:bCs/>
          <w:sz w:val="24"/>
        </w:rPr>
      </w:pPr>
      <w:r>
        <w:rPr>
          <w:rFonts w:hint="eastAsia"/>
          <w:bCs/>
          <w:sz w:val="24"/>
        </w:rPr>
        <w:t>（3）依法并按照基金合同和招募说明书的规定转让或者申请赎回其持有的基金份额；</w:t>
      </w:r>
    </w:p>
    <w:p>
      <w:pPr>
        <w:adjustRightInd w:val="0"/>
        <w:snapToGrid w:val="0"/>
        <w:spacing w:line="360" w:lineRule="auto"/>
        <w:ind w:firstLine="480" w:firstLineChars="200"/>
        <w:rPr>
          <w:bCs/>
          <w:sz w:val="24"/>
        </w:rPr>
      </w:pPr>
      <w:r>
        <w:rPr>
          <w:rFonts w:hint="eastAsia"/>
          <w:bCs/>
          <w:sz w:val="24"/>
        </w:rPr>
        <w:t>（4）按照规定要求召开基金份额持有人大会或者召集基金份额持有人大会；</w:t>
      </w:r>
    </w:p>
    <w:p>
      <w:pPr>
        <w:adjustRightInd w:val="0"/>
        <w:snapToGrid w:val="0"/>
        <w:spacing w:line="360" w:lineRule="auto"/>
        <w:ind w:firstLine="480" w:firstLineChars="200"/>
        <w:rPr>
          <w:bCs/>
          <w:sz w:val="24"/>
        </w:rPr>
      </w:pPr>
      <w:r>
        <w:rPr>
          <w:rFonts w:hint="eastAsia"/>
          <w:bCs/>
          <w:sz w:val="24"/>
        </w:rPr>
        <w:t>（5）出席或者委派代表出席基金份额持有人大会，对基金份额持有人大会审议事项行使表决权；</w:t>
      </w:r>
    </w:p>
    <w:p>
      <w:pPr>
        <w:adjustRightInd w:val="0"/>
        <w:snapToGrid w:val="0"/>
        <w:spacing w:line="360" w:lineRule="auto"/>
        <w:ind w:firstLine="480" w:firstLineChars="200"/>
        <w:rPr>
          <w:bCs/>
          <w:sz w:val="24"/>
        </w:rPr>
      </w:pPr>
      <w:r>
        <w:rPr>
          <w:rFonts w:hint="eastAsia"/>
          <w:bCs/>
          <w:sz w:val="24"/>
        </w:rPr>
        <w:t>（6）查阅或者复制公开披露的基金信息资料；</w:t>
      </w:r>
    </w:p>
    <w:p>
      <w:pPr>
        <w:adjustRightInd w:val="0"/>
        <w:snapToGrid w:val="0"/>
        <w:spacing w:line="360" w:lineRule="auto"/>
        <w:ind w:firstLine="480" w:firstLineChars="200"/>
        <w:rPr>
          <w:bCs/>
          <w:sz w:val="24"/>
        </w:rPr>
      </w:pPr>
      <w:r>
        <w:rPr>
          <w:rFonts w:hint="eastAsia"/>
          <w:bCs/>
          <w:sz w:val="24"/>
        </w:rPr>
        <w:t>（7）监督基金管理人的投资运作；</w:t>
      </w:r>
    </w:p>
    <w:p>
      <w:pPr>
        <w:adjustRightInd w:val="0"/>
        <w:snapToGrid w:val="0"/>
        <w:spacing w:line="360" w:lineRule="auto"/>
        <w:ind w:firstLine="480" w:firstLineChars="200"/>
        <w:rPr>
          <w:bCs/>
          <w:sz w:val="24"/>
        </w:rPr>
      </w:pPr>
      <w:r>
        <w:rPr>
          <w:rFonts w:hint="eastAsia"/>
          <w:bCs/>
          <w:sz w:val="24"/>
        </w:rPr>
        <w:t>（8）对基金管理人、基金托管人、基金服务机构损害其合法权益的行为依法提起诉讼或仲裁；</w:t>
      </w:r>
    </w:p>
    <w:p>
      <w:pPr>
        <w:adjustRightInd w:val="0"/>
        <w:snapToGrid w:val="0"/>
        <w:spacing w:line="360" w:lineRule="auto"/>
        <w:ind w:firstLine="480" w:firstLineChars="200"/>
        <w:rPr>
          <w:bCs/>
          <w:sz w:val="24"/>
        </w:rPr>
      </w:pPr>
      <w:r>
        <w:rPr>
          <w:rFonts w:hint="eastAsia"/>
          <w:bCs/>
          <w:sz w:val="24"/>
        </w:rPr>
        <w:t>（9）法律法规及中国证监会规定的和《基金合同》约定的其他权利。</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根据《基金法》、《运作办法》及其他有关规定，基金份额持有人的义务包括但不限于：</w:t>
      </w:r>
    </w:p>
    <w:p>
      <w:pPr>
        <w:adjustRightInd w:val="0"/>
        <w:snapToGrid w:val="0"/>
        <w:spacing w:line="360" w:lineRule="auto"/>
        <w:ind w:firstLine="480" w:firstLineChars="200"/>
        <w:rPr>
          <w:bCs/>
          <w:sz w:val="24"/>
        </w:rPr>
      </w:pPr>
      <w:r>
        <w:rPr>
          <w:rFonts w:hint="eastAsia"/>
          <w:bCs/>
          <w:sz w:val="24"/>
        </w:rPr>
        <w:t>（1）认真阅读并遵守《基金合同》、招募说明书等信息披露文件；</w:t>
      </w:r>
    </w:p>
    <w:p>
      <w:pPr>
        <w:adjustRightInd w:val="0"/>
        <w:snapToGrid w:val="0"/>
        <w:spacing w:line="360" w:lineRule="auto"/>
        <w:ind w:firstLine="480" w:firstLineChars="200"/>
        <w:rPr>
          <w:bCs/>
          <w:sz w:val="24"/>
        </w:rPr>
      </w:pPr>
      <w:r>
        <w:rPr>
          <w:rFonts w:hint="eastAsia"/>
          <w:bCs/>
          <w:sz w:val="24"/>
        </w:rPr>
        <w:t>（2）了解所投资基金产品，了解自身风险承受能力，自主判断基金的投资价值，自主做出投资决策，自行承担投资风险；</w:t>
      </w:r>
    </w:p>
    <w:p>
      <w:pPr>
        <w:adjustRightInd w:val="0"/>
        <w:snapToGrid w:val="0"/>
        <w:spacing w:line="360" w:lineRule="auto"/>
        <w:ind w:firstLine="480" w:firstLineChars="200"/>
        <w:rPr>
          <w:bCs/>
          <w:sz w:val="24"/>
        </w:rPr>
      </w:pPr>
      <w:r>
        <w:rPr>
          <w:rFonts w:hint="eastAsia"/>
          <w:bCs/>
          <w:sz w:val="24"/>
        </w:rPr>
        <w:t>（3）关注基金信息披露，及时行使权利和履行义务；</w:t>
      </w:r>
    </w:p>
    <w:p>
      <w:pPr>
        <w:adjustRightInd w:val="0"/>
        <w:snapToGrid w:val="0"/>
        <w:spacing w:line="360" w:lineRule="auto"/>
        <w:ind w:firstLine="480" w:firstLineChars="200"/>
        <w:rPr>
          <w:bCs/>
          <w:sz w:val="24"/>
        </w:rPr>
      </w:pPr>
      <w:r>
        <w:rPr>
          <w:rFonts w:hint="eastAsia"/>
          <w:bCs/>
          <w:sz w:val="24"/>
        </w:rPr>
        <w:t>（4）交纳基金认购、申购款项及法律法规和《基金合同》所规定的费用；</w:t>
      </w:r>
    </w:p>
    <w:p>
      <w:pPr>
        <w:adjustRightInd w:val="0"/>
        <w:snapToGrid w:val="0"/>
        <w:spacing w:line="360" w:lineRule="auto"/>
        <w:ind w:firstLine="480" w:firstLineChars="200"/>
        <w:rPr>
          <w:bCs/>
          <w:sz w:val="24"/>
        </w:rPr>
      </w:pPr>
      <w:r>
        <w:rPr>
          <w:rFonts w:hint="eastAsia"/>
          <w:bCs/>
          <w:sz w:val="24"/>
        </w:rPr>
        <w:t>（5）在其持有的基金份额范围内，承担基金亏损或者《基金合同》终止的有限责任；</w:t>
      </w:r>
    </w:p>
    <w:p>
      <w:pPr>
        <w:adjustRightInd w:val="0"/>
        <w:snapToGrid w:val="0"/>
        <w:spacing w:line="360" w:lineRule="auto"/>
        <w:ind w:firstLine="480" w:firstLineChars="200"/>
        <w:rPr>
          <w:bCs/>
          <w:sz w:val="24"/>
        </w:rPr>
      </w:pPr>
      <w:r>
        <w:rPr>
          <w:rFonts w:hint="eastAsia"/>
          <w:bCs/>
          <w:sz w:val="24"/>
        </w:rPr>
        <w:t>（6）不从事任何有损基金及其他《基金合同》当事人合法权益的活动；</w:t>
      </w:r>
    </w:p>
    <w:p>
      <w:pPr>
        <w:adjustRightInd w:val="0"/>
        <w:snapToGrid w:val="0"/>
        <w:spacing w:line="360" w:lineRule="auto"/>
        <w:ind w:firstLine="480" w:firstLineChars="200"/>
        <w:rPr>
          <w:bCs/>
          <w:sz w:val="24"/>
        </w:rPr>
      </w:pPr>
      <w:r>
        <w:rPr>
          <w:rFonts w:hint="eastAsia"/>
          <w:bCs/>
          <w:sz w:val="24"/>
        </w:rPr>
        <w:t>（7）执行生效的基金份额持有人大会的决议；</w:t>
      </w:r>
    </w:p>
    <w:p>
      <w:pPr>
        <w:adjustRightInd w:val="0"/>
        <w:snapToGrid w:val="0"/>
        <w:spacing w:line="360" w:lineRule="auto"/>
        <w:ind w:firstLine="480" w:firstLineChars="200"/>
        <w:rPr>
          <w:bCs/>
          <w:sz w:val="24"/>
        </w:rPr>
      </w:pPr>
      <w:r>
        <w:rPr>
          <w:rFonts w:hint="eastAsia"/>
          <w:bCs/>
          <w:sz w:val="24"/>
        </w:rPr>
        <w:t>（8）返还在基金交易过程中因任何原因获得的不当得利；</w:t>
      </w:r>
    </w:p>
    <w:p>
      <w:pPr>
        <w:adjustRightInd w:val="0"/>
        <w:snapToGrid w:val="0"/>
        <w:spacing w:line="360" w:lineRule="auto"/>
        <w:ind w:firstLine="480" w:firstLineChars="200"/>
        <w:rPr>
          <w:bCs/>
          <w:sz w:val="24"/>
        </w:rPr>
      </w:pPr>
      <w:r>
        <w:rPr>
          <w:rFonts w:hint="eastAsia"/>
          <w:bCs/>
          <w:sz w:val="24"/>
        </w:rPr>
        <w:t>（9）遵守基金管理人、基金托管人、销售机构和登记机构的相关交易及业务规则；</w:t>
      </w:r>
    </w:p>
    <w:p>
      <w:pPr>
        <w:adjustRightInd w:val="0"/>
        <w:snapToGrid w:val="0"/>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adjustRightInd w:val="0"/>
        <w:snapToGrid w:val="0"/>
        <w:spacing w:line="360" w:lineRule="auto"/>
        <w:ind w:firstLine="480" w:firstLineChars="200"/>
        <w:rPr>
          <w:bCs/>
          <w:sz w:val="24"/>
        </w:rPr>
      </w:pPr>
      <w:r>
        <w:rPr>
          <w:rFonts w:hint="eastAsia"/>
          <w:bCs/>
          <w:sz w:val="24"/>
        </w:rPr>
        <w:t>（11）法律法规及中国证监会规定的和《基金合同》约定的其他义务。</w:t>
      </w:r>
    </w:p>
    <w:p>
      <w:pPr>
        <w:adjustRightInd w:val="0"/>
        <w:snapToGrid w:val="0"/>
        <w:spacing w:line="360" w:lineRule="auto"/>
        <w:ind w:firstLine="482"/>
        <w:outlineLvl w:val="1"/>
        <w:rPr>
          <w:b/>
          <w:bCs/>
          <w:sz w:val="24"/>
        </w:rPr>
      </w:pPr>
      <w:r>
        <w:rPr>
          <w:b/>
          <w:bCs/>
          <w:sz w:val="24"/>
        </w:rPr>
        <w:t>（二）基金份额持有人大会</w:t>
      </w:r>
      <w:r>
        <w:rPr>
          <w:rFonts w:hint="eastAsia"/>
          <w:b/>
          <w:bCs/>
          <w:sz w:val="24"/>
        </w:rPr>
        <w:t>召集、议事及表决的程序和规则</w:t>
      </w:r>
    </w:p>
    <w:p>
      <w:pPr>
        <w:adjustRightInd w:val="0"/>
        <w:snapToGrid w:val="0"/>
        <w:spacing w:line="360" w:lineRule="auto"/>
        <w:ind w:firstLine="480" w:firstLineChars="20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adjustRightInd w:val="0"/>
        <w:snapToGrid w:val="0"/>
        <w:spacing w:line="360" w:lineRule="auto"/>
        <w:ind w:firstLine="480" w:firstLineChars="200"/>
        <w:rPr>
          <w:bCs/>
          <w:sz w:val="24"/>
        </w:rPr>
      </w:pPr>
      <w:r>
        <w:rPr>
          <w:rFonts w:hint="eastAsia"/>
          <w:bCs/>
          <w:sz w:val="24"/>
        </w:rPr>
        <w:t>本基金份额持有人大会不设日常机构。</w:t>
      </w:r>
    </w:p>
    <w:p>
      <w:pPr>
        <w:adjustRightInd w:val="0"/>
        <w:snapToGrid w:val="0"/>
        <w:spacing w:line="360" w:lineRule="auto"/>
        <w:ind w:firstLine="480" w:firstLineChars="200"/>
        <w:rPr>
          <w:bCs/>
          <w:sz w:val="24"/>
        </w:rPr>
      </w:pPr>
      <w:r>
        <w:rPr>
          <w:bCs/>
          <w:sz w:val="24"/>
        </w:rPr>
        <w:t>1、召开事由</w:t>
      </w:r>
    </w:p>
    <w:p>
      <w:pPr>
        <w:adjustRightInd w:val="0"/>
        <w:snapToGrid w:val="0"/>
        <w:spacing w:line="360" w:lineRule="auto"/>
        <w:ind w:firstLine="480" w:firstLineChars="200"/>
        <w:rPr>
          <w:bCs/>
          <w:sz w:val="24"/>
        </w:rPr>
      </w:pPr>
      <w:r>
        <w:rPr>
          <w:rFonts w:hint="eastAsia"/>
          <w:bCs/>
          <w:sz w:val="24"/>
        </w:rPr>
        <w:t>（1）当出现或需要决定下列事由之一的，应当召开基金份额持有人大会，法律法规、基金合同和中国证监会另有规定的除外：</w:t>
      </w:r>
    </w:p>
    <w:p>
      <w:pPr>
        <w:adjustRightInd w:val="0"/>
        <w:snapToGrid w:val="0"/>
        <w:spacing w:line="360" w:lineRule="auto"/>
        <w:ind w:firstLine="480" w:firstLineChars="200"/>
        <w:rPr>
          <w:bCs/>
          <w:sz w:val="24"/>
        </w:rPr>
      </w:pPr>
      <w:r>
        <w:rPr>
          <w:rFonts w:hint="eastAsia"/>
          <w:bCs/>
          <w:sz w:val="24"/>
        </w:rPr>
        <w:t>1）终止《基金合同》；</w:t>
      </w:r>
    </w:p>
    <w:p>
      <w:pPr>
        <w:adjustRightInd w:val="0"/>
        <w:snapToGrid w:val="0"/>
        <w:spacing w:line="360" w:lineRule="auto"/>
        <w:ind w:firstLine="480" w:firstLineChars="200"/>
        <w:rPr>
          <w:bCs/>
          <w:sz w:val="24"/>
        </w:rPr>
      </w:pPr>
      <w:r>
        <w:rPr>
          <w:rFonts w:hint="eastAsia"/>
          <w:bCs/>
          <w:sz w:val="24"/>
        </w:rPr>
        <w:t>2）更换基金管理人；</w:t>
      </w:r>
    </w:p>
    <w:p>
      <w:pPr>
        <w:adjustRightInd w:val="0"/>
        <w:snapToGrid w:val="0"/>
        <w:spacing w:line="360" w:lineRule="auto"/>
        <w:ind w:firstLine="480" w:firstLineChars="200"/>
        <w:rPr>
          <w:bCs/>
          <w:sz w:val="24"/>
        </w:rPr>
      </w:pPr>
      <w:r>
        <w:rPr>
          <w:rFonts w:hint="eastAsia"/>
          <w:bCs/>
          <w:sz w:val="24"/>
        </w:rPr>
        <w:t>3）更换基金托管人；</w:t>
      </w:r>
    </w:p>
    <w:p>
      <w:pPr>
        <w:adjustRightInd w:val="0"/>
        <w:snapToGrid w:val="0"/>
        <w:spacing w:line="360" w:lineRule="auto"/>
        <w:ind w:firstLine="480" w:firstLineChars="200"/>
        <w:rPr>
          <w:bCs/>
          <w:sz w:val="24"/>
        </w:rPr>
      </w:pPr>
      <w:r>
        <w:rPr>
          <w:rFonts w:hint="eastAsia"/>
          <w:bCs/>
          <w:sz w:val="24"/>
        </w:rPr>
        <w:t>4）转换基金运作方式；</w:t>
      </w:r>
    </w:p>
    <w:p>
      <w:pPr>
        <w:adjustRightInd w:val="0"/>
        <w:snapToGrid w:val="0"/>
        <w:spacing w:line="360" w:lineRule="auto"/>
        <w:ind w:firstLine="480" w:firstLineChars="200"/>
        <w:rPr>
          <w:bCs/>
          <w:sz w:val="24"/>
        </w:rPr>
      </w:pPr>
      <w:r>
        <w:rPr>
          <w:rFonts w:hint="eastAsia"/>
          <w:bCs/>
          <w:sz w:val="24"/>
        </w:rPr>
        <w:t>5）调整基金管理人、基金托管人的报酬标准或提高销售服务费率；</w:t>
      </w:r>
    </w:p>
    <w:p>
      <w:pPr>
        <w:adjustRightInd w:val="0"/>
        <w:snapToGrid w:val="0"/>
        <w:spacing w:line="360" w:lineRule="auto"/>
        <w:ind w:firstLine="480" w:firstLineChars="200"/>
        <w:rPr>
          <w:bCs/>
          <w:sz w:val="24"/>
        </w:rPr>
      </w:pPr>
      <w:r>
        <w:rPr>
          <w:rFonts w:hint="eastAsia"/>
          <w:bCs/>
          <w:sz w:val="24"/>
        </w:rPr>
        <w:t>6）变更基金类别；</w:t>
      </w:r>
    </w:p>
    <w:p>
      <w:pPr>
        <w:adjustRightInd w:val="0"/>
        <w:snapToGrid w:val="0"/>
        <w:spacing w:line="360" w:lineRule="auto"/>
        <w:ind w:firstLine="480" w:firstLineChars="200"/>
        <w:rPr>
          <w:bCs/>
          <w:sz w:val="24"/>
        </w:rPr>
      </w:pPr>
      <w:r>
        <w:rPr>
          <w:rFonts w:hint="eastAsia"/>
          <w:bCs/>
          <w:sz w:val="24"/>
        </w:rPr>
        <w:t>7）本基金与其他基金的合并；</w:t>
      </w:r>
    </w:p>
    <w:p>
      <w:pPr>
        <w:adjustRightInd w:val="0"/>
        <w:snapToGrid w:val="0"/>
        <w:spacing w:line="360" w:lineRule="auto"/>
        <w:ind w:firstLine="480" w:firstLineChars="200"/>
        <w:rPr>
          <w:bCs/>
          <w:sz w:val="24"/>
        </w:rPr>
      </w:pPr>
      <w:r>
        <w:rPr>
          <w:rFonts w:hint="eastAsia"/>
          <w:bCs/>
          <w:sz w:val="24"/>
        </w:rPr>
        <w:t>8）变更基金投资目标、范围或策略；</w:t>
      </w:r>
    </w:p>
    <w:p>
      <w:pPr>
        <w:adjustRightInd w:val="0"/>
        <w:snapToGrid w:val="0"/>
        <w:spacing w:line="360" w:lineRule="auto"/>
        <w:ind w:firstLine="480" w:firstLineChars="200"/>
        <w:rPr>
          <w:bCs/>
          <w:sz w:val="24"/>
        </w:rPr>
      </w:pPr>
      <w:r>
        <w:rPr>
          <w:rFonts w:hint="eastAsia"/>
          <w:bCs/>
          <w:sz w:val="24"/>
        </w:rPr>
        <w:t>9）变更基金份额持有人大会程序；</w:t>
      </w:r>
    </w:p>
    <w:p>
      <w:pPr>
        <w:adjustRightInd w:val="0"/>
        <w:snapToGrid w:val="0"/>
        <w:spacing w:line="360" w:lineRule="auto"/>
        <w:ind w:firstLine="480" w:firstLineChars="200"/>
        <w:rPr>
          <w:bCs/>
          <w:sz w:val="24"/>
        </w:rPr>
      </w:pPr>
      <w:r>
        <w:rPr>
          <w:rFonts w:hint="eastAsia"/>
          <w:bCs/>
          <w:sz w:val="24"/>
        </w:rPr>
        <w:t>10）基金管理人或基金托管人要求召开基金份额持有人大会；</w:t>
      </w:r>
    </w:p>
    <w:p>
      <w:pPr>
        <w:adjustRightInd w:val="0"/>
        <w:snapToGrid w:val="0"/>
        <w:spacing w:line="360" w:lineRule="auto"/>
        <w:ind w:firstLine="480" w:firstLineChars="200"/>
        <w:rPr>
          <w:bCs/>
          <w:sz w:val="24"/>
        </w:rPr>
      </w:pPr>
      <w:r>
        <w:rPr>
          <w:rFonts w:hint="eastAsia"/>
          <w:bCs/>
          <w:sz w:val="24"/>
        </w:rPr>
        <w:t>11）单独或合计持有本基金总份额10%以上（含10%）基金份额的基金份额持有人（以基金管理人收到提议当日的基金份额计算，下同）就同一事项书面要求召开基金份额持有人大会；</w:t>
      </w:r>
    </w:p>
    <w:p>
      <w:pPr>
        <w:adjustRightInd w:val="0"/>
        <w:snapToGrid w:val="0"/>
        <w:spacing w:line="360" w:lineRule="auto"/>
        <w:ind w:firstLine="480" w:firstLineChars="200"/>
        <w:rPr>
          <w:bCs/>
          <w:sz w:val="24"/>
        </w:rPr>
      </w:pPr>
      <w:r>
        <w:rPr>
          <w:rFonts w:hint="eastAsia"/>
          <w:bCs/>
          <w:sz w:val="24"/>
        </w:rPr>
        <w:t>12）对基金合同当事人权利和义务产生重大影响的其他事项；</w:t>
      </w:r>
    </w:p>
    <w:p>
      <w:pPr>
        <w:adjustRightInd w:val="0"/>
        <w:snapToGrid w:val="0"/>
        <w:spacing w:line="360" w:lineRule="auto"/>
        <w:ind w:firstLine="480" w:firstLineChars="200"/>
        <w:rPr>
          <w:bCs/>
          <w:sz w:val="24"/>
        </w:rPr>
      </w:pPr>
      <w:r>
        <w:rPr>
          <w:rFonts w:hint="eastAsia"/>
          <w:bCs/>
          <w:sz w:val="24"/>
        </w:rPr>
        <w:t>13）法律法规、《基金合同》或中国证监会规定的其他应当召开基金份额持有人大会的事项。</w:t>
      </w:r>
    </w:p>
    <w:p>
      <w:pPr>
        <w:adjustRightInd w:val="0"/>
        <w:snapToGrid w:val="0"/>
        <w:spacing w:line="360" w:lineRule="auto"/>
        <w:ind w:firstLine="480" w:firstLineChars="200"/>
        <w:rPr>
          <w:bCs/>
          <w:sz w:val="24"/>
        </w:rPr>
      </w:pPr>
      <w:r>
        <w:rPr>
          <w:rFonts w:hint="eastAsia"/>
          <w:bCs/>
          <w:sz w:val="24"/>
        </w:rPr>
        <w:t>（2）在法律法规规定和《基金合同》约定的范围内且对基金份额持有人利益无实质性不利影响的前提下，以下情况可由基金管理人和基金托管人协商后修改，不需召开基金份额持有人大会：</w:t>
      </w:r>
    </w:p>
    <w:p>
      <w:pPr>
        <w:adjustRightInd w:val="0"/>
        <w:snapToGrid w:val="0"/>
        <w:spacing w:line="360" w:lineRule="auto"/>
        <w:ind w:firstLine="480" w:firstLineChars="200"/>
        <w:rPr>
          <w:bCs/>
          <w:sz w:val="24"/>
        </w:rPr>
      </w:pPr>
      <w:r>
        <w:rPr>
          <w:rFonts w:hint="eastAsia"/>
          <w:bCs/>
          <w:sz w:val="24"/>
        </w:rPr>
        <w:t>1）调低基金销售服务费率；</w:t>
      </w:r>
    </w:p>
    <w:p>
      <w:pPr>
        <w:adjustRightInd w:val="0"/>
        <w:snapToGrid w:val="0"/>
        <w:spacing w:line="360" w:lineRule="auto"/>
        <w:ind w:firstLine="480" w:firstLineChars="200"/>
        <w:rPr>
          <w:bCs/>
          <w:sz w:val="24"/>
        </w:rPr>
      </w:pPr>
      <w:r>
        <w:rPr>
          <w:rFonts w:hint="eastAsia"/>
          <w:bCs/>
          <w:sz w:val="24"/>
        </w:rPr>
        <w:t>2）法律法规要求增加的基金费用的收取；</w:t>
      </w:r>
    </w:p>
    <w:p>
      <w:pPr>
        <w:adjustRightInd w:val="0"/>
        <w:snapToGrid w:val="0"/>
        <w:spacing w:line="360" w:lineRule="auto"/>
        <w:ind w:firstLine="480" w:firstLineChars="200"/>
        <w:rPr>
          <w:bCs/>
          <w:sz w:val="24"/>
        </w:rPr>
      </w:pPr>
      <w:r>
        <w:rPr>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pPr>
        <w:adjustRightInd w:val="0"/>
        <w:snapToGrid w:val="0"/>
        <w:spacing w:line="360" w:lineRule="auto"/>
        <w:ind w:firstLine="480" w:firstLineChars="200"/>
        <w:rPr>
          <w:bCs/>
          <w:sz w:val="24"/>
        </w:rPr>
      </w:pPr>
      <w:r>
        <w:rPr>
          <w:bCs/>
          <w:sz w:val="24"/>
        </w:rPr>
        <w:t>4</w:t>
      </w:r>
      <w:r>
        <w:rPr>
          <w:rFonts w:hint="eastAsia"/>
          <w:bCs/>
          <w:sz w:val="24"/>
        </w:rPr>
        <w:t>）因相应的法律法规、登记机构的相关业务规则发生变动而应当对《基金合同》进行修改；</w:t>
      </w:r>
    </w:p>
    <w:p>
      <w:pPr>
        <w:adjustRightInd w:val="0"/>
        <w:snapToGrid w:val="0"/>
        <w:spacing w:line="360" w:lineRule="auto"/>
        <w:ind w:firstLine="480" w:firstLineChars="200"/>
        <w:rPr>
          <w:bCs/>
          <w:sz w:val="24"/>
        </w:rPr>
      </w:pPr>
      <w:r>
        <w:rPr>
          <w:bCs/>
          <w:sz w:val="24"/>
        </w:rPr>
        <w:t>5</w:t>
      </w:r>
      <w:r>
        <w:rPr>
          <w:rFonts w:hint="eastAsia"/>
          <w:bCs/>
          <w:sz w:val="24"/>
        </w:rPr>
        <w:t>）对《基金合同》的修改对基金份额持有人利益无实质性不利影响或修改不涉及《基金合同》当事人权利义务关系发生重大变化；</w:t>
      </w:r>
    </w:p>
    <w:p>
      <w:pPr>
        <w:adjustRightInd w:val="0"/>
        <w:snapToGrid w:val="0"/>
        <w:spacing w:line="360" w:lineRule="auto"/>
        <w:ind w:firstLine="480" w:firstLineChars="200"/>
        <w:rPr>
          <w:bCs/>
          <w:sz w:val="24"/>
        </w:rPr>
      </w:pPr>
      <w:r>
        <w:rPr>
          <w:bCs/>
          <w:sz w:val="24"/>
        </w:rPr>
        <w:t>6</w:t>
      </w:r>
      <w:r>
        <w:rPr>
          <w:rFonts w:hint="eastAsia"/>
          <w:bCs/>
          <w:sz w:val="24"/>
        </w:rPr>
        <w:t>）在法律法规允许的情况下，且在对现有基金份额持有人利益无实质性不利影响的前提下，基金推出新业务或服务；</w:t>
      </w:r>
    </w:p>
    <w:p>
      <w:pPr>
        <w:adjustRightInd w:val="0"/>
        <w:snapToGrid w:val="0"/>
        <w:spacing w:line="360" w:lineRule="auto"/>
        <w:ind w:firstLine="480" w:firstLineChars="200"/>
        <w:rPr>
          <w:bCs/>
          <w:sz w:val="24"/>
        </w:rPr>
      </w:pPr>
      <w:r>
        <w:rPr>
          <w:bCs/>
          <w:sz w:val="24"/>
        </w:rPr>
        <w:t>7</w:t>
      </w:r>
      <w:r>
        <w:rPr>
          <w:rFonts w:hint="eastAsia"/>
          <w:bCs/>
          <w:sz w:val="24"/>
        </w:rPr>
        <w:t>）在符合法律法规及本基金合同规定、并且对基金份额持有人利益无实质不利影响的前提下，调整本基金份额类别的设置、对基金份额分类办法及规则进行调整；</w:t>
      </w:r>
    </w:p>
    <w:p>
      <w:pPr>
        <w:adjustRightInd w:val="0"/>
        <w:snapToGrid w:val="0"/>
        <w:spacing w:line="360" w:lineRule="auto"/>
        <w:ind w:firstLine="480" w:firstLineChars="200"/>
        <w:rPr>
          <w:bCs/>
          <w:sz w:val="24"/>
        </w:rPr>
      </w:pPr>
      <w:r>
        <w:rPr>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pPr>
        <w:adjustRightInd w:val="0"/>
        <w:snapToGrid w:val="0"/>
        <w:spacing w:line="360" w:lineRule="auto"/>
        <w:ind w:firstLine="480" w:firstLineChars="200"/>
        <w:rPr>
          <w:bCs/>
          <w:sz w:val="24"/>
        </w:rPr>
      </w:pPr>
      <w:r>
        <w:rPr>
          <w:bCs/>
          <w:sz w:val="24"/>
        </w:rPr>
        <w:t>9</w:t>
      </w:r>
      <w:r>
        <w:rPr>
          <w:rFonts w:hint="eastAsia"/>
          <w:bCs/>
          <w:sz w:val="24"/>
        </w:rPr>
        <w:t>）按照法律法规和《基金合同》规定不需召开基金份额持有人大会的其他情形。</w:t>
      </w:r>
    </w:p>
    <w:p>
      <w:pPr>
        <w:adjustRightInd w:val="0"/>
        <w:snapToGrid w:val="0"/>
        <w:spacing w:line="360" w:lineRule="auto"/>
        <w:ind w:firstLine="480" w:firstLineChars="200"/>
        <w:rPr>
          <w:bCs/>
          <w:sz w:val="24"/>
        </w:rPr>
      </w:pPr>
      <w:r>
        <w:rPr>
          <w:rFonts w:hint="eastAsia"/>
          <w:bCs/>
          <w:sz w:val="24"/>
        </w:rPr>
        <w:t>2、会议召集人及召集方式</w:t>
      </w:r>
    </w:p>
    <w:p>
      <w:pPr>
        <w:adjustRightInd w:val="0"/>
        <w:snapToGrid w:val="0"/>
        <w:spacing w:line="360" w:lineRule="auto"/>
        <w:ind w:firstLine="480" w:firstLineChars="200"/>
        <w:rPr>
          <w:bCs/>
          <w:sz w:val="24"/>
        </w:rPr>
      </w:pPr>
      <w:r>
        <w:rPr>
          <w:rFonts w:hint="eastAsia"/>
          <w:bCs/>
          <w:sz w:val="24"/>
        </w:rPr>
        <w:t>（1）除法律法规规定或《基金合同》另有约定外，基金份额持有人大会由基金管理人召集；</w:t>
      </w:r>
    </w:p>
    <w:p>
      <w:pPr>
        <w:adjustRightInd w:val="0"/>
        <w:snapToGrid w:val="0"/>
        <w:spacing w:line="360" w:lineRule="auto"/>
        <w:ind w:firstLine="480" w:firstLineChars="200"/>
        <w:rPr>
          <w:bCs/>
          <w:sz w:val="24"/>
        </w:rPr>
      </w:pPr>
      <w:r>
        <w:rPr>
          <w:rFonts w:hint="eastAsia"/>
          <w:bCs/>
          <w:sz w:val="24"/>
        </w:rPr>
        <w:t>（2）基金管理人未按规定召集或不能召集时，由基金托管人召集；</w:t>
      </w:r>
    </w:p>
    <w:p>
      <w:pPr>
        <w:adjustRightInd w:val="0"/>
        <w:snapToGrid w:val="0"/>
        <w:spacing w:line="360" w:lineRule="auto"/>
        <w:ind w:firstLine="480" w:firstLineChars="200"/>
        <w:rPr>
          <w:bCs/>
          <w:sz w:val="24"/>
        </w:rPr>
      </w:pPr>
      <w:r>
        <w:rPr>
          <w:rFonts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djustRightInd w:val="0"/>
        <w:snapToGrid w:val="0"/>
        <w:spacing w:line="360" w:lineRule="auto"/>
        <w:ind w:firstLine="480" w:firstLineChars="200"/>
        <w:rPr>
          <w:bCs/>
          <w:sz w:val="24"/>
        </w:rPr>
      </w:pPr>
      <w:r>
        <w:rPr>
          <w:rFonts w:hint="eastAsia"/>
          <w:bCs/>
          <w:sz w:val="24"/>
        </w:rPr>
        <w:t>（6）基金份额持有人会议的召集人负责选择确定开会时间、地点、方式和权益登记日。</w:t>
      </w:r>
    </w:p>
    <w:p>
      <w:pPr>
        <w:adjustRightInd w:val="0"/>
        <w:snapToGrid w:val="0"/>
        <w:spacing w:line="360" w:lineRule="auto"/>
        <w:ind w:firstLine="480" w:firstLineChars="200"/>
        <w:rPr>
          <w:bCs/>
          <w:sz w:val="24"/>
        </w:rPr>
      </w:pPr>
      <w:r>
        <w:rPr>
          <w:rFonts w:hint="eastAsia"/>
          <w:bCs/>
          <w:sz w:val="24"/>
        </w:rPr>
        <w:t>3、召开基金份额持有人大会的通知时间、通知内容、通知方式</w:t>
      </w:r>
    </w:p>
    <w:p>
      <w:pPr>
        <w:adjustRightInd w:val="0"/>
        <w:snapToGrid w:val="0"/>
        <w:spacing w:line="360" w:lineRule="auto"/>
        <w:ind w:firstLine="480" w:firstLineChars="200"/>
        <w:rPr>
          <w:bCs/>
          <w:sz w:val="24"/>
        </w:rPr>
      </w:pPr>
      <w:r>
        <w:rPr>
          <w:rFonts w:hint="eastAsia"/>
          <w:bCs/>
          <w:sz w:val="24"/>
        </w:rPr>
        <w:t>（1）召开基金份额持有人大会，召集人应于会议召开前30日，在规定媒介公告。基金份额持有人大会通知应至少载明以下内容：</w:t>
      </w:r>
    </w:p>
    <w:p>
      <w:pPr>
        <w:adjustRightInd w:val="0"/>
        <w:snapToGrid w:val="0"/>
        <w:spacing w:line="360" w:lineRule="auto"/>
        <w:ind w:firstLine="480" w:firstLineChars="200"/>
        <w:rPr>
          <w:bCs/>
          <w:sz w:val="24"/>
        </w:rPr>
      </w:pPr>
      <w:r>
        <w:rPr>
          <w:rFonts w:hint="eastAsia"/>
          <w:bCs/>
          <w:sz w:val="24"/>
        </w:rPr>
        <w:t>1）会议召开的时间、地点和会议形式；</w:t>
      </w:r>
    </w:p>
    <w:p>
      <w:pPr>
        <w:adjustRightInd w:val="0"/>
        <w:snapToGrid w:val="0"/>
        <w:spacing w:line="360" w:lineRule="auto"/>
        <w:ind w:firstLine="480" w:firstLineChars="200"/>
        <w:rPr>
          <w:bCs/>
          <w:sz w:val="24"/>
        </w:rPr>
      </w:pPr>
      <w:r>
        <w:rPr>
          <w:rFonts w:hint="eastAsia"/>
          <w:bCs/>
          <w:sz w:val="24"/>
        </w:rPr>
        <w:t>2）会议拟审议的事项、议事程序和表决方式；</w:t>
      </w:r>
    </w:p>
    <w:p>
      <w:pPr>
        <w:adjustRightInd w:val="0"/>
        <w:snapToGrid w:val="0"/>
        <w:spacing w:line="360" w:lineRule="auto"/>
        <w:ind w:firstLine="480" w:firstLineChars="200"/>
        <w:rPr>
          <w:bCs/>
          <w:sz w:val="24"/>
        </w:rPr>
      </w:pPr>
      <w:r>
        <w:rPr>
          <w:rFonts w:hint="eastAsia"/>
          <w:bCs/>
          <w:sz w:val="24"/>
        </w:rPr>
        <w:t>3）有权出席基金份额持有人大会的基金份额持有人的权益登记日；</w:t>
      </w:r>
    </w:p>
    <w:p>
      <w:pPr>
        <w:adjustRightInd w:val="0"/>
        <w:snapToGrid w:val="0"/>
        <w:spacing w:line="360" w:lineRule="auto"/>
        <w:ind w:firstLine="480" w:firstLineChars="200"/>
        <w:rPr>
          <w:bCs/>
          <w:sz w:val="24"/>
        </w:rPr>
      </w:pPr>
      <w:r>
        <w:rPr>
          <w:rFonts w:hint="eastAsia"/>
          <w:bCs/>
          <w:sz w:val="24"/>
        </w:rPr>
        <w:t>4）授权委托证明的内容要求（包括但不限于代理人身份，代理权限和代理有效期限等）、送达时间和地点；</w:t>
      </w:r>
    </w:p>
    <w:p>
      <w:pPr>
        <w:adjustRightInd w:val="0"/>
        <w:snapToGrid w:val="0"/>
        <w:spacing w:line="360" w:lineRule="auto"/>
        <w:ind w:firstLine="480" w:firstLineChars="200"/>
        <w:rPr>
          <w:bCs/>
          <w:sz w:val="24"/>
        </w:rPr>
      </w:pPr>
      <w:r>
        <w:rPr>
          <w:rFonts w:hint="eastAsia"/>
          <w:bCs/>
          <w:sz w:val="24"/>
        </w:rPr>
        <w:t>5）会务常设联系人姓名及联系电话；</w:t>
      </w:r>
    </w:p>
    <w:p>
      <w:pPr>
        <w:adjustRightInd w:val="0"/>
        <w:snapToGrid w:val="0"/>
        <w:spacing w:line="360" w:lineRule="auto"/>
        <w:ind w:firstLine="480" w:firstLineChars="200"/>
        <w:rPr>
          <w:bCs/>
          <w:sz w:val="24"/>
        </w:rPr>
      </w:pPr>
      <w:r>
        <w:rPr>
          <w:rFonts w:hint="eastAsia"/>
          <w:bCs/>
          <w:sz w:val="24"/>
        </w:rPr>
        <w:t>6）出席会议者必须准备的文件和必须履行的手续；</w:t>
      </w:r>
    </w:p>
    <w:p>
      <w:pPr>
        <w:adjustRightInd w:val="0"/>
        <w:snapToGrid w:val="0"/>
        <w:spacing w:line="360" w:lineRule="auto"/>
        <w:ind w:firstLine="480" w:firstLineChars="200"/>
        <w:rPr>
          <w:bCs/>
          <w:sz w:val="24"/>
        </w:rPr>
      </w:pPr>
      <w:r>
        <w:rPr>
          <w:rFonts w:hint="eastAsia"/>
          <w:bCs/>
          <w:sz w:val="24"/>
        </w:rPr>
        <w:t>7）召集人需要通知的其他事项。</w:t>
      </w:r>
    </w:p>
    <w:p>
      <w:pPr>
        <w:adjustRightInd w:val="0"/>
        <w:snapToGrid w:val="0"/>
        <w:spacing w:line="360" w:lineRule="auto"/>
        <w:ind w:firstLine="480" w:firstLineChars="200"/>
        <w:rPr>
          <w:bCs/>
          <w:sz w:val="24"/>
        </w:rPr>
      </w:pPr>
      <w:r>
        <w:rPr>
          <w:rFonts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djustRightInd w:val="0"/>
        <w:snapToGrid w:val="0"/>
        <w:spacing w:line="360" w:lineRule="auto"/>
        <w:ind w:firstLine="480" w:firstLineChars="200"/>
        <w:rPr>
          <w:bCs/>
          <w:sz w:val="24"/>
        </w:rPr>
      </w:pPr>
      <w:r>
        <w:rPr>
          <w:rFonts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rPr>
          <w:bCs/>
          <w:sz w:val="24"/>
        </w:rPr>
      </w:pPr>
      <w:r>
        <w:rPr>
          <w:rFonts w:hint="eastAsia"/>
          <w:bCs/>
          <w:sz w:val="24"/>
        </w:rPr>
        <w:t>4、基金份额持有人出席会议的方式</w:t>
      </w:r>
    </w:p>
    <w:p>
      <w:pPr>
        <w:adjustRightInd w:val="0"/>
        <w:snapToGrid w:val="0"/>
        <w:spacing w:line="360" w:lineRule="auto"/>
        <w:ind w:firstLine="480" w:firstLineChars="200"/>
        <w:rPr>
          <w:bCs/>
          <w:sz w:val="24"/>
        </w:rPr>
      </w:pPr>
      <w:r>
        <w:rPr>
          <w:rFonts w:hint="eastAsia"/>
          <w:bCs/>
          <w:sz w:val="24"/>
        </w:rPr>
        <w:t>基金份额持有人大会可通过现场开会方式、通讯开会方式或法律法规、监管机构允许的其他方式召开，会议的召开方式由会议召集人确定。</w:t>
      </w:r>
    </w:p>
    <w:p>
      <w:pPr>
        <w:adjustRightInd w:val="0"/>
        <w:snapToGrid w:val="0"/>
        <w:spacing w:line="360" w:lineRule="auto"/>
        <w:ind w:firstLine="480" w:firstLineChars="200"/>
        <w:rPr>
          <w:bCs/>
          <w:sz w:val="24"/>
        </w:rPr>
      </w:pPr>
      <w:r>
        <w:rPr>
          <w:rFonts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djustRightInd w:val="0"/>
        <w:snapToGrid w:val="0"/>
        <w:spacing w:line="360" w:lineRule="auto"/>
        <w:ind w:firstLine="480" w:firstLineChars="200"/>
        <w:rPr>
          <w:bCs/>
          <w:sz w:val="24"/>
        </w:rPr>
      </w:pPr>
      <w:r>
        <w:rPr>
          <w:rFonts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bCs/>
          <w:sz w:val="24"/>
        </w:rPr>
      </w:pPr>
      <w:r>
        <w:rPr>
          <w:rFonts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djustRightInd w:val="0"/>
        <w:snapToGrid w:val="0"/>
        <w:spacing w:line="360" w:lineRule="auto"/>
        <w:ind w:firstLine="480" w:firstLineChars="200"/>
        <w:rPr>
          <w:bCs/>
          <w:sz w:val="24"/>
        </w:rPr>
      </w:pPr>
      <w:r>
        <w:rPr>
          <w:rFonts w:hint="eastAsia"/>
          <w:bCs/>
          <w:sz w:val="24"/>
        </w:rPr>
        <w:t>（2）通讯开会。通讯开会系指基金份额持有人将其对表决事项的投票以会议通知载明的形式或基金合同约定的其他方式在表决截止日以前送达至召集人指定的地址或系统。</w:t>
      </w:r>
    </w:p>
    <w:p>
      <w:pPr>
        <w:adjustRightInd w:val="0"/>
        <w:snapToGrid w:val="0"/>
        <w:spacing w:line="360" w:lineRule="auto"/>
        <w:ind w:firstLine="480" w:firstLineChars="200"/>
        <w:rPr>
          <w:bCs/>
          <w:sz w:val="24"/>
        </w:rPr>
      </w:pPr>
      <w:r>
        <w:rPr>
          <w:rFonts w:hint="eastAsia"/>
          <w:bCs/>
          <w:sz w:val="24"/>
        </w:rPr>
        <w:t>在同时符合以下条件时，通讯开会的方式视为有效：</w:t>
      </w:r>
    </w:p>
    <w:p>
      <w:pPr>
        <w:adjustRightInd w:val="0"/>
        <w:snapToGrid w:val="0"/>
        <w:spacing w:line="360" w:lineRule="auto"/>
        <w:ind w:firstLine="480" w:firstLineChars="200"/>
        <w:rPr>
          <w:bCs/>
          <w:sz w:val="24"/>
        </w:rPr>
      </w:pPr>
      <w:r>
        <w:rPr>
          <w:rFonts w:hint="eastAsia"/>
          <w:bCs/>
          <w:sz w:val="24"/>
        </w:rPr>
        <w:t>1）会议召集人按《基金合同》约定公布会议通知后，在2个工作日内连续公布相关提示性公告；</w:t>
      </w:r>
    </w:p>
    <w:p>
      <w:pPr>
        <w:adjustRightInd w:val="0"/>
        <w:snapToGrid w:val="0"/>
        <w:spacing w:line="360" w:lineRule="auto"/>
        <w:ind w:firstLine="480" w:firstLineChars="200"/>
        <w:rPr>
          <w:bCs/>
          <w:sz w:val="24"/>
        </w:rPr>
      </w:pPr>
      <w:r>
        <w:rPr>
          <w:rFonts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djustRightInd w:val="0"/>
        <w:snapToGrid w:val="0"/>
        <w:spacing w:line="360" w:lineRule="auto"/>
        <w:ind w:firstLine="480" w:firstLineChars="200"/>
        <w:rPr>
          <w:bCs/>
          <w:sz w:val="24"/>
        </w:rPr>
      </w:pPr>
      <w:r>
        <w:rPr>
          <w:rFonts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djustRightInd w:val="0"/>
        <w:snapToGrid w:val="0"/>
        <w:spacing w:line="360" w:lineRule="auto"/>
        <w:ind w:firstLine="480" w:firstLineChars="200"/>
        <w:rPr>
          <w:bCs/>
          <w:sz w:val="24"/>
        </w:rPr>
      </w:pPr>
      <w:r>
        <w:rPr>
          <w:rFonts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djustRightInd w:val="0"/>
        <w:snapToGrid w:val="0"/>
        <w:spacing w:line="360" w:lineRule="auto"/>
        <w:ind w:firstLine="480" w:firstLineChars="200"/>
        <w:rPr>
          <w:bCs/>
          <w:sz w:val="24"/>
        </w:rPr>
      </w:pPr>
      <w:r>
        <w:rPr>
          <w:rFonts w:hint="eastAsia"/>
          <w:bCs/>
          <w:sz w:val="24"/>
        </w:rPr>
        <w:t>5、议事内容与程序</w:t>
      </w:r>
    </w:p>
    <w:p>
      <w:pPr>
        <w:adjustRightInd w:val="0"/>
        <w:snapToGrid w:val="0"/>
        <w:spacing w:line="360" w:lineRule="auto"/>
        <w:ind w:firstLine="480" w:firstLineChars="200"/>
        <w:outlineLvl w:val="2"/>
        <w:rPr>
          <w:bCs/>
          <w:sz w:val="24"/>
        </w:rPr>
      </w:pPr>
      <w:r>
        <w:rPr>
          <w:rFonts w:hint="eastAsia"/>
          <w:bCs/>
          <w:sz w:val="24"/>
        </w:rPr>
        <w:t>（1）议事内容及提案权</w:t>
      </w:r>
    </w:p>
    <w:p>
      <w:pPr>
        <w:adjustRightInd w:val="0"/>
        <w:snapToGrid w:val="0"/>
        <w:spacing w:line="360" w:lineRule="auto"/>
        <w:ind w:firstLine="480" w:firstLineChars="20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djustRightInd w:val="0"/>
        <w:snapToGrid w:val="0"/>
        <w:spacing w:line="360" w:lineRule="auto"/>
        <w:ind w:firstLine="480" w:firstLineChars="200"/>
        <w:rPr>
          <w:bCs/>
          <w:sz w:val="24"/>
        </w:rPr>
      </w:pPr>
      <w:r>
        <w:rPr>
          <w:rFonts w:hint="eastAsia"/>
          <w:bCs/>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bCs/>
          <w:sz w:val="24"/>
        </w:rPr>
      </w:pPr>
      <w:r>
        <w:rPr>
          <w:rFonts w:hint="eastAsia"/>
          <w:bCs/>
          <w:sz w:val="24"/>
        </w:rPr>
        <w:t>基金份额持有人大会不得对未事先公告的议事内容进行表决。</w:t>
      </w:r>
    </w:p>
    <w:p>
      <w:pPr>
        <w:adjustRightInd w:val="0"/>
        <w:snapToGrid w:val="0"/>
        <w:spacing w:line="360" w:lineRule="auto"/>
        <w:ind w:firstLine="480" w:firstLineChars="200"/>
        <w:outlineLvl w:val="2"/>
        <w:rPr>
          <w:bCs/>
          <w:sz w:val="24"/>
        </w:rPr>
      </w:pPr>
      <w:r>
        <w:rPr>
          <w:rFonts w:hint="eastAsia"/>
          <w:bCs/>
          <w:sz w:val="24"/>
        </w:rPr>
        <w:t>（2）议事程序</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在通讯开会的情况下，首先由召集人提前30日公布提案，在所通知的表决截止日期后2个工作日内在公证机关监督下由召集人统计全部有效表决，在公证机关监督下形成决议。</w:t>
      </w:r>
    </w:p>
    <w:p>
      <w:pPr>
        <w:adjustRightInd w:val="0"/>
        <w:snapToGrid w:val="0"/>
        <w:spacing w:line="360" w:lineRule="auto"/>
        <w:ind w:firstLine="480" w:firstLineChars="200"/>
        <w:rPr>
          <w:bCs/>
          <w:sz w:val="24"/>
        </w:rPr>
      </w:pPr>
      <w:r>
        <w:rPr>
          <w:rFonts w:hint="eastAsia"/>
          <w:bCs/>
          <w:sz w:val="24"/>
        </w:rPr>
        <w:t>6、表决</w:t>
      </w:r>
    </w:p>
    <w:p>
      <w:pPr>
        <w:adjustRightInd w:val="0"/>
        <w:snapToGrid w:val="0"/>
        <w:spacing w:line="360" w:lineRule="auto"/>
        <w:ind w:firstLine="480" w:firstLineChars="200"/>
        <w:rPr>
          <w:bCs/>
          <w:sz w:val="24"/>
        </w:rPr>
      </w:pPr>
      <w:r>
        <w:rPr>
          <w:rFonts w:hint="eastAsia"/>
          <w:bCs/>
          <w:sz w:val="24"/>
        </w:rPr>
        <w:t>基金份额持有人所持每份基金份额有一票表决权。</w:t>
      </w:r>
    </w:p>
    <w:p>
      <w:pPr>
        <w:adjustRightInd w:val="0"/>
        <w:snapToGrid w:val="0"/>
        <w:spacing w:line="360" w:lineRule="auto"/>
        <w:ind w:firstLine="480" w:firstLineChars="200"/>
        <w:rPr>
          <w:bCs/>
          <w:sz w:val="24"/>
        </w:rPr>
      </w:pPr>
      <w:r>
        <w:rPr>
          <w:rFonts w:hint="eastAsia"/>
          <w:bCs/>
          <w:sz w:val="24"/>
        </w:rPr>
        <w:t>基金份额持有人大会决议分为一般决议和特别决议：</w:t>
      </w:r>
    </w:p>
    <w:p>
      <w:pPr>
        <w:adjustRightInd w:val="0"/>
        <w:snapToGrid w:val="0"/>
        <w:spacing w:line="360" w:lineRule="auto"/>
        <w:ind w:firstLine="480" w:firstLineChars="200"/>
        <w:rPr>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djustRightInd w:val="0"/>
        <w:snapToGrid w:val="0"/>
        <w:spacing w:line="360" w:lineRule="auto"/>
        <w:ind w:firstLine="480" w:firstLineChars="200"/>
        <w:rPr>
          <w:bCs/>
          <w:sz w:val="24"/>
        </w:rPr>
      </w:pPr>
      <w:r>
        <w:rPr>
          <w:rFonts w:hint="eastAsia"/>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djustRightInd w:val="0"/>
        <w:snapToGrid w:val="0"/>
        <w:spacing w:line="360" w:lineRule="auto"/>
        <w:ind w:firstLine="480" w:firstLineChars="200"/>
        <w:rPr>
          <w:bCs/>
          <w:sz w:val="24"/>
        </w:rPr>
      </w:pPr>
      <w:r>
        <w:rPr>
          <w:rFonts w:hint="eastAsia"/>
          <w:bCs/>
          <w:sz w:val="24"/>
        </w:rPr>
        <w:t>基金份额持有人大会采取记名方式进行投票表决。</w:t>
      </w:r>
    </w:p>
    <w:p>
      <w:pPr>
        <w:adjustRightInd w:val="0"/>
        <w:snapToGrid w:val="0"/>
        <w:spacing w:line="360" w:lineRule="auto"/>
        <w:ind w:firstLine="480" w:firstLineChars="20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djustRightInd w:val="0"/>
        <w:snapToGrid w:val="0"/>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adjustRightInd w:val="0"/>
        <w:snapToGrid w:val="0"/>
        <w:spacing w:line="360" w:lineRule="auto"/>
        <w:ind w:firstLine="480" w:firstLineChars="200"/>
        <w:rPr>
          <w:bCs/>
          <w:sz w:val="24"/>
        </w:rPr>
      </w:pPr>
      <w:r>
        <w:rPr>
          <w:rFonts w:hint="eastAsia"/>
          <w:bCs/>
          <w:sz w:val="24"/>
        </w:rPr>
        <w:t>7、计票</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djustRightInd w:val="0"/>
        <w:snapToGrid w:val="0"/>
        <w:spacing w:line="360" w:lineRule="auto"/>
        <w:ind w:firstLine="480" w:firstLineChars="200"/>
        <w:rPr>
          <w:bCs/>
          <w:sz w:val="24"/>
        </w:rPr>
      </w:pPr>
      <w:r>
        <w:rPr>
          <w:rFonts w:hint="eastAsia"/>
          <w:bCs/>
          <w:sz w:val="24"/>
        </w:rPr>
        <w:t>2）监票人应当在基金份额持有人表决后立即进行清点并由大会主持人当场公布计票结果。</w:t>
      </w:r>
    </w:p>
    <w:p>
      <w:pPr>
        <w:adjustRightInd w:val="0"/>
        <w:snapToGrid w:val="0"/>
        <w:spacing w:line="360" w:lineRule="auto"/>
        <w:ind w:firstLine="480" w:firstLineChars="200"/>
        <w:rPr>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bCs/>
          <w:sz w:val="24"/>
        </w:rPr>
      </w:pPr>
      <w:r>
        <w:rPr>
          <w:rFonts w:hint="eastAsia"/>
          <w:bCs/>
          <w:sz w:val="24"/>
        </w:rPr>
        <w:t>4）计票过程应由公证机关予以公证，基金管理人或基金托管人拒不出席大会的，不影响计票的效力。</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djustRightInd w:val="0"/>
        <w:snapToGrid w:val="0"/>
        <w:spacing w:line="360" w:lineRule="auto"/>
        <w:ind w:firstLine="480" w:firstLineChars="200"/>
        <w:rPr>
          <w:bCs/>
          <w:sz w:val="24"/>
        </w:rPr>
      </w:pPr>
      <w:r>
        <w:rPr>
          <w:rFonts w:hint="eastAsia"/>
          <w:bCs/>
          <w:sz w:val="24"/>
        </w:rPr>
        <w:t>8、生效与公告</w:t>
      </w:r>
    </w:p>
    <w:p>
      <w:pPr>
        <w:adjustRightInd w:val="0"/>
        <w:snapToGrid w:val="0"/>
        <w:spacing w:line="360" w:lineRule="auto"/>
        <w:ind w:firstLine="480" w:firstLineChars="200"/>
        <w:rPr>
          <w:bCs/>
          <w:sz w:val="24"/>
        </w:rPr>
      </w:pPr>
      <w:r>
        <w:rPr>
          <w:rFonts w:hint="eastAsia"/>
          <w:bCs/>
          <w:sz w:val="24"/>
        </w:rPr>
        <w:t>基金份额持有人大会的决议，召集人应当自通过之日起5日内报中国证监会备案。</w:t>
      </w:r>
    </w:p>
    <w:p>
      <w:pPr>
        <w:adjustRightInd w:val="0"/>
        <w:snapToGrid w:val="0"/>
        <w:spacing w:line="360" w:lineRule="auto"/>
        <w:ind w:firstLine="480" w:firstLineChars="200"/>
        <w:rPr>
          <w:bCs/>
          <w:sz w:val="24"/>
        </w:rPr>
      </w:pPr>
      <w:r>
        <w:rPr>
          <w:rFonts w:hint="eastAsia"/>
          <w:bCs/>
          <w:sz w:val="24"/>
        </w:rPr>
        <w:t>基金份额持有人大会的决议自表决通过之日起生效。法律法规另有规定的，从其规定。</w:t>
      </w:r>
    </w:p>
    <w:p>
      <w:pPr>
        <w:adjustRightInd w:val="0"/>
        <w:snapToGrid w:val="0"/>
        <w:spacing w:line="360" w:lineRule="auto"/>
        <w:ind w:firstLine="480" w:firstLineChars="20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adjustRightInd w:val="0"/>
        <w:snapToGrid w:val="0"/>
        <w:spacing w:line="360" w:lineRule="auto"/>
        <w:ind w:firstLine="480" w:firstLineChars="20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pPr>
        <w:adjustRightInd w:val="0"/>
        <w:snapToGrid w:val="0"/>
        <w:spacing w:line="360" w:lineRule="auto"/>
        <w:ind w:firstLine="480" w:firstLineChars="200"/>
        <w:rPr>
          <w:bCs/>
          <w:sz w:val="24"/>
        </w:rPr>
      </w:pPr>
      <w:r>
        <w:rPr>
          <w:rFonts w:hint="eastAsia"/>
          <w:bCs/>
          <w:sz w:val="24"/>
        </w:rPr>
        <w:t>9、实施侧袋机制期间基金份额持有人大会的特殊约定</w:t>
      </w:r>
    </w:p>
    <w:p>
      <w:pPr>
        <w:adjustRightInd w:val="0"/>
        <w:snapToGrid w:val="0"/>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djustRightInd w:val="0"/>
        <w:snapToGrid w:val="0"/>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pPr>
        <w:adjustRightInd w:val="0"/>
        <w:snapToGrid w:val="0"/>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adjustRightInd w:val="0"/>
        <w:snapToGrid w:val="0"/>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adjustRightInd w:val="0"/>
        <w:snapToGrid w:val="0"/>
        <w:spacing w:line="360" w:lineRule="auto"/>
        <w:ind w:firstLine="480" w:firstLineChars="200"/>
        <w:rPr>
          <w:bCs/>
          <w:sz w:val="24"/>
        </w:rPr>
      </w:pPr>
      <w:r>
        <w:rPr>
          <w:rFonts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djustRightInd w:val="0"/>
        <w:snapToGrid w:val="0"/>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5、现场开会由出席大会的基金份额持有人和代理人所持表决权的50%以上（含50%）选举产生一名基金份额持有人或代理人作为该次基金份额持有人大会的主持人；</w:t>
      </w:r>
    </w:p>
    <w:p>
      <w:pPr>
        <w:adjustRightInd w:val="0"/>
        <w:snapToGrid w:val="0"/>
        <w:spacing w:line="360" w:lineRule="auto"/>
        <w:ind w:firstLine="480" w:firstLineChars="200"/>
        <w:rPr>
          <w:bCs/>
          <w:sz w:val="24"/>
        </w:rPr>
      </w:pPr>
      <w:r>
        <w:rPr>
          <w:rFonts w:hint="eastAsia"/>
          <w:bCs/>
          <w:sz w:val="24"/>
        </w:rPr>
        <w:t>6、一般决议须经参加大会的基金份额持有人或其代理人所持表决权的二分之一以上（含二分之一）通过；</w:t>
      </w:r>
    </w:p>
    <w:p>
      <w:pPr>
        <w:adjustRightInd w:val="0"/>
        <w:snapToGrid w:val="0"/>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pPr>
        <w:adjustRightInd w:val="0"/>
        <w:snapToGrid w:val="0"/>
        <w:spacing w:line="360" w:lineRule="auto"/>
        <w:ind w:firstLine="480" w:firstLineChars="200"/>
        <w:rPr>
          <w:bCs/>
          <w:sz w:val="24"/>
        </w:rPr>
      </w:pPr>
      <w:r>
        <w:rPr>
          <w:rFonts w:hint="eastAsia"/>
          <w:bCs/>
          <w:sz w:val="24"/>
        </w:rPr>
        <w:t>同一主侧袋账户内的每份基金份额具有平等的表决权。</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adjustRightInd w:val="0"/>
        <w:snapToGrid w:val="0"/>
        <w:spacing w:line="360" w:lineRule="auto"/>
        <w:ind w:firstLine="482"/>
        <w:outlineLvl w:val="1"/>
        <w:rPr>
          <w:b/>
          <w:bCs/>
          <w:sz w:val="24"/>
        </w:rPr>
      </w:pPr>
      <w:r>
        <w:rPr>
          <w:rFonts w:hint="eastAsia"/>
          <w:b/>
          <w:bCs/>
          <w:sz w:val="24"/>
        </w:rPr>
        <w:t>（三）基金合同解除和终止的事由、程序</w:t>
      </w:r>
    </w:p>
    <w:p>
      <w:pPr>
        <w:adjustRightInd w:val="0"/>
        <w:snapToGrid w:val="0"/>
        <w:spacing w:line="360" w:lineRule="auto"/>
        <w:ind w:firstLine="480" w:firstLineChars="200"/>
        <w:outlineLvl w:val="2"/>
        <w:rPr>
          <w:bCs/>
          <w:sz w:val="24"/>
        </w:rPr>
      </w:pPr>
      <w:r>
        <w:rPr>
          <w:bCs/>
          <w:sz w:val="24"/>
        </w:rPr>
        <w:t>1、《基金合同》的变更</w:t>
      </w:r>
    </w:p>
    <w:p>
      <w:pPr>
        <w:adjustRightInd w:val="0"/>
        <w:snapToGrid w:val="0"/>
        <w:spacing w:line="360" w:lineRule="auto"/>
        <w:ind w:firstLine="480" w:firstLineChars="200"/>
        <w:rPr>
          <w:bCs/>
          <w:sz w:val="24"/>
        </w:rPr>
      </w:pPr>
      <w:r>
        <w:rPr>
          <w:rFonts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bCs/>
          <w:sz w:val="24"/>
        </w:rPr>
      </w:pPr>
      <w:r>
        <w:rPr>
          <w:rFonts w:hint="eastAsia"/>
          <w:bCs/>
          <w:sz w:val="24"/>
        </w:rPr>
        <w:t>（2）关于《基金合同》变更的基金份额持有人大会决议自生效后方可执行，自决议生效后依照《信息披露办法》的规定在规定媒介公告。</w:t>
      </w:r>
    </w:p>
    <w:p>
      <w:pPr>
        <w:adjustRightInd w:val="0"/>
        <w:snapToGrid w:val="0"/>
        <w:spacing w:line="360" w:lineRule="auto"/>
        <w:ind w:firstLine="480" w:firstLineChars="200"/>
        <w:outlineLvl w:val="2"/>
        <w:rPr>
          <w:bCs/>
          <w:sz w:val="24"/>
        </w:rPr>
      </w:pPr>
      <w:r>
        <w:rPr>
          <w:bCs/>
          <w:sz w:val="24"/>
        </w:rPr>
        <w:t>2、《基金合同》的终止事由</w:t>
      </w:r>
    </w:p>
    <w:p>
      <w:pPr>
        <w:adjustRightInd w:val="0"/>
        <w:snapToGrid w:val="0"/>
        <w:spacing w:line="360" w:lineRule="auto"/>
        <w:ind w:firstLine="480" w:firstLineChars="200"/>
        <w:rPr>
          <w:bCs/>
          <w:sz w:val="24"/>
        </w:rPr>
      </w:pPr>
      <w:r>
        <w:rPr>
          <w:rFonts w:hint="eastAsia"/>
          <w:bCs/>
          <w:sz w:val="24"/>
        </w:rPr>
        <w:t>有下列情形之一的，经履行相关程序后，《基金合同》应当终止：</w:t>
      </w:r>
    </w:p>
    <w:p>
      <w:pPr>
        <w:adjustRightInd w:val="0"/>
        <w:snapToGrid w:val="0"/>
        <w:spacing w:line="360" w:lineRule="auto"/>
        <w:ind w:firstLine="480" w:firstLineChars="200"/>
        <w:rPr>
          <w:bCs/>
          <w:sz w:val="24"/>
        </w:rPr>
      </w:pPr>
      <w:r>
        <w:rPr>
          <w:rFonts w:hint="eastAsia"/>
          <w:bCs/>
          <w:sz w:val="24"/>
        </w:rPr>
        <w:t>（1）基金份额持有人大会决定终止的；</w:t>
      </w:r>
    </w:p>
    <w:p>
      <w:pPr>
        <w:adjustRightInd w:val="0"/>
        <w:snapToGrid w:val="0"/>
        <w:spacing w:line="360" w:lineRule="auto"/>
        <w:ind w:firstLine="480" w:firstLineChars="200"/>
        <w:rPr>
          <w:bCs/>
          <w:sz w:val="24"/>
        </w:rPr>
      </w:pPr>
      <w:r>
        <w:rPr>
          <w:rFonts w:hint="eastAsia"/>
          <w:bCs/>
          <w:sz w:val="24"/>
        </w:rPr>
        <w:t>（2）基金管理人、基金托管人职责终止，在6个月内没有新基金管理人、新基金托管人承接的；</w:t>
      </w:r>
    </w:p>
    <w:p>
      <w:pPr>
        <w:adjustRightInd w:val="0"/>
        <w:snapToGrid w:val="0"/>
        <w:spacing w:line="360" w:lineRule="auto"/>
        <w:ind w:firstLine="480" w:firstLineChars="200"/>
        <w:rPr>
          <w:bCs/>
          <w:sz w:val="24"/>
        </w:rPr>
      </w:pPr>
      <w:r>
        <w:rPr>
          <w:rFonts w:hint="eastAsia"/>
          <w:bCs/>
          <w:sz w:val="24"/>
        </w:rPr>
        <w:t>（3）连续50个工作日出现基金份额持有人数量不满200人或者基金资产净值低于5000万元情形的，基金合同终止，不需召开基金份额持有人大会；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bCs/>
          <w:sz w:val="24"/>
        </w:rPr>
      </w:pPr>
      <w:r>
        <w:rPr>
          <w:rFonts w:hint="eastAsia"/>
          <w:bCs/>
          <w:sz w:val="24"/>
        </w:rPr>
        <w:t>（4）《基金合同》约定的其他情形；</w:t>
      </w:r>
    </w:p>
    <w:p>
      <w:pPr>
        <w:adjustRightInd w:val="0"/>
        <w:snapToGrid w:val="0"/>
        <w:spacing w:line="360" w:lineRule="auto"/>
        <w:ind w:firstLine="480" w:firstLineChars="200"/>
        <w:rPr>
          <w:bCs/>
          <w:sz w:val="24"/>
        </w:rPr>
      </w:pPr>
      <w:r>
        <w:rPr>
          <w:rFonts w:hint="eastAsia"/>
          <w:bCs/>
          <w:sz w:val="24"/>
        </w:rPr>
        <w:t>（5）相关法律法规和中国证监会规定的其他情况。</w:t>
      </w:r>
    </w:p>
    <w:p>
      <w:pPr>
        <w:adjustRightInd w:val="0"/>
        <w:snapToGrid w:val="0"/>
        <w:spacing w:line="360" w:lineRule="auto"/>
        <w:ind w:firstLine="480" w:firstLineChars="200"/>
        <w:outlineLvl w:val="2"/>
        <w:rPr>
          <w:bCs/>
          <w:sz w:val="24"/>
        </w:rPr>
      </w:pPr>
      <w:r>
        <w:rPr>
          <w:rFonts w:hint="eastAsia"/>
          <w:bCs/>
          <w:sz w:val="24"/>
        </w:rPr>
        <w:t>3</w:t>
      </w:r>
      <w:r>
        <w:rPr>
          <w:bCs/>
          <w:sz w:val="24"/>
        </w:rPr>
        <w:t>、基金财产的清算</w:t>
      </w:r>
    </w:p>
    <w:p>
      <w:pPr>
        <w:adjustRightInd w:val="0"/>
        <w:snapToGrid w:val="0"/>
        <w:spacing w:line="360" w:lineRule="auto"/>
        <w:ind w:firstLine="480" w:firstLineChars="200"/>
        <w:rPr>
          <w:bCs/>
          <w:sz w:val="24"/>
        </w:rPr>
      </w:pPr>
      <w:r>
        <w:rPr>
          <w:rFonts w:hint="eastAsia"/>
          <w:bCs/>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bCs/>
          <w:sz w:val="24"/>
        </w:rPr>
      </w:pPr>
      <w:r>
        <w:rPr>
          <w:rFonts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bCs/>
          <w:sz w:val="24"/>
        </w:rPr>
      </w:pPr>
      <w:r>
        <w:rPr>
          <w:rFonts w:hint="eastAsia"/>
          <w:bCs/>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bCs/>
          <w:sz w:val="24"/>
        </w:rPr>
      </w:pPr>
      <w:r>
        <w:rPr>
          <w:rFonts w:hint="eastAsia"/>
          <w:bCs/>
          <w:sz w:val="24"/>
        </w:rPr>
        <w:t>（4）基金财产清算程序：</w:t>
      </w:r>
    </w:p>
    <w:p>
      <w:pPr>
        <w:adjustRightInd w:val="0"/>
        <w:snapToGrid w:val="0"/>
        <w:spacing w:line="360" w:lineRule="auto"/>
        <w:ind w:firstLine="480" w:firstLineChars="200"/>
        <w:rPr>
          <w:bCs/>
          <w:sz w:val="24"/>
        </w:rPr>
      </w:pPr>
      <w:r>
        <w:rPr>
          <w:rFonts w:hint="eastAsia"/>
          <w:bCs/>
          <w:sz w:val="24"/>
        </w:rPr>
        <w:t>1）《基金合同》终止情形出现时，由基金财产清算小组统一接管基金；</w:t>
      </w:r>
    </w:p>
    <w:p>
      <w:pPr>
        <w:adjustRightInd w:val="0"/>
        <w:snapToGrid w:val="0"/>
        <w:spacing w:line="360" w:lineRule="auto"/>
        <w:ind w:firstLine="480" w:firstLineChars="200"/>
        <w:rPr>
          <w:bCs/>
          <w:sz w:val="24"/>
        </w:rPr>
      </w:pPr>
      <w:r>
        <w:rPr>
          <w:rFonts w:hint="eastAsia"/>
          <w:bCs/>
          <w:sz w:val="24"/>
        </w:rPr>
        <w:t>2）对基金财产和债权债务进行清理和确认；</w:t>
      </w:r>
    </w:p>
    <w:p>
      <w:pPr>
        <w:adjustRightInd w:val="0"/>
        <w:snapToGrid w:val="0"/>
        <w:spacing w:line="360" w:lineRule="auto"/>
        <w:ind w:firstLine="480" w:firstLineChars="200"/>
        <w:rPr>
          <w:bCs/>
          <w:sz w:val="24"/>
        </w:rPr>
      </w:pPr>
      <w:r>
        <w:rPr>
          <w:rFonts w:hint="eastAsia"/>
          <w:bCs/>
          <w:sz w:val="24"/>
        </w:rPr>
        <w:t>3）对基金财产进行估值和变现；</w:t>
      </w:r>
    </w:p>
    <w:p>
      <w:pPr>
        <w:adjustRightInd w:val="0"/>
        <w:snapToGrid w:val="0"/>
        <w:spacing w:line="360" w:lineRule="auto"/>
        <w:ind w:firstLine="480" w:firstLineChars="200"/>
        <w:rPr>
          <w:bCs/>
          <w:sz w:val="24"/>
        </w:rPr>
      </w:pPr>
      <w:r>
        <w:rPr>
          <w:rFonts w:hint="eastAsia"/>
          <w:bCs/>
          <w:sz w:val="24"/>
        </w:rPr>
        <w:t>4）制作清算报告；</w:t>
      </w:r>
    </w:p>
    <w:p>
      <w:pPr>
        <w:adjustRightInd w:val="0"/>
        <w:snapToGrid w:val="0"/>
        <w:spacing w:line="360" w:lineRule="auto"/>
        <w:ind w:firstLine="480" w:firstLineChars="200"/>
        <w:rPr>
          <w:bCs/>
          <w:sz w:val="24"/>
        </w:rPr>
      </w:pPr>
      <w:r>
        <w:rPr>
          <w:rFonts w:hint="eastAsia"/>
          <w:bCs/>
          <w:sz w:val="24"/>
        </w:rPr>
        <w:t>5）聘请会计师事务所对清算报告进行外部审计，聘请律师事务所对清算报告出具法律意见书；</w:t>
      </w:r>
    </w:p>
    <w:p>
      <w:pPr>
        <w:adjustRightInd w:val="0"/>
        <w:snapToGrid w:val="0"/>
        <w:spacing w:line="360" w:lineRule="auto"/>
        <w:ind w:firstLine="480" w:firstLineChars="200"/>
        <w:rPr>
          <w:bCs/>
          <w:sz w:val="24"/>
        </w:rPr>
      </w:pPr>
      <w:r>
        <w:rPr>
          <w:rFonts w:hint="eastAsia"/>
          <w:bCs/>
          <w:sz w:val="24"/>
        </w:rPr>
        <w:t>6）将清算报告报中国证监会备案并公告；</w:t>
      </w:r>
    </w:p>
    <w:p>
      <w:pPr>
        <w:adjustRightInd w:val="0"/>
        <w:snapToGrid w:val="0"/>
        <w:spacing w:line="360" w:lineRule="auto"/>
        <w:ind w:firstLine="480" w:firstLineChars="200"/>
        <w:rPr>
          <w:bCs/>
          <w:sz w:val="24"/>
        </w:rPr>
      </w:pPr>
      <w:r>
        <w:rPr>
          <w:rFonts w:hint="eastAsia"/>
          <w:bCs/>
          <w:sz w:val="24"/>
        </w:rPr>
        <w:t>7）对基金剩余财产进行分配。</w:t>
      </w:r>
    </w:p>
    <w:p>
      <w:pPr>
        <w:adjustRightInd w:val="0"/>
        <w:snapToGrid w:val="0"/>
        <w:spacing w:line="360" w:lineRule="auto"/>
        <w:ind w:firstLine="480" w:firstLineChars="200"/>
        <w:rPr>
          <w:bCs/>
          <w:sz w:val="24"/>
        </w:rPr>
      </w:pPr>
      <w:r>
        <w:rPr>
          <w:rFonts w:hint="eastAsia"/>
          <w:bCs/>
          <w:sz w:val="24"/>
        </w:rPr>
        <w:t>（5）基金财产清算的期限为6个月，但因本基金所持证券的流动性受到限制而不能及时变现的，清算期限相应顺延。</w:t>
      </w:r>
    </w:p>
    <w:p>
      <w:pPr>
        <w:adjustRightInd w:val="0"/>
        <w:snapToGrid w:val="0"/>
        <w:spacing w:line="360" w:lineRule="auto"/>
        <w:ind w:firstLine="480" w:firstLineChars="200"/>
        <w:outlineLvl w:val="2"/>
        <w:rPr>
          <w:bCs/>
          <w:sz w:val="24"/>
        </w:rPr>
      </w:pPr>
      <w:r>
        <w:rPr>
          <w:rFonts w:hint="eastAsia"/>
          <w:bCs/>
          <w:sz w:val="24"/>
        </w:rPr>
        <w:t>4</w:t>
      </w:r>
      <w:r>
        <w:rPr>
          <w:bCs/>
          <w:sz w:val="24"/>
        </w:rPr>
        <w:t>、清算费用</w:t>
      </w:r>
    </w:p>
    <w:p>
      <w:pPr>
        <w:adjustRightInd w:val="0"/>
        <w:snapToGrid w:val="0"/>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0" w:firstLineChars="200"/>
        <w:outlineLvl w:val="2"/>
        <w:rPr>
          <w:bCs/>
          <w:sz w:val="24"/>
        </w:rPr>
      </w:pPr>
      <w:r>
        <w:rPr>
          <w:rFonts w:hint="eastAsia"/>
          <w:bCs/>
          <w:sz w:val="24"/>
        </w:rPr>
        <w:t>5</w:t>
      </w:r>
      <w:r>
        <w:rPr>
          <w:bCs/>
          <w:sz w:val="24"/>
        </w:rPr>
        <w:t>、基金财产清算剩余资产的分配</w:t>
      </w:r>
    </w:p>
    <w:p>
      <w:pPr>
        <w:adjustRightInd w:val="0"/>
        <w:snapToGrid w:val="0"/>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pPr>
        <w:adjustRightInd w:val="0"/>
        <w:snapToGrid w:val="0"/>
        <w:spacing w:line="360" w:lineRule="auto"/>
        <w:ind w:firstLine="480" w:firstLineChars="200"/>
        <w:outlineLvl w:val="2"/>
        <w:rPr>
          <w:bCs/>
          <w:sz w:val="24"/>
        </w:rPr>
      </w:pPr>
      <w:r>
        <w:rPr>
          <w:rFonts w:hint="eastAsia"/>
          <w:bCs/>
          <w:sz w:val="24"/>
        </w:rPr>
        <w:t>6</w:t>
      </w:r>
      <w:r>
        <w:rPr>
          <w:bCs/>
          <w:sz w:val="24"/>
        </w:rPr>
        <w:t>、基金财产清算的公告</w:t>
      </w:r>
    </w:p>
    <w:p>
      <w:pPr>
        <w:adjustRightInd w:val="0"/>
        <w:snapToGrid w:val="0"/>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adjustRightInd w:val="0"/>
        <w:snapToGrid w:val="0"/>
        <w:spacing w:line="360" w:lineRule="auto"/>
        <w:ind w:firstLine="480" w:firstLineChars="200"/>
        <w:outlineLvl w:val="2"/>
        <w:rPr>
          <w:bCs/>
          <w:sz w:val="24"/>
        </w:rPr>
      </w:pPr>
      <w:r>
        <w:rPr>
          <w:rFonts w:hint="eastAsia"/>
          <w:bCs/>
          <w:sz w:val="24"/>
        </w:rPr>
        <w:t>7</w:t>
      </w:r>
      <w:r>
        <w:rPr>
          <w:bCs/>
          <w:sz w:val="24"/>
        </w:rPr>
        <w:t>、基金财产清算账册及文件的保存</w:t>
      </w:r>
    </w:p>
    <w:p>
      <w:pPr>
        <w:widowControl/>
        <w:adjustRightInd w:val="0"/>
        <w:snapToGrid w:val="0"/>
        <w:spacing w:line="360" w:lineRule="auto"/>
        <w:ind w:firstLine="480" w:firstLineChars="200"/>
        <w:rPr>
          <w:bCs/>
          <w:sz w:val="24"/>
        </w:rPr>
      </w:pPr>
      <w:r>
        <w:rPr>
          <w:rFonts w:hint="eastAsia"/>
          <w:bCs/>
          <w:sz w:val="24"/>
        </w:rPr>
        <w:t>基金财产清算账册及有关文件由基金托管人保存不低于法律法规规定的最低期限。</w:t>
      </w:r>
    </w:p>
    <w:p>
      <w:pPr>
        <w:adjustRightInd w:val="0"/>
        <w:snapToGrid w:val="0"/>
        <w:spacing w:line="360" w:lineRule="auto"/>
        <w:ind w:firstLine="482"/>
        <w:outlineLvl w:val="1"/>
        <w:rPr>
          <w:b/>
          <w:bCs/>
          <w:sz w:val="24"/>
        </w:rPr>
      </w:pPr>
      <w:r>
        <w:rPr>
          <w:b/>
          <w:bCs/>
          <w:sz w:val="24"/>
        </w:rPr>
        <w:t>（四）争议</w:t>
      </w:r>
      <w:r>
        <w:rPr>
          <w:rFonts w:hint="eastAsia"/>
          <w:b/>
          <w:bCs/>
          <w:sz w:val="24"/>
        </w:rPr>
        <w:t>解决方式</w:t>
      </w:r>
    </w:p>
    <w:p>
      <w:pPr>
        <w:adjustRightInd w:val="0"/>
        <w:snapToGrid w:val="0"/>
        <w:spacing w:line="360" w:lineRule="auto"/>
        <w:ind w:firstLine="480" w:firstLineChars="200"/>
        <w:rPr>
          <w:bCs/>
          <w:sz w:val="24"/>
        </w:rPr>
      </w:pPr>
      <w:r>
        <w:rPr>
          <w:rFonts w:hint="eastAsia"/>
          <w:bCs/>
          <w:sz w:val="24"/>
        </w:rPr>
        <w:t>各方当事人同意，因《基金合同》而产生的或与《基金合同》有关的一切争议，如经友好协商未能解决的，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由败诉方承担。</w:t>
      </w:r>
    </w:p>
    <w:p>
      <w:pPr>
        <w:adjustRightInd w:val="0"/>
        <w:snapToGrid w:val="0"/>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adjustRightInd w:val="0"/>
        <w:snapToGrid w:val="0"/>
        <w:spacing w:line="360" w:lineRule="auto"/>
        <w:ind w:firstLine="480" w:firstLineChars="200"/>
        <w:rPr>
          <w:bCs/>
          <w:sz w:val="24"/>
        </w:rPr>
      </w:pPr>
      <w:r>
        <w:rPr>
          <w:rFonts w:hint="eastAsia"/>
          <w:bCs/>
          <w:sz w:val="24"/>
        </w:rPr>
        <w:t>《基金合同》受中国法律（不含港澳台地区法律）管辖。</w:t>
      </w:r>
    </w:p>
    <w:p>
      <w:pPr>
        <w:adjustRightInd w:val="0"/>
        <w:snapToGrid w:val="0"/>
        <w:spacing w:line="360" w:lineRule="auto"/>
        <w:ind w:firstLine="482"/>
        <w:outlineLvl w:val="1"/>
        <w:rPr>
          <w:b/>
          <w:bCs/>
          <w:sz w:val="24"/>
        </w:rPr>
      </w:pPr>
      <w:bookmarkStart w:id="98" w:name="_Toc523711688"/>
      <w:r>
        <w:rPr>
          <w:b/>
          <w:bCs/>
          <w:sz w:val="24"/>
        </w:rPr>
        <w:t>（五）基金合同存放地和投资者取得基金合同的方式</w:t>
      </w:r>
    </w:p>
    <w:bookmarkEnd w:id="98"/>
    <w:p>
      <w:pPr>
        <w:adjustRightInd w:val="0"/>
        <w:snapToGrid w:val="0"/>
        <w:spacing w:line="360" w:lineRule="auto"/>
        <w:ind w:firstLine="480" w:firstLineChars="200"/>
        <w:rPr>
          <w:bCs/>
          <w:sz w:val="24"/>
        </w:rPr>
      </w:pPr>
      <w:r>
        <w:rPr>
          <w:rFonts w:hint="eastAsia"/>
          <w:bCs/>
          <w:sz w:val="24"/>
        </w:rPr>
        <w:t>《基金合同》正本</w:t>
      </w:r>
      <w:r>
        <w:rPr>
          <w:bCs/>
          <w:sz w:val="24"/>
        </w:rPr>
        <w:t>一式</w:t>
      </w:r>
      <w:r>
        <w:rPr>
          <w:rFonts w:hint="eastAsia"/>
          <w:bCs/>
          <w:sz w:val="24"/>
        </w:rPr>
        <w:t>六</w:t>
      </w:r>
      <w:r>
        <w:rPr>
          <w:bCs/>
          <w:sz w:val="24"/>
        </w:rPr>
        <w:t>份</w:t>
      </w:r>
      <w:r>
        <w:rPr>
          <w:rFonts w:hint="eastAsia"/>
          <w:bCs/>
          <w:sz w:val="24"/>
        </w:rPr>
        <w:t>，除上报有关监管机构</w:t>
      </w:r>
      <w:r>
        <w:rPr>
          <w:bCs/>
          <w:sz w:val="24"/>
        </w:rPr>
        <w:t>一式</w:t>
      </w:r>
      <w:r>
        <w:rPr>
          <w:rFonts w:hint="eastAsia"/>
          <w:bCs/>
          <w:sz w:val="24"/>
        </w:rPr>
        <w:t>二</w:t>
      </w:r>
      <w:r>
        <w:rPr>
          <w:bCs/>
          <w:sz w:val="24"/>
        </w:rPr>
        <w:t>份</w:t>
      </w:r>
      <w:r>
        <w:rPr>
          <w:rFonts w:hint="eastAsia"/>
          <w:bCs/>
          <w:sz w:val="24"/>
        </w:rPr>
        <w:t>外，基金管理人、基金托管人各持有二份，每份具有同等的法律效力。</w:t>
      </w:r>
    </w:p>
    <w:p>
      <w:pPr>
        <w:adjustRightInd w:val="0"/>
        <w:snapToGrid w:val="0"/>
        <w:spacing w:line="360" w:lineRule="auto"/>
        <w:ind w:firstLine="480" w:firstLineChars="200"/>
        <w:rPr>
          <w:rFonts w:ascii="宋体" w:hAnsi="宋体"/>
          <w:sz w:val="24"/>
        </w:rPr>
      </w:pPr>
      <w:r>
        <w:rPr>
          <w:rFonts w:hint="eastAsia"/>
          <w:bCs/>
          <w:sz w:val="24"/>
        </w:rPr>
        <w:t>《基金合同》可印制成册，供投资者在基金管理人、基金托管人、销售机构的办公场所和营业场所查阅，但应以《基金合同》正本为准。</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9" w:name="_Toc48122021"/>
      <w:r>
        <w:rPr>
          <w:rFonts w:hint="eastAsia" w:ascii="宋体" w:hAnsi="宋体"/>
          <w:b/>
          <w:kern w:val="0"/>
          <w:sz w:val="30"/>
        </w:rPr>
        <w:t>二十、托管协议的内容摘要</w:t>
      </w:r>
      <w:bookmarkEnd w:id="99"/>
    </w:p>
    <w:p>
      <w:pPr>
        <w:adjustRightInd w:val="0"/>
        <w:snapToGrid w:val="0"/>
        <w:spacing w:line="360" w:lineRule="auto"/>
        <w:ind w:firstLine="482"/>
        <w:outlineLvl w:val="1"/>
        <w:rPr>
          <w:b/>
          <w:bCs/>
          <w:sz w:val="24"/>
        </w:rPr>
      </w:pPr>
      <w:r>
        <w:rPr>
          <w:rFonts w:hint="eastAsia"/>
          <w:b/>
          <w:bCs/>
          <w:sz w:val="24"/>
        </w:rPr>
        <w:t>（一）托管协议当事人</w:t>
      </w:r>
    </w:p>
    <w:p>
      <w:pPr>
        <w:widowControl/>
        <w:adjustRightInd w:val="0"/>
        <w:snapToGrid w:val="0"/>
        <w:spacing w:line="360" w:lineRule="auto"/>
        <w:ind w:firstLine="480" w:firstLineChars="200"/>
        <w:outlineLvl w:val="2"/>
        <w:rPr>
          <w:bCs/>
          <w:sz w:val="24"/>
        </w:rPr>
      </w:pPr>
      <w:r>
        <w:rPr>
          <w:rFonts w:hint="eastAsia"/>
          <w:bCs/>
          <w:sz w:val="24"/>
        </w:rPr>
        <w:t>1、基金管理人：交银施罗德基金管理有限公司</w:t>
      </w:r>
    </w:p>
    <w:p>
      <w:pPr>
        <w:widowControl/>
        <w:adjustRightInd w:val="0"/>
        <w:snapToGrid w:val="0"/>
        <w:spacing w:line="360" w:lineRule="auto"/>
        <w:ind w:firstLine="480" w:firstLineChars="200"/>
        <w:rPr>
          <w:bCs/>
          <w:sz w:val="24"/>
        </w:rPr>
      </w:pPr>
      <w:r>
        <w:rPr>
          <w:rFonts w:hint="eastAsia"/>
          <w:bCs/>
          <w:sz w:val="24"/>
        </w:rPr>
        <w:t>住所：中国（上海）自由贸易试验区银城中路188号交通银行大楼二层（裙）</w:t>
      </w:r>
    </w:p>
    <w:p>
      <w:pPr>
        <w:widowControl/>
        <w:adjustRightInd w:val="0"/>
        <w:snapToGrid w:val="0"/>
        <w:spacing w:line="360" w:lineRule="auto"/>
        <w:ind w:firstLine="480" w:firstLineChars="200"/>
        <w:rPr>
          <w:bCs/>
          <w:sz w:val="24"/>
        </w:rPr>
      </w:pPr>
      <w:r>
        <w:rPr>
          <w:rFonts w:hint="eastAsia"/>
          <w:bCs/>
          <w:sz w:val="24"/>
        </w:rPr>
        <w:t>法定代表人：阮红</w:t>
      </w:r>
    </w:p>
    <w:p>
      <w:pPr>
        <w:widowControl/>
        <w:adjustRightInd w:val="0"/>
        <w:snapToGrid w:val="0"/>
        <w:spacing w:line="360" w:lineRule="auto"/>
        <w:ind w:firstLine="480" w:firstLineChars="200"/>
        <w:rPr>
          <w:bCs/>
          <w:sz w:val="24"/>
        </w:rPr>
      </w:pPr>
      <w:r>
        <w:rPr>
          <w:rFonts w:hint="eastAsia"/>
          <w:bCs/>
          <w:sz w:val="24"/>
        </w:rPr>
        <w:t>成立时间：2005年8月4日</w:t>
      </w:r>
    </w:p>
    <w:p>
      <w:pPr>
        <w:widowControl/>
        <w:adjustRightInd w:val="0"/>
        <w:snapToGrid w:val="0"/>
        <w:spacing w:line="360" w:lineRule="auto"/>
        <w:ind w:firstLine="480" w:firstLineChars="200"/>
        <w:rPr>
          <w:bCs/>
          <w:sz w:val="24"/>
        </w:rPr>
      </w:pPr>
      <w:r>
        <w:rPr>
          <w:rFonts w:hint="eastAsia"/>
          <w:bCs/>
          <w:sz w:val="24"/>
        </w:rPr>
        <w:t>批准设立机关及批准设立文号：中国证监会证监基金字[2005]128号</w:t>
      </w:r>
    </w:p>
    <w:p>
      <w:pPr>
        <w:widowControl/>
        <w:adjustRightInd w:val="0"/>
        <w:snapToGrid w:val="0"/>
        <w:spacing w:line="360" w:lineRule="auto"/>
        <w:ind w:firstLine="480" w:firstLineChars="200"/>
        <w:rPr>
          <w:bCs/>
          <w:sz w:val="24"/>
        </w:rPr>
      </w:pPr>
      <w:r>
        <w:rPr>
          <w:rFonts w:hint="eastAsia"/>
          <w:bCs/>
          <w:sz w:val="24"/>
        </w:rPr>
        <w:t>注册资本：2亿元人民币</w:t>
      </w:r>
    </w:p>
    <w:p>
      <w:pPr>
        <w:widowControl/>
        <w:adjustRightInd w:val="0"/>
        <w:snapToGrid w:val="0"/>
        <w:spacing w:line="360" w:lineRule="auto"/>
        <w:ind w:firstLine="480" w:firstLineChars="200"/>
        <w:rPr>
          <w:bCs/>
          <w:sz w:val="24"/>
        </w:rPr>
      </w:pPr>
      <w:r>
        <w:rPr>
          <w:rFonts w:hint="eastAsia"/>
          <w:bCs/>
          <w:sz w:val="24"/>
        </w:rPr>
        <w:t>组织形式: 有限责任公司</w:t>
      </w:r>
    </w:p>
    <w:p>
      <w:pPr>
        <w:widowControl/>
        <w:adjustRightInd w:val="0"/>
        <w:snapToGrid w:val="0"/>
        <w:spacing w:line="360" w:lineRule="auto"/>
        <w:ind w:firstLine="480" w:firstLineChars="200"/>
        <w:rPr>
          <w:bCs/>
          <w:sz w:val="24"/>
        </w:rPr>
      </w:pPr>
      <w:r>
        <w:rPr>
          <w:rFonts w:hint="eastAsia"/>
          <w:bCs/>
          <w:sz w:val="24"/>
        </w:rPr>
        <w:t>存续期间：持续经营</w:t>
      </w:r>
    </w:p>
    <w:p>
      <w:pPr>
        <w:widowControl/>
        <w:adjustRightInd w:val="0"/>
        <w:snapToGrid w:val="0"/>
        <w:spacing w:line="360" w:lineRule="auto"/>
        <w:ind w:firstLine="480" w:firstLineChars="200"/>
        <w:rPr>
          <w:bCs/>
          <w:sz w:val="24"/>
        </w:rPr>
      </w:pPr>
      <w:r>
        <w:rPr>
          <w:rFonts w:hint="eastAsia"/>
          <w:bCs/>
          <w:sz w:val="24"/>
        </w:rPr>
        <w:t>电话：（021）61055050</w:t>
      </w:r>
    </w:p>
    <w:p>
      <w:pPr>
        <w:widowControl/>
        <w:adjustRightInd w:val="0"/>
        <w:snapToGrid w:val="0"/>
        <w:spacing w:line="360" w:lineRule="auto"/>
        <w:ind w:firstLine="480" w:firstLineChars="200"/>
        <w:outlineLvl w:val="2"/>
        <w:rPr>
          <w:bCs/>
          <w:sz w:val="24"/>
        </w:rPr>
      </w:pPr>
      <w:r>
        <w:rPr>
          <w:rFonts w:hint="eastAsia"/>
          <w:bCs/>
          <w:sz w:val="24"/>
        </w:rPr>
        <w:t>2、基金托管人：上海浦东发展银行股份有限公司</w:t>
      </w:r>
    </w:p>
    <w:p>
      <w:pPr>
        <w:widowControl/>
        <w:adjustRightInd w:val="0"/>
        <w:snapToGrid w:val="0"/>
        <w:spacing w:line="360" w:lineRule="auto"/>
        <w:ind w:firstLine="480" w:firstLineChars="200"/>
        <w:rPr>
          <w:bCs/>
          <w:sz w:val="24"/>
        </w:rPr>
      </w:pPr>
      <w:r>
        <w:rPr>
          <w:rFonts w:hint="eastAsia"/>
          <w:bCs/>
          <w:sz w:val="24"/>
        </w:rPr>
        <w:t>办公地址：上海市中山东一路12号</w:t>
      </w:r>
    </w:p>
    <w:p>
      <w:pPr>
        <w:widowControl/>
        <w:adjustRightInd w:val="0"/>
        <w:snapToGrid w:val="0"/>
        <w:spacing w:line="360" w:lineRule="auto"/>
        <w:ind w:firstLine="480" w:firstLineChars="200"/>
        <w:rPr>
          <w:bCs/>
          <w:sz w:val="24"/>
        </w:rPr>
      </w:pPr>
      <w:r>
        <w:rPr>
          <w:rFonts w:hint="eastAsia"/>
          <w:bCs/>
          <w:sz w:val="24"/>
        </w:rPr>
        <w:t>法定代表人：郑杨</w:t>
      </w:r>
    </w:p>
    <w:p>
      <w:pPr>
        <w:widowControl/>
        <w:adjustRightInd w:val="0"/>
        <w:snapToGrid w:val="0"/>
        <w:spacing w:line="360" w:lineRule="auto"/>
        <w:ind w:firstLine="480" w:firstLineChars="200"/>
        <w:rPr>
          <w:bCs/>
          <w:sz w:val="24"/>
        </w:rPr>
      </w:pPr>
      <w:r>
        <w:rPr>
          <w:rFonts w:hint="eastAsia"/>
          <w:bCs/>
          <w:sz w:val="24"/>
        </w:rPr>
        <w:t>成立日期：1992年10月19日</w:t>
      </w:r>
    </w:p>
    <w:p>
      <w:pPr>
        <w:widowControl/>
        <w:adjustRightInd w:val="0"/>
        <w:snapToGrid w:val="0"/>
        <w:spacing w:line="360" w:lineRule="auto"/>
        <w:ind w:firstLine="480" w:firstLineChars="200"/>
        <w:rPr>
          <w:bCs/>
          <w:sz w:val="24"/>
        </w:rPr>
      </w:pPr>
      <w:r>
        <w:rPr>
          <w:rFonts w:hint="eastAsia"/>
          <w:bCs/>
          <w:sz w:val="24"/>
        </w:rPr>
        <w:t>基金托管业务资格批准机关：中国证监会</w:t>
      </w:r>
    </w:p>
    <w:p>
      <w:pPr>
        <w:widowControl/>
        <w:adjustRightInd w:val="0"/>
        <w:snapToGrid w:val="0"/>
        <w:spacing w:line="360" w:lineRule="auto"/>
        <w:ind w:firstLine="480" w:firstLineChars="200"/>
        <w:rPr>
          <w:bCs/>
          <w:sz w:val="24"/>
        </w:rPr>
      </w:pPr>
      <w:r>
        <w:rPr>
          <w:rFonts w:hint="eastAsia"/>
          <w:bCs/>
          <w:sz w:val="24"/>
        </w:rPr>
        <w:t>基金托管业务资格文号：证监基金字[2003]105号</w:t>
      </w:r>
    </w:p>
    <w:p>
      <w:pPr>
        <w:widowControl/>
        <w:adjustRightInd w:val="0"/>
        <w:snapToGrid w:val="0"/>
        <w:spacing w:line="360" w:lineRule="auto"/>
        <w:ind w:firstLine="480" w:firstLineChars="200"/>
        <w:rPr>
          <w:bCs/>
          <w:sz w:val="24"/>
        </w:rPr>
      </w:pPr>
      <w:r>
        <w:rPr>
          <w:rFonts w:hint="eastAsia"/>
          <w:bCs/>
          <w:sz w:val="24"/>
        </w:rPr>
        <w:t>组织形式：股份有限公司（上市）</w:t>
      </w:r>
    </w:p>
    <w:p>
      <w:pPr>
        <w:widowControl/>
        <w:adjustRightInd w:val="0"/>
        <w:snapToGrid w:val="0"/>
        <w:spacing w:line="360" w:lineRule="auto"/>
        <w:ind w:firstLine="480" w:firstLineChars="200"/>
        <w:rPr>
          <w:bCs/>
          <w:sz w:val="24"/>
        </w:rPr>
      </w:pPr>
      <w:r>
        <w:rPr>
          <w:rFonts w:hint="eastAsia"/>
          <w:bCs/>
          <w:sz w:val="24"/>
        </w:rPr>
        <w:t>注册资本：人民币293.52亿元</w:t>
      </w:r>
    </w:p>
    <w:p>
      <w:pPr>
        <w:widowControl/>
        <w:adjustRightInd w:val="0"/>
        <w:snapToGrid w:val="0"/>
        <w:spacing w:line="360" w:lineRule="auto"/>
        <w:ind w:firstLine="480" w:firstLineChars="200"/>
        <w:rPr>
          <w:bCs/>
          <w:sz w:val="24"/>
        </w:rPr>
      </w:pPr>
      <w:r>
        <w:rPr>
          <w:rFonts w:hint="eastAsia"/>
          <w:bCs/>
          <w:sz w:val="24"/>
        </w:rPr>
        <w:t>经营期限：永久存续</w:t>
      </w:r>
    </w:p>
    <w:p>
      <w:pPr>
        <w:adjustRightInd w:val="0"/>
        <w:snapToGrid w:val="0"/>
        <w:spacing w:line="360" w:lineRule="auto"/>
        <w:ind w:firstLine="482"/>
        <w:outlineLvl w:val="1"/>
        <w:rPr>
          <w:b/>
          <w:bCs/>
          <w:sz w:val="24"/>
        </w:rPr>
      </w:pPr>
      <w:r>
        <w:rPr>
          <w:rFonts w:hint="eastAsia"/>
          <w:b/>
          <w:bCs/>
          <w:sz w:val="24"/>
        </w:rPr>
        <w:t>（二）基金托管人对基金管理人的业务监督和核查</w:t>
      </w:r>
    </w:p>
    <w:p>
      <w:pPr>
        <w:adjustRightInd w:val="0"/>
        <w:snapToGrid w:val="0"/>
        <w:spacing w:line="360" w:lineRule="auto"/>
        <w:ind w:firstLine="482"/>
        <w:rPr>
          <w:rFonts w:ascii="宋体" w:hAnsi="宋体"/>
          <w:sz w:val="24"/>
          <w:szCs w:val="24"/>
        </w:rPr>
      </w:pPr>
      <w:r>
        <w:rPr>
          <w:rFonts w:hint="eastAsia" w:ascii="宋体" w:hAnsi="宋体"/>
          <w:sz w:val="24"/>
          <w:szCs w:val="24"/>
        </w:rPr>
        <w:t>1、基金托管人根据有关法律法规的规定和《基金合同》的约定，对下述基金投资范围、投资对象进行监督。</w:t>
      </w:r>
    </w:p>
    <w:p>
      <w:pPr>
        <w:adjustRightInd w:val="0"/>
        <w:snapToGrid w:val="0"/>
        <w:spacing w:line="360" w:lineRule="auto"/>
        <w:ind w:firstLine="482"/>
        <w:rPr>
          <w:rFonts w:ascii="宋体" w:hAnsi="宋体"/>
          <w:sz w:val="24"/>
          <w:szCs w:val="24"/>
        </w:rPr>
      </w:pPr>
      <w:bookmarkStart w:id="100" w:name="_Hlk50019036"/>
      <w:r>
        <w:rPr>
          <w:rFonts w:hint="eastAsia" w:ascii="宋体" w:hAnsi="宋体"/>
          <w:sz w:val="24"/>
          <w:szCs w:val="24"/>
        </w:rPr>
        <w:t>本基金将投资于以下金融工具：</w:t>
      </w:r>
    </w:p>
    <w:p>
      <w:pPr>
        <w:adjustRightInd w:val="0"/>
        <w:snapToGrid w:val="0"/>
        <w:spacing w:line="360" w:lineRule="auto"/>
        <w:ind w:firstLine="482"/>
        <w:rPr>
          <w:rFonts w:ascii="宋体" w:hAnsi="宋体"/>
          <w:sz w:val="24"/>
          <w:szCs w:val="24"/>
        </w:rPr>
      </w:pPr>
      <w:r>
        <w:rPr>
          <w:rFonts w:hint="eastAsia" w:ascii="宋体" w:hAnsi="宋体"/>
          <w:sz w:val="24"/>
          <w:szCs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2"/>
        <w:rPr>
          <w:rFonts w:ascii="宋体" w:hAnsi="宋体"/>
          <w:sz w:val="24"/>
          <w:szCs w:val="24"/>
        </w:rPr>
      </w:pPr>
      <w:r>
        <w:rPr>
          <w:rFonts w:hint="eastAsia" w:ascii="宋体" w:hAnsi="宋体"/>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sz w:val="24"/>
          <w:szCs w:val="24"/>
        </w:rPr>
      </w:pPr>
      <w:r>
        <w:rPr>
          <w:rFonts w:hint="eastAsia" w:ascii="宋体" w:hAnsi="宋体"/>
          <w:sz w:val="24"/>
          <w:szCs w:val="24"/>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pPr>
        <w:adjustRightInd w:val="0"/>
        <w:snapToGrid w:val="0"/>
        <w:spacing w:line="360" w:lineRule="auto"/>
        <w:ind w:firstLine="482"/>
        <w:rPr>
          <w:rFonts w:ascii="宋体" w:hAnsi="宋体"/>
          <w:sz w:val="24"/>
          <w:szCs w:val="24"/>
        </w:rPr>
      </w:pPr>
      <w:r>
        <w:rPr>
          <w:rFonts w:hint="eastAsia" w:ascii="宋体" w:hAnsi="宋体"/>
          <w:sz w:val="24"/>
          <w:szCs w:val="24"/>
        </w:rPr>
        <w:t>本基金不得投资于相关法律、法规、部门规章及《基金合同》禁止投资的投资工具。</w:t>
      </w:r>
    </w:p>
    <w:p>
      <w:pPr>
        <w:adjustRightInd w:val="0"/>
        <w:snapToGrid w:val="0"/>
        <w:spacing w:line="360" w:lineRule="auto"/>
        <w:ind w:firstLine="482"/>
        <w:rPr>
          <w:rFonts w:ascii="宋体" w:hAnsi="宋体"/>
          <w:sz w:val="24"/>
          <w:szCs w:val="24"/>
        </w:rPr>
      </w:pPr>
      <w:r>
        <w:rPr>
          <w:rFonts w:hint="eastAsia" w:ascii="宋体" w:hAnsi="宋体"/>
          <w:sz w:val="24"/>
          <w:szCs w:val="24"/>
        </w:rPr>
        <w:t>2.基金托管人根据有关法律法规的规定及《基金合同》的约定对下述基金投融资比例进行监督：</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（1）按法律法规的规定及《基金合同》的约定，本基金的投资资产配置比例为：</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基金的投资组合比例为：股票投资（含存托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因基金规模或市场变化等因素导致投资组合不符合上述规定的，基金管理人应在合理的期限内调整基金的投资组合，以符合上述比例限定。法律法规另有规定时，从其规定。</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 xml:space="preserve">（2）根据法律法规的规定及《基金合同》的约定，本基金投资组合遵循以下投资限制： </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1）股票投资（含存托凭证）占基金资产的比例为60%-95%，其中投资于港股通标的股票的比例占股票资产的0%-50%；</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2）每个交易日日终在扣除股指期货合约需缴纳的交易保证金后，本基金持有的现金或者到期日在一年以内的政府债券的投资比例合计不低于基金资产净值的5%，其中现金不包括结算备付金、存出保证金、应收申购款等；</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3）本基金持有一家公司发行的证券（同一家公司在内地和香港同时上市的A+H股合计计算），其市值不超过基金资产净值的10％；</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5）本基金投资于同一原始权益人的各类资产支持证券的比例，不得超过基金资产净值的10％；</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6）本基金持有的全部资产支持证券，其市值不得超过基金资产净值的20％；</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7）本基金持有的同一（指同一信用级别）资产支持证券的比例，不得超过该资产支持证券规模的10％；</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8）本基金管理人管理的全部基金投资于同一原始权益人的各类资产支持证券，不得超过其各类资产支持证券合计规模的10％；</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10）基金财产参与股票发行申购，本基金所申报的金额不超过本基金的总资产，本基金所申报的股票数量不超过拟发行股票公司本次发行股票的总量；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11）本基金进入全国银行间同业市场进行债券回购的资金余额不得超过基金资产净值的40%，进入全国银行间同业市场进行债券回购的最长期限为1年，债券回购到期后不得展期；</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14）本基金与私募类证券资管产品及中国证监会认定的其他主体为交易对手开展逆回购交易的，可接受质押品的资质要求应当与基金合同约定的投资范围保持一致；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15）本基金参与股指期货交易，则：</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①本基金在任何交易日日终，持有的买入股指期货合约价值，不得超过基金资产净值的10%；</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②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③本基金在任何交易日日终，持有的卖出股指期货合约价值不得超过基金持有的股票总市值的20%；</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④本基金所持有的股票市值和买入、卖出股指期货合约价值，合计（轧差计算）应当符合基金合同关于股票投资比例的有关约定；</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⑤本基金在任何交易日内交易（不包括平仓）的股指期货合约的成交金额不得超过上一交易日基金资产净值的20%；</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16）本基金资产总值不超过基金资产净值的140%；</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17）本基金投资存托凭证的比例限制依照境内上市交易的股票执行；</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18）法律法规及中国证监会规定的和《基金合同》约定的其他投资限制。</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widowControl/>
        <w:adjustRightInd w:val="0"/>
        <w:snapToGrid w:val="0"/>
        <w:spacing w:line="360" w:lineRule="auto"/>
        <w:ind w:firstLine="480" w:firstLineChars="200"/>
        <w:rPr>
          <w:bCs/>
          <w:sz w:val="24"/>
        </w:rPr>
      </w:pPr>
      <w:r>
        <w:rPr>
          <w:rFonts w:hint="eastAsia" w:ascii="宋体" w:hAnsi="宋体"/>
          <w:sz w:val="24"/>
          <w:szCs w:val="24"/>
        </w:rPr>
        <w:t>基金托管人对上述指标的监督义务，仅限于监督由基金管理人管理且由基金托管人托管的全部公募基金是否符合上述比例限制。法律法规对上述投资组合比例限制进行变更的，以变更后的规定为准。《基金法》及其他有关法律法规或监管部门取消上述限制的，如适用于本基金，基金管理人在履行适当程序后，则本基金投资不再受相关限制。</w:t>
      </w:r>
    </w:p>
    <w:bookmarkEnd w:id="100"/>
    <w:p>
      <w:pPr>
        <w:adjustRightInd w:val="0"/>
        <w:snapToGrid w:val="0"/>
        <w:spacing w:line="360" w:lineRule="auto"/>
        <w:ind w:firstLine="482"/>
        <w:rPr>
          <w:rFonts w:ascii="宋体" w:hAnsi="宋体"/>
          <w:sz w:val="24"/>
          <w:szCs w:val="24"/>
        </w:rPr>
      </w:pPr>
      <w:r>
        <w:rPr>
          <w:rFonts w:hint="eastAsia" w:ascii="宋体" w:hAnsi="宋体"/>
          <w:sz w:val="24"/>
          <w:szCs w:val="24"/>
        </w:rPr>
        <w:t xml:space="preserve">3.基金托管人根据有关法律法规的规定及《基金合同》的约定对下述基金投资禁止行为进行监督： </w:t>
      </w:r>
    </w:p>
    <w:p>
      <w:pPr>
        <w:adjustRightInd w:val="0"/>
        <w:snapToGrid w:val="0"/>
        <w:spacing w:line="360" w:lineRule="auto"/>
        <w:ind w:firstLine="482"/>
        <w:rPr>
          <w:rFonts w:ascii="宋体" w:hAnsi="宋体"/>
          <w:sz w:val="24"/>
          <w:szCs w:val="24"/>
        </w:rPr>
      </w:pPr>
      <w:r>
        <w:rPr>
          <w:rFonts w:hint="eastAsia" w:ascii="宋体" w:hAnsi="宋体"/>
          <w:sz w:val="24"/>
          <w:szCs w:val="24"/>
        </w:rPr>
        <w:t>根据法律法规的规定及《基金合同》的约定，本基金禁止从事下列行为：</w:t>
      </w:r>
    </w:p>
    <w:p>
      <w:pPr>
        <w:adjustRightInd w:val="0"/>
        <w:snapToGrid w:val="0"/>
        <w:spacing w:line="360" w:lineRule="auto"/>
        <w:ind w:firstLine="482"/>
        <w:rPr>
          <w:rFonts w:ascii="宋体" w:hAnsi="宋体"/>
          <w:sz w:val="24"/>
          <w:szCs w:val="24"/>
        </w:rPr>
      </w:pPr>
      <w:r>
        <w:rPr>
          <w:rFonts w:hint="eastAsia" w:ascii="宋体" w:hAnsi="宋体"/>
          <w:sz w:val="24"/>
          <w:szCs w:val="24"/>
        </w:rPr>
        <w:t>（1）承销证券；</w:t>
      </w:r>
    </w:p>
    <w:p>
      <w:pPr>
        <w:adjustRightInd w:val="0"/>
        <w:snapToGrid w:val="0"/>
        <w:spacing w:line="360" w:lineRule="auto"/>
        <w:ind w:firstLine="482"/>
        <w:rPr>
          <w:rFonts w:ascii="宋体" w:hAnsi="宋体"/>
          <w:sz w:val="24"/>
          <w:szCs w:val="24"/>
        </w:rPr>
      </w:pPr>
      <w:r>
        <w:rPr>
          <w:rFonts w:hint="eastAsia" w:ascii="宋体" w:hAnsi="宋体"/>
          <w:sz w:val="24"/>
          <w:szCs w:val="24"/>
        </w:rPr>
        <w:t>（2）违反规定向他人贷款或者提供担保；</w:t>
      </w:r>
    </w:p>
    <w:p>
      <w:pPr>
        <w:adjustRightInd w:val="0"/>
        <w:snapToGrid w:val="0"/>
        <w:spacing w:line="360" w:lineRule="auto"/>
        <w:ind w:firstLine="482"/>
        <w:rPr>
          <w:rFonts w:ascii="宋体" w:hAnsi="宋体"/>
          <w:sz w:val="24"/>
          <w:szCs w:val="24"/>
        </w:rPr>
      </w:pPr>
      <w:r>
        <w:rPr>
          <w:rFonts w:hint="eastAsia" w:ascii="宋体" w:hAnsi="宋体"/>
          <w:sz w:val="24"/>
          <w:szCs w:val="24"/>
        </w:rPr>
        <w:t>（3）从事承担无限责任的投资；</w:t>
      </w:r>
    </w:p>
    <w:p>
      <w:pPr>
        <w:adjustRightInd w:val="0"/>
        <w:snapToGrid w:val="0"/>
        <w:spacing w:line="360" w:lineRule="auto"/>
        <w:ind w:firstLine="482"/>
        <w:rPr>
          <w:rFonts w:ascii="宋体" w:hAnsi="宋体"/>
          <w:sz w:val="24"/>
          <w:szCs w:val="24"/>
        </w:rPr>
      </w:pPr>
      <w:r>
        <w:rPr>
          <w:rFonts w:hint="eastAsia" w:ascii="宋体" w:hAnsi="宋体"/>
          <w:sz w:val="24"/>
          <w:szCs w:val="24"/>
        </w:rPr>
        <w:t>（4）买卖其他基金份额，但是中国证监会另有规定的除外；</w:t>
      </w:r>
    </w:p>
    <w:p>
      <w:pPr>
        <w:adjustRightInd w:val="0"/>
        <w:snapToGrid w:val="0"/>
        <w:spacing w:line="360" w:lineRule="auto"/>
        <w:ind w:firstLine="482"/>
        <w:rPr>
          <w:rFonts w:ascii="宋体" w:hAnsi="宋体"/>
          <w:sz w:val="24"/>
          <w:szCs w:val="24"/>
        </w:rPr>
      </w:pPr>
      <w:r>
        <w:rPr>
          <w:rFonts w:hint="eastAsia" w:ascii="宋体" w:hAnsi="宋体"/>
          <w:sz w:val="24"/>
          <w:szCs w:val="24"/>
        </w:rPr>
        <w:t>（5）向其基金管理人、基金托管人出资；</w:t>
      </w:r>
    </w:p>
    <w:p>
      <w:pPr>
        <w:adjustRightInd w:val="0"/>
        <w:snapToGrid w:val="0"/>
        <w:spacing w:line="360" w:lineRule="auto"/>
        <w:ind w:firstLine="482"/>
        <w:rPr>
          <w:rFonts w:ascii="宋体" w:hAnsi="宋体"/>
          <w:sz w:val="24"/>
          <w:szCs w:val="24"/>
        </w:rPr>
      </w:pPr>
      <w:r>
        <w:rPr>
          <w:rFonts w:hint="eastAsia" w:ascii="宋体" w:hAnsi="宋体"/>
          <w:sz w:val="24"/>
          <w:szCs w:val="24"/>
        </w:rPr>
        <w:t>（6）从事内幕交易、操纵证券交易价格及其他不正当的证券交易活动；</w:t>
      </w:r>
    </w:p>
    <w:p>
      <w:pPr>
        <w:adjustRightInd w:val="0"/>
        <w:snapToGrid w:val="0"/>
        <w:spacing w:line="360" w:lineRule="auto"/>
        <w:ind w:firstLine="482"/>
        <w:rPr>
          <w:rFonts w:ascii="宋体" w:hAnsi="宋体"/>
          <w:sz w:val="24"/>
          <w:szCs w:val="24"/>
        </w:rPr>
      </w:pPr>
      <w:r>
        <w:rPr>
          <w:rFonts w:hint="eastAsia" w:ascii="宋体" w:hAnsi="宋体"/>
          <w:sz w:val="24"/>
          <w:szCs w:val="24"/>
        </w:rPr>
        <w:t>（7）法律、行政法规和中国证监会规定禁止的其他活动。</w:t>
      </w:r>
    </w:p>
    <w:p>
      <w:pPr>
        <w:adjustRightInd w:val="0"/>
        <w:snapToGrid w:val="0"/>
        <w:spacing w:line="360" w:lineRule="auto"/>
        <w:ind w:firstLine="482"/>
        <w:rPr>
          <w:rFonts w:ascii="宋体" w:hAnsi="宋体"/>
          <w:sz w:val="24"/>
          <w:szCs w:val="24"/>
        </w:rPr>
      </w:pPr>
      <w:r>
        <w:rPr>
          <w:rFonts w:hint="eastAsia" w:ascii="宋体" w:hAnsi="宋体"/>
          <w:sz w:val="24"/>
          <w:szCs w:val="24"/>
        </w:rPr>
        <w:t>如法律、行政法规或监管部门取消或变更上述禁止性规定，如适用于本基金，基金管理人在履行适当程序后可不受上述规定的限制。</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4.基金托管人依据有关法律法规的规定和《基金合同》的约定对于基金关联投资限制进行监督。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2"/>
        <w:rPr>
          <w:rFonts w:ascii="宋体" w:hAnsi="宋体"/>
          <w:sz w:val="24"/>
          <w:szCs w:val="24"/>
        </w:rPr>
      </w:pPr>
      <w:r>
        <w:rPr>
          <w:rFonts w:hint="eastAsia" w:ascii="宋体" w:hAnsi="宋体"/>
          <w:sz w:val="24"/>
          <w:szCs w:val="24"/>
        </w:rPr>
        <w:t>如法律、行政法规或监管部门取消或变更上述规定，如适用于本基金，基金管理人在履行适当程序后，本基金可不受上述规定的限制。</w:t>
      </w:r>
    </w:p>
    <w:p>
      <w:pPr>
        <w:adjustRightInd w:val="0"/>
        <w:snapToGrid w:val="0"/>
        <w:spacing w:line="360" w:lineRule="auto"/>
        <w:ind w:firstLine="482"/>
        <w:rPr>
          <w:rFonts w:ascii="宋体" w:hAnsi="宋体"/>
          <w:sz w:val="24"/>
          <w:szCs w:val="24"/>
        </w:rPr>
      </w:pPr>
      <w:r>
        <w:rPr>
          <w:rFonts w:hint="eastAsia" w:ascii="宋体" w:hAnsi="宋体"/>
          <w:sz w:val="24"/>
          <w:szCs w:val="24"/>
        </w:rPr>
        <w:t>如法律、法规或《基金合同》有关于基金从事关联交易的规定，基金管理人和基金托管人事先相互提供与本机构有控股关系的股东、与本机构有其他重大利害关系的公司名单。双方有责任确保关联交易名单的真实性、准确性、完整性，并负责及时发送更新后的名单。基金管理人的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5.基金托管人依据有关法律法规的规定和《基金合同》的约定对基金管理人参与银行间债券市场进行监督。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基金托管人根据基金管理人提供的银行间债券市场交易对手名单进行监督。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6. 基金托管人依据有关法律法规的规定和《基金合同》的约定，对基金银行存款业务进行监督。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如果基金托管人在运作过程中遵循有关法律法规的规定和《基金合同》的约定监督流程，则对于由于存款银行信用风险引起的损失，不承担赔偿责任。</w:t>
      </w:r>
    </w:p>
    <w:p>
      <w:pPr>
        <w:adjustRightInd w:val="0"/>
        <w:snapToGrid w:val="0"/>
        <w:spacing w:line="360" w:lineRule="auto"/>
        <w:ind w:firstLine="482"/>
        <w:rPr>
          <w:rFonts w:ascii="宋体" w:hAnsi="宋体"/>
          <w:sz w:val="24"/>
          <w:szCs w:val="24"/>
        </w:rPr>
      </w:pPr>
      <w:r>
        <w:rPr>
          <w:rFonts w:hint="eastAsia" w:ascii="宋体" w:hAnsi="宋体"/>
          <w:sz w:val="24"/>
          <w:szCs w:val="24"/>
        </w:rPr>
        <w:t>7.基金托管人对基金投资流通受限证券的监督</w:t>
      </w:r>
    </w:p>
    <w:p>
      <w:pPr>
        <w:adjustRightInd w:val="0"/>
        <w:snapToGrid w:val="0"/>
        <w:spacing w:line="360" w:lineRule="auto"/>
        <w:ind w:firstLine="482"/>
        <w:rPr>
          <w:rFonts w:ascii="宋体" w:hAnsi="宋体"/>
          <w:sz w:val="24"/>
          <w:szCs w:val="24"/>
        </w:rPr>
      </w:pPr>
      <w:r>
        <w:rPr>
          <w:rFonts w:hint="eastAsia" w:ascii="宋体" w:hAnsi="宋体"/>
          <w:sz w:val="24"/>
          <w:szCs w:val="24"/>
        </w:rPr>
        <w:t>如下所指“流通受限证券”与本协议以及基金合同所指“流动性受限资产”定义存在不同。就流动性受限资产定义，请参照基金合同的“第二部分 释义”部分。</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相应责任。如因基金管理人原因导致本基金出现损失的，基金托管人不承担相应责任。</w:t>
      </w:r>
    </w:p>
    <w:p>
      <w:pPr>
        <w:adjustRightInd w:val="0"/>
        <w:snapToGrid w:val="0"/>
        <w:spacing w:line="360" w:lineRule="auto"/>
        <w:ind w:firstLine="482"/>
        <w:rPr>
          <w:rFonts w:ascii="宋体" w:hAnsi="宋体"/>
          <w:sz w:val="24"/>
          <w:szCs w:val="24"/>
        </w:rPr>
      </w:pPr>
      <w:r>
        <w:rPr>
          <w:rFonts w:hint="eastAsia" w:ascii="宋体" w:hAnsi="宋体"/>
          <w:sz w:val="24"/>
          <w:szCs w:val="24"/>
        </w:rPr>
        <w:t>（3）基金管理人应在基金投资非公开发行股票后两个交易日内，在中国证监会规定媒介披露所投资非公开发行股票的名称、数量、总成本、账面价值，以及总成本和账面价值占基金资产净值的比例、锁定期等信息。</w:t>
      </w:r>
    </w:p>
    <w:p>
      <w:pPr>
        <w:adjustRightInd w:val="0"/>
        <w:snapToGrid w:val="0"/>
        <w:spacing w:line="360" w:lineRule="auto"/>
        <w:ind w:firstLine="482"/>
        <w:rPr>
          <w:rFonts w:ascii="宋体" w:hAnsi="宋体"/>
          <w:sz w:val="24"/>
          <w:szCs w:val="24"/>
        </w:rPr>
      </w:pPr>
      <w:r>
        <w:rPr>
          <w:rFonts w:hint="eastAsia" w:ascii="宋体" w:hAnsi="宋体"/>
          <w:sz w:val="24"/>
          <w:szCs w:val="24"/>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pPr>
        <w:adjustRightInd w:val="0"/>
        <w:snapToGrid w:val="0"/>
        <w:spacing w:line="360" w:lineRule="auto"/>
        <w:ind w:firstLine="482"/>
        <w:rPr>
          <w:rFonts w:ascii="宋体" w:hAnsi="宋体"/>
          <w:sz w:val="24"/>
          <w:szCs w:val="24"/>
        </w:rPr>
      </w:pPr>
      <w:r>
        <w:rPr>
          <w:rFonts w:hint="eastAsia" w:ascii="宋体" w:hAnsi="宋体"/>
          <w:sz w:val="24"/>
          <w:szCs w:val="24"/>
        </w:rPr>
        <w:t>如基金管理人未遵守相关制度、流动性风险处置方案以及投资额度和比例限制要求，导致基金出现风险使基金托管人承担连带赔偿责任的，若基金托管人此前已切实履行监督职责的，基金管理人应赔偿基金托管人由此遭受的损失。</w:t>
      </w:r>
    </w:p>
    <w:p>
      <w:pPr>
        <w:adjustRightInd w:val="0"/>
        <w:snapToGrid w:val="0"/>
        <w:spacing w:line="360" w:lineRule="auto"/>
        <w:ind w:firstLine="482"/>
        <w:rPr>
          <w:rFonts w:ascii="宋体" w:hAnsi="宋体"/>
          <w:sz w:val="24"/>
          <w:szCs w:val="24"/>
        </w:rPr>
      </w:pPr>
      <w:r>
        <w:rPr>
          <w:rFonts w:hint="eastAsia" w:ascii="宋体" w:hAnsi="宋体"/>
          <w:sz w:val="24"/>
          <w:szCs w:val="24"/>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pPr>
        <w:adjustRightInd w:val="0"/>
        <w:snapToGrid w:val="0"/>
        <w:spacing w:line="360" w:lineRule="auto"/>
        <w:ind w:firstLine="482"/>
        <w:rPr>
          <w:rFonts w:ascii="宋体" w:hAnsi="宋体"/>
          <w:sz w:val="24"/>
          <w:szCs w:val="24"/>
        </w:rPr>
      </w:pPr>
      <w:r>
        <w:rPr>
          <w:rFonts w:hint="eastAsia" w:ascii="宋体" w:hAnsi="宋体"/>
          <w:sz w:val="24"/>
          <w:szCs w:val="24"/>
        </w:rPr>
        <w:t>1）中国证监会批准发行非公开发行股票的批准文件。</w:t>
      </w:r>
    </w:p>
    <w:p>
      <w:pPr>
        <w:adjustRightInd w:val="0"/>
        <w:snapToGrid w:val="0"/>
        <w:spacing w:line="360" w:lineRule="auto"/>
        <w:ind w:firstLine="482"/>
        <w:rPr>
          <w:rFonts w:ascii="宋体" w:hAnsi="宋体"/>
          <w:sz w:val="24"/>
          <w:szCs w:val="24"/>
        </w:rPr>
      </w:pPr>
      <w:r>
        <w:rPr>
          <w:rFonts w:hint="eastAsia" w:ascii="宋体" w:hAnsi="宋体"/>
          <w:sz w:val="24"/>
          <w:szCs w:val="24"/>
        </w:rPr>
        <w:t>2）有关非公开发行股票的发行数量、发行价格、锁定期等发行资料。</w:t>
      </w:r>
    </w:p>
    <w:p>
      <w:pPr>
        <w:adjustRightInd w:val="0"/>
        <w:snapToGrid w:val="0"/>
        <w:spacing w:line="360" w:lineRule="auto"/>
        <w:ind w:firstLine="482"/>
        <w:rPr>
          <w:rFonts w:ascii="宋体" w:hAnsi="宋体"/>
          <w:sz w:val="24"/>
          <w:szCs w:val="24"/>
        </w:rPr>
      </w:pPr>
      <w:r>
        <w:rPr>
          <w:rFonts w:hint="eastAsia" w:ascii="宋体" w:hAnsi="宋体"/>
          <w:sz w:val="24"/>
          <w:szCs w:val="24"/>
        </w:rPr>
        <w:t>3）基金拟认购的数量、价格、总成本、账面价值。</w:t>
      </w:r>
    </w:p>
    <w:p>
      <w:pPr>
        <w:adjustRightInd w:val="0"/>
        <w:snapToGrid w:val="0"/>
        <w:spacing w:line="360" w:lineRule="auto"/>
        <w:ind w:firstLine="482"/>
        <w:rPr>
          <w:rFonts w:ascii="宋体" w:hAnsi="宋体"/>
          <w:sz w:val="24"/>
          <w:szCs w:val="24"/>
        </w:rPr>
      </w:pPr>
      <w:r>
        <w:rPr>
          <w:rFonts w:hint="eastAsia" w:ascii="宋体" w:hAnsi="宋体"/>
          <w:sz w:val="24"/>
          <w:szCs w:val="24"/>
        </w:rPr>
        <w:t>4）该基金投资流通受限证券的投资额度和投资比例控制。</w:t>
      </w:r>
    </w:p>
    <w:p>
      <w:pPr>
        <w:adjustRightInd w:val="0"/>
        <w:snapToGrid w:val="0"/>
        <w:spacing w:line="360" w:lineRule="auto"/>
        <w:ind w:firstLine="482"/>
        <w:rPr>
          <w:rFonts w:ascii="宋体" w:hAnsi="宋体"/>
          <w:sz w:val="24"/>
          <w:szCs w:val="24"/>
        </w:rPr>
      </w:pPr>
      <w:r>
        <w:rPr>
          <w:rFonts w:hint="eastAsia" w:ascii="宋体" w:hAnsi="宋体"/>
          <w:sz w:val="24"/>
          <w:szCs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相应责任，并有权报告中国证监会。</w:t>
      </w:r>
    </w:p>
    <w:p>
      <w:pPr>
        <w:adjustRightInd w:val="0"/>
        <w:snapToGrid w:val="0"/>
        <w:spacing w:line="360" w:lineRule="auto"/>
        <w:ind w:firstLine="482"/>
        <w:rPr>
          <w:rFonts w:ascii="宋体" w:hAnsi="宋体"/>
          <w:sz w:val="24"/>
          <w:szCs w:val="24"/>
        </w:rPr>
      </w:pPr>
      <w:r>
        <w:rPr>
          <w:rFonts w:hint="eastAsia" w:ascii="宋体" w:hAnsi="宋体"/>
          <w:sz w:val="24"/>
          <w:szCs w:val="24"/>
        </w:rPr>
        <w:t>如基金管理人和基金托管人无法就上述问题达成一致，应及时上报中国证监会请求解决。基金托管人履行了本协议规定的监督职责后，不承担相应责任。</w:t>
      </w:r>
    </w:p>
    <w:p>
      <w:pPr>
        <w:adjustRightInd w:val="0"/>
        <w:snapToGrid w:val="0"/>
        <w:spacing w:line="360" w:lineRule="auto"/>
        <w:ind w:firstLine="482"/>
        <w:rPr>
          <w:rFonts w:ascii="宋体" w:hAnsi="宋体"/>
          <w:sz w:val="24"/>
          <w:szCs w:val="24"/>
        </w:rPr>
      </w:pPr>
      <w:r>
        <w:rPr>
          <w:rFonts w:hint="eastAsia" w:ascii="宋体" w:hAnsi="宋体"/>
          <w:sz w:val="24"/>
          <w:szCs w:val="24"/>
        </w:rPr>
        <w:t>(5)相关法律法规对基金投资流通受限证券有新规定的，从其规定。</w:t>
      </w:r>
    </w:p>
    <w:p>
      <w:pPr>
        <w:adjustRightInd w:val="0"/>
        <w:snapToGrid w:val="0"/>
        <w:spacing w:line="360" w:lineRule="auto"/>
        <w:ind w:firstLine="480"/>
        <w:rPr>
          <w:rFonts w:ascii="宋体" w:hAnsi="宋体"/>
          <w:sz w:val="24"/>
          <w:szCs w:val="24"/>
        </w:rPr>
      </w:pPr>
      <w:r>
        <w:rPr>
          <w:rFonts w:hint="eastAsia" w:ascii="宋体" w:hAnsi="宋体"/>
          <w:sz w:val="24"/>
          <w:szCs w:val="24"/>
        </w:rPr>
        <w:t>8. 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相应责任。如因基金管理人原因导致基金出现损失的，基金托管人不承担相应责任。</w:t>
      </w:r>
    </w:p>
    <w:p>
      <w:pPr>
        <w:adjustRightInd w:val="0"/>
        <w:snapToGrid w:val="0"/>
        <w:spacing w:line="360" w:lineRule="auto"/>
        <w:ind w:firstLine="480"/>
        <w:rPr>
          <w:rFonts w:ascii="宋体" w:hAnsi="宋体"/>
          <w:sz w:val="24"/>
          <w:szCs w:val="24"/>
        </w:rPr>
      </w:pPr>
      <w:r>
        <w:rPr>
          <w:rFonts w:hint="eastAsia" w:ascii="宋体" w:hAnsi="宋体"/>
          <w:sz w:val="24"/>
          <w:szCs w:val="24"/>
        </w:rPr>
        <w:t>9.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pPr>
        <w:adjustRightInd w:val="0"/>
        <w:snapToGrid w:val="0"/>
        <w:spacing w:line="360" w:lineRule="auto"/>
        <w:ind w:firstLine="480"/>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p>
    <w:p>
      <w:pPr>
        <w:adjustRightInd w:val="0"/>
        <w:snapToGrid w:val="0"/>
        <w:spacing w:line="360" w:lineRule="auto"/>
        <w:ind w:firstLine="480"/>
        <w:rPr>
          <w:rFonts w:ascii="宋体" w:hAnsi="宋体"/>
          <w:sz w:val="24"/>
          <w:szCs w:val="24"/>
        </w:rPr>
      </w:pPr>
      <w:r>
        <w:rPr>
          <w:rFonts w:hint="eastAsia" w:ascii="宋体" w:hAnsi="宋体"/>
          <w:sz w:val="24"/>
          <w:szCs w:val="24"/>
        </w:rPr>
        <w:t>在限期内，基金托管人有权随时对通知事项进行复查，督促基金管理人改正。基金管理人对基金托管人通知的违规事项未能在限期内纠正的，基金托管人应报告中国证监会。</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pPr>
        <w:adjustRightInd w:val="0"/>
        <w:snapToGrid w:val="0"/>
        <w:spacing w:line="360" w:lineRule="auto"/>
        <w:ind w:firstLine="480"/>
        <w:rPr>
          <w:rFonts w:ascii="宋体" w:hAnsi="宋体"/>
          <w:sz w:val="24"/>
          <w:szCs w:val="24"/>
        </w:rPr>
      </w:pPr>
      <w:r>
        <w:rPr>
          <w:rFonts w:hint="eastAsia" w:ascii="宋体" w:hAnsi="宋体"/>
          <w:sz w:val="24"/>
          <w:szCs w:val="24"/>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pPr>
        <w:adjustRightInd w:val="0"/>
        <w:snapToGrid w:val="0"/>
        <w:spacing w:line="360" w:lineRule="auto"/>
        <w:ind w:firstLine="480"/>
        <w:rPr>
          <w:rFonts w:ascii="宋体" w:hAnsi="宋体"/>
          <w:sz w:val="24"/>
          <w:szCs w:val="24"/>
        </w:rPr>
      </w:pPr>
      <w:r>
        <w:rPr>
          <w:rFonts w:hint="eastAsia" w:ascii="宋体" w:hAnsi="宋体"/>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pPr>
        <w:adjustRightInd w:val="0"/>
        <w:snapToGrid w:val="0"/>
        <w:spacing w:line="360" w:lineRule="auto"/>
        <w:ind w:firstLine="480"/>
        <w:rPr>
          <w:rFonts w:ascii="宋体" w:hAnsi="宋体"/>
          <w:sz w:val="24"/>
          <w:szCs w:val="24"/>
        </w:rPr>
      </w:pPr>
      <w:r>
        <w:rPr>
          <w:rFonts w:hint="eastAsia" w:ascii="宋体" w:hAnsi="宋体"/>
          <w:sz w:val="24"/>
          <w:szCs w:val="24"/>
        </w:rPr>
        <w:t>基金托管人发现基金管理人有重大违规行为，应立即报告中国证监会，同时通知基金管理人限期纠正。</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adjustRightInd w:val="0"/>
        <w:snapToGrid w:val="0"/>
        <w:spacing w:line="360" w:lineRule="auto"/>
        <w:ind w:firstLine="482"/>
        <w:outlineLvl w:val="1"/>
        <w:rPr>
          <w:b/>
          <w:bCs/>
          <w:sz w:val="24"/>
        </w:rPr>
      </w:pPr>
      <w:r>
        <w:rPr>
          <w:rFonts w:hint="eastAsia"/>
          <w:b/>
          <w:bCs/>
          <w:sz w:val="24"/>
        </w:rPr>
        <w:t>（三）基金管理人对基金托管人的业务核查</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对基金托管人履行托管职责情况进行核查，核查事项包括但不限于基金托管人是否安全保管基金财产、是否分别开设基金财产的资金账户、证券账户、期货结算账户及投资所需其他账户、是否复核基金管理人计算的基金资产净值和各类基金份额净值、是否根据基金管理人指令办理清算交收、进行相关信息披露和监督基金投资运作等行为。</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基金托管人应积极配合基金管理人的核查行为，包括但不限于：提交相关资料以供基金管理人核查托管财产的完整性和真实性，在规定时间内答复基金管理人并改正。</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adjustRightInd w:val="0"/>
        <w:snapToGrid w:val="0"/>
        <w:spacing w:line="360" w:lineRule="auto"/>
        <w:ind w:firstLine="482"/>
        <w:outlineLvl w:val="1"/>
        <w:rPr>
          <w:b/>
          <w:bCs/>
          <w:sz w:val="24"/>
        </w:rPr>
      </w:pPr>
      <w:r>
        <w:rPr>
          <w:rFonts w:hint="eastAsia"/>
          <w:b/>
          <w:bCs/>
          <w:sz w:val="24"/>
        </w:rPr>
        <w:t>（四）基金财产保管</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1、基金财产保管的原则</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1</w:t>
      </w:r>
      <w:r>
        <w:rPr>
          <w:rFonts w:hint="eastAsia"/>
          <w:color w:val="0D0D0D"/>
          <w:sz w:val="24"/>
          <w:szCs w:val="24"/>
        </w:rPr>
        <w:t>）</w:t>
      </w:r>
      <w:r>
        <w:rPr>
          <w:rFonts w:hint="eastAsia" w:ascii="宋体" w:hAnsi="宋体"/>
          <w:sz w:val="24"/>
          <w:szCs w:val="24"/>
        </w:rPr>
        <w:t>基金财产应独立于基金管理人、基金托管人、证券经纪机构的固有财产。</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2</w:t>
      </w:r>
      <w:r>
        <w:rPr>
          <w:rFonts w:hint="eastAsia"/>
          <w:color w:val="0D0D0D"/>
          <w:sz w:val="24"/>
          <w:szCs w:val="24"/>
        </w:rPr>
        <w:t>）</w:t>
      </w:r>
      <w:r>
        <w:rPr>
          <w:rFonts w:hint="eastAsia" w:ascii="宋体" w:hAnsi="宋体"/>
          <w:sz w:val="24"/>
          <w:szCs w:val="24"/>
        </w:rPr>
        <w:t>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3</w:t>
      </w:r>
      <w:r>
        <w:rPr>
          <w:rFonts w:hint="eastAsia"/>
          <w:color w:val="0D0D0D"/>
          <w:sz w:val="24"/>
          <w:szCs w:val="24"/>
        </w:rPr>
        <w:t>）</w:t>
      </w:r>
      <w:r>
        <w:rPr>
          <w:rFonts w:hint="eastAsia" w:ascii="宋体" w:hAnsi="宋体"/>
          <w:sz w:val="24"/>
          <w:szCs w:val="24"/>
        </w:rPr>
        <w:t>基金托管人按照规定为托管的基金财产开设资金账户、证券账户、期货结算账户及投资所需其他账户。</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4</w:t>
      </w:r>
      <w:r>
        <w:rPr>
          <w:rFonts w:hint="eastAsia"/>
          <w:color w:val="0D0D0D"/>
          <w:sz w:val="24"/>
          <w:szCs w:val="24"/>
        </w:rPr>
        <w:t>）</w:t>
      </w:r>
      <w:r>
        <w:rPr>
          <w:rFonts w:hint="eastAsia" w:ascii="宋体" w:hAnsi="宋体"/>
          <w:sz w:val="24"/>
          <w:szCs w:val="24"/>
        </w:rPr>
        <w:t>基金托管人对所托管的不同基金财产分别设置账户，与基金托管人的其他业务和其他基金的托管业务实行严格的分账管理，确保基金财产的完整与独立。</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5</w:t>
      </w:r>
      <w:r>
        <w:rPr>
          <w:rFonts w:hint="eastAsia"/>
          <w:color w:val="0D0D0D"/>
          <w:sz w:val="24"/>
          <w:szCs w:val="24"/>
        </w:rPr>
        <w:t>）</w:t>
      </w:r>
      <w:r>
        <w:rPr>
          <w:rFonts w:hint="eastAsia" w:ascii="宋体" w:hAnsi="宋体"/>
          <w:sz w:val="24"/>
          <w:szCs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2、募集资金的验证</w:t>
      </w:r>
    </w:p>
    <w:p>
      <w:pPr>
        <w:adjustRightInd w:val="0"/>
        <w:snapToGrid w:val="0"/>
        <w:spacing w:line="360" w:lineRule="auto"/>
        <w:ind w:firstLine="482"/>
        <w:rPr>
          <w:rFonts w:ascii="宋体" w:hAnsi="宋体"/>
          <w:sz w:val="24"/>
          <w:szCs w:val="24"/>
        </w:rPr>
      </w:pPr>
      <w:r>
        <w:rPr>
          <w:rFonts w:hint="eastAsia" w:ascii="宋体" w:hAnsi="宋体"/>
          <w:sz w:val="24"/>
          <w:szCs w:val="24"/>
        </w:rPr>
        <w:t>募集期内销售机构按销售与服务协议的约定，将认购资金划入基金管理人在具有托管资格的商业银行开设的“交银施罗德基金管理有限公司基金认购专户”。该账户由基金管理人开立并管理。基金募集期满或基金管理人宣布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pPr>
        <w:adjustRightInd w:val="0"/>
        <w:snapToGrid w:val="0"/>
        <w:spacing w:line="360" w:lineRule="auto"/>
        <w:ind w:firstLine="482"/>
        <w:rPr>
          <w:rFonts w:ascii="宋体" w:hAnsi="宋体"/>
          <w:sz w:val="24"/>
          <w:szCs w:val="24"/>
        </w:rPr>
      </w:pPr>
      <w:r>
        <w:rPr>
          <w:rFonts w:hint="eastAsia" w:ascii="宋体" w:hAnsi="宋体"/>
          <w:sz w:val="24"/>
          <w:szCs w:val="24"/>
        </w:rPr>
        <w:t>若基金募集期限届满，未能达到《基金合同》生效的条件，由基金管理人按规定办理退款事宜，基金托管人应提供充分协助。</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3、基金资产托管专户的开立和管理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pPr>
        <w:adjustRightInd w:val="0"/>
        <w:snapToGrid w:val="0"/>
        <w:spacing w:line="360" w:lineRule="auto"/>
        <w:ind w:firstLine="482"/>
        <w:rPr>
          <w:rFonts w:ascii="宋体" w:hAnsi="宋体"/>
          <w:sz w:val="24"/>
          <w:szCs w:val="24"/>
        </w:rPr>
      </w:pPr>
      <w:r>
        <w:rPr>
          <w:rFonts w:hint="eastAsia" w:ascii="宋体" w:hAnsi="宋体"/>
          <w:sz w:val="24"/>
          <w:szCs w:val="24"/>
        </w:rPr>
        <w:t>本基金的除证券交易所场内交易以外的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pPr>
        <w:adjustRightInd w:val="0"/>
        <w:snapToGrid w:val="0"/>
        <w:spacing w:line="360" w:lineRule="auto"/>
        <w:ind w:firstLine="482"/>
        <w:rPr>
          <w:rFonts w:ascii="宋体" w:hAnsi="宋体"/>
          <w:sz w:val="24"/>
          <w:szCs w:val="24"/>
        </w:rPr>
      </w:pPr>
      <w:r>
        <w:rPr>
          <w:rFonts w:hint="eastAsia" w:ascii="宋体" w:hAnsi="宋体"/>
          <w:sz w:val="24"/>
          <w:szCs w:val="24"/>
        </w:rPr>
        <w:t>资产托管专户的管理应符合《人民币银行结算账户管理办法》、《现金管理暂行条例》、《人民币利率管理规定》、《利率管理暂行规定》、《支付结算办法》以及银行业监督管理机构的其他有关规定。</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4、基金证券账户与证券交易资金账户的开设和管理</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基金托管人以基金托管人和本基金联名的方式在中国证券登记结算有限责任公司上海分公司/深圳分公司开立专门的证券账户。</w:t>
      </w:r>
    </w:p>
    <w:p>
      <w:pPr>
        <w:adjustRightInd w:val="0"/>
        <w:snapToGrid w:val="0"/>
        <w:spacing w:line="360" w:lineRule="auto"/>
        <w:ind w:firstLine="482"/>
        <w:rPr>
          <w:rFonts w:ascii="宋体" w:hAnsi="宋体"/>
          <w:sz w:val="24"/>
          <w:szCs w:val="24"/>
        </w:rPr>
      </w:pPr>
      <w:r>
        <w:rPr>
          <w:rFonts w:hint="eastAsia" w:ascii="宋体" w:hAnsi="宋体"/>
          <w:sz w:val="24"/>
          <w:szCs w:val="24"/>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pPr>
        <w:adjustRightInd w:val="0"/>
        <w:snapToGrid w:val="0"/>
        <w:spacing w:line="360" w:lineRule="auto"/>
        <w:ind w:firstLine="482"/>
        <w:rPr>
          <w:rFonts w:ascii="宋体" w:hAnsi="宋体"/>
          <w:sz w:val="24"/>
          <w:szCs w:val="24"/>
        </w:rPr>
      </w:pPr>
      <w:r>
        <w:rPr>
          <w:rFonts w:hint="eastAsia" w:ascii="宋体" w:hAnsi="宋体"/>
          <w:sz w:val="24"/>
          <w:szCs w:val="24"/>
        </w:rPr>
        <w:t>本基金通过证券经纪机构进行的交易由证券经纪机构作为结算参与人代理本基金进行结算。基金管理人承诺证券交易资金账户为主资金账户，不开立任何辅助资金账户；不为证券交易资金账户另行开立银行托管账户以外的其他银行账户。</w:t>
      </w:r>
    </w:p>
    <w:p>
      <w:pPr>
        <w:adjustRightInd w:val="0"/>
        <w:snapToGrid w:val="0"/>
        <w:spacing w:line="360" w:lineRule="auto"/>
        <w:ind w:firstLine="482"/>
        <w:rPr>
          <w:rFonts w:ascii="宋体" w:hAnsi="宋体"/>
          <w:sz w:val="24"/>
          <w:szCs w:val="24"/>
        </w:rPr>
      </w:pPr>
      <w:r>
        <w:rPr>
          <w:rFonts w:hint="eastAsia" w:ascii="宋体" w:hAnsi="宋体"/>
          <w:sz w:val="24"/>
          <w:szCs w:val="24"/>
        </w:rPr>
        <w:t>基金证券账户的开立和原始开户材料的保管由基金托管人负责，账户资产的管理和运用由基金管理人负责。</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5、银行间市场债券托管和资金结算专户的开立和管理及市场准入备案</w:t>
      </w:r>
    </w:p>
    <w:p>
      <w:pPr>
        <w:adjustRightInd w:val="0"/>
        <w:snapToGrid w:val="0"/>
        <w:spacing w:line="360" w:lineRule="auto"/>
        <w:ind w:firstLine="482"/>
        <w:rPr>
          <w:rFonts w:ascii="宋体" w:hAnsi="宋体"/>
          <w:sz w:val="24"/>
          <w:szCs w:val="24"/>
        </w:rPr>
      </w:pPr>
      <w:r>
        <w:rPr>
          <w:rFonts w:hint="eastAsia" w:ascii="宋体" w:hAnsi="宋体"/>
          <w:sz w:val="24"/>
          <w:szCs w:val="24"/>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6、其他账户的开设和管理</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1</w:t>
      </w:r>
      <w:r>
        <w:rPr>
          <w:rFonts w:hint="eastAsia"/>
          <w:color w:val="0D0D0D"/>
          <w:sz w:val="24"/>
          <w:szCs w:val="24"/>
        </w:rPr>
        <w:t>）</w:t>
      </w:r>
      <w:r>
        <w:rPr>
          <w:rFonts w:hint="eastAsia" w:ascii="宋体" w:hAnsi="宋体"/>
          <w:sz w:val="24"/>
          <w:szCs w:val="24"/>
        </w:rPr>
        <w:t>因业务发展而需要开立的其它账户，可以根据《基金合同》或有关法律法规的规定，经基金管理人和基金托管人协商一致后，由基金托管人负责为基金开立。新账户按有关规则使用并管理。</w:t>
      </w:r>
    </w:p>
    <w:p>
      <w:pPr>
        <w:adjustRightInd w:val="0"/>
        <w:snapToGrid w:val="0"/>
        <w:spacing w:line="360" w:lineRule="auto"/>
        <w:ind w:firstLine="482"/>
        <w:rPr>
          <w:rFonts w:ascii="宋体" w:hAnsi="宋体"/>
          <w:sz w:val="24"/>
          <w:szCs w:val="24"/>
        </w:rPr>
      </w:pPr>
      <w:r>
        <w:rPr>
          <w:rFonts w:hint="eastAsia"/>
          <w:color w:val="0D0D0D"/>
          <w:sz w:val="24"/>
          <w:szCs w:val="24"/>
        </w:rPr>
        <w:t>（</w:t>
      </w:r>
      <w:r>
        <w:rPr>
          <w:color w:val="0D0D0D"/>
          <w:sz w:val="24"/>
          <w:szCs w:val="24"/>
        </w:rPr>
        <w:t>2</w:t>
      </w:r>
      <w:r>
        <w:rPr>
          <w:rFonts w:hint="eastAsia"/>
          <w:color w:val="0D0D0D"/>
          <w:sz w:val="24"/>
          <w:szCs w:val="24"/>
        </w:rPr>
        <w:t>）</w:t>
      </w:r>
      <w:r>
        <w:rPr>
          <w:rFonts w:hint="eastAsia" w:ascii="宋体" w:hAnsi="宋体"/>
          <w:sz w:val="24"/>
          <w:szCs w:val="24"/>
        </w:rPr>
        <w:t>法律、法规等有关规定对相关账户的开立和管理另有规定的，从其规定办理。</w:t>
      </w:r>
    </w:p>
    <w:p>
      <w:pPr>
        <w:adjustRightInd w:val="0"/>
        <w:snapToGrid w:val="0"/>
        <w:spacing w:line="360" w:lineRule="auto"/>
        <w:ind w:firstLine="482"/>
        <w:outlineLvl w:val="2"/>
        <w:rPr>
          <w:rFonts w:ascii="宋体" w:hAnsi="宋体"/>
          <w:sz w:val="24"/>
          <w:szCs w:val="24"/>
        </w:rPr>
      </w:pPr>
      <w:r>
        <w:rPr>
          <w:rFonts w:ascii="宋体" w:hAnsi="宋体"/>
          <w:sz w:val="24"/>
          <w:szCs w:val="24"/>
        </w:rPr>
        <w:t>7</w:t>
      </w:r>
      <w:r>
        <w:rPr>
          <w:rFonts w:hint="eastAsia" w:ascii="宋体" w:hAnsi="宋体"/>
          <w:sz w:val="24"/>
          <w:szCs w:val="24"/>
        </w:rPr>
        <w:t>、基金投资银行存款账户的开立和管理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基金投资银行定期存款，基金管理人与基金托管人应比照相关规定，就本基金投资银行存款业务签订书面协议。</w:t>
      </w:r>
    </w:p>
    <w:p>
      <w:pPr>
        <w:adjustRightInd w:val="0"/>
        <w:snapToGrid w:val="0"/>
        <w:spacing w:line="360" w:lineRule="auto"/>
        <w:ind w:firstLine="482"/>
        <w:rPr>
          <w:rFonts w:ascii="宋体" w:hAnsi="宋体"/>
          <w:sz w:val="24"/>
          <w:szCs w:val="24"/>
        </w:rPr>
      </w:pPr>
      <w:r>
        <w:rPr>
          <w:rFonts w:hint="eastAsia" w:ascii="宋体" w:hAnsi="宋体"/>
          <w:sz w:val="24"/>
          <w:szCs w:val="24"/>
        </w:rPr>
        <w:t>存款账户必须以基金名义开立，账户名称为基金名称，存款账户开户文件上加盖预留印鉴及基金管理人公章。</w:t>
      </w:r>
    </w:p>
    <w:p>
      <w:pPr>
        <w:adjustRightInd w:val="0"/>
        <w:snapToGrid w:val="0"/>
        <w:spacing w:line="360" w:lineRule="auto"/>
        <w:ind w:firstLine="482"/>
        <w:rPr>
          <w:rFonts w:ascii="宋体" w:hAnsi="宋体"/>
          <w:sz w:val="24"/>
          <w:szCs w:val="24"/>
        </w:rPr>
      </w:pPr>
      <w:r>
        <w:rPr>
          <w:rFonts w:hint="eastAsia" w:ascii="宋体" w:hAnsi="宋体"/>
          <w:sz w:val="24"/>
          <w:szCs w:val="24"/>
        </w:rPr>
        <w:t>本基金投资银行存款时，基金管理人应当与存款银行签订具体存款协议，明确存款的类型、期限、利率、金额、账号、对账方式、支取方式、账户管理等细则。</w:t>
      </w:r>
    </w:p>
    <w:p>
      <w:pPr>
        <w:adjustRightInd w:val="0"/>
        <w:snapToGrid w:val="0"/>
        <w:spacing w:line="360" w:lineRule="auto"/>
        <w:ind w:firstLine="482"/>
        <w:rPr>
          <w:rFonts w:ascii="宋体" w:hAnsi="宋体"/>
          <w:sz w:val="24"/>
          <w:szCs w:val="24"/>
        </w:rPr>
      </w:pPr>
      <w:r>
        <w:rPr>
          <w:rFonts w:hint="eastAsia" w:ascii="宋体" w:hAnsi="宋体"/>
          <w:sz w:val="24"/>
          <w:szCs w:val="24"/>
        </w:rPr>
        <w:t>为防范特殊情况下的流动性风险，定期存款协议中应当约定提前支取条款。</w:t>
      </w:r>
    </w:p>
    <w:p>
      <w:pPr>
        <w:adjustRightInd w:val="0"/>
        <w:snapToGrid w:val="0"/>
        <w:spacing w:line="360" w:lineRule="auto"/>
        <w:ind w:firstLine="482"/>
        <w:rPr>
          <w:rFonts w:ascii="宋体" w:hAnsi="宋体"/>
          <w:sz w:val="24"/>
          <w:szCs w:val="24"/>
        </w:rPr>
      </w:pPr>
      <w:r>
        <w:rPr>
          <w:rFonts w:hint="eastAsia" w:ascii="宋体" w:hAnsi="宋体"/>
          <w:sz w:val="24"/>
          <w:szCs w:val="24"/>
        </w:rPr>
        <w:t>基金所投资定期存款存续期间，基金管理人、基金托管人应当与存款银行建立定期对账机制，确保基金银行存款业务账目及核对的真实、准确。</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8、基金财产投资的有关实物证券、银行定期存款存单等有价凭证的保管</w:t>
      </w:r>
    </w:p>
    <w:p>
      <w:pPr>
        <w:adjustRightInd w:val="0"/>
        <w:snapToGrid w:val="0"/>
        <w:spacing w:line="360" w:lineRule="auto"/>
        <w:ind w:firstLine="482"/>
        <w:rPr>
          <w:rFonts w:ascii="宋体" w:hAnsi="宋体"/>
          <w:sz w:val="24"/>
          <w:szCs w:val="24"/>
        </w:rPr>
      </w:pPr>
      <w:r>
        <w:rPr>
          <w:rFonts w:hint="eastAsia" w:ascii="宋体" w:hAnsi="宋体"/>
          <w:sz w:val="24"/>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9、与基金财产有关的重大合同的保管</w:t>
      </w:r>
    </w:p>
    <w:p>
      <w:pPr>
        <w:adjustRightInd w:val="0"/>
        <w:snapToGrid w:val="0"/>
        <w:spacing w:line="360" w:lineRule="auto"/>
        <w:ind w:firstLine="482"/>
        <w:rPr>
          <w:rFonts w:ascii="宋体" w:hAnsi="宋体"/>
          <w:sz w:val="24"/>
          <w:szCs w:val="24"/>
        </w:rPr>
      </w:pPr>
      <w:r>
        <w:rPr>
          <w:rFonts w:hint="eastAsia" w:ascii="宋体" w:hAnsi="宋体"/>
          <w:sz w:val="24"/>
          <w:szCs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30个工作日内通过专人送达、挂号邮寄等安全方式将合同原件送达基金托管人处。合同原件应存放于基金管理人和基金托管人各自文件保管部门，保管期限不低于法律法规规定的最低期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对于无法取得二份以上的正本的，基金管理人应向基金托管人提供与合同原件核对一致的并加盖基金管理人公章的合同传真件或复印件，未经双方协商一致，合同原件不得转移。</w:t>
      </w:r>
    </w:p>
    <w:p>
      <w:pPr>
        <w:adjustRightInd w:val="0"/>
        <w:snapToGrid w:val="0"/>
        <w:spacing w:line="360" w:lineRule="auto"/>
        <w:ind w:firstLine="482"/>
        <w:outlineLvl w:val="1"/>
        <w:rPr>
          <w:b/>
          <w:bCs/>
          <w:sz w:val="24"/>
        </w:rPr>
      </w:pPr>
      <w:r>
        <w:rPr>
          <w:b/>
          <w:bCs/>
          <w:sz w:val="24"/>
        </w:rPr>
        <w:t>（五）基金资产净值</w:t>
      </w:r>
      <w:r>
        <w:rPr>
          <w:rFonts w:hint="eastAsia"/>
          <w:b/>
          <w:bCs/>
          <w:sz w:val="24"/>
        </w:rPr>
        <w:t>计算、估值和会计核算</w:t>
      </w:r>
    </w:p>
    <w:p>
      <w:pPr>
        <w:adjustRightInd w:val="0"/>
        <w:snapToGrid w:val="0"/>
        <w:spacing w:line="360" w:lineRule="auto"/>
        <w:ind w:firstLine="482"/>
        <w:outlineLvl w:val="2"/>
        <w:rPr>
          <w:rFonts w:ascii="宋体" w:hAnsi="宋体"/>
          <w:sz w:val="24"/>
        </w:rPr>
      </w:pPr>
      <w:r>
        <w:rPr>
          <w:rFonts w:hint="eastAsia" w:ascii="宋体" w:hAnsi="宋体"/>
          <w:sz w:val="24"/>
        </w:rPr>
        <w:t>1、基金资产净值的计算、复核的时间和程序</w:t>
      </w:r>
    </w:p>
    <w:p>
      <w:pPr>
        <w:adjustRightInd w:val="0"/>
        <w:snapToGrid w:val="0"/>
        <w:spacing w:line="360" w:lineRule="auto"/>
        <w:ind w:firstLine="482"/>
        <w:rPr>
          <w:rFonts w:ascii="宋体" w:hAnsi="宋体"/>
          <w:sz w:val="24"/>
        </w:rPr>
      </w:pPr>
      <w:r>
        <w:rPr>
          <w:rFonts w:hint="eastAsia" w:ascii="宋体" w:hAnsi="宋体"/>
          <w:sz w:val="24"/>
        </w:rPr>
        <w:t>基金资产净值是指基金资产总值减去负债后的价值。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2"/>
        <w:rPr>
          <w:rFonts w:ascii="宋体" w:hAnsi="宋体"/>
          <w:sz w:val="24"/>
        </w:rPr>
      </w:pPr>
      <w:r>
        <w:rPr>
          <w:rFonts w:hint="eastAsia" w:ascii="宋体" w:hAnsi="宋体"/>
          <w:sz w:val="24"/>
        </w:rPr>
        <w:t>每个工作日，基金管理人应对基金资产估值。但基金管理人根据法律法规或基金合同的规定暂停估值时除外。估值原则应符合《基金合同》、《证券投资基金会计核算业务指引》及其他法律、法规的规定。基金管理人应于每个工作日交易结束后计算当日的各类基金份额净值和基金资产净值并以双方认可的方式发送给基金托管人。基金托管人对净值计算结果复核后以双方认可的方式发送给基金管理人，由基金管理人按约定对外公布。</w:t>
      </w:r>
    </w:p>
    <w:p>
      <w:pPr>
        <w:adjustRightInd w:val="0"/>
        <w:snapToGrid w:val="0"/>
        <w:spacing w:line="360" w:lineRule="auto"/>
        <w:ind w:firstLine="482"/>
        <w:rPr>
          <w:rFonts w:ascii="宋体" w:hAnsi="宋体"/>
          <w:sz w:val="24"/>
        </w:rPr>
      </w:pPr>
      <w:r>
        <w:rPr>
          <w:rFonts w:hint="eastAsia" w:ascii="宋体" w:hAnsi="宋体"/>
          <w:sz w:val="24"/>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pPr>
        <w:adjustRightInd w:val="0"/>
        <w:snapToGrid w:val="0"/>
        <w:spacing w:line="360" w:lineRule="auto"/>
        <w:ind w:firstLine="482"/>
        <w:outlineLvl w:val="2"/>
        <w:rPr>
          <w:rFonts w:ascii="宋体" w:hAnsi="宋体"/>
          <w:sz w:val="24"/>
        </w:rPr>
      </w:pPr>
      <w:r>
        <w:rPr>
          <w:rFonts w:hint="eastAsia" w:ascii="宋体" w:hAnsi="宋体"/>
          <w:sz w:val="24"/>
        </w:rPr>
        <w:t>2、基金资产估值</w:t>
      </w:r>
    </w:p>
    <w:p>
      <w:pPr>
        <w:adjustRightInd w:val="0"/>
        <w:snapToGrid w:val="0"/>
        <w:spacing w:line="360" w:lineRule="auto"/>
        <w:ind w:firstLine="482"/>
        <w:rPr>
          <w:rFonts w:ascii="宋体" w:hAnsi="宋体"/>
          <w:sz w:val="24"/>
        </w:rPr>
      </w:pPr>
      <w:r>
        <w:rPr>
          <w:rFonts w:hint="eastAsia" w:ascii="宋体" w:hAnsi="宋体"/>
          <w:sz w:val="24"/>
        </w:rPr>
        <w:t>估值原则应符合《基金合同》、《证券投资基金会计核算业务指引》及其他法律法规的规定的约定。</w:t>
      </w:r>
    </w:p>
    <w:p>
      <w:pPr>
        <w:adjustRightInd w:val="0"/>
        <w:snapToGrid w:val="0"/>
        <w:spacing w:line="360" w:lineRule="auto"/>
        <w:ind w:firstLine="482"/>
        <w:rPr>
          <w:rFonts w:ascii="宋体" w:hAnsi="宋体"/>
          <w:sz w:val="24"/>
        </w:rPr>
      </w:pPr>
      <w:r>
        <w:rPr>
          <w:rFonts w:hint="eastAsia" w:ascii="宋体" w:hAnsi="宋体"/>
          <w:sz w:val="24"/>
        </w:rPr>
        <w:t>当相关法律法规或《基金合同》规定的估值方法不能客观反映基金财产公允价值时，基金管理人可根据具体情况，并与基金托管人商定后，按最能反映公允价值的价格估值。</w:t>
      </w:r>
    </w:p>
    <w:p>
      <w:pPr>
        <w:adjustRightInd w:val="0"/>
        <w:snapToGrid w:val="0"/>
        <w:spacing w:line="360" w:lineRule="auto"/>
        <w:ind w:firstLine="482"/>
        <w:outlineLvl w:val="2"/>
        <w:rPr>
          <w:rFonts w:ascii="宋体" w:hAnsi="宋体"/>
          <w:sz w:val="24"/>
        </w:rPr>
      </w:pPr>
      <w:r>
        <w:rPr>
          <w:rFonts w:hint="eastAsia" w:ascii="宋体" w:hAnsi="宋体"/>
          <w:sz w:val="24"/>
        </w:rPr>
        <w:t>3、估值错误处理</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1</w:t>
      </w:r>
      <w:r>
        <w:rPr>
          <w:rFonts w:hint="eastAsia"/>
          <w:color w:val="0D0D0D"/>
          <w:sz w:val="24"/>
          <w:szCs w:val="24"/>
        </w:rPr>
        <w:t>）</w:t>
      </w:r>
      <w:r>
        <w:rPr>
          <w:rFonts w:hint="eastAsia" w:ascii="宋体" w:hAnsi="宋体"/>
          <w:sz w:val="24"/>
        </w:rPr>
        <w:t>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相应责任。</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2</w:t>
      </w:r>
      <w:r>
        <w:rPr>
          <w:rFonts w:hint="eastAsia"/>
          <w:color w:val="0D0D0D"/>
          <w:sz w:val="24"/>
          <w:szCs w:val="24"/>
        </w:rPr>
        <w:t>）</w:t>
      </w:r>
      <w:r>
        <w:rPr>
          <w:rFonts w:hint="eastAsia" w:ascii="宋体" w:hAnsi="宋体"/>
          <w:sz w:val="24"/>
        </w:rPr>
        <w:t>当因基金管理人和基金托管人原因致使基金份额净值计算差错给基金和基金份额持有人造成损失需要进行赔偿时，基金管理人和基金托管人应根据实际情况界定双方承担的责任，经确认后按以下条款进行赔偿：</w:t>
      </w:r>
    </w:p>
    <w:p>
      <w:pPr>
        <w:adjustRightInd w:val="0"/>
        <w:snapToGrid w:val="0"/>
        <w:spacing w:line="360" w:lineRule="auto"/>
        <w:ind w:firstLine="482"/>
        <w:rPr>
          <w:rFonts w:ascii="宋体" w:hAnsi="宋体"/>
          <w:sz w:val="24"/>
        </w:rPr>
      </w:pPr>
      <w:r>
        <w:rPr>
          <w:rFonts w:hint="eastAsia" w:ascii="宋体" w:hAnsi="宋体"/>
          <w:sz w:val="24"/>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4）由于基金管理人提供的信息错误（包括但不限于基金申购或赎回金额等），导致基金份额净值计算错误而引起的基金份额持有人和基金财产的损失，由基金管理人负责赔付。</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3</w:t>
      </w:r>
      <w:r>
        <w:rPr>
          <w:rFonts w:hint="eastAsia"/>
          <w:color w:val="0D0D0D"/>
          <w:sz w:val="24"/>
          <w:szCs w:val="24"/>
        </w:rPr>
        <w:t>）</w:t>
      </w:r>
      <w:r>
        <w:rPr>
          <w:rFonts w:hint="eastAsia" w:ascii="宋体" w:hAnsi="宋体"/>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4</w:t>
      </w:r>
      <w:r>
        <w:rPr>
          <w:rFonts w:hint="eastAsia"/>
          <w:color w:val="0D0D0D"/>
          <w:sz w:val="24"/>
          <w:szCs w:val="24"/>
        </w:rPr>
        <w:t>）</w:t>
      </w:r>
      <w:r>
        <w:rPr>
          <w:rFonts w:hint="eastAsia" w:ascii="宋体" w:hAnsi="宋体"/>
          <w:sz w:val="24"/>
        </w:rPr>
        <w:t>基金管理人和基金托管人由于各自技术系统设置而产生的净值计算尾差，以基金管理人计算结果为准。</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5</w:t>
      </w:r>
      <w:r>
        <w:rPr>
          <w:rFonts w:hint="eastAsia"/>
          <w:color w:val="0D0D0D"/>
          <w:sz w:val="24"/>
          <w:szCs w:val="24"/>
        </w:rPr>
        <w:t>）</w:t>
      </w:r>
      <w:r>
        <w:rPr>
          <w:rFonts w:hint="eastAsia" w:ascii="宋体" w:hAnsi="宋体"/>
          <w:sz w:val="24"/>
        </w:rPr>
        <w:t>前述内容如法律法规或者监管部门另有规定的，从其规定。如果行业另有通行做法，双方当事人应本着平等和保护基金份额持有人利益的原则进行协商。</w:t>
      </w:r>
    </w:p>
    <w:p>
      <w:pPr>
        <w:adjustRightInd w:val="0"/>
        <w:snapToGrid w:val="0"/>
        <w:spacing w:line="360" w:lineRule="auto"/>
        <w:ind w:firstLine="482"/>
        <w:outlineLvl w:val="2"/>
        <w:rPr>
          <w:rFonts w:ascii="宋体" w:hAnsi="宋体"/>
          <w:sz w:val="24"/>
        </w:rPr>
      </w:pPr>
      <w:r>
        <w:rPr>
          <w:rFonts w:hint="eastAsia" w:ascii="宋体" w:hAnsi="宋体"/>
          <w:sz w:val="24"/>
        </w:rPr>
        <w:t>4、暂停估值的情形</w:t>
      </w:r>
    </w:p>
    <w:p>
      <w:pPr>
        <w:adjustRightInd w:val="0"/>
        <w:snapToGrid w:val="0"/>
        <w:spacing w:line="360" w:lineRule="auto"/>
        <w:ind w:firstLine="482"/>
        <w:rPr>
          <w:rFonts w:ascii="宋体" w:hAnsi="宋体"/>
          <w:sz w:val="24"/>
        </w:rPr>
      </w:pPr>
      <w:r>
        <w:rPr>
          <w:rFonts w:hint="eastAsia"/>
          <w:color w:val="0D0D0D"/>
          <w:sz w:val="24"/>
          <w:szCs w:val="24"/>
        </w:rPr>
        <w:t>（1）</w:t>
      </w:r>
      <w:r>
        <w:rPr>
          <w:rFonts w:hint="eastAsia" w:ascii="宋体" w:hAnsi="宋体"/>
          <w:sz w:val="24"/>
        </w:rPr>
        <w:t>基金投资所涉及的证券、期货交易市场遇法定节假日或因其他原因暂停营业时；</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2</w:t>
      </w:r>
      <w:r>
        <w:rPr>
          <w:rFonts w:hint="eastAsia"/>
          <w:color w:val="0D0D0D"/>
          <w:sz w:val="24"/>
          <w:szCs w:val="24"/>
        </w:rPr>
        <w:t>）</w:t>
      </w:r>
      <w:r>
        <w:rPr>
          <w:rFonts w:hint="eastAsia" w:ascii="宋体" w:hAnsi="宋体"/>
          <w:sz w:val="24"/>
        </w:rPr>
        <w:t>因不可抗力致使基金管理人、基金托管人无法准确评估基金资产价值时；</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3</w:t>
      </w:r>
      <w:r>
        <w:rPr>
          <w:rFonts w:hint="eastAsia"/>
          <w:color w:val="0D0D0D"/>
          <w:sz w:val="24"/>
          <w:szCs w:val="24"/>
        </w:rPr>
        <w:t>）</w:t>
      </w:r>
      <w:r>
        <w:rPr>
          <w:rFonts w:hint="eastAsia" w:ascii="宋体" w:hAnsi="宋体"/>
          <w:sz w:val="24"/>
        </w:rPr>
        <w:t>当特定资产占前一估值日基金资产净值50%以上的，经与基金托管人协商确认后，基金管理人应当暂停估值；</w:t>
      </w:r>
    </w:p>
    <w:p>
      <w:pPr>
        <w:adjustRightInd w:val="0"/>
        <w:snapToGrid w:val="0"/>
        <w:spacing w:line="360" w:lineRule="auto"/>
        <w:ind w:firstLine="482"/>
        <w:rPr>
          <w:rFonts w:ascii="宋体" w:hAnsi="宋体"/>
          <w:sz w:val="24"/>
        </w:rPr>
      </w:pPr>
      <w:r>
        <w:rPr>
          <w:rFonts w:hint="eastAsia"/>
          <w:color w:val="0D0D0D"/>
          <w:sz w:val="24"/>
          <w:szCs w:val="24"/>
        </w:rPr>
        <w:t>（</w:t>
      </w:r>
      <w:r>
        <w:rPr>
          <w:color w:val="0D0D0D"/>
          <w:sz w:val="24"/>
          <w:szCs w:val="24"/>
        </w:rPr>
        <w:t>4</w:t>
      </w:r>
      <w:r>
        <w:rPr>
          <w:rFonts w:hint="eastAsia"/>
          <w:color w:val="0D0D0D"/>
          <w:sz w:val="24"/>
          <w:szCs w:val="24"/>
        </w:rPr>
        <w:t>）</w:t>
      </w:r>
      <w:r>
        <w:rPr>
          <w:rFonts w:hint="eastAsia" w:ascii="宋体" w:hAnsi="宋体"/>
          <w:sz w:val="24"/>
        </w:rPr>
        <w:t xml:space="preserve"> 法律法规、中国证监会和《基金合同》认定的其他情形。</w:t>
      </w:r>
    </w:p>
    <w:p>
      <w:pPr>
        <w:adjustRightInd w:val="0"/>
        <w:snapToGrid w:val="0"/>
        <w:spacing w:line="360" w:lineRule="auto"/>
        <w:ind w:firstLine="482"/>
        <w:outlineLvl w:val="2"/>
        <w:rPr>
          <w:rFonts w:ascii="宋体" w:hAnsi="宋体"/>
          <w:sz w:val="24"/>
        </w:rPr>
      </w:pPr>
      <w:r>
        <w:rPr>
          <w:rFonts w:hint="eastAsia" w:ascii="宋体" w:hAnsi="宋体"/>
          <w:sz w:val="24"/>
        </w:rPr>
        <w:t>5、基金账册的建立</w:t>
      </w:r>
    </w:p>
    <w:p>
      <w:pPr>
        <w:adjustRightInd w:val="0"/>
        <w:snapToGrid w:val="0"/>
        <w:spacing w:line="360" w:lineRule="auto"/>
        <w:ind w:firstLine="482"/>
        <w:rPr>
          <w:rFonts w:ascii="宋体" w:hAnsi="宋体"/>
          <w:sz w:val="24"/>
        </w:rPr>
      </w:pPr>
      <w:r>
        <w:rPr>
          <w:rFonts w:hint="eastAsia" w:ascii="宋体" w:hAnsi="宋体"/>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adjustRightInd w:val="0"/>
        <w:snapToGrid w:val="0"/>
        <w:spacing w:line="360" w:lineRule="auto"/>
        <w:ind w:firstLine="482"/>
        <w:rPr>
          <w:rFonts w:ascii="宋体" w:hAnsi="宋体"/>
          <w:sz w:val="24"/>
        </w:rPr>
      </w:pPr>
      <w:r>
        <w:rPr>
          <w:rFonts w:hint="eastAsia" w:ascii="宋体" w:hAnsi="宋体"/>
          <w:sz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pPr>
        <w:adjustRightInd w:val="0"/>
        <w:snapToGrid w:val="0"/>
        <w:spacing w:line="360" w:lineRule="auto"/>
        <w:ind w:firstLine="482"/>
        <w:outlineLvl w:val="2"/>
        <w:rPr>
          <w:rFonts w:ascii="宋体" w:hAnsi="宋体"/>
          <w:sz w:val="24"/>
        </w:rPr>
      </w:pPr>
      <w:r>
        <w:rPr>
          <w:rFonts w:hint="eastAsia" w:ascii="宋体" w:hAnsi="宋体"/>
          <w:sz w:val="24"/>
        </w:rPr>
        <w:t>6、基金定期报告、基金招募说明书的编制和复核</w:t>
      </w:r>
    </w:p>
    <w:p>
      <w:pPr>
        <w:adjustRightInd w:val="0"/>
        <w:snapToGrid w:val="0"/>
        <w:spacing w:line="360" w:lineRule="auto"/>
        <w:ind w:firstLine="482"/>
        <w:rPr>
          <w:rFonts w:ascii="宋体" w:hAnsi="宋体"/>
          <w:sz w:val="24"/>
        </w:rPr>
      </w:pPr>
      <w:r>
        <w:rPr>
          <w:rFonts w:hint="eastAsia" w:ascii="宋体" w:hAnsi="宋体"/>
          <w:sz w:val="24"/>
        </w:rPr>
        <w:t>基金财务报表由基金管理人和基金托管人每月分别独立编制。月度报表的编制，应于每月终了后5个工作日内完成。</w:t>
      </w:r>
    </w:p>
    <w:p>
      <w:pPr>
        <w:adjustRightInd w:val="0"/>
        <w:snapToGrid w:val="0"/>
        <w:spacing w:line="360" w:lineRule="auto"/>
        <w:ind w:firstLine="482"/>
        <w:rPr>
          <w:rFonts w:ascii="宋体" w:hAnsi="宋体"/>
          <w:sz w:val="24"/>
        </w:rPr>
      </w:pPr>
      <w:r>
        <w:rPr>
          <w:rFonts w:hint="eastAsia" w:ascii="宋体" w:hAnsi="宋体"/>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管理人在季度结束之日起15个工作日内完成季度报告编制并公告；在上半年结束之日起两个月内完成中期报告编制并公告；在每年结束之日起三个月内完成年度报告编制并公告。</w:t>
      </w:r>
    </w:p>
    <w:p>
      <w:pPr>
        <w:adjustRightInd w:val="0"/>
        <w:snapToGrid w:val="0"/>
        <w:spacing w:line="360" w:lineRule="auto"/>
        <w:ind w:firstLine="482"/>
        <w:rPr>
          <w:rFonts w:ascii="宋体" w:hAnsi="宋体"/>
          <w:sz w:val="24"/>
        </w:rPr>
      </w:pPr>
      <w:r>
        <w:rPr>
          <w:rFonts w:hint="eastAsia" w:ascii="宋体" w:hAnsi="宋体"/>
          <w:sz w:val="24"/>
        </w:rPr>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中期报告，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pPr>
        <w:adjustRightInd w:val="0"/>
        <w:snapToGrid w:val="0"/>
        <w:spacing w:line="360" w:lineRule="auto"/>
        <w:ind w:firstLine="482"/>
        <w:rPr>
          <w:rFonts w:ascii="宋体" w:hAnsi="宋体"/>
          <w:sz w:val="24"/>
        </w:rPr>
      </w:pPr>
      <w:r>
        <w:rPr>
          <w:rFonts w:hint="eastAsia" w:ascii="宋体" w:hAnsi="宋体"/>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中国证监会备案。</w:t>
      </w:r>
    </w:p>
    <w:p>
      <w:pPr>
        <w:adjustRightInd w:val="0"/>
        <w:snapToGrid w:val="0"/>
        <w:spacing w:line="360" w:lineRule="auto"/>
        <w:ind w:firstLine="482"/>
        <w:rPr>
          <w:rFonts w:ascii="宋体" w:hAnsi="宋体"/>
          <w:sz w:val="24"/>
        </w:rPr>
      </w:pPr>
      <w:r>
        <w:rPr>
          <w:rFonts w:hint="eastAsia" w:ascii="宋体" w:hAnsi="宋体"/>
          <w:sz w:val="24"/>
        </w:rPr>
        <w:t>基金托管人在对财务会计报告、中期报告或年度报告复核完毕后，需盖章确认或出具相应的复核确认书，以备有权机构对相关文件审核时提示。</w:t>
      </w:r>
    </w:p>
    <w:p>
      <w:pPr>
        <w:adjustRightInd w:val="0"/>
        <w:snapToGrid w:val="0"/>
        <w:spacing w:line="360" w:lineRule="auto"/>
        <w:ind w:firstLine="482"/>
        <w:outlineLvl w:val="1"/>
        <w:rPr>
          <w:b/>
          <w:bCs/>
          <w:sz w:val="24"/>
        </w:rPr>
      </w:pPr>
      <w:r>
        <w:rPr>
          <w:b/>
          <w:bCs/>
          <w:sz w:val="24"/>
        </w:rPr>
        <w:t>（六）基金份额持有人名册的保管</w:t>
      </w:r>
    </w:p>
    <w:p>
      <w:pPr>
        <w:adjustRightInd w:val="0"/>
        <w:snapToGrid w:val="0"/>
        <w:spacing w:line="360" w:lineRule="auto"/>
        <w:ind w:firstLine="482"/>
        <w:rPr>
          <w:rFonts w:ascii="宋体" w:hAnsi="宋体"/>
          <w:kern w:val="0"/>
          <w:sz w:val="24"/>
        </w:rPr>
      </w:pPr>
      <w:r>
        <w:rPr>
          <w:rFonts w:hint="eastAsia" w:ascii="宋体" w:hAnsi="宋体"/>
          <w:kern w:val="0"/>
          <w:sz w:val="24"/>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pPr>
        <w:adjustRightInd w:val="0"/>
        <w:snapToGrid w:val="0"/>
        <w:spacing w:line="360" w:lineRule="auto"/>
        <w:ind w:firstLine="482"/>
        <w:rPr>
          <w:rFonts w:ascii="宋体" w:hAnsi="宋体"/>
          <w:kern w:val="0"/>
          <w:sz w:val="24"/>
        </w:rPr>
      </w:pPr>
      <w:r>
        <w:rPr>
          <w:rFonts w:hint="eastAsia" w:ascii="宋体" w:hAnsi="宋体"/>
          <w:kern w:val="0"/>
          <w:sz w:val="24"/>
        </w:rPr>
        <w:t>基金份额持有人名册由基金的基金登记机构根据基金管理人的指令编制和保管，基金管理人应按照目前相关规则保管基金份额持有人名册。保管方式可以采用电子或文档的形式。保管期限不低于法律法规规定的最低期限。</w:t>
      </w:r>
    </w:p>
    <w:p>
      <w:pPr>
        <w:adjustRightInd w:val="0"/>
        <w:snapToGrid w:val="0"/>
        <w:spacing w:line="360" w:lineRule="auto"/>
        <w:ind w:firstLine="480" w:firstLineChars="200"/>
        <w:rPr>
          <w:rFonts w:ascii="宋体" w:hAnsi="宋体"/>
          <w:strike/>
          <w:kern w:val="0"/>
          <w:sz w:val="24"/>
        </w:rPr>
      </w:pPr>
      <w:r>
        <w:rPr>
          <w:rFonts w:hint="eastAsia" w:ascii="宋体" w:hAnsi="宋体"/>
          <w:kern w:val="0"/>
          <w:sz w:val="24"/>
        </w:rPr>
        <w:t>在基金托管人编制中期报告和年度报告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pPr>
        <w:adjustRightInd w:val="0"/>
        <w:snapToGrid w:val="0"/>
        <w:spacing w:line="360" w:lineRule="auto"/>
        <w:ind w:firstLine="482"/>
        <w:outlineLvl w:val="1"/>
        <w:rPr>
          <w:b/>
          <w:bCs/>
          <w:sz w:val="24"/>
        </w:rPr>
      </w:pPr>
      <w:r>
        <w:rPr>
          <w:b/>
          <w:bCs/>
          <w:sz w:val="24"/>
        </w:rPr>
        <w:t>（七）争议解决方式</w:t>
      </w:r>
    </w:p>
    <w:p>
      <w:pPr>
        <w:adjustRightInd w:val="0"/>
        <w:snapToGrid w:val="0"/>
        <w:spacing w:line="360" w:lineRule="auto"/>
        <w:ind w:firstLine="482"/>
        <w:rPr>
          <w:rFonts w:ascii="宋体" w:hAnsi="宋体"/>
          <w:color w:val="0D0D0D"/>
          <w:sz w:val="24"/>
          <w:szCs w:val="24"/>
        </w:rPr>
      </w:pPr>
      <w:r>
        <w:rPr>
          <w:rFonts w:hint="eastAsia" w:ascii="宋体" w:hAnsi="宋体"/>
          <w:color w:val="0D0D0D"/>
          <w:sz w:val="24"/>
          <w:szCs w:val="24"/>
        </w:rPr>
        <w:t>1、本协议适用中华人民共和国法律（为本协议之目的，在此不包括香港、澳门特别行政区和台湾地区法律），并从其解释。</w:t>
      </w:r>
    </w:p>
    <w:p>
      <w:pPr>
        <w:adjustRightInd w:val="0"/>
        <w:snapToGrid w:val="0"/>
        <w:spacing w:line="360" w:lineRule="auto"/>
        <w:ind w:firstLine="482"/>
        <w:rPr>
          <w:rFonts w:ascii="宋体" w:hAnsi="宋体"/>
          <w:color w:val="0D0D0D"/>
          <w:sz w:val="24"/>
          <w:szCs w:val="24"/>
        </w:rPr>
      </w:pPr>
      <w:r>
        <w:rPr>
          <w:rFonts w:hint="eastAsia" w:ascii="宋体" w:hAnsi="宋体"/>
          <w:color w:val="0D0D0D"/>
          <w:sz w:val="24"/>
          <w:szCs w:val="24"/>
        </w:rPr>
        <w:t>2、双方当事人同意，因本协议而产生的或与本协议有关的一切争议，除经友好协商可以解决的，任何一方均有权将争议提交上海国际经济贸易仲裁委员会，根据该会届时有效的仲裁规则进行仲裁，仲裁的地点在上海，仲裁裁决是终局性的并对双方均有约束力，除非仲裁裁决另有规定，仲裁费用由败诉方承担。</w:t>
      </w:r>
    </w:p>
    <w:p>
      <w:pPr>
        <w:adjustRightInd w:val="0"/>
        <w:snapToGrid w:val="0"/>
        <w:spacing w:line="360" w:lineRule="auto"/>
        <w:ind w:firstLine="480" w:firstLineChars="200"/>
        <w:rPr>
          <w:rFonts w:ascii="宋体" w:hAnsi="宋体"/>
          <w:color w:val="0D0D0D"/>
          <w:sz w:val="24"/>
          <w:szCs w:val="24"/>
        </w:rPr>
      </w:pPr>
      <w:r>
        <w:rPr>
          <w:rFonts w:hint="eastAsia" w:ascii="宋体" w:hAnsi="宋体"/>
          <w:color w:val="0D0D0D"/>
          <w:sz w:val="24"/>
          <w:szCs w:val="24"/>
        </w:rPr>
        <w:t>争议处理期间，双方当事人应恪守基金管理人和基金托管人职责，继续忠实、勤勉、尽责地履行《基金合同》和本托管协议规定的义务，维护基金份额持有人的合法权益。</w:t>
      </w:r>
    </w:p>
    <w:p>
      <w:pPr>
        <w:adjustRightInd w:val="0"/>
        <w:snapToGrid w:val="0"/>
        <w:spacing w:line="360" w:lineRule="auto"/>
        <w:ind w:firstLine="482" w:firstLineChars="200"/>
        <w:outlineLvl w:val="1"/>
        <w:rPr>
          <w:rFonts w:ascii="宋体" w:hAnsi="宋体"/>
          <w:b/>
          <w:kern w:val="0"/>
          <w:sz w:val="24"/>
          <w:szCs w:val="24"/>
        </w:rPr>
      </w:pPr>
      <w:r>
        <w:rPr>
          <w:rFonts w:ascii="宋体" w:hAnsi="宋体"/>
          <w:b/>
          <w:kern w:val="0"/>
          <w:sz w:val="24"/>
          <w:szCs w:val="24"/>
        </w:rPr>
        <w:t>（八）托管协议</w:t>
      </w:r>
      <w:r>
        <w:rPr>
          <w:rFonts w:hint="eastAsia" w:ascii="宋体" w:hAnsi="宋体"/>
          <w:b/>
          <w:kern w:val="0"/>
          <w:sz w:val="24"/>
          <w:szCs w:val="24"/>
        </w:rPr>
        <w:t>的变更、终止与基金财产的清算</w:t>
      </w:r>
    </w:p>
    <w:p>
      <w:pPr>
        <w:adjustRightInd w:val="0"/>
        <w:snapToGrid w:val="0"/>
        <w:spacing w:line="360" w:lineRule="auto"/>
        <w:ind w:firstLine="480" w:firstLineChars="200"/>
        <w:outlineLvl w:val="2"/>
        <w:rPr>
          <w:color w:val="0D0D0D"/>
          <w:sz w:val="24"/>
          <w:szCs w:val="24"/>
        </w:rPr>
      </w:pPr>
      <w:r>
        <w:rPr>
          <w:rFonts w:hint="eastAsia"/>
          <w:color w:val="0D0D0D"/>
          <w:sz w:val="24"/>
          <w:szCs w:val="24"/>
        </w:rPr>
        <w:t>1、托管协议的变更与终止</w:t>
      </w:r>
    </w:p>
    <w:p>
      <w:pPr>
        <w:adjustRightInd w:val="0"/>
        <w:snapToGrid w:val="0"/>
        <w:spacing w:line="360" w:lineRule="auto"/>
        <w:ind w:firstLine="480" w:firstLineChars="200"/>
        <w:rPr>
          <w:color w:val="0D0D0D"/>
          <w:sz w:val="24"/>
          <w:szCs w:val="24"/>
        </w:rPr>
      </w:pPr>
      <w:r>
        <w:rPr>
          <w:rFonts w:hint="eastAsia"/>
          <w:color w:val="0D0D0D"/>
          <w:sz w:val="24"/>
          <w:szCs w:val="24"/>
        </w:rPr>
        <w:t>（1）托管协议的变更程序</w:t>
      </w:r>
    </w:p>
    <w:p>
      <w:pPr>
        <w:adjustRightInd w:val="0"/>
        <w:snapToGrid w:val="0"/>
        <w:spacing w:line="360" w:lineRule="auto"/>
        <w:ind w:firstLine="480" w:firstLineChars="200"/>
        <w:rPr>
          <w:color w:val="0D0D0D"/>
          <w:sz w:val="24"/>
          <w:szCs w:val="24"/>
        </w:rPr>
      </w:pPr>
      <w:r>
        <w:rPr>
          <w:rFonts w:hint="eastAsia"/>
          <w:color w:val="0D0D0D"/>
          <w:sz w:val="24"/>
          <w:szCs w:val="24"/>
        </w:rPr>
        <w:t>本协议双方当事人经协商一致，可以对协议的内容进行变更。变更后的托管协议，其内容不得与《基金合同》的规定有任何冲突，并需经基金管理人、基金托管人加盖公章或合同专用章以及双方法定代表人或授权代理人签字（或盖章）确认。基金托管协议的变更报中国证监会备案。</w:t>
      </w:r>
    </w:p>
    <w:p>
      <w:pPr>
        <w:adjustRightInd w:val="0"/>
        <w:snapToGrid w:val="0"/>
        <w:spacing w:line="360" w:lineRule="auto"/>
        <w:ind w:firstLine="480" w:firstLineChars="200"/>
        <w:rPr>
          <w:color w:val="0D0D0D"/>
          <w:sz w:val="24"/>
          <w:szCs w:val="24"/>
        </w:rPr>
      </w:pPr>
      <w:r>
        <w:rPr>
          <w:rFonts w:hint="eastAsia"/>
          <w:color w:val="0D0D0D"/>
          <w:sz w:val="24"/>
          <w:szCs w:val="24"/>
        </w:rPr>
        <w:t>（2）基金托管协议终止的情形</w:t>
      </w:r>
    </w:p>
    <w:p>
      <w:pPr>
        <w:adjustRightInd w:val="0"/>
        <w:snapToGrid w:val="0"/>
        <w:spacing w:line="360" w:lineRule="auto"/>
        <w:ind w:firstLine="480" w:firstLineChars="200"/>
        <w:rPr>
          <w:color w:val="0D0D0D"/>
          <w:sz w:val="24"/>
          <w:szCs w:val="24"/>
        </w:rPr>
      </w:pPr>
      <w:r>
        <w:rPr>
          <w:rFonts w:hint="eastAsia"/>
          <w:color w:val="0D0D0D"/>
          <w:sz w:val="24"/>
          <w:szCs w:val="24"/>
        </w:rPr>
        <w:t>发生以下情况，本托管协议终止：</w:t>
      </w:r>
    </w:p>
    <w:p>
      <w:pPr>
        <w:adjustRightInd w:val="0"/>
        <w:snapToGrid w:val="0"/>
        <w:spacing w:line="360" w:lineRule="auto"/>
        <w:ind w:firstLine="480" w:firstLineChars="200"/>
        <w:rPr>
          <w:color w:val="0D0D0D"/>
          <w:sz w:val="24"/>
          <w:szCs w:val="24"/>
        </w:rPr>
      </w:pPr>
      <w:r>
        <w:rPr>
          <w:rFonts w:hint="eastAsia"/>
          <w:color w:val="0D0D0D"/>
          <w:sz w:val="24"/>
          <w:szCs w:val="24"/>
        </w:rPr>
        <w:t>1）《基金合同》终止；</w:t>
      </w:r>
    </w:p>
    <w:p>
      <w:pPr>
        <w:adjustRightInd w:val="0"/>
        <w:snapToGrid w:val="0"/>
        <w:spacing w:line="360" w:lineRule="auto"/>
        <w:ind w:firstLine="480" w:firstLineChars="200"/>
        <w:rPr>
          <w:color w:val="0D0D0D"/>
          <w:sz w:val="24"/>
          <w:szCs w:val="24"/>
        </w:rPr>
      </w:pPr>
      <w:r>
        <w:rPr>
          <w:rFonts w:hint="eastAsia"/>
          <w:color w:val="0D0D0D"/>
          <w:sz w:val="24"/>
          <w:szCs w:val="24"/>
        </w:rPr>
        <w:t>2）基金托管人解散、依法被撤销、破产或有其他基金托管人接管基金资产；</w:t>
      </w:r>
    </w:p>
    <w:p>
      <w:pPr>
        <w:adjustRightInd w:val="0"/>
        <w:snapToGrid w:val="0"/>
        <w:spacing w:line="360" w:lineRule="auto"/>
        <w:ind w:firstLine="480" w:firstLineChars="200"/>
        <w:rPr>
          <w:color w:val="0D0D0D"/>
          <w:sz w:val="24"/>
          <w:szCs w:val="24"/>
        </w:rPr>
      </w:pPr>
      <w:r>
        <w:rPr>
          <w:rFonts w:hint="eastAsia"/>
          <w:color w:val="0D0D0D"/>
          <w:sz w:val="24"/>
          <w:szCs w:val="24"/>
        </w:rPr>
        <w:t>3）基金管理人解散、依法被撤销、破产或有其他基金管理人接管基金管理权；</w:t>
      </w:r>
    </w:p>
    <w:p>
      <w:pPr>
        <w:adjustRightInd w:val="0"/>
        <w:snapToGrid w:val="0"/>
        <w:spacing w:line="360" w:lineRule="auto"/>
        <w:ind w:firstLine="480" w:firstLineChars="200"/>
        <w:rPr>
          <w:color w:val="0D0D0D"/>
          <w:sz w:val="24"/>
          <w:szCs w:val="24"/>
        </w:rPr>
      </w:pPr>
      <w:r>
        <w:rPr>
          <w:rFonts w:hint="eastAsia"/>
          <w:color w:val="0D0D0D"/>
          <w:sz w:val="24"/>
          <w:szCs w:val="24"/>
        </w:rPr>
        <w:t>4）发生法律法规或《基金合同》规定的终止事项。</w:t>
      </w:r>
    </w:p>
    <w:p>
      <w:pPr>
        <w:adjustRightInd w:val="0"/>
        <w:snapToGrid w:val="0"/>
        <w:spacing w:line="360" w:lineRule="auto"/>
        <w:ind w:firstLine="480" w:firstLineChars="200"/>
        <w:outlineLvl w:val="2"/>
        <w:rPr>
          <w:color w:val="0D0D0D"/>
          <w:sz w:val="24"/>
          <w:szCs w:val="24"/>
        </w:rPr>
      </w:pPr>
      <w:r>
        <w:rPr>
          <w:rFonts w:hint="eastAsia"/>
          <w:color w:val="0D0D0D"/>
          <w:sz w:val="24"/>
          <w:szCs w:val="24"/>
        </w:rPr>
        <w:t>2、基金财产的清算</w:t>
      </w:r>
    </w:p>
    <w:p>
      <w:pPr>
        <w:adjustRightInd w:val="0"/>
        <w:snapToGrid w:val="0"/>
        <w:spacing w:line="360" w:lineRule="auto"/>
        <w:ind w:firstLine="480" w:firstLineChars="200"/>
        <w:rPr>
          <w:color w:val="0D0D0D"/>
          <w:sz w:val="24"/>
          <w:szCs w:val="24"/>
        </w:rPr>
      </w:pPr>
      <w:r>
        <w:rPr>
          <w:rFonts w:hint="eastAsia"/>
          <w:color w:val="0D0D0D"/>
          <w:sz w:val="24"/>
          <w:szCs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2</w:t>
      </w:r>
      <w:r>
        <w:rPr>
          <w:rFonts w:hint="eastAsia"/>
          <w:color w:val="0D0D0D"/>
          <w:sz w:val="24"/>
          <w:szCs w:val="24"/>
        </w:rPr>
        <w:t>）在基金财产清算小组接管基金财产之前，基金管理人和基金托管人应按照《基金合同》和本托管协议的规定继续履行保护基金财产安全的职责。</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3</w:t>
      </w:r>
      <w:r>
        <w:rPr>
          <w:rFonts w:hint="eastAsia"/>
          <w:color w:val="0D0D0D"/>
          <w:sz w:val="24"/>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4</w:t>
      </w:r>
      <w:r>
        <w:rPr>
          <w:rFonts w:hint="eastAsia"/>
          <w:color w:val="0D0D0D"/>
          <w:sz w:val="24"/>
          <w:szCs w:val="24"/>
        </w:rPr>
        <w:t>）基金财产清算小组职责：基金财产清算小组负责基金财产的保管、清理、估价、变现和分配。基金财产清算小组可以依法进行必要的民事活动。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5</w:t>
      </w:r>
      <w:r>
        <w:rPr>
          <w:rFonts w:hint="eastAsia"/>
          <w:color w:val="0D0D0D"/>
          <w:sz w:val="24"/>
          <w:szCs w:val="24"/>
        </w:rPr>
        <w:t>）基金财产清算程序：</w:t>
      </w:r>
      <w:r>
        <w:rPr>
          <w:rFonts w:hint="eastAsia"/>
          <w:color w:val="0D0D0D"/>
          <w:sz w:val="24"/>
          <w:szCs w:val="24"/>
        </w:rPr>
        <w:tab/>
      </w:r>
    </w:p>
    <w:p>
      <w:pPr>
        <w:adjustRightInd w:val="0"/>
        <w:snapToGrid w:val="0"/>
        <w:spacing w:line="360" w:lineRule="auto"/>
        <w:ind w:firstLine="480" w:firstLineChars="200"/>
        <w:rPr>
          <w:color w:val="0D0D0D"/>
          <w:sz w:val="24"/>
          <w:szCs w:val="24"/>
        </w:rPr>
      </w:pPr>
      <w:r>
        <w:rPr>
          <w:rFonts w:hint="eastAsia"/>
          <w:color w:val="0D0D0D"/>
          <w:sz w:val="24"/>
          <w:szCs w:val="24"/>
        </w:rPr>
        <w:t>1）《基金合同》终止情形出现时，由基金财产清算小组统一接管基金；</w:t>
      </w:r>
    </w:p>
    <w:p>
      <w:pPr>
        <w:adjustRightInd w:val="0"/>
        <w:snapToGrid w:val="0"/>
        <w:spacing w:line="360" w:lineRule="auto"/>
        <w:ind w:firstLine="480" w:firstLineChars="200"/>
        <w:rPr>
          <w:color w:val="0D0D0D"/>
          <w:sz w:val="24"/>
          <w:szCs w:val="24"/>
        </w:rPr>
      </w:pPr>
      <w:r>
        <w:rPr>
          <w:rFonts w:hint="eastAsia"/>
          <w:color w:val="0D0D0D"/>
          <w:sz w:val="24"/>
          <w:szCs w:val="24"/>
        </w:rPr>
        <w:t>2）对基金财产和债权债务进行清理和确认；</w:t>
      </w:r>
    </w:p>
    <w:p>
      <w:pPr>
        <w:adjustRightInd w:val="0"/>
        <w:snapToGrid w:val="0"/>
        <w:spacing w:line="360" w:lineRule="auto"/>
        <w:ind w:firstLine="480" w:firstLineChars="200"/>
        <w:rPr>
          <w:color w:val="0D0D0D"/>
          <w:sz w:val="24"/>
          <w:szCs w:val="24"/>
        </w:rPr>
      </w:pPr>
      <w:r>
        <w:rPr>
          <w:rFonts w:hint="eastAsia"/>
          <w:color w:val="0D0D0D"/>
          <w:sz w:val="24"/>
          <w:szCs w:val="24"/>
        </w:rPr>
        <w:t>3）对基金财产进行估值和变现；</w:t>
      </w:r>
    </w:p>
    <w:p>
      <w:pPr>
        <w:adjustRightInd w:val="0"/>
        <w:snapToGrid w:val="0"/>
        <w:spacing w:line="360" w:lineRule="auto"/>
        <w:ind w:firstLine="480" w:firstLineChars="200"/>
        <w:rPr>
          <w:color w:val="0D0D0D"/>
          <w:sz w:val="24"/>
          <w:szCs w:val="24"/>
        </w:rPr>
      </w:pPr>
      <w:r>
        <w:rPr>
          <w:rFonts w:hint="eastAsia"/>
          <w:color w:val="0D0D0D"/>
          <w:sz w:val="24"/>
          <w:szCs w:val="24"/>
        </w:rPr>
        <w:t>4）制作清算报告；</w:t>
      </w:r>
    </w:p>
    <w:p>
      <w:pPr>
        <w:adjustRightInd w:val="0"/>
        <w:snapToGrid w:val="0"/>
        <w:spacing w:line="360" w:lineRule="auto"/>
        <w:ind w:firstLine="480" w:firstLineChars="200"/>
        <w:rPr>
          <w:color w:val="0D0D0D"/>
          <w:sz w:val="24"/>
          <w:szCs w:val="24"/>
        </w:rPr>
      </w:pPr>
      <w:r>
        <w:rPr>
          <w:rFonts w:hint="eastAsia"/>
          <w:color w:val="0D0D0D"/>
          <w:sz w:val="24"/>
          <w:szCs w:val="24"/>
        </w:rPr>
        <w:t>5）聘请会计师事务所对清算报告进行外部审计，聘请律师事务所对清算报告出具法律意见书；</w:t>
      </w:r>
    </w:p>
    <w:p>
      <w:pPr>
        <w:adjustRightInd w:val="0"/>
        <w:snapToGrid w:val="0"/>
        <w:spacing w:line="360" w:lineRule="auto"/>
        <w:ind w:firstLine="480" w:firstLineChars="200"/>
        <w:rPr>
          <w:color w:val="0D0D0D"/>
          <w:sz w:val="24"/>
          <w:szCs w:val="24"/>
        </w:rPr>
      </w:pPr>
      <w:r>
        <w:rPr>
          <w:rFonts w:hint="eastAsia"/>
          <w:color w:val="0D0D0D"/>
          <w:sz w:val="24"/>
          <w:szCs w:val="24"/>
        </w:rPr>
        <w:t>6）将清算报告报中国证监会备案并公告；</w:t>
      </w:r>
    </w:p>
    <w:p>
      <w:pPr>
        <w:adjustRightInd w:val="0"/>
        <w:snapToGrid w:val="0"/>
        <w:spacing w:line="360" w:lineRule="auto"/>
        <w:ind w:firstLine="480" w:firstLineChars="200"/>
        <w:rPr>
          <w:color w:val="0D0D0D"/>
          <w:sz w:val="24"/>
          <w:szCs w:val="24"/>
        </w:rPr>
      </w:pPr>
      <w:r>
        <w:rPr>
          <w:rFonts w:hint="eastAsia"/>
          <w:color w:val="0D0D0D"/>
          <w:sz w:val="24"/>
          <w:szCs w:val="24"/>
        </w:rPr>
        <w:t>7）对基金剩余财产进行分配。</w:t>
      </w:r>
    </w:p>
    <w:p>
      <w:pPr>
        <w:adjustRightInd w:val="0"/>
        <w:snapToGrid w:val="0"/>
        <w:spacing w:line="360" w:lineRule="auto"/>
        <w:ind w:firstLine="480" w:firstLineChars="200"/>
        <w:rPr>
          <w:color w:val="0D0D0D"/>
          <w:sz w:val="24"/>
          <w:szCs w:val="24"/>
        </w:rPr>
      </w:pPr>
      <w:r>
        <w:rPr>
          <w:rFonts w:hint="eastAsia"/>
          <w:color w:val="0D0D0D"/>
          <w:sz w:val="24"/>
          <w:szCs w:val="24"/>
        </w:rPr>
        <w:t>基金财产清算的期限为6个月，但因本基金所持证券的流动性受到限制而不能及时变现的，清算期限相应顺延。</w:t>
      </w:r>
    </w:p>
    <w:p>
      <w:pPr>
        <w:adjustRightInd w:val="0"/>
        <w:snapToGrid w:val="0"/>
        <w:spacing w:line="360" w:lineRule="auto"/>
        <w:ind w:firstLine="480" w:firstLineChars="200"/>
        <w:rPr>
          <w:color w:val="0D0D0D"/>
          <w:sz w:val="24"/>
          <w:szCs w:val="24"/>
        </w:rPr>
      </w:pPr>
      <w:r>
        <w:rPr>
          <w:rFonts w:hint="eastAsia"/>
          <w:color w:val="0D0D0D"/>
          <w:sz w:val="24"/>
          <w:szCs w:val="24"/>
        </w:rPr>
        <w:t>（</w:t>
      </w:r>
      <w:r>
        <w:rPr>
          <w:color w:val="0D0D0D"/>
          <w:sz w:val="24"/>
          <w:szCs w:val="24"/>
        </w:rPr>
        <w:t>6</w:t>
      </w:r>
      <w:r>
        <w:rPr>
          <w:rFonts w:hint="eastAsia"/>
          <w:color w:val="0D0D0D"/>
          <w:sz w:val="24"/>
          <w:szCs w:val="24"/>
        </w:rPr>
        <w:t>）清算费用</w:t>
      </w:r>
    </w:p>
    <w:p>
      <w:pPr>
        <w:adjustRightInd w:val="0"/>
        <w:snapToGrid w:val="0"/>
        <w:spacing w:line="360" w:lineRule="auto"/>
        <w:ind w:firstLine="480" w:firstLineChars="200"/>
        <w:rPr>
          <w:color w:val="0D0D0D"/>
          <w:sz w:val="24"/>
          <w:szCs w:val="24"/>
        </w:rPr>
      </w:pPr>
      <w:r>
        <w:rPr>
          <w:rFonts w:hint="eastAsia"/>
          <w:color w:val="0D0D0D"/>
          <w:sz w:val="24"/>
          <w:szCs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0" w:firstLineChars="200"/>
        <w:rPr>
          <w:color w:val="0D0D0D"/>
          <w:sz w:val="24"/>
          <w:szCs w:val="24"/>
        </w:rPr>
      </w:pPr>
      <w:r>
        <w:rPr>
          <w:rFonts w:hint="eastAsia"/>
          <w:color w:val="0D0D0D"/>
          <w:sz w:val="24"/>
          <w:szCs w:val="24"/>
        </w:rPr>
        <w:t>（7）基金财产按下列顺序清偿：</w:t>
      </w:r>
    </w:p>
    <w:p>
      <w:pPr>
        <w:adjustRightInd w:val="0"/>
        <w:snapToGrid w:val="0"/>
        <w:spacing w:line="360" w:lineRule="auto"/>
        <w:ind w:firstLine="480" w:firstLineChars="200"/>
        <w:rPr>
          <w:color w:val="0D0D0D"/>
          <w:sz w:val="24"/>
          <w:szCs w:val="24"/>
        </w:rPr>
      </w:pPr>
      <w:r>
        <w:rPr>
          <w:rFonts w:hint="eastAsia"/>
          <w:color w:val="0D0D0D"/>
          <w:sz w:val="24"/>
          <w:szCs w:val="24"/>
        </w:rPr>
        <w:t>1）支付清算费用；</w:t>
      </w:r>
    </w:p>
    <w:p>
      <w:pPr>
        <w:adjustRightInd w:val="0"/>
        <w:snapToGrid w:val="0"/>
        <w:spacing w:line="360" w:lineRule="auto"/>
        <w:ind w:firstLine="480" w:firstLineChars="200"/>
        <w:rPr>
          <w:color w:val="0D0D0D"/>
          <w:sz w:val="24"/>
          <w:szCs w:val="24"/>
        </w:rPr>
      </w:pPr>
      <w:r>
        <w:rPr>
          <w:color w:val="0D0D0D"/>
          <w:sz w:val="24"/>
          <w:szCs w:val="24"/>
        </w:rPr>
        <w:t>2</w:t>
      </w:r>
      <w:r>
        <w:rPr>
          <w:rFonts w:hint="eastAsia"/>
          <w:color w:val="0D0D0D"/>
          <w:sz w:val="24"/>
          <w:szCs w:val="24"/>
        </w:rPr>
        <w:t>）交纳所欠税款；</w:t>
      </w:r>
    </w:p>
    <w:p>
      <w:pPr>
        <w:adjustRightInd w:val="0"/>
        <w:snapToGrid w:val="0"/>
        <w:spacing w:line="360" w:lineRule="auto"/>
        <w:ind w:firstLine="480" w:firstLineChars="200"/>
        <w:rPr>
          <w:color w:val="0D0D0D"/>
          <w:sz w:val="24"/>
          <w:szCs w:val="24"/>
        </w:rPr>
      </w:pPr>
      <w:r>
        <w:rPr>
          <w:color w:val="0D0D0D"/>
          <w:sz w:val="24"/>
          <w:szCs w:val="24"/>
        </w:rPr>
        <w:t>3</w:t>
      </w:r>
      <w:r>
        <w:rPr>
          <w:rFonts w:hint="eastAsia"/>
          <w:color w:val="0D0D0D"/>
          <w:sz w:val="24"/>
          <w:szCs w:val="24"/>
        </w:rPr>
        <w:t>）清偿基金债务；</w:t>
      </w:r>
    </w:p>
    <w:p>
      <w:pPr>
        <w:adjustRightInd w:val="0"/>
        <w:snapToGrid w:val="0"/>
        <w:spacing w:line="360" w:lineRule="auto"/>
        <w:ind w:firstLine="480" w:firstLineChars="200"/>
        <w:rPr>
          <w:color w:val="0D0D0D"/>
          <w:sz w:val="24"/>
          <w:szCs w:val="24"/>
        </w:rPr>
      </w:pPr>
      <w:r>
        <w:rPr>
          <w:color w:val="0D0D0D"/>
          <w:sz w:val="24"/>
          <w:szCs w:val="24"/>
        </w:rPr>
        <w:t>4</w:t>
      </w:r>
      <w:r>
        <w:rPr>
          <w:rFonts w:hint="eastAsia"/>
          <w:color w:val="0D0D0D"/>
          <w:sz w:val="24"/>
          <w:szCs w:val="24"/>
        </w:rPr>
        <w:t>）按基金份额持有人持有的基金份额比例进行分配。</w:t>
      </w:r>
    </w:p>
    <w:p>
      <w:pPr>
        <w:adjustRightInd w:val="0"/>
        <w:snapToGrid w:val="0"/>
        <w:spacing w:line="360" w:lineRule="auto"/>
        <w:ind w:firstLine="480" w:firstLineChars="200"/>
        <w:rPr>
          <w:color w:val="0D0D0D"/>
          <w:sz w:val="24"/>
          <w:szCs w:val="24"/>
        </w:rPr>
      </w:pPr>
      <w:r>
        <w:rPr>
          <w:rFonts w:hint="eastAsia"/>
          <w:color w:val="0D0D0D"/>
          <w:sz w:val="24"/>
          <w:szCs w:val="24"/>
        </w:rPr>
        <w:t>基金财产未按前款1)－3)项规定清偿前，不分配给基金份额持有人。</w:t>
      </w:r>
    </w:p>
    <w:p>
      <w:pPr>
        <w:adjustRightInd w:val="0"/>
        <w:snapToGrid w:val="0"/>
        <w:spacing w:line="360" w:lineRule="auto"/>
        <w:ind w:firstLine="480" w:firstLineChars="200"/>
        <w:outlineLvl w:val="2"/>
        <w:rPr>
          <w:color w:val="0D0D0D"/>
          <w:sz w:val="24"/>
          <w:szCs w:val="24"/>
        </w:rPr>
      </w:pPr>
      <w:r>
        <w:rPr>
          <w:rFonts w:hint="eastAsia"/>
          <w:color w:val="0D0D0D"/>
          <w:sz w:val="24"/>
          <w:szCs w:val="24"/>
        </w:rPr>
        <w:t>3、基金财产清算的公告</w:t>
      </w:r>
    </w:p>
    <w:p>
      <w:pPr>
        <w:adjustRightInd w:val="0"/>
        <w:snapToGrid w:val="0"/>
        <w:spacing w:line="360" w:lineRule="auto"/>
        <w:ind w:firstLine="480" w:firstLineChars="200"/>
        <w:rPr>
          <w:color w:val="0D0D0D"/>
          <w:sz w:val="24"/>
          <w:szCs w:val="24"/>
        </w:rPr>
      </w:pPr>
      <w:r>
        <w:rPr>
          <w:rFonts w:hint="eastAsia"/>
          <w:color w:val="0D0D0D"/>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djustRightInd w:val="0"/>
        <w:snapToGrid w:val="0"/>
        <w:spacing w:line="360" w:lineRule="auto"/>
        <w:ind w:firstLine="480" w:firstLineChars="200"/>
        <w:outlineLvl w:val="2"/>
        <w:rPr>
          <w:color w:val="0D0D0D"/>
          <w:sz w:val="24"/>
          <w:szCs w:val="24"/>
        </w:rPr>
      </w:pPr>
      <w:r>
        <w:rPr>
          <w:rFonts w:hint="eastAsia"/>
          <w:color w:val="0D0D0D"/>
          <w:sz w:val="24"/>
          <w:szCs w:val="24"/>
        </w:rPr>
        <w:t>4、基金财产清算账册及文件的保存</w:t>
      </w:r>
    </w:p>
    <w:p>
      <w:pPr>
        <w:adjustRightInd w:val="0"/>
        <w:snapToGrid w:val="0"/>
        <w:spacing w:line="360" w:lineRule="auto"/>
        <w:ind w:firstLine="480" w:firstLineChars="200"/>
        <w:rPr>
          <w:rFonts w:ascii="宋体" w:hAnsi="宋体"/>
          <w:sz w:val="24"/>
        </w:rPr>
      </w:pPr>
      <w:r>
        <w:rPr>
          <w:rFonts w:hint="eastAsia"/>
          <w:color w:val="0D0D0D"/>
          <w:sz w:val="24"/>
          <w:szCs w:val="24"/>
        </w:rPr>
        <w:t>基金财产清算账册及有关文件由基金托管人保存不低于法律法规规定的最低期限</w:t>
      </w:r>
      <w:r>
        <w:rPr>
          <w:rFonts w:hint="eastAsia" w:ascii="宋体" w:hAnsi="宋体"/>
          <w:sz w:val="24"/>
        </w:rPr>
        <w:t>。</w:t>
      </w:r>
    </w:p>
    <w:p>
      <w:pPr>
        <w:widowControl/>
        <w:jc w:val="center"/>
        <w:outlineLvl w:val="0"/>
        <w:rPr>
          <w:b/>
          <w:bCs/>
          <w:sz w:val="30"/>
        </w:rPr>
      </w:pPr>
      <w:bookmarkStart w:id="101" w:name="_Toc48122022"/>
      <w:r>
        <w:rPr>
          <w:b/>
          <w:bCs/>
          <w:sz w:val="30"/>
        </w:rPr>
        <w:t>二十一、对基金份额持有人的服务</w:t>
      </w:r>
      <w:bookmarkEnd w:id="101"/>
    </w:p>
    <w:p>
      <w:pPr>
        <w:widowControl/>
        <w:adjustRightInd w:val="0"/>
        <w:snapToGrid w:val="0"/>
        <w:spacing w:line="360" w:lineRule="auto"/>
        <w:ind w:firstLine="480" w:firstLineChars="200"/>
        <w:rPr>
          <w:rFonts w:hAnsi="宋体"/>
          <w:kern w:val="0"/>
          <w:sz w:val="24"/>
          <w:szCs w:val="24"/>
        </w:rPr>
      </w:pPr>
    </w:p>
    <w:p>
      <w:pPr>
        <w:widowControl/>
        <w:adjustRightInd w:val="0"/>
        <w:snapToGrid w:val="0"/>
        <w:spacing w:line="360" w:lineRule="auto"/>
        <w:ind w:firstLine="480" w:firstLineChars="20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pPr>
        <w:widowControl/>
        <w:adjustRightInd w:val="0"/>
        <w:snapToGrid w:val="0"/>
        <w:spacing w:line="360" w:lineRule="auto"/>
        <w:ind w:firstLine="482" w:firstLineChars="200"/>
        <w:rPr>
          <w:rFonts w:hAnsi="宋体"/>
          <w:b/>
          <w:kern w:val="0"/>
          <w:sz w:val="24"/>
        </w:rPr>
      </w:pPr>
      <w:r>
        <w:rPr>
          <w:rFonts w:hAnsi="宋体"/>
          <w:b/>
          <w:kern w:val="0"/>
          <w:sz w:val="24"/>
        </w:rPr>
        <w:t>（一）</w:t>
      </w:r>
      <w:r>
        <w:rPr>
          <w:rFonts w:hint="eastAsia" w:hAnsi="宋体"/>
          <w:b/>
          <w:kern w:val="0"/>
          <w:sz w:val="24"/>
        </w:rPr>
        <w:t>基金募集客户服务相关准备工作</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基金管理人将通过客户服务电话、公司网站、手机短信及其他服务形式，向投资者提供关于基金募集的信息咨询服务，并为投资者办理基金募集相关业务提供协助。</w:t>
      </w:r>
    </w:p>
    <w:p>
      <w:pPr>
        <w:widowControl/>
        <w:adjustRightInd w:val="0"/>
        <w:snapToGrid w:val="0"/>
        <w:spacing w:line="360" w:lineRule="auto"/>
        <w:ind w:firstLine="482" w:firstLineChars="200"/>
        <w:rPr>
          <w:rFonts w:hAnsi="宋体"/>
          <w:b/>
          <w:kern w:val="0"/>
          <w:sz w:val="24"/>
        </w:rPr>
      </w:pPr>
      <w:r>
        <w:rPr>
          <w:rFonts w:hAnsi="宋体"/>
          <w:b/>
          <w:kern w:val="0"/>
          <w:sz w:val="24"/>
        </w:rPr>
        <w:t>（二）网上</w:t>
      </w:r>
      <w:r>
        <w:rPr>
          <w:rFonts w:hint="eastAsia" w:hAnsi="宋体"/>
          <w:b/>
          <w:kern w:val="0"/>
          <w:sz w:val="24"/>
        </w:rPr>
        <w:t>直销</w:t>
      </w:r>
      <w:r>
        <w:rPr>
          <w:rFonts w:hAnsi="宋体"/>
          <w:b/>
          <w:kern w:val="0"/>
          <w:sz w:val="24"/>
        </w:rPr>
        <w:t>服务</w:t>
      </w:r>
    </w:p>
    <w:p>
      <w:pPr>
        <w:widowControl/>
        <w:adjustRightInd w:val="0"/>
        <w:snapToGrid w:val="0"/>
        <w:spacing w:line="360" w:lineRule="auto"/>
        <w:ind w:firstLine="480" w:firstLineChars="200"/>
        <w:rPr>
          <w:rFonts w:hAnsi="宋体"/>
          <w:kern w:val="0"/>
          <w:sz w:val="24"/>
        </w:rPr>
      </w:pPr>
      <w:r>
        <w:rPr>
          <w:rFonts w:hAnsi="宋体"/>
          <w:kern w:val="0"/>
          <w:sz w:val="24"/>
        </w:rPr>
        <w:t>本基金管理人已开通基金网上直销</w:t>
      </w:r>
      <w:r>
        <w:rPr>
          <w:rFonts w:hint="eastAsia" w:hAnsi="宋体"/>
          <w:kern w:val="0"/>
          <w:sz w:val="24"/>
        </w:rPr>
        <w:t>服务</w:t>
      </w:r>
      <w:r>
        <w:rPr>
          <w:rFonts w:hAnsi="宋体"/>
          <w:kern w:val="0"/>
          <w:sz w:val="24"/>
        </w:rPr>
        <w:t>，个人投资者可以直接通过本基金管理人的</w:t>
      </w:r>
      <w:r>
        <w:rPr>
          <w:rFonts w:hint="eastAsia" w:hAnsi="宋体"/>
          <w:kern w:val="0"/>
          <w:sz w:val="24"/>
        </w:rPr>
        <w:t>网上直销交易平台</w:t>
      </w:r>
      <w:r>
        <w:rPr>
          <w:rFonts w:hAnsi="宋体"/>
          <w:kern w:val="0"/>
          <w:sz w:val="24"/>
        </w:rPr>
        <w:t>办理开户手续，并在本基金募集期间</w:t>
      </w:r>
      <w:r>
        <w:rPr>
          <w:rFonts w:hint="eastAsia" w:hAnsi="宋体"/>
          <w:kern w:val="0"/>
          <w:sz w:val="24"/>
        </w:rPr>
        <w:t>通过网上直销交易平台</w:t>
      </w:r>
      <w:r>
        <w:rPr>
          <w:rFonts w:hAnsi="宋体"/>
          <w:kern w:val="0"/>
          <w:sz w:val="24"/>
        </w:rPr>
        <w:t>办理</w:t>
      </w:r>
      <w:r>
        <w:rPr>
          <w:rFonts w:hint="eastAsia" w:hAnsi="宋体"/>
          <w:kern w:val="0"/>
          <w:sz w:val="24"/>
        </w:rPr>
        <w:t>本基金的认购业务，在本基金</w:t>
      </w:r>
      <w:r>
        <w:rPr>
          <w:rFonts w:hAnsi="宋体"/>
          <w:kern w:val="0"/>
          <w:sz w:val="24"/>
        </w:rPr>
        <w:t>开放日常申购和赎回等业务后</w:t>
      </w:r>
      <w:r>
        <w:rPr>
          <w:rFonts w:hint="eastAsia" w:hAnsi="宋体"/>
          <w:kern w:val="0"/>
          <w:sz w:val="24"/>
        </w:rPr>
        <w:t>通过网上直销交易平台</w:t>
      </w:r>
      <w:r>
        <w:rPr>
          <w:rFonts w:hAnsi="宋体"/>
          <w:kern w:val="0"/>
          <w:sz w:val="24"/>
        </w:rPr>
        <w:t>办理</w:t>
      </w:r>
      <w:r>
        <w:rPr>
          <w:rFonts w:hint="eastAsia" w:hAnsi="宋体"/>
          <w:kern w:val="0"/>
          <w:sz w:val="24"/>
        </w:rPr>
        <w:t>本基金的申购和赎回等业务</w:t>
      </w:r>
      <w:r>
        <w:rPr>
          <w:rFonts w:hAnsi="宋体"/>
          <w:kern w:val="0"/>
          <w:sz w:val="24"/>
        </w:rPr>
        <w:t>，有关详情可参见相关公告。</w:t>
      </w:r>
    </w:p>
    <w:p>
      <w:pPr>
        <w:widowControl/>
        <w:adjustRightInd w:val="0"/>
        <w:snapToGrid w:val="0"/>
        <w:spacing w:line="360" w:lineRule="auto"/>
        <w:ind w:firstLine="480" w:firstLineChars="200"/>
        <w:rPr>
          <w:rFonts w:hAnsi="宋体"/>
          <w:kern w:val="0"/>
          <w:sz w:val="24"/>
        </w:rPr>
      </w:pPr>
      <w:r>
        <w:rPr>
          <w:rFonts w:hAnsi="宋体"/>
          <w:kern w:val="0"/>
          <w:sz w:val="24"/>
        </w:rPr>
        <w:t>基金网上直销</w:t>
      </w:r>
      <w:r>
        <w:rPr>
          <w:rFonts w:hint="eastAsia" w:hAnsi="宋体"/>
          <w:kern w:val="0"/>
          <w:sz w:val="24"/>
        </w:rPr>
        <w:t>交易平台</w:t>
      </w:r>
      <w:r>
        <w:rPr>
          <w:rFonts w:hAnsi="宋体"/>
          <w:kern w:val="0"/>
          <w:sz w:val="24"/>
        </w:rPr>
        <w:t>已开通的银行卡及各银行卡交易金额限额请参阅本</w:t>
      </w:r>
      <w:r>
        <w:rPr>
          <w:rFonts w:hint="eastAsia" w:hAnsi="宋体"/>
          <w:kern w:val="0"/>
          <w:sz w:val="24"/>
        </w:rPr>
        <w:t>基金管理人</w:t>
      </w:r>
      <w:r>
        <w:rPr>
          <w:rFonts w:hAnsi="宋体"/>
          <w:kern w:val="0"/>
          <w:sz w:val="24"/>
        </w:rPr>
        <w:t>网站。</w:t>
      </w:r>
    </w:p>
    <w:p>
      <w:pPr>
        <w:widowControl/>
        <w:adjustRightInd w:val="0"/>
        <w:snapToGrid w:val="0"/>
        <w:spacing w:line="360" w:lineRule="auto"/>
        <w:ind w:firstLine="480" w:firstLineChars="200"/>
        <w:rPr>
          <w:rFonts w:hAnsi="宋体"/>
          <w:kern w:val="0"/>
          <w:sz w:val="24"/>
        </w:rPr>
      </w:pPr>
      <w:r>
        <w:rPr>
          <w:rFonts w:hAnsi="宋体"/>
          <w:kern w:val="0"/>
          <w:sz w:val="24"/>
        </w:rPr>
        <w:t>在条件成熟的时候，本基金管理人将根据基金网上</w:t>
      </w:r>
      <w:r>
        <w:rPr>
          <w:rFonts w:hint="eastAsia" w:hAnsi="宋体"/>
          <w:kern w:val="0"/>
          <w:sz w:val="24"/>
        </w:rPr>
        <w:t>直销</w:t>
      </w:r>
      <w:r>
        <w:rPr>
          <w:rFonts w:hAnsi="宋体"/>
          <w:kern w:val="0"/>
          <w:sz w:val="24"/>
        </w:rPr>
        <w:t>业务的发展状况，适时</w:t>
      </w:r>
      <w:r>
        <w:rPr>
          <w:rFonts w:hint="eastAsia" w:hAnsi="宋体"/>
          <w:kern w:val="0"/>
          <w:sz w:val="24"/>
        </w:rPr>
        <w:t>调整</w:t>
      </w:r>
      <w:r>
        <w:rPr>
          <w:rFonts w:hAnsi="宋体"/>
          <w:kern w:val="0"/>
          <w:sz w:val="24"/>
        </w:rPr>
        <w:t>可用于</w:t>
      </w:r>
      <w:r>
        <w:rPr>
          <w:rFonts w:hint="eastAsia" w:hAnsi="宋体"/>
          <w:kern w:val="0"/>
          <w:sz w:val="24"/>
        </w:rPr>
        <w:t>网上直销交易平台</w:t>
      </w:r>
      <w:r>
        <w:rPr>
          <w:rFonts w:hAnsi="宋体"/>
          <w:kern w:val="0"/>
          <w:sz w:val="24"/>
        </w:rPr>
        <w:t>的银行卡种类，敬请投资人留意相关公告。</w:t>
      </w:r>
    </w:p>
    <w:p>
      <w:pPr>
        <w:widowControl/>
        <w:adjustRightInd w:val="0"/>
        <w:snapToGrid w:val="0"/>
        <w:spacing w:line="360" w:lineRule="auto"/>
        <w:ind w:firstLine="482" w:firstLineChars="200"/>
        <w:rPr>
          <w:rFonts w:hAnsi="宋体"/>
          <w:b/>
          <w:kern w:val="0"/>
          <w:sz w:val="24"/>
        </w:rPr>
      </w:pPr>
      <w:r>
        <w:rPr>
          <w:rFonts w:hAnsi="宋体"/>
          <w:b/>
          <w:kern w:val="0"/>
          <w:sz w:val="24"/>
        </w:rPr>
        <w:t>（三）信息咨询、查询服务</w:t>
      </w:r>
    </w:p>
    <w:p>
      <w:pPr>
        <w:widowControl/>
        <w:adjustRightInd w:val="0"/>
        <w:snapToGrid w:val="0"/>
        <w:spacing w:line="360" w:lineRule="auto"/>
        <w:ind w:firstLine="480" w:firstLineChars="20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pPr>
        <w:widowControl/>
        <w:adjustRightInd w:val="0"/>
        <w:snapToGrid w:val="0"/>
        <w:spacing w:line="360" w:lineRule="auto"/>
        <w:ind w:firstLine="480" w:firstLineChars="20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pPr>
        <w:widowControl/>
        <w:adjustRightInd w:val="0"/>
        <w:snapToGrid w:val="0"/>
        <w:spacing w:line="360" w:lineRule="auto"/>
        <w:ind w:firstLine="480" w:firstLineChars="200"/>
        <w:rPr>
          <w:kern w:val="0"/>
          <w:sz w:val="24"/>
        </w:rPr>
      </w:pPr>
      <w:r>
        <w:rPr>
          <w:kern w:val="0"/>
          <w:sz w:val="24"/>
        </w:rPr>
        <w:t>投资人可以拨打本基金管理人客户服务电话投诉直销机构的人员和服务。</w:t>
      </w:r>
    </w:p>
    <w:p>
      <w:pPr>
        <w:widowControl/>
        <w:adjustRightInd w:val="0"/>
        <w:snapToGrid w:val="0"/>
        <w:spacing w:line="360" w:lineRule="auto"/>
        <w:ind w:firstLine="482" w:firstLineChars="200"/>
        <w:rPr>
          <w:rFonts w:hAnsi="宋体"/>
          <w:b/>
          <w:kern w:val="0"/>
          <w:sz w:val="24"/>
        </w:rPr>
      </w:pPr>
      <w:r>
        <w:rPr>
          <w:rFonts w:hAnsi="宋体"/>
          <w:b/>
          <w:kern w:val="0"/>
          <w:sz w:val="24"/>
        </w:rPr>
        <w:t>（四）基金红利再投资</w:t>
      </w:r>
    </w:p>
    <w:p>
      <w:pPr>
        <w:widowControl/>
        <w:adjustRightInd w:val="0"/>
        <w:snapToGrid w:val="0"/>
        <w:spacing w:line="360" w:lineRule="auto"/>
        <w:ind w:firstLine="480" w:firstLineChars="200"/>
        <w:rPr>
          <w:kern w:val="0"/>
          <w:sz w:val="24"/>
        </w:rPr>
      </w:pPr>
      <w:r>
        <w:rPr>
          <w:kern w:val="0"/>
          <w:sz w:val="24"/>
        </w:rPr>
        <w:t>本基金收益分配时，</w:t>
      </w:r>
      <w:r>
        <w:rPr>
          <w:rFonts w:hint="eastAsia"/>
          <w:kern w:val="0"/>
          <w:sz w:val="24"/>
        </w:rPr>
        <w:t>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相应类别的基金份额，并免收申购费用。</w:t>
      </w:r>
    </w:p>
    <w:p>
      <w:pPr>
        <w:widowControl/>
        <w:adjustRightInd w:val="0"/>
        <w:snapToGrid w:val="0"/>
        <w:spacing w:line="360" w:lineRule="auto"/>
        <w:ind w:firstLine="482" w:firstLineChars="200"/>
        <w:rPr>
          <w:rFonts w:hAnsi="宋体"/>
          <w:b/>
          <w:kern w:val="0"/>
          <w:sz w:val="24"/>
        </w:rPr>
      </w:pPr>
      <w:r>
        <w:rPr>
          <w:rFonts w:hAnsi="宋体"/>
          <w:b/>
          <w:kern w:val="0"/>
          <w:sz w:val="24"/>
        </w:rPr>
        <w:t>（五）定期定额投资计划</w:t>
      </w:r>
    </w:p>
    <w:p>
      <w:pPr>
        <w:widowControl/>
        <w:adjustRightInd w:val="0"/>
        <w:snapToGrid w:val="0"/>
        <w:spacing w:line="360" w:lineRule="auto"/>
        <w:ind w:firstLine="480" w:firstLineChars="200"/>
        <w:rPr>
          <w:kern w:val="0"/>
          <w:sz w:val="24"/>
        </w:rPr>
      </w:pPr>
      <w:r>
        <w:rPr>
          <w:kern w:val="0"/>
          <w:sz w:val="24"/>
        </w:rPr>
        <w:t>待技术条件成熟时，基金</w:t>
      </w:r>
      <w:bookmarkStart w:id="102" w:name="OLE_LINK11"/>
      <w:r>
        <w:rPr>
          <w:kern w:val="0"/>
          <w:sz w:val="24"/>
        </w:rPr>
        <w:t>管理人可通过销售机构为投资人提供定期定额投资的服务。通过定期定额</w:t>
      </w:r>
      <w:bookmarkEnd w:id="102"/>
      <w:r>
        <w:rPr>
          <w:kern w:val="0"/>
          <w:sz w:val="24"/>
        </w:rPr>
        <w:t>投资计划，投资人可以定期定额申购基金份额，具体实施方法另行公告。</w:t>
      </w:r>
    </w:p>
    <w:p>
      <w:pPr>
        <w:widowControl/>
        <w:adjustRightInd w:val="0"/>
        <w:snapToGrid w:val="0"/>
        <w:spacing w:line="360" w:lineRule="auto"/>
        <w:ind w:firstLine="480" w:firstLineChars="200"/>
        <w:rPr>
          <w:kern w:val="0"/>
          <w:sz w:val="24"/>
        </w:rPr>
      </w:pPr>
      <w:r>
        <w:rPr>
          <w:rFonts w:hAnsi="宋体"/>
          <w:kern w:val="0"/>
          <w:sz w:val="24"/>
        </w:rPr>
        <w:t>服务联系方式：</w:t>
      </w:r>
    </w:p>
    <w:p>
      <w:pPr>
        <w:widowControl/>
        <w:adjustRightInd w:val="0"/>
        <w:snapToGrid w:val="0"/>
        <w:spacing w:line="360" w:lineRule="auto"/>
        <w:ind w:firstLine="480" w:firstLineChars="200"/>
        <w:rPr>
          <w:kern w:val="0"/>
          <w:sz w:val="24"/>
        </w:rPr>
      </w:pPr>
      <w:r>
        <w:rPr>
          <w:rFonts w:hAnsi="宋体"/>
          <w:kern w:val="0"/>
          <w:sz w:val="24"/>
        </w:rPr>
        <w:t>本基金管理人的互联网地址及电子信箱</w:t>
      </w:r>
    </w:p>
    <w:p>
      <w:pPr>
        <w:widowControl/>
        <w:adjustRightInd w:val="0"/>
        <w:snapToGrid w:val="0"/>
        <w:spacing w:line="360" w:lineRule="auto"/>
        <w:ind w:firstLine="480" w:firstLineChars="200"/>
        <w:rPr>
          <w:kern w:val="0"/>
          <w:sz w:val="24"/>
        </w:rPr>
      </w:pPr>
      <w:r>
        <w:rPr>
          <w:rFonts w:hAnsi="宋体"/>
          <w:kern w:val="0"/>
          <w:sz w:val="24"/>
        </w:rPr>
        <w:t>网址：</w:t>
      </w:r>
      <w:r>
        <w:fldChar w:fldCharType="begin"/>
      </w:r>
      <w:r>
        <w:instrText xml:space="preserve"> HYPERLINK "http://www.jysld.com或www.bocomschroder.com" </w:instrText>
      </w:r>
      <w:r>
        <w:fldChar w:fldCharType="separate"/>
      </w:r>
      <w:r>
        <w:rPr>
          <w:sz w:val="24"/>
        </w:rPr>
        <w:t>www.fund001.com</w:t>
      </w:r>
      <w:r>
        <w:rPr>
          <w:sz w:val="24"/>
        </w:rPr>
        <w:fldChar w:fldCharType="end"/>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电子信箱：</w:t>
      </w:r>
      <w:r>
        <w:rPr>
          <w:sz w:val="24"/>
        </w:rPr>
        <w:t>services@jysld.com</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投资者也可登录本基金管理人网站，直接提出有关本基金的问题和建议。</w:t>
      </w:r>
    </w:p>
    <w:p>
      <w:pPr>
        <w:widowControl/>
        <w:adjustRightInd w:val="0"/>
        <w:snapToGrid w:val="0"/>
        <w:spacing w:line="360" w:lineRule="auto"/>
        <w:ind w:firstLine="482" w:firstLineChars="200"/>
        <w:rPr>
          <w:rFonts w:ascii="宋体" w:hAnsi="宋体"/>
          <w:b/>
          <w:kern w:val="0"/>
          <w:sz w:val="24"/>
        </w:rPr>
      </w:pPr>
      <w:r>
        <w:rPr>
          <w:rFonts w:hint="eastAsia" w:hAnsi="宋体"/>
          <w:b/>
          <w:kern w:val="0"/>
          <w:sz w:val="24"/>
        </w:rPr>
        <w:t>（六）如本招募说明书存在任何您</w:t>
      </w:r>
      <w:r>
        <w:rPr>
          <w:rFonts w:hAnsi="宋体"/>
          <w:b/>
          <w:kern w:val="0"/>
          <w:sz w:val="24"/>
        </w:rPr>
        <w:t>/</w:t>
      </w:r>
      <w:r>
        <w:rPr>
          <w:rFonts w:hint="eastAsia" w:hAnsi="宋体"/>
          <w:b/>
          <w:kern w:val="0"/>
          <w:sz w:val="24"/>
        </w:rPr>
        <w:t>贵机构无法理解的内容，请通过上述方式联系基金管理人。请确保投资前，您</w:t>
      </w:r>
      <w:r>
        <w:rPr>
          <w:rFonts w:hAnsi="宋体"/>
          <w:b/>
          <w:kern w:val="0"/>
          <w:sz w:val="24"/>
        </w:rPr>
        <w:t>/</w:t>
      </w:r>
      <w:r>
        <w:rPr>
          <w:rFonts w:hint="eastAsia" w:hAnsi="宋体"/>
          <w:b/>
          <w:kern w:val="0"/>
          <w:sz w:val="24"/>
        </w:rPr>
        <w:t>贵机构已经全面理解了本招募说明书。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3" w:name="_Toc48122023"/>
      <w:r>
        <w:rPr>
          <w:rFonts w:hint="eastAsia" w:ascii="宋体" w:hAnsi="宋体"/>
          <w:b/>
          <w:kern w:val="0"/>
          <w:sz w:val="30"/>
        </w:rPr>
        <w:t>二十二、其他应披露事项</w:t>
      </w:r>
      <w:bookmarkEnd w:id="103"/>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基金合同如有未尽事宜，由基金合同当事人各方按有关法律法规协商解决。</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4" w:name="_Toc48122024"/>
      <w:r>
        <w:rPr>
          <w:rFonts w:hint="eastAsia" w:ascii="宋体" w:hAnsi="宋体"/>
          <w:b/>
          <w:kern w:val="0"/>
          <w:sz w:val="30"/>
        </w:rPr>
        <w:t>二十三、招募说明书的存放及查阅方式</w:t>
      </w:r>
      <w:bookmarkEnd w:id="104"/>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hint="eastAsia" w:ascii="宋体" w:hAnsi="宋体"/>
          <w:kern w:val="0"/>
          <w:sz w:val="24"/>
        </w:rPr>
        <w:t>办公</w:t>
      </w:r>
      <w:r>
        <w:rPr>
          <w:rFonts w:ascii="宋体" w:hAnsi="宋体"/>
          <w:kern w:val="0"/>
          <w:sz w:val="24"/>
        </w:rPr>
        <w:t>场所，投资人可在办公时间查阅；投资人在支付工本费后，可在合理时</w:t>
      </w:r>
      <w:bookmarkStart w:id="105" w:name="_Toc109537401"/>
      <w:r>
        <w:rPr>
          <w:rFonts w:ascii="宋体" w:hAnsi="宋体"/>
          <w:kern w:val="0"/>
          <w:sz w:val="24"/>
        </w:rPr>
        <w:t>间内取得上述文件复制件</w:t>
      </w:r>
      <w:bookmarkEnd w:id="105"/>
      <w:r>
        <w:rPr>
          <w:rFonts w:ascii="宋体" w:hAnsi="宋体"/>
          <w:kern w:val="0"/>
          <w:sz w:val="24"/>
        </w:rPr>
        <w:t>或复印件。对投资人按此种方式所获得的文件及其复印件，基金管理人和基金托管人</w:t>
      </w:r>
      <w:bookmarkStart w:id="106" w:name="_Toc109537402"/>
      <w:r>
        <w:rPr>
          <w:rFonts w:ascii="宋体" w:hAnsi="宋体"/>
          <w:kern w:val="0"/>
          <w:sz w:val="24"/>
        </w:rPr>
        <w:t>保证文本的内容与所公告的内容完全一</w:t>
      </w:r>
      <w:bookmarkEnd w:id="106"/>
      <w:r>
        <w:rPr>
          <w:rFonts w:ascii="宋体" w:hAnsi="宋体"/>
          <w:kern w:val="0"/>
          <w:sz w:val="24"/>
        </w:rPr>
        <w:t>致。</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投资人还可以直接登录基金管理人的网站（</w:t>
      </w:r>
      <w:r>
        <w:fldChar w:fldCharType="begin"/>
      </w:r>
      <w:r>
        <w:instrText xml:space="preserve"> HYPERLINK "http://www.fund001.com，www.bocomschroder.com" </w:instrText>
      </w:r>
      <w:r>
        <w:fldChar w:fldCharType="separate"/>
      </w:r>
      <w:r>
        <w:rPr>
          <w:rStyle w:val="31"/>
          <w:color w:val="auto"/>
          <w:sz w:val="24"/>
          <w:u w:val="none"/>
        </w:rPr>
        <w:t>www.fund001.com</w:t>
      </w:r>
      <w:r>
        <w:rPr>
          <w:rStyle w:val="31"/>
          <w:color w:val="auto"/>
          <w:sz w:val="24"/>
          <w:u w:val="none"/>
        </w:rPr>
        <w:fldChar w:fldCharType="end"/>
      </w:r>
      <w:r>
        <w:rPr>
          <w:rStyle w:val="31"/>
          <w:color w:val="auto"/>
          <w:u w:val="none"/>
        </w:rPr>
        <w:t>）</w:t>
      </w:r>
      <w:r>
        <w:rPr>
          <w:rFonts w:ascii="宋体" w:hAnsi="宋体"/>
          <w:kern w:val="0"/>
          <w:sz w:val="24"/>
        </w:rPr>
        <w:t>查阅和下载招募说明书。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7" w:name="_Toc48122025"/>
      <w:r>
        <w:rPr>
          <w:rFonts w:hint="eastAsia" w:ascii="宋体" w:hAnsi="宋体"/>
          <w:b/>
          <w:kern w:val="0"/>
          <w:sz w:val="30"/>
        </w:rPr>
        <w:t>二十四、备查文件</w:t>
      </w:r>
      <w:bookmarkEnd w:id="107"/>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以下备查文件存放在基金管理人的办公场所，在办公时间可供免费查阅。</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（一）中国证监会</w:t>
      </w:r>
      <w:r>
        <w:rPr>
          <w:rFonts w:hint="eastAsia" w:ascii="宋体" w:hAnsi="宋体"/>
          <w:kern w:val="0"/>
          <w:sz w:val="24"/>
          <w:szCs w:val="24"/>
        </w:rPr>
        <w:t>准予</w:t>
      </w:r>
      <w:r>
        <w:rPr>
          <w:rFonts w:ascii="宋体" w:hAnsi="宋体"/>
          <w:kern w:val="0"/>
          <w:sz w:val="24"/>
        </w:rPr>
        <w:t>交银施罗德</w:t>
      </w:r>
      <w:r>
        <w:rPr>
          <w:rFonts w:hint="eastAsia" w:ascii="宋体" w:hAnsi="宋体"/>
          <w:kern w:val="0"/>
          <w:sz w:val="24"/>
        </w:rPr>
        <w:t>启盛</w:t>
      </w:r>
      <w:r>
        <w:rPr>
          <w:rFonts w:ascii="宋体" w:hAnsi="宋体"/>
          <w:kern w:val="0"/>
          <w:sz w:val="24"/>
        </w:rPr>
        <w:t>混合型证券投资基金募集</w:t>
      </w:r>
      <w:r>
        <w:rPr>
          <w:rFonts w:hint="eastAsia" w:ascii="宋体" w:hAnsi="宋体"/>
          <w:kern w:val="0"/>
          <w:sz w:val="24"/>
          <w:szCs w:val="24"/>
        </w:rPr>
        <w:t>注册</w:t>
      </w:r>
      <w:r>
        <w:rPr>
          <w:rFonts w:ascii="宋体" w:hAnsi="宋体"/>
          <w:kern w:val="0"/>
          <w:sz w:val="24"/>
        </w:rPr>
        <w:t>的文件</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（二）《交银施罗德</w:t>
      </w:r>
      <w:r>
        <w:rPr>
          <w:rFonts w:hint="eastAsia" w:ascii="宋体" w:hAnsi="宋体"/>
          <w:kern w:val="0"/>
          <w:sz w:val="24"/>
        </w:rPr>
        <w:t>启盛</w:t>
      </w:r>
      <w:r>
        <w:rPr>
          <w:rFonts w:ascii="宋体" w:hAnsi="宋体"/>
          <w:kern w:val="0"/>
          <w:sz w:val="24"/>
        </w:rPr>
        <w:t>混合型证券投资基金基金合同》</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三</w:t>
      </w:r>
      <w:r>
        <w:rPr>
          <w:rFonts w:hint="eastAsia" w:ascii="宋体" w:hAnsi="宋体"/>
          <w:kern w:val="0"/>
          <w:sz w:val="24"/>
        </w:rPr>
        <w:t>）</w:t>
      </w:r>
      <w:r>
        <w:rPr>
          <w:rFonts w:ascii="宋体" w:hAnsi="宋体"/>
          <w:kern w:val="0"/>
          <w:sz w:val="24"/>
        </w:rPr>
        <w:t>《交银施罗德</w:t>
      </w:r>
      <w:r>
        <w:rPr>
          <w:rFonts w:hint="eastAsia" w:ascii="宋体" w:hAnsi="宋体"/>
          <w:kern w:val="0"/>
          <w:sz w:val="24"/>
        </w:rPr>
        <w:t>启盛</w:t>
      </w:r>
      <w:r>
        <w:rPr>
          <w:rFonts w:ascii="宋体" w:hAnsi="宋体"/>
          <w:kern w:val="0"/>
          <w:sz w:val="24"/>
        </w:rPr>
        <w:t>混合型证券投资基金托管协议》</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（四）</w:t>
      </w:r>
      <w:r>
        <w:rPr>
          <w:rFonts w:ascii="宋体" w:hAnsi="宋体"/>
          <w:kern w:val="0"/>
          <w:sz w:val="24"/>
        </w:rPr>
        <w:t>基金管理人业务资格批件、营业执照</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五</w:t>
      </w:r>
      <w:r>
        <w:rPr>
          <w:rFonts w:ascii="宋体" w:hAnsi="宋体"/>
          <w:kern w:val="0"/>
          <w:sz w:val="24"/>
        </w:rPr>
        <w:t>）基金托管人业务资格批件、营业执照</w:t>
      </w:r>
    </w:p>
    <w:p>
      <w:pPr>
        <w:widowControl/>
        <w:adjustRightInd w:val="0"/>
        <w:snapToGrid w:val="0"/>
        <w:spacing w:line="360" w:lineRule="auto"/>
        <w:ind w:firstLine="480" w:firstLineChars="200"/>
      </w:pPr>
      <w:r>
        <w:rPr>
          <w:rFonts w:ascii="宋体" w:hAnsi="宋体"/>
          <w:kern w:val="0"/>
          <w:sz w:val="24"/>
        </w:rPr>
        <w:t>（</w:t>
      </w:r>
      <w:r>
        <w:rPr>
          <w:rFonts w:hint="eastAsia" w:ascii="宋体" w:hAnsi="宋体"/>
          <w:kern w:val="0"/>
          <w:sz w:val="24"/>
        </w:rPr>
        <w:t>六</w:t>
      </w:r>
      <w:r>
        <w:rPr>
          <w:rFonts w:ascii="宋体" w:hAnsi="宋体"/>
          <w:kern w:val="0"/>
          <w:sz w:val="24"/>
        </w:rPr>
        <w:t>）关于</w:t>
      </w:r>
      <w:r>
        <w:rPr>
          <w:rFonts w:hint="eastAsia" w:ascii="宋体" w:hAnsi="宋体"/>
          <w:kern w:val="0"/>
          <w:sz w:val="24"/>
        </w:rPr>
        <w:t>申请</w:t>
      </w:r>
      <w:r>
        <w:rPr>
          <w:rFonts w:ascii="宋体" w:hAnsi="宋体"/>
          <w:kern w:val="0"/>
          <w:sz w:val="24"/>
        </w:rPr>
        <w:t>募集</w:t>
      </w:r>
      <w:r>
        <w:rPr>
          <w:rFonts w:hint="eastAsia" w:ascii="宋体" w:hAnsi="宋体"/>
          <w:kern w:val="0"/>
          <w:sz w:val="24"/>
          <w:szCs w:val="24"/>
        </w:rPr>
        <w:t>注册</w:t>
      </w:r>
      <w:r>
        <w:rPr>
          <w:rFonts w:ascii="宋体" w:hAnsi="宋体"/>
          <w:kern w:val="0"/>
          <w:sz w:val="24"/>
        </w:rPr>
        <w:t>交银施罗德</w:t>
      </w:r>
      <w:r>
        <w:rPr>
          <w:rFonts w:hint="eastAsia" w:ascii="宋体" w:hAnsi="宋体"/>
          <w:kern w:val="0"/>
          <w:sz w:val="24"/>
        </w:rPr>
        <w:t>启盛</w:t>
      </w:r>
      <w:r>
        <w:rPr>
          <w:rFonts w:ascii="宋体" w:hAnsi="宋体"/>
          <w:kern w:val="0"/>
          <w:sz w:val="24"/>
        </w:rPr>
        <w:t>混合型证券投资基金</w:t>
      </w:r>
      <w:r>
        <w:rPr>
          <w:rFonts w:hint="eastAsia" w:ascii="宋体" w:hAnsi="宋体"/>
          <w:kern w:val="0"/>
          <w:sz w:val="24"/>
        </w:rPr>
        <w:t>的</w:t>
      </w:r>
      <w:r>
        <w:rPr>
          <w:rFonts w:ascii="宋体" w:hAnsi="宋体"/>
          <w:kern w:val="0"/>
          <w:sz w:val="24"/>
        </w:rPr>
        <w:t>法律意见书</w:t>
      </w:r>
    </w:p>
    <w:sectPr>
      <w:headerReference r:id="rId3" w:type="default"/>
      <w:footerReference r:id="rId4" w:type="default"/>
      <w:pgSz w:w="12240" w:h="15840"/>
      <w:pgMar w:top="1440" w:right="1800" w:bottom="1440" w:left="1800" w:header="720" w:footer="720"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五">
    <w:altName w:val="等线"/>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t>24</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交银施罗德启盛混合型证券投资基金招募说明书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415BF"/>
    <w:multiLevelType w:val="multilevel"/>
    <w:tmpl w:val="4AC415B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706899BF"/>
    <w:multiLevelType w:val="singleLevel"/>
    <w:tmpl w:val="706899BF"/>
    <w:lvl w:ilvl="0" w:tentative="0">
      <w:start w:val="2"/>
      <w:numFmt w:val="decimal"/>
      <w:suff w:val="nothing"/>
      <w:lvlText w:val="%1、"/>
      <w:lvlJc w:val="left"/>
    </w:lvl>
  </w:abstractNum>
  <w:abstractNum w:abstractNumId="2">
    <w:nsid w:val="74B6284A"/>
    <w:multiLevelType w:val="multilevel"/>
    <w:tmpl w:val="74B6284A"/>
    <w:lvl w:ilvl="0" w:tentative="0">
      <w:start w:val="10"/>
      <w:numFmt w:val="japaneseCounting"/>
      <w:lvlText w:val="（%1）"/>
      <w:lvlJc w:val="left"/>
      <w:pPr>
        <w:ind w:left="1232" w:hanging="75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3380"/>
    <w:rsid w:val="00013CF1"/>
    <w:rsid w:val="00014138"/>
    <w:rsid w:val="000141E9"/>
    <w:rsid w:val="000142D4"/>
    <w:rsid w:val="000142FC"/>
    <w:rsid w:val="00014A8B"/>
    <w:rsid w:val="00015379"/>
    <w:rsid w:val="00015550"/>
    <w:rsid w:val="00015DB8"/>
    <w:rsid w:val="00016BA8"/>
    <w:rsid w:val="00021295"/>
    <w:rsid w:val="0002132B"/>
    <w:rsid w:val="00021950"/>
    <w:rsid w:val="00022409"/>
    <w:rsid w:val="00023E32"/>
    <w:rsid w:val="00023E75"/>
    <w:rsid w:val="000248AB"/>
    <w:rsid w:val="00025D7E"/>
    <w:rsid w:val="00026566"/>
    <w:rsid w:val="0003244B"/>
    <w:rsid w:val="00032B65"/>
    <w:rsid w:val="00032ED5"/>
    <w:rsid w:val="00033D71"/>
    <w:rsid w:val="00034F61"/>
    <w:rsid w:val="0003520D"/>
    <w:rsid w:val="00035769"/>
    <w:rsid w:val="0003639E"/>
    <w:rsid w:val="00037275"/>
    <w:rsid w:val="000376EB"/>
    <w:rsid w:val="00041E92"/>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1F72"/>
    <w:rsid w:val="00062891"/>
    <w:rsid w:val="000635F3"/>
    <w:rsid w:val="00065B95"/>
    <w:rsid w:val="000663E4"/>
    <w:rsid w:val="0006649F"/>
    <w:rsid w:val="00066B5D"/>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1904"/>
    <w:rsid w:val="000825D3"/>
    <w:rsid w:val="00082AB1"/>
    <w:rsid w:val="00082BA8"/>
    <w:rsid w:val="00084506"/>
    <w:rsid w:val="00084CED"/>
    <w:rsid w:val="0008593A"/>
    <w:rsid w:val="000866EF"/>
    <w:rsid w:val="00087169"/>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0CF9"/>
    <w:rsid w:val="000A1DC7"/>
    <w:rsid w:val="000A21D3"/>
    <w:rsid w:val="000A2FD3"/>
    <w:rsid w:val="000A3044"/>
    <w:rsid w:val="000A365C"/>
    <w:rsid w:val="000A36E6"/>
    <w:rsid w:val="000A3CA6"/>
    <w:rsid w:val="000A3FB4"/>
    <w:rsid w:val="000A553E"/>
    <w:rsid w:val="000A775B"/>
    <w:rsid w:val="000B07CA"/>
    <w:rsid w:val="000B086A"/>
    <w:rsid w:val="000B1A18"/>
    <w:rsid w:val="000B26A8"/>
    <w:rsid w:val="000B3D39"/>
    <w:rsid w:val="000B4C2D"/>
    <w:rsid w:val="000B4FB6"/>
    <w:rsid w:val="000B6967"/>
    <w:rsid w:val="000B78FB"/>
    <w:rsid w:val="000C0148"/>
    <w:rsid w:val="000C1A8D"/>
    <w:rsid w:val="000C2295"/>
    <w:rsid w:val="000C2DD2"/>
    <w:rsid w:val="000C2E07"/>
    <w:rsid w:val="000C4E01"/>
    <w:rsid w:val="000C650A"/>
    <w:rsid w:val="000C7711"/>
    <w:rsid w:val="000C7F7F"/>
    <w:rsid w:val="000D0D52"/>
    <w:rsid w:val="000D0ED3"/>
    <w:rsid w:val="000D1375"/>
    <w:rsid w:val="000D37C6"/>
    <w:rsid w:val="000D3A89"/>
    <w:rsid w:val="000D49D5"/>
    <w:rsid w:val="000D52A6"/>
    <w:rsid w:val="000D5329"/>
    <w:rsid w:val="000D5EB3"/>
    <w:rsid w:val="000D6B73"/>
    <w:rsid w:val="000D76D1"/>
    <w:rsid w:val="000E03C3"/>
    <w:rsid w:val="000E1BE0"/>
    <w:rsid w:val="000E32F8"/>
    <w:rsid w:val="000E3675"/>
    <w:rsid w:val="000E3794"/>
    <w:rsid w:val="000E3A6B"/>
    <w:rsid w:val="000E3F89"/>
    <w:rsid w:val="000E4049"/>
    <w:rsid w:val="000E4073"/>
    <w:rsid w:val="000E410D"/>
    <w:rsid w:val="000E456C"/>
    <w:rsid w:val="000E53EB"/>
    <w:rsid w:val="000E57A1"/>
    <w:rsid w:val="000F1899"/>
    <w:rsid w:val="000F2783"/>
    <w:rsid w:val="000F5072"/>
    <w:rsid w:val="000F525A"/>
    <w:rsid w:val="000F5363"/>
    <w:rsid w:val="000F603F"/>
    <w:rsid w:val="000F6855"/>
    <w:rsid w:val="000F7635"/>
    <w:rsid w:val="00100052"/>
    <w:rsid w:val="001005E7"/>
    <w:rsid w:val="0010062F"/>
    <w:rsid w:val="00100DB6"/>
    <w:rsid w:val="00100FB6"/>
    <w:rsid w:val="00101BCD"/>
    <w:rsid w:val="00101D6B"/>
    <w:rsid w:val="00101DDD"/>
    <w:rsid w:val="00102F17"/>
    <w:rsid w:val="001032A4"/>
    <w:rsid w:val="0010389E"/>
    <w:rsid w:val="00103B2F"/>
    <w:rsid w:val="00104092"/>
    <w:rsid w:val="00105E2F"/>
    <w:rsid w:val="00106936"/>
    <w:rsid w:val="00106E70"/>
    <w:rsid w:val="00107C20"/>
    <w:rsid w:val="00107D4B"/>
    <w:rsid w:val="00107D54"/>
    <w:rsid w:val="00107EED"/>
    <w:rsid w:val="001110CF"/>
    <w:rsid w:val="00111562"/>
    <w:rsid w:val="00111801"/>
    <w:rsid w:val="0011248F"/>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2AF"/>
    <w:rsid w:val="0012435E"/>
    <w:rsid w:val="00124732"/>
    <w:rsid w:val="0012504C"/>
    <w:rsid w:val="00125194"/>
    <w:rsid w:val="00125F07"/>
    <w:rsid w:val="001266C3"/>
    <w:rsid w:val="0012671A"/>
    <w:rsid w:val="00126BA9"/>
    <w:rsid w:val="00132012"/>
    <w:rsid w:val="001325E6"/>
    <w:rsid w:val="00132970"/>
    <w:rsid w:val="001336A1"/>
    <w:rsid w:val="00134304"/>
    <w:rsid w:val="001347F3"/>
    <w:rsid w:val="00135C0D"/>
    <w:rsid w:val="00136501"/>
    <w:rsid w:val="00136C37"/>
    <w:rsid w:val="00140449"/>
    <w:rsid w:val="00140C46"/>
    <w:rsid w:val="001411CF"/>
    <w:rsid w:val="00141A31"/>
    <w:rsid w:val="00141A52"/>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4147"/>
    <w:rsid w:val="0015477B"/>
    <w:rsid w:val="001551F2"/>
    <w:rsid w:val="00155489"/>
    <w:rsid w:val="0015580D"/>
    <w:rsid w:val="0015580E"/>
    <w:rsid w:val="00155C90"/>
    <w:rsid w:val="00155C9F"/>
    <w:rsid w:val="00156CDE"/>
    <w:rsid w:val="001577C7"/>
    <w:rsid w:val="00157AAF"/>
    <w:rsid w:val="00160163"/>
    <w:rsid w:val="001623B0"/>
    <w:rsid w:val="001629C9"/>
    <w:rsid w:val="001629DE"/>
    <w:rsid w:val="001648AA"/>
    <w:rsid w:val="001651A4"/>
    <w:rsid w:val="00165F32"/>
    <w:rsid w:val="00166E4B"/>
    <w:rsid w:val="00166E76"/>
    <w:rsid w:val="00167015"/>
    <w:rsid w:val="001670ED"/>
    <w:rsid w:val="0017072D"/>
    <w:rsid w:val="001723A3"/>
    <w:rsid w:val="00172632"/>
    <w:rsid w:val="00172A27"/>
    <w:rsid w:val="00172E25"/>
    <w:rsid w:val="00172E34"/>
    <w:rsid w:val="00172FA0"/>
    <w:rsid w:val="001732A9"/>
    <w:rsid w:val="001735DD"/>
    <w:rsid w:val="00174853"/>
    <w:rsid w:val="00175439"/>
    <w:rsid w:val="00175E1A"/>
    <w:rsid w:val="001760E1"/>
    <w:rsid w:val="00176574"/>
    <w:rsid w:val="00176E7D"/>
    <w:rsid w:val="001773F2"/>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978C7"/>
    <w:rsid w:val="001A1652"/>
    <w:rsid w:val="001A191E"/>
    <w:rsid w:val="001A2DD1"/>
    <w:rsid w:val="001A3878"/>
    <w:rsid w:val="001A39CE"/>
    <w:rsid w:val="001A401D"/>
    <w:rsid w:val="001A49AE"/>
    <w:rsid w:val="001A57CF"/>
    <w:rsid w:val="001A58FE"/>
    <w:rsid w:val="001A63B8"/>
    <w:rsid w:val="001B0D8E"/>
    <w:rsid w:val="001B2567"/>
    <w:rsid w:val="001B30C8"/>
    <w:rsid w:val="001B33A8"/>
    <w:rsid w:val="001B4357"/>
    <w:rsid w:val="001B468A"/>
    <w:rsid w:val="001B46A1"/>
    <w:rsid w:val="001B480D"/>
    <w:rsid w:val="001B5948"/>
    <w:rsid w:val="001B63A2"/>
    <w:rsid w:val="001B65BB"/>
    <w:rsid w:val="001B7CA2"/>
    <w:rsid w:val="001C3484"/>
    <w:rsid w:val="001C3695"/>
    <w:rsid w:val="001C3EAB"/>
    <w:rsid w:val="001C5648"/>
    <w:rsid w:val="001C5BF4"/>
    <w:rsid w:val="001C5EC3"/>
    <w:rsid w:val="001C651B"/>
    <w:rsid w:val="001C735A"/>
    <w:rsid w:val="001D06DB"/>
    <w:rsid w:val="001D0792"/>
    <w:rsid w:val="001D0A65"/>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F103E"/>
    <w:rsid w:val="001F1BCF"/>
    <w:rsid w:val="001F267C"/>
    <w:rsid w:val="001F2812"/>
    <w:rsid w:val="001F28DB"/>
    <w:rsid w:val="001F3D5E"/>
    <w:rsid w:val="001F4DF7"/>
    <w:rsid w:val="001F4EDB"/>
    <w:rsid w:val="001F52BC"/>
    <w:rsid w:val="001F6638"/>
    <w:rsid w:val="001F6E63"/>
    <w:rsid w:val="00200729"/>
    <w:rsid w:val="0020102F"/>
    <w:rsid w:val="00201A69"/>
    <w:rsid w:val="00201F37"/>
    <w:rsid w:val="002022D7"/>
    <w:rsid w:val="002027A1"/>
    <w:rsid w:val="00202A26"/>
    <w:rsid w:val="0020442C"/>
    <w:rsid w:val="00204B5D"/>
    <w:rsid w:val="002053F4"/>
    <w:rsid w:val="00205728"/>
    <w:rsid w:val="002065B3"/>
    <w:rsid w:val="00206F43"/>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E1A"/>
    <w:rsid w:val="0022028D"/>
    <w:rsid w:val="00220FBF"/>
    <w:rsid w:val="00221127"/>
    <w:rsid w:val="002213BF"/>
    <w:rsid w:val="00221F92"/>
    <w:rsid w:val="002224EC"/>
    <w:rsid w:val="002229B0"/>
    <w:rsid w:val="00222DC0"/>
    <w:rsid w:val="002233A2"/>
    <w:rsid w:val="00223DD8"/>
    <w:rsid w:val="0022464C"/>
    <w:rsid w:val="00225114"/>
    <w:rsid w:val="0022586B"/>
    <w:rsid w:val="00226E99"/>
    <w:rsid w:val="00227112"/>
    <w:rsid w:val="0022796A"/>
    <w:rsid w:val="002339A6"/>
    <w:rsid w:val="002344C9"/>
    <w:rsid w:val="00234677"/>
    <w:rsid w:val="0023502A"/>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E84"/>
    <w:rsid w:val="00251677"/>
    <w:rsid w:val="002519BA"/>
    <w:rsid w:val="0025234F"/>
    <w:rsid w:val="00253250"/>
    <w:rsid w:val="0025340B"/>
    <w:rsid w:val="002535F7"/>
    <w:rsid w:val="00253CD8"/>
    <w:rsid w:val="002553F3"/>
    <w:rsid w:val="00256021"/>
    <w:rsid w:val="002564B8"/>
    <w:rsid w:val="00256ACE"/>
    <w:rsid w:val="0025795A"/>
    <w:rsid w:val="00261278"/>
    <w:rsid w:val="0026254E"/>
    <w:rsid w:val="002635EC"/>
    <w:rsid w:val="00264191"/>
    <w:rsid w:val="00264AD1"/>
    <w:rsid w:val="00265A1F"/>
    <w:rsid w:val="00265FD2"/>
    <w:rsid w:val="002661A3"/>
    <w:rsid w:val="00266ACE"/>
    <w:rsid w:val="00266B21"/>
    <w:rsid w:val="00272220"/>
    <w:rsid w:val="002724C0"/>
    <w:rsid w:val="00272795"/>
    <w:rsid w:val="00273181"/>
    <w:rsid w:val="00274DB0"/>
    <w:rsid w:val="002802E4"/>
    <w:rsid w:val="00281F8E"/>
    <w:rsid w:val="00282F4D"/>
    <w:rsid w:val="00283237"/>
    <w:rsid w:val="002860B5"/>
    <w:rsid w:val="002869FF"/>
    <w:rsid w:val="00287E74"/>
    <w:rsid w:val="00290B48"/>
    <w:rsid w:val="002920F3"/>
    <w:rsid w:val="00292156"/>
    <w:rsid w:val="0029355B"/>
    <w:rsid w:val="00293BC8"/>
    <w:rsid w:val="00296193"/>
    <w:rsid w:val="0029691D"/>
    <w:rsid w:val="002979EB"/>
    <w:rsid w:val="002A1944"/>
    <w:rsid w:val="002A25B1"/>
    <w:rsid w:val="002A2657"/>
    <w:rsid w:val="002A30AC"/>
    <w:rsid w:val="002A4A10"/>
    <w:rsid w:val="002A4E3E"/>
    <w:rsid w:val="002A5387"/>
    <w:rsid w:val="002A6364"/>
    <w:rsid w:val="002A6B5C"/>
    <w:rsid w:val="002B02A1"/>
    <w:rsid w:val="002B0DD7"/>
    <w:rsid w:val="002B0F37"/>
    <w:rsid w:val="002B180D"/>
    <w:rsid w:val="002B2AC2"/>
    <w:rsid w:val="002B2F63"/>
    <w:rsid w:val="002B37CD"/>
    <w:rsid w:val="002B537B"/>
    <w:rsid w:val="002B7181"/>
    <w:rsid w:val="002B74A2"/>
    <w:rsid w:val="002B78F9"/>
    <w:rsid w:val="002C01CE"/>
    <w:rsid w:val="002C08AA"/>
    <w:rsid w:val="002C0BB9"/>
    <w:rsid w:val="002C269B"/>
    <w:rsid w:val="002C4278"/>
    <w:rsid w:val="002C6411"/>
    <w:rsid w:val="002C77BA"/>
    <w:rsid w:val="002C7A89"/>
    <w:rsid w:val="002D17E5"/>
    <w:rsid w:val="002D193A"/>
    <w:rsid w:val="002D19CB"/>
    <w:rsid w:val="002D1D28"/>
    <w:rsid w:val="002D2527"/>
    <w:rsid w:val="002D355B"/>
    <w:rsid w:val="002D4CAA"/>
    <w:rsid w:val="002D53B5"/>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6F"/>
    <w:rsid w:val="002F3DC0"/>
    <w:rsid w:val="002F5679"/>
    <w:rsid w:val="002F579F"/>
    <w:rsid w:val="002F5CD3"/>
    <w:rsid w:val="002F60EF"/>
    <w:rsid w:val="0030037A"/>
    <w:rsid w:val="00301328"/>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43D5"/>
    <w:rsid w:val="0031526E"/>
    <w:rsid w:val="00316510"/>
    <w:rsid w:val="003166AE"/>
    <w:rsid w:val="00316DA0"/>
    <w:rsid w:val="00316FC1"/>
    <w:rsid w:val="00320B50"/>
    <w:rsid w:val="003221C1"/>
    <w:rsid w:val="00322B67"/>
    <w:rsid w:val="00322DA4"/>
    <w:rsid w:val="00323072"/>
    <w:rsid w:val="00323779"/>
    <w:rsid w:val="00327520"/>
    <w:rsid w:val="0033022C"/>
    <w:rsid w:val="00330610"/>
    <w:rsid w:val="0033142F"/>
    <w:rsid w:val="003315C6"/>
    <w:rsid w:val="00332FA9"/>
    <w:rsid w:val="0033329C"/>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7A5"/>
    <w:rsid w:val="00344829"/>
    <w:rsid w:val="00344A3B"/>
    <w:rsid w:val="00345DE5"/>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BA1"/>
    <w:rsid w:val="00364553"/>
    <w:rsid w:val="00365D8B"/>
    <w:rsid w:val="00366575"/>
    <w:rsid w:val="003665B0"/>
    <w:rsid w:val="0036688E"/>
    <w:rsid w:val="00367342"/>
    <w:rsid w:val="003709B2"/>
    <w:rsid w:val="003722A1"/>
    <w:rsid w:val="00372916"/>
    <w:rsid w:val="00372DAB"/>
    <w:rsid w:val="00372E5D"/>
    <w:rsid w:val="00372E9D"/>
    <w:rsid w:val="0037356F"/>
    <w:rsid w:val="003745A7"/>
    <w:rsid w:val="00374ABC"/>
    <w:rsid w:val="003750FA"/>
    <w:rsid w:val="00375104"/>
    <w:rsid w:val="00375A29"/>
    <w:rsid w:val="00375DCF"/>
    <w:rsid w:val="00375ECD"/>
    <w:rsid w:val="0037714B"/>
    <w:rsid w:val="003775BF"/>
    <w:rsid w:val="003805DF"/>
    <w:rsid w:val="00380AF9"/>
    <w:rsid w:val="00380F4B"/>
    <w:rsid w:val="00381452"/>
    <w:rsid w:val="0038287E"/>
    <w:rsid w:val="00383134"/>
    <w:rsid w:val="00384AEF"/>
    <w:rsid w:val="00384D22"/>
    <w:rsid w:val="00385221"/>
    <w:rsid w:val="003859DF"/>
    <w:rsid w:val="00385C62"/>
    <w:rsid w:val="00385CDC"/>
    <w:rsid w:val="003874B9"/>
    <w:rsid w:val="00387671"/>
    <w:rsid w:val="00387ABE"/>
    <w:rsid w:val="003909E2"/>
    <w:rsid w:val="00391677"/>
    <w:rsid w:val="003921C4"/>
    <w:rsid w:val="00392C8E"/>
    <w:rsid w:val="003931C6"/>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2B4A"/>
    <w:rsid w:val="003A333A"/>
    <w:rsid w:val="003A36DB"/>
    <w:rsid w:val="003A5CAC"/>
    <w:rsid w:val="003A63FD"/>
    <w:rsid w:val="003A74EE"/>
    <w:rsid w:val="003B0B0C"/>
    <w:rsid w:val="003B28BE"/>
    <w:rsid w:val="003B2C40"/>
    <w:rsid w:val="003B37E7"/>
    <w:rsid w:val="003B4153"/>
    <w:rsid w:val="003B64DF"/>
    <w:rsid w:val="003B66E3"/>
    <w:rsid w:val="003B7286"/>
    <w:rsid w:val="003C048E"/>
    <w:rsid w:val="003C0901"/>
    <w:rsid w:val="003C0ED9"/>
    <w:rsid w:val="003C0F87"/>
    <w:rsid w:val="003C2778"/>
    <w:rsid w:val="003C2DAE"/>
    <w:rsid w:val="003C2E24"/>
    <w:rsid w:val="003C354F"/>
    <w:rsid w:val="003C4D79"/>
    <w:rsid w:val="003C6226"/>
    <w:rsid w:val="003C7623"/>
    <w:rsid w:val="003D0009"/>
    <w:rsid w:val="003D08F8"/>
    <w:rsid w:val="003D0EF7"/>
    <w:rsid w:val="003D1A34"/>
    <w:rsid w:val="003D1D93"/>
    <w:rsid w:val="003D5261"/>
    <w:rsid w:val="003D5457"/>
    <w:rsid w:val="003D54ED"/>
    <w:rsid w:val="003D5728"/>
    <w:rsid w:val="003D5A80"/>
    <w:rsid w:val="003D7221"/>
    <w:rsid w:val="003E03BB"/>
    <w:rsid w:val="003E1676"/>
    <w:rsid w:val="003E1CAC"/>
    <w:rsid w:val="003E2863"/>
    <w:rsid w:val="003E33E0"/>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6A96"/>
    <w:rsid w:val="003F6DDA"/>
    <w:rsid w:val="003F6DDC"/>
    <w:rsid w:val="003F71DE"/>
    <w:rsid w:val="003F7771"/>
    <w:rsid w:val="003F7C6A"/>
    <w:rsid w:val="0040058D"/>
    <w:rsid w:val="004007B8"/>
    <w:rsid w:val="0040380B"/>
    <w:rsid w:val="004058F5"/>
    <w:rsid w:val="00406408"/>
    <w:rsid w:val="00407006"/>
    <w:rsid w:val="00407976"/>
    <w:rsid w:val="00407A35"/>
    <w:rsid w:val="004104FD"/>
    <w:rsid w:val="004106AA"/>
    <w:rsid w:val="004106FE"/>
    <w:rsid w:val="004112DB"/>
    <w:rsid w:val="00412865"/>
    <w:rsid w:val="00413E5F"/>
    <w:rsid w:val="0041460D"/>
    <w:rsid w:val="004151D7"/>
    <w:rsid w:val="0041611F"/>
    <w:rsid w:val="00420BF4"/>
    <w:rsid w:val="00423237"/>
    <w:rsid w:val="00423DC6"/>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90E"/>
    <w:rsid w:val="00443C68"/>
    <w:rsid w:val="0044415F"/>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57F1F"/>
    <w:rsid w:val="004603A2"/>
    <w:rsid w:val="0046105A"/>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1A4"/>
    <w:rsid w:val="00471F0A"/>
    <w:rsid w:val="0047277B"/>
    <w:rsid w:val="00472839"/>
    <w:rsid w:val="00473C4C"/>
    <w:rsid w:val="00473F40"/>
    <w:rsid w:val="004742B0"/>
    <w:rsid w:val="00476370"/>
    <w:rsid w:val="00482082"/>
    <w:rsid w:val="00485CB4"/>
    <w:rsid w:val="0048650E"/>
    <w:rsid w:val="00486983"/>
    <w:rsid w:val="00486AEC"/>
    <w:rsid w:val="00487F1C"/>
    <w:rsid w:val="00490994"/>
    <w:rsid w:val="00490A0E"/>
    <w:rsid w:val="004915F3"/>
    <w:rsid w:val="00491993"/>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2829"/>
    <w:rsid w:val="004B2CD5"/>
    <w:rsid w:val="004B35FB"/>
    <w:rsid w:val="004B3EF9"/>
    <w:rsid w:val="004B4A08"/>
    <w:rsid w:val="004B550D"/>
    <w:rsid w:val="004B7AAA"/>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711C"/>
    <w:rsid w:val="004E192B"/>
    <w:rsid w:val="004E29FD"/>
    <w:rsid w:val="004E30A8"/>
    <w:rsid w:val="004E365D"/>
    <w:rsid w:val="004E47B0"/>
    <w:rsid w:val="004E5302"/>
    <w:rsid w:val="004E592A"/>
    <w:rsid w:val="004E66D9"/>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0E18"/>
    <w:rsid w:val="005019DC"/>
    <w:rsid w:val="00501C88"/>
    <w:rsid w:val="00502B26"/>
    <w:rsid w:val="00502BFA"/>
    <w:rsid w:val="00503097"/>
    <w:rsid w:val="005036C2"/>
    <w:rsid w:val="00504BDF"/>
    <w:rsid w:val="00505A18"/>
    <w:rsid w:val="00505AE1"/>
    <w:rsid w:val="00505F1A"/>
    <w:rsid w:val="0050666F"/>
    <w:rsid w:val="00506A30"/>
    <w:rsid w:val="00506A86"/>
    <w:rsid w:val="005119F7"/>
    <w:rsid w:val="005120D4"/>
    <w:rsid w:val="005135AA"/>
    <w:rsid w:val="005145B4"/>
    <w:rsid w:val="00514DD4"/>
    <w:rsid w:val="005158B6"/>
    <w:rsid w:val="00515D02"/>
    <w:rsid w:val="005176CA"/>
    <w:rsid w:val="00517AF3"/>
    <w:rsid w:val="005204D3"/>
    <w:rsid w:val="0052156C"/>
    <w:rsid w:val="00522E7B"/>
    <w:rsid w:val="0052347F"/>
    <w:rsid w:val="005243A5"/>
    <w:rsid w:val="00526D70"/>
    <w:rsid w:val="00530A28"/>
    <w:rsid w:val="00531600"/>
    <w:rsid w:val="00531CA1"/>
    <w:rsid w:val="0053310F"/>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BC2"/>
    <w:rsid w:val="00551290"/>
    <w:rsid w:val="00551870"/>
    <w:rsid w:val="00552A56"/>
    <w:rsid w:val="00552FC3"/>
    <w:rsid w:val="00552FD0"/>
    <w:rsid w:val="00553F17"/>
    <w:rsid w:val="00554639"/>
    <w:rsid w:val="00554C85"/>
    <w:rsid w:val="005550E5"/>
    <w:rsid w:val="0055516B"/>
    <w:rsid w:val="005552C2"/>
    <w:rsid w:val="00555764"/>
    <w:rsid w:val="00555F2C"/>
    <w:rsid w:val="005565C9"/>
    <w:rsid w:val="00556A03"/>
    <w:rsid w:val="00557087"/>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36"/>
    <w:rsid w:val="005732A2"/>
    <w:rsid w:val="0057377B"/>
    <w:rsid w:val="00574190"/>
    <w:rsid w:val="00574893"/>
    <w:rsid w:val="00575FD9"/>
    <w:rsid w:val="005778A7"/>
    <w:rsid w:val="0058033F"/>
    <w:rsid w:val="00582518"/>
    <w:rsid w:val="005829DC"/>
    <w:rsid w:val="00583F3A"/>
    <w:rsid w:val="00585772"/>
    <w:rsid w:val="005857B3"/>
    <w:rsid w:val="0058672E"/>
    <w:rsid w:val="0058765F"/>
    <w:rsid w:val="0059002B"/>
    <w:rsid w:val="005906B2"/>
    <w:rsid w:val="005907BE"/>
    <w:rsid w:val="0059094D"/>
    <w:rsid w:val="00590956"/>
    <w:rsid w:val="005914C2"/>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E60"/>
    <w:rsid w:val="005B20B8"/>
    <w:rsid w:val="005B2470"/>
    <w:rsid w:val="005B31F6"/>
    <w:rsid w:val="005B5BA9"/>
    <w:rsid w:val="005B65AC"/>
    <w:rsid w:val="005B7856"/>
    <w:rsid w:val="005C1554"/>
    <w:rsid w:val="005C1EA1"/>
    <w:rsid w:val="005C1FF8"/>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A3"/>
    <w:rsid w:val="005D244A"/>
    <w:rsid w:val="005D3E58"/>
    <w:rsid w:val="005D50DE"/>
    <w:rsid w:val="005D5A7A"/>
    <w:rsid w:val="005D5D38"/>
    <w:rsid w:val="005D7F7E"/>
    <w:rsid w:val="005E114F"/>
    <w:rsid w:val="005E23A3"/>
    <w:rsid w:val="005E23C6"/>
    <w:rsid w:val="005E4189"/>
    <w:rsid w:val="005E4237"/>
    <w:rsid w:val="005E4D0A"/>
    <w:rsid w:val="005E5BAA"/>
    <w:rsid w:val="005E672A"/>
    <w:rsid w:val="005E6C6B"/>
    <w:rsid w:val="005F0530"/>
    <w:rsid w:val="005F1A0A"/>
    <w:rsid w:val="005F2CE0"/>
    <w:rsid w:val="005F3A68"/>
    <w:rsid w:val="005F3BD1"/>
    <w:rsid w:val="005F4D9E"/>
    <w:rsid w:val="005F505B"/>
    <w:rsid w:val="005F7265"/>
    <w:rsid w:val="0060212D"/>
    <w:rsid w:val="006022FE"/>
    <w:rsid w:val="00602DB2"/>
    <w:rsid w:val="00602EFA"/>
    <w:rsid w:val="00605792"/>
    <w:rsid w:val="00606059"/>
    <w:rsid w:val="00607BFE"/>
    <w:rsid w:val="0061036D"/>
    <w:rsid w:val="006104C3"/>
    <w:rsid w:val="00611F66"/>
    <w:rsid w:val="00613A1C"/>
    <w:rsid w:val="00614214"/>
    <w:rsid w:val="00614256"/>
    <w:rsid w:val="006147DD"/>
    <w:rsid w:val="00614933"/>
    <w:rsid w:val="00614FB2"/>
    <w:rsid w:val="00615406"/>
    <w:rsid w:val="006175E7"/>
    <w:rsid w:val="00620F08"/>
    <w:rsid w:val="00621D49"/>
    <w:rsid w:val="0062244C"/>
    <w:rsid w:val="00623C44"/>
    <w:rsid w:val="0062463B"/>
    <w:rsid w:val="00624A86"/>
    <w:rsid w:val="00626415"/>
    <w:rsid w:val="00626C74"/>
    <w:rsid w:val="00626E14"/>
    <w:rsid w:val="00627D7E"/>
    <w:rsid w:val="00630233"/>
    <w:rsid w:val="00630B14"/>
    <w:rsid w:val="00632217"/>
    <w:rsid w:val="006336B5"/>
    <w:rsid w:val="006342EB"/>
    <w:rsid w:val="0063466A"/>
    <w:rsid w:val="00634A6B"/>
    <w:rsid w:val="0063532E"/>
    <w:rsid w:val="0063638D"/>
    <w:rsid w:val="00636B31"/>
    <w:rsid w:val="0064002B"/>
    <w:rsid w:val="0064179F"/>
    <w:rsid w:val="006423D5"/>
    <w:rsid w:val="00643AD4"/>
    <w:rsid w:val="00643F16"/>
    <w:rsid w:val="00645542"/>
    <w:rsid w:val="006456EC"/>
    <w:rsid w:val="00645D5F"/>
    <w:rsid w:val="0065008F"/>
    <w:rsid w:val="00650D60"/>
    <w:rsid w:val="00650E37"/>
    <w:rsid w:val="00652829"/>
    <w:rsid w:val="006529B8"/>
    <w:rsid w:val="00652EE1"/>
    <w:rsid w:val="00653919"/>
    <w:rsid w:val="00653AE2"/>
    <w:rsid w:val="00654F6A"/>
    <w:rsid w:val="00654FC7"/>
    <w:rsid w:val="006554D6"/>
    <w:rsid w:val="00655AEC"/>
    <w:rsid w:val="00655BE9"/>
    <w:rsid w:val="00655FDD"/>
    <w:rsid w:val="00657EB0"/>
    <w:rsid w:val="00660F7D"/>
    <w:rsid w:val="0066106E"/>
    <w:rsid w:val="006615DA"/>
    <w:rsid w:val="006618D8"/>
    <w:rsid w:val="006621AB"/>
    <w:rsid w:val="00663EA5"/>
    <w:rsid w:val="00663FAA"/>
    <w:rsid w:val="0066474C"/>
    <w:rsid w:val="00665BB1"/>
    <w:rsid w:val="00665BEB"/>
    <w:rsid w:val="00666A5B"/>
    <w:rsid w:val="00666AB3"/>
    <w:rsid w:val="006674A2"/>
    <w:rsid w:val="00667F13"/>
    <w:rsid w:val="0067087C"/>
    <w:rsid w:val="00670F48"/>
    <w:rsid w:val="00671603"/>
    <w:rsid w:val="0067415B"/>
    <w:rsid w:val="006744F8"/>
    <w:rsid w:val="00675DC1"/>
    <w:rsid w:val="006811F4"/>
    <w:rsid w:val="00681610"/>
    <w:rsid w:val="00681FB1"/>
    <w:rsid w:val="00682FDA"/>
    <w:rsid w:val="006837D9"/>
    <w:rsid w:val="0068511A"/>
    <w:rsid w:val="0068614B"/>
    <w:rsid w:val="006861DF"/>
    <w:rsid w:val="00687099"/>
    <w:rsid w:val="00687317"/>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192"/>
    <w:rsid w:val="006A3CDB"/>
    <w:rsid w:val="006A5AC9"/>
    <w:rsid w:val="006A5B90"/>
    <w:rsid w:val="006B11B3"/>
    <w:rsid w:val="006B162C"/>
    <w:rsid w:val="006B1DEF"/>
    <w:rsid w:val="006B2B50"/>
    <w:rsid w:val="006B357C"/>
    <w:rsid w:val="006B3BF6"/>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2E3F"/>
    <w:rsid w:val="006F3EB0"/>
    <w:rsid w:val="006F4975"/>
    <w:rsid w:val="006F4E34"/>
    <w:rsid w:val="006F538A"/>
    <w:rsid w:val="006F576D"/>
    <w:rsid w:val="006F6440"/>
    <w:rsid w:val="0070029F"/>
    <w:rsid w:val="00700FE8"/>
    <w:rsid w:val="007012B3"/>
    <w:rsid w:val="007023A3"/>
    <w:rsid w:val="00702BB7"/>
    <w:rsid w:val="00703C5F"/>
    <w:rsid w:val="007051FF"/>
    <w:rsid w:val="00705F08"/>
    <w:rsid w:val="00706531"/>
    <w:rsid w:val="0070663B"/>
    <w:rsid w:val="00706AA1"/>
    <w:rsid w:val="00706E7C"/>
    <w:rsid w:val="0070769C"/>
    <w:rsid w:val="00707BDA"/>
    <w:rsid w:val="0071075F"/>
    <w:rsid w:val="0071188A"/>
    <w:rsid w:val="00712521"/>
    <w:rsid w:val="0071254D"/>
    <w:rsid w:val="00713E7D"/>
    <w:rsid w:val="00714750"/>
    <w:rsid w:val="007153D6"/>
    <w:rsid w:val="00716394"/>
    <w:rsid w:val="00717AA3"/>
    <w:rsid w:val="007206F2"/>
    <w:rsid w:val="007216BB"/>
    <w:rsid w:val="007222F5"/>
    <w:rsid w:val="007222F9"/>
    <w:rsid w:val="007224C2"/>
    <w:rsid w:val="0072299B"/>
    <w:rsid w:val="0072353D"/>
    <w:rsid w:val="00723A1D"/>
    <w:rsid w:val="007240FE"/>
    <w:rsid w:val="00724315"/>
    <w:rsid w:val="007248A7"/>
    <w:rsid w:val="007254A0"/>
    <w:rsid w:val="00726653"/>
    <w:rsid w:val="00726CD6"/>
    <w:rsid w:val="00727095"/>
    <w:rsid w:val="0073053D"/>
    <w:rsid w:val="00731BC8"/>
    <w:rsid w:val="00731BD2"/>
    <w:rsid w:val="007337DC"/>
    <w:rsid w:val="007347DE"/>
    <w:rsid w:val="00735259"/>
    <w:rsid w:val="00735D1E"/>
    <w:rsid w:val="00736156"/>
    <w:rsid w:val="00736301"/>
    <w:rsid w:val="0073641B"/>
    <w:rsid w:val="00736743"/>
    <w:rsid w:val="00736F61"/>
    <w:rsid w:val="007405DF"/>
    <w:rsid w:val="00741040"/>
    <w:rsid w:val="00741F61"/>
    <w:rsid w:val="00742EA7"/>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61D8"/>
    <w:rsid w:val="00757019"/>
    <w:rsid w:val="007572CC"/>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5D35"/>
    <w:rsid w:val="007766F4"/>
    <w:rsid w:val="00777A67"/>
    <w:rsid w:val="0078022D"/>
    <w:rsid w:val="00782355"/>
    <w:rsid w:val="007826AD"/>
    <w:rsid w:val="00783313"/>
    <w:rsid w:val="00783C52"/>
    <w:rsid w:val="00785158"/>
    <w:rsid w:val="007867E8"/>
    <w:rsid w:val="007868EC"/>
    <w:rsid w:val="00786C14"/>
    <w:rsid w:val="00786E0E"/>
    <w:rsid w:val="007875DD"/>
    <w:rsid w:val="00790DE4"/>
    <w:rsid w:val="00790E3F"/>
    <w:rsid w:val="00791EA5"/>
    <w:rsid w:val="00792185"/>
    <w:rsid w:val="007929A8"/>
    <w:rsid w:val="00792D39"/>
    <w:rsid w:val="00793126"/>
    <w:rsid w:val="00793F2F"/>
    <w:rsid w:val="007945B3"/>
    <w:rsid w:val="00795E0C"/>
    <w:rsid w:val="00795EB8"/>
    <w:rsid w:val="007960FA"/>
    <w:rsid w:val="007967CF"/>
    <w:rsid w:val="007A1A8E"/>
    <w:rsid w:val="007A3220"/>
    <w:rsid w:val="007A32D9"/>
    <w:rsid w:val="007A3D6D"/>
    <w:rsid w:val="007A3F9D"/>
    <w:rsid w:val="007A446D"/>
    <w:rsid w:val="007A4519"/>
    <w:rsid w:val="007A54EE"/>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4935"/>
    <w:rsid w:val="007B586C"/>
    <w:rsid w:val="007B709A"/>
    <w:rsid w:val="007B7594"/>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63A9"/>
    <w:rsid w:val="007D679D"/>
    <w:rsid w:val="007D6863"/>
    <w:rsid w:val="007D78E3"/>
    <w:rsid w:val="007E004E"/>
    <w:rsid w:val="007E053E"/>
    <w:rsid w:val="007E0C0D"/>
    <w:rsid w:val="007E0EC6"/>
    <w:rsid w:val="007E0ED1"/>
    <w:rsid w:val="007E1C5A"/>
    <w:rsid w:val="007E20B7"/>
    <w:rsid w:val="007E28A0"/>
    <w:rsid w:val="007E3F4C"/>
    <w:rsid w:val="007E453F"/>
    <w:rsid w:val="007E4883"/>
    <w:rsid w:val="007E5806"/>
    <w:rsid w:val="007E6824"/>
    <w:rsid w:val="007E6D33"/>
    <w:rsid w:val="007E74CF"/>
    <w:rsid w:val="007E7DA7"/>
    <w:rsid w:val="007F142D"/>
    <w:rsid w:val="007F2154"/>
    <w:rsid w:val="007F2457"/>
    <w:rsid w:val="007F30AB"/>
    <w:rsid w:val="007F491D"/>
    <w:rsid w:val="007F6178"/>
    <w:rsid w:val="007F72D0"/>
    <w:rsid w:val="007F7A67"/>
    <w:rsid w:val="00800FB7"/>
    <w:rsid w:val="00800FEF"/>
    <w:rsid w:val="00801694"/>
    <w:rsid w:val="00801FF2"/>
    <w:rsid w:val="00802335"/>
    <w:rsid w:val="0080244C"/>
    <w:rsid w:val="00802616"/>
    <w:rsid w:val="00802901"/>
    <w:rsid w:val="00802B1A"/>
    <w:rsid w:val="00803291"/>
    <w:rsid w:val="008034A0"/>
    <w:rsid w:val="00804079"/>
    <w:rsid w:val="0080472B"/>
    <w:rsid w:val="00806A8D"/>
    <w:rsid w:val="00810770"/>
    <w:rsid w:val="00810C57"/>
    <w:rsid w:val="00812530"/>
    <w:rsid w:val="00813E21"/>
    <w:rsid w:val="00814089"/>
    <w:rsid w:val="008144C5"/>
    <w:rsid w:val="00814E15"/>
    <w:rsid w:val="00815D36"/>
    <w:rsid w:val="00816291"/>
    <w:rsid w:val="00817689"/>
    <w:rsid w:val="008178D3"/>
    <w:rsid w:val="00821779"/>
    <w:rsid w:val="0082285D"/>
    <w:rsid w:val="00822FB3"/>
    <w:rsid w:val="0082331F"/>
    <w:rsid w:val="00823DAC"/>
    <w:rsid w:val="008245F5"/>
    <w:rsid w:val="0082493F"/>
    <w:rsid w:val="00824C78"/>
    <w:rsid w:val="008264FD"/>
    <w:rsid w:val="00826C9B"/>
    <w:rsid w:val="00827184"/>
    <w:rsid w:val="0082751E"/>
    <w:rsid w:val="00827B78"/>
    <w:rsid w:val="00827DAA"/>
    <w:rsid w:val="008302D0"/>
    <w:rsid w:val="00831027"/>
    <w:rsid w:val="00833A06"/>
    <w:rsid w:val="00834F62"/>
    <w:rsid w:val="00835298"/>
    <w:rsid w:val="008359F4"/>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910"/>
    <w:rsid w:val="0084592E"/>
    <w:rsid w:val="00846FED"/>
    <w:rsid w:val="008475AC"/>
    <w:rsid w:val="00847B3F"/>
    <w:rsid w:val="00850D31"/>
    <w:rsid w:val="0085161C"/>
    <w:rsid w:val="00851999"/>
    <w:rsid w:val="00851A7D"/>
    <w:rsid w:val="00851F67"/>
    <w:rsid w:val="00851FF5"/>
    <w:rsid w:val="00853D16"/>
    <w:rsid w:val="00854185"/>
    <w:rsid w:val="008543A1"/>
    <w:rsid w:val="00854F1C"/>
    <w:rsid w:val="00856C51"/>
    <w:rsid w:val="00856DCD"/>
    <w:rsid w:val="00857A8E"/>
    <w:rsid w:val="00857D2C"/>
    <w:rsid w:val="00860534"/>
    <w:rsid w:val="0086069E"/>
    <w:rsid w:val="00861213"/>
    <w:rsid w:val="00861580"/>
    <w:rsid w:val="00861F57"/>
    <w:rsid w:val="00862C3D"/>
    <w:rsid w:val="0086454A"/>
    <w:rsid w:val="00864858"/>
    <w:rsid w:val="008653A5"/>
    <w:rsid w:val="00865690"/>
    <w:rsid w:val="00870343"/>
    <w:rsid w:val="00870BF4"/>
    <w:rsid w:val="00872066"/>
    <w:rsid w:val="00872620"/>
    <w:rsid w:val="00873F21"/>
    <w:rsid w:val="00876A5E"/>
    <w:rsid w:val="00877EF5"/>
    <w:rsid w:val="0088033A"/>
    <w:rsid w:val="00880954"/>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061B"/>
    <w:rsid w:val="008A2915"/>
    <w:rsid w:val="008A2B9F"/>
    <w:rsid w:val="008A302A"/>
    <w:rsid w:val="008A3387"/>
    <w:rsid w:val="008A3D1E"/>
    <w:rsid w:val="008A5275"/>
    <w:rsid w:val="008A6943"/>
    <w:rsid w:val="008B0B9D"/>
    <w:rsid w:val="008B4EF3"/>
    <w:rsid w:val="008B5E6E"/>
    <w:rsid w:val="008B6E82"/>
    <w:rsid w:val="008B7A5D"/>
    <w:rsid w:val="008B7EBB"/>
    <w:rsid w:val="008C08C9"/>
    <w:rsid w:val="008C14F3"/>
    <w:rsid w:val="008C3274"/>
    <w:rsid w:val="008C32A7"/>
    <w:rsid w:val="008C3356"/>
    <w:rsid w:val="008C35AD"/>
    <w:rsid w:val="008C41CA"/>
    <w:rsid w:val="008C430B"/>
    <w:rsid w:val="008C44A1"/>
    <w:rsid w:val="008C47AB"/>
    <w:rsid w:val="008C4BE2"/>
    <w:rsid w:val="008C4DFF"/>
    <w:rsid w:val="008C55B3"/>
    <w:rsid w:val="008C56D8"/>
    <w:rsid w:val="008C780B"/>
    <w:rsid w:val="008C7D49"/>
    <w:rsid w:val="008D02E0"/>
    <w:rsid w:val="008D0349"/>
    <w:rsid w:val="008D0B42"/>
    <w:rsid w:val="008D0F82"/>
    <w:rsid w:val="008D2C09"/>
    <w:rsid w:val="008D319B"/>
    <w:rsid w:val="008D35A3"/>
    <w:rsid w:val="008D3A2B"/>
    <w:rsid w:val="008D3BDC"/>
    <w:rsid w:val="008D4293"/>
    <w:rsid w:val="008D484D"/>
    <w:rsid w:val="008D59D5"/>
    <w:rsid w:val="008D5FB4"/>
    <w:rsid w:val="008D6167"/>
    <w:rsid w:val="008E0605"/>
    <w:rsid w:val="008E1A59"/>
    <w:rsid w:val="008E4285"/>
    <w:rsid w:val="008E57BE"/>
    <w:rsid w:val="008E5973"/>
    <w:rsid w:val="008E5AD7"/>
    <w:rsid w:val="008E5C7F"/>
    <w:rsid w:val="008E5CFF"/>
    <w:rsid w:val="008E6EB2"/>
    <w:rsid w:val="008E7213"/>
    <w:rsid w:val="008E7649"/>
    <w:rsid w:val="008F0327"/>
    <w:rsid w:val="008F11E1"/>
    <w:rsid w:val="008F1CC2"/>
    <w:rsid w:val="008F216B"/>
    <w:rsid w:val="008F2CA9"/>
    <w:rsid w:val="008F3866"/>
    <w:rsid w:val="008F41B8"/>
    <w:rsid w:val="008F494C"/>
    <w:rsid w:val="008F4DE2"/>
    <w:rsid w:val="008F55C2"/>
    <w:rsid w:val="008F5642"/>
    <w:rsid w:val="008F5CC1"/>
    <w:rsid w:val="008F66A7"/>
    <w:rsid w:val="008F66F7"/>
    <w:rsid w:val="008F766D"/>
    <w:rsid w:val="00900079"/>
    <w:rsid w:val="00900654"/>
    <w:rsid w:val="00900E5D"/>
    <w:rsid w:val="009018CF"/>
    <w:rsid w:val="00902AA8"/>
    <w:rsid w:val="009035A7"/>
    <w:rsid w:val="009041CC"/>
    <w:rsid w:val="009050E8"/>
    <w:rsid w:val="00905DDB"/>
    <w:rsid w:val="0090615F"/>
    <w:rsid w:val="00907F7D"/>
    <w:rsid w:val="00912550"/>
    <w:rsid w:val="00912F7B"/>
    <w:rsid w:val="00913A29"/>
    <w:rsid w:val="009145E2"/>
    <w:rsid w:val="00914FFD"/>
    <w:rsid w:val="009166E5"/>
    <w:rsid w:val="00917019"/>
    <w:rsid w:val="00917398"/>
    <w:rsid w:val="0091747B"/>
    <w:rsid w:val="00917AF0"/>
    <w:rsid w:val="00921510"/>
    <w:rsid w:val="00921F1B"/>
    <w:rsid w:val="0092212C"/>
    <w:rsid w:val="00922324"/>
    <w:rsid w:val="009227B3"/>
    <w:rsid w:val="00923433"/>
    <w:rsid w:val="00923AE5"/>
    <w:rsid w:val="00925609"/>
    <w:rsid w:val="00925BCC"/>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506D"/>
    <w:rsid w:val="00956AB6"/>
    <w:rsid w:val="009570F1"/>
    <w:rsid w:val="009571A5"/>
    <w:rsid w:val="00957E9F"/>
    <w:rsid w:val="009606FC"/>
    <w:rsid w:val="00960781"/>
    <w:rsid w:val="00960B05"/>
    <w:rsid w:val="0096290E"/>
    <w:rsid w:val="00962AEA"/>
    <w:rsid w:val="00962C78"/>
    <w:rsid w:val="0096420F"/>
    <w:rsid w:val="00964438"/>
    <w:rsid w:val="00965FEE"/>
    <w:rsid w:val="0096662A"/>
    <w:rsid w:val="009666A9"/>
    <w:rsid w:val="0096689D"/>
    <w:rsid w:val="009669CE"/>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66D2"/>
    <w:rsid w:val="00986E16"/>
    <w:rsid w:val="00987842"/>
    <w:rsid w:val="0099090C"/>
    <w:rsid w:val="00991A13"/>
    <w:rsid w:val="00992C1D"/>
    <w:rsid w:val="0099382D"/>
    <w:rsid w:val="009956EE"/>
    <w:rsid w:val="00995F4A"/>
    <w:rsid w:val="00996727"/>
    <w:rsid w:val="009968F4"/>
    <w:rsid w:val="009969D8"/>
    <w:rsid w:val="00997DAE"/>
    <w:rsid w:val="009A06AF"/>
    <w:rsid w:val="009A10BE"/>
    <w:rsid w:val="009A1660"/>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939"/>
    <w:rsid w:val="009C1C4F"/>
    <w:rsid w:val="009C1D6F"/>
    <w:rsid w:val="009C27C2"/>
    <w:rsid w:val="009C3318"/>
    <w:rsid w:val="009C3468"/>
    <w:rsid w:val="009C364D"/>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282B"/>
    <w:rsid w:val="009E3A70"/>
    <w:rsid w:val="009E4180"/>
    <w:rsid w:val="009E4F2B"/>
    <w:rsid w:val="009E7A88"/>
    <w:rsid w:val="009F057F"/>
    <w:rsid w:val="009F14E8"/>
    <w:rsid w:val="009F1F21"/>
    <w:rsid w:val="009F2DE9"/>
    <w:rsid w:val="009F2E3E"/>
    <w:rsid w:val="009F2E6E"/>
    <w:rsid w:val="009F2F79"/>
    <w:rsid w:val="009F3094"/>
    <w:rsid w:val="009F384E"/>
    <w:rsid w:val="009F40F3"/>
    <w:rsid w:val="009F494E"/>
    <w:rsid w:val="009F5613"/>
    <w:rsid w:val="009F5982"/>
    <w:rsid w:val="009F6DF8"/>
    <w:rsid w:val="009F7417"/>
    <w:rsid w:val="009F78F8"/>
    <w:rsid w:val="00A0085F"/>
    <w:rsid w:val="00A027E6"/>
    <w:rsid w:val="00A02D54"/>
    <w:rsid w:val="00A03254"/>
    <w:rsid w:val="00A04962"/>
    <w:rsid w:val="00A05DCC"/>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202D0"/>
    <w:rsid w:val="00A20831"/>
    <w:rsid w:val="00A21E48"/>
    <w:rsid w:val="00A2304C"/>
    <w:rsid w:val="00A23836"/>
    <w:rsid w:val="00A23E52"/>
    <w:rsid w:val="00A23F8D"/>
    <w:rsid w:val="00A25767"/>
    <w:rsid w:val="00A25A37"/>
    <w:rsid w:val="00A266F4"/>
    <w:rsid w:val="00A26CD4"/>
    <w:rsid w:val="00A27360"/>
    <w:rsid w:val="00A30308"/>
    <w:rsid w:val="00A30CE1"/>
    <w:rsid w:val="00A31184"/>
    <w:rsid w:val="00A31A5A"/>
    <w:rsid w:val="00A31FEB"/>
    <w:rsid w:val="00A32067"/>
    <w:rsid w:val="00A32D93"/>
    <w:rsid w:val="00A333B7"/>
    <w:rsid w:val="00A3346B"/>
    <w:rsid w:val="00A33AFD"/>
    <w:rsid w:val="00A33FEC"/>
    <w:rsid w:val="00A34D66"/>
    <w:rsid w:val="00A35636"/>
    <w:rsid w:val="00A372ED"/>
    <w:rsid w:val="00A379AC"/>
    <w:rsid w:val="00A4012E"/>
    <w:rsid w:val="00A40665"/>
    <w:rsid w:val="00A40BA6"/>
    <w:rsid w:val="00A43CB0"/>
    <w:rsid w:val="00A44A3C"/>
    <w:rsid w:val="00A44DE5"/>
    <w:rsid w:val="00A450C8"/>
    <w:rsid w:val="00A457AE"/>
    <w:rsid w:val="00A45D3B"/>
    <w:rsid w:val="00A46AE1"/>
    <w:rsid w:val="00A47447"/>
    <w:rsid w:val="00A47CCA"/>
    <w:rsid w:val="00A50977"/>
    <w:rsid w:val="00A50FA4"/>
    <w:rsid w:val="00A5152F"/>
    <w:rsid w:val="00A51D39"/>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0D0"/>
    <w:rsid w:val="00A616D5"/>
    <w:rsid w:val="00A6252A"/>
    <w:rsid w:val="00A6254C"/>
    <w:rsid w:val="00A62782"/>
    <w:rsid w:val="00A62A1C"/>
    <w:rsid w:val="00A632CC"/>
    <w:rsid w:val="00A63A48"/>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C7A"/>
    <w:rsid w:val="00A821D1"/>
    <w:rsid w:val="00A83273"/>
    <w:rsid w:val="00A832CE"/>
    <w:rsid w:val="00A83F38"/>
    <w:rsid w:val="00A84008"/>
    <w:rsid w:val="00A84363"/>
    <w:rsid w:val="00A851E7"/>
    <w:rsid w:val="00A8651E"/>
    <w:rsid w:val="00A8673B"/>
    <w:rsid w:val="00A872BA"/>
    <w:rsid w:val="00A878EB"/>
    <w:rsid w:val="00A904D5"/>
    <w:rsid w:val="00A91AB3"/>
    <w:rsid w:val="00A9242D"/>
    <w:rsid w:val="00A927B4"/>
    <w:rsid w:val="00A954D4"/>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41"/>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3181"/>
    <w:rsid w:val="00AD4EA7"/>
    <w:rsid w:val="00AD5C9E"/>
    <w:rsid w:val="00AE06AA"/>
    <w:rsid w:val="00AE16FA"/>
    <w:rsid w:val="00AE1CC8"/>
    <w:rsid w:val="00AE2794"/>
    <w:rsid w:val="00AE2CB9"/>
    <w:rsid w:val="00AE2E58"/>
    <w:rsid w:val="00AE3ED2"/>
    <w:rsid w:val="00AE408C"/>
    <w:rsid w:val="00AE4378"/>
    <w:rsid w:val="00AE499C"/>
    <w:rsid w:val="00AE5C22"/>
    <w:rsid w:val="00AE66BF"/>
    <w:rsid w:val="00AE675E"/>
    <w:rsid w:val="00AE6D55"/>
    <w:rsid w:val="00AE7B92"/>
    <w:rsid w:val="00AF1B7B"/>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6A38"/>
    <w:rsid w:val="00B07069"/>
    <w:rsid w:val="00B073D5"/>
    <w:rsid w:val="00B128E2"/>
    <w:rsid w:val="00B1303D"/>
    <w:rsid w:val="00B15CA2"/>
    <w:rsid w:val="00B16080"/>
    <w:rsid w:val="00B16313"/>
    <w:rsid w:val="00B16C63"/>
    <w:rsid w:val="00B204AE"/>
    <w:rsid w:val="00B20E02"/>
    <w:rsid w:val="00B21A7B"/>
    <w:rsid w:val="00B21BAC"/>
    <w:rsid w:val="00B21DE1"/>
    <w:rsid w:val="00B2294C"/>
    <w:rsid w:val="00B22951"/>
    <w:rsid w:val="00B22E33"/>
    <w:rsid w:val="00B2384B"/>
    <w:rsid w:val="00B248AC"/>
    <w:rsid w:val="00B2630A"/>
    <w:rsid w:val="00B26448"/>
    <w:rsid w:val="00B27A66"/>
    <w:rsid w:val="00B322DF"/>
    <w:rsid w:val="00B325D4"/>
    <w:rsid w:val="00B3463E"/>
    <w:rsid w:val="00B352D1"/>
    <w:rsid w:val="00B36727"/>
    <w:rsid w:val="00B36EF1"/>
    <w:rsid w:val="00B3700E"/>
    <w:rsid w:val="00B370EF"/>
    <w:rsid w:val="00B4085C"/>
    <w:rsid w:val="00B411A7"/>
    <w:rsid w:val="00B41977"/>
    <w:rsid w:val="00B41F96"/>
    <w:rsid w:val="00B430E7"/>
    <w:rsid w:val="00B43360"/>
    <w:rsid w:val="00B44032"/>
    <w:rsid w:val="00B44DEE"/>
    <w:rsid w:val="00B45190"/>
    <w:rsid w:val="00B45283"/>
    <w:rsid w:val="00B45981"/>
    <w:rsid w:val="00B465BD"/>
    <w:rsid w:val="00B47E88"/>
    <w:rsid w:val="00B503E6"/>
    <w:rsid w:val="00B52F38"/>
    <w:rsid w:val="00B55077"/>
    <w:rsid w:val="00B553C3"/>
    <w:rsid w:val="00B55824"/>
    <w:rsid w:val="00B56A7E"/>
    <w:rsid w:val="00B57DCF"/>
    <w:rsid w:val="00B57DDC"/>
    <w:rsid w:val="00B636B6"/>
    <w:rsid w:val="00B64865"/>
    <w:rsid w:val="00B65E77"/>
    <w:rsid w:val="00B674E1"/>
    <w:rsid w:val="00B67BE8"/>
    <w:rsid w:val="00B67DAF"/>
    <w:rsid w:val="00B67EF2"/>
    <w:rsid w:val="00B70622"/>
    <w:rsid w:val="00B70FCC"/>
    <w:rsid w:val="00B7113B"/>
    <w:rsid w:val="00B71C8B"/>
    <w:rsid w:val="00B72629"/>
    <w:rsid w:val="00B726EB"/>
    <w:rsid w:val="00B736A3"/>
    <w:rsid w:val="00B7397A"/>
    <w:rsid w:val="00B73E12"/>
    <w:rsid w:val="00B748FC"/>
    <w:rsid w:val="00B74F98"/>
    <w:rsid w:val="00B75485"/>
    <w:rsid w:val="00B76542"/>
    <w:rsid w:val="00B76F56"/>
    <w:rsid w:val="00B772DC"/>
    <w:rsid w:val="00B77495"/>
    <w:rsid w:val="00B77584"/>
    <w:rsid w:val="00B809ED"/>
    <w:rsid w:val="00B80D70"/>
    <w:rsid w:val="00B81433"/>
    <w:rsid w:val="00B81793"/>
    <w:rsid w:val="00B8196F"/>
    <w:rsid w:val="00B8225E"/>
    <w:rsid w:val="00B82710"/>
    <w:rsid w:val="00B82766"/>
    <w:rsid w:val="00B82D23"/>
    <w:rsid w:val="00B84E21"/>
    <w:rsid w:val="00B8669F"/>
    <w:rsid w:val="00B866CD"/>
    <w:rsid w:val="00B87008"/>
    <w:rsid w:val="00B876B5"/>
    <w:rsid w:val="00B876B6"/>
    <w:rsid w:val="00B877AC"/>
    <w:rsid w:val="00B877F7"/>
    <w:rsid w:val="00B91625"/>
    <w:rsid w:val="00B919E6"/>
    <w:rsid w:val="00B92CDA"/>
    <w:rsid w:val="00B93021"/>
    <w:rsid w:val="00B9445E"/>
    <w:rsid w:val="00B951C7"/>
    <w:rsid w:val="00B9566F"/>
    <w:rsid w:val="00B966E8"/>
    <w:rsid w:val="00B970AD"/>
    <w:rsid w:val="00B97956"/>
    <w:rsid w:val="00BA09B9"/>
    <w:rsid w:val="00BA0B4C"/>
    <w:rsid w:val="00BA1B67"/>
    <w:rsid w:val="00BA250C"/>
    <w:rsid w:val="00BA2B07"/>
    <w:rsid w:val="00BA2F6C"/>
    <w:rsid w:val="00BA2F9E"/>
    <w:rsid w:val="00BA31CC"/>
    <w:rsid w:val="00BA3FFE"/>
    <w:rsid w:val="00BA414E"/>
    <w:rsid w:val="00BA4DAC"/>
    <w:rsid w:val="00BA67A5"/>
    <w:rsid w:val="00BA7EF2"/>
    <w:rsid w:val="00BB0619"/>
    <w:rsid w:val="00BB09F8"/>
    <w:rsid w:val="00BB0B91"/>
    <w:rsid w:val="00BB23E5"/>
    <w:rsid w:val="00BB2D18"/>
    <w:rsid w:val="00BB3B73"/>
    <w:rsid w:val="00BB4AE7"/>
    <w:rsid w:val="00BB4F39"/>
    <w:rsid w:val="00BB4FB7"/>
    <w:rsid w:val="00BB5179"/>
    <w:rsid w:val="00BB544F"/>
    <w:rsid w:val="00BB71FF"/>
    <w:rsid w:val="00BC10BF"/>
    <w:rsid w:val="00BC4DBC"/>
    <w:rsid w:val="00BC59BD"/>
    <w:rsid w:val="00BC7181"/>
    <w:rsid w:val="00BC7ECA"/>
    <w:rsid w:val="00BD00B8"/>
    <w:rsid w:val="00BD05EF"/>
    <w:rsid w:val="00BD07B0"/>
    <w:rsid w:val="00BD0B3B"/>
    <w:rsid w:val="00BD0D9C"/>
    <w:rsid w:val="00BD0FC2"/>
    <w:rsid w:val="00BD3F02"/>
    <w:rsid w:val="00BD4638"/>
    <w:rsid w:val="00BD486A"/>
    <w:rsid w:val="00BD4DE7"/>
    <w:rsid w:val="00BD5A9C"/>
    <w:rsid w:val="00BD772E"/>
    <w:rsid w:val="00BE0AF5"/>
    <w:rsid w:val="00BE2601"/>
    <w:rsid w:val="00BE304E"/>
    <w:rsid w:val="00BE36CD"/>
    <w:rsid w:val="00BE3C37"/>
    <w:rsid w:val="00BE3C45"/>
    <w:rsid w:val="00BE3C5B"/>
    <w:rsid w:val="00BE41F4"/>
    <w:rsid w:val="00BE47E9"/>
    <w:rsid w:val="00BE5578"/>
    <w:rsid w:val="00BE71CB"/>
    <w:rsid w:val="00BE7375"/>
    <w:rsid w:val="00BE7C20"/>
    <w:rsid w:val="00BE7FBE"/>
    <w:rsid w:val="00BF03A0"/>
    <w:rsid w:val="00BF088A"/>
    <w:rsid w:val="00BF0F73"/>
    <w:rsid w:val="00BF14FB"/>
    <w:rsid w:val="00BF2028"/>
    <w:rsid w:val="00BF2D81"/>
    <w:rsid w:val="00BF30E8"/>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9B2"/>
    <w:rsid w:val="00C11963"/>
    <w:rsid w:val="00C1263B"/>
    <w:rsid w:val="00C1329C"/>
    <w:rsid w:val="00C13671"/>
    <w:rsid w:val="00C139D5"/>
    <w:rsid w:val="00C13C02"/>
    <w:rsid w:val="00C13C48"/>
    <w:rsid w:val="00C1553E"/>
    <w:rsid w:val="00C16291"/>
    <w:rsid w:val="00C16C2D"/>
    <w:rsid w:val="00C171B2"/>
    <w:rsid w:val="00C1765E"/>
    <w:rsid w:val="00C176E9"/>
    <w:rsid w:val="00C177F5"/>
    <w:rsid w:val="00C20625"/>
    <w:rsid w:val="00C20931"/>
    <w:rsid w:val="00C2097C"/>
    <w:rsid w:val="00C21A8A"/>
    <w:rsid w:val="00C21BAF"/>
    <w:rsid w:val="00C22B1A"/>
    <w:rsid w:val="00C22E02"/>
    <w:rsid w:val="00C23DEB"/>
    <w:rsid w:val="00C24137"/>
    <w:rsid w:val="00C244B1"/>
    <w:rsid w:val="00C244C8"/>
    <w:rsid w:val="00C25CCC"/>
    <w:rsid w:val="00C260B4"/>
    <w:rsid w:val="00C2682D"/>
    <w:rsid w:val="00C309F3"/>
    <w:rsid w:val="00C31011"/>
    <w:rsid w:val="00C33DD7"/>
    <w:rsid w:val="00C33FEA"/>
    <w:rsid w:val="00C3459A"/>
    <w:rsid w:val="00C3588D"/>
    <w:rsid w:val="00C36293"/>
    <w:rsid w:val="00C372DC"/>
    <w:rsid w:val="00C37CB0"/>
    <w:rsid w:val="00C4081D"/>
    <w:rsid w:val="00C414B5"/>
    <w:rsid w:val="00C423FE"/>
    <w:rsid w:val="00C43FD1"/>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79B"/>
    <w:rsid w:val="00C60C8C"/>
    <w:rsid w:val="00C61E34"/>
    <w:rsid w:val="00C621FA"/>
    <w:rsid w:val="00C636AF"/>
    <w:rsid w:val="00C6413A"/>
    <w:rsid w:val="00C643E7"/>
    <w:rsid w:val="00C64C16"/>
    <w:rsid w:val="00C65558"/>
    <w:rsid w:val="00C65D0B"/>
    <w:rsid w:val="00C66A76"/>
    <w:rsid w:val="00C67508"/>
    <w:rsid w:val="00C70E50"/>
    <w:rsid w:val="00C729E5"/>
    <w:rsid w:val="00C73A63"/>
    <w:rsid w:val="00C73C4C"/>
    <w:rsid w:val="00C7451C"/>
    <w:rsid w:val="00C748D5"/>
    <w:rsid w:val="00C75204"/>
    <w:rsid w:val="00C765DA"/>
    <w:rsid w:val="00C773CC"/>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43D"/>
    <w:rsid w:val="00C957B2"/>
    <w:rsid w:val="00C9609D"/>
    <w:rsid w:val="00C9637C"/>
    <w:rsid w:val="00C96692"/>
    <w:rsid w:val="00C976AA"/>
    <w:rsid w:val="00C97BE9"/>
    <w:rsid w:val="00C97BED"/>
    <w:rsid w:val="00CA2A0D"/>
    <w:rsid w:val="00CA3FE2"/>
    <w:rsid w:val="00CA4C6D"/>
    <w:rsid w:val="00CA5EED"/>
    <w:rsid w:val="00CA6660"/>
    <w:rsid w:val="00CA6EBA"/>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C0C35"/>
    <w:rsid w:val="00CC0F22"/>
    <w:rsid w:val="00CC1820"/>
    <w:rsid w:val="00CC2431"/>
    <w:rsid w:val="00CC26A9"/>
    <w:rsid w:val="00CC2C4E"/>
    <w:rsid w:val="00CC3602"/>
    <w:rsid w:val="00CC3F1F"/>
    <w:rsid w:val="00CC3F34"/>
    <w:rsid w:val="00CC426E"/>
    <w:rsid w:val="00CC5DA3"/>
    <w:rsid w:val="00CC6206"/>
    <w:rsid w:val="00CC6B9F"/>
    <w:rsid w:val="00CC6BE9"/>
    <w:rsid w:val="00CC7753"/>
    <w:rsid w:val="00CD1201"/>
    <w:rsid w:val="00CD16D1"/>
    <w:rsid w:val="00CD19E2"/>
    <w:rsid w:val="00CD1E5A"/>
    <w:rsid w:val="00CD23CE"/>
    <w:rsid w:val="00CD3215"/>
    <w:rsid w:val="00CD3561"/>
    <w:rsid w:val="00CD3FF3"/>
    <w:rsid w:val="00CD4FE0"/>
    <w:rsid w:val="00CD5ACE"/>
    <w:rsid w:val="00CD6316"/>
    <w:rsid w:val="00CD63A1"/>
    <w:rsid w:val="00CD6A81"/>
    <w:rsid w:val="00CD75E6"/>
    <w:rsid w:val="00CD77B5"/>
    <w:rsid w:val="00CD7EAF"/>
    <w:rsid w:val="00CE2152"/>
    <w:rsid w:val="00CE2189"/>
    <w:rsid w:val="00CE2315"/>
    <w:rsid w:val="00CE24FC"/>
    <w:rsid w:val="00CE2C57"/>
    <w:rsid w:val="00CE33A0"/>
    <w:rsid w:val="00CE3484"/>
    <w:rsid w:val="00CE42D0"/>
    <w:rsid w:val="00CE6A0A"/>
    <w:rsid w:val="00CF0594"/>
    <w:rsid w:val="00CF1C61"/>
    <w:rsid w:val="00CF1E73"/>
    <w:rsid w:val="00CF269F"/>
    <w:rsid w:val="00CF2735"/>
    <w:rsid w:val="00CF28B5"/>
    <w:rsid w:val="00CF3309"/>
    <w:rsid w:val="00CF3784"/>
    <w:rsid w:val="00CF5041"/>
    <w:rsid w:val="00CF6B92"/>
    <w:rsid w:val="00CF7667"/>
    <w:rsid w:val="00D00B45"/>
    <w:rsid w:val="00D01726"/>
    <w:rsid w:val="00D02C8B"/>
    <w:rsid w:val="00D02E65"/>
    <w:rsid w:val="00D0355B"/>
    <w:rsid w:val="00D04279"/>
    <w:rsid w:val="00D042E4"/>
    <w:rsid w:val="00D04693"/>
    <w:rsid w:val="00D046F9"/>
    <w:rsid w:val="00D04B59"/>
    <w:rsid w:val="00D0515E"/>
    <w:rsid w:val="00D05419"/>
    <w:rsid w:val="00D05889"/>
    <w:rsid w:val="00D071CA"/>
    <w:rsid w:val="00D07F30"/>
    <w:rsid w:val="00D10F9C"/>
    <w:rsid w:val="00D1170B"/>
    <w:rsid w:val="00D13089"/>
    <w:rsid w:val="00D142B7"/>
    <w:rsid w:val="00D14393"/>
    <w:rsid w:val="00D14E23"/>
    <w:rsid w:val="00D15497"/>
    <w:rsid w:val="00D154BF"/>
    <w:rsid w:val="00D15A96"/>
    <w:rsid w:val="00D15B43"/>
    <w:rsid w:val="00D16449"/>
    <w:rsid w:val="00D2155A"/>
    <w:rsid w:val="00D22043"/>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5E8B"/>
    <w:rsid w:val="00D3601A"/>
    <w:rsid w:val="00D3608D"/>
    <w:rsid w:val="00D36C25"/>
    <w:rsid w:val="00D3771F"/>
    <w:rsid w:val="00D379EF"/>
    <w:rsid w:val="00D37FAB"/>
    <w:rsid w:val="00D40709"/>
    <w:rsid w:val="00D41FCE"/>
    <w:rsid w:val="00D422C4"/>
    <w:rsid w:val="00D4283C"/>
    <w:rsid w:val="00D431EA"/>
    <w:rsid w:val="00D46FC3"/>
    <w:rsid w:val="00D47749"/>
    <w:rsid w:val="00D47AFA"/>
    <w:rsid w:val="00D51887"/>
    <w:rsid w:val="00D5262B"/>
    <w:rsid w:val="00D53368"/>
    <w:rsid w:val="00D535B9"/>
    <w:rsid w:val="00D53D55"/>
    <w:rsid w:val="00D551BB"/>
    <w:rsid w:val="00D55B36"/>
    <w:rsid w:val="00D566F5"/>
    <w:rsid w:val="00D611E2"/>
    <w:rsid w:val="00D6121A"/>
    <w:rsid w:val="00D635EB"/>
    <w:rsid w:val="00D64358"/>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345"/>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57FC"/>
    <w:rsid w:val="00DA59CC"/>
    <w:rsid w:val="00DA5F4A"/>
    <w:rsid w:val="00DA5F54"/>
    <w:rsid w:val="00DA7EA2"/>
    <w:rsid w:val="00DB0999"/>
    <w:rsid w:val="00DB0FA2"/>
    <w:rsid w:val="00DB1D80"/>
    <w:rsid w:val="00DB1F56"/>
    <w:rsid w:val="00DB2204"/>
    <w:rsid w:val="00DB22EE"/>
    <w:rsid w:val="00DB272A"/>
    <w:rsid w:val="00DB3F2E"/>
    <w:rsid w:val="00DB429A"/>
    <w:rsid w:val="00DB5713"/>
    <w:rsid w:val="00DC0905"/>
    <w:rsid w:val="00DC122F"/>
    <w:rsid w:val="00DC2BAE"/>
    <w:rsid w:val="00DC2D80"/>
    <w:rsid w:val="00DC2E5F"/>
    <w:rsid w:val="00DC3323"/>
    <w:rsid w:val="00DC34F0"/>
    <w:rsid w:val="00DC516A"/>
    <w:rsid w:val="00DC5A19"/>
    <w:rsid w:val="00DC6263"/>
    <w:rsid w:val="00DC7C4C"/>
    <w:rsid w:val="00DD04EC"/>
    <w:rsid w:val="00DD0508"/>
    <w:rsid w:val="00DD099C"/>
    <w:rsid w:val="00DD1444"/>
    <w:rsid w:val="00DD2240"/>
    <w:rsid w:val="00DD31ED"/>
    <w:rsid w:val="00DD3AAC"/>
    <w:rsid w:val="00DD446A"/>
    <w:rsid w:val="00DD45C1"/>
    <w:rsid w:val="00DD4734"/>
    <w:rsid w:val="00DD48A7"/>
    <w:rsid w:val="00DD4C5F"/>
    <w:rsid w:val="00DD6F66"/>
    <w:rsid w:val="00DE0279"/>
    <w:rsid w:val="00DE2175"/>
    <w:rsid w:val="00DE3979"/>
    <w:rsid w:val="00DE4720"/>
    <w:rsid w:val="00DE4E18"/>
    <w:rsid w:val="00DE5090"/>
    <w:rsid w:val="00DE57B7"/>
    <w:rsid w:val="00DE5A6D"/>
    <w:rsid w:val="00DE628B"/>
    <w:rsid w:val="00DE6322"/>
    <w:rsid w:val="00DE7250"/>
    <w:rsid w:val="00DE745A"/>
    <w:rsid w:val="00DE7FBB"/>
    <w:rsid w:val="00DF013D"/>
    <w:rsid w:val="00DF0356"/>
    <w:rsid w:val="00DF1093"/>
    <w:rsid w:val="00DF1252"/>
    <w:rsid w:val="00DF1C55"/>
    <w:rsid w:val="00DF3540"/>
    <w:rsid w:val="00DF3A1D"/>
    <w:rsid w:val="00DF5570"/>
    <w:rsid w:val="00DF580A"/>
    <w:rsid w:val="00DF59BE"/>
    <w:rsid w:val="00DF5E16"/>
    <w:rsid w:val="00DF5E88"/>
    <w:rsid w:val="00DF63B6"/>
    <w:rsid w:val="00DF6733"/>
    <w:rsid w:val="00E00466"/>
    <w:rsid w:val="00E00770"/>
    <w:rsid w:val="00E00DB6"/>
    <w:rsid w:val="00E00E9B"/>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C21"/>
    <w:rsid w:val="00E24FAE"/>
    <w:rsid w:val="00E25241"/>
    <w:rsid w:val="00E25DE4"/>
    <w:rsid w:val="00E265A3"/>
    <w:rsid w:val="00E30B03"/>
    <w:rsid w:val="00E312C1"/>
    <w:rsid w:val="00E3153C"/>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23AA"/>
    <w:rsid w:val="00E42755"/>
    <w:rsid w:val="00E42F8D"/>
    <w:rsid w:val="00E43424"/>
    <w:rsid w:val="00E43CF8"/>
    <w:rsid w:val="00E43EED"/>
    <w:rsid w:val="00E442AA"/>
    <w:rsid w:val="00E45BBE"/>
    <w:rsid w:val="00E46472"/>
    <w:rsid w:val="00E466A2"/>
    <w:rsid w:val="00E47853"/>
    <w:rsid w:val="00E47EA0"/>
    <w:rsid w:val="00E501D3"/>
    <w:rsid w:val="00E516A1"/>
    <w:rsid w:val="00E51AB2"/>
    <w:rsid w:val="00E53724"/>
    <w:rsid w:val="00E53C8F"/>
    <w:rsid w:val="00E5438D"/>
    <w:rsid w:val="00E56110"/>
    <w:rsid w:val="00E568B5"/>
    <w:rsid w:val="00E56D1B"/>
    <w:rsid w:val="00E5779D"/>
    <w:rsid w:val="00E6010F"/>
    <w:rsid w:val="00E60795"/>
    <w:rsid w:val="00E60A51"/>
    <w:rsid w:val="00E61E1A"/>
    <w:rsid w:val="00E621A3"/>
    <w:rsid w:val="00E6375E"/>
    <w:rsid w:val="00E6377B"/>
    <w:rsid w:val="00E64FBC"/>
    <w:rsid w:val="00E654C0"/>
    <w:rsid w:val="00E66087"/>
    <w:rsid w:val="00E67F75"/>
    <w:rsid w:val="00E7010D"/>
    <w:rsid w:val="00E7041A"/>
    <w:rsid w:val="00E70691"/>
    <w:rsid w:val="00E7078C"/>
    <w:rsid w:val="00E70A78"/>
    <w:rsid w:val="00E718AC"/>
    <w:rsid w:val="00E71A64"/>
    <w:rsid w:val="00E71EE2"/>
    <w:rsid w:val="00E72992"/>
    <w:rsid w:val="00E72EF2"/>
    <w:rsid w:val="00E73428"/>
    <w:rsid w:val="00E735AC"/>
    <w:rsid w:val="00E737CA"/>
    <w:rsid w:val="00E74A06"/>
    <w:rsid w:val="00E74ACA"/>
    <w:rsid w:val="00E7619B"/>
    <w:rsid w:val="00E765D0"/>
    <w:rsid w:val="00E7674A"/>
    <w:rsid w:val="00E77AA8"/>
    <w:rsid w:val="00E8065F"/>
    <w:rsid w:val="00E81A9C"/>
    <w:rsid w:val="00E82420"/>
    <w:rsid w:val="00E829DF"/>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582"/>
    <w:rsid w:val="00EA0374"/>
    <w:rsid w:val="00EA10C3"/>
    <w:rsid w:val="00EA1F33"/>
    <w:rsid w:val="00EA2470"/>
    <w:rsid w:val="00EA3AF3"/>
    <w:rsid w:val="00EA3CE8"/>
    <w:rsid w:val="00EA4118"/>
    <w:rsid w:val="00EA479E"/>
    <w:rsid w:val="00EA71C2"/>
    <w:rsid w:val="00EA7517"/>
    <w:rsid w:val="00EB0137"/>
    <w:rsid w:val="00EB130D"/>
    <w:rsid w:val="00EB15F3"/>
    <w:rsid w:val="00EB1FDF"/>
    <w:rsid w:val="00EB2DEC"/>
    <w:rsid w:val="00EB37A7"/>
    <w:rsid w:val="00EB3900"/>
    <w:rsid w:val="00EB3CB7"/>
    <w:rsid w:val="00EB4C37"/>
    <w:rsid w:val="00EB4D22"/>
    <w:rsid w:val="00EB5A67"/>
    <w:rsid w:val="00EB6B22"/>
    <w:rsid w:val="00EB744A"/>
    <w:rsid w:val="00EB78E0"/>
    <w:rsid w:val="00EB7D34"/>
    <w:rsid w:val="00EC17C9"/>
    <w:rsid w:val="00EC1F35"/>
    <w:rsid w:val="00EC3F68"/>
    <w:rsid w:val="00EC447E"/>
    <w:rsid w:val="00EC52CA"/>
    <w:rsid w:val="00EC5CDC"/>
    <w:rsid w:val="00EC5E09"/>
    <w:rsid w:val="00EC70FF"/>
    <w:rsid w:val="00EC7B59"/>
    <w:rsid w:val="00ED0181"/>
    <w:rsid w:val="00ED099E"/>
    <w:rsid w:val="00ED0A7C"/>
    <w:rsid w:val="00ED2F51"/>
    <w:rsid w:val="00ED2FA8"/>
    <w:rsid w:val="00ED3825"/>
    <w:rsid w:val="00ED3B38"/>
    <w:rsid w:val="00ED4537"/>
    <w:rsid w:val="00ED528B"/>
    <w:rsid w:val="00ED5322"/>
    <w:rsid w:val="00ED5679"/>
    <w:rsid w:val="00ED5998"/>
    <w:rsid w:val="00ED5F98"/>
    <w:rsid w:val="00ED62BD"/>
    <w:rsid w:val="00ED7B82"/>
    <w:rsid w:val="00ED7C85"/>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7E8"/>
    <w:rsid w:val="00EE790C"/>
    <w:rsid w:val="00EF0042"/>
    <w:rsid w:val="00EF04CD"/>
    <w:rsid w:val="00EF0A71"/>
    <w:rsid w:val="00EF1570"/>
    <w:rsid w:val="00EF26F8"/>
    <w:rsid w:val="00EF2A6B"/>
    <w:rsid w:val="00EF34AA"/>
    <w:rsid w:val="00EF3FB5"/>
    <w:rsid w:val="00EF5A20"/>
    <w:rsid w:val="00EF5FD9"/>
    <w:rsid w:val="00EF656E"/>
    <w:rsid w:val="00EF6B4D"/>
    <w:rsid w:val="00EF797C"/>
    <w:rsid w:val="00F00549"/>
    <w:rsid w:val="00F0103C"/>
    <w:rsid w:val="00F013AE"/>
    <w:rsid w:val="00F01FAA"/>
    <w:rsid w:val="00F021E3"/>
    <w:rsid w:val="00F0245B"/>
    <w:rsid w:val="00F03026"/>
    <w:rsid w:val="00F04591"/>
    <w:rsid w:val="00F053DA"/>
    <w:rsid w:val="00F056A1"/>
    <w:rsid w:val="00F05AB1"/>
    <w:rsid w:val="00F06388"/>
    <w:rsid w:val="00F0674A"/>
    <w:rsid w:val="00F0680F"/>
    <w:rsid w:val="00F075A2"/>
    <w:rsid w:val="00F10872"/>
    <w:rsid w:val="00F11162"/>
    <w:rsid w:val="00F11244"/>
    <w:rsid w:val="00F11E2C"/>
    <w:rsid w:val="00F12245"/>
    <w:rsid w:val="00F125A7"/>
    <w:rsid w:val="00F127FB"/>
    <w:rsid w:val="00F129D2"/>
    <w:rsid w:val="00F129E8"/>
    <w:rsid w:val="00F12A2F"/>
    <w:rsid w:val="00F12EF3"/>
    <w:rsid w:val="00F13B2B"/>
    <w:rsid w:val="00F13CEA"/>
    <w:rsid w:val="00F1448B"/>
    <w:rsid w:val="00F1590C"/>
    <w:rsid w:val="00F15FF9"/>
    <w:rsid w:val="00F165E3"/>
    <w:rsid w:val="00F17D61"/>
    <w:rsid w:val="00F212AD"/>
    <w:rsid w:val="00F21712"/>
    <w:rsid w:val="00F2184C"/>
    <w:rsid w:val="00F2389D"/>
    <w:rsid w:val="00F23BE7"/>
    <w:rsid w:val="00F23F5C"/>
    <w:rsid w:val="00F259B1"/>
    <w:rsid w:val="00F318CF"/>
    <w:rsid w:val="00F31D01"/>
    <w:rsid w:val="00F3212D"/>
    <w:rsid w:val="00F32C3F"/>
    <w:rsid w:val="00F32D89"/>
    <w:rsid w:val="00F32EE9"/>
    <w:rsid w:val="00F33DDC"/>
    <w:rsid w:val="00F34FEF"/>
    <w:rsid w:val="00F3561D"/>
    <w:rsid w:val="00F356CC"/>
    <w:rsid w:val="00F36763"/>
    <w:rsid w:val="00F36D68"/>
    <w:rsid w:val="00F370F5"/>
    <w:rsid w:val="00F37A2E"/>
    <w:rsid w:val="00F400C8"/>
    <w:rsid w:val="00F405F5"/>
    <w:rsid w:val="00F40744"/>
    <w:rsid w:val="00F4154F"/>
    <w:rsid w:val="00F41935"/>
    <w:rsid w:val="00F4315F"/>
    <w:rsid w:val="00F45029"/>
    <w:rsid w:val="00F4531F"/>
    <w:rsid w:val="00F46411"/>
    <w:rsid w:val="00F46D01"/>
    <w:rsid w:val="00F46EC7"/>
    <w:rsid w:val="00F4770C"/>
    <w:rsid w:val="00F47BB4"/>
    <w:rsid w:val="00F47E16"/>
    <w:rsid w:val="00F51877"/>
    <w:rsid w:val="00F51D4A"/>
    <w:rsid w:val="00F51EBD"/>
    <w:rsid w:val="00F527DF"/>
    <w:rsid w:val="00F541B7"/>
    <w:rsid w:val="00F54582"/>
    <w:rsid w:val="00F5686D"/>
    <w:rsid w:val="00F56F2E"/>
    <w:rsid w:val="00F57AD3"/>
    <w:rsid w:val="00F61699"/>
    <w:rsid w:val="00F61CD0"/>
    <w:rsid w:val="00F62810"/>
    <w:rsid w:val="00F63591"/>
    <w:rsid w:val="00F63EEB"/>
    <w:rsid w:val="00F64C0C"/>
    <w:rsid w:val="00F65362"/>
    <w:rsid w:val="00F66A6C"/>
    <w:rsid w:val="00F66C02"/>
    <w:rsid w:val="00F6708C"/>
    <w:rsid w:val="00F67B7E"/>
    <w:rsid w:val="00F7049A"/>
    <w:rsid w:val="00F706BE"/>
    <w:rsid w:val="00F7097A"/>
    <w:rsid w:val="00F71409"/>
    <w:rsid w:val="00F71451"/>
    <w:rsid w:val="00F71526"/>
    <w:rsid w:val="00F71817"/>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591E"/>
    <w:rsid w:val="00F86646"/>
    <w:rsid w:val="00F86FBB"/>
    <w:rsid w:val="00F87930"/>
    <w:rsid w:val="00F9038C"/>
    <w:rsid w:val="00F9087F"/>
    <w:rsid w:val="00F91184"/>
    <w:rsid w:val="00F9139B"/>
    <w:rsid w:val="00F916DB"/>
    <w:rsid w:val="00F91843"/>
    <w:rsid w:val="00F91B79"/>
    <w:rsid w:val="00F92B5B"/>
    <w:rsid w:val="00F92D84"/>
    <w:rsid w:val="00F9417B"/>
    <w:rsid w:val="00F942D1"/>
    <w:rsid w:val="00F94A47"/>
    <w:rsid w:val="00F94D75"/>
    <w:rsid w:val="00F953C6"/>
    <w:rsid w:val="00F9644C"/>
    <w:rsid w:val="00F96638"/>
    <w:rsid w:val="00FA02B5"/>
    <w:rsid w:val="00FA0A5B"/>
    <w:rsid w:val="00FA0CEB"/>
    <w:rsid w:val="00FA1253"/>
    <w:rsid w:val="00FA12BE"/>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D8D"/>
    <w:rsid w:val="00FB5898"/>
    <w:rsid w:val="00FB5A2E"/>
    <w:rsid w:val="00FB5C28"/>
    <w:rsid w:val="00FB6CD6"/>
    <w:rsid w:val="00FB702A"/>
    <w:rsid w:val="00FB732E"/>
    <w:rsid w:val="00FB7412"/>
    <w:rsid w:val="00FB7F7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4523"/>
    <w:rsid w:val="00FD5CEE"/>
    <w:rsid w:val="00FD62A1"/>
    <w:rsid w:val="00FE01F5"/>
    <w:rsid w:val="00FE051B"/>
    <w:rsid w:val="00FE1934"/>
    <w:rsid w:val="00FE2904"/>
    <w:rsid w:val="00FE2C11"/>
    <w:rsid w:val="00FE3068"/>
    <w:rsid w:val="00FE31FC"/>
    <w:rsid w:val="00FE4074"/>
    <w:rsid w:val="00FE4EAF"/>
    <w:rsid w:val="00FE5107"/>
    <w:rsid w:val="00FE5338"/>
    <w:rsid w:val="00FE5605"/>
    <w:rsid w:val="00FE5B92"/>
    <w:rsid w:val="00FE6072"/>
    <w:rsid w:val="00FE6711"/>
    <w:rsid w:val="00FE6D0F"/>
    <w:rsid w:val="00FE7C56"/>
    <w:rsid w:val="00FE7F02"/>
    <w:rsid w:val="00FF0E6F"/>
    <w:rsid w:val="00FF110E"/>
    <w:rsid w:val="00FF13DE"/>
    <w:rsid w:val="00FF1437"/>
    <w:rsid w:val="00FF16AB"/>
    <w:rsid w:val="00FF1749"/>
    <w:rsid w:val="00FF21C1"/>
    <w:rsid w:val="00FF40FD"/>
    <w:rsid w:val="00FF4695"/>
    <w:rsid w:val="00FF48B5"/>
    <w:rsid w:val="00FF5EC7"/>
    <w:rsid w:val="048764DD"/>
    <w:rsid w:val="04E6066F"/>
    <w:rsid w:val="05910BF1"/>
    <w:rsid w:val="09852594"/>
    <w:rsid w:val="0B571924"/>
    <w:rsid w:val="0D1246EC"/>
    <w:rsid w:val="0D4E4639"/>
    <w:rsid w:val="0E291FDB"/>
    <w:rsid w:val="0ECF5EFA"/>
    <w:rsid w:val="18D311FD"/>
    <w:rsid w:val="1C530364"/>
    <w:rsid w:val="27672D9D"/>
    <w:rsid w:val="2C176CEA"/>
    <w:rsid w:val="2CDD08C1"/>
    <w:rsid w:val="2D245E58"/>
    <w:rsid w:val="2F38492B"/>
    <w:rsid w:val="322E119F"/>
    <w:rsid w:val="32916BA4"/>
    <w:rsid w:val="32A933BB"/>
    <w:rsid w:val="33FF0399"/>
    <w:rsid w:val="34F0095A"/>
    <w:rsid w:val="3CF466C5"/>
    <w:rsid w:val="3F1C6CDA"/>
    <w:rsid w:val="404A06A9"/>
    <w:rsid w:val="425460E8"/>
    <w:rsid w:val="44AE2DCF"/>
    <w:rsid w:val="4D3662C0"/>
    <w:rsid w:val="5020111E"/>
    <w:rsid w:val="50223592"/>
    <w:rsid w:val="51F170C6"/>
    <w:rsid w:val="532278B2"/>
    <w:rsid w:val="563E2ACB"/>
    <w:rsid w:val="564F24E2"/>
    <w:rsid w:val="5AFA32A6"/>
    <w:rsid w:val="5D43732A"/>
    <w:rsid w:val="610007D1"/>
    <w:rsid w:val="635D0434"/>
    <w:rsid w:val="63D329D3"/>
    <w:rsid w:val="6624061D"/>
    <w:rsid w:val="664724DD"/>
    <w:rsid w:val="6C772485"/>
    <w:rsid w:val="6EBA79B8"/>
    <w:rsid w:val="6F204DBD"/>
    <w:rsid w:val="72810CBF"/>
    <w:rsid w:val="73AFED9A"/>
    <w:rsid w:val="790F1F7D"/>
    <w:rsid w:val="7B802519"/>
    <w:rsid w:val="7BCC4C09"/>
    <w:rsid w:val="A9FED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3">
    <w:name w:val="heading 2"/>
    <w:basedOn w:val="1"/>
    <w:next w:val="4"/>
    <w:qFormat/>
    <w:uiPriority w:val="0"/>
    <w:pPr>
      <w:keepNext/>
      <w:keepLines/>
      <w:tabs>
        <w:tab w:val="left" w:pos="456"/>
      </w:tabs>
      <w:spacing w:beforeLines="100" w:afterLines="100" w:line="360" w:lineRule="auto"/>
      <w:ind w:left="456" w:hanging="454"/>
      <w:outlineLvl w:val="1"/>
    </w:pPr>
    <w:rPr>
      <w:b/>
      <w:sz w:val="24"/>
    </w:rPr>
  </w:style>
  <w:style w:type="paragraph" w:styleId="5">
    <w:name w:val="heading 3"/>
    <w:basedOn w:val="1"/>
    <w:next w:val="4"/>
    <w:qFormat/>
    <w:uiPriority w:val="0"/>
    <w:pPr>
      <w:keepNext/>
      <w:keepLines/>
      <w:tabs>
        <w:tab w:val="left" w:pos="475"/>
      </w:tabs>
      <w:spacing w:beforeLines="50" w:afterLines="50" w:line="360" w:lineRule="auto"/>
      <w:ind w:left="102" w:firstLine="13"/>
      <w:outlineLvl w:val="2"/>
    </w:pPr>
    <w:rPr>
      <w:b/>
      <w:sz w:val="24"/>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4"/>
    <w:qFormat/>
    <w:uiPriority w:val="0"/>
    <w:pPr>
      <w:keepNext/>
      <w:keepLines/>
      <w:tabs>
        <w:tab w:val="left" w:pos="462"/>
      </w:tabs>
      <w:spacing w:before="100" w:beforeAutospacing="1" w:after="100" w:afterAutospacing="1" w:line="360" w:lineRule="auto"/>
      <w:ind w:left="102"/>
      <w:outlineLvl w:val="4"/>
    </w:pPr>
    <w:rPr>
      <w:b/>
      <w:sz w:val="24"/>
    </w:rPr>
  </w:style>
  <w:style w:type="paragraph" w:styleId="8">
    <w:name w:val="heading 6"/>
    <w:basedOn w:val="1"/>
    <w:next w:val="4"/>
    <w:qFormat/>
    <w:uiPriority w:val="0"/>
    <w:pPr>
      <w:keepNext/>
      <w:keepLines/>
      <w:tabs>
        <w:tab w:val="left" w:pos="462"/>
      </w:tabs>
      <w:spacing w:before="100" w:beforeAutospacing="1" w:after="100" w:afterAutospacing="1" w:line="360" w:lineRule="auto"/>
      <w:ind w:left="102"/>
      <w:outlineLvl w:val="5"/>
    </w:pPr>
    <w:rPr>
      <w:b/>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link w:val="59"/>
    <w:semiHidden/>
    <w:unhideWhenUsed/>
    <w:qFormat/>
    <w:uiPriority w:val="99"/>
    <w:rPr>
      <w:rFonts w:ascii="宋体"/>
      <w:sz w:val="18"/>
      <w:szCs w:val="18"/>
      <w:lang w:val="zh-CN"/>
    </w:rPr>
  </w:style>
  <w:style w:type="paragraph" w:styleId="13">
    <w:name w:val="annotation text"/>
    <w:basedOn w:val="1"/>
    <w:link w:val="65"/>
    <w:qFormat/>
    <w:uiPriority w:val="0"/>
    <w:pPr>
      <w:jc w:val="left"/>
    </w:pPr>
    <w:rPr>
      <w:lang w:val="zh-CN"/>
    </w:rPr>
  </w:style>
  <w:style w:type="paragraph" w:styleId="14">
    <w:name w:val="Body Text"/>
    <w:basedOn w:val="1"/>
    <w:qFormat/>
    <w:uiPriority w:val="0"/>
    <w:pPr>
      <w:spacing w:after="120"/>
    </w:pPr>
  </w:style>
  <w:style w:type="paragraph" w:styleId="15">
    <w:name w:val="Body Text Indent"/>
    <w:basedOn w:val="1"/>
    <w:qFormat/>
    <w:uiPriority w:val="0"/>
    <w:pPr>
      <w:widowControl/>
      <w:spacing w:line="360" w:lineRule="auto"/>
      <w:ind w:right="-85" w:rightChars="-85" w:firstLine="360" w:firstLineChars="150"/>
      <w:jc w:val="left"/>
    </w:pPr>
    <w:rPr>
      <w:rFonts w:ascii="宋体" w:hAnsi="宋体"/>
      <w:sz w:val="24"/>
    </w:rPr>
  </w:style>
  <w:style w:type="paragraph" w:styleId="16">
    <w:name w:val="Plain Text"/>
    <w:basedOn w:val="1"/>
    <w:link w:val="36"/>
    <w:qFormat/>
    <w:uiPriority w:val="99"/>
    <w:pPr>
      <w:widowControl/>
      <w:jc w:val="left"/>
    </w:pPr>
    <w:rPr>
      <w:rFonts w:ascii="Courier New" w:hAnsi="Courier New"/>
      <w:kern w:val="0"/>
      <w:sz w:val="20"/>
      <w:lang w:val="zh-CN"/>
    </w:rPr>
  </w:style>
  <w:style w:type="paragraph" w:styleId="17">
    <w:name w:val="Date"/>
    <w:basedOn w:val="1"/>
    <w:next w:val="1"/>
    <w:link w:val="63"/>
    <w:semiHidden/>
    <w:unhideWhenUsed/>
    <w:qFormat/>
    <w:uiPriority w:val="99"/>
    <w:pPr>
      <w:ind w:left="100" w:leftChars="2500"/>
    </w:pPr>
    <w:rPr>
      <w:lang w:val="zh-CN"/>
    </w:rPr>
  </w:style>
  <w:style w:type="paragraph" w:styleId="18">
    <w:name w:val="Body Text Indent 2"/>
    <w:basedOn w:val="1"/>
    <w:qFormat/>
    <w:uiPriority w:val="0"/>
    <w:pPr>
      <w:widowControl/>
      <w:spacing w:before="100" w:beforeAutospacing="1" w:after="100" w:afterAutospacing="1"/>
      <w:ind w:right="-85" w:rightChars="-85" w:firstLine="480"/>
      <w:outlineLvl w:val="0"/>
    </w:pPr>
    <w:rPr>
      <w:rFonts w:ascii="宋体" w:hAnsi="宋体"/>
      <w:color w:val="000000"/>
      <w:sz w:val="24"/>
    </w:rPr>
  </w:style>
  <w:style w:type="paragraph" w:styleId="19">
    <w:name w:val="Balloon Text"/>
    <w:basedOn w:val="1"/>
    <w:qFormat/>
    <w:uiPriority w:val="0"/>
    <w:rPr>
      <w:sz w:val="18"/>
    </w:rPr>
  </w:style>
  <w:style w:type="paragraph" w:styleId="20">
    <w:name w:val="footer"/>
    <w:basedOn w:val="1"/>
    <w:link w:val="57"/>
    <w:qFormat/>
    <w:uiPriority w:val="99"/>
    <w:pPr>
      <w:tabs>
        <w:tab w:val="center" w:pos="4153"/>
        <w:tab w:val="right" w:pos="8306"/>
      </w:tabs>
      <w:snapToGrid w:val="0"/>
      <w:jc w:val="left"/>
    </w:pPr>
    <w:rPr>
      <w:sz w:val="18"/>
      <w:lang w:val="zh-CN"/>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tabs>
        <w:tab w:val="right" w:leader="dot" w:pos="8450"/>
      </w:tabs>
      <w:spacing w:line="360" w:lineRule="auto"/>
    </w:pPr>
    <w:rPr>
      <w:rFonts w:ascii="黑体" w:hAnsi="宋体" w:eastAsia="黑体"/>
      <w:sz w:val="24"/>
    </w:rPr>
  </w:style>
  <w:style w:type="paragraph" w:styleId="23">
    <w:name w:val="toc 2"/>
    <w:basedOn w:val="1"/>
    <w:next w:val="1"/>
    <w:qFormat/>
    <w:uiPriority w:val="0"/>
    <w:pPr>
      <w:ind w:left="420" w:leftChars="200"/>
    </w:pPr>
  </w:style>
  <w:style w:type="paragraph" w:styleId="24">
    <w:name w:val="Normal (Web)"/>
    <w:basedOn w:val="1"/>
    <w:qFormat/>
    <w:uiPriority w:val="0"/>
    <w:pPr>
      <w:widowControl/>
      <w:tabs>
        <w:tab w:val="left" w:pos="360"/>
      </w:tabs>
      <w:spacing w:before="100" w:beforeAutospacing="1" w:after="100" w:afterAutospacing="1"/>
      <w:jc w:val="left"/>
    </w:pPr>
    <w:rPr>
      <w:rFonts w:ascii="Arial Unicode MS" w:hAnsi="Arial Unicode MS" w:eastAsia="Arial Unicode MS"/>
      <w:kern w:val="0"/>
      <w:sz w:val="24"/>
    </w:rPr>
  </w:style>
  <w:style w:type="paragraph" w:styleId="25">
    <w:name w:val="Title"/>
    <w:basedOn w:val="14"/>
    <w:next w:val="14"/>
    <w:qFormat/>
    <w:uiPriority w:val="0"/>
    <w:pPr>
      <w:tabs>
        <w:tab w:val="left" w:pos="-540"/>
        <w:tab w:val="left" w:pos="1182"/>
      </w:tabs>
      <w:snapToGrid w:val="0"/>
      <w:spacing w:before="240" w:after="60" w:line="360" w:lineRule="auto"/>
      <w:ind w:left="527" w:hanging="425"/>
      <w:jc w:val="center"/>
      <w:outlineLvl w:val="0"/>
    </w:pPr>
    <w:rPr>
      <w:b/>
      <w:sz w:val="36"/>
    </w:rPr>
  </w:style>
  <w:style w:type="paragraph" w:styleId="26">
    <w:name w:val="annotation subject"/>
    <w:basedOn w:val="13"/>
    <w:next w:val="13"/>
    <w:qFormat/>
    <w:uiPriority w:val="0"/>
    <w:rPr>
      <w:b/>
    </w:rPr>
  </w:style>
  <w:style w:type="paragraph" w:styleId="27">
    <w:name w:val="Body Text First Indent"/>
    <w:basedOn w:val="14"/>
    <w:qFormat/>
    <w:uiPriority w:val="0"/>
    <w:pPr>
      <w:spacing w:line="300" w:lineRule="auto"/>
      <w:ind w:firstLine="425"/>
    </w:pPr>
  </w:style>
  <w:style w:type="character" w:styleId="30">
    <w:name w:val="page number"/>
    <w:basedOn w:val="29"/>
    <w:qFormat/>
    <w:uiPriority w:val="0"/>
  </w:style>
  <w:style w:type="character" w:styleId="31">
    <w:name w:val="Hyperlink"/>
    <w:qFormat/>
    <w:uiPriority w:val="99"/>
    <w:rPr>
      <w:color w:val="0000FF"/>
      <w:u w:val="single"/>
    </w:rPr>
  </w:style>
  <w:style w:type="character" w:styleId="32">
    <w:name w:val="annotation reference"/>
    <w:qFormat/>
    <w:uiPriority w:val="0"/>
    <w:rPr>
      <w:sz w:val="21"/>
    </w:rPr>
  </w:style>
  <w:style w:type="character" w:customStyle="1" w:styleId="33">
    <w:name w:val="read"/>
    <w:basedOn w:val="29"/>
    <w:qFormat/>
    <w:uiPriority w:val="0"/>
  </w:style>
  <w:style w:type="character" w:customStyle="1" w:styleId="34">
    <w:name w:val="已访问的超链接1"/>
    <w:qFormat/>
    <w:uiPriority w:val="0"/>
    <w:rPr>
      <w:color w:val="800080"/>
      <w:u w:val="single"/>
    </w:rPr>
  </w:style>
  <w:style w:type="character" w:customStyle="1" w:styleId="35">
    <w:name w:val="big1"/>
    <w:qFormat/>
    <w:uiPriority w:val="0"/>
    <w:rPr>
      <w:sz w:val="22"/>
    </w:rPr>
  </w:style>
  <w:style w:type="character" w:customStyle="1" w:styleId="36">
    <w:name w:val="纯文本 Char"/>
    <w:link w:val="16"/>
    <w:qFormat/>
    <w:uiPriority w:val="99"/>
    <w:rPr>
      <w:rFonts w:ascii="Courier New" w:hAnsi="Courier New"/>
    </w:rPr>
  </w:style>
  <w:style w:type="character" w:customStyle="1" w:styleId="37">
    <w:name w:val="ten51"/>
    <w:qFormat/>
    <w:uiPriority w:val="0"/>
    <w:rPr>
      <w:sz w:val="21"/>
    </w:rPr>
  </w:style>
  <w:style w:type="paragraph" w:customStyle="1" w:styleId="38">
    <w:name w:val="Char Char Char Char Char Char Char"/>
    <w:basedOn w:val="1"/>
    <w:qFormat/>
    <w:uiPriority w:val="0"/>
  </w:style>
  <w:style w:type="paragraph" w:customStyle="1" w:styleId="39">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40">
    <w:name w:val="xl22"/>
    <w:basedOn w:val="1"/>
    <w:qFormat/>
    <w:uiPriority w:val="0"/>
    <w:pPr>
      <w:widowControl/>
      <w:spacing w:before="100" w:beforeAutospacing="1" w:after="100" w:afterAutospacing="1"/>
      <w:textAlignment w:val="top"/>
    </w:pPr>
    <w:rPr>
      <w:rFonts w:hint="eastAsia" w:ascii="宋体" w:hAnsi="宋体"/>
      <w:kern w:val="0"/>
      <w:sz w:val="18"/>
    </w:rPr>
  </w:style>
  <w:style w:type="paragraph" w:customStyle="1" w:styleId="41">
    <w:name w:val="项目"/>
    <w:basedOn w:val="6"/>
    <w:qFormat/>
    <w:uiPriority w:val="0"/>
    <w:pPr>
      <w:snapToGrid w:val="0"/>
      <w:spacing w:before="120" w:after="120" w:line="360" w:lineRule="auto"/>
    </w:pPr>
    <w:rPr>
      <w:rFonts w:ascii="Times New Roman" w:hAnsi="Times New Roman" w:eastAsia="楷体_GB2312"/>
      <w:b w:val="0"/>
      <w:sz w:val="24"/>
    </w:rPr>
  </w:style>
  <w:style w:type="paragraph" w:customStyle="1" w:styleId="42">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43">
    <w:name w:val="表格正文"/>
    <w:basedOn w:val="4"/>
    <w:qFormat/>
    <w:uiPriority w:val="0"/>
    <w:pPr>
      <w:spacing w:beforeLines="50"/>
      <w:ind w:firstLine="0" w:firstLineChars="0"/>
      <w:jc w:val="center"/>
    </w:pPr>
    <w:rPr>
      <w:sz w:val="24"/>
    </w:rPr>
  </w:style>
  <w:style w:type="paragraph" w:customStyle="1" w:styleId="44">
    <w:name w:val="Char"/>
    <w:basedOn w:val="1"/>
    <w:qFormat/>
    <w:uiPriority w:val="0"/>
  </w:style>
  <w:style w:type="paragraph" w:customStyle="1" w:styleId="45">
    <w:name w:val="Char Char Char Char1 Char Char Char"/>
    <w:basedOn w:val="1"/>
    <w:qFormat/>
    <w:uiPriority w:val="0"/>
  </w:style>
  <w:style w:type="paragraph" w:customStyle="1" w:styleId="46">
    <w:name w:val="默认段落字体 Para Char Char Char Char Char Char"/>
    <w:basedOn w:val="1"/>
    <w:qFormat/>
    <w:uiPriority w:val="0"/>
    <w:pPr>
      <w:tabs>
        <w:tab w:val="left" w:pos="840"/>
      </w:tabs>
      <w:ind w:left="840" w:hanging="360"/>
    </w:pPr>
    <w:rPr>
      <w:sz w:val="24"/>
    </w:rPr>
  </w:style>
  <w:style w:type="paragraph" w:customStyle="1" w:styleId="47">
    <w:name w:val="报告署名"/>
    <w:basedOn w:val="1"/>
    <w:next w:val="1"/>
    <w:qFormat/>
    <w:uiPriority w:val="0"/>
    <w:pPr>
      <w:spacing w:line="360" w:lineRule="auto"/>
      <w:jc w:val="center"/>
    </w:pPr>
    <w:rPr>
      <w:rFonts w:ascii="宋体" w:hAnsi="宋体"/>
      <w:sz w:val="24"/>
    </w:rPr>
  </w:style>
  <w:style w:type="paragraph" w:customStyle="1" w:styleId="48">
    <w:name w:val="Char Char Char Char Char"/>
    <w:basedOn w:val="1"/>
    <w:qFormat/>
    <w:uiPriority w:val="0"/>
    <w:pPr>
      <w:tabs>
        <w:tab w:val="left" w:pos="840"/>
      </w:tabs>
      <w:ind w:left="840" w:hanging="360"/>
    </w:pPr>
    <w:rPr>
      <w:sz w:val="24"/>
    </w:rPr>
  </w:style>
  <w:style w:type="paragraph" w:customStyle="1" w:styleId="49">
    <w:name w:val="列表2"/>
    <w:basedOn w:val="1"/>
    <w:next w:val="25"/>
    <w:qFormat/>
    <w:uiPriority w:val="0"/>
    <w:pPr>
      <w:tabs>
        <w:tab w:val="left" w:pos="1125"/>
      </w:tabs>
      <w:spacing w:line="360" w:lineRule="auto"/>
      <w:ind w:left="1125" w:hanging="1125"/>
    </w:pPr>
    <w:rPr>
      <w:rFonts w:ascii="宋体"/>
    </w:rPr>
  </w:style>
  <w:style w:type="paragraph" w:styleId="50">
    <w:name w:val="List Paragraph"/>
    <w:basedOn w:val="1"/>
    <w:qFormat/>
    <w:uiPriority w:val="0"/>
    <w:pPr>
      <w:ind w:firstLine="420" w:firstLineChars="200"/>
    </w:pPr>
  </w:style>
  <w:style w:type="character" w:customStyle="1" w:styleId="51">
    <w:name w:val="批注文字 Char1"/>
    <w:qFormat/>
    <w:uiPriority w:val="0"/>
    <w:rPr>
      <w:kern w:val="2"/>
      <w:sz w:val="21"/>
    </w:rPr>
  </w:style>
  <w:style w:type="paragraph" w:customStyle="1" w:styleId="52">
    <w:name w:val="Char Char"/>
    <w:basedOn w:val="1"/>
    <w:qFormat/>
    <w:uiPriority w:val="0"/>
    <w:pPr>
      <w:tabs>
        <w:tab w:val="left" w:pos="840"/>
      </w:tabs>
      <w:ind w:left="840" w:hanging="360"/>
    </w:pPr>
    <w:rPr>
      <w:sz w:val="24"/>
      <w:szCs w:val="24"/>
    </w:rPr>
  </w:style>
  <w:style w:type="paragraph" w:customStyle="1" w:styleId="53">
    <w:name w:val="1 Char"/>
    <w:basedOn w:val="1"/>
    <w:semiHidden/>
    <w:qFormat/>
    <w:uiPriority w:val="0"/>
    <w:pPr>
      <w:tabs>
        <w:tab w:val="left" w:pos="360"/>
      </w:tabs>
    </w:pPr>
    <w:rPr>
      <w:sz w:val="24"/>
      <w:szCs w:val="24"/>
    </w:rPr>
  </w:style>
  <w:style w:type="paragraph" w:customStyle="1" w:styleId="54">
    <w:name w:val="修订1"/>
    <w:hidden/>
    <w:semiHidden/>
    <w:qFormat/>
    <w:uiPriority w:val="99"/>
    <w:rPr>
      <w:rFonts w:ascii="Times New Roman" w:hAnsi="Times New Roman" w:eastAsia="宋体" w:cs="Times New Roman"/>
      <w:kern w:val="2"/>
      <w:sz w:val="21"/>
      <w:lang w:val="en-US" w:eastAsia="zh-CN" w:bidi="ar-SA"/>
    </w:rPr>
  </w:style>
  <w:style w:type="character" w:customStyle="1" w:styleId="55">
    <w:name w:val="unnamed11"/>
    <w:qFormat/>
    <w:uiPriority w:val="0"/>
    <w:rPr>
      <w:rFonts w:hint="eastAsia" w:ascii="宋体" w:hAnsi="宋体" w:eastAsia="宋体"/>
      <w:sz w:val="18"/>
      <w:szCs w:val="18"/>
    </w:rPr>
  </w:style>
  <w:style w:type="paragraph" w:customStyle="1" w:styleId="5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7">
    <w:name w:val="页脚 Char"/>
    <w:link w:val="20"/>
    <w:qFormat/>
    <w:uiPriority w:val="99"/>
    <w:rPr>
      <w:kern w:val="2"/>
      <w:sz w:val="18"/>
    </w:rPr>
  </w:style>
  <w:style w:type="paragraph" w:customStyle="1" w:styleId="58">
    <w:name w:val="Char1"/>
    <w:basedOn w:val="1"/>
    <w:qFormat/>
    <w:uiPriority w:val="0"/>
  </w:style>
  <w:style w:type="character" w:customStyle="1" w:styleId="59">
    <w:name w:val="文档结构图 Char"/>
    <w:link w:val="12"/>
    <w:semiHidden/>
    <w:qFormat/>
    <w:uiPriority w:val="99"/>
    <w:rPr>
      <w:rFonts w:ascii="宋体"/>
      <w:kern w:val="2"/>
      <w:sz w:val="18"/>
      <w:szCs w:val="18"/>
    </w:rPr>
  </w:style>
  <w:style w:type="character" w:customStyle="1" w:styleId="60">
    <w:name w:val="批注引用1"/>
    <w:qFormat/>
    <w:uiPriority w:val="0"/>
    <w:rPr>
      <w:sz w:val="21"/>
    </w:rPr>
  </w:style>
  <w:style w:type="paragraph" w:customStyle="1" w:styleId="61">
    <w:name w:val="Char Char Char1"/>
    <w:basedOn w:val="1"/>
    <w:qFormat/>
    <w:uiPriority w:val="0"/>
  </w:style>
  <w:style w:type="character" w:customStyle="1" w:styleId="62">
    <w:name w:val="批注引用2"/>
    <w:qFormat/>
    <w:uiPriority w:val="0"/>
    <w:rPr>
      <w:sz w:val="21"/>
      <w:szCs w:val="21"/>
    </w:rPr>
  </w:style>
  <w:style w:type="character" w:customStyle="1" w:styleId="63">
    <w:name w:val="日期 Char"/>
    <w:link w:val="17"/>
    <w:semiHidden/>
    <w:qFormat/>
    <w:uiPriority w:val="99"/>
    <w:rPr>
      <w:kern w:val="2"/>
      <w:sz w:val="21"/>
    </w:rPr>
  </w:style>
  <w:style w:type="character" w:customStyle="1" w:styleId="64">
    <w:name w:val="批注文字 Char"/>
    <w:qFormat/>
    <w:uiPriority w:val="0"/>
    <w:rPr>
      <w:kern w:val="2"/>
      <w:sz w:val="21"/>
    </w:rPr>
  </w:style>
  <w:style w:type="character" w:customStyle="1" w:styleId="65">
    <w:name w:val="批注文字 Char2"/>
    <w:basedOn w:val="29"/>
    <w:link w:val="13"/>
    <w:qFormat/>
    <w:uiPriority w:val="0"/>
    <w:rPr>
      <w:kern w:val="2"/>
      <w:sz w:val="21"/>
    </w:rPr>
  </w:style>
  <w:style w:type="character" w:customStyle="1" w:styleId="66">
    <w:name w:val="批注文字 字符"/>
    <w:basedOn w:val="29"/>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140</Pages>
  <Words>14614</Words>
  <Characters>83302</Characters>
  <Lines>694</Lines>
  <Paragraphs>195</Paragraphs>
  <TotalTime>222</TotalTime>
  <ScaleCrop>false</ScaleCrop>
  <LinksUpToDate>false</LinksUpToDate>
  <CharactersWithSpaces>97721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2022-08-08T06:35:00Z</dcterms:created>
  <dc:creator>张敏峻</dc:creator>
  <cp:lastModifiedBy>喻秋燕</cp:lastModifiedBy>
  <cp:lastPrinted>2019-12-02T10:12:00Z</cp:lastPrinted>
  <dcterms:modified xsi:type="dcterms:W3CDTF">2023-02-17T05:30:52Z</dcterms:modified>
  <dc:title>招募说明书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84A9C05FB28E5EF3797EEF62225D36FF</vt:lpwstr>
  </property>
</Properties>
</file>