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1BBA1" w14:textId="77777777" w:rsidR="00E20C16" w:rsidRDefault="00E20C16">
      <w:pPr>
        <w:adjustRightInd w:val="0"/>
        <w:snapToGrid w:val="0"/>
        <w:spacing w:line="360" w:lineRule="auto"/>
        <w:rPr>
          <w:sz w:val="24"/>
        </w:rPr>
        <w:sectPr w:rsidR="00E20C16">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10A7C943" w14:textId="77777777" w:rsidR="00E20C16" w:rsidRDefault="003047E6">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lastRenderedPageBreak/>
        <w:drawing>
          <wp:inline distT="0" distB="0" distL="0" distR="0" wp14:anchorId="432435ED" wp14:editId="5F35AD9F">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FE0C48B" w14:textId="77777777" w:rsidR="00E20C16" w:rsidRDefault="00E20C16">
      <w:pPr>
        <w:adjustRightInd w:val="0"/>
        <w:snapToGrid w:val="0"/>
        <w:spacing w:line="360" w:lineRule="auto"/>
        <w:jc w:val="center"/>
        <w:rPr>
          <w:rFonts w:cs="Arial"/>
          <w:sz w:val="24"/>
        </w:rPr>
      </w:pPr>
    </w:p>
    <w:p w14:paraId="3CE0BAA0" w14:textId="77777777" w:rsidR="00E20C16" w:rsidRDefault="00E20C16">
      <w:pPr>
        <w:adjustRightInd w:val="0"/>
        <w:snapToGrid w:val="0"/>
        <w:spacing w:line="360" w:lineRule="auto"/>
        <w:jc w:val="center"/>
        <w:rPr>
          <w:rFonts w:cs="Arial"/>
          <w:sz w:val="24"/>
        </w:rPr>
      </w:pPr>
    </w:p>
    <w:p w14:paraId="14645376" w14:textId="1DCBC1E2" w:rsidR="00E20C16" w:rsidRDefault="003047E6">
      <w:pPr>
        <w:adjustRightInd w:val="0"/>
        <w:snapToGrid w:val="0"/>
        <w:spacing w:line="360" w:lineRule="auto"/>
        <w:jc w:val="center"/>
        <w:rPr>
          <w:rFonts w:ascii="黑体" w:hAnsi="黑体"/>
          <w:b/>
          <w:sz w:val="44"/>
        </w:rPr>
      </w:pPr>
      <w:r>
        <w:rPr>
          <w:rFonts w:ascii="黑体" w:hAnsi="黑体" w:hint="eastAsia"/>
          <w:b/>
          <w:sz w:val="44"/>
        </w:rPr>
        <w:t>交银</w:t>
      </w:r>
      <w:proofErr w:type="gramStart"/>
      <w:r>
        <w:rPr>
          <w:rFonts w:ascii="黑体" w:hAnsi="黑体" w:hint="eastAsia"/>
          <w:b/>
          <w:sz w:val="44"/>
        </w:rPr>
        <w:t>施罗德稳安</w:t>
      </w:r>
      <w:r>
        <w:rPr>
          <w:b/>
          <w:sz w:val="44"/>
        </w:rPr>
        <w:t>60</w:t>
      </w:r>
      <w:r>
        <w:rPr>
          <w:b/>
          <w:sz w:val="44"/>
        </w:rPr>
        <w:t>天</w:t>
      </w:r>
      <w:proofErr w:type="gramEnd"/>
      <w:r>
        <w:rPr>
          <w:rFonts w:ascii="黑体" w:hAnsi="黑体" w:hint="eastAsia"/>
          <w:b/>
          <w:sz w:val="44"/>
        </w:rPr>
        <w:t>滚动持有债券型证券投资基金</w:t>
      </w:r>
    </w:p>
    <w:p w14:paraId="67E28658" w14:textId="5C04C663" w:rsidR="00E20C16" w:rsidRDefault="003047E6">
      <w:pPr>
        <w:adjustRightInd w:val="0"/>
        <w:snapToGrid w:val="0"/>
        <w:spacing w:line="360" w:lineRule="auto"/>
        <w:jc w:val="center"/>
        <w:rPr>
          <w:rFonts w:ascii="黑体" w:hAnsi="黑体"/>
          <w:b/>
          <w:sz w:val="44"/>
        </w:rPr>
      </w:pPr>
      <w:r>
        <w:rPr>
          <w:rFonts w:ascii="黑体" w:hAnsi="黑体" w:hint="eastAsia"/>
          <w:b/>
          <w:sz w:val="44"/>
        </w:rPr>
        <w:t>托管协议</w:t>
      </w:r>
    </w:p>
    <w:p w14:paraId="7848CBCF" w14:textId="77777777" w:rsidR="00E20C16" w:rsidRDefault="00E20C16">
      <w:pPr>
        <w:adjustRightInd w:val="0"/>
        <w:snapToGrid w:val="0"/>
        <w:spacing w:line="360" w:lineRule="auto"/>
        <w:jc w:val="center"/>
        <w:rPr>
          <w:rFonts w:ascii="黑体" w:hAnsi="黑体"/>
          <w:b/>
          <w:sz w:val="48"/>
        </w:rPr>
      </w:pPr>
    </w:p>
    <w:p w14:paraId="1BBFCF58" w14:textId="77777777" w:rsidR="00E20C16" w:rsidRDefault="00E20C16">
      <w:pPr>
        <w:adjustRightInd w:val="0"/>
        <w:snapToGrid w:val="0"/>
        <w:spacing w:line="360" w:lineRule="auto"/>
        <w:jc w:val="center"/>
        <w:rPr>
          <w:rFonts w:ascii="黑体" w:hAnsi="黑体"/>
          <w:b/>
          <w:sz w:val="24"/>
        </w:rPr>
      </w:pPr>
    </w:p>
    <w:p w14:paraId="28822249" w14:textId="77777777" w:rsidR="00E20C16" w:rsidRDefault="00E20C16">
      <w:pPr>
        <w:adjustRightInd w:val="0"/>
        <w:snapToGrid w:val="0"/>
        <w:spacing w:line="360" w:lineRule="auto"/>
        <w:jc w:val="center"/>
        <w:rPr>
          <w:sz w:val="24"/>
        </w:rPr>
      </w:pPr>
    </w:p>
    <w:p w14:paraId="236A10A8" w14:textId="77777777" w:rsidR="00E20C16" w:rsidRDefault="00E20C16">
      <w:pPr>
        <w:adjustRightInd w:val="0"/>
        <w:snapToGrid w:val="0"/>
        <w:spacing w:line="360" w:lineRule="auto"/>
        <w:jc w:val="center"/>
        <w:rPr>
          <w:sz w:val="24"/>
        </w:rPr>
      </w:pPr>
    </w:p>
    <w:p w14:paraId="370DB11B" w14:textId="77777777" w:rsidR="00E20C16" w:rsidRDefault="00E20C16">
      <w:pPr>
        <w:adjustRightInd w:val="0"/>
        <w:snapToGrid w:val="0"/>
        <w:spacing w:line="360" w:lineRule="auto"/>
        <w:jc w:val="center"/>
        <w:rPr>
          <w:sz w:val="24"/>
        </w:rPr>
      </w:pPr>
    </w:p>
    <w:p w14:paraId="23503BDE" w14:textId="77777777" w:rsidR="00E20C16" w:rsidRDefault="00E20C16">
      <w:pPr>
        <w:adjustRightInd w:val="0"/>
        <w:snapToGrid w:val="0"/>
        <w:spacing w:line="360" w:lineRule="auto"/>
        <w:jc w:val="center"/>
        <w:rPr>
          <w:sz w:val="24"/>
        </w:rPr>
      </w:pPr>
    </w:p>
    <w:p w14:paraId="58156C11" w14:textId="77777777" w:rsidR="00E20C16" w:rsidRDefault="00E20C16">
      <w:pPr>
        <w:adjustRightInd w:val="0"/>
        <w:snapToGrid w:val="0"/>
        <w:spacing w:line="360" w:lineRule="auto"/>
        <w:jc w:val="center"/>
        <w:rPr>
          <w:sz w:val="24"/>
        </w:rPr>
      </w:pPr>
      <w:bookmarkStart w:id="3" w:name="_GoBack"/>
      <w:bookmarkEnd w:id="3"/>
    </w:p>
    <w:p w14:paraId="48DFBFC3" w14:textId="77777777" w:rsidR="00E20C16" w:rsidRDefault="00E20C16">
      <w:pPr>
        <w:adjustRightInd w:val="0"/>
        <w:snapToGrid w:val="0"/>
        <w:spacing w:line="360" w:lineRule="auto"/>
        <w:rPr>
          <w:sz w:val="24"/>
        </w:rPr>
      </w:pPr>
    </w:p>
    <w:p w14:paraId="4ACC71C8" w14:textId="77777777" w:rsidR="00E20C16" w:rsidRDefault="00E20C16">
      <w:pPr>
        <w:adjustRightInd w:val="0"/>
        <w:snapToGrid w:val="0"/>
        <w:spacing w:line="360" w:lineRule="auto"/>
        <w:jc w:val="center"/>
        <w:rPr>
          <w:sz w:val="24"/>
        </w:rPr>
      </w:pPr>
    </w:p>
    <w:p w14:paraId="2035EC9C" w14:textId="77777777" w:rsidR="00E20C16" w:rsidRDefault="00E20C16">
      <w:pPr>
        <w:adjustRightInd w:val="0"/>
        <w:snapToGrid w:val="0"/>
        <w:spacing w:line="360" w:lineRule="auto"/>
        <w:jc w:val="center"/>
        <w:rPr>
          <w:sz w:val="24"/>
        </w:rPr>
      </w:pPr>
    </w:p>
    <w:p w14:paraId="4FC2E62D" w14:textId="77777777" w:rsidR="00E20C16" w:rsidRDefault="00E20C16">
      <w:pPr>
        <w:adjustRightInd w:val="0"/>
        <w:snapToGrid w:val="0"/>
        <w:spacing w:line="360" w:lineRule="auto"/>
        <w:rPr>
          <w:sz w:val="24"/>
        </w:rPr>
      </w:pPr>
    </w:p>
    <w:p w14:paraId="03052D75" w14:textId="77777777" w:rsidR="00E20C16" w:rsidRDefault="003047E6">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78ADA490" w14:textId="77777777" w:rsidR="00E20C16" w:rsidRDefault="003047E6">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388F17F5" w14:textId="77777777" w:rsidR="00E20C16" w:rsidRDefault="00E20C16">
      <w:pPr>
        <w:adjustRightInd w:val="0"/>
        <w:snapToGrid w:val="0"/>
        <w:spacing w:line="360" w:lineRule="auto"/>
        <w:ind w:firstLineChars="1075" w:firstLine="2258"/>
      </w:pPr>
    </w:p>
    <w:p w14:paraId="6496F548" w14:textId="7145A21C" w:rsidR="00E20C16" w:rsidRDefault="003047E6">
      <w:pPr>
        <w:adjustRightInd w:val="0"/>
        <w:snapToGrid w:val="0"/>
        <w:spacing w:line="360" w:lineRule="auto"/>
        <w:jc w:val="center"/>
        <w:rPr>
          <w:rFonts w:ascii="黑体" w:hAnsi="黑体"/>
          <w:sz w:val="30"/>
        </w:rPr>
      </w:pPr>
      <w:r>
        <w:rPr>
          <w:rFonts w:ascii="黑体" w:hAnsi="黑体" w:hint="eastAsia"/>
          <w:sz w:val="30"/>
        </w:rPr>
        <w:t>二零二</w:t>
      </w:r>
      <w:r>
        <w:rPr>
          <w:rFonts w:ascii="黑体" w:hAnsi="黑体"/>
          <w:sz w:val="30"/>
        </w:rPr>
        <w:t>二</w:t>
      </w:r>
      <w:r>
        <w:rPr>
          <w:rFonts w:ascii="黑体" w:hAnsi="黑体" w:hint="eastAsia"/>
          <w:sz w:val="30"/>
        </w:rPr>
        <w:t>年十</w:t>
      </w:r>
      <w:r w:rsidR="008B4C08">
        <w:rPr>
          <w:rFonts w:ascii="黑体" w:hAnsi="黑体" w:hint="eastAsia"/>
          <w:sz w:val="30"/>
        </w:rPr>
        <w:t>一</w:t>
      </w:r>
      <w:r>
        <w:rPr>
          <w:rFonts w:ascii="黑体" w:hAnsi="黑体" w:hint="eastAsia"/>
          <w:sz w:val="30"/>
        </w:rPr>
        <w:t>月</w:t>
      </w:r>
    </w:p>
    <w:p w14:paraId="0E4CBED9" w14:textId="77777777" w:rsidR="00E20C16" w:rsidRDefault="00E20C16">
      <w:pPr>
        <w:adjustRightInd w:val="0"/>
        <w:snapToGrid w:val="0"/>
        <w:spacing w:line="360" w:lineRule="auto"/>
        <w:rPr>
          <w:sz w:val="24"/>
        </w:rPr>
      </w:pPr>
    </w:p>
    <w:p w14:paraId="31424FB1" w14:textId="77777777" w:rsidR="00E20C16" w:rsidRDefault="00E20C16">
      <w:pPr>
        <w:spacing w:line="360" w:lineRule="auto"/>
        <w:jc w:val="center"/>
        <w:rPr>
          <w:rFonts w:ascii="宋体" w:hAnsi="宋体"/>
          <w:b/>
          <w:sz w:val="24"/>
        </w:rPr>
        <w:sectPr w:rsidR="00E20C16">
          <w:type w:val="continuous"/>
          <w:pgSz w:w="11906" w:h="16838"/>
          <w:pgMar w:top="1418" w:right="1701" w:bottom="1418" w:left="1701" w:header="851" w:footer="992" w:gutter="0"/>
          <w:cols w:space="425"/>
          <w:docGrid w:type="lines" w:linePitch="312"/>
        </w:sectPr>
      </w:pPr>
    </w:p>
    <w:p w14:paraId="57F8105E" w14:textId="77777777" w:rsidR="00E20C16" w:rsidRDefault="003047E6">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6298C289" w14:textId="62141BD4" w:rsidR="00E20C16" w:rsidRDefault="003047E6">
      <w:pPr>
        <w:pStyle w:val="21"/>
        <w:tabs>
          <w:tab w:val="right" w:leader="dot" w:pos="8494"/>
        </w:tabs>
        <w:spacing w:line="360" w:lineRule="auto"/>
        <w:rPr>
          <w:rFonts w:asciiTheme="minorHAnsi" w:hAnsiTheme="minorHAnsi"/>
          <w:noProof/>
        </w:rPr>
      </w:pPr>
      <w:r>
        <w:fldChar w:fldCharType="begin"/>
      </w:r>
      <w:r>
        <w:instrText xml:space="preserve"> TOC \o "1-2" \h \z </w:instrText>
      </w:r>
      <w:r>
        <w:fldChar w:fldCharType="separate"/>
      </w:r>
      <w:hyperlink w:anchor="_Toc488938610" w:history="1">
        <w:r>
          <w:rPr>
            <w:rStyle w:val="af5"/>
            <w:rFonts w:ascii="宋体" w:hAnsi="宋体" w:hint="eastAsia"/>
            <w:noProof/>
          </w:rPr>
          <w:t>一、基金托管协议当事人</w:t>
        </w:r>
        <w:r>
          <w:rPr>
            <w:noProof/>
          </w:rPr>
          <w:tab/>
        </w:r>
        <w:r>
          <w:rPr>
            <w:noProof/>
          </w:rPr>
          <w:fldChar w:fldCharType="begin"/>
        </w:r>
        <w:r>
          <w:rPr>
            <w:noProof/>
          </w:rPr>
          <w:instrText xml:space="preserve"> PAGEREF _Toc488938610 \h </w:instrText>
        </w:r>
        <w:r>
          <w:rPr>
            <w:noProof/>
          </w:rPr>
        </w:r>
        <w:r>
          <w:rPr>
            <w:noProof/>
          </w:rPr>
          <w:fldChar w:fldCharType="separate"/>
        </w:r>
        <w:r w:rsidR="00E83868">
          <w:rPr>
            <w:noProof/>
          </w:rPr>
          <w:t>3</w:t>
        </w:r>
        <w:r>
          <w:rPr>
            <w:noProof/>
          </w:rPr>
          <w:fldChar w:fldCharType="end"/>
        </w:r>
      </w:hyperlink>
    </w:p>
    <w:p w14:paraId="196BDA30" w14:textId="242FF81D" w:rsidR="00E20C16" w:rsidRDefault="00AB6586">
      <w:pPr>
        <w:pStyle w:val="21"/>
        <w:tabs>
          <w:tab w:val="right" w:leader="dot" w:pos="8494"/>
        </w:tabs>
        <w:spacing w:line="360" w:lineRule="auto"/>
        <w:rPr>
          <w:rFonts w:asciiTheme="minorHAnsi" w:hAnsiTheme="minorHAnsi"/>
          <w:noProof/>
        </w:rPr>
      </w:pPr>
      <w:hyperlink w:anchor="_Toc488938611" w:history="1">
        <w:r w:rsidR="003047E6">
          <w:rPr>
            <w:rStyle w:val="af5"/>
            <w:rFonts w:ascii="宋体" w:hAnsi="宋体" w:hint="eastAsia"/>
            <w:noProof/>
          </w:rPr>
          <w:t>二、基金托管协议的依据、目的和原则</w:t>
        </w:r>
        <w:r w:rsidR="003047E6">
          <w:rPr>
            <w:noProof/>
          </w:rPr>
          <w:tab/>
        </w:r>
        <w:r w:rsidR="003047E6">
          <w:rPr>
            <w:noProof/>
          </w:rPr>
          <w:fldChar w:fldCharType="begin"/>
        </w:r>
        <w:r w:rsidR="003047E6">
          <w:rPr>
            <w:noProof/>
          </w:rPr>
          <w:instrText xml:space="preserve"> PAGEREF _Toc488938611 \h </w:instrText>
        </w:r>
        <w:r w:rsidR="003047E6">
          <w:rPr>
            <w:noProof/>
          </w:rPr>
        </w:r>
        <w:r w:rsidR="003047E6">
          <w:rPr>
            <w:noProof/>
          </w:rPr>
          <w:fldChar w:fldCharType="separate"/>
        </w:r>
        <w:r w:rsidR="00E83868">
          <w:rPr>
            <w:noProof/>
          </w:rPr>
          <w:t>4</w:t>
        </w:r>
        <w:r w:rsidR="003047E6">
          <w:rPr>
            <w:noProof/>
          </w:rPr>
          <w:fldChar w:fldCharType="end"/>
        </w:r>
      </w:hyperlink>
    </w:p>
    <w:p w14:paraId="599E23CD" w14:textId="395B8D9B" w:rsidR="00E20C16" w:rsidRDefault="00AB6586">
      <w:pPr>
        <w:pStyle w:val="21"/>
        <w:tabs>
          <w:tab w:val="right" w:leader="dot" w:pos="8494"/>
        </w:tabs>
        <w:spacing w:line="360" w:lineRule="auto"/>
        <w:rPr>
          <w:rFonts w:asciiTheme="minorHAnsi" w:hAnsiTheme="minorHAnsi"/>
          <w:noProof/>
        </w:rPr>
      </w:pPr>
      <w:hyperlink w:anchor="_Toc488938612" w:history="1">
        <w:r w:rsidR="003047E6">
          <w:rPr>
            <w:rStyle w:val="af5"/>
            <w:rFonts w:ascii="宋体" w:hAnsi="宋体" w:hint="eastAsia"/>
            <w:noProof/>
          </w:rPr>
          <w:t>三、基金托管人对基金管理人的业务监督和核查</w:t>
        </w:r>
        <w:r w:rsidR="003047E6">
          <w:rPr>
            <w:noProof/>
          </w:rPr>
          <w:tab/>
        </w:r>
        <w:r w:rsidR="003047E6">
          <w:rPr>
            <w:noProof/>
          </w:rPr>
          <w:fldChar w:fldCharType="begin"/>
        </w:r>
        <w:r w:rsidR="003047E6">
          <w:rPr>
            <w:noProof/>
          </w:rPr>
          <w:instrText xml:space="preserve"> PAGEREF _Toc488938612 \h </w:instrText>
        </w:r>
        <w:r w:rsidR="003047E6">
          <w:rPr>
            <w:noProof/>
          </w:rPr>
        </w:r>
        <w:r w:rsidR="003047E6">
          <w:rPr>
            <w:noProof/>
          </w:rPr>
          <w:fldChar w:fldCharType="separate"/>
        </w:r>
        <w:r w:rsidR="00E83868">
          <w:rPr>
            <w:noProof/>
          </w:rPr>
          <w:t>5</w:t>
        </w:r>
        <w:r w:rsidR="003047E6">
          <w:rPr>
            <w:noProof/>
          </w:rPr>
          <w:fldChar w:fldCharType="end"/>
        </w:r>
      </w:hyperlink>
    </w:p>
    <w:p w14:paraId="22D04A70" w14:textId="29228177" w:rsidR="00E20C16" w:rsidRDefault="00AB6586">
      <w:pPr>
        <w:pStyle w:val="21"/>
        <w:tabs>
          <w:tab w:val="right" w:leader="dot" w:pos="8494"/>
        </w:tabs>
        <w:spacing w:line="360" w:lineRule="auto"/>
        <w:rPr>
          <w:rFonts w:asciiTheme="minorHAnsi" w:hAnsiTheme="minorHAnsi"/>
          <w:noProof/>
        </w:rPr>
      </w:pPr>
      <w:hyperlink w:anchor="_Toc488938613" w:history="1">
        <w:r w:rsidR="003047E6">
          <w:rPr>
            <w:rStyle w:val="af5"/>
            <w:rFonts w:ascii="宋体" w:hAnsi="宋体" w:hint="eastAsia"/>
            <w:noProof/>
          </w:rPr>
          <w:t>四、基金管理人对基金托管人的业务核查</w:t>
        </w:r>
        <w:r w:rsidR="003047E6">
          <w:rPr>
            <w:noProof/>
          </w:rPr>
          <w:tab/>
        </w:r>
        <w:r w:rsidR="003047E6">
          <w:rPr>
            <w:noProof/>
          </w:rPr>
          <w:fldChar w:fldCharType="begin"/>
        </w:r>
        <w:r w:rsidR="003047E6">
          <w:rPr>
            <w:noProof/>
          </w:rPr>
          <w:instrText xml:space="preserve"> PAGEREF _Toc488938613 \h </w:instrText>
        </w:r>
        <w:r w:rsidR="003047E6">
          <w:rPr>
            <w:noProof/>
          </w:rPr>
        </w:r>
        <w:r w:rsidR="003047E6">
          <w:rPr>
            <w:noProof/>
          </w:rPr>
          <w:fldChar w:fldCharType="separate"/>
        </w:r>
        <w:r w:rsidR="00E83868">
          <w:rPr>
            <w:noProof/>
          </w:rPr>
          <w:t>14</w:t>
        </w:r>
        <w:r w:rsidR="003047E6">
          <w:rPr>
            <w:noProof/>
          </w:rPr>
          <w:fldChar w:fldCharType="end"/>
        </w:r>
      </w:hyperlink>
    </w:p>
    <w:p w14:paraId="2BC471CC" w14:textId="3EA08EB5" w:rsidR="00E20C16" w:rsidRDefault="00AB6586">
      <w:pPr>
        <w:pStyle w:val="21"/>
        <w:tabs>
          <w:tab w:val="right" w:leader="dot" w:pos="8494"/>
        </w:tabs>
        <w:spacing w:line="360" w:lineRule="auto"/>
        <w:rPr>
          <w:rFonts w:asciiTheme="minorHAnsi" w:hAnsiTheme="minorHAnsi"/>
          <w:noProof/>
        </w:rPr>
      </w:pPr>
      <w:hyperlink w:anchor="_Toc488938614" w:history="1">
        <w:r w:rsidR="003047E6">
          <w:rPr>
            <w:rStyle w:val="af5"/>
            <w:rFonts w:ascii="宋体" w:hAnsi="宋体" w:hint="eastAsia"/>
            <w:noProof/>
          </w:rPr>
          <w:t>五、基金财产的保</w:t>
        </w:r>
        <w:bookmarkStart w:id="4" w:name="_Hlt433117872"/>
        <w:bookmarkStart w:id="5" w:name="_Hlt433117871"/>
        <w:r w:rsidR="003047E6">
          <w:rPr>
            <w:rStyle w:val="af5"/>
            <w:rFonts w:ascii="宋体" w:hAnsi="宋体" w:hint="eastAsia"/>
            <w:noProof/>
          </w:rPr>
          <w:t>管</w:t>
        </w:r>
        <w:bookmarkEnd w:id="4"/>
        <w:bookmarkEnd w:id="5"/>
        <w:r w:rsidR="003047E6">
          <w:rPr>
            <w:noProof/>
          </w:rPr>
          <w:tab/>
        </w:r>
        <w:r w:rsidR="003047E6">
          <w:rPr>
            <w:noProof/>
          </w:rPr>
          <w:fldChar w:fldCharType="begin"/>
        </w:r>
        <w:r w:rsidR="003047E6">
          <w:rPr>
            <w:noProof/>
          </w:rPr>
          <w:instrText xml:space="preserve"> PAGEREF _Toc488938614 \h </w:instrText>
        </w:r>
        <w:r w:rsidR="003047E6">
          <w:rPr>
            <w:noProof/>
          </w:rPr>
        </w:r>
        <w:r w:rsidR="003047E6">
          <w:rPr>
            <w:noProof/>
          </w:rPr>
          <w:fldChar w:fldCharType="separate"/>
        </w:r>
        <w:r w:rsidR="00E83868">
          <w:rPr>
            <w:noProof/>
          </w:rPr>
          <w:t>15</w:t>
        </w:r>
        <w:r w:rsidR="003047E6">
          <w:rPr>
            <w:noProof/>
          </w:rPr>
          <w:fldChar w:fldCharType="end"/>
        </w:r>
      </w:hyperlink>
    </w:p>
    <w:p w14:paraId="2A4E610C" w14:textId="6101E2AE" w:rsidR="00E20C16" w:rsidRDefault="00AB6586">
      <w:pPr>
        <w:pStyle w:val="21"/>
        <w:tabs>
          <w:tab w:val="right" w:leader="dot" w:pos="8494"/>
        </w:tabs>
        <w:spacing w:line="360" w:lineRule="auto"/>
        <w:rPr>
          <w:rFonts w:asciiTheme="minorHAnsi" w:hAnsiTheme="minorHAnsi"/>
          <w:noProof/>
        </w:rPr>
      </w:pPr>
      <w:hyperlink w:anchor="_Toc488938615" w:history="1">
        <w:r w:rsidR="003047E6">
          <w:rPr>
            <w:rStyle w:val="af5"/>
            <w:rFonts w:ascii="宋体" w:hAnsi="宋体" w:hint="eastAsia"/>
            <w:noProof/>
          </w:rPr>
          <w:t>六、指令的发送、确认及执行</w:t>
        </w:r>
        <w:r w:rsidR="003047E6">
          <w:rPr>
            <w:noProof/>
          </w:rPr>
          <w:tab/>
        </w:r>
        <w:r w:rsidR="003047E6">
          <w:rPr>
            <w:noProof/>
          </w:rPr>
          <w:fldChar w:fldCharType="begin"/>
        </w:r>
        <w:r w:rsidR="003047E6">
          <w:rPr>
            <w:noProof/>
          </w:rPr>
          <w:instrText xml:space="preserve"> PAGEREF _Toc488938615 \h </w:instrText>
        </w:r>
        <w:r w:rsidR="003047E6">
          <w:rPr>
            <w:noProof/>
          </w:rPr>
        </w:r>
        <w:r w:rsidR="003047E6">
          <w:rPr>
            <w:noProof/>
          </w:rPr>
          <w:fldChar w:fldCharType="separate"/>
        </w:r>
        <w:r w:rsidR="00E83868">
          <w:rPr>
            <w:noProof/>
          </w:rPr>
          <w:t>19</w:t>
        </w:r>
        <w:r w:rsidR="003047E6">
          <w:rPr>
            <w:noProof/>
          </w:rPr>
          <w:fldChar w:fldCharType="end"/>
        </w:r>
      </w:hyperlink>
    </w:p>
    <w:p w14:paraId="1BEDDD35" w14:textId="19ECFF61" w:rsidR="00E20C16" w:rsidRDefault="00AB6586">
      <w:pPr>
        <w:pStyle w:val="21"/>
        <w:tabs>
          <w:tab w:val="right" w:leader="dot" w:pos="8494"/>
        </w:tabs>
        <w:spacing w:line="360" w:lineRule="auto"/>
        <w:rPr>
          <w:rFonts w:asciiTheme="minorHAnsi" w:hAnsiTheme="minorHAnsi"/>
          <w:noProof/>
        </w:rPr>
      </w:pPr>
      <w:hyperlink w:anchor="_Toc488938616" w:history="1">
        <w:r w:rsidR="003047E6">
          <w:rPr>
            <w:rStyle w:val="af5"/>
            <w:rFonts w:ascii="宋体" w:hAnsi="宋体" w:hint="eastAsia"/>
            <w:noProof/>
          </w:rPr>
          <w:t>七、交易及清算交收安排</w:t>
        </w:r>
        <w:r w:rsidR="003047E6">
          <w:rPr>
            <w:noProof/>
          </w:rPr>
          <w:tab/>
        </w:r>
        <w:r w:rsidR="003047E6">
          <w:rPr>
            <w:noProof/>
          </w:rPr>
          <w:fldChar w:fldCharType="begin"/>
        </w:r>
        <w:r w:rsidR="003047E6">
          <w:rPr>
            <w:noProof/>
          </w:rPr>
          <w:instrText xml:space="preserve"> PAGEREF _Toc488938616 \h </w:instrText>
        </w:r>
        <w:r w:rsidR="003047E6">
          <w:rPr>
            <w:noProof/>
          </w:rPr>
        </w:r>
        <w:r w:rsidR="003047E6">
          <w:rPr>
            <w:noProof/>
          </w:rPr>
          <w:fldChar w:fldCharType="separate"/>
        </w:r>
        <w:r w:rsidR="00E83868">
          <w:rPr>
            <w:noProof/>
          </w:rPr>
          <w:t>25</w:t>
        </w:r>
        <w:r w:rsidR="003047E6">
          <w:rPr>
            <w:noProof/>
          </w:rPr>
          <w:fldChar w:fldCharType="end"/>
        </w:r>
      </w:hyperlink>
    </w:p>
    <w:p w14:paraId="0F4BF78C" w14:textId="7CBC8B00" w:rsidR="00E20C16" w:rsidRDefault="00AB6586">
      <w:pPr>
        <w:pStyle w:val="21"/>
        <w:tabs>
          <w:tab w:val="right" w:leader="dot" w:pos="8494"/>
        </w:tabs>
        <w:spacing w:line="360" w:lineRule="auto"/>
        <w:rPr>
          <w:rFonts w:asciiTheme="minorHAnsi" w:hAnsiTheme="minorHAnsi"/>
          <w:noProof/>
        </w:rPr>
      </w:pPr>
      <w:hyperlink w:anchor="_Toc488938617" w:history="1">
        <w:r w:rsidR="003047E6">
          <w:rPr>
            <w:rStyle w:val="af5"/>
            <w:rFonts w:ascii="宋体" w:hAnsi="宋体" w:hint="eastAsia"/>
            <w:noProof/>
          </w:rPr>
          <w:t>八、基金资产净值计算、估值和会计核算</w:t>
        </w:r>
        <w:r w:rsidR="003047E6">
          <w:rPr>
            <w:noProof/>
          </w:rPr>
          <w:tab/>
        </w:r>
        <w:r w:rsidR="003047E6">
          <w:rPr>
            <w:noProof/>
          </w:rPr>
          <w:fldChar w:fldCharType="begin"/>
        </w:r>
        <w:r w:rsidR="003047E6">
          <w:rPr>
            <w:noProof/>
          </w:rPr>
          <w:instrText xml:space="preserve"> PAGEREF _Toc488938617 \h </w:instrText>
        </w:r>
        <w:r w:rsidR="003047E6">
          <w:rPr>
            <w:noProof/>
          </w:rPr>
        </w:r>
        <w:r w:rsidR="003047E6">
          <w:rPr>
            <w:noProof/>
          </w:rPr>
          <w:fldChar w:fldCharType="separate"/>
        </w:r>
        <w:r w:rsidR="00E83868">
          <w:rPr>
            <w:noProof/>
          </w:rPr>
          <w:t>28</w:t>
        </w:r>
        <w:r w:rsidR="003047E6">
          <w:rPr>
            <w:noProof/>
          </w:rPr>
          <w:fldChar w:fldCharType="end"/>
        </w:r>
      </w:hyperlink>
    </w:p>
    <w:p w14:paraId="70647FA9" w14:textId="088A51D9" w:rsidR="00E20C16" w:rsidRDefault="00AB6586">
      <w:pPr>
        <w:pStyle w:val="21"/>
        <w:tabs>
          <w:tab w:val="right" w:leader="dot" w:pos="8494"/>
        </w:tabs>
        <w:spacing w:line="360" w:lineRule="auto"/>
        <w:rPr>
          <w:rFonts w:asciiTheme="minorHAnsi" w:hAnsiTheme="minorHAnsi"/>
          <w:noProof/>
        </w:rPr>
      </w:pPr>
      <w:hyperlink w:anchor="_Toc488938618" w:history="1">
        <w:r w:rsidR="003047E6">
          <w:rPr>
            <w:rStyle w:val="af5"/>
            <w:rFonts w:ascii="宋体" w:hAnsi="宋体" w:hint="eastAsia"/>
            <w:noProof/>
          </w:rPr>
          <w:t>九、基金收益分配</w:t>
        </w:r>
        <w:r w:rsidR="003047E6">
          <w:rPr>
            <w:noProof/>
          </w:rPr>
          <w:tab/>
        </w:r>
        <w:r w:rsidR="003047E6">
          <w:rPr>
            <w:noProof/>
          </w:rPr>
          <w:fldChar w:fldCharType="begin"/>
        </w:r>
        <w:r w:rsidR="003047E6">
          <w:rPr>
            <w:noProof/>
          </w:rPr>
          <w:instrText xml:space="preserve"> PAGEREF _Toc488938618 \h </w:instrText>
        </w:r>
        <w:r w:rsidR="003047E6">
          <w:rPr>
            <w:noProof/>
          </w:rPr>
        </w:r>
        <w:r w:rsidR="003047E6">
          <w:rPr>
            <w:noProof/>
          </w:rPr>
          <w:fldChar w:fldCharType="separate"/>
        </w:r>
        <w:r w:rsidR="00E83868">
          <w:rPr>
            <w:noProof/>
          </w:rPr>
          <w:t>30</w:t>
        </w:r>
        <w:r w:rsidR="003047E6">
          <w:rPr>
            <w:noProof/>
          </w:rPr>
          <w:fldChar w:fldCharType="end"/>
        </w:r>
      </w:hyperlink>
    </w:p>
    <w:p w14:paraId="5A827360" w14:textId="4A981391" w:rsidR="00E20C16" w:rsidRDefault="00AB6586">
      <w:pPr>
        <w:pStyle w:val="21"/>
        <w:tabs>
          <w:tab w:val="right" w:leader="dot" w:pos="8494"/>
        </w:tabs>
        <w:spacing w:line="360" w:lineRule="auto"/>
        <w:rPr>
          <w:rFonts w:asciiTheme="minorHAnsi" w:hAnsiTheme="minorHAnsi"/>
          <w:noProof/>
        </w:rPr>
      </w:pPr>
      <w:hyperlink w:anchor="_Toc488938619" w:history="1">
        <w:r w:rsidR="003047E6">
          <w:rPr>
            <w:rStyle w:val="af5"/>
            <w:rFonts w:ascii="宋体" w:hAnsi="宋体" w:hint="eastAsia"/>
            <w:noProof/>
          </w:rPr>
          <w:t>十、基金信息披露</w:t>
        </w:r>
        <w:r w:rsidR="003047E6">
          <w:rPr>
            <w:noProof/>
          </w:rPr>
          <w:tab/>
        </w:r>
        <w:r w:rsidR="003047E6">
          <w:rPr>
            <w:noProof/>
          </w:rPr>
          <w:fldChar w:fldCharType="begin"/>
        </w:r>
        <w:r w:rsidR="003047E6">
          <w:rPr>
            <w:noProof/>
          </w:rPr>
          <w:instrText xml:space="preserve"> PAGEREF _Toc488938619 \h </w:instrText>
        </w:r>
        <w:r w:rsidR="003047E6">
          <w:rPr>
            <w:noProof/>
          </w:rPr>
        </w:r>
        <w:r w:rsidR="003047E6">
          <w:rPr>
            <w:noProof/>
          </w:rPr>
          <w:fldChar w:fldCharType="separate"/>
        </w:r>
        <w:r w:rsidR="00E83868">
          <w:rPr>
            <w:noProof/>
          </w:rPr>
          <w:t>31</w:t>
        </w:r>
        <w:r w:rsidR="003047E6">
          <w:rPr>
            <w:noProof/>
          </w:rPr>
          <w:fldChar w:fldCharType="end"/>
        </w:r>
      </w:hyperlink>
    </w:p>
    <w:p w14:paraId="599102D0" w14:textId="7EBAC3A4" w:rsidR="00E20C16" w:rsidRDefault="00AB6586">
      <w:pPr>
        <w:pStyle w:val="21"/>
        <w:tabs>
          <w:tab w:val="right" w:leader="dot" w:pos="8494"/>
        </w:tabs>
        <w:spacing w:line="360" w:lineRule="auto"/>
        <w:rPr>
          <w:rFonts w:asciiTheme="minorHAnsi" w:hAnsiTheme="minorHAnsi"/>
          <w:noProof/>
        </w:rPr>
      </w:pPr>
      <w:hyperlink w:anchor="_Toc488938620" w:history="1">
        <w:r w:rsidR="003047E6">
          <w:rPr>
            <w:rStyle w:val="af5"/>
            <w:rFonts w:ascii="宋体" w:hAnsi="宋体" w:hint="eastAsia"/>
            <w:noProof/>
          </w:rPr>
          <w:t>十一、基金费用</w:t>
        </w:r>
        <w:r w:rsidR="003047E6">
          <w:rPr>
            <w:noProof/>
          </w:rPr>
          <w:tab/>
        </w:r>
        <w:r w:rsidR="003047E6">
          <w:rPr>
            <w:noProof/>
          </w:rPr>
          <w:fldChar w:fldCharType="begin"/>
        </w:r>
        <w:r w:rsidR="003047E6">
          <w:rPr>
            <w:noProof/>
          </w:rPr>
          <w:instrText xml:space="preserve"> PAGEREF _Toc488938620 \h </w:instrText>
        </w:r>
        <w:r w:rsidR="003047E6">
          <w:rPr>
            <w:noProof/>
          </w:rPr>
        </w:r>
        <w:r w:rsidR="003047E6">
          <w:rPr>
            <w:noProof/>
          </w:rPr>
          <w:fldChar w:fldCharType="separate"/>
        </w:r>
        <w:r w:rsidR="00E83868">
          <w:rPr>
            <w:noProof/>
          </w:rPr>
          <w:t>33</w:t>
        </w:r>
        <w:r w:rsidR="003047E6">
          <w:rPr>
            <w:noProof/>
          </w:rPr>
          <w:fldChar w:fldCharType="end"/>
        </w:r>
      </w:hyperlink>
    </w:p>
    <w:p w14:paraId="2B25D6B5" w14:textId="6B350F78" w:rsidR="00E20C16" w:rsidRDefault="00AB6586">
      <w:pPr>
        <w:pStyle w:val="21"/>
        <w:tabs>
          <w:tab w:val="right" w:leader="dot" w:pos="8494"/>
        </w:tabs>
        <w:spacing w:line="360" w:lineRule="auto"/>
        <w:rPr>
          <w:rFonts w:asciiTheme="minorHAnsi" w:hAnsiTheme="minorHAnsi"/>
          <w:noProof/>
        </w:rPr>
      </w:pPr>
      <w:hyperlink w:anchor="_Toc488938621" w:history="1">
        <w:r w:rsidR="003047E6">
          <w:rPr>
            <w:rStyle w:val="af5"/>
            <w:rFonts w:ascii="宋体" w:hAnsi="宋体" w:hint="eastAsia"/>
            <w:noProof/>
          </w:rPr>
          <w:t>十二、基金份额持有人名册的保管</w:t>
        </w:r>
        <w:r w:rsidR="003047E6">
          <w:rPr>
            <w:noProof/>
          </w:rPr>
          <w:tab/>
        </w:r>
        <w:r w:rsidR="003047E6">
          <w:rPr>
            <w:noProof/>
          </w:rPr>
          <w:fldChar w:fldCharType="begin"/>
        </w:r>
        <w:r w:rsidR="003047E6">
          <w:rPr>
            <w:noProof/>
          </w:rPr>
          <w:instrText xml:space="preserve"> PAGEREF _Toc488938621 \h </w:instrText>
        </w:r>
        <w:r w:rsidR="003047E6">
          <w:rPr>
            <w:noProof/>
          </w:rPr>
        </w:r>
        <w:r w:rsidR="003047E6">
          <w:rPr>
            <w:noProof/>
          </w:rPr>
          <w:fldChar w:fldCharType="separate"/>
        </w:r>
        <w:r w:rsidR="00E83868">
          <w:rPr>
            <w:noProof/>
          </w:rPr>
          <w:t>34</w:t>
        </w:r>
        <w:r w:rsidR="003047E6">
          <w:rPr>
            <w:noProof/>
          </w:rPr>
          <w:fldChar w:fldCharType="end"/>
        </w:r>
      </w:hyperlink>
    </w:p>
    <w:p w14:paraId="65AA9BDE" w14:textId="6CAA53D4" w:rsidR="00E20C16" w:rsidRDefault="00AB6586">
      <w:pPr>
        <w:pStyle w:val="21"/>
        <w:tabs>
          <w:tab w:val="right" w:leader="dot" w:pos="8494"/>
        </w:tabs>
        <w:spacing w:line="360" w:lineRule="auto"/>
        <w:rPr>
          <w:rFonts w:asciiTheme="minorHAnsi" w:hAnsiTheme="minorHAnsi"/>
          <w:noProof/>
        </w:rPr>
      </w:pPr>
      <w:hyperlink w:anchor="_Toc488938622" w:history="1">
        <w:r w:rsidR="003047E6">
          <w:rPr>
            <w:rStyle w:val="af5"/>
            <w:rFonts w:ascii="宋体" w:hAnsi="宋体" w:hint="eastAsia"/>
            <w:noProof/>
          </w:rPr>
          <w:t>十三、基金有关文件档案的保存</w:t>
        </w:r>
        <w:r w:rsidR="003047E6">
          <w:rPr>
            <w:noProof/>
          </w:rPr>
          <w:tab/>
        </w:r>
        <w:r w:rsidR="003047E6">
          <w:rPr>
            <w:noProof/>
          </w:rPr>
          <w:fldChar w:fldCharType="begin"/>
        </w:r>
        <w:r w:rsidR="003047E6">
          <w:rPr>
            <w:noProof/>
          </w:rPr>
          <w:instrText xml:space="preserve"> PAGEREF _Toc488938622 \h </w:instrText>
        </w:r>
        <w:r w:rsidR="003047E6">
          <w:rPr>
            <w:noProof/>
          </w:rPr>
        </w:r>
        <w:r w:rsidR="003047E6">
          <w:rPr>
            <w:noProof/>
          </w:rPr>
          <w:fldChar w:fldCharType="separate"/>
        </w:r>
        <w:r w:rsidR="00E83868">
          <w:rPr>
            <w:noProof/>
          </w:rPr>
          <w:t>35</w:t>
        </w:r>
        <w:r w:rsidR="003047E6">
          <w:rPr>
            <w:noProof/>
          </w:rPr>
          <w:fldChar w:fldCharType="end"/>
        </w:r>
      </w:hyperlink>
    </w:p>
    <w:p w14:paraId="5D2A83BD" w14:textId="06643FD9" w:rsidR="00E20C16" w:rsidRDefault="00AB6586">
      <w:pPr>
        <w:pStyle w:val="21"/>
        <w:tabs>
          <w:tab w:val="right" w:leader="dot" w:pos="8494"/>
        </w:tabs>
        <w:spacing w:line="360" w:lineRule="auto"/>
        <w:rPr>
          <w:rFonts w:asciiTheme="minorHAnsi" w:hAnsiTheme="minorHAnsi"/>
          <w:noProof/>
        </w:rPr>
      </w:pPr>
      <w:hyperlink w:anchor="_Toc488938623" w:history="1">
        <w:r w:rsidR="003047E6">
          <w:rPr>
            <w:rStyle w:val="af5"/>
            <w:rFonts w:ascii="宋体" w:hAnsi="宋体" w:hint="eastAsia"/>
            <w:noProof/>
          </w:rPr>
          <w:t>十四、基金管理人和基金托管人的更换</w:t>
        </w:r>
        <w:r w:rsidR="003047E6">
          <w:rPr>
            <w:noProof/>
          </w:rPr>
          <w:tab/>
        </w:r>
        <w:r w:rsidR="003047E6">
          <w:rPr>
            <w:noProof/>
          </w:rPr>
          <w:fldChar w:fldCharType="begin"/>
        </w:r>
        <w:r w:rsidR="003047E6">
          <w:rPr>
            <w:noProof/>
          </w:rPr>
          <w:instrText xml:space="preserve"> PAGEREF _Toc488938623 \h </w:instrText>
        </w:r>
        <w:r w:rsidR="003047E6">
          <w:rPr>
            <w:noProof/>
          </w:rPr>
        </w:r>
        <w:r w:rsidR="003047E6">
          <w:rPr>
            <w:noProof/>
          </w:rPr>
          <w:fldChar w:fldCharType="separate"/>
        </w:r>
        <w:r w:rsidR="00E83868">
          <w:rPr>
            <w:noProof/>
          </w:rPr>
          <w:t>36</w:t>
        </w:r>
        <w:r w:rsidR="003047E6">
          <w:rPr>
            <w:noProof/>
          </w:rPr>
          <w:fldChar w:fldCharType="end"/>
        </w:r>
      </w:hyperlink>
    </w:p>
    <w:p w14:paraId="430CDFAC" w14:textId="3BF9C2EF" w:rsidR="00E20C16" w:rsidRDefault="00AB6586">
      <w:pPr>
        <w:pStyle w:val="21"/>
        <w:tabs>
          <w:tab w:val="right" w:leader="dot" w:pos="8494"/>
        </w:tabs>
        <w:spacing w:line="360" w:lineRule="auto"/>
        <w:rPr>
          <w:rFonts w:asciiTheme="minorHAnsi" w:hAnsiTheme="minorHAnsi"/>
          <w:noProof/>
        </w:rPr>
      </w:pPr>
      <w:hyperlink w:anchor="_Toc488938624" w:history="1">
        <w:r w:rsidR="003047E6">
          <w:rPr>
            <w:rStyle w:val="af5"/>
            <w:rFonts w:ascii="宋体" w:hAnsi="宋体" w:hint="eastAsia"/>
            <w:noProof/>
          </w:rPr>
          <w:t>十五、禁止行为</w:t>
        </w:r>
        <w:r w:rsidR="003047E6">
          <w:rPr>
            <w:noProof/>
          </w:rPr>
          <w:tab/>
        </w:r>
        <w:r w:rsidR="003047E6">
          <w:rPr>
            <w:noProof/>
          </w:rPr>
          <w:fldChar w:fldCharType="begin"/>
        </w:r>
        <w:r w:rsidR="003047E6">
          <w:rPr>
            <w:noProof/>
          </w:rPr>
          <w:instrText xml:space="preserve"> PAGEREF _Toc488938624 \h </w:instrText>
        </w:r>
        <w:r w:rsidR="003047E6">
          <w:rPr>
            <w:noProof/>
          </w:rPr>
        </w:r>
        <w:r w:rsidR="003047E6">
          <w:rPr>
            <w:noProof/>
          </w:rPr>
          <w:fldChar w:fldCharType="separate"/>
        </w:r>
        <w:r w:rsidR="00E83868">
          <w:rPr>
            <w:noProof/>
          </w:rPr>
          <w:t>37</w:t>
        </w:r>
        <w:r w:rsidR="003047E6">
          <w:rPr>
            <w:noProof/>
          </w:rPr>
          <w:fldChar w:fldCharType="end"/>
        </w:r>
      </w:hyperlink>
    </w:p>
    <w:p w14:paraId="5FEDA68B" w14:textId="756FF587" w:rsidR="00E20C16" w:rsidRDefault="00AB6586">
      <w:pPr>
        <w:pStyle w:val="21"/>
        <w:tabs>
          <w:tab w:val="right" w:leader="dot" w:pos="8494"/>
        </w:tabs>
        <w:spacing w:line="360" w:lineRule="auto"/>
        <w:rPr>
          <w:rFonts w:asciiTheme="minorHAnsi" w:hAnsiTheme="minorHAnsi"/>
          <w:noProof/>
        </w:rPr>
      </w:pPr>
      <w:hyperlink w:anchor="_Toc488938625" w:history="1">
        <w:r w:rsidR="003047E6">
          <w:rPr>
            <w:rStyle w:val="af5"/>
            <w:rFonts w:ascii="宋体" w:hAnsi="宋体" w:hint="eastAsia"/>
            <w:noProof/>
          </w:rPr>
          <w:t>十六、托管协议的变更、终止与基金财产的清算</w:t>
        </w:r>
        <w:r w:rsidR="003047E6">
          <w:rPr>
            <w:noProof/>
          </w:rPr>
          <w:tab/>
        </w:r>
        <w:r w:rsidR="003047E6">
          <w:rPr>
            <w:noProof/>
          </w:rPr>
          <w:fldChar w:fldCharType="begin"/>
        </w:r>
        <w:r w:rsidR="003047E6">
          <w:rPr>
            <w:noProof/>
          </w:rPr>
          <w:instrText xml:space="preserve"> PAGEREF _Toc488938625 \h </w:instrText>
        </w:r>
        <w:r w:rsidR="003047E6">
          <w:rPr>
            <w:noProof/>
          </w:rPr>
        </w:r>
        <w:r w:rsidR="003047E6">
          <w:rPr>
            <w:noProof/>
          </w:rPr>
          <w:fldChar w:fldCharType="separate"/>
        </w:r>
        <w:r w:rsidR="00E83868">
          <w:rPr>
            <w:noProof/>
          </w:rPr>
          <w:t>38</w:t>
        </w:r>
        <w:r w:rsidR="003047E6">
          <w:rPr>
            <w:noProof/>
          </w:rPr>
          <w:fldChar w:fldCharType="end"/>
        </w:r>
      </w:hyperlink>
    </w:p>
    <w:p w14:paraId="3B1B1344" w14:textId="12ED5B70" w:rsidR="00E20C16" w:rsidRDefault="00AB6586">
      <w:pPr>
        <w:pStyle w:val="21"/>
        <w:tabs>
          <w:tab w:val="right" w:leader="dot" w:pos="8494"/>
        </w:tabs>
        <w:spacing w:line="360" w:lineRule="auto"/>
        <w:rPr>
          <w:rFonts w:asciiTheme="minorHAnsi" w:hAnsiTheme="minorHAnsi"/>
          <w:noProof/>
        </w:rPr>
      </w:pPr>
      <w:hyperlink w:anchor="_Toc488938626" w:history="1">
        <w:r w:rsidR="003047E6">
          <w:rPr>
            <w:rStyle w:val="af5"/>
            <w:rFonts w:ascii="宋体" w:hAnsi="宋体" w:hint="eastAsia"/>
            <w:noProof/>
          </w:rPr>
          <w:t>十七、违约责任</w:t>
        </w:r>
        <w:r w:rsidR="003047E6">
          <w:rPr>
            <w:noProof/>
          </w:rPr>
          <w:tab/>
        </w:r>
        <w:r w:rsidR="003047E6">
          <w:rPr>
            <w:noProof/>
          </w:rPr>
          <w:fldChar w:fldCharType="begin"/>
        </w:r>
        <w:r w:rsidR="003047E6">
          <w:rPr>
            <w:noProof/>
          </w:rPr>
          <w:instrText xml:space="preserve"> PAGEREF _Toc488938626 \h </w:instrText>
        </w:r>
        <w:r w:rsidR="003047E6">
          <w:rPr>
            <w:noProof/>
          </w:rPr>
        </w:r>
        <w:r w:rsidR="003047E6">
          <w:rPr>
            <w:noProof/>
          </w:rPr>
          <w:fldChar w:fldCharType="separate"/>
        </w:r>
        <w:r w:rsidR="00E83868">
          <w:rPr>
            <w:noProof/>
          </w:rPr>
          <w:t>39</w:t>
        </w:r>
        <w:r w:rsidR="003047E6">
          <w:rPr>
            <w:noProof/>
          </w:rPr>
          <w:fldChar w:fldCharType="end"/>
        </w:r>
      </w:hyperlink>
    </w:p>
    <w:p w14:paraId="18BED958" w14:textId="0768C4EA" w:rsidR="00E20C16" w:rsidRDefault="00AB6586">
      <w:pPr>
        <w:pStyle w:val="21"/>
        <w:tabs>
          <w:tab w:val="right" w:leader="dot" w:pos="8494"/>
        </w:tabs>
        <w:spacing w:line="360" w:lineRule="auto"/>
        <w:rPr>
          <w:rFonts w:asciiTheme="minorHAnsi" w:hAnsiTheme="minorHAnsi"/>
          <w:noProof/>
        </w:rPr>
      </w:pPr>
      <w:hyperlink w:anchor="_Toc488938627" w:history="1">
        <w:r w:rsidR="003047E6">
          <w:rPr>
            <w:rStyle w:val="af5"/>
            <w:rFonts w:ascii="宋体" w:hAnsi="宋体" w:hint="eastAsia"/>
            <w:noProof/>
          </w:rPr>
          <w:t>十八、争议解决方式</w:t>
        </w:r>
        <w:r w:rsidR="003047E6">
          <w:rPr>
            <w:noProof/>
          </w:rPr>
          <w:tab/>
        </w:r>
        <w:r w:rsidR="003047E6">
          <w:rPr>
            <w:noProof/>
          </w:rPr>
          <w:fldChar w:fldCharType="begin"/>
        </w:r>
        <w:r w:rsidR="003047E6">
          <w:rPr>
            <w:noProof/>
          </w:rPr>
          <w:instrText xml:space="preserve"> PAGEREF _Toc488938627 \h </w:instrText>
        </w:r>
        <w:r w:rsidR="003047E6">
          <w:rPr>
            <w:noProof/>
          </w:rPr>
        </w:r>
        <w:r w:rsidR="003047E6">
          <w:rPr>
            <w:noProof/>
          </w:rPr>
          <w:fldChar w:fldCharType="separate"/>
        </w:r>
        <w:r w:rsidR="00E83868">
          <w:rPr>
            <w:noProof/>
          </w:rPr>
          <w:t>40</w:t>
        </w:r>
        <w:r w:rsidR="003047E6">
          <w:rPr>
            <w:noProof/>
          </w:rPr>
          <w:fldChar w:fldCharType="end"/>
        </w:r>
      </w:hyperlink>
    </w:p>
    <w:p w14:paraId="6CA4BCF0" w14:textId="22C0977F" w:rsidR="00E20C16" w:rsidRDefault="00AB6586">
      <w:pPr>
        <w:pStyle w:val="21"/>
        <w:tabs>
          <w:tab w:val="right" w:leader="dot" w:pos="8494"/>
        </w:tabs>
        <w:spacing w:line="360" w:lineRule="auto"/>
        <w:rPr>
          <w:rFonts w:asciiTheme="minorHAnsi" w:hAnsiTheme="minorHAnsi"/>
          <w:noProof/>
        </w:rPr>
      </w:pPr>
      <w:hyperlink w:anchor="_Toc488938628" w:history="1">
        <w:r w:rsidR="003047E6">
          <w:rPr>
            <w:rStyle w:val="af5"/>
            <w:rFonts w:ascii="宋体" w:hAnsi="宋体" w:hint="eastAsia"/>
            <w:noProof/>
          </w:rPr>
          <w:t>十九、托管协议的效力</w:t>
        </w:r>
        <w:r w:rsidR="003047E6">
          <w:rPr>
            <w:noProof/>
          </w:rPr>
          <w:tab/>
        </w:r>
        <w:r w:rsidR="003047E6">
          <w:rPr>
            <w:noProof/>
          </w:rPr>
          <w:fldChar w:fldCharType="begin"/>
        </w:r>
        <w:r w:rsidR="003047E6">
          <w:rPr>
            <w:noProof/>
          </w:rPr>
          <w:instrText xml:space="preserve"> PAGEREF _Toc488938628 \h </w:instrText>
        </w:r>
        <w:r w:rsidR="003047E6">
          <w:rPr>
            <w:noProof/>
          </w:rPr>
        </w:r>
        <w:r w:rsidR="003047E6">
          <w:rPr>
            <w:noProof/>
          </w:rPr>
          <w:fldChar w:fldCharType="separate"/>
        </w:r>
        <w:r w:rsidR="00E83868">
          <w:rPr>
            <w:noProof/>
          </w:rPr>
          <w:t>41</w:t>
        </w:r>
        <w:r w:rsidR="003047E6">
          <w:rPr>
            <w:noProof/>
          </w:rPr>
          <w:fldChar w:fldCharType="end"/>
        </w:r>
      </w:hyperlink>
    </w:p>
    <w:p w14:paraId="06F13755" w14:textId="0D0AF839" w:rsidR="00E20C16" w:rsidRDefault="00AB6586">
      <w:pPr>
        <w:pStyle w:val="21"/>
        <w:tabs>
          <w:tab w:val="right" w:leader="dot" w:pos="8494"/>
        </w:tabs>
        <w:spacing w:line="360" w:lineRule="auto"/>
        <w:rPr>
          <w:rFonts w:asciiTheme="minorHAnsi" w:hAnsiTheme="minorHAnsi"/>
          <w:noProof/>
        </w:rPr>
      </w:pPr>
      <w:hyperlink w:anchor="_Toc488938629" w:history="1">
        <w:r w:rsidR="003047E6">
          <w:rPr>
            <w:rStyle w:val="af5"/>
            <w:rFonts w:ascii="宋体" w:hAnsi="宋体" w:hint="eastAsia"/>
            <w:noProof/>
          </w:rPr>
          <w:t>二十、其他事项</w:t>
        </w:r>
        <w:r w:rsidR="003047E6">
          <w:rPr>
            <w:noProof/>
          </w:rPr>
          <w:tab/>
        </w:r>
        <w:r w:rsidR="003047E6">
          <w:rPr>
            <w:noProof/>
          </w:rPr>
          <w:fldChar w:fldCharType="begin"/>
        </w:r>
        <w:r w:rsidR="003047E6">
          <w:rPr>
            <w:noProof/>
          </w:rPr>
          <w:instrText xml:space="preserve"> PAGEREF _Toc488938629 \h </w:instrText>
        </w:r>
        <w:r w:rsidR="003047E6">
          <w:rPr>
            <w:noProof/>
          </w:rPr>
        </w:r>
        <w:r w:rsidR="003047E6">
          <w:rPr>
            <w:noProof/>
          </w:rPr>
          <w:fldChar w:fldCharType="separate"/>
        </w:r>
        <w:r w:rsidR="00E83868">
          <w:rPr>
            <w:noProof/>
          </w:rPr>
          <w:t>42</w:t>
        </w:r>
        <w:r w:rsidR="003047E6">
          <w:rPr>
            <w:noProof/>
          </w:rPr>
          <w:fldChar w:fldCharType="end"/>
        </w:r>
      </w:hyperlink>
    </w:p>
    <w:p w14:paraId="6EE459F8" w14:textId="29EDBB1F" w:rsidR="00E20C16" w:rsidRDefault="00AB6586">
      <w:pPr>
        <w:pStyle w:val="21"/>
        <w:tabs>
          <w:tab w:val="right" w:leader="dot" w:pos="8494"/>
        </w:tabs>
        <w:spacing w:line="360" w:lineRule="auto"/>
        <w:rPr>
          <w:rFonts w:asciiTheme="minorHAnsi" w:hAnsiTheme="minorHAnsi"/>
          <w:noProof/>
        </w:rPr>
      </w:pPr>
      <w:hyperlink w:anchor="_Toc488938630" w:history="1">
        <w:r w:rsidR="003047E6">
          <w:rPr>
            <w:rStyle w:val="af5"/>
            <w:rFonts w:ascii="宋体" w:hAnsi="宋体" w:hint="eastAsia"/>
            <w:noProof/>
          </w:rPr>
          <w:t>二十一、托管协议的签订</w:t>
        </w:r>
        <w:r w:rsidR="003047E6">
          <w:rPr>
            <w:noProof/>
          </w:rPr>
          <w:tab/>
        </w:r>
        <w:r w:rsidR="003047E6">
          <w:rPr>
            <w:noProof/>
          </w:rPr>
          <w:fldChar w:fldCharType="begin"/>
        </w:r>
        <w:r w:rsidR="003047E6">
          <w:rPr>
            <w:noProof/>
          </w:rPr>
          <w:instrText xml:space="preserve"> PAGEREF _Toc488938630 \h </w:instrText>
        </w:r>
        <w:r w:rsidR="003047E6">
          <w:rPr>
            <w:noProof/>
          </w:rPr>
        </w:r>
        <w:r w:rsidR="003047E6">
          <w:rPr>
            <w:noProof/>
          </w:rPr>
          <w:fldChar w:fldCharType="separate"/>
        </w:r>
        <w:r w:rsidR="00E83868">
          <w:rPr>
            <w:noProof/>
          </w:rPr>
          <w:t>43</w:t>
        </w:r>
        <w:r w:rsidR="003047E6">
          <w:rPr>
            <w:noProof/>
          </w:rPr>
          <w:fldChar w:fldCharType="end"/>
        </w:r>
      </w:hyperlink>
    </w:p>
    <w:p w14:paraId="495C71BC" w14:textId="61553F48" w:rsidR="00E20C16" w:rsidRDefault="00AB6586">
      <w:pPr>
        <w:pStyle w:val="21"/>
        <w:tabs>
          <w:tab w:val="right" w:leader="dot" w:pos="8494"/>
        </w:tabs>
        <w:spacing w:line="360" w:lineRule="auto"/>
        <w:rPr>
          <w:rFonts w:asciiTheme="minorHAnsi" w:hAnsiTheme="minorHAnsi"/>
          <w:noProof/>
        </w:rPr>
      </w:pPr>
      <w:hyperlink w:anchor="_Toc488938631" w:history="1">
        <w:r w:rsidR="003047E6">
          <w:rPr>
            <w:rStyle w:val="af5"/>
            <w:rFonts w:ascii="宋体" w:hAnsi="宋体" w:hint="eastAsia"/>
            <w:noProof/>
          </w:rPr>
          <w:t>附件：托管银行证券资金结算规定</w:t>
        </w:r>
        <w:r w:rsidR="003047E6">
          <w:rPr>
            <w:noProof/>
          </w:rPr>
          <w:tab/>
        </w:r>
        <w:r w:rsidR="003047E6">
          <w:rPr>
            <w:noProof/>
          </w:rPr>
          <w:fldChar w:fldCharType="begin"/>
        </w:r>
        <w:r w:rsidR="003047E6">
          <w:rPr>
            <w:noProof/>
          </w:rPr>
          <w:instrText xml:space="preserve"> PAGEREF _Toc488938631 \h </w:instrText>
        </w:r>
        <w:r w:rsidR="003047E6">
          <w:rPr>
            <w:noProof/>
          </w:rPr>
        </w:r>
        <w:r w:rsidR="003047E6">
          <w:rPr>
            <w:noProof/>
          </w:rPr>
          <w:fldChar w:fldCharType="separate"/>
        </w:r>
        <w:r w:rsidR="00E83868">
          <w:rPr>
            <w:noProof/>
          </w:rPr>
          <w:t>44</w:t>
        </w:r>
        <w:r w:rsidR="003047E6">
          <w:rPr>
            <w:noProof/>
          </w:rPr>
          <w:fldChar w:fldCharType="end"/>
        </w:r>
      </w:hyperlink>
    </w:p>
    <w:p w14:paraId="7A840FD6" w14:textId="77777777" w:rsidR="00E20C16" w:rsidRDefault="003047E6">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37607D14" w14:textId="562AE824" w:rsidR="00E20C16" w:rsidRDefault="003047E6">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系一家依照中国法律合法成立并有效存续的有限责任公司，按照相关法律法规的规定具备担任基金管理人的资格和能力，拟募集发行</w:t>
      </w:r>
      <w:r>
        <w:rPr>
          <w:rFonts w:ascii="宋体" w:hAnsi="宋体" w:cs="Arial" w:hint="eastAsia"/>
          <w:kern w:val="0"/>
          <w:sz w:val="24"/>
        </w:rPr>
        <w:t>交银</w:t>
      </w:r>
      <w:proofErr w:type="gramStart"/>
      <w:r>
        <w:rPr>
          <w:rFonts w:ascii="宋体" w:hAnsi="宋体" w:cs="Arial" w:hint="eastAsia"/>
          <w:kern w:val="0"/>
          <w:sz w:val="24"/>
        </w:rPr>
        <w:t>施罗德稳安60天</w:t>
      </w:r>
      <w:proofErr w:type="gramEnd"/>
      <w:r>
        <w:rPr>
          <w:rFonts w:ascii="宋体" w:hAnsi="宋体" w:cs="Arial" w:hint="eastAsia"/>
          <w:kern w:val="0"/>
          <w:sz w:val="24"/>
        </w:rPr>
        <w:t>滚动持有债券型证券投资基金</w:t>
      </w:r>
      <w:r>
        <w:rPr>
          <w:rFonts w:ascii="宋体" w:hAnsi="宋体" w:hint="eastAsia"/>
          <w:kern w:val="0"/>
          <w:sz w:val="24"/>
        </w:rPr>
        <w:t>；</w:t>
      </w:r>
    </w:p>
    <w:p w14:paraId="0BAB3752" w14:textId="77777777" w:rsidR="00E20C16" w:rsidRDefault="003047E6">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4275EA1B" w14:textId="79C55429" w:rsidR="00E20C16" w:rsidRDefault="003047E6">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Pr>
          <w:rFonts w:ascii="宋体" w:hAnsi="宋体" w:cs="Arial" w:hint="eastAsia"/>
          <w:kern w:val="0"/>
          <w:sz w:val="24"/>
        </w:rPr>
        <w:t>交银</w:t>
      </w:r>
      <w:proofErr w:type="gramStart"/>
      <w:r>
        <w:rPr>
          <w:rFonts w:ascii="宋体" w:hAnsi="宋体" w:cs="Arial" w:hint="eastAsia"/>
          <w:kern w:val="0"/>
          <w:sz w:val="24"/>
        </w:rPr>
        <w:t>施罗德稳安60天</w:t>
      </w:r>
      <w:proofErr w:type="gramEnd"/>
      <w:r>
        <w:rPr>
          <w:rFonts w:ascii="宋体" w:hAnsi="宋体" w:cs="Arial" w:hint="eastAsia"/>
          <w:kern w:val="0"/>
          <w:sz w:val="24"/>
        </w:rPr>
        <w:t>滚动持有债券型证券投资基金</w:t>
      </w:r>
      <w:r>
        <w:rPr>
          <w:rFonts w:ascii="宋体" w:hAnsi="宋体" w:hint="eastAsia"/>
          <w:kern w:val="0"/>
          <w:sz w:val="24"/>
        </w:rPr>
        <w:t>的基金管理人，招商银行股份有限公司拟担任</w:t>
      </w:r>
      <w:r>
        <w:rPr>
          <w:rFonts w:ascii="宋体" w:hAnsi="宋体" w:cs="Arial" w:hint="eastAsia"/>
          <w:kern w:val="0"/>
          <w:sz w:val="24"/>
        </w:rPr>
        <w:t>交银</w:t>
      </w:r>
      <w:proofErr w:type="gramStart"/>
      <w:r>
        <w:rPr>
          <w:rFonts w:ascii="宋体" w:hAnsi="宋体" w:cs="Arial" w:hint="eastAsia"/>
          <w:kern w:val="0"/>
          <w:sz w:val="24"/>
        </w:rPr>
        <w:t>施罗德稳安60天</w:t>
      </w:r>
      <w:proofErr w:type="gramEnd"/>
      <w:r>
        <w:rPr>
          <w:rFonts w:ascii="宋体" w:hAnsi="宋体" w:cs="Arial" w:hint="eastAsia"/>
          <w:kern w:val="0"/>
          <w:sz w:val="24"/>
        </w:rPr>
        <w:t>滚动持有债券型证券投资基金</w:t>
      </w:r>
      <w:r>
        <w:rPr>
          <w:rFonts w:ascii="宋体" w:hAnsi="宋体" w:hint="eastAsia"/>
          <w:kern w:val="0"/>
          <w:sz w:val="24"/>
        </w:rPr>
        <w:t>的基金托管人；</w:t>
      </w:r>
    </w:p>
    <w:p w14:paraId="40A2D2D1" w14:textId="3CE0D393" w:rsidR="00E20C16" w:rsidRDefault="003047E6">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Pr>
          <w:rFonts w:ascii="宋体" w:hAnsi="宋体" w:cs="Arial" w:hint="eastAsia"/>
          <w:kern w:val="0"/>
          <w:sz w:val="24"/>
        </w:rPr>
        <w:t>交</w:t>
      </w:r>
      <w:proofErr w:type="gramEnd"/>
      <w:r>
        <w:rPr>
          <w:rFonts w:ascii="宋体" w:hAnsi="宋体" w:cs="Arial" w:hint="eastAsia"/>
          <w:kern w:val="0"/>
          <w:sz w:val="24"/>
        </w:rPr>
        <w:t>银</w:t>
      </w:r>
      <w:proofErr w:type="gramStart"/>
      <w:r>
        <w:rPr>
          <w:rFonts w:ascii="宋体" w:hAnsi="宋体" w:cs="Arial" w:hint="eastAsia"/>
          <w:kern w:val="0"/>
          <w:sz w:val="24"/>
        </w:rPr>
        <w:t>施罗德稳安60天</w:t>
      </w:r>
      <w:proofErr w:type="gramEnd"/>
      <w:r>
        <w:rPr>
          <w:rFonts w:ascii="宋体" w:hAnsi="宋体" w:cs="Arial" w:hint="eastAsia"/>
          <w:kern w:val="0"/>
          <w:sz w:val="24"/>
        </w:rPr>
        <w:t>滚动持有债券型证券投资基金（以下简称“本基金”或“基金”）</w:t>
      </w:r>
      <w:r>
        <w:rPr>
          <w:rFonts w:ascii="宋体" w:hAnsi="宋体" w:hint="eastAsia"/>
          <w:kern w:val="0"/>
          <w:sz w:val="24"/>
        </w:rPr>
        <w:t>的基金管理人和基金托管人之间的权利义务关系，特制订本托管协议；</w:t>
      </w:r>
    </w:p>
    <w:p w14:paraId="417E80EE" w14:textId="58BF6C57" w:rsidR="00E20C16" w:rsidRDefault="003047E6">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Pr>
          <w:rFonts w:ascii="宋体" w:hAnsi="宋体" w:cs="Arial" w:hint="eastAsia"/>
          <w:kern w:val="0"/>
          <w:sz w:val="24"/>
        </w:rPr>
        <w:t>交银施罗德稳安60天滚动持有债券型证券投资基金</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2D24FE9B" w14:textId="77777777" w:rsidR="00E20C16" w:rsidRDefault="003047E6">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14:paraId="7F485978"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348082029"/>
      <w:bookmarkStart w:id="7" w:name="_Toc488938610"/>
      <w:bookmarkStart w:id="8" w:name="_Toc384992691"/>
      <w:r>
        <w:rPr>
          <w:rFonts w:ascii="宋体" w:hAnsi="宋体" w:hint="eastAsia"/>
          <w:sz w:val="24"/>
        </w:rPr>
        <w:lastRenderedPageBreak/>
        <w:t>一、基金托管协议当事人</w:t>
      </w:r>
      <w:bookmarkEnd w:id="6"/>
      <w:bookmarkEnd w:id="7"/>
      <w:bookmarkEnd w:id="8"/>
    </w:p>
    <w:p w14:paraId="159D56A5" w14:textId="77777777" w:rsidR="00E20C16" w:rsidRDefault="003047E6">
      <w:pPr>
        <w:spacing w:line="360" w:lineRule="auto"/>
        <w:ind w:firstLineChars="200" w:firstLine="480"/>
        <w:rPr>
          <w:rFonts w:ascii="宋体" w:hAnsi="宋体"/>
          <w:sz w:val="24"/>
        </w:rPr>
      </w:pPr>
      <w:r>
        <w:rPr>
          <w:rFonts w:ascii="宋体" w:hAnsi="宋体" w:hint="eastAsia"/>
          <w:sz w:val="24"/>
        </w:rPr>
        <w:t>（一）基金管理人</w:t>
      </w:r>
    </w:p>
    <w:p w14:paraId="5011A9C5" w14:textId="77777777" w:rsidR="00E20C16" w:rsidRDefault="003047E6">
      <w:pPr>
        <w:spacing w:line="360" w:lineRule="auto"/>
        <w:ind w:firstLineChars="200" w:firstLine="480"/>
        <w:rPr>
          <w:rFonts w:ascii="宋体" w:hAnsi="宋体"/>
          <w:sz w:val="24"/>
        </w:rPr>
      </w:pPr>
      <w:r>
        <w:rPr>
          <w:rFonts w:ascii="宋体" w:hAnsi="宋体" w:hint="eastAsia"/>
          <w:sz w:val="24"/>
        </w:rPr>
        <w:t>名称：交银施罗德基金管理有限公司</w:t>
      </w:r>
    </w:p>
    <w:p w14:paraId="50AABC63" w14:textId="77777777" w:rsidR="00E20C16" w:rsidRDefault="003047E6">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410A094B" w14:textId="77777777" w:rsidR="00E20C16" w:rsidRDefault="003047E6">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14:paraId="3913483B" w14:textId="77777777" w:rsidR="00E20C16" w:rsidRDefault="003047E6">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33C6CBF0" w14:textId="77777777" w:rsidR="00E20C16" w:rsidRDefault="003047E6">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szCs w:val="21"/>
        </w:rPr>
        <w:t>阮红</w:t>
      </w:r>
    </w:p>
    <w:p w14:paraId="6C8A7B1E" w14:textId="77777777" w:rsidR="00E20C16" w:rsidRDefault="003047E6">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17A2324D" w14:textId="77777777" w:rsidR="00E20C16" w:rsidRDefault="003047E6">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447065F3" w14:textId="77777777" w:rsidR="00E20C16" w:rsidRDefault="003047E6">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2703FB0A" w14:textId="77777777" w:rsidR="00E20C16" w:rsidRDefault="003047E6">
      <w:pPr>
        <w:spacing w:line="360" w:lineRule="auto"/>
        <w:ind w:firstLineChars="200" w:firstLine="480"/>
        <w:rPr>
          <w:rFonts w:ascii="宋体" w:hAnsi="宋体"/>
          <w:sz w:val="24"/>
        </w:rPr>
      </w:pPr>
      <w:r>
        <w:rPr>
          <w:rFonts w:ascii="宋体" w:hAnsi="宋体" w:hint="eastAsia"/>
          <w:sz w:val="24"/>
        </w:rPr>
        <w:t>组织形式：有限责任公司</w:t>
      </w:r>
    </w:p>
    <w:p w14:paraId="5EC2675A" w14:textId="77777777" w:rsidR="00E20C16" w:rsidRDefault="003047E6">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303D4CA" w14:textId="77777777" w:rsidR="00E20C16" w:rsidRDefault="003047E6">
      <w:pPr>
        <w:spacing w:line="360" w:lineRule="auto"/>
        <w:ind w:firstLineChars="200" w:firstLine="480"/>
        <w:rPr>
          <w:rFonts w:ascii="宋体" w:hAnsi="宋体"/>
          <w:sz w:val="24"/>
        </w:rPr>
      </w:pPr>
      <w:r>
        <w:rPr>
          <w:rFonts w:ascii="宋体" w:hAnsi="宋体" w:hint="eastAsia"/>
          <w:sz w:val="24"/>
        </w:rPr>
        <w:t>存续期间：持续经营</w:t>
      </w:r>
    </w:p>
    <w:p w14:paraId="25073535" w14:textId="77777777" w:rsidR="00E20C16" w:rsidRDefault="003047E6">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2090F458" w14:textId="77777777" w:rsidR="00E20C16" w:rsidRDefault="003047E6">
      <w:pPr>
        <w:spacing w:line="360" w:lineRule="auto"/>
        <w:ind w:firstLineChars="200" w:firstLine="480"/>
        <w:rPr>
          <w:rFonts w:ascii="宋体" w:hAnsi="宋体"/>
          <w:sz w:val="24"/>
        </w:rPr>
      </w:pPr>
      <w:r>
        <w:rPr>
          <w:rFonts w:ascii="宋体" w:hAnsi="宋体" w:hint="eastAsia"/>
          <w:sz w:val="24"/>
        </w:rPr>
        <w:t>（二）基金托管人</w:t>
      </w:r>
    </w:p>
    <w:p w14:paraId="73FA8F62" w14:textId="77777777" w:rsidR="00E20C16" w:rsidRDefault="003047E6">
      <w:pPr>
        <w:spacing w:line="360" w:lineRule="auto"/>
        <w:ind w:firstLineChars="200" w:firstLine="480"/>
        <w:rPr>
          <w:rFonts w:ascii="宋体" w:hAnsi="宋体"/>
          <w:sz w:val="24"/>
        </w:rPr>
      </w:pPr>
      <w:r>
        <w:rPr>
          <w:rFonts w:ascii="宋体" w:hAnsi="宋体" w:hint="eastAsia"/>
          <w:sz w:val="24"/>
        </w:rPr>
        <w:t>名称：招商银行股份有限公司</w:t>
      </w:r>
    </w:p>
    <w:p w14:paraId="6E5BA460" w14:textId="77777777" w:rsidR="00E20C16" w:rsidRDefault="003047E6">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4CBDE7CB" w14:textId="77777777" w:rsidR="00E20C16" w:rsidRDefault="003047E6">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2C722665" w14:textId="77777777" w:rsidR="00E20C16" w:rsidRDefault="003047E6">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3237CDC1" w14:textId="77777777" w:rsidR="00E20C16" w:rsidRDefault="003047E6">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21DD2F85" w14:textId="77777777" w:rsidR="00E20C16" w:rsidRDefault="003047E6">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3D74C2F4" w14:textId="77777777" w:rsidR="00E20C16" w:rsidRDefault="003047E6">
      <w:pPr>
        <w:spacing w:line="360" w:lineRule="auto"/>
        <w:ind w:firstLineChars="200" w:firstLine="480"/>
        <w:rPr>
          <w:rFonts w:ascii="宋体" w:hAnsi="宋体"/>
          <w:bCs/>
          <w:sz w:val="24"/>
        </w:rPr>
      </w:pPr>
      <w:r>
        <w:rPr>
          <w:rFonts w:ascii="宋体" w:hAnsi="宋体" w:hint="eastAsia"/>
          <w:bCs/>
          <w:sz w:val="24"/>
        </w:rPr>
        <w:t>批准设立机关和批准设立文号：中国人民银行银复字（</w:t>
      </w:r>
      <w:r>
        <w:rPr>
          <w:rFonts w:ascii="宋体" w:hAnsi="宋体"/>
          <w:bCs/>
          <w:sz w:val="24"/>
        </w:rPr>
        <w:t>1986</w:t>
      </w:r>
      <w:r>
        <w:rPr>
          <w:rFonts w:ascii="宋体" w:hAnsi="宋体" w:hint="eastAsia"/>
          <w:bCs/>
          <w:sz w:val="24"/>
        </w:rPr>
        <w:t>）</w:t>
      </w:r>
      <w:r>
        <w:rPr>
          <w:rFonts w:ascii="宋体" w:hAnsi="宋体"/>
          <w:bCs/>
          <w:sz w:val="24"/>
        </w:rPr>
        <w:t>175</w:t>
      </w:r>
      <w:r>
        <w:rPr>
          <w:rFonts w:ascii="宋体" w:hAnsi="宋体" w:hint="eastAsia"/>
          <w:bCs/>
          <w:sz w:val="24"/>
        </w:rPr>
        <w:t>号文、银复（</w:t>
      </w:r>
      <w:r>
        <w:rPr>
          <w:rFonts w:ascii="宋体" w:hAnsi="宋体"/>
          <w:bCs/>
          <w:sz w:val="24"/>
        </w:rPr>
        <w:t>1987</w:t>
      </w:r>
      <w:r>
        <w:rPr>
          <w:rFonts w:ascii="宋体" w:hAnsi="宋体" w:hint="eastAsia"/>
          <w:bCs/>
          <w:sz w:val="24"/>
        </w:rPr>
        <w:t>）</w:t>
      </w:r>
      <w:r>
        <w:rPr>
          <w:rFonts w:ascii="宋体" w:hAnsi="宋体"/>
          <w:bCs/>
          <w:sz w:val="24"/>
        </w:rPr>
        <w:t>86</w:t>
      </w:r>
      <w:r>
        <w:rPr>
          <w:rFonts w:ascii="宋体" w:hAnsi="宋体" w:hint="eastAsia"/>
          <w:bCs/>
          <w:sz w:val="24"/>
        </w:rPr>
        <w:t>号文</w:t>
      </w:r>
    </w:p>
    <w:p w14:paraId="4367E8FA" w14:textId="77777777" w:rsidR="00E20C16" w:rsidRDefault="003047E6">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04618C9A" w14:textId="77777777" w:rsidR="00E20C16" w:rsidRDefault="003047E6">
      <w:pPr>
        <w:spacing w:line="360" w:lineRule="auto"/>
        <w:ind w:firstLineChars="200" w:firstLine="480"/>
        <w:rPr>
          <w:rFonts w:ascii="宋体" w:hAnsi="宋体"/>
          <w:sz w:val="24"/>
        </w:rPr>
      </w:pPr>
      <w:r>
        <w:rPr>
          <w:rFonts w:ascii="宋体" w:hAnsi="宋体" w:hint="eastAsia"/>
          <w:sz w:val="24"/>
        </w:rPr>
        <w:t>组织形式：股份有限公司</w:t>
      </w:r>
    </w:p>
    <w:p w14:paraId="2D5B91E4" w14:textId="77777777" w:rsidR="00E20C16" w:rsidRDefault="003047E6">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2CF8962C" w14:textId="77777777" w:rsidR="00E20C16" w:rsidRDefault="003047E6">
      <w:pPr>
        <w:spacing w:line="360" w:lineRule="auto"/>
        <w:ind w:firstLineChars="200" w:firstLine="480"/>
        <w:rPr>
          <w:rFonts w:ascii="宋体" w:hAnsi="宋体"/>
          <w:sz w:val="24"/>
        </w:rPr>
      </w:pPr>
      <w:r>
        <w:rPr>
          <w:rFonts w:ascii="宋体" w:hAnsi="宋体" w:hint="eastAsia"/>
          <w:sz w:val="24"/>
        </w:rPr>
        <w:t>存续期间：持续经营</w:t>
      </w:r>
    </w:p>
    <w:p w14:paraId="57A5CE41"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488938611"/>
      <w:bookmarkStart w:id="10" w:name="_Toc384992692"/>
      <w:bookmarkStart w:id="11" w:name="_Toc348082030"/>
      <w:r>
        <w:rPr>
          <w:rFonts w:ascii="宋体" w:hAnsi="宋体" w:hint="eastAsia"/>
          <w:sz w:val="24"/>
        </w:rPr>
        <w:lastRenderedPageBreak/>
        <w:t>二、基金托管协议的依据、目的和原则</w:t>
      </w:r>
      <w:bookmarkEnd w:id="9"/>
      <w:bookmarkEnd w:id="10"/>
      <w:bookmarkEnd w:id="11"/>
    </w:p>
    <w:p w14:paraId="0EE67D44" w14:textId="77777777" w:rsidR="00E20C16" w:rsidRDefault="003047E6">
      <w:pPr>
        <w:spacing w:line="360" w:lineRule="auto"/>
        <w:ind w:firstLineChars="200" w:firstLine="480"/>
        <w:rPr>
          <w:rFonts w:ascii="宋体" w:hAnsi="宋体"/>
          <w:sz w:val="24"/>
        </w:rPr>
      </w:pPr>
      <w:r>
        <w:rPr>
          <w:rFonts w:ascii="宋体" w:hAnsi="宋体" w:hint="eastAsia"/>
          <w:sz w:val="24"/>
        </w:rPr>
        <w:t>（一）订立托管协议的依据</w:t>
      </w:r>
    </w:p>
    <w:p w14:paraId="3B605186" w14:textId="77777777" w:rsidR="00E20C16" w:rsidRDefault="003047E6">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Pr>
          <w:rFonts w:ascii="宋体" w:hAnsi="宋体" w:hint="eastAsia"/>
          <w:bCs/>
          <w:sz w:val="24"/>
        </w:rPr>
        <w:t>《公开募集开放式证券投资基金流动性风险管理规定》</w:t>
      </w:r>
      <w:r>
        <w:rPr>
          <w:rFonts w:ascii="宋体" w:hAnsi="宋体" w:hint="eastAsia"/>
          <w:sz w:val="24"/>
        </w:rPr>
        <w:t>等有关法律法规、基金合同及其他有关规定制订。</w:t>
      </w:r>
    </w:p>
    <w:p w14:paraId="792467E1" w14:textId="77777777" w:rsidR="00E20C16" w:rsidRDefault="003047E6">
      <w:pPr>
        <w:spacing w:line="360" w:lineRule="auto"/>
        <w:ind w:firstLineChars="200" w:firstLine="480"/>
        <w:rPr>
          <w:rFonts w:ascii="宋体" w:hAnsi="宋体"/>
          <w:sz w:val="24"/>
        </w:rPr>
      </w:pPr>
      <w:r>
        <w:rPr>
          <w:rFonts w:ascii="宋体" w:hAnsi="宋体" w:hint="eastAsia"/>
          <w:sz w:val="24"/>
        </w:rPr>
        <w:t>（二）订立托管协议的目的</w:t>
      </w:r>
    </w:p>
    <w:p w14:paraId="04B219A7" w14:textId="77777777" w:rsidR="00E20C16" w:rsidRDefault="003047E6">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F8ED956" w14:textId="77777777" w:rsidR="00E20C16" w:rsidRDefault="003047E6">
      <w:pPr>
        <w:spacing w:line="360" w:lineRule="auto"/>
        <w:ind w:firstLineChars="200" w:firstLine="480"/>
        <w:rPr>
          <w:rFonts w:ascii="宋体" w:hAnsi="宋体"/>
          <w:sz w:val="24"/>
        </w:rPr>
      </w:pPr>
      <w:r>
        <w:rPr>
          <w:rFonts w:ascii="宋体" w:hAnsi="宋体" w:hint="eastAsia"/>
          <w:sz w:val="24"/>
        </w:rPr>
        <w:t>（三）订立托管协议的原则</w:t>
      </w:r>
    </w:p>
    <w:p w14:paraId="66347E86" w14:textId="77777777" w:rsidR="00E20C16" w:rsidRDefault="003047E6">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06E6C30F"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488938612"/>
      <w:bookmarkStart w:id="13" w:name="_Toc348082031"/>
      <w:bookmarkStart w:id="14" w:name="_Toc384992693"/>
      <w:r>
        <w:rPr>
          <w:rFonts w:ascii="宋体" w:hAnsi="宋体" w:hint="eastAsia"/>
          <w:sz w:val="24"/>
        </w:rPr>
        <w:lastRenderedPageBreak/>
        <w:t>三、基金托管人对基金管理人的业务监督和核查</w:t>
      </w:r>
      <w:bookmarkEnd w:id="12"/>
      <w:bookmarkEnd w:id="13"/>
      <w:bookmarkEnd w:id="14"/>
    </w:p>
    <w:p w14:paraId="5DD5CAE6" w14:textId="77777777" w:rsidR="00E20C16" w:rsidRDefault="003047E6">
      <w:pPr>
        <w:spacing w:line="360" w:lineRule="auto"/>
        <w:ind w:firstLineChars="200" w:firstLine="480"/>
        <w:rPr>
          <w:rFonts w:ascii="宋体" w:hAnsi="宋体"/>
          <w:sz w:val="24"/>
        </w:rPr>
      </w:pPr>
      <w:r>
        <w:rPr>
          <w:rFonts w:ascii="宋体" w:hAnsi="宋体" w:hint="eastAsia"/>
          <w:sz w:val="24"/>
        </w:rPr>
        <w:t>（一）基金托管人根据有关法律法规的规定以及《基金合同》的约定，对基金投资范围、投资比例、投资限制、关联方交易等进行监督。</w:t>
      </w:r>
    </w:p>
    <w:p w14:paraId="6DD5B916" w14:textId="77777777" w:rsidR="00E20C16" w:rsidRDefault="003047E6">
      <w:pPr>
        <w:spacing w:line="360" w:lineRule="auto"/>
        <w:ind w:firstLine="480"/>
        <w:rPr>
          <w:rFonts w:ascii="宋体" w:hAnsi="宋体" w:cs="Arial"/>
          <w:szCs w:val="21"/>
        </w:rPr>
      </w:pPr>
      <w:bookmarkStart w:id="15" w:name="_Hlk494120345"/>
      <w:r>
        <w:rPr>
          <w:rFonts w:ascii="宋体" w:hAnsi="宋体"/>
          <w:sz w:val="24"/>
        </w:rPr>
        <w:t>1.</w:t>
      </w:r>
      <w:r>
        <w:rPr>
          <w:rFonts w:ascii="宋体" w:hAnsi="宋体" w:hint="eastAsia"/>
          <w:sz w:val="24"/>
        </w:rPr>
        <w:t>本基金的投资范围为：</w:t>
      </w:r>
    </w:p>
    <w:p w14:paraId="3B2A7189" w14:textId="47DB9BCE" w:rsidR="00E20C16" w:rsidRDefault="003047E6">
      <w:pPr>
        <w:spacing w:line="360" w:lineRule="auto"/>
        <w:ind w:firstLine="480"/>
        <w:rPr>
          <w:bCs/>
          <w:sz w:val="24"/>
        </w:rPr>
      </w:pPr>
      <w:r>
        <w:rPr>
          <w:rFonts w:hint="eastAsia"/>
          <w:bCs/>
          <w:sz w:val="24"/>
        </w:rPr>
        <w:t>本基金的投资范围为具有良好流动性的金融工具，包括债券（含国债、金融债、央行票据、地方政府债、政府支持债、政府支持机构债、企业债、公司债、公开发行的次级债、短期融资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资产支持证券、债券回购、银行存款（包括定期存款、协议存款、通知存款等）、同业存单、货币市场工具、国债期货以及法律法规或中国证监会允许基金投资的其他金融工具（但须符合中国证监会相关规定）。本基金不投资于股票等权益类资产，也不投资于可转换债券、可交换债券。</w:t>
      </w:r>
    </w:p>
    <w:p w14:paraId="66526803" w14:textId="77777777" w:rsidR="00E20C16" w:rsidRDefault="003047E6">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026D33BA" w14:textId="77777777" w:rsidR="00E20C16" w:rsidRDefault="003047E6">
      <w:pPr>
        <w:spacing w:line="360" w:lineRule="auto"/>
        <w:ind w:firstLine="480"/>
        <w:rPr>
          <w:rFonts w:ascii="宋体" w:hAnsi="宋体" w:cs="Arial"/>
          <w:szCs w:val="21"/>
        </w:rPr>
      </w:pPr>
      <w:r>
        <w:rPr>
          <w:rFonts w:ascii="宋体" w:hAnsi="宋体"/>
          <w:sz w:val="24"/>
        </w:rPr>
        <w:t>2.本基金各类品种的投资比例、投资限制为：</w:t>
      </w:r>
    </w:p>
    <w:p w14:paraId="32662AFB" w14:textId="77777777" w:rsidR="00E20C16" w:rsidRDefault="003047E6">
      <w:pPr>
        <w:spacing w:line="360" w:lineRule="auto"/>
        <w:ind w:firstLine="480"/>
        <w:rPr>
          <w:bCs/>
          <w:sz w:val="24"/>
        </w:rPr>
      </w:pPr>
      <w:r>
        <w:rPr>
          <w:bCs/>
          <w:sz w:val="24"/>
        </w:rPr>
        <w:t>基金的投资组合比例为：</w:t>
      </w:r>
      <w:r>
        <w:rPr>
          <w:rFonts w:hint="eastAsia"/>
          <w:bCs/>
          <w:sz w:val="24"/>
        </w:rPr>
        <w:t>本基金投资于债券资产的比例不低于基金资产的</w:t>
      </w:r>
      <w:r>
        <w:rPr>
          <w:rFonts w:hint="eastAsia"/>
          <w:bCs/>
          <w:sz w:val="24"/>
        </w:rPr>
        <w:t>80%</w:t>
      </w:r>
      <w:r>
        <w:rPr>
          <w:rFonts w:hint="eastAsia"/>
          <w:bCs/>
          <w:sz w:val="24"/>
        </w:rPr>
        <w:t>。每个交易日日终在扣除国债期货合约需缴纳的交易保证金后，本基金持有的现金或到期日在一年以内的政府债券的比例合计不低于基金资产净值的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48BB2CF" w14:textId="77777777" w:rsidR="00E20C16" w:rsidRDefault="003047E6">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E576E97" w14:textId="77777777" w:rsidR="00E20C16" w:rsidRDefault="003047E6">
      <w:pPr>
        <w:spacing w:line="360" w:lineRule="auto"/>
        <w:ind w:firstLineChars="200" w:firstLine="480"/>
        <w:rPr>
          <w:bCs/>
          <w:sz w:val="24"/>
        </w:rPr>
      </w:pPr>
      <w:r>
        <w:rPr>
          <w:bCs/>
          <w:sz w:val="24"/>
        </w:rPr>
        <w:t>基金的投资组合应遵循以下限制：</w:t>
      </w:r>
    </w:p>
    <w:p w14:paraId="0B3A63F6" w14:textId="77777777" w:rsidR="00E20C16" w:rsidRDefault="003047E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p>
    <w:p w14:paraId="5A198452" w14:textId="77777777" w:rsidR="00E20C16" w:rsidRDefault="003047E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FF62139" w14:textId="77777777" w:rsidR="00E20C16" w:rsidRDefault="003047E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40653C9B" w14:textId="77777777" w:rsidR="00E20C16" w:rsidRDefault="003047E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06D2E94B" w14:textId="77777777" w:rsidR="00E20C16" w:rsidRDefault="003047E6">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44C93B2" w14:textId="77777777" w:rsidR="00E20C16" w:rsidRDefault="003047E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68CB0F5E" w14:textId="77777777" w:rsidR="00E20C16" w:rsidRDefault="003047E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51198514" w14:textId="77777777" w:rsidR="00E20C16" w:rsidRDefault="003047E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5B133ABD" w14:textId="77777777" w:rsidR="00E20C16" w:rsidRDefault="003047E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AA+</w:t>
      </w:r>
      <w:r>
        <w:rPr>
          <w:rFonts w:hint="eastAsia"/>
          <w:bCs/>
          <w:sz w:val="24"/>
        </w:rPr>
        <w:t>以上（含</w:t>
      </w:r>
      <w:r>
        <w:rPr>
          <w:rFonts w:hint="eastAsia"/>
          <w:bCs/>
          <w:sz w:val="24"/>
        </w:rPr>
        <w:t>AA+</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BC142C6" w14:textId="77777777" w:rsidR="00E20C16" w:rsidRDefault="003047E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102B5ECE" w14:textId="77777777" w:rsidR="00E20C16" w:rsidRDefault="003047E6">
      <w:pPr>
        <w:spacing w:line="360" w:lineRule="auto"/>
        <w:ind w:firstLineChars="200" w:firstLine="480"/>
        <w:rPr>
          <w:bCs/>
          <w:sz w:val="24"/>
        </w:rPr>
      </w:pPr>
      <w:r>
        <w:rPr>
          <w:rFonts w:hint="eastAsia"/>
          <w:bCs/>
          <w:sz w:val="24"/>
        </w:rPr>
        <w:t>（</w:t>
      </w:r>
      <w:r>
        <w:rPr>
          <w:bCs/>
          <w:sz w:val="24"/>
        </w:rPr>
        <w:t>11</w:t>
      </w:r>
      <w:r>
        <w:rPr>
          <w:rFonts w:hint="eastAsia"/>
          <w:bCs/>
          <w:sz w:val="24"/>
        </w:rPr>
        <w:t>）本基金参与国债期货交易，需遵守下列投资比例限制：</w:t>
      </w:r>
    </w:p>
    <w:p w14:paraId="6AE0B324" w14:textId="77777777" w:rsidR="00E20C16" w:rsidRDefault="003047E6">
      <w:pPr>
        <w:spacing w:line="360" w:lineRule="auto"/>
        <w:ind w:firstLineChars="200" w:firstLine="480"/>
        <w:rPr>
          <w:bCs/>
          <w:sz w:val="24"/>
        </w:rPr>
      </w:pPr>
      <w:r>
        <w:rPr>
          <w:rFonts w:hint="eastAsia"/>
          <w:bCs/>
          <w:sz w:val="24"/>
        </w:rPr>
        <w:t>1</w:t>
      </w:r>
      <w:r>
        <w:rPr>
          <w:rFonts w:hint="eastAsia"/>
          <w:bCs/>
          <w:sz w:val="24"/>
        </w:rPr>
        <w:t>）在任何交易日日终，持有的买入国债期货合约价值，不得超过基金资产净值的</w:t>
      </w:r>
      <w:r>
        <w:rPr>
          <w:rFonts w:hint="eastAsia"/>
          <w:bCs/>
          <w:sz w:val="24"/>
        </w:rPr>
        <w:t>15%</w:t>
      </w:r>
      <w:r>
        <w:rPr>
          <w:rFonts w:hint="eastAsia"/>
          <w:bCs/>
          <w:sz w:val="24"/>
        </w:rPr>
        <w:t>；</w:t>
      </w:r>
    </w:p>
    <w:p w14:paraId="49454FA8" w14:textId="77777777" w:rsidR="00E20C16" w:rsidRDefault="003047E6">
      <w:pPr>
        <w:spacing w:line="360" w:lineRule="auto"/>
        <w:ind w:firstLineChars="200" w:firstLine="480"/>
        <w:rPr>
          <w:bCs/>
          <w:sz w:val="24"/>
        </w:rPr>
      </w:pP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030DC94F" w14:textId="77777777" w:rsidR="00E20C16" w:rsidRDefault="003047E6">
      <w:pPr>
        <w:spacing w:line="360" w:lineRule="auto"/>
        <w:ind w:firstLineChars="200" w:firstLine="480"/>
        <w:rPr>
          <w:bCs/>
          <w:sz w:val="24"/>
        </w:rPr>
      </w:pPr>
      <w:r>
        <w:rPr>
          <w:bCs/>
          <w:sz w:val="24"/>
        </w:rPr>
        <w:t>3</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14:paraId="42F0970B" w14:textId="77777777" w:rsidR="00E20C16" w:rsidRDefault="003047E6">
      <w:pPr>
        <w:spacing w:line="360" w:lineRule="auto"/>
        <w:ind w:firstLineChars="200" w:firstLine="480"/>
        <w:rPr>
          <w:bCs/>
          <w:sz w:val="24"/>
        </w:rPr>
      </w:pPr>
      <w:r>
        <w:rPr>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p>
    <w:p w14:paraId="22DF5572" w14:textId="42AC3C71" w:rsidR="00E20C16" w:rsidRDefault="003047E6">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6CDDB5BA" w14:textId="64979809" w:rsidR="00E20C16" w:rsidRDefault="003047E6">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10918D12" w14:textId="26B07B12" w:rsidR="00E20C16" w:rsidRDefault="003047E6">
      <w:pPr>
        <w:spacing w:line="360" w:lineRule="auto"/>
        <w:ind w:firstLineChars="200" w:firstLine="480"/>
        <w:rPr>
          <w:bCs/>
          <w:sz w:val="24"/>
        </w:rPr>
      </w:pPr>
      <w:r>
        <w:rPr>
          <w:rFonts w:hint="eastAsia"/>
          <w:bCs/>
          <w:sz w:val="24"/>
        </w:rPr>
        <w:t>（</w:t>
      </w:r>
      <w:r>
        <w:rPr>
          <w:bCs/>
          <w:sz w:val="24"/>
        </w:rPr>
        <w:t>14</w:t>
      </w:r>
      <w:r>
        <w:rPr>
          <w:rFonts w:hint="eastAsia"/>
          <w:bCs/>
          <w:sz w:val="24"/>
        </w:rPr>
        <w:t>）本基金资产总值不超过基金资产净值的</w:t>
      </w:r>
      <w:r>
        <w:rPr>
          <w:rFonts w:hint="eastAsia"/>
          <w:bCs/>
          <w:sz w:val="24"/>
        </w:rPr>
        <w:t>140%</w:t>
      </w:r>
      <w:r>
        <w:rPr>
          <w:rFonts w:hint="eastAsia"/>
          <w:bCs/>
          <w:sz w:val="24"/>
        </w:rPr>
        <w:t>；</w:t>
      </w:r>
    </w:p>
    <w:p w14:paraId="3ADD9F9D" w14:textId="5B6E274C" w:rsidR="00E20C16" w:rsidRDefault="003047E6">
      <w:pPr>
        <w:spacing w:line="360" w:lineRule="auto"/>
        <w:ind w:firstLineChars="200" w:firstLine="480"/>
        <w:rPr>
          <w:bCs/>
          <w:sz w:val="24"/>
        </w:rPr>
      </w:pPr>
      <w:r>
        <w:rPr>
          <w:rFonts w:hint="eastAsia"/>
          <w:bCs/>
          <w:sz w:val="24"/>
        </w:rPr>
        <w:lastRenderedPageBreak/>
        <w:t>（</w:t>
      </w:r>
      <w:r>
        <w:rPr>
          <w:bCs/>
          <w:sz w:val="24"/>
        </w:rPr>
        <w:t>15</w:t>
      </w:r>
      <w:r>
        <w:rPr>
          <w:rFonts w:hint="eastAsia"/>
          <w:bCs/>
          <w:sz w:val="24"/>
        </w:rPr>
        <w:t>）法律法规及中国证监会规定的和《基金合同》约定的其他投资限制。</w:t>
      </w:r>
    </w:p>
    <w:p w14:paraId="63412D17" w14:textId="41DFEE56" w:rsidR="00E20C16" w:rsidRDefault="003047E6">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566BAA24" w14:textId="77777777" w:rsidR="00E20C16" w:rsidRDefault="003047E6">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本基金财产不得用于以下投资或者活动：</w:t>
      </w:r>
    </w:p>
    <w:p w14:paraId="7B6AF84C"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1）承销证券；</w:t>
      </w:r>
    </w:p>
    <w:p w14:paraId="51C477EA"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2）违反规定向他人贷款或者提供担保；</w:t>
      </w:r>
    </w:p>
    <w:p w14:paraId="79393308"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3）从事承担无限责任的投资；</w:t>
      </w:r>
    </w:p>
    <w:p w14:paraId="2267B0BF"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4）买卖其他基金份额，但是</w:t>
      </w:r>
      <w:r>
        <w:rPr>
          <w:rFonts w:ascii="宋体" w:hAnsi="宋体" w:hint="eastAsia"/>
          <w:sz w:val="24"/>
        </w:rPr>
        <w:t>中国证监会另有规定的除外；</w:t>
      </w:r>
    </w:p>
    <w:p w14:paraId="7EF44628"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5）向</w:t>
      </w:r>
      <w:r>
        <w:rPr>
          <w:rFonts w:ascii="宋体" w:hAnsi="宋体" w:cs="Arial" w:hint="eastAsia"/>
          <w:sz w:val="24"/>
        </w:rPr>
        <w:t>其</w:t>
      </w:r>
      <w:r>
        <w:rPr>
          <w:rFonts w:ascii="宋体" w:hAnsi="宋体" w:hint="eastAsia"/>
          <w:sz w:val="24"/>
        </w:rPr>
        <w:t>基金管理人、基金托管人出资；</w:t>
      </w:r>
    </w:p>
    <w:p w14:paraId="7C346443"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6）从事内幕交易、操纵证券交易价格及其他不正当的证券交易活动；</w:t>
      </w:r>
    </w:p>
    <w:p w14:paraId="00F768BD"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7）法律、行政法规</w:t>
      </w:r>
      <w:r>
        <w:rPr>
          <w:rFonts w:ascii="宋体" w:hAnsi="宋体" w:cs="Arial" w:hint="eastAsia"/>
          <w:sz w:val="24"/>
        </w:rPr>
        <w:t>和</w:t>
      </w:r>
      <w:r>
        <w:rPr>
          <w:rFonts w:ascii="宋体" w:hAnsi="宋体" w:hint="eastAsia"/>
          <w:sz w:val="24"/>
        </w:rPr>
        <w:t>中国证监会规定禁止的其他活动。</w:t>
      </w:r>
    </w:p>
    <w:bookmarkEnd w:id="15"/>
    <w:p w14:paraId="2E79BAA8" w14:textId="77777777" w:rsidR="00E20C16" w:rsidRDefault="003047E6">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w:t>
      </w:r>
      <w:r>
        <w:rPr>
          <w:rFonts w:hint="eastAsia"/>
          <w:sz w:val="24"/>
        </w:rPr>
        <w:t>的证券</w:t>
      </w:r>
      <w:r>
        <w:rPr>
          <w:rFonts w:ascii="宋体" w:hAnsi="宋体" w:hint="eastAsia"/>
          <w:sz w:val="24"/>
        </w:rPr>
        <w:t>或者承销期内承销的证券，或者从事其他重大关联交易的，应当符合基金的投资目标和投资策略，遵循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FA8804" w14:textId="77777777" w:rsidR="00E20C16" w:rsidRDefault="003047E6">
      <w:pPr>
        <w:spacing w:line="360" w:lineRule="auto"/>
        <w:ind w:firstLineChars="200" w:firstLine="480"/>
        <w:rPr>
          <w:rFonts w:ascii="宋体" w:hAnsi="宋体"/>
          <w:sz w:val="24"/>
        </w:rPr>
      </w:pPr>
      <w:r>
        <w:rPr>
          <w:rFonts w:hint="eastAsia"/>
          <w:bCs/>
          <w:sz w:val="24"/>
        </w:rPr>
        <w:t>如法律、行政法规或监管部门取消上述规定，如适用于本基金，基金管理人在履行适当程序后，本基金可不受上述规定的限制。</w:t>
      </w:r>
    </w:p>
    <w:p w14:paraId="3C40BD49" w14:textId="77777777" w:rsidR="00E20C16" w:rsidRDefault="003047E6">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1AAA61B7" w14:textId="77777777" w:rsidR="00E20C16" w:rsidRDefault="003047E6">
      <w:pPr>
        <w:spacing w:line="360" w:lineRule="auto"/>
        <w:ind w:firstLineChars="200" w:firstLine="480"/>
        <w:rPr>
          <w:rFonts w:ascii="宋体" w:hAnsi="宋体"/>
          <w:sz w:val="24"/>
        </w:rPr>
      </w:pPr>
      <w:r>
        <w:rPr>
          <w:rFonts w:ascii="宋体" w:hAnsi="宋体"/>
          <w:sz w:val="24"/>
        </w:rPr>
        <w:t>5.</w:t>
      </w:r>
      <w:r>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15737084" w14:textId="77777777" w:rsidR="00E20C16" w:rsidRDefault="003047E6">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w:t>
      </w:r>
      <w:r>
        <w:rPr>
          <w:rFonts w:ascii="宋体" w:hAnsi="宋体" w:hint="eastAsia"/>
          <w:sz w:val="24"/>
        </w:rPr>
        <w:lastRenderedPageBreak/>
        <w:t>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08B032ED" w14:textId="77777777" w:rsidR="00E20C16" w:rsidRDefault="003047E6">
      <w:pPr>
        <w:spacing w:line="360" w:lineRule="auto"/>
        <w:ind w:firstLineChars="200" w:firstLine="480"/>
        <w:rPr>
          <w:rFonts w:ascii="宋体" w:hAnsi="宋体"/>
          <w:sz w:val="24"/>
        </w:rPr>
      </w:pPr>
      <w:r>
        <w:rPr>
          <w:rFonts w:ascii="宋体" w:hAnsi="宋体" w:hint="eastAsia"/>
          <w:sz w:val="24"/>
        </w:rPr>
        <w:t>本基金投资银行存款应符合如下规定：</w:t>
      </w:r>
    </w:p>
    <w:p w14:paraId="6A9E5FB3" w14:textId="77777777" w:rsidR="00E20C16" w:rsidRDefault="003047E6">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58CA394E" w14:textId="77777777" w:rsidR="00E20C16" w:rsidRDefault="003047E6">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14:paraId="61055906" w14:textId="77777777" w:rsidR="00E20C16" w:rsidRDefault="003047E6">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5352667"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30F147D"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491B56E"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14EA3BBF"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7902BF76" w14:textId="77777777" w:rsidR="00E20C16" w:rsidRDefault="003047E6">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w:t>
      </w:r>
      <w:r>
        <w:rPr>
          <w:rFonts w:ascii="宋体" w:hAnsi="宋体" w:hint="eastAsia"/>
          <w:sz w:val="24"/>
        </w:rPr>
        <w:lastRenderedPageBreak/>
        <w:t>账目核对、到期兑付、提前支取</w:t>
      </w:r>
    </w:p>
    <w:p w14:paraId="79781118" w14:textId="77777777" w:rsidR="00E20C16" w:rsidRDefault="003047E6">
      <w:pPr>
        <w:spacing w:line="360" w:lineRule="auto"/>
        <w:ind w:firstLineChars="200" w:firstLine="480"/>
        <w:rPr>
          <w:rFonts w:ascii="宋体" w:hAnsi="宋体"/>
          <w:sz w:val="24"/>
        </w:rPr>
      </w:pPr>
      <w:r>
        <w:rPr>
          <w:rFonts w:ascii="宋体" w:hAnsi="宋体"/>
          <w:sz w:val="24"/>
        </w:rPr>
        <w:t>1.基金投资银行存款协议的签订</w:t>
      </w:r>
    </w:p>
    <w:p w14:paraId="0E34B00C"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符合资格的存款银行总行或其授权分行签订《存款协议书》。《存款协议书》的格式范本由基金托管人、基金管理人、存款银行总行或其授权分行共同商定。</w:t>
      </w:r>
    </w:p>
    <w:p w14:paraId="1652663F"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）基金托管人依据相关法规对《存款协议书》的内容进行复核，审查存款银行资格等。</w:t>
      </w:r>
    </w:p>
    <w:p w14:paraId="722946F7"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49467E5"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14:paraId="3C6280E7"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9F7E70D" w14:textId="77777777" w:rsidR="00E20C16" w:rsidRDefault="003047E6">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6679BFD"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6FD81093" w14:textId="77777777" w:rsidR="00E20C16" w:rsidRDefault="003047E6">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4F00C52C"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管理人应当依据基金管理人与存款银行签订的《存款协议书》等，以基金的名义在存款银行总行或授权分行指定的分支机构开立银行账户。</w:t>
      </w:r>
    </w:p>
    <w:p w14:paraId="6B9906DE"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68A96357" w14:textId="77777777" w:rsidR="00E20C16" w:rsidRDefault="003047E6">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4554E1A3" w14:textId="77777777" w:rsidR="00E20C16" w:rsidRDefault="003047E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1）存款证实书等存款凭证</w:t>
      </w:r>
      <w:r>
        <w:rPr>
          <w:rFonts w:ascii="宋体" w:hAnsi="宋体" w:hint="eastAsia"/>
          <w:sz w:val="24"/>
        </w:rPr>
        <w:t>传递</w:t>
      </w:r>
    </w:p>
    <w:p w14:paraId="64610CAB" w14:textId="77777777" w:rsidR="00E20C16" w:rsidRDefault="003047E6">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A2FEFE2"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C12A34B" w14:textId="77777777" w:rsidR="00E20C16" w:rsidRDefault="003047E6">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）的方式快递或上门交付至托管人，原存款凭证自动作废。</w:t>
      </w:r>
    </w:p>
    <w:p w14:paraId="120F4732"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6F2AFF8F" w14:textId="77777777" w:rsidR="00E20C16" w:rsidRDefault="003047E6">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5F9B0C34" w14:textId="77777777" w:rsidR="00E20C16" w:rsidRDefault="003047E6">
      <w:pPr>
        <w:spacing w:line="480" w:lineRule="exact"/>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w:t>
      </w:r>
      <w:r w:rsidRPr="00454BBA">
        <w:rPr>
          <w:rFonts w:ascii="宋体" w:hAnsi="宋体" w:hint="eastAsia"/>
          <w:sz w:val="24"/>
        </w:rPr>
        <w:t>基金托管人于每季度向存款银行发起查询查复，存款银行应按照人行查询查复的有关时限要求及时回复。基金管理人有责任督促存款银行及时回复查询查复</w:t>
      </w:r>
      <w:r w:rsidRPr="00454BBA">
        <w:rPr>
          <w:rFonts w:ascii="宋体" w:hAnsi="宋体"/>
          <w:sz w:val="24"/>
        </w:rPr>
        <w:t>。因存款银</w:t>
      </w:r>
      <w:r w:rsidRPr="00C94C84">
        <w:rPr>
          <w:rFonts w:ascii="宋体" w:hAnsi="宋体" w:hint="eastAsia"/>
          <w:sz w:val="24"/>
        </w:rPr>
        <w:t>行未</w:t>
      </w:r>
      <w:r w:rsidRPr="00454BBA">
        <w:rPr>
          <w:rFonts w:ascii="宋体" w:hAnsi="宋体" w:hint="eastAsia"/>
          <w:sz w:val="24"/>
        </w:rPr>
        <w:t>及时回复</w:t>
      </w:r>
      <w:r>
        <w:rPr>
          <w:rFonts w:ascii="宋体" w:hAnsi="宋体" w:hint="eastAsia"/>
          <w:sz w:val="24"/>
        </w:rPr>
        <w:t>造成的资金被挪用、盗取的责任由存款银行承担。</w:t>
      </w:r>
    </w:p>
    <w:p w14:paraId="5A301F73" w14:textId="77777777" w:rsidR="00E20C16" w:rsidRDefault="003047E6">
      <w:pPr>
        <w:spacing w:line="480" w:lineRule="exact"/>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14:paraId="03336296"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）到期兑付</w:t>
      </w:r>
    </w:p>
    <w:p w14:paraId="6559C5DE" w14:textId="77777777" w:rsidR="00E20C16" w:rsidRDefault="003047E6">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14:paraId="4008CA64" w14:textId="77777777" w:rsidR="00E20C16" w:rsidRDefault="003047E6">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w:t>
      </w:r>
      <w:r>
        <w:rPr>
          <w:rFonts w:ascii="宋体" w:hAnsi="宋体" w:hint="eastAsia"/>
          <w:sz w:val="24"/>
        </w:rPr>
        <w:lastRenderedPageBreak/>
        <w:t>告知基金托管人，基金托管人收妥存款本息的当日通知基金管理人。</w:t>
      </w:r>
    </w:p>
    <w:p w14:paraId="2C4928A9" w14:textId="77777777" w:rsidR="00E20C16" w:rsidRDefault="003047E6">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DA99611" w14:textId="77777777" w:rsidR="00E20C16" w:rsidRDefault="003047E6">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3DEEC645" w14:textId="77777777" w:rsidR="00E20C16" w:rsidRDefault="003047E6">
      <w:pPr>
        <w:spacing w:line="360" w:lineRule="auto"/>
        <w:ind w:firstLineChars="200" w:firstLine="480"/>
        <w:rPr>
          <w:rFonts w:ascii="宋体" w:hAnsi="宋体"/>
          <w:sz w:val="24"/>
        </w:rPr>
      </w:pPr>
      <w:r>
        <w:rPr>
          <w:rFonts w:ascii="宋体" w:hAnsi="宋体"/>
          <w:sz w:val="24"/>
        </w:rPr>
        <w:t>4.提前支取</w:t>
      </w:r>
    </w:p>
    <w:p w14:paraId="0C391279" w14:textId="77777777" w:rsidR="00E20C16" w:rsidRDefault="003047E6">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0486516D" w14:textId="77777777" w:rsidR="00E20C16" w:rsidRDefault="003047E6">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2FEE6F2E" w14:textId="77777777" w:rsidR="00E20C16" w:rsidRDefault="003047E6">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基金投资银行存款的监督</w:t>
      </w:r>
    </w:p>
    <w:p w14:paraId="692C1478" w14:textId="77777777" w:rsidR="00E20C16" w:rsidRDefault="003047E6">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14:paraId="5B1A3AD9" w14:textId="77777777" w:rsidR="00E20C16" w:rsidRDefault="003047E6">
      <w:pPr>
        <w:spacing w:line="360" w:lineRule="auto"/>
        <w:ind w:firstLineChars="200" w:firstLine="480"/>
        <w:rPr>
          <w:rFonts w:ascii="宋体" w:hAnsi="宋体"/>
          <w:sz w:val="24"/>
        </w:rPr>
      </w:pPr>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sidRPr="002605A0">
        <w:rPr>
          <w:rFonts w:ascii="宋体" w:hAnsi="宋体" w:hint="eastAsia"/>
          <w:sz w:val="24"/>
        </w:rPr>
        <w:t>如基金管理人在基金投资运作之前未向基金托管人提供银行间债券市场交易对手名单的，视为基金管理人认可全市场交易对手。基金管理人应严格按照交易对手名单的范围在银行间债券市场选择交易对手。基金托</w:t>
      </w:r>
      <w:r>
        <w:rPr>
          <w:rFonts w:ascii="宋体" w:hAnsi="宋体" w:hint="eastAsia"/>
          <w:sz w:val="24"/>
        </w:rPr>
        <w:t>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w:t>
      </w:r>
      <w:r>
        <w:rPr>
          <w:rFonts w:ascii="宋体" w:hAnsi="宋体" w:hint="eastAsia"/>
          <w:sz w:val="24"/>
        </w:rPr>
        <w:lastRenderedPageBreak/>
        <w:t>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p>
    <w:p w14:paraId="18508F52" w14:textId="77777777" w:rsidR="00E20C16" w:rsidRDefault="003047E6">
      <w:pPr>
        <w:spacing w:line="360" w:lineRule="auto"/>
        <w:ind w:firstLineChars="200" w:firstLine="480"/>
        <w:rPr>
          <w:rFonts w:ascii="宋体" w:hAnsi="宋体" w:cs="Arial"/>
          <w:szCs w:val="21"/>
        </w:rPr>
      </w:pPr>
      <w:r>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596F343" w14:textId="77777777" w:rsidR="00E20C16" w:rsidRDefault="003047E6">
      <w:pPr>
        <w:spacing w:line="360" w:lineRule="auto"/>
        <w:ind w:firstLineChars="200" w:firstLine="480"/>
        <w:rPr>
          <w:rFonts w:ascii="宋体" w:hAnsi="宋体"/>
          <w:sz w:val="24"/>
        </w:rPr>
      </w:pPr>
      <w:r>
        <w:rPr>
          <w:rFonts w:ascii="宋体" w:hAnsi="宋体" w:hint="eastAsia"/>
          <w:sz w:val="24"/>
        </w:rPr>
        <w:t>（五）基金管理人应当对投资中期票据业务进行研究，认真评估中期票据投资业务的风险，本着审慎、勤勉尽责的原则进行中期票据的投资业务，并应符合法律法规及监管机构的相关规定。</w:t>
      </w:r>
    </w:p>
    <w:p w14:paraId="6AFF2D33"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六</w:t>
      </w:r>
      <w:r>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5A75F1E4" w14:textId="77777777" w:rsidR="00E20C16" w:rsidRDefault="003047E6">
      <w:pPr>
        <w:spacing w:line="360" w:lineRule="auto"/>
        <w:ind w:firstLineChars="200" w:firstLine="480"/>
        <w:rPr>
          <w:rFonts w:ascii="宋体" w:hAnsi="宋体"/>
          <w:sz w:val="24"/>
        </w:rPr>
      </w:pPr>
      <w:r>
        <w:rPr>
          <w:rFonts w:ascii="宋体" w:hAnsi="宋体"/>
          <w:sz w:val="24"/>
        </w:rPr>
        <w:t>（</w:t>
      </w:r>
      <w:r>
        <w:rPr>
          <w:rFonts w:ascii="宋体" w:hAnsi="宋体" w:cs="宋体" w:hint="eastAsia"/>
        </w:rPr>
        <w:t>七</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9CD951C" w14:textId="77777777" w:rsidR="00E20C16" w:rsidRDefault="003047E6">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八</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EDE58D8" w14:textId="77777777" w:rsidR="00E20C16" w:rsidRDefault="003047E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cs="Arial" w:hint="eastAsia"/>
          <w:szCs w:val="21"/>
        </w:rPr>
        <w:t>九</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303321C" w14:textId="77777777" w:rsidR="00E20C16" w:rsidRDefault="003047E6">
      <w:pPr>
        <w:spacing w:line="360" w:lineRule="auto"/>
        <w:ind w:firstLineChars="200" w:firstLine="480"/>
        <w:rPr>
          <w:rFonts w:ascii="宋体" w:hAnsi="宋体"/>
          <w:sz w:val="24"/>
        </w:rPr>
      </w:pPr>
      <w:r>
        <w:rPr>
          <w:rFonts w:ascii="宋体" w:hAnsi="宋体" w:hint="eastAsia"/>
          <w:sz w:val="24"/>
        </w:rPr>
        <w:t>（十）基金托管人发现基金管理人有重大违规行为，应及时报告中国证监会，同时通知基金管理人限期纠正。</w:t>
      </w:r>
    </w:p>
    <w:p w14:paraId="7CA61544" w14:textId="77777777" w:rsidR="00E20C16" w:rsidRDefault="003047E6">
      <w:pPr>
        <w:spacing w:line="360" w:lineRule="auto"/>
        <w:ind w:firstLineChars="200" w:firstLine="480"/>
        <w:rPr>
          <w:rFonts w:ascii="宋体" w:hAnsi="宋体"/>
          <w:sz w:val="24"/>
        </w:rPr>
      </w:pPr>
      <w:r>
        <w:rPr>
          <w:rFonts w:ascii="宋体" w:hAnsi="宋体" w:hint="eastAsia"/>
          <w:sz w:val="24"/>
        </w:rPr>
        <w:t>（十一）</w:t>
      </w:r>
      <w:proofErr w:type="gramStart"/>
      <w:r>
        <w:rPr>
          <w:rFonts w:ascii="宋体" w:hAnsi="宋体" w:hint="eastAsia"/>
          <w:sz w:val="24"/>
        </w:rPr>
        <w:t>侧袋机制</w:t>
      </w:r>
      <w:proofErr w:type="gramEnd"/>
      <w:r>
        <w:rPr>
          <w:rFonts w:ascii="宋体" w:hAnsi="宋体" w:hint="eastAsia"/>
          <w:sz w:val="24"/>
        </w:rPr>
        <w:t>的实施和投资运作安排</w:t>
      </w:r>
    </w:p>
    <w:p w14:paraId="0A8ABB48" w14:textId="77777777" w:rsidR="00E20C16" w:rsidRDefault="003047E6">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14:paraId="073F6A17" w14:textId="77777777" w:rsidR="00E20C16" w:rsidRDefault="003047E6">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14:paraId="26D598EC" w14:textId="77777777" w:rsidR="00E20C16" w:rsidRDefault="003047E6">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14:paraId="6B5861C9" w14:textId="77777777" w:rsidR="00E20C16" w:rsidRDefault="003047E6">
      <w:pPr>
        <w:pStyle w:val="2"/>
        <w:spacing w:beforeLines="100" w:before="312" w:afterLines="50" w:after="156" w:line="360" w:lineRule="auto"/>
        <w:jc w:val="center"/>
        <w:rPr>
          <w:rFonts w:ascii="宋体" w:hAnsi="宋体"/>
          <w:sz w:val="24"/>
        </w:rPr>
      </w:pPr>
      <w:bookmarkStart w:id="16" w:name="_Toc118774803"/>
      <w:bookmarkStart w:id="17" w:name="_Toc86737929"/>
      <w:bookmarkStart w:id="18" w:name="_Toc119402710"/>
      <w:bookmarkStart w:id="19" w:name="_Toc86649722"/>
      <w:bookmarkStart w:id="20" w:name="_Toc89163368"/>
      <w:bookmarkStart w:id="21" w:name="_Toc86727355"/>
      <w:bookmarkStart w:id="22" w:name="_Toc110761796"/>
      <w:bookmarkStart w:id="23" w:name="_Toc86223242"/>
      <w:bookmarkStart w:id="24" w:name="_Toc120435783"/>
      <w:bookmarkStart w:id="25" w:name="_Toc108512358"/>
      <w:bookmarkStart w:id="26" w:name="_Toc110830492"/>
      <w:bookmarkStart w:id="27" w:name="_Toc110765660"/>
      <w:bookmarkStart w:id="28" w:name="_Toc86225291"/>
      <w:bookmarkStart w:id="29" w:name="_Toc86726439"/>
      <w:bookmarkStart w:id="30" w:name="_Toc118972648"/>
      <w:bookmarkStart w:id="31" w:name="_Toc118212950"/>
      <w:r>
        <w:rPr>
          <w:rFonts w:ascii="宋体" w:hAnsi="宋体"/>
          <w:sz w:val="24"/>
        </w:rPr>
        <w:br w:type="page"/>
      </w:r>
      <w:bookmarkStart w:id="32" w:name="_Toc348082032"/>
      <w:bookmarkStart w:id="33" w:name="_Toc384992694"/>
      <w:bookmarkStart w:id="34" w:name="_Toc488938613"/>
      <w:r>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8AC43D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14:paraId="43B4928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1675BE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14:paraId="753D929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562DBDB7" w14:textId="77777777" w:rsidR="00E20C16" w:rsidRDefault="003047E6">
      <w:pPr>
        <w:pStyle w:val="2"/>
        <w:spacing w:beforeLines="100" w:before="312" w:afterLines="50" w:after="156" w:line="360" w:lineRule="auto"/>
        <w:jc w:val="center"/>
        <w:rPr>
          <w:rFonts w:ascii="宋体" w:hAnsi="宋体"/>
          <w:sz w:val="24"/>
        </w:rPr>
      </w:pPr>
      <w:bookmarkStart w:id="35" w:name="_Toc120435784"/>
      <w:bookmarkStart w:id="36" w:name="_Toc86204789"/>
      <w:bookmarkStart w:id="37" w:name="_Toc119402711"/>
      <w:bookmarkStart w:id="38" w:name="_Toc108512359"/>
      <w:bookmarkStart w:id="39" w:name="_Toc110765661"/>
      <w:bookmarkStart w:id="40" w:name="_Toc86727356"/>
      <w:bookmarkStart w:id="41" w:name="_Toc84133786"/>
      <w:bookmarkStart w:id="42" w:name="_Toc84234435"/>
      <w:bookmarkStart w:id="43" w:name="_Toc86649723"/>
      <w:bookmarkStart w:id="44" w:name="_Toc86737930"/>
      <w:bookmarkStart w:id="45" w:name="_Toc118212951"/>
      <w:bookmarkStart w:id="46" w:name="_Toc118972649"/>
      <w:bookmarkStart w:id="47" w:name="_Toc86726440"/>
      <w:bookmarkStart w:id="48" w:name="_Toc110761797"/>
      <w:bookmarkStart w:id="49" w:name="_Toc89163369"/>
      <w:bookmarkStart w:id="50" w:name="_Toc110830493"/>
      <w:bookmarkStart w:id="51" w:name="_Toc84234388"/>
      <w:bookmarkStart w:id="52" w:name="_Toc86223243"/>
      <w:bookmarkStart w:id="53" w:name="_Toc86225292"/>
      <w:bookmarkStart w:id="54" w:name="_Toc118774804"/>
      <w:r>
        <w:rPr>
          <w:rFonts w:ascii="宋体" w:hAnsi="宋体"/>
          <w:sz w:val="24"/>
        </w:rPr>
        <w:br w:type="page"/>
      </w:r>
      <w:bookmarkStart w:id="55" w:name="_Toc384992695"/>
      <w:bookmarkStart w:id="56" w:name="_Toc348082033"/>
      <w:bookmarkStart w:id="57" w:name="_Toc488938614"/>
      <w:r>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D3FB7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6662998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6FA8008B"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1B29B90D" w14:textId="0364F3FA"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和期货结算账户等</w:t>
      </w:r>
      <w:r>
        <w:rPr>
          <w:rFonts w:ascii="宋体" w:hAnsi="宋体" w:hint="eastAsia"/>
          <w:sz w:val="24"/>
        </w:rPr>
        <w:t>投资所需的相关账户。</w:t>
      </w:r>
    </w:p>
    <w:p w14:paraId="2AACF89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14:paraId="48C8D28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5B40740E"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14:paraId="52B12B14" w14:textId="52F0629C" w:rsidR="00E20C16" w:rsidRDefault="003047E6">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71CE90FA"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1C9CCA8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46131CEC"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14:paraId="66496F2F"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宋体" w:hAnsi="宋体" w:hint="eastAsia"/>
          <w:sz w:val="24"/>
        </w:rPr>
        <w:t>为基金开立的基金资金账户，同时在规</w:t>
      </w:r>
      <w:r>
        <w:rPr>
          <w:rFonts w:ascii="宋体" w:hAnsi="宋体" w:hint="eastAsia"/>
          <w:sz w:val="24"/>
        </w:rPr>
        <w:lastRenderedPageBreak/>
        <w:t>定时间内，基金管理人应聘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《中华人民共和国证券法》规定的会计师事务所进行验资，出具验资报告。出具的验资报告由参加验资的</w:t>
      </w:r>
      <w:r>
        <w:rPr>
          <w:rFonts w:ascii="宋体" w:hAnsi="宋体"/>
          <w:sz w:val="24"/>
        </w:rPr>
        <w:t>2名或2名以上中国注册会计师签字方为有效。</w:t>
      </w:r>
    </w:p>
    <w:p w14:paraId="2A3B5C08"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42465F5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20C494E7" w14:textId="0E0D8AFB"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交银施罗德稳安</w:t>
      </w:r>
      <w:r>
        <w:rPr>
          <w:rFonts w:hint="eastAsia"/>
          <w:bCs/>
          <w:sz w:val="24"/>
        </w:rPr>
        <w:t>60</w:t>
      </w:r>
      <w:r>
        <w:rPr>
          <w:rFonts w:hint="eastAsia"/>
          <w:bCs/>
          <w:sz w:val="24"/>
        </w:rPr>
        <w:t>天滚动持有债券型证券投资基金</w:t>
      </w:r>
      <w:r>
        <w:rPr>
          <w:rFonts w:ascii="宋体" w:hAnsi="宋体" w:hint="eastAsia"/>
          <w:sz w:val="24"/>
        </w:rPr>
        <w:t>”，预留印鉴为基金托管人印章。</w:t>
      </w:r>
    </w:p>
    <w:p w14:paraId="309124E8"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4B419A98"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2ED4898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（四）基金证券账户和结算备付金账户的开立和管理</w:t>
      </w:r>
    </w:p>
    <w:p w14:paraId="2AAD688C"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59908E89"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B90925"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6AA08F14"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ascii="宋体" w:hAnsi="宋体" w:hint="eastAsia"/>
          <w:sz w:val="24"/>
        </w:rPr>
        <w:t>结算保证金等的收取按照中国证券登记结算有限责任公司的规定执行。</w:t>
      </w:r>
    </w:p>
    <w:p w14:paraId="2C9DECC6"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ascii="宋体" w:hAnsi="宋体" w:hint="eastAsia"/>
          <w:color w:val="000000"/>
          <w:sz w:val="24"/>
        </w:rPr>
        <w:t>按有关规定开立、使用并管理；</w:t>
      </w:r>
      <w:r>
        <w:rPr>
          <w:rFonts w:ascii="宋体" w:hAnsi="宋体" w:hint="eastAsia"/>
          <w:sz w:val="24"/>
        </w:rPr>
        <w:t>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14:paraId="4191411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（五）债券托管账户的开设和管理</w:t>
      </w:r>
    </w:p>
    <w:p w14:paraId="7C7B156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8F0E88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（六）其他账户的开立和管理</w:t>
      </w:r>
    </w:p>
    <w:p w14:paraId="6D159A9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70D9B13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6A702A60" w14:textId="38996A6B" w:rsidR="00E20C16" w:rsidRDefault="003047E6">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6C1682E8" w14:textId="70945D4A" w:rsidR="00E20C16" w:rsidRDefault="003047E6">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14:paraId="36A8FCE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（七）基金财产投资的有关有价凭证等的保管</w:t>
      </w:r>
    </w:p>
    <w:p w14:paraId="0BFB4F97"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328F84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（八）与基金财产有关的重大合同的保管</w:t>
      </w:r>
    </w:p>
    <w:p w14:paraId="15C9538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w:t>
      </w:r>
      <w:r>
        <w:rPr>
          <w:rFonts w:ascii="宋体" w:hAnsi="宋体" w:hint="eastAsia"/>
          <w:sz w:val="24"/>
        </w:rPr>
        <w:lastRenderedPageBreak/>
        <w:t>送达的合同原件不一致所造成的后果，由基金管理人负责。重大合同的保管期限不低于法律法规规定的最低期限</w:t>
      </w:r>
      <w:r>
        <w:rPr>
          <w:rFonts w:ascii="宋体" w:hAnsi="宋体"/>
          <w:sz w:val="24"/>
        </w:rPr>
        <w:t>。</w:t>
      </w:r>
    </w:p>
    <w:p w14:paraId="6796EB9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3D8CF82" w14:textId="77777777" w:rsidR="00E20C16" w:rsidRDefault="003047E6">
      <w:pPr>
        <w:pStyle w:val="2"/>
        <w:spacing w:beforeLines="100" w:before="312" w:afterLines="50" w:after="156" w:line="360" w:lineRule="auto"/>
        <w:jc w:val="center"/>
        <w:rPr>
          <w:rFonts w:ascii="宋体" w:hAnsi="宋体"/>
          <w:sz w:val="24"/>
        </w:rPr>
      </w:pPr>
      <w:bookmarkStart w:id="58" w:name="_Toc84234389"/>
      <w:bookmarkStart w:id="59" w:name="_Toc120435785"/>
      <w:bookmarkStart w:id="60" w:name="_Toc108512360"/>
      <w:bookmarkStart w:id="61" w:name="_Toc119402712"/>
      <w:bookmarkStart w:id="62" w:name="_Toc118972650"/>
      <w:bookmarkStart w:id="63" w:name="_Toc89163370"/>
      <w:bookmarkStart w:id="64" w:name="_Toc86225293"/>
      <w:bookmarkStart w:id="65" w:name="_Toc118212952"/>
      <w:bookmarkStart w:id="66" w:name="_Toc86727357"/>
      <w:bookmarkStart w:id="67" w:name="_Toc86737931"/>
      <w:bookmarkStart w:id="68" w:name="_Toc84133787"/>
      <w:bookmarkStart w:id="69" w:name="_Toc86223244"/>
      <w:bookmarkStart w:id="70" w:name="_Toc110830494"/>
      <w:bookmarkStart w:id="71" w:name="_Toc118774805"/>
      <w:bookmarkStart w:id="72" w:name="_Toc110761798"/>
      <w:bookmarkStart w:id="73" w:name="_Toc86649724"/>
      <w:bookmarkStart w:id="74" w:name="_Toc84234436"/>
      <w:bookmarkStart w:id="75" w:name="_Toc110765662"/>
      <w:bookmarkStart w:id="76" w:name="_Toc86204790"/>
      <w:bookmarkStart w:id="77" w:name="_Toc86726441"/>
      <w:r>
        <w:rPr>
          <w:rFonts w:ascii="宋体" w:hAnsi="宋体"/>
          <w:sz w:val="24"/>
        </w:rPr>
        <w:br w:type="page"/>
      </w:r>
      <w:bookmarkStart w:id="78" w:name="_Toc488938615"/>
      <w:bookmarkStart w:id="79" w:name="_Toc384992696"/>
      <w:bookmarkStart w:id="80" w:name="_Toc348082034"/>
      <w:r>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F9D64E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435A280" w14:textId="77777777" w:rsidR="00E20C16" w:rsidRDefault="003047E6">
      <w:pPr>
        <w:adjustRightInd w:val="0"/>
        <w:snapToGrid w:val="0"/>
        <w:spacing w:line="360" w:lineRule="auto"/>
        <w:ind w:firstLine="567"/>
        <w:jc w:val="left"/>
        <w:rPr>
          <w:rFonts w:ascii="宋体" w:hAnsi="宋体"/>
          <w:sz w:val="24"/>
        </w:rPr>
      </w:pPr>
      <w:r>
        <w:rPr>
          <w:rFonts w:ascii="宋体" w:hAnsi="宋体" w:hint="eastAsia"/>
          <w:sz w:val="24"/>
        </w:rPr>
        <w:t>基金管理人发送的指令包括电子指令和纸质指令。</w:t>
      </w:r>
    </w:p>
    <w:p w14:paraId="78A7F07F" w14:textId="77777777" w:rsidR="00E20C16" w:rsidRDefault="003047E6">
      <w:pPr>
        <w:adjustRightInd w:val="0"/>
        <w:snapToGrid w:val="0"/>
        <w:spacing w:line="360" w:lineRule="auto"/>
        <w:ind w:firstLine="560"/>
        <w:jc w:val="left"/>
        <w:rPr>
          <w:rFonts w:ascii="宋体" w:hAnsi="宋体"/>
          <w:sz w:val="24"/>
        </w:rPr>
      </w:pPr>
      <w:r>
        <w:rPr>
          <w:rFonts w:ascii="宋体" w:hAnsi="宋体" w:hint="eastAsia"/>
          <w:sz w:val="24"/>
        </w:rPr>
        <w:t>电子指令包括基金管理人发送的电子指令（采用电子报文传送的电子指令、招商银行托管+综合服务平台录入的电子指令）、自动产生的电子指令（招商银行托管+综合服务平台托管人</w:t>
      </w:r>
      <w:proofErr w:type="gramStart"/>
      <w:r>
        <w:rPr>
          <w:rFonts w:ascii="宋体" w:hAnsi="宋体" w:hint="eastAsia"/>
          <w:sz w:val="24"/>
        </w:rPr>
        <w:t>端根据</w:t>
      </w:r>
      <w:proofErr w:type="gramEnd"/>
      <w:r>
        <w:rPr>
          <w:rFonts w:ascii="宋体" w:hAnsi="宋体" w:hint="eastAsia"/>
          <w:sz w:val="24"/>
        </w:rPr>
        <w:t>预先设定的业务规则自动产生的电子指令）。</w:t>
      </w:r>
      <w:r w:rsidRPr="007C0AE2">
        <w:rPr>
          <w:rFonts w:ascii="宋体" w:hAnsi="宋体" w:hint="eastAsia"/>
          <w:sz w:val="24"/>
        </w:rPr>
        <w:t>纸质指令包括基金管理人给基金托管人传真指令或原件指令。</w:t>
      </w:r>
      <w:r>
        <w:rPr>
          <w:rFonts w:ascii="宋体" w:hAnsi="宋体" w:hint="eastAsia"/>
          <w:sz w:val="24"/>
        </w:rPr>
        <w:t xml:space="preserve"> </w:t>
      </w:r>
    </w:p>
    <w:p w14:paraId="5DC23CD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FA4AB97"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6B57B57E" w14:textId="77777777" w:rsidR="00E20C16" w:rsidRDefault="003047E6">
      <w:pPr>
        <w:tabs>
          <w:tab w:val="left" w:pos="1260"/>
        </w:tabs>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1EDA838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3FF3D8E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08D43AF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50E68F36"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lastRenderedPageBreak/>
        <w:t>1.指令发送的方式</w:t>
      </w:r>
      <w:r>
        <w:rPr>
          <w:rFonts w:ascii="宋体" w:hAnsi="宋体" w:hint="eastAsia"/>
          <w:sz w:val="24"/>
        </w:rPr>
        <w:t>：</w:t>
      </w:r>
    </w:p>
    <w:p w14:paraId="3810EC0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基金管理人选择以下第（2）</w:t>
      </w:r>
      <w:r>
        <w:rPr>
          <w:rFonts w:ascii="宋体" w:hAnsi="宋体"/>
          <w:sz w:val="24"/>
        </w:rPr>
        <w:t>种方式向基金托管人发送指令</w:t>
      </w:r>
      <w:r>
        <w:rPr>
          <w:rFonts w:ascii="宋体" w:hAnsi="宋体" w:hint="eastAsia"/>
          <w:sz w:val="24"/>
        </w:rPr>
        <w:t>：</w:t>
      </w:r>
    </w:p>
    <w:p w14:paraId="7C3B811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（1）基金管理人通过招商银行托管+综合服务平台录入方式，向基金托管人发送电子划款指令或投资指令。</w:t>
      </w:r>
    </w:p>
    <w:p w14:paraId="11D514B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3687BE8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基金管理人和基金托管人另行签订《招商银行“托管+”综合服务平台服务协议》，具体事宜以《招商银行“托管+”综合服务平台服务协议》的约定为准。</w:t>
      </w:r>
    </w:p>
    <w:p w14:paraId="10A49D3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（2）基金管理人通过深证通电子直连对接方式，向基金托管人发送电子划款指令或投资指令。</w:t>
      </w:r>
    </w:p>
    <w:p w14:paraId="16309AA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基金管理人通过深证通电子直连对接方式发送电子指令的，基金管理人应至少在产品成立日前一日，通过预留邮箱或加盖预留印鉴的函件告知基金托管人本产品的资产代码。</w:t>
      </w:r>
    </w:p>
    <w:p w14:paraId="61A9D7AD"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对于基金管理人通过上述（1）、（2）方式发送的指令，基金管理人不得否认其效力。</w:t>
      </w:r>
    </w:p>
    <w:p w14:paraId="4BC3EDF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368D5967"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（3）基金管理人选择以传真方式发送指令</w:t>
      </w:r>
    </w:p>
    <w:p w14:paraId="67AB862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对于基金管理人通过预留传真号码发出的指令，基金管理人不得否认其效力。</w:t>
      </w:r>
    </w:p>
    <w:p w14:paraId="3A45854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181757E7"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（4）基金管理人快递寄送或现场交互指令原件的形式传递指令</w:t>
      </w:r>
    </w:p>
    <w:p w14:paraId="5294019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如需变更指令发送形式，基金管理人须提前向基金托管人提供变更指令发送形式的指令发送方式变更通知书。</w:t>
      </w:r>
    </w:p>
    <w:p w14:paraId="130E2BC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2.指令附件的发送方式</w:t>
      </w:r>
    </w:p>
    <w:p w14:paraId="21B1C83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向基金托管人发送指令的同时，通过招商银行托管+综合服务平台、预留传真号码或预留指令附件发送电子邮箱提供相关合同、交易凭证或其他证明材料。基金管理人对该等资料的真实性、有效性、完整性和合法合</w:t>
      </w:r>
      <w:proofErr w:type="gramStart"/>
      <w:r>
        <w:rPr>
          <w:rFonts w:ascii="宋体" w:hAnsi="宋体" w:hint="eastAsia"/>
          <w:sz w:val="24"/>
        </w:rPr>
        <w:t>规</w:t>
      </w:r>
      <w:proofErr w:type="gramEnd"/>
      <w:r>
        <w:rPr>
          <w:rFonts w:ascii="宋体" w:hAnsi="宋体" w:hint="eastAsia"/>
          <w:sz w:val="24"/>
        </w:rPr>
        <w:t>性负责。</w:t>
      </w:r>
    </w:p>
    <w:p w14:paraId="3C5B6AF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对于通过招商银行托管+综合服务平台、预留传真号码或预留电子邮箱发出的指令附件，基金管理人不得否认其效力。</w:t>
      </w:r>
    </w:p>
    <w:p w14:paraId="1A23059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3.指令发送的时间</w:t>
      </w:r>
    </w:p>
    <w:p w14:paraId="4C99F10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对于新债申购等网下公开发行业务，基金管理人应于网下申购缴款日的</w:t>
      </w:r>
      <w:r>
        <w:rPr>
          <w:rFonts w:ascii="宋体" w:hAnsi="宋体"/>
          <w:sz w:val="24"/>
        </w:rPr>
        <w:t>10:00前将指令发送给</w:t>
      </w:r>
      <w:r>
        <w:rPr>
          <w:rFonts w:ascii="宋体" w:hAnsi="宋体" w:hint="eastAsia"/>
          <w:sz w:val="24"/>
        </w:rPr>
        <w:t>基金托管人。</w:t>
      </w:r>
    </w:p>
    <w:p w14:paraId="48C099D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对于期货</w:t>
      </w:r>
      <w:proofErr w:type="gramStart"/>
      <w:r>
        <w:rPr>
          <w:rFonts w:ascii="宋体" w:hAnsi="宋体" w:hint="eastAsia"/>
          <w:sz w:val="24"/>
        </w:rPr>
        <w:t>出入金</w:t>
      </w:r>
      <w:proofErr w:type="gramEnd"/>
      <w:r>
        <w:rPr>
          <w:rFonts w:ascii="宋体" w:hAnsi="宋体" w:hint="eastAsia"/>
          <w:sz w:val="24"/>
        </w:rPr>
        <w:t>业务，基金管理人应于交易日期货</w:t>
      </w:r>
      <w:proofErr w:type="gramStart"/>
      <w:r>
        <w:rPr>
          <w:rFonts w:ascii="宋体" w:hAnsi="宋体" w:hint="eastAsia"/>
          <w:sz w:val="24"/>
        </w:rPr>
        <w:t>出入金</w:t>
      </w:r>
      <w:proofErr w:type="gramEnd"/>
      <w:r>
        <w:rPr>
          <w:rFonts w:ascii="宋体" w:hAnsi="宋体" w:hint="eastAsia"/>
          <w:sz w:val="24"/>
        </w:rPr>
        <w:t>截止时间前2小时将期货</w:t>
      </w:r>
      <w:proofErr w:type="gramStart"/>
      <w:r>
        <w:rPr>
          <w:rFonts w:ascii="宋体" w:hAnsi="宋体" w:hint="eastAsia"/>
          <w:sz w:val="24"/>
        </w:rPr>
        <w:t>出入金</w:t>
      </w:r>
      <w:proofErr w:type="gramEnd"/>
      <w:r>
        <w:rPr>
          <w:rFonts w:ascii="宋体" w:hAnsi="宋体" w:hint="eastAsia"/>
          <w:sz w:val="24"/>
        </w:rPr>
        <w:t>指令发送至基金托管人。正常情况下由基金托管人依据基金管理人发出的</w:t>
      </w:r>
      <w:proofErr w:type="gramStart"/>
      <w:r>
        <w:rPr>
          <w:rFonts w:ascii="宋体" w:hAnsi="宋体" w:hint="eastAsia"/>
          <w:sz w:val="24"/>
        </w:rPr>
        <w:t>出入金</w:t>
      </w:r>
      <w:proofErr w:type="gramEnd"/>
      <w:r>
        <w:rPr>
          <w:rFonts w:ascii="宋体" w:hAnsi="宋体" w:hint="eastAsia"/>
          <w:sz w:val="24"/>
        </w:rPr>
        <w:t>指令，通过期货结算</w:t>
      </w:r>
      <w:proofErr w:type="gramStart"/>
      <w:r>
        <w:rPr>
          <w:rFonts w:ascii="宋体" w:hAnsi="宋体" w:hint="eastAsia"/>
          <w:sz w:val="24"/>
        </w:rPr>
        <w:t>银行银期转账</w:t>
      </w:r>
      <w:proofErr w:type="gramEnd"/>
      <w:r>
        <w:rPr>
          <w:rFonts w:ascii="宋体" w:hAnsi="宋体" w:hint="eastAsia"/>
          <w:sz w:val="24"/>
        </w:rPr>
        <w:t>系统进行</w:t>
      </w:r>
      <w:proofErr w:type="gramStart"/>
      <w:r>
        <w:rPr>
          <w:rFonts w:ascii="宋体" w:hAnsi="宋体" w:hint="eastAsia"/>
          <w:sz w:val="24"/>
        </w:rPr>
        <w:t>出入金</w:t>
      </w:r>
      <w:proofErr w:type="gramEnd"/>
      <w:r>
        <w:rPr>
          <w:rFonts w:ascii="宋体" w:hAnsi="宋体" w:hint="eastAsia"/>
          <w:sz w:val="24"/>
        </w:rPr>
        <w:t>操作。当结算</w:t>
      </w:r>
      <w:proofErr w:type="gramStart"/>
      <w:r>
        <w:rPr>
          <w:rFonts w:ascii="宋体" w:hAnsi="宋体" w:hint="eastAsia"/>
          <w:sz w:val="24"/>
        </w:rPr>
        <w:t>银行银期转账</w:t>
      </w:r>
      <w:proofErr w:type="gramEnd"/>
      <w:r>
        <w:rPr>
          <w:rFonts w:ascii="宋体" w:hAnsi="宋体" w:hint="eastAsia"/>
          <w:sz w:val="24"/>
        </w:rPr>
        <w:t>系统出现故障等其他紧急情况时，基金管理人可以使用</w:t>
      </w:r>
      <w:proofErr w:type="gramStart"/>
      <w:r>
        <w:rPr>
          <w:rFonts w:ascii="宋体" w:hAnsi="宋体" w:hint="eastAsia"/>
          <w:sz w:val="24"/>
        </w:rPr>
        <w:t>非银期转账</w:t>
      </w:r>
      <w:proofErr w:type="gramEnd"/>
      <w:r>
        <w:rPr>
          <w:rFonts w:ascii="宋体" w:hAnsi="宋体" w:hint="eastAsia"/>
          <w:sz w:val="24"/>
        </w:rPr>
        <w:t>手工出入金。</w:t>
      </w:r>
    </w:p>
    <w:p w14:paraId="1FD9E5EE" w14:textId="77777777" w:rsidR="00E20C16" w:rsidRDefault="003047E6">
      <w:pPr>
        <w:adjustRightInd w:val="0"/>
        <w:snapToGrid w:val="0"/>
        <w:spacing w:line="360" w:lineRule="auto"/>
        <w:ind w:firstLineChars="200" w:firstLine="480"/>
        <w:rPr>
          <w:rFonts w:ascii="宋体" w:hAnsi="宋体"/>
          <w:sz w:val="24"/>
        </w:rPr>
      </w:pPr>
      <w:proofErr w:type="gramStart"/>
      <w:r>
        <w:rPr>
          <w:rFonts w:ascii="宋体" w:hAnsi="宋体" w:hint="eastAsia"/>
          <w:sz w:val="24"/>
        </w:rPr>
        <w:t>非银期转账</w:t>
      </w:r>
      <w:proofErr w:type="gramEnd"/>
      <w:r>
        <w:rPr>
          <w:rFonts w:ascii="宋体" w:hAnsi="宋体" w:hint="eastAsia"/>
          <w:sz w:val="24"/>
        </w:rPr>
        <w:t>手工出入金，入金由基金托管人依据基金管理人提供的划款指令通过结算银行的</w:t>
      </w:r>
      <w:proofErr w:type="gramStart"/>
      <w:r>
        <w:rPr>
          <w:rFonts w:ascii="宋体" w:hAnsi="宋体" w:hint="eastAsia"/>
          <w:sz w:val="24"/>
        </w:rPr>
        <w:t>网银系统划往</w:t>
      </w:r>
      <w:proofErr w:type="gramEnd"/>
      <w:r>
        <w:rPr>
          <w:rFonts w:ascii="宋体" w:hAnsi="宋体" w:hint="eastAsia"/>
          <w:sz w:val="24"/>
        </w:rPr>
        <w:t>期货公司指定账户后，由基金管理人通知期货公司进行入金操作，出金由基金管理人通知期货公司出金后，再发送指令给基金托管人，由基金托管人依据基金管理人提供的划款指令通过结算银行的</w:t>
      </w:r>
      <w:proofErr w:type="gramStart"/>
      <w:r>
        <w:rPr>
          <w:rFonts w:ascii="宋体" w:hAnsi="宋体" w:hint="eastAsia"/>
          <w:sz w:val="24"/>
        </w:rPr>
        <w:t>网银系统划往本</w:t>
      </w:r>
      <w:proofErr w:type="gramEnd"/>
      <w:r>
        <w:rPr>
          <w:rFonts w:ascii="宋体" w:hAnsi="宋体" w:hint="eastAsia"/>
          <w:sz w:val="24"/>
        </w:rPr>
        <w:t>基金托管账户。</w:t>
      </w:r>
    </w:p>
    <w:p w14:paraId="0556B0B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执行完期货出金或入金的操作后，基金管理人应通过其交易系统或终端系统查询出金划出情况和入金到账情况。</w:t>
      </w:r>
    </w:p>
    <w:p w14:paraId="69C6C488" w14:textId="06CBD899" w:rsidR="00E20C16" w:rsidRDefault="003047E6">
      <w:pPr>
        <w:adjustRightInd w:val="0"/>
        <w:snapToGrid w:val="0"/>
        <w:spacing w:line="360" w:lineRule="auto"/>
        <w:ind w:firstLineChars="200" w:firstLine="480"/>
        <w:rPr>
          <w:rFonts w:ascii="宋体" w:hAnsi="宋体"/>
          <w:sz w:val="24"/>
        </w:rPr>
      </w:pPr>
      <w:r w:rsidRPr="00454BBA">
        <w:rPr>
          <w:rFonts w:ascii="宋体" w:hAnsi="宋体" w:hint="eastAsia"/>
          <w:sz w:val="24"/>
        </w:rPr>
        <w:t>对于场内业务，首次进行场内交易</w:t>
      </w:r>
      <w:proofErr w:type="gramStart"/>
      <w:r w:rsidRPr="00454BBA">
        <w:rPr>
          <w:rFonts w:ascii="宋体" w:hAnsi="宋体" w:hint="eastAsia"/>
          <w:sz w:val="24"/>
        </w:rPr>
        <w:t>前基金</w:t>
      </w:r>
      <w:proofErr w:type="gramEnd"/>
      <w:r w:rsidRPr="00454BBA">
        <w:rPr>
          <w:rFonts w:ascii="宋体" w:hAnsi="宋体" w:hint="eastAsia"/>
          <w:sz w:val="24"/>
        </w:rPr>
        <w:t>管理人应与基金托管人确认已完成交易单元和股东代码设置后方可进行。</w:t>
      </w:r>
      <w:r>
        <w:rPr>
          <w:rFonts w:ascii="宋体" w:hAnsi="宋体" w:hint="eastAsia"/>
          <w:sz w:val="24"/>
        </w:rPr>
        <w:t xml:space="preserve"> </w:t>
      </w:r>
    </w:p>
    <w:p w14:paraId="096E8401" w14:textId="1DD2E1A5"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对于银行间业务，如需发送银行间成交单或者划款指令的，基金管理人应于交易日</w:t>
      </w:r>
      <w:r>
        <w:rPr>
          <w:rFonts w:ascii="宋体" w:hAnsi="宋体"/>
          <w:sz w:val="24"/>
        </w:rPr>
        <w:t>15:00前将银行间成交单及相关划款指令发送至</w:t>
      </w:r>
      <w:r>
        <w:rPr>
          <w:rFonts w:ascii="宋体" w:hAnsi="宋体" w:hint="eastAsia"/>
          <w:sz w:val="24"/>
        </w:rPr>
        <w:t xml:space="preserve">基金托管人。基金管理人应与基金托管人确认基金托管人已完成证书和权限设置后方可进行本基金的银行间交易。 </w:t>
      </w:r>
    </w:p>
    <w:p w14:paraId="6FCAD1B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w:t>
      </w:r>
      <w:r>
        <w:rPr>
          <w:rFonts w:ascii="宋体" w:hAnsi="宋体"/>
          <w:sz w:val="24"/>
        </w:rPr>
        <w:t>2小时将指令发送至</w:t>
      </w:r>
      <w:r>
        <w:rPr>
          <w:rFonts w:ascii="宋体" w:hAnsi="宋体" w:hint="eastAsia"/>
          <w:sz w:val="24"/>
        </w:rPr>
        <w:t>基金托管人；对于基金管理人于</w:t>
      </w:r>
      <w:r>
        <w:rPr>
          <w:rFonts w:ascii="宋体" w:hAnsi="宋体"/>
          <w:sz w:val="24"/>
        </w:rPr>
        <w:t>15:00以后发送至</w:t>
      </w:r>
      <w:r>
        <w:rPr>
          <w:rFonts w:ascii="宋体" w:hAnsi="宋体" w:hint="eastAsia"/>
          <w:sz w:val="24"/>
        </w:rPr>
        <w:t>基金托管人的指令，基金托管人不保证当日出款。</w:t>
      </w:r>
    </w:p>
    <w:p w14:paraId="52DCFC0D"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纸质</w:t>
      </w:r>
      <w:r>
        <w:rPr>
          <w:rFonts w:ascii="宋体" w:hAnsi="宋体"/>
          <w:sz w:val="24"/>
        </w:rPr>
        <w:t>指令的确认</w:t>
      </w:r>
    </w:p>
    <w:p w14:paraId="02BE6827"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14:paraId="5DAE4315"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指令的执行</w:t>
      </w:r>
    </w:p>
    <w:p w14:paraId="01506F3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05C6B798" w14:textId="77777777" w:rsidR="00E20C16" w:rsidRPr="002605A0"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基金托管人确认收到基金管理人发送的指令后，应对指令进行形式审查，验证指令的要素</w:t>
      </w:r>
      <w:r w:rsidRPr="007C0AE2">
        <w:rPr>
          <w:rFonts w:ascii="宋体" w:hAnsi="宋体" w:hint="eastAsia"/>
          <w:sz w:val="24"/>
        </w:rPr>
        <w:t>（金额、收款账号、收款户名、用途）是否齐全，传真指令还应审核印鉴和印章</w:t>
      </w:r>
      <w:r w:rsidRPr="007C0AE2">
        <w:rPr>
          <w:rFonts w:ascii="宋体" w:hAnsi="宋体"/>
          <w:sz w:val="24"/>
        </w:rPr>
        <w:t>/</w:t>
      </w:r>
      <w:r w:rsidRPr="007C0AE2">
        <w:rPr>
          <w:rFonts w:ascii="宋体" w:hAnsi="宋体" w:hint="eastAsia"/>
          <w:sz w:val="24"/>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合同约定进行表面一致性审查，不负责审查基金管理人发送指令同时提交的其他文件资料的合法性、真实性、完整性和有效性，基金管理人应保证上述</w:t>
      </w:r>
      <w:r w:rsidRPr="002605A0">
        <w:rPr>
          <w:rFonts w:ascii="宋体" w:hAnsi="宋体" w:hint="eastAsia"/>
          <w:sz w:val="24"/>
        </w:rPr>
        <w:t>文件资料合法、真实、完整和有效。如因基金管理人提供的上述文件不合法、不真实、不完整或失去效力而影响基金托管人的审核或给任何第三人带来损失，由基金管理人承担责任。</w:t>
      </w:r>
      <w:r w:rsidRPr="002605A0">
        <w:rPr>
          <w:rFonts w:ascii="宋体" w:hAnsi="宋体"/>
          <w:sz w:val="24"/>
        </w:rPr>
        <w:t xml:space="preserve"> </w:t>
      </w:r>
    </w:p>
    <w:p w14:paraId="337E0150" w14:textId="3AAAD5AD" w:rsidR="00E20C16" w:rsidRPr="007C0AE2" w:rsidRDefault="003047E6">
      <w:pPr>
        <w:adjustRightInd w:val="0"/>
        <w:snapToGrid w:val="0"/>
        <w:spacing w:line="360" w:lineRule="auto"/>
        <w:ind w:firstLineChars="200" w:firstLine="480"/>
        <w:rPr>
          <w:rFonts w:ascii="宋体" w:hAnsi="宋体"/>
          <w:sz w:val="24"/>
        </w:rPr>
      </w:pPr>
      <w:r w:rsidRPr="004E4547">
        <w:rPr>
          <w:rFonts w:ascii="宋体" w:hAnsi="宋体" w:hint="eastAsia"/>
          <w:sz w:val="24"/>
        </w:rPr>
        <w:t>基金托管人确认收到基金管理人发送的指令后，应对指令进行形式审查，验证指令的要素是否齐全，传真指令还应审核印鉴和签</w:t>
      </w:r>
      <w:r w:rsidRPr="007C0AE2">
        <w:rPr>
          <w:rFonts w:ascii="宋体" w:hAnsi="宋体" w:hint="eastAsia"/>
          <w:sz w:val="24"/>
        </w:rPr>
        <w:t>章是否和预留印鉴和签章样本相符，指令复核无误后应在规定期限内及时执行。</w:t>
      </w:r>
    </w:p>
    <w:p w14:paraId="040516CB" w14:textId="46D41DB9" w:rsidR="00E20C16" w:rsidRDefault="003047E6">
      <w:pPr>
        <w:adjustRightInd w:val="0"/>
        <w:snapToGrid w:val="0"/>
        <w:spacing w:line="360" w:lineRule="auto"/>
        <w:ind w:firstLineChars="200" w:firstLine="480"/>
        <w:rPr>
          <w:rFonts w:ascii="宋体" w:hAnsi="宋体"/>
          <w:szCs w:val="21"/>
        </w:rPr>
      </w:pPr>
      <w:r w:rsidRPr="007C0AE2">
        <w:rPr>
          <w:rFonts w:ascii="宋体" w:hAnsi="宋体" w:hint="eastAsia"/>
          <w:sz w:val="24"/>
        </w:rPr>
        <w:t>基金托管人审核指令无误后应在规定期限内及时执行。</w:t>
      </w:r>
      <w:r>
        <w:rPr>
          <w:rFonts w:ascii="宋体" w:hAnsi="宋体" w:hint="eastAsia"/>
          <w:sz w:val="24"/>
        </w:rPr>
        <w:t xml:space="preserve"> </w:t>
      </w:r>
    </w:p>
    <w:p w14:paraId="52480AD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6.指令的撤销</w:t>
      </w:r>
    </w:p>
    <w:p w14:paraId="30D4352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14:paraId="58070782" w14:textId="77777777" w:rsidR="00E20C16" w:rsidRDefault="003047E6">
      <w:pPr>
        <w:pStyle w:val="a8"/>
        <w:spacing w:line="360" w:lineRule="auto"/>
        <w:rPr>
          <w:rFonts w:ascii="宋体" w:eastAsia="宋体" w:hAnsi="宋体"/>
          <w:szCs w:val="24"/>
        </w:rPr>
      </w:pPr>
      <w:r>
        <w:rPr>
          <w:rFonts w:ascii="宋体" w:eastAsia="宋体" w:hAnsi="宋体" w:hint="eastAsia"/>
          <w:szCs w:val="24"/>
        </w:rPr>
        <w:t>（四）基金管理人发送错误指令的情形和处理程序</w:t>
      </w:r>
    </w:p>
    <w:p w14:paraId="20B7DBDF"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基金管理人发送错误指令的情形包括指令发送人员无权或超越权限发送指令，指令不能辨识或要素不全导致无法执行等情形。</w:t>
      </w:r>
    </w:p>
    <w:p w14:paraId="487AC517"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2、当</w:t>
      </w:r>
      <w:r>
        <w:rPr>
          <w:rFonts w:ascii="宋体" w:hAnsi="宋体" w:hint="eastAsia"/>
          <w:sz w:val="24"/>
        </w:rPr>
        <w:t>基金托管人认为所接受指令为错误指令时，应及时与基金管理人进行电</w:t>
      </w:r>
      <w:r>
        <w:rPr>
          <w:rFonts w:ascii="宋体" w:hAnsi="宋体" w:hint="eastAsia"/>
          <w:sz w:val="24"/>
        </w:rPr>
        <w:lastRenderedPageBreak/>
        <w:t>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28E7DD5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6223589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ascii="宋体" w:hAnsi="宋体"/>
          <w:sz w:val="24"/>
        </w:rPr>
        <w:t>10个工作日内纠正，并报告中国证监会</w:t>
      </w:r>
      <w:r>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0109F6E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76523DF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4C20B14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除因故意或过失致使基金</w:t>
      </w:r>
      <w:r>
        <w:rPr>
          <w:rFonts w:ascii="宋体" w:hAnsi="宋体" w:cs="Arial"/>
          <w:sz w:val="24"/>
        </w:rPr>
        <w:t>财产</w:t>
      </w:r>
      <w:r>
        <w:rPr>
          <w:rFonts w:ascii="宋体" w:hAnsi="宋体" w:cs="Arial" w:hint="eastAsia"/>
          <w:sz w:val="24"/>
        </w:rPr>
        <w:t>、基金份额</w:t>
      </w:r>
      <w:r>
        <w:rPr>
          <w:rFonts w:ascii="宋体" w:hAnsi="宋体" w:cs="Arial"/>
          <w:sz w:val="24"/>
        </w:rPr>
        <w:t>持有人</w:t>
      </w:r>
      <w:r>
        <w:rPr>
          <w:rFonts w:ascii="宋体" w:hAnsi="宋体" w:hint="eastAsia"/>
          <w:sz w:val="24"/>
        </w:rPr>
        <w:t>、基金管理人的利益受到损害而负赔偿责任外，基金托管人对执行基金管理人的合法指令对基金财产造成的损失不承担赔偿责任。</w:t>
      </w:r>
    </w:p>
    <w:p w14:paraId="1D3D05B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（七）更换被授权人员的程序</w:t>
      </w:r>
    </w:p>
    <w:p w14:paraId="49114E64"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37F9376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基金托管人更换接收基金管理人指令的人员，应提前通知基金管理人。</w:t>
      </w:r>
    </w:p>
    <w:p w14:paraId="6ECF6BE4"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266B053D"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72B4AEED"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18A7BC07" w14:textId="77777777" w:rsidR="00E20C16" w:rsidRDefault="003047E6">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14:paraId="75E50AD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14:paraId="6EDCEF8E" w14:textId="77777777" w:rsidR="00E20C16" w:rsidRDefault="003047E6">
      <w:pPr>
        <w:pStyle w:val="2"/>
        <w:spacing w:beforeLines="100" w:before="312" w:afterLines="50" w:after="156" w:line="360" w:lineRule="auto"/>
        <w:jc w:val="center"/>
        <w:rPr>
          <w:rFonts w:ascii="宋体" w:hAnsi="宋体"/>
          <w:sz w:val="24"/>
        </w:rPr>
      </w:pPr>
      <w:bookmarkStart w:id="81" w:name="_Toc118774806"/>
      <w:bookmarkStart w:id="82" w:name="_Toc119402713"/>
      <w:bookmarkStart w:id="83" w:name="_Toc86223245"/>
      <w:bookmarkStart w:id="84" w:name="_Toc86727358"/>
      <w:bookmarkStart w:id="85" w:name="_Toc86204791"/>
      <w:bookmarkStart w:id="86" w:name="_Toc84234437"/>
      <w:bookmarkStart w:id="87" w:name="_Toc84234390"/>
      <w:bookmarkStart w:id="88" w:name="_Toc110830495"/>
      <w:bookmarkStart w:id="89" w:name="_Toc86737932"/>
      <w:bookmarkStart w:id="90" w:name="_Toc110761799"/>
      <w:bookmarkStart w:id="91" w:name="_Toc118212953"/>
      <w:bookmarkStart w:id="92" w:name="_Toc86726442"/>
      <w:bookmarkStart w:id="93" w:name="_Toc86225294"/>
      <w:bookmarkStart w:id="94" w:name="_Toc110765663"/>
      <w:bookmarkStart w:id="95" w:name="_Toc84133788"/>
      <w:bookmarkStart w:id="96" w:name="_Toc118972651"/>
      <w:bookmarkStart w:id="97" w:name="_Toc108512361"/>
      <w:bookmarkStart w:id="98" w:name="_Toc86649725"/>
      <w:bookmarkStart w:id="99" w:name="_Toc89163371"/>
      <w:bookmarkStart w:id="100" w:name="_Toc120435786"/>
      <w:r>
        <w:rPr>
          <w:rFonts w:ascii="宋体" w:hAnsi="宋体"/>
          <w:sz w:val="24"/>
        </w:rPr>
        <w:br w:type="page"/>
      </w:r>
      <w:bookmarkStart w:id="101" w:name="_Toc384992697"/>
      <w:bookmarkStart w:id="102" w:name="_Toc348082035"/>
      <w:bookmarkStart w:id="103" w:name="_Toc488938616"/>
      <w:r>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CDF0FB3" w14:textId="52850DCF"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（一）选择代理证券、期货买卖的证券、期货经营机构</w:t>
      </w:r>
    </w:p>
    <w:p w14:paraId="046A1C4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1、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75CB5F8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61C9D6E" w14:textId="260DE0D6"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（1）基金管理人所选择的期货公司负责办理</w:t>
      </w:r>
      <w:r w:rsidR="003755F6">
        <w:rPr>
          <w:rFonts w:ascii="宋体" w:hAnsi="宋体" w:hint="eastAsia"/>
          <w:sz w:val="24"/>
        </w:rPr>
        <w:t>基金</w:t>
      </w:r>
      <w:r>
        <w:rPr>
          <w:rFonts w:ascii="宋体" w:hAnsi="宋体" w:hint="eastAsia"/>
          <w:sz w:val="24"/>
        </w:rPr>
        <w:t>资产的期货交易的清算交割。</w:t>
      </w:r>
    </w:p>
    <w:p w14:paraId="62D04147" w14:textId="36BDD712"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14:paraId="6A65231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5005BE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（3）基金管理人应责成其选择的期货公司对发送的数据的准确性、完整性、真实性负责。</w:t>
      </w:r>
    </w:p>
    <w:p w14:paraId="39D2CDB7" w14:textId="2BF0A14F" w:rsidR="00E20C16" w:rsidRDefault="003047E6">
      <w:pPr>
        <w:adjustRightInd w:val="0"/>
        <w:snapToGrid w:val="0"/>
        <w:spacing w:line="360" w:lineRule="auto"/>
        <w:ind w:firstLineChars="200" w:firstLine="480"/>
        <w:rPr>
          <w:rFonts w:ascii="宋体" w:hAnsi="宋体" w:cs="Arial"/>
          <w:szCs w:val="21"/>
        </w:rPr>
      </w:pPr>
      <w:r>
        <w:rPr>
          <w:rFonts w:ascii="宋体" w:hAnsi="宋体" w:hint="eastAsia"/>
          <w:sz w:val="24"/>
        </w:rPr>
        <w:t>由于交易结算报告的记载事项出现与实际交易结果和权益不符造成本基金估</w:t>
      </w:r>
      <w:r>
        <w:rPr>
          <w:rFonts w:ascii="宋体" w:hAnsi="宋体" w:hint="eastAsia"/>
          <w:sz w:val="24"/>
        </w:rPr>
        <w:lastRenderedPageBreak/>
        <w:t>值计算错误的，应由基金管理人负责向数据发送方追偿，基金托管人不承担责任。</w:t>
      </w:r>
    </w:p>
    <w:p w14:paraId="672AB7AD"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6CD54BA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基金管理人和基金托管人在基金财产场内清算交收及相关风险控制方面的职责按照附件《托管银行证券资金结算规定》的要求执行。</w:t>
      </w:r>
    </w:p>
    <w:p w14:paraId="4DC41D6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77A91397"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2C618EE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35B30D8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14:paraId="3119D77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76AF220"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14:paraId="6CD79AED"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265F661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34DD55A8"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A2BCFD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6DD0713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093770F"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lastRenderedPageBreak/>
        <w:t>9.资金指令</w:t>
      </w:r>
    </w:p>
    <w:p w14:paraId="644B69D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3C29476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16A45D5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（四）资金净额结算</w:t>
      </w:r>
    </w:p>
    <w:p w14:paraId="3A9E555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p>
    <w:p w14:paraId="673C7F95" w14:textId="77777777" w:rsidR="00E20C16" w:rsidRDefault="003047E6">
      <w:pPr>
        <w:adjustRightInd w:val="0"/>
        <w:snapToGrid w:val="0"/>
        <w:spacing w:line="360" w:lineRule="auto"/>
        <w:ind w:firstLineChars="200" w:firstLine="480"/>
        <w:rPr>
          <w:rFonts w:ascii="宋体" w:hAnsi="宋体"/>
          <w:i/>
          <w:sz w:val="24"/>
        </w:rPr>
      </w:pPr>
      <w:r>
        <w:rPr>
          <w:rFonts w:ascii="宋体" w:hAnsi="宋体" w:hint="eastAsia"/>
          <w:sz w:val="24"/>
        </w:rPr>
        <w:t>当存在资金账户净应付额时，如基金</w:t>
      </w:r>
      <w:r>
        <w:rPr>
          <w:rFonts w:ascii="宋体" w:hAnsi="宋体" w:cs="Arial" w:hint="eastAsia"/>
          <w:sz w:val="24"/>
        </w:rPr>
        <w:t>资金</w:t>
      </w:r>
      <w:r>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14:paraId="16F771F0"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2DDAD2DD"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14:paraId="3ED8377C"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14:paraId="07D569AA"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21435B87"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04" w:name="_Toc348082036"/>
      <w:bookmarkStart w:id="105" w:name="_Toc488938617"/>
      <w:bookmarkStart w:id="106" w:name="_Toc384992698"/>
      <w:r>
        <w:rPr>
          <w:rFonts w:ascii="宋体" w:hAnsi="宋体" w:hint="eastAsia"/>
          <w:sz w:val="24"/>
        </w:rPr>
        <w:lastRenderedPageBreak/>
        <w:t>八、基金资产净值计算、估值和会计核算</w:t>
      </w:r>
      <w:bookmarkEnd w:id="104"/>
      <w:bookmarkEnd w:id="105"/>
      <w:bookmarkEnd w:id="106"/>
    </w:p>
    <w:p w14:paraId="301B096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1845B46E"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1.基金资产净值</w:t>
      </w:r>
    </w:p>
    <w:p w14:paraId="45278FEA"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19C8E771" w14:textId="77777777" w:rsidR="00E20C16" w:rsidRDefault="003047E6">
      <w:pPr>
        <w:adjustRightInd w:val="0"/>
        <w:snapToGrid w:val="0"/>
        <w:spacing w:line="360" w:lineRule="auto"/>
        <w:ind w:firstLineChars="200" w:firstLine="480"/>
        <w:rPr>
          <w:rFonts w:ascii="宋体" w:hAnsi="宋体"/>
          <w:sz w:val="24"/>
        </w:rPr>
      </w:pPr>
      <w:r>
        <w:rPr>
          <w:rFonts w:hint="eastAsia"/>
          <w:bCs/>
          <w:sz w:val="24"/>
        </w:rPr>
        <w:t>各类基金份额的</w:t>
      </w:r>
      <w:r>
        <w:rPr>
          <w:rFonts w:ascii="宋体" w:hAnsi="宋体" w:hint="eastAsia"/>
          <w:sz w:val="24"/>
        </w:rPr>
        <w:t>基金份额净值是按照每个</w:t>
      </w:r>
      <w:r>
        <w:rPr>
          <w:rFonts w:ascii="宋体" w:hAnsi="宋体"/>
          <w:sz w:val="24"/>
        </w:rPr>
        <w:t>工作</w:t>
      </w:r>
      <w:r>
        <w:rPr>
          <w:rFonts w:ascii="宋体" w:hAnsi="宋体" w:hint="eastAsia"/>
          <w:sz w:val="24"/>
        </w:rPr>
        <w:t>日闭市后，</w:t>
      </w:r>
      <w:r>
        <w:rPr>
          <w:bCs/>
          <w:sz w:val="24"/>
        </w:rPr>
        <w:t>任一</w:t>
      </w:r>
      <w:r>
        <w:rPr>
          <w:rFonts w:hint="eastAsia"/>
          <w:bCs/>
          <w:sz w:val="24"/>
        </w:rPr>
        <w:t>类基金份额的</w:t>
      </w:r>
      <w:r>
        <w:rPr>
          <w:rFonts w:ascii="宋体" w:hAnsi="宋体" w:hint="eastAsia"/>
          <w:sz w:val="24"/>
        </w:rPr>
        <w:t>基金资产净值除以当日</w:t>
      </w:r>
      <w:r>
        <w:rPr>
          <w:rFonts w:hint="eastAsia"/>
          <w:bCs/>
          <w:sz w:val="24"/>
        </w:rPr>
        <w:t>该类</w:t>
      </w:r>
      <w:r>
        <w:rPr>
          <w:rFonts w:ascii="宋体" w:hAnsi="宋体" w:hint="eastAsia"/>
          <w:sz w:val="24"/>
        </w:rPr>
        <w:t>基金份额的余额数量计算，精确到</w:t>
      </w:r>
      <w:r>
        <w:rPr>
          <w:rFonts w:ascii="宋体" w:hAnsi="宋体"/>
          <w:sz w:val="24"/>
        </w:rPr>
        <w:t>0.0001元，小数点后第</w:t>
      </w:r>
      <w:r>
        <w:rPr>
          <w:rFonts w:ascii="宋体" w:hAnsi="宋体" w:hint="eastAsia"/>
          <w:sz w:val="24"/>
        </w:rPr>
        <w:t>五位四舍五入。</w:t>
      </w:r>
      <w:r>
        <w:rPr>
          <w:rFonts w:ascii="宋体" w:hAnsi="宋体"/>
          <w:sz w:val="24"/>
        </w:rPr>
        <w:t>基金管理人可以设立大额赎回情形下的净值精度应急调整机制</w:t>
      </w:r>
      <w:r>
        <w:rPr>
          <w:rFonts w:ascii="宋体" w:hAnsi="宋体" w:hint="eastAsia"/>
          <w:bCs/>
          <w:sz w:val="24"/>
        </w:rPr>
        <w:t>，具体可参见相关公告</w:t>
      </w:r>
      <w:r>
        <w:rPr>
          <w:rFonts w:ascii="宋体" w:hAnsi="宋体"/>
          <w:sz w:val="24"/>
        </w:rPr>
        <w:t>。</w:t>
      </w:r>
      <w:r>
        <w:rPr>
          <w:rFonts w:ascii="宋体" w:hAnsi="宋体" w:hint="eastAsia"/>
          <w:sz w:val="24"/>
        </w:rPr>
        <w:t>国家另有规定的，从其规定。</w:t>
      </w:r>
    </w:p>
    <w:p w14:paraId="4B638EF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基金管理人于每个工作日分别计算</w:t>
      </w:r>
      <w:r>
        <w:rPr>
          <w:rFonts w:hint="eastAsia"/>
          <w:bCs/>
          <w:sz w:val="24"/>
        </w:rPr>
        <w:t>各类基金份额的</w:t>
      </w:r>
      <w:r>
        <w:rPr>
          <w:rFonts w:ascii="宋体" w:hAnsi="宋体" w:hint="eastAsia"/>
          <w:sz w:val="24"/>
        </w:rPr>
        <w:t>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456FE34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2.复核程序</w:t>
      </w:r>
    </w:p>
    <w:p w14:paraId="706E32CA"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4E9F6B17"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4DC26F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CD0F615" w14:textId="77777777" w:rsidR="00E20C16" w:rsidRDefault="003047E6">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177D374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39BD9839" w14:textId="77777777" w:rsidR="00E20C16" w:rsidRDefault="003047E6">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14:paraId="398593D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5486078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34DBD77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70E652D0"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F03DA3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（六）基金财务报表与报告的编制和复核</w:t>
      </w:r>
    </w:p>
    <w:p w14:paraId="61D6618A"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1.财务报表的编制</w:t>
      </w:r>
    </w:p>
    <w:p w14:paraId="7868DFD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6A6147B3"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2.报表复核</w:t>
      </w:r>
    </w:p>
    <w:p w14:paraId="3108883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2F5DF52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4291BC5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6BF34F2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702FE36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14:paraId="7832EF3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14:paraId="550F9E8B"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07" w:name="_Toc488938618"/>
      <w:bookmarkStart w:id="108" w:name="_Toc348082037"/>
      <w:bookmarkStart w:id="109" w:name="_Toc384992699"/>
      <w:r>
        <w:rPr>
          <w:rFonts w:ascii="宋体" w:hAnsi="宋体" w:hint="eastAsia"/>
          <w:sz w:val="24"/>
        </w:rPr>
        <w:lastRenderedPageBreak/>
        <w:t>九、基金收益分配</w:t>
      </w:r>
      <w:bookmarkEnd w:id="107"/>
      <w:bookmarkEnd w:id="108"/>
      <w:bookmarkEnd w:id="109"/>
    </w:p>
    <w:p w14:paraId="53420FB0" w14:textId="77777777" w:rsidR="00E20C16" w:rsidRDefault="003047E6">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2860C0EF"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10" w:name="_Toc488938619"/>
      <w:bookmarkStart w:id="111" w:name="_Toc384992700"/>
      <w:bookmarkStart w:id="112" w:name="_Toc348082038"/>
      <w:r>
        <w:rPr>
          <w:rFonts w:ascii="宋体" w:hAnsi="宋体" w:hint="eastAsia"/>
          <w:sz w:val="24"/>
        </w:rPr>
        <w:lastRenderedPageBreak/>
        <w:t>十、基金信息披露</w:t>
      </w:r>
      <w:bookmarkEnd w:id="110"/>
      <w:bookmarkEnd w:id="111"/>
      <w:bookmarkEnd w:id="112"/>
    </w:p>
    <w:p w14:paraId="22D65D2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14C164B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415A08"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1827BC6D"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47745B1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55D6813A" w14:textId="17753494"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期间的信息披露、清算报告、基金投资资产支持证券情况、</w:t>
      </w:r>
      <w:r w:rsidR="00F75F28">
        <w:rPr>
          <w:rFonts w:ascii="宋体" w:hAnsi="宋体" w:hint="eastAsia"/>
          <w:sz w:val="24"/>
        </w:rPr>
        <w:t>基金</w:t>
      </w:r>
      <w:r w:rsidR="00F75F28">
        <w:rPr>
          <w:rFonts w:ascii="宋体" w:hAnsi="宋体"/>
          <w:sz w:val="24"/>
        </w:rPr>
        <w:t>投资国债期货的情况、</w:t>
      </w:r>
      <w:r>
        <w:rPr>
          <w:rFonts w:ascii="宋体" w:hAnsi="宋体" w:hint="eastAsia"/>
          <w:sz w:val="24"/>
        </w:rPr>
        <w:t>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14:paraId="2128770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286BCD3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AABB5BB"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3867941C"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1.职责</w:t>
      </w:r>
    </w:p>
    <w:p w14:paraId="78A9D37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lastRenderedPageBreak/>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6220ED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039F1D3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Pr>
          <w:rFonts w:ascii="宋体" w:hAnsi="宋体" w:hint="eastAsia"/>
          <w:bCs/>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0A300CFD"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706F091E"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6EBDC17A" w14:textId="77777777" w:rsidR="00E20C16" w:rsidRDefault="003047E6">
      <w:pPr>
        <w:adjustRightInd w:val="0"/>
        <w:snapToGrid w:val="0"/>
        <w:spacing w:line="360" w:lineRule="auto"/>
        <w:ind w:firstLineChars="200" w:firstLine="480"/>
        <w:rPr>
          <w:rFonts w:hAnsi="宋体"/>
          <w:sz w:val="24"/>
        </w:rPr>
      </w:pPr>
      <w:r>
        <w:rPr>
          <w:rFonts w:ascii="宋体" w:hAnsi="宋体"/>
          <w:sz w:val="24"/>
        </w:rPr>
        <w:t>(2)基金投资所涉及的证券</w:t>
      </w:r>
      <w:r>
        <w:rPr>
          <w:rFonts w:ascii="宋体" w:hAnsi="宋体" w:hint="eastAsia"/>
          <w:sz w:val="24"/>
        </w:rPr>
        <w:t>、期货交易市场遇法定节假日或因其他原因暂停营业时；</w:t>
      </w:r>
    </w:p>
    <w:p w14:paraId="00B44FA6"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20603D3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2.程序</w:t>
      </w:r>
    </w:p>
    <w:p w14:paraId="271848E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9B0E166"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3.信息文本的存放</w:t>
      </w:r>
    </w:p>
    <w:p w14:paraId="41C3FFB3" w14:textId="77777777" w:rsidR="00E20C16" w:rsidRDefault="003047E6">
      <w:pPr>
        <w:pStyle w:val="a0"/>
        <w:adjustRightInd w:val="0"/>
        <w:snapToGrid w:val="0"/>
        <w:spacing w:line="360" w:lineRule="auto"/>
        <w:ind w:firstLine="480"/>
        <w:rPr>
          <w:rFonts w:ascii="宋体" w:hAnsi="宋体"/>
          <w:sz w:val="24"/>
        </w:rPr>
      </w:pPr>
      <w:r>
        <w:rPr>
          <w:rFonts w:ascii="宋体" w:hAnsi="宋体" w:hint="eastAsia"/>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14:paraId="17355EEE"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13" w:name="_Toc348082039"/>
      <w:bookmarkStart w:id="114" w:name="_Toc488938620"/>
      <w:bookmarkStart w:id="115" w:name="_Toc384992701"/>
      <w:r>
        <w:rPr>
          <w:rFonts w:ascii="宋体" w:hAnsi="宋体" w:hint="eastAsia"/>
          <w:sz w:val="24"/>
        </w:rPr>
        <w:lastRenderedPageBreak/>
        <w:t>十一、基金费用</w:t>
      </w:r>
      <w:bookmarkEnd w:id="113"/>
      <w:bookmarkEnd w:id="114"/>
      <w:bookmarkEnd w:id="115"/>
    </w:p>
    <w:p w14:paraId="75878F53" w14:textId="77777777" w:rsidR="00E20C16" w:rsidRDefault="003047E6">
      <w:pPr>
        <w:adjustRightInd w:val="0"/>
        <w:snapToGrid w:val="0"/>
        <w:spacing w:line="360" w:lineRule="auto"/>
        <w:ind w:firstLineChars="200" w:firstLine="480"/>
        <w:rPr>
          <w:sz w:val="24"/>
        </w:rPr>
      </w:pPr>
      <w:r>
        <w:rPr>
          <w:rFonts w:hint="eastAsia"/>
          <w:sz w:val="24"/>
        </w:rPr>
        <w:t>（一）基金托管费的计提方法、计提标准和支付方式如下：</w:t>
      </w:r>
    </w:p>
    <w:p w14:paraId="6C924C33" w14:textId="77777777" w:rsidR="00E20C16" w:rsidRDefault="003047E6">
      <w:pPr>
        <w:adjustRightInd w:val="0"/>
        <w:snapToGrid w:val="0"/>
        <w:spacing w:line="360" w:lineRule="auto"/>
        <w:ind w:firstLineChars="200" w:firstLine="480"/>
        <w:rPr>
          <w:sz w:val="24"/>
        </w:rPr>
      </w:pPr>
      <w:r>
        <w:rPr>
          <w:rFonts w:hint="eastAsia"/>
          <w:sz w:val="24"/>
        </w:rPr>
        <w:t>本基金的托管费按前一日基金资产净值的</w:t>
      </w:r>
      <w:r>
        <w:rPr>
          <w:sz w:val="24"/>
        </w:rPr>
        <w:t>0.05</w:t>
      </w:r>
      <w:r>
        <w:rPr>
          <w:rFonts w:hint="eastAsia"/>
          <w:sz w:val="24"/>
        </w:rPr>
        <w:t>%</w:t>
      </w:r>
      <w:r>
        <w:rPr>
          <w:rFonts w:hint="eastAsia"/>
          <w:sz w:val="24"/>
        </w:rPr>
        <w:t>年费率计提。托管费的计算方法如下：</w:t>
      </w:r>
    </w:p>
    <w:p w14:paraId="438233D8" w14:textId="77777777" w:rsidR="00E20C16" w:rsidRDefault="003047E6">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×年托管费率÷当年天数</w:t>
      </w:r>
    </w:p>
    <w:p w14:paraId="750BADEC" w14:textId="77777777" w:rsidR="00E20C16" w:rsidRDefault="003047E6">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5C1C2960" w14:textId="77777777" w:rsidR="00E20C16" w:rsidRDefault="003047E6">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14:paraId="3F6C1E6B" w14:textId="77777777" w:rsidR="00E20C16" w:rsidRDefault="003047E6">
      <w:pPr>
        <w:adjustRightInd w:val="0"/>
        <w:snapToGrid w:val="0"/>
        <w:spacing w:line="360" w:lineRule="auto"/>
        <w:ind w:firstLineChars="200" w:firstLine="480"/>
        <w:rPr>
          <w:sz w:val="24"/>
        </w:rPr>
      </w:pPr>
      <w:r>
        <w:rPr>
          <w:rFonts w:hint="eastAsia"/>
          <w:sz w:val="24"/>
        </w:rPr>
        <w:t>基金托管费每日计提，逐日累计至每月月末，按月支付。由基金管理人与基金托管人核对一致后，由基金托管人按照与基金管理人协商一致的方式于次月首日起</w:t>
      </w:r>
      <w:r>
        <w:rPr>
          <w:rFonts w:hint="eastAsia"/>
          <w:sz w:val="24"/>
        </w:rPr>
        <w:t>5</w:t>
      </w:r>
      <w:r>
        <w:rPr>
          <w:rFonts w:hint="eastAsia"/>
          <w:sz w:val="24"/>
        </w:rPr>
        <w:t>个工作日内从基金财产中一次性支付给基金托管人，若遇法定节假日、休息日或不可抗力致使无法按时支付的，支付日期顺延。</w:t>
      </w:r>
    </w:p>
    <w:p w14:paraId="31D7C0D8" w14:textId="77777777" w:rsidR="00E20C16" w:rsidRDefault="003047E6">
      <w:pPr>
        <w:adjustRightInd w:val="0"/>
        <w:snapToGrid w:val="0"/>
        <w:spacing w:line="360" w:lineRule="auto"/>
        <w:ind w:firstLineChars="200" w:firstLine="480"/>
        <w:rPr>
          <w:rFonts w:ascii="宋体" w:hAnsi="宋体"/>
          <w:sz w:val="24"/>
        </w:rPr>
      </w:pPr>
      <w:r>
        <w:rPr>
          <w:rFonts w:hint="eastAsia"/>
          <w:sz w:val="24"/>
        </w:rPr>
        <w:t>（二）基金其他</w:t>
      </w:r>
      <w:r>
        <w:rPr>
          <w:rFonts w:hAnsi="宋体" w:hint="eastAsia"/>
          <w:sz w:val="24"/>
        </w:rPr>
        <w:t>费用按照《基金合同》的约定计提和支付</w:t>
      </w:r>
      <w:r>
        <w:rPr>
          <w:rFonts w:ascii="宋体" w:hAnsi="宋体" w:hint="eastAsia"/>
          <w:color w:val="000000"/>
          <w:sz w:val="24"/>
        </w:rPr>
        <w:t>。</w:t>
      </w:r>
    </w:p>
    <w:p w14:paraId="3D0DED5E" w14:textId="77777777" w:rsidR="00E20C16" w:rsidRDefault="003047E6">
      <w:pPr>
        <w:pStyle w:val="2"/>
        <w:spacing w:beforeLines="100" w:before="312" w:afterLines="50" w:after="156" w:line="360" w:lineRule="auto"/>
        <w:jc w:val="center"/>
        <w:rPr>
          <w:rFonts w:ascii="宋体" w:hAnsi="宋体"/>
          <w:sz w:val="21"/>
        </w:rPr>
      </w:pPr>
      <w:r>
        <w:rPr>
          <w:rFonts w:ascii="宋体" w:hAnsi="宋体"/>
          <w:sz w:val="21"/>
        </w:rPr>
        <w:br w:type="page"/>
      </w:r>
      <w:bookmarkStart w:id="116" w:name="_Toc488938621"/>
      <w:bookmarkStart w:id="117" w:name="_Toc348082040"/>
      <w:bookmarkStart w:id="118" w:name="_Toc384992702"/>
      <w:r>
        <w:rPr>
          <w:rFonts w:ascii="宋体" w:hAnsi="宋体" w:hint="eastAsia"/>
          <w:sz w:val="24"/>
        </w:rPr>
        <w:lastRenderedPageBreak/>
        <w:t>十二、基金份额持有人名册的保管</w:t>
      </w:r>
      <w:bookmarkEnd w:id="116"/>
      <w:bookmarkEnd w:id="117"/>
      <w:bookmarkEnd w:id="118"/>
    </w:p>
    <w:p w14:paraId="5A581340"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7FE771DC"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D080F89" w14:textId="77777777" w:rsidR="00E20C16" w:rsidRDefault="003047E6">
      <w:pPr>
        <w:pStyle w:val="2"/>
        <w:spacing w:beforeLines="100" w:before="312" w:afterLines="50" w:after="156" w:line="360" w:lineRule="auto"/>
        <w:ind w:firstLine="480"/>
        <w:jc w:val="center"/>
      </w:pPr>
      <w:r>
        <w:rPr>
          <w:rFonts w:ascii="宋体" w:hAnsi="宋体"/>
          <w:b w:val="0"/>
          <w:sz w:val="24"/>
        </w:rPr>
        <w:br w:type="page"/>
      </w:r>
      <w:bookmarkStart w:id="119" w:name="_Toc348082041"/>
      <w:bookmarkStart w:id="120" w:name="_Toc384992703"/>
      <w:bookmarkStart w:id="121" w:name="_Toc488938622"/>
      <w:r>
        <w:rPr>
          <w:rFonts w:ascii="宋体" w:hAnsi="宋体" w:hint="eastAsia"/>
          <w:sz w:val="24"/>
        </w:rPr>
        <w:lastRenderedPageBreak/>
        <w:t>十三、基金有关文件档案的保存</w:t>
      </w:r>
      <w:bookmarkEnd w:id="119"/>
      <w:bookmarkEnd w:id="120"/>
      <w:bookmarkEnd w:id="121"/>
    </w:p>
    <w:p w14:paraId="6948FC7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300A719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1BB59510"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20245869"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14:paraId="2D608691"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6B173B0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7540208E" w14:textId="77777777" w:rsidR="00E20C16" w:rsidRDefault="003047E6">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14:paraId="382DDD9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529B13B8"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22" w:name="_Toc384992704"/>
      <w:bookmarkStart w:id="123" w:name="_Toc348082042"/>
      <w:bookmarkStart w:id="124" w:name="_Toc488938623"/>
      <w:r>
        <w:rPr>
          <w:rFonts w:ascii="宋体" w:hAnsi="宋体" w:hint="eastAsia"/>
          <w:sz w:val="24"/>
        </w:rPr>
        <w:lastRenderedPageBreak/>
        <w:t>十四、基金管理人和基金托管人的更换</w:t>
      </w:r>
      <w:bookmarkEnd w:id="122"/>
      <w:bookmarkEnd w:id="123"/>
      <w:bookmarkEnd w:id="124"/>
    </w:p>
    <w:p w14:paraId="22504B38" w14:textId="77777777" w:rsidR="00E20C16" w:rsidRDefault="003047E6">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14:paraId="7D6260DB" w14:textId="77777777" w:rsidR="00E20C16" w:rsidRDefault="003047E6">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14:paraId="422AB6A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14:paraId="7BAD2F1A"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25" w:name="_Toc384992705"/>
      <w:bookmarkStart w:id="126" w:name="_Toc488938624"/>
      <w:bookmarkStart w:id="127" w:name="_Toc348082043"/>
      <w:r>
        <w:rPr>
          <w:rFonts w:ascii="宋体" w:hAnsi="宋体" w:hint="eastAsia"/>
          <w:sz w:val="24"/>
        </w:rPr>
        <w:lastRenderedPageBreak/>
        <w:t>十五、禁止行为</w:t>
      </w:r>
      <w:bookmarkEnd w:id="125"/>
      <w:bookmarkEnd w:id="126"/>
      <w:bookmarkEnd w:id="127"/>
    </w:p>
    <w:p w14:paraId="3DF4F8D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79FC69BC" w14:textId="77777777" w:rsidR="00E20C16" w:rsidRDefault="003047E6">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6371529F" w14:textId="77777777" w:rsidR="00E20C16" w:rsidRDefault="003047E6">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0D7B8B63" w14:textId="77777777" w:rsidR="00E20C16" w:rsidRDefault="003047E6">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579EFE79" w14:textId="77777777" w:rsidR="00E20C16" w:rsidRDefault="003047E6">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099559ED" w14:textId="49693063"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（五）基金管理人、基金托管人对他人泄露基金运作和管理过程中任何尚未按法律法规规定的方式公开披露的信息。</w:t>
      </w:r>
    </w:p>
    <w:p w14:paraId="41A79723" w14:textId="77777777" w:rsidR="00E20C16" w:rsidRDefault="003047E6">
      <w:pPr>
        <w:pStyle w:val="a8"/>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555E02D7"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129FC5E1" w14:textId="77777777" w:rsidR="00E20C16" w:rsidRDefault="003047E6">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1676FF10" w14:textId="77777777" w:rsidR="00E20C16" w:rsidRDefault="003047E6">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6E23D6BC" w14:textId="77777777" w:rsidR="00E20C16" w:rsidRDefault="003047E6">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28" w:name="_Toc488938625"/>
      <w:bookmarkStart w:id="129" w:name="_Toc384992706"/>
      <w:bookmarkStart w:id="130" w:name="_Toc348082044"/>
      <w:r>
        <w:rPr>
          <w:rFonts w:ascii="宋体" w:hAnsi="宋体" w:hint="eastAsia"/>
          <w:sz w:val="24"/>
        </w:rPr>
        <w:lastRenderedPageBreak/>
        <w:t>十六、托管协议的变更、终止与基金财产的清算</w:t>
      </w:r>
      <w:bookmarkEnd w:id="128"/>
      <w:bookmarkEnd w:id="129"/>
      <w:bookmarkEnd w:id="130"/>
    </w:p>
    <w:p w14:paraId="6FF1E6E6"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2E34087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D35309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1C95102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1、《基金合同》终止；</w:t>
      </w:r>
    </w:p>
    <w:p w14:paraId="1D989995"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0248A992"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389E019C" w14:textId="77777777" w:rsidR="00E20C16" w:rsidRDefault="003047E6">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20B080AA"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2E44ACB6" w14:textId="77777777" w:rsidR="00E20C16" w:rsidRDefault="003047E6">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1BA28960"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31" w:name="_Toc384992707"/>
      <w:bookmarkStart w:id="132" w:name="_Toc348082045"/>
      <w:bookmarkStart w:id="133" w:name="_Toc488938626"/>
      <w:r>
        <w:rPr>
          <w:rFonts w:ascii="宋体" w:hAnsi="宋体" w:hint="eastAsia"/>
          <w:sz w:val="24"/>
        </w:rPr>
        <w:lastRenderedPageBreak/>
        <w:t>十七、违约责任</w:t>
      </w:r>
      <w:bookmarkEnd w:id="131"/>
      <w:bookmarkEnd w:id="132"/>
      <w:bookmarkEnd w:id="133"/>
    </w:p>
    <w:p w14:paraId="457CF7C0"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66394C5A"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3F32FD19"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2249135" w14:textId="77777777" w:rsidR="00E20C16" w:rsidRDefault="003047E6">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6FE37205" w14:textId="77777777" w:rsidR="00E20C16" w:rsidRDefault="003047E6">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039A2CDF" w14:textId="77777777" w:rsidR="00E20C16" w:rsidRDefault="003047E6">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4CB80EA6"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4C16D384"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14:paraId="22BD474C" w14:textId="77777777" w:rsidR="00E20C16" w:rsidRDefault="003047E6">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14:paraId="5264E801" w14:textId="77777777" w:rsidR="00E20C16" w:rsidRDefault="003047E6">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04254D74" w14:textId="77777777" w:rsidR="00E20C16" w:rsidRDefault="003047E6">
      <w:pPr>
        <w:pStyle w:val="2"/>
        <w:spacing w:beforeLines="100" w:before="312" w:afterLines="50" w:after="156" w:line="360" w:lineRule="auto"/>
        <w:jc w:val="center"/>
        <w:rPr>
          <w:rFonts w:ascii="宋体" w:hAnsi="宋体"/>
          <w:sz w:val="24"/>
        </w:rPr>
      </w:pPr>
      <w:bookmarkStart w:id="135" w:name="_Toc384992708"/>
      <w:bookmarkStart w:id="136" w:name="_Toc488938627"/>
      <w:r>
        <w:rPr>
          <w:rFonts w:ascii="宋体" w:hAnsi="宋体" w:hint="eastAsia"/>
          <w:sz w:val="24"/>
        </w:rPr>
        <w:lastRenderedPageBreak/>
        <w:t>十八、争议解决方式</w:t>
      </w:r>
      <w:bookmarkEnd w:id="134"/>
      <w:bookmarkEnd w:id="135"/>
      <w:bookmarkEnd w:id="136"/>
    </w:p>
    <w:p w14:paraId="2618FB8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2775960D"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50A32CF"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p>
    <w:p w14:paraId="534C10FB"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37" w:name="_Toc384992709"/>
      <w:bookmarkStart w:id="138" w:name="_Toc488938628"/>
      <w:bookmarkStart w:id="139" w:name="_Toc348082047"/>
      <w:r>
        <w:rPr>
          <w:rFonts w:ascii="宋体" w:hAnsi="宋体" w:hint="eastAsia"/>
          <w:sz w:val="24"/>
        </w:rPr>
        <w:lastRenderedPageBreak/>
        <w:t>十九、托管协议的效力</w:t>
      </w:r>
      <w:bookmarkEnd w:id="137"/>
      <w:bookmarkEnd w:id="138"/>
      <w:bookmarkEnd w:id="139"/>
    </w:p>
    <w:p w14:paraId="28344899"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78D1E022"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26906E4A"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0DE3E321"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7A8D1F15"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12EE6E61"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40" w:name="_Toc488938629"/>
      <w:bookmarkStart w:id="141" w:name="_Toc348082048"/>
      <w:bookmarkStart w:id="142" w:name="_Toc384992710"/>
      <w:r>
        <w:rPr>
          <w:rFonts w:ascii="宋体" w:hAnsi="宋体" w:hint="eastAsia"/>
          <w:sz w:val="24"/>
        </w:rPr>
        <w:lastRenderedPageBreak/>
        <w:t>二十、其他事项</w:t>
      </w:r>
      <w:bookmarkEnd w:id="140"/>
      <w:bookmarkEnd w:id="141"/>
      <w:bookmarkEnd w:id="142"/>
    </w:p>
    <w:p w14:paraId="600D3B8E"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76B298E4"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3CA048A8"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本协议附件构成本协议不可分割的组成部分。</w:t>
      </w:r>
    </w:p>
    <w:p w14:paraId="6C10292C" w14:textId="77777777" w:rsidR="00E20C16" w:rsidRDefault="003047E6">
      <w:pPr>
        <w:pStyle w:val="2"/>
        <w:spacing w:beforeLines="100" w:before="312" w:afterLines="50" w:after="156" w:line="360" w:lineRule="auto"/>
        <w:jc w:val="center"/>
        <w:rPr>
          <w:rFonts w:ascii="宋体" w:hAnsi="宋体"/>
          <w:sz w:val="24"/>
        </w:rPr>
      </w:pPr>
      <w:r>
        <w:rPr>
          <w:rFonts w:ascii="宋体" w:hAnsi="宋体"/>
          <w:sz w:val="24"/>
        </w:rPr>
        <w:br w:type="page"/>
      </w:r>
      <w:bookmarkStart w:id="143" w:name="_Toc488938630"/>
      <w:bookmarkStart w:id="144" w:name="_Toc348082049"/>
      <w:bookmarkStart w:id="145" w:name="_Toc384992711"/>
      <w:r>
        <w:rPr>
          <w:rFonts w:ascii="宋体" w:hAnsi="宋体" w:hint="eastAsia"/>
          <w:sz w:val="24"/>
        </w:rPr>
        <w:lastRenderedPageBreak/>
        <w:t>二十一、托管协议的签订</w:t>
      </w:r>
      <w:bookmarkEnd w:id="143"/>
      <w:bookmarkEnd w:id="144"/>
      <w:bookmarkEnd w:id="145"/>
    </w:p>
    <w:p w14:paraId="43087C83" w14:textId="77777777" w:rsidR="00E20C16" w:rsidRDefault="003047E6">
      <w:pPr>
        <w:adjustRightInd w:val="0"/>
        <w:snapToGrid w:val="0"/>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14:paraId="379D8D6D" w14:textId="77777777" w:rsidR="00E20C16" w:rsidRDefault="003047E6">
      <w:pPr>
        <w:widowControl/>
        <w:jc w:val="left"/>
        <w:rPr>
          <w:rFonts w:ascii="宋体" w:hAnsi="宋体"/>
          <w:b/>
          <w:sz w:val="24"/>
        </w:rPr>
      </w:pPr>
      <w:bookmarkStart w:id="146" w:name="_Toc384992712"/>
      <w:bookmarkStart w:id="147" w:name="_Toc488938631"/>
      <w:r>
        <w:rPr>
          <w:rFonts w:ascii="宋体" w:hAnsi="宋体"/>
          <w:b/>
          <w:sz w:val="24"/>
        </w:rPr>
        <w:br w:type="page"/>
      </w:r>
    </w:p>
    <w:p w14:paraId="32474E4A" w14:textId="77777777" w:rsidR="00E20C16" w:rsidRDefault="003047E6">
      <w:pPr>
        <w:pStyle w:val="2"/>
        <w:spacing w:beforeLines="100" w:before="312" w:afterLines="50" w:after="156" w:line="360" w:lineRule="auto"/>
        <w:jc w:val="center"/>
        <w:rPr>
          <w:rFonts w:ascii="宋体" w:hAnsi="宋体"/>
          <w:sz w:val="24"/>
        </w:rPr>
      </w:pPr>
      <w:r>
        <w:rPr>
          <w:rFonts w:ascii="宋体" w:hAnsi="宋体" w:hint="eastAsia"/>
          <w:sz w:val="24"/>
        </w:rPr>
        <w:lastRenderedPageBreak/>
        <w:t>附件：托管银行证券资金结算规定</w:t>
      </w:r>
      <w:bookmarkEnd w:id="146"/>
      <w:bookmarkEnd w:id="147"/>
    </w:p>
    <w:p w14:paraId="74932F7E" w14:textId="77777777" w:rsidR="00E20C16" w:rsidRDefault="00E20C16">
      <w:pPr>
        <w:ind w:firstLineChars="202" w:firstLine="424"/>
        <w:rPr>
          <w:szCs w:val="21"/>
        </w:rPr>
      </w:pPr>
    </w:p>
    <w:p w14:paraId="4D91E0F8" w14:textId="77777777" w:rsidR="00E20C16" w:rsidRDefault="003047E6">
      <w:pPr>
        <w:spacing w:line="360" w:lineRule="auto"/>
        <w:ind w:firstLineChars="202" w:firstLine="424"/>
        <w:rPr>
          <w:szCs w:val="21"/>
        </w:rPr>
      </w:pPr>
      <w:r>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0706F05" w14:textId="77777777" w:rsidR="00E20C16" w:rsidRDefault="003047E6">
      <w:pPr>
        <w:spacing w:line="360" w:lineRule="auto"/>
        <w:ind w:firstLineChars="202" w:firstLine="424"/>
        <w:rPr>
          <w:szCs w:val="21"/>
        </w:rPr>
      </w:pPr>
      <w:r>
        <w:rPr>
          <w:rFonts w:hint="eastAsia"/>
          <w:szCs w:val="21"/>
        </w:rPr>
        <w:t>第一条</w:t>
      </w:r>
      <w:r>
        <w:rPr>
          <w:rFonts w:hint="eastAsia"/>
          <w:szCs w:val="21"/>
        </w:rPr>
        <w:t xml:space="preserve">  </w:t>
      </w:r>
      <w:r>
        <w:rPr>
          <w:rFonts w:hint="eastAsia"/>
          <w:szCs w:val="21"/>
        </w:rPr>
        <w:t>资产托管人系经中国银保监会、中国证监会及其他相关部门核准具备证券投资基金、保险资产、企业年金基金以及其他与结算公司结算业务相关的托管业务资格的商业银行；资产管理人系经中国证监会、中国银保监会批准设立的证券公司、基金管理公司、保险公司、保险资产管理公司等投资管理机构。</w:t>
      </w:r>
    </w:p>
    <w:p w14:paraId="2460065C" w14:textId="77777777" w:rsidR="00E20C16" w:rsidRDefault="003047E6">
      <w:pPr>
        <w:spacing w:line="360" w:lineRule="auto"/>
        <w:ind w:firstLineChars="202" w:firstLine="424"/>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12E0AE7F" w14:textId="77777777" w:rsidR="00E20C16" w:rsidRDefault="003047E6">
      <w:pPr>
        <w:spacing w:line="360" w:lineRule="auto"/>
        <w:ind w:firstLineChars="202" w:firstLine="424"/>
        <w:rPr>
          <w:szCs w:val="21"/>
        </w:rPr>
      </w:pPr>
      <w:r>
        <w:rPr>
          <w:rFonts w:hint="eastAsia"/>
          <w:szCs w:val="21"/>
        </w:rPr>
        <w:t>第三条</w:t>
      </w:r>
      <w:r>
        <w:rPr>
          <w:rFonts w:hint="eastAsia"/>
          <w:szCs w:val="21"/>
        </w:rPr>
        <w:t xml:space="preserve">  </w:t>
      </w:r>
      <w:r>
        <w:rPr>
          <w:rFonts w:hint="eastAsia"/>
          <w:szCs w:val="21"/>
        </w:rPr>
        <w:t>资产管理人和资产托管人同意遵守结算公司制定的业务规则。</w:t>
      </w:r>
    </w:p>
    <w:p w14:paraId="50930505" w14:textId="77777777" w:rsidR="00E20C16" w:rsidRDefault="003047E6">
      <w:pPr>
        <w:spacing w:line="360" w:lineRule="auto"/>
        <w:ind w:firstLineChars="202" w:firstLine="424"/>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33346436" w14:textId="77777777" w:rsidR="00E20C16" w:rsidRDefault="003047E6">
      <w:pPr>
        <w:spacing w:line="360" w:lineRule="auto"/>
        <w:ind w:firstLineChars="202" w:firstLine="424"/>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日）清算结果，按照结算业务规则，与结算公司完成最终不可撤销的证券与资金交收处理；同时在规定时限内，与资产管理人完成不可撤销的证券、资金交收处理。</w:t>
      </w:r>
    </w:p>
    <w:p w14:paraId="7BF54BD2" w14:textId="77777777" w:rsidR="00E20C16" w:rsidRDefault="003047E6">
      <w:pPr>
        <w:spacing w:line="360" w:lineRule="auto"/>
        <w:ind w:firstLineChars="202" w:firstLine="424"/>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14:paraId="0C6AC030" w14:textId="77777777" w:rsidR="00E20C16" w:rsidRDefault="003047E6">
      <w:pPr>
        <w:spacing w:line="360" w:lineRule="auto"/>
        <w:ind w:firstLineChars="202" w:firstLine="424"/>
        <w:rPr>
          <w:szCs w:val="21"/>
        </w:rPr>
      </w:pPr>
      <w:r>
        <w:rPr>
          <w:rFonts w:hint="eastAsia"/>
          <w:szCs w:val="21"/>
        </w:rPr>
        <w:t>（一）因资产管理人头寸匡算错误等资产管理</w:t>
      </w:r>
      <w:proofErr w:type="gramStart"/>
      <w:r>
        <w:rPr>
          <w:rFonts w:hint="eastAsia"/>
          <w:szCs w:val="21"/>
        </w:rPr>
        <w:t>人原因</w:t>
      </w:r>
      <w:proofErr w:type="gramEnd"/>
      <w:r>
        <w:rPr>
          <w:rFonts w:hint="eastAsia"/>
          <w:szCs w:val="21"/>
        </w:rPr>
        <w:t>导致的交收违约实际损失，由资产管理人承担。</w:t>
      </w:r>
    </w:p>
    <w:p w14:paraId="765B9F84" w14:textId="77777777" w:rsidR="00E20C16" w:rsidRDefault="003047E6">
      <w:pPr>
        <w:spacing w:line="360" w:lineRule="auto"/>
        <w:ind w:firstLineChars="202" w:firstLine="424"/>
        <w:rPr>
          <w:szCs w:val="21"/>
        </w:rPr>
      </w:pPr>
      <w:r>
        <w:rPr>
          <w:rFonts w:hint="eastAsia"/>
          <w:szCs w:val="21"/>
        </w:rPr>
        <w:t>（二）因资产托管人操作失误等资产托管</w:t>
      </w:r>
      <w:proofErr w:type="gramStart"/>
      <w:r>
        <w:rPr>
          <w:rFonts w:hint="eastAsia"/>
          <w:szCs w:val="21"/>
        </w:rPr>
        <w:t>人原因</w:t>
      </w:r>
      <w:proofErr w:type="gramEnd"/>
      <w:r>
        <w:rPr>
          <w:rFonts w:hint="eastAsia"/>
          <w:szCs w:val="21"/>
        </w:rPr>
        <w:t>导致的交收违约实际损失，由资产托管人承担。</w:t>
      </w:r>
    </w:p>
    <w:p w14:paraId="34037FFE" w14:textId="77777777" w:rsidR="00E20C16" w:rsidRDefault="003047E6">
      <w:pPr>
        <w:spacing w:line="360" w:lineRule="auto"/>
        <w:ind w:firstLineChars="202" w:firstLine="424"/>
        <w:rPr>
          <w:szCs w:val="21"/>
        </w:rPr>
      </w:pPr>
      <w:r>
        <w:rPr>
          <w:rFonts w:hint="eastAsia"/>
          <w:szCs w:val="21"/>
        </w:rPr>
        <w:t>（三）由第三方过错导致的交收违约损失，按照最大程度保护资产管理人管理托管资产持</w:t>
      </w:r>
      <w:r>
        <w:rPr>
          <w:rFonts w:hint="eastAsia"/>
          <w:szCs w:val="21"/>
        </w:rPr>
        <w:lastRenderedPageBreak/>
        <w:t>有人合法权益的原则，由双方协商处理，并由双方共同承担向第三方追偿的责任。</w:t>
      </w:r>
    </w:p>
    <w:p w14:paraId="055202A0" w14:textId="77777777" w:rsidR="00E20C16" w:rsidRDefault="003047E6">
      <w:pPr>
        <w:spacing w:line="360" w:lineRule="auto"/>
        <w:ind w:firstLineChars="202" w:firstLine="424"/>
        <w:rPr>
          <w:szCs w:val="21"/>
        </w:rPr>
      </w:pPr>
      <w:r>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63B7550" w14:textId="77777777" w:rsidR="00E20C16" w:rsidRDefault="003047E6">
      <w:pPr>
        <w:spacing w:line="360" w:lineRule="auto"/>
        <w:ind w:firstLineChars="202" w:firstLine="424"/>
        <w:rPr>
          <w:szCs w:val="21"/>
        </w:rPr>
      </w:pPr>
      <w:proofErr w:type="gramStart"/>
      <w:r>
        <w:rPr>
          <w:rFonts w:hint="eastAsia"/>
          <w:szCs w:val="21"/>
        </w:rPr>
        <w:t>若资产</w:t>
      </w:r>
      <w:proofErr w:type="gramEnd"/>
      <w:r>
        <w:rPr>
          <w:rFonts w:hint="eastAsia"/>
          <w:szCs w:val="21"/>
        </w:rPr>
        <w:t>管理人过错且利用自有资金或按照中国证监会规定使用风险准备金垫付资金交收透支，由此产生的收益归托管资产，由此产生的实际损失由资产管理人承担。</w:t>
      </w:r>
    </w:p>
    <w:p w14:paraId="221058F4" w14:textId="77777777" w:rsidR="00E20C16" w:rsidRDefault="003047E6">
      <w:pPr>
        <w:spacing w:line="360" w:lineRule="auto"/>
        <w:ind w:firstLineChars="202" w:firstLine="424"/>
        <w:rPr>
          <w:szCs w:val="21"/>
        </w:rPr>
      </w:pPr>
      <w:r>
        <w:rPr>
          <w:rFonts w:hint="eastAsia"/>
          <w:szCs w:val="21"/>
        </w:rPr>
        <w:t>第七条</w:t>
      </w:r>
      <w:r>
        <w:rPr>
          <w:rFonts w:hint="eastAsia"/>
          <w:szCs w:val="21"/>
        </w:rPr>
        <w:t xml:space="preserve">  </w:t>
      </w:r>
      <w:r>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Pr>
          <w:rFonts w:hint="eastAsia"/>
          <w:szCs w:val="21"/>
        </w:rPr>
        <w:t>非交易</w:t>
      </w:r>
      <w:proofErr w:type="gramEnd"/>
      <w:r>
        <w:rPr>
          <w:rFonts w:hint="eastAsia"/>
          <w:szCs w:val="21"/>
        </w:rPr>
        <w:t>涉及的资金和证券交收业务。</w:t>
      </w:r>
    </w:p>
    <w:p w14:paraId="683148C7" w14:textId="77777777" w:rsidR="00E20C16" w:rsidRDefault="003047E6">
      <w:pPr>
        <w:spacing w:line="360" w:lineRule="auto"/>
        <w:ind w:firstLineChars="202" w:firstLine="424"/>
        <w:rPr>
          <w:szCs w:val="21"/>
        </w:rPr>
      </w:pPr>
      <w:r>
        <w:rPr>
          <w:rFonts w:hint="eastAsia"/>
          <w:szCs w:val="21"/>
        </w:rPr>
        <w:t>第八条</w:t>
      </w:r>
      <w:r>
        <w:rPr>
          <w:rFonts w:hint="eastAsia"/>
          <w:szCs w:val="21"/>
        </w:rPr>
        <w:t xml:space="preserve">  </w:t>
      </w:r>
      <w:r>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45C1E6B7" w14:textId="77777777" w:rsidR="00E20C16" w:rsidRDefault="003047E6">
      <w:pPr>
        <w:spacing w:line="360" w:lineRule="auto"/>
        <w:ind w:firstLineChars="202" w:firstLine="424"/>
        <w:rPr>
          <w:szCs w:val="21"/>
        </w:rPr>
      </w:pPr>
      <w:proofErr w:type="gramStart"/>
      <w:r>
        <w:rPr>
          <w:rFonts w:hint="eastAsia"/>
          <w:szCs w:val="21"/>
        </w:rPr>
        <w:t>若资产</w:t>
      </w:r>
      <w:proofErr w:type="gramEnd"/>
      <w:r>
        <w:rPr>
          <w:rFonts w:hint="eastAsia"/>
          <w:szCs w:val="21"/>
        </w:rPr>
        <w:t>管理人管理资产结算备付金</w:t>
      </w:r>
      <w:proofErr w:type="gramStart"/>
      <w:r>
        <w:rPr>
          <w:rFonts w:hint="eastAsia"/>
          <w:szCs w:val="21"/>
        </w:rPr>
        <w:t>账户日末余额</w:t>
      </w:r>
      <w:proofErr w:type="gramEnd"/>
      <w:r>
        <w:rPr>
          <w:rFonts w:hint="eastAsia"/>
          <w:szCs w:val="21"/>
        </w:rPr>
        <w:t>低于其最低结算备付金限额的，资产管理人应于规定时间内补足款项。</w:t>
      </w:r>
    </w:p>
    <w:p w14:paraId="3ABCCDF4" w14:textId="77777777" w:rsidR="00E20C16" w:rsidRDefault="003047E6">
      <w:pPr>
        <w:spacing w:line="360" w:lineRule="auto"/>
        <w:ind w:firstLineChars="202" w:firstLine="424"/>
        <w:rPr>
          <w:szCs w:val="21"/>
        </w:rPr>
      </w:pPr>
      <w:r>
        <w:rPr>
          <w:rFonts w:hint="eastAsia"/>
          <w:szCs w:val="21"/>
        </w:rPr>
        <w:t>第九条</w:t>
      </w:r>
      <w:r>
        <w:rPr>
          <w:rFonts w:hint="eastAsia"/>
          <w:szCs w:val="21"/>
        </w:rPr>
        <w:t xml:space="preserve">  </w:t>
      </w:r>
      <w:r>
        <w:rPr>
          <w:rFonts w:hint="eastAsia"/>
          <w:szCs w:val="21"/>
        </w:rPr>
        <w:t>资产托管人收到结算公司按照与结算银行商定利率计付的结算备付金（含最低备付金）、结算保证金等资金利息后，于收息当日向资产管理人管理资产支付。</w:t>
      </w:r>
    </w:p>
    <w:p w14:paraId="7835CA73" w14:textId="77777777" w:rsidR="00E20C16" w:rsidRDefault="003047E6">
      <w:pPr>
        <w:spacing w:line="360" w:lineRule="auto"/>
        <w:ind w:firstLineChars="202" w:firstLine="424"/>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日），根据结算公司按照证券交易成交结果计算的资金清算数据和证券清算数据以及</w:t>
      </w:r>
      <w:proofErr w:type="gramStart"/>
      <w:r>
        <w:rPr>
          <w:rFonts w:hint="eastAsia"/>
          <w:szCs w:val="21"/>
        </w:rPr>
        <w:t>非交易</w:t>
      </w:r>
      <w:proofErr w:type="gramEnd"/>
      <w:r>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Pr>
          <w:rFonts w:hint="eastAsia"/>
          <w:szCs w:val="21"/>
        </w:rPr>
        <w:t>收资金</w:t>
      </w:r>
      <w:proofErr w:type="gramEnd"/>
      <w:r>
        <w:rPr>
          <w:rFonts w:hint="eastAsia"/>
          <w:szCs w:val="21"/>
        </w:rPr>
        <w:t>应及时计入各托管资产的银行账户。</w:t>
      </w:r>
    </w:p>
    <w:p w14:paraId="42A4A28D" w14:textId="77777777" w:rsidR="00E20C16" w:rsidRDefault="003047E6">
      <w:pPr>
        <w:spacing w:line="360" w:lineRule="auto"/>
        <w:ind w:firstLineChars="202" w:firstLine="424"/>
        <w:rPr>
          <w:szCs w:val="21"/>
        </w:rPr>
      </w:pPr>
      <w:r>
        <w:rPr>
          <w:rFonts w:hint="eastAsia"/>
          <w:szCs w:val="21"/>
        </w:rPr>
        <w:t>第十一条</w:t>
      </w:r>
      <w:r>
        <w:rPr>
          <w:rFonts w:hint="eastAsia"/>
          <w:szCs w:val="21"/>
        </w:rPr>
        <w:t xml:space="preserve">  </w:t>
      </w:r>
      <w:r>
        <w:rPr>
          <w:rFonts w:hint="eastAsia"/>
          <w:szCs w:val="21"/>
        </w:rPr>
        <w:t>资产托管人完成托管资产清算后，对于</w:t>
      </w:r>
      <w:proofErr w:type="gramStart"/>
      <w:r>
        <w:rPr>
          <w:rFonts w:hint="eastAsia"/>
          <w:szCs w:val="21"/>
        </w:rPr>
        <w:t>交收日可能</w:t>
      </w:r>
      <w:proofErr w:type="gramEnd"/>
      <w:r>
        <w:rPr>
          <w:rFonts w:hint="eastAsia"/>
          <w:szCs w:val="21"/>
        </w:rPr>
        <w:t>发生透支的情况，应及时与资产管理人沟通。</w:t>
      </w:r>
    </w:p>
    <w:p w14:paraId="40FCCFF8" w14:textId="77777777" w:rsidR="00E20C16" w:rsidRDefault="003047E6">
      <w:pPr>
        <w:spacing w:line="360" w:lineRule="auto"/>
        <w:ind w:firstLineChars="202" w:firstLine="424"/>
        <w:rPr>
          <w:szCs w:val="21"/>
        </w:rPr>
      </w:pPr>
      <w:r>
        <w:rPr>
          <w:rFonts w:hint="eastAsia"/>
          <w:szCs w:val="21"/>
        </w:rPr>
        <w:t>资产托管人于交收日（</w:t>
      </w:r>
      <w:r>
        <w:rPr>
          <w:rFonts w:hint="eastAsia"/>
          <w:szCs w:val="21"/>
        </w:rPr>
        <w:t>T+1</w:t>
      </w:r>
      <w:r>
        <w:rPr>
          <w:rFonts w:hint="eastAsia"/>
          <w:szCs w:val="21"/>
        </w:rPr>
        <w:t>日）根据交易所或结算公司数据计算的资产管理人</w:t>
      </w:r>
      <w:r>
        <w:rPr>
          <w:rFonts w:hint="eastAsia"/>
          <w:szCs w:val="21"/>
        </w:rPr>
        <w:t>T</w:t>
      </w:r>
      <w:r>
        <w:rPr>
          <w:rFonts w:hint="eastAsia"/>
          <w:szCs w:val="21"/>
        </w:rPr>
        <w:t>日交易清算结果，完成资产管理人管理资产资金、证券的交收。</w:t>
      </w:r>
    </w:p>
    <w:p w14:paraId="3DC32147" w14:textId="77777777" w:rsidR="00E20C16" w:rsidRDefault="003047E6">
      <w:pPr>
        <w:spacing w:line="360" w:lineRule="auto"/>
        <w:ind w:firstLineChars="202" w:firstLine="424"/>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资产管理人对资产托管人提供的清算数据存有异议，应及时与资产托管人沟通，但资产管理人不得因此拒绝履行或延迟履行当日的交收义务。经双方核实，确属资产托管</w:t>
      </w:r>
      <w:r>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01E085E0" w14:textId="77777777" w:rsidR="00E20C16" w:rsidRDefault="003047E6">
      <w:pPr>
        <w:spacing w:line="360" w:lineRule="auto"/>
        <w:ind w:firstLineChars="202" w:firstLine="424"/>
        <w:rPr>
          <w:szCs w:val="21"/>
        </w:rPr>
      </w:pPr>
      <w:r>
        <w:rPr>
          <w:rFonts w:hint="eastAsia"/>
          <w:szCs w:val="21"/>
        </w:rPr>
        <w:t>第十三条</w:t>
      </w:r>
      <w:r>
        <w:rPr>
          <w:rFonts w:hint="eastAsia"/>
          <w:szCs w:val="21"/>
        </w:rPr>
        <w:t xml:space="preserve"> </w:t>
      </w:r>
      <w:r>
        <w:rPr>
          <w:szCs w:val="21"/>
        </w:rPr>
        <w:t xml:space="preserve"> </w:t>
      </w:r>
      <w:r>
        <w:rPr>
          <w:rFonts w:hint="eastAsia"/>
          <w:szCs w:val="21"/>
        </w:rPr>
        <w:t>为确保资产托管人与结算公司的正常交收，不影响资产托管人所有托管资产的正常运作，正常情况下，交易日（</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管理人应保证其管理的各托管资产资金账户有足够的资金可完成与结算公司于交收日（</w:t>
      </w:r>
      <w:r>
        <w:rPr>
          <w:rFonts w:hint="eastAsia"/>
          <w:szCs w:val="21"/>
        </w:rPr>
        <w:t>T+1</w:t>
      </w:r>
      <w:r>
        <w:rPr>
          <w:rFonts w:hint="eastAsia"/>
          <w:szCs w:val="21"/>
        </w:rPr>
        <w:t>日）的资金交收。</w:t>
      </w:r>
    </w:p>
    <w:p w14:paraId="1D7C9721" w14:textId="77777777" w:rsidR="00E20C16" w:rsidRDefault="003047E6">
      <w:pPr>
        <w:spacing w:line="360" w:lineRule="auto"/>
        <w:ind w:firstLineChars="202" w:firstLine="424"/>
        <w:rPr>
          <w:szCs w:val="21"/>
        </w:rPr>
      </w:pPr>
      <w:r>
        <w:rPr>
          <w:rFonts w:hint="eastAsia"/>
          <w:szCs w:val="21"/>
        </w:rPr>
        <w:t>第十四条</w:t>
      </w:r>
      <w:r>
        <w:rPr>
          <w:rFonts w:hint="eastAsia"/>
          <w:szCs w:val="21"/>
        </w:rPr>
        <w:t xml:space="preserve">  </w:t>
      </w:r>
      <w:proofErr w:type="gramStart"/>
      <w:r>
        <w:rPr>
          <w:rFonts w:hint="eastAsia"/>
          <w:szCs w:val="21"/>
        </w:rPr>
        <w:t>若资产</w:t>
      </w:r>
      <w:proofErr w:type="gramEnd"/>
      <w:r>
        <w:rPr>
          <w:rFonts w:hint="eastAsia"/>
          <w:szCs w:val="21"/>
        </w:rPr>
        <w:t>管理人管理资产资金账户</w:t>
      </w:r>
      <w:r>
        <w:rPr>
          <w:rFonts w:hint="eastAsia"/>
          <w:szCs w:val="21"/>
        </w:rPr>
        <w:t>T</w:t>
      </w:r>
      <w:r>
        <w:rPr>
          <w:rFonts w:hint="eastAsia"/>
          <w:szCs w:val="21"/>
        </w:rPr>
        <w:t>日余额无法满足</w:t>
      </w:r>
      <w:r>
        <w:rPr>
          <w:rFonts w:hint="eastAsia"/>
          <w:szCs w:val="21"/>
        </w:rPr>
        <w:t>T+1</w:t>
      </w:r>
      <w:r>
        <w:rPr>
          <w:rFonts w:hint="eastAsia"/>
          <w:szCs w:val="21"/>
        </w:rPr>
        <w:t>日交</w:t>
      </w:r>
      <w:proofErr w:type="gramStart"/>
      <w:r>
        <w:rPr>
          <w:rFonts w:hint="eastAsia"/>
          <w:szCs w:val="21"/>
        </w:rPr>
        <w:t>收要求</w:t>
      </w:r>
      <w:proofErr w:type="gramEnd"/>
      <w:r>
        <w:rPr>
          <w:rFonts w:hint="eastAsia"/>
          <w:szCs w:val="21"/>
        </w:rPr>
        <w:t>时，资产管理人应按照《托管协议》或操作备忘录中约定的时点补足金额，未有约定的，应于</w:t>
      </w:r>
      <w:r>
        <w:rPr>
          <w:rFonts w:hint="eastAsia"/>
          <w:szCs w:val="21"/>
        </w:rPr>
        <w:t>T+1</w:t>
      </w:r>
      <w:r>
        <w:rPr>
          <w:rFonts w:hint="eastAsia"/>
          <w:szCs w:val="21"/>
        </w:rPr>
        <w:t>日</w:t>
      </w:r>
      <w:r>
        <w:rPr>
          <w:rFonts w:hint="eastAsia"/>
          <w:szCs w:val="21"/>
        </w:rPr>
        <w:t>12</w:t>
      </w:r>
      <w:r>
        <w:rPr>
          <w:rFonts w:hint="eastAsia"/>
          <w:szCs w:val="21"/>
        </w:rPr>
        <w:t>：</w:t>
      </w:r>
      <w:r>
        <w:rPr>
          <w:rFonts w:hint="eastAsia"/>
          <w:szCs w:val="21"/>
        </w:rPr>
        <w:t>00</w:t>
      </w:r>
      <w:r>
        <w:rPr>
          <w:rFonts w:hint="eastAsia"/>
          <w:szCs w:val="21"/>
        </w:rPr>
        <w:t>前补足金额，确保资产托管人及时完成清算交收。对于创新产品，补足金额的时点可在托管协议或其他文件中约定。</w:t>
      </w:r>
    </w:p>
    <w:p w14:paraId="4FBE7BAC" w14:textId="77777777" w:rsidR="00E20C16" w:rsidRDefault="003047E6">
      <w:pPr>
        <w:spacing w:line="360" w:lineRule="auto"/>
        <w:ind w:firstLineChars="202" w:firstLine="424"/>
        <w:rPr>
          <w:szCs w:val="21"/>
        </w:rPr>
      </w:pPr>
      <w:r>
        <w:rPr>
          <w:rFonts w:hint="eastAsia"/>
          <w:szCs w:val="21"/>
        </w:rPr>
        <w:t>第十五条</w:t>
      </w:r>
      <w:r>
        <w:rPr>
          <w:rFonts w:hint="eastAsia"/>
          <w:szCs w:val="21"/>
        </w:rPr>
        <w:t xml:space="preserve">  </w:t>
      </w:r>
      <w:r>
        <w:rPr>
          <w:rFonts w:hint="eastAsia"/>
          <w:szCs w:val="21"/>
        </w:rPr>
        <w:t>资产管理人未按本规定第十四条约定时限补足透支金额，其行为构成资产管理人资金交收违约，资产托管人依法按以下方式处理，且资产管理人应予以配合：</w:t>
      </w:r>
    </w:p>
    <w:p w14:paraId="599B462E" w14:textId="77777777" w:rsidR="00E20C16" w:rsidRDefault="003047E6">
      <w:pPr>
        <w:spacing w:line="360" w:lineRule="auto"/>
        <w:ind w:firstLineChars="202" w:firstLine="424"/>
        <w:rPr>
          <w:szCs w:val="21"/>
        </w:rPr>
      </w:pPr>
      <w:r>
        <w:rPr>
          <w:rFonts w:hint="eastAsia"/>
          <w:szCs w:val="21"/>
        </w:rPr>
        <w:t>（一）资产管理人应在不晚于结算公司规定的时点前两个小时向资产托管人书面指定托管资产证券账户内相当于透支金额价值</w:t>
      </w:r>
      <w:r>
        <w:rPr>
          <w:rFonts w:hint="eastAsia"/>
          <w:szCs w:val="21"/>
        </w:rPr>
        <w:t>120%</w:t>
      </w:r>
      <w:r>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34E0449A" w14:textId="77777777" w:rsidR="00E20C16" w:rsidRDefault="003047E6">
      <w:pPr>
        <w:spacing w:line="360" w:lineRule="auto"/>
        <w:ind w:firstLineChars="202" w:firstLine="424"/>
        <w:rPr>
          <w:szCs w:val="21"/>
        </w:rPr>
      </w:pPr>
      <w:r>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AB4A562" w14:textId="77777777" w:rsidR="00E20C16" w:rsidRDefault="003047E6">
      <w:pPr>
        <w:spacing w:line="360" w:lineRule="auto"/>
        <w:ind w:firstLineChars="202" w:firstLine="424"/>
        <w:rPr>
          <w:szCs w:val="21"/>
        </w:rPr>
      </w:pPr>
      <w:r>
        <w:rPr>
          <w:rFonts w:hint="eastAsia"/>
          <w:szCs w:val="21"/>
        </w:rPr>
        <w:t>（二）资产管理人于</w:t>
      </w:r>
      <w:r>
        <w:rPr>
          <w:rFonts w:hint="eastAsia"/>
          <w:szCs w:val="21"/>
        </w:rPr>
        <w:t>T+2</w:t>
      </w:r>
      <w:r>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1F39677C" w14:textId="77777777" w:rsidR="00E20C16" w:rsidRDefault="003047E6">
      <w:pPr>
        <w:spacing w:line="360" w:lineRule="auto"/>
        <w:ind w:firstLineChars="202" w:firstLine="424"/>
        <w:rPr>
          <w:szCs w:val="21"/>
        </w:rPr>
      </w:pPr>
      <w:r>
        <w:rPr>
          <w:rFonts w:hint="eastAsia"/>
          <w:szCs w:val="21"/>
        </w:rPr>
        <w:t>（三）证券处置产生的资金，如相关交易尚未完成交收的，应首先用于完成交收，不足部分资产管理人及时补足。</w:t>
      </w:r>
    </w:p>
    <w:p w14:paraId="7843D370" w14:textId="77777777" w:rsidR="00E20C16" w:rsidRDefault="003047E6">
      <w:pPr>
        <w:spacing w:line="360" w:lineRule="auto"/>
        <w:ind w:firstLineChars="202" w:firstLine="424"/>
        <w:rPr>
          <w:szCs w:val="21"/>
        </w:rPr>
      </w:pPr>
      <w:r>
        <w:rPr>
          <w:rFonts w:hint="eastAsia"/>
          <w:szCs w:val="21"/>
        </w:rPr>
        <w:t>第十六条</w:t>
      </w:r>
      <w:r>
        <w:rPr>
          <w:rFonts w:hint="eastAsia"/>
          <w:szCs w:val="21"/>
        </w:rPr>
        <w:t xml:space="preserve">  </w:t>
      </w:r>
      <w:r>
        <w:rPr>
          <w:rFonts w:hint="eastAsia"/>
          <w:szCs w:val="21"/>
        </w:rPr>
        <w:t>资产管理人知晓并确认，资产管理人管理资产中用于融资回购的债券将作为资产托管人相关结算备付金账户偿还融资回购到期购回款的质押</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管理人债券回购</w:t>
      </w:r>
      <w:r>
        <w:rPr>
          <w:rFonts w:hint="eastAsia"/>
          <w:szCs w:val="21"/>
        </w:rPr>
        <w:lastRenderedPageBreak/>
        <w:t>交收违约，结算公司依法对质押</w:t>
      </w:r>
      <w:proofErr w:type="gramStart"/>
      <w:r>
        <w:rPr>
          <w:rFonts w:hint="eastAsia"/>
          <w:szCs w:val="21"/>
        </w:rPr>
        <w:t>券</w:t>
      </w:r>
      <w:proofErr w:type="gramEnd"/>
      <w:r>
        <w:rPr>
          <w:rFonts w:hint="eastAsia"/>
          <w:szCs w:val="21"/>
        </w:rPr>
        <w:t>进行处置，但须及时书面通知资产管理人。资产管理人应就债券回购交收违约后结算公司对质押</w:t>
      </w:r>
      <w:proofErr w:type="gramStart"/>
      <w:r>
        <w:rPr>
          <w:rFonts w:hint="eastAsia"/>
          <w:szCs w:val="21"/>
        </w:rPr>
        <w:t>券</w:t>
      </w:r>
      <w:proofErr w:type="gramEnd"/>
      <w:r>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5D137642" w14:textId="77777777" w:rsidR="00E20C16" w:rsidRDefault="003047E6">
      <w:pPr>
        <w:spacing w:line="360" w:lineRule="auto"/>
        <w:ind w:firstLineChars="202" w:firstLine="424"/>
        <w:rPr>
          <w:szCs w:val="21"/>
        </w:rPr>
      </w:pPr>
      <w:r>
        <w:rPr>
          <w:rFonts w:hint="eastAsia"/>
          <w:szCs w:val="21"/>
        </w:rPr>
        <w:t>第十七条</w:t>
      </w:r>
      <w:r>
        <w:rPr>
          <w:rFonts w:hint="eastAsia"/>
          <w:szCs w:val="21"/>
        </w:rPr>
        <w:t xml:space="preserve"> </w:t>
      </w:r>
      <w:r>
        <w:rPr>
          <w:szCs w:val="21"/>
        </w:rPr>
        <w:t xml:space="preserve"> </w:t>
      </w:r>
      <w:r>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4EACA482" w14:textId="77777777" w:rsidR="00E20C16" w:rsidRDefault="003047E6">
      <w:pPr>
        <w:spacing w:line="360" w:lineRule="auto"/>
        <w:ind w:firstLineChars="202" w:firstLine="424"/>
        <w:rPr>
          <w:szCs w:val="21"/>
        </w:rPr>
      </w:pPr>
      <w:r>
        <w:rPr>
          <w:rFonts w:hint="eastAsia"/>
          <w:szCs w:val="21"/>
        </w:rPr>
        <w:t>第十八条</w:t>
      </w:r>
      <w:r>
        <w:rPr>
          <w:rFonts w:hint="eastAsia"/>
          <w:szCs w:val="21"/>
        </w:rPr>
        <w:t xml:space="preserve">  </w:t>
      </w:r>
      <w:r>
        <w:rPr>
          <w:rFonts w:hint="eastAsia"/>
          <w:szCs w:val="21"/>
        </w:rPr>
        <w:t>因资产管理</w:t>
      </w:r>
      <w:proofErr w:type="gramStart"/>
      <w:r>
        <w:rPr>
          <w:rFonts w:hint="eastAsia"/>
          <w:szCs w:val="21"/>
        </w:rPr>
        <w:t>人原因</w:t>
      </w:r>
      <w:proofErr w:type="gramEnd"/>
      <w:r>
        <w:rPr>
          <w:rFonts w:hint="eastAsia"/>
          <w:szCs w:val="21"/>
        </w:rPr>
        <w:t>发生资金交收违约时，资产托管人依法采取以下风险管理措施，但须提前书面通知资产管理人：</w:t>
      </w:r>
    </w:p>
    <w:p w14:paraId="502FE398" w14:textId="77777777" w:rsidR="00E20C16" w:rsidRDefault="003047E6">
      <w:pPr>
        <w:spacing w:line="360" w:lineRule="auto"/>
        <w:ind w:firstLineChars="202" w:firstLine="424"/>
        <w:rPr>
          <w:szCs w:val="21"/>
        </w:rPr>
      </w:pPr>
      <w:r>
        <w:rPr>
          <w:rFonts w:hint="eastAsia"/>
          <w:szCs w:val="21"/>
        </w:rPr>
        <w:t>（一）</w:t>
      </w:r>
      <w:r>
        <w:rPr>
          <w:rFonts w:hint="eastAsia"/>
          <w:szCs w:val="21"/>
        </w:rPr>
        <w:tab/>
      </w:r>
      <w:r>
        <w:rPr>
          <w:rFonts w:hint="eastAsia"/>
          <w:szCs w:val="21"/>
        </w:rPr>
        <w:t>按照结算公司标准计收违约资金的利息和违约金；</w:t>
      </w:r>
    </w:p>
    <w:p w14:paraId="583B2C4A" w14:textId="77777777" w:rsidR="00E20C16" w:rsidRDefault="003047E6">
      <w:pPr>
        <w:spacing w:line="360" w:lineRule="auto"/>
        <w:ind w:firstLineChars="202" w:firstLine="424"/>
        <w:rPr>
          <w:szCs w:val="21"/>
        </w:rPr>
      </w:pPr>
      <w:r>
        <w:rPr>
          <w:rFonts w:hint="eastAsia"/>
          <w:szCs w:val="21"/>
        </w:rPr>
        <w:t>（二）</w:t>
      </w:r>
      <w:r>
        <w:rPr>
          <w:rFonts w:hint="eastAsia"/>
          <w:szCs w:val="21"/>
        </w:rPr>
        <w:tab/>
      </w:r>
      <w:r>
        <w:rPr>
          <w:rFonts w:hint="eastAsia"/>
          <w:szCs w:val="21"/>
        </w:rPr>
        <w:t>按结算公司标准调高资产管理人管理资产的最低备付金或结算保证金比例；</w:t>
      </w:r>
    </w:p>
    <w:p w14:paraId="711EE633" w14:textId="77777777" w:rsidR="00E20C16" w:rsidRDefault="003047E6">
      <w:pPr>
        <w:spacing w:line="360" w:lineRule="auto"/>
        <w:ind w:firstLineChars="202" w:firstLine="424"/>
        <w:rPr>
          <w:szCs w:val="21"/>
        </w:rPr>
      </w:pPr>
      <w:r>
        <w:rPr>
          <w:rFonts w:hint="eastAsia"/>
          <w:szCs w:val="21"/>
        </w:rPr>
        <w:t>（三）</w:t>
      </w:r>
      <w:r>
        <w:rPr>
          <w:rFonts w:hint="eastAsia"/>
          <w:szCs w:val="21"/>
        </w:rPr>
        <w:tab/>
      </w:r>
      <w:r>
        <w:rPr>
          <w:rFonts w:hint="eastAsia"/>
          <w:szCs w:val="21"/>
        </w:rPr>
        <w:t>报告监管部门及结算公司；</w:t>
      </w:r>
    </w:p>
    <w:p w14:paraId="49723221" w14:textId="77777777" w:rsidR="00E20C16" w:rsidRDefault="003047E6">
      <w:pPr>
        <w:spacing w:line="360" w:lineRule="auto"/>
        <w:ind w:firstLineChars="202" w:firstLine="424"/>
        <w:rPr>
          <w:szCs w:val="21"/>
        </w:rPr>
      </w:pPr>
      <w:r>
        <w:rPr>
          <w:rFonts w:hint="eastAsia"/>
          <w:szCs w:val="21"/>
        </w:rPr>
        <w:t>（四）</w:t>
      </w:r>
      <w:r>
        <w:rPr>
          <w:rFonts w:hint="eastAsia"/>
          <w:szCs w:val="21"/>
        </w:rPr>
        <w:tab/>
      </w:r>
      <w:r>
        <w:rPr>
          <w:rFonts w:hint="eastAsia"/>
          <w:szCs w:val="21"/>
        </w:rPr>
        <w:t>按照结算公司业务规则向结算公司申报暂停资产管理人的相关结算业务；</w:t>
      </w:r>
    </w:p>
    <w:p w14:paraId="3CFA02B7" w14:textId="77777777" w:rsidR="00E20C16" w:rsidRDefault="003047E6">
      <w:pPr>
        <w:spacing w:line="360" w:lineRule="auto"/>
        <w:ind w:firstLineChars="202" w:firstLine="424"/>
        <w:rPr>
          <w:szCs w:val="21"/>
        </w:rPr>
      </w:pPr>
      <w:r>
        <w:rPr>
          <w:rFonts w:hint="eastAsia"/>
          <w:szCs w:val="21"/>
        </w:rPr>
        <w:t>（五）</w:t>
      </w:r>
      <w:r>
        <w:rPr>
          <w:rFonts w:hint="eastAsia"/>
          <w:szCs w:val="21"/>
        </w:rPr>
        <w:tab/>
      </w:r>
      <w:r>
        <w:rPr>
          <w:rFonts w:hint="eastAsia"/>
          <w:szCs w:val="21"/>
        </w:rPr>
        <w:t>根据监管部门或结算公司要求采取的其他措施。</w:t>
      </w:r>
    </w:p>
    <w:p w14:paraId="5E470171" w14:textId="77777777" w:rsidR="00E20C16" w:rsidRDefault="003047E6">
      <w:pPr>
        <w:spacing w:line="360" w:lineRule="auto"/>
        <w:ind w:firstLineChars="202" w:firstLine="424"/>
        <w:rPr>
          <w:szCs w:val="21"/>
        </w:rPr>
      </w:pPr>
      <w:r>
        <w:rPr>
          <w:rFonts w:hint="eastAsia"/>
          <w:szCs w:val="21"/>
        </w:rPr>
        <w:t>第十九条　如因资产管理</w:t>
      </w:r>
      <w:proofErr w:type="gramStart"/>
      <w:r>
        <w:rPr>
          <w:rFonts w:hint="eastAsia"/>
          <w:szCs w:val="21"/>
        </w:rPr>
        <w:t>人原因</w:t>
      </w:r>
      <w:proofErr w:type="gramEnd"/>
      <w:r>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650F3985" w14:textId="77777777" w:rsidR="00E20C16" w:rsidRDefault="003047E6">
      <w:pPr>
        <w:spacing w:line="360" w:lineRule="auto"/>
        <w:ind w:firstLineChars="202" w:firstLine="424"/>
        <w:rPr>
          <w:szCs w:val="21"/>
        </w:rPr>
      </w:pPr>
      <w:r>
        <w:rPr>
          <w:rFonts w:hint="eastAsia"/>
          <w:szCs w:val="21"/>
        </w:rPr>
        <w:t>如因资产托管</w:t>
      </w:r>
      <w:proofErr w:type="gramStart"/>
      <w:r>
        <w:rPr>
          <w:rFonts w:hint="eastAsia"/>
          <w:szCs w:val="21"/>
        </w:rPr>
        <w:t>人原因</w:t>
      </w:r>
      <w:proofErr w:type="gramEnd"/>
      <w:r>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Pr>
          <w:rFonts w:hint="eastAsia"/>
          <w:szCs w:val="21"/>
        </w:rPr>
        <w:t>人原因</w:t>
      </w:r>
      <w:proofErr w:type="gramEnd"/>
      <w:r>
        <w:rPr>
          <w:rFonts w:hint="eastAsia"/>
          <w:szCs w:val="21"/>
        </w:rPr>
        <w:t>造成对结算公司交收违约的，相应后果由资产托管人承担。以上造成的托管资产及资产管理人的实际损失，资产托管人应负责赔偿。</w:t>
      </w:r>
    </w:p>
    <w:p w14:paraId="141E8B9F" w14:textId="77777777" w:rsidR="00E20C16" w:rsidRDefault="003047E6">
      <w:pPr>
        <w:spacing w:line="360" w:lineRule="auto"/>
        <w:ind w:firstLineChars="202" w:firstLine="424"/>
        <w:rPr>
          <w:szCs w:val="21"/>
        </w:rPr>
      </w:pPr>
      <w:r>
        <w:rPr>
          <w:rFonts w:hint="eastAsia"/>
          <w:szCs w:val="21"/>
        </w:rPr>
        <w:t>第二十条</w:t>
      </w:r>
      <w:r>
        <w:rPr>
          <w:rFonts w:hint="eastAsia"/>
          <w:szCs w:val="21"/>
        </w:rPr>
        <w:t xml:space="preserve">  </w:t>
      </w:r>
      <w:r>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2DF003E" w14:textId="77777777" w:rsidR="00E20C16" w:rsidRDefault="003047E6">
      <w:pPr>
        <w:spacing w:line="360" w:lineRule="auto"/>
        <w:ind w:firstLineChars="202" w:firstLine="424"/>
        <w:rPr>
          <w:szCs w:val="21"/>
        </w:rPr>
      </w:pPr>
      <w:r>
        <w:rPr>
          <w:rFonts w:hint="eastAsia"/>
          <w:szCs w:val="21"/>
        </w:rPr>
        <w:t>第二十一条</w:t>
      </w:r>
      <w:r>
        <w:rPr>
          <w:rFonts w:hint="eastAsia"/>
          <w:szCs w:val="21"/>
        </w:rPr>
        <w:t xml:space="preserve">  </w:t>
      </w:r>
      <w:r>
        <w:rPr>
          <w:rFonts w:hint="eastAsia"/>
          <w:szCs w:val="21"/>
        </w:rPr>
        <w:t>如果协议的一方或双方因不可抗力不能履行本规定时，可根据不可抗力的影响部分或全部免除责任。不可抗力是指资产托管人或资产管理人不能预见、不可避免、不能</w:t>
      </w:r>
      <w:r>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70192E2D" w14:textId="77777777" w:rsidR="00E20C16" w:rsidRDefault="003047E6">
      <w:pPr>
        <w:spacing w:line="360" w:lineRule="auto"/>
        <w:ind w:firstLineChars="202" w:firstLine="424"/>
        <w:rPr>
          <w:szCs w:val="21"/>
        </w:rPr>
      </w:pPr>
      <w:r>
        <w:rPr>
          <w:rFonts w:hint="eastAsia"/>
          <w:szCs w:val="21"/>
        </w:rPr>
        <w:t>第二十二条</w:t>
      </w:r>
      <w:r>
        <w:rPr>
          <w:rFonts w:hint="eastAsia"/>
          <w:szCs w:val="21"/>
        </w:rPr>
        <w:t xml:space="preserve">  </w:t>
      </w:r>
      <w:r>
        <w:rPr>
          <w:rFonts w:hint="eastAsia"/>
          <w:szCs w:val="21"/>
        </w:rPr>
        <w:t>本规定适用于现在及以后由资产管理人管理、资产托管人托管的所有业务品种。</w:t>
      </w:r>
    </w:p>
    <w:p w14:paraId="110D64AB" w14:textId="77777777" w:rsidR="00E20C16" w:rsidRDefault="003047E6">
      <w:pPr>
        <w:spacing w:line="360" w:lineRule="auto"/>
        <w:ind w:firstLineChars="202" w:firstLine="424"/>
        <w:rPr>
          <w:szCs w:val="21"/>
        </w:rPr>
      </w:pPr>
      <w:r>
        <w:rPr>
          <w:rFonts w:hint="eastAsia"/>
          <w:szCs w:val="21"/>
        </w:rPr>
        <w:t>第二十三条</w:t>
      </w:r>
      <w:r>
        <w:rPr>
          <w:rFonts w:hint="eastAsia"/>
          <w:szCs w:val="21"/>
        </w:rPr>
        <w:t xml:space="preserve">  </w:t>
      </w:r>
      <w:r>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49DBB263" w14:textId="77777777" w:rsidR="00E20C16" w:rsidRDefault="00E20C16">
      <w:pPr>
        <w:spacing w:line="360" w:lineRule="auto"/>
        <w:rPr>
          <w:rFonts w:hAnsi="宋体"/>
          <w:sz w:val="28"/>
          <w:szCs w:val="28"/>
        </w:rPr>
        <w:sectPr w:rsidR="00E20C16">
          <w:footerReference w:type="default" r:id="rId45"/>
          <w:pgSz w:w="11906" w:h="16838"/>
          <w:pgMar w:top="1418" w:right="1701" w:bottom="1418" w:left="1701" w:header="851" w:footer="992" w:gutter="0"/>
          <w:pgNumType w:start="1"/>
          <w:cols w:space="425"/>
          <w:docGrid w:type="lines" w:linePitch="312"/>
        </w:sectPr>
      </w:pPr>
    </w:p>
    <w:p w14:paraId="0C5757A2" w14:textId="10F66FF1" w:rsidR="00E20C16" w:rsidRDefault="003047E6">
      <w:pPr>
        <w:spacing w:line="360" w:lineRule="auto"/>
        <w:rPr>
          <w:rFonts w:hAnsi="宋体"/>
          <w:sz w:val="28"/>
          <w:szCs w:val="28"/>
        </w:rPr>
      </w:pPr>
      <w:r>
        <w:rPr>
          <w:rFonts w:hAnsi="宋体" w:hint="eastAsia"/>
          <w:sz w:val="28"/>
          <w:szCs w:val="28"/>
        </w:rPr>
        <w:lastRenderedPageBreak/>
        <w:t>本页无正文，为《</w:t>
      </w:r>
      <w:r>
        <w:rPr>
          <w:rFonts w:hAnsi="宋体"/>
          <w:sz w:val="28"/>
          <w:szCs w:val="28"/>
        </w:rPr>
        <w:t>交银施罗德稳安</w:t>
      </w:r>
      <w:r>
        <w:rPr>
          <w:rFonts w:hAnsi="宋体"/>
          <w:sz w:val="28"/>
          <w:szCs w:val="28"/>
        </w:rPr>
        <w:t>60</w:t>
      </w:r>
      <w:r>
        <w:rPr>
          <w:rFonts w:hAnsi="宋体"/>
          <w:sz w:val="28"/>
          <w:szCs w:val="28"/>
        </w:rPr>
        <w:t>天滚动持有债券型证券投资基金</w:t>
      </w:r>
      <w:r>
        <w:rPr>
          <w:rFonts w:hAnsi="宋体" w:hint="eastAsia"/>
          <w:sz w:val="28"/>
          <w:szCs w:val="28"/>
        </w:rPr>
        <w:t>托管协议》的签字盖章页。</w:t>
      </w:r>
    </w:p>
    <w:p w14:paraId="0DC9A943" w14:textId="77777777" w:rsidR="00E20C16" w:rsidRDefault="00E20C16">
      <w:pPr>
        <w:spacing w:line="360" w:lineRule="auto"/>
        <w:ind w:right="26"/>
        <w:rPr>
          <w:rFonts w:ascii="宋体" w:hAnsi="宋体"/>
          <w:b/>
          <w:bCs/>
          <w:color w:val="0D0D0D"/>
          <w:sz w:val="28"/>
          <w:szCs w:val="28"/>
        </w:rPr>
      </w:pPr>
    </w:p>
    <w:p w14:paraId="0C6F26CA" w14:textId="77777777" w:rsidR="00E20C16" w:rsidRDefault="00E20C16">
      <w:pPr>
        <w:spacing w:line="360" w:lineRule="auto"/>
        <w:ind w:right="26"/>
        <w:rPr>
          <w:rFonts w:ascii="宋体" w:hAnsi="宋体"/>
          <w:b/>
          <w:bCs/>
          <w:color w:val="0D0D0D"/>
          <w:sz w:val="28"/>
          <w:szCs w:val="28"/>
        </w:rPr>
      </w:pPr>
    </w:p>
    <w:p w14:paraId="1F2FD6BF" w14:textId="77777777" w:rsidR="00E20C16" w:rsidRDefault="003047E6">
      <w:pPr>
        <w:spacing w:line="360" w:lineRule="auto"/>
        <w:ind w:right="26"/>
        <w:outlineLvl w:val="0"/>
        <w:rPr>
          <w:rFonts w:ascii="宋体" w:hAnsi="宋体"/>
          <w:b/>
          <w:color w:val="0D0D0D"/>
          <w:sz w:val="28"/>
          <w:szCs w:val="28"/>
        </w:rPr>
      </w:pPr>
      <w:r>
        <w:rPr>
          <w:rFonts w:ascii="宋体" w:hAnsi="宋体" w:hint="eastAsia"/>
          <w:b/>
          <w:color w:val="0D0D0D"/>
          <w:sz w:val="28"/>
          <w:szCs w:val="28"/>
        </w:rPr>
        <w:t>基金管理人：交银施罗德基金管理有限公司（公章）</w:t>
      </w:r>
    </w:p>
    <w:p w14:paraId="094E1C2E" w14:textId="77777777" w:rsidR="00E20C16" w:rsidRDefault="00E20C16">
      <w:pPr>
        <w:spacing w:line="360" w:lineRule="auto"/>
        <w:ind w:right="26"/>
        <w:rPr>
          <w:rFonts w:ascii="宋体" w:hAnsi="宋体"/>
          <w:b/>
          <w:color w:val="0D0D0D"/>
          <w:sz w:val="28"/>
          <w:szCs w:val="28"/>
        </w:rPr>
      </w:pPr>
    </w:p>
    <w:p w14:paraId="149BCC6F" w14:textId="77777777" w:rsidR="00E20C16" w:rsidRDefault="00E20C16">
      <w:pPr>
        <w:spacing w:line="360" w:lineRule="auto"/>
        <w:ind w:right="26"/>
        <w:rPr>
          <w:rFonts w:ascii="宋体" w:hAnsi="宋体"/>
          <w:b/>
          <w:color w:val="0D0D0D"/>
          <w:sz w:val="28"/>
          <w:szCs w:val="28"/>
        </w:rPr>
      </w:pPr>
    </w:p>
    <w:p w14:paraId="37FE68E2" w14:textId="77777777" w:rsidR="00E20C16" w:rsidRDefault="003047E6">
      <w:pPr>
        <w:spacing w:line="360" w:lineRule="auto"/>
        <w:ind w:right="26"/>
        <w:outlineLvl w:val="0"/>
        <w:rPr>
          <w:rFonts w:ascii="宋体" w:hAnsi="宋体"/>
          <w:b/>
          <w:color w:val="0D0D0D"/>
          <w:sz w:val="28"/>
          <w:szCs w:val="28"/>
        </w:rPr>
      </w:pPr>
      <w:r>
        <w:rPr>
          <w:rFonts w:ascii="宋体" w:hAnsi="宋体" w:hint="eastAsia"/>
          <w:b/>
          <w:color w:val="0D0D0D"/>
          <w:sz w:val="28"/>
          <w:szCs w:val="28"/>
        </w:rPr>
        <w:t xml:space="preserve">法定代表人或授权代理人： </w:t>
      </w:r>
    </w:p>
    <w:p w14:paraId="360A8689" w14:textId="77777777" w:rsidR="00E20C16" w:rsidRDefault="00E20C16">
      <w:pPr>
        <w:spacing w:line="360" w:lineRule="auto"/>
        <w:ind w:right="26"/>
        <w:rPr>
          <w:rFonts w:ascii="宋体" w:hAnsi="宋体"/>
          <w:b/>
          <w:color w:val="0D0D0D"/>
          <w:sz w:val="28"/>
          <w:szCs w:val="28"/>
        </w:rPr>
      </w:pPr>
    </w:p>
    <w:p w14:paraId="4CD806D7" w14:textId="77777777" w:rsidR="00E20C16" w:rsidRDefault="003047E6">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168B547A" w14:textId="77777777" w:rsidR="00E20C16" w:rsidRDefault="00E20C16">
      <w:pPr>
        <w:spacing w:line="360" w:lineRule="auto"/>
        <w:ind w:right="26"/>
        <w:rPr>
          <w:rFonts w:ascii="宋体" w:hAnsi="宋体"/>
          <w:b/>
          <w:color w:val="0D0D0D"/>
          <w:sz w:val="28"/>
          <w:szCs w:val="28"/>
        </w:rPr>
      </w:pPr>
    </w:p>
    <w:p w14:paraId="7A349526" w14:textId="77777777" w:rsidR="00E20C16" w:rsidRDefault="00E20C16">
      <w:pPr>
        <w:spacing w:line="360" w:lineRule="auto"/>
        <w:ind w:right="26"/>
        <w:rPr>
          <w:rFonts w:ascii="宋体" w:hAnsi="宋体"/>
          <w:b/>
          <w:color w:val="0D0D0D"/>
          <w:sz w:val="28"/>
          <w:szCs w:val="28"/>
        </w:rPr>
      </w:pPr>
    </w:p>
    <w:p w14:paraId="4E4AC1EC" w14:textId="77777777" w:rsidR="00E20C16" w:rsidRDefault="00E20C16">
      <w:pPr>
        <w:spacing w:line="360" w:lineRule="auto"/>
        <w:ind w:right="26"/>
        <w:rPr>
          <w:rFonts w:ascii="宋体" w:hAnsi="宋体"/>
          <w:b/>
          <w:color w:val="0D0D0D"/>
          <w:sz w:val="28"/>
          <w:szCs w:val="28"/>
        </w:rPr>
      </w:pPr>
    </w:p>
    <w:p w14:paraId="24FE62F6" w14:textId="77777777" w:rsidR="00E20C16" w:rsidRDefault="003047E6">
      <w:pPr>
        <w:spacing w:line="360" w:lineRule="auto"/>
        <w:ind w:right="26"/>
        <w:outlineLvl w:val="0"/>
        <w:rPr>
          <w:rFonts w:ascii="宋体" w:hAnsi="宋体"/>
          <w:b/>
          <w:color w:val="0D0D0D"/>
          <w:sz w:val="28"/>
          <w:szCs w:val="28"/>
        </w:rPr>
      </w:pPr>
      <w:r>
        <w:rPr>
          <w:rFonts w:ascii="宋体" w:hAnsi="宋体" w:hint="eastAsia"/>
          <w:b/>
          <w:color w:val="0D0D0D"/>
          <w:sz w:val="28"/>
          <w:szCs w:val="28"/>
        </w:rPr>
        <w:t>基金托管人：</w:t>
      </w:r>
      <w:r>
        <w:rPr>
          <w:rFonts w:hint="eastAsia"/>
          <w:b/>
          <w:sz w:val="28"/>
          <w:szCs w:val="28"/>
        </w:rPr>
        <w:t>招商银行</w:t>
      </w:r>
      <w:r>
        <w:rPr>
          <w:rFonts w:hAnsi="宋体"/>
          <w:b/>
          <w:sz w:val="28"/>
          <w:szCs w:val="28"/>
        </w:rPr>
        <w:t>股份有限公司</w:t>
      </w:r>
      <w:r>
        <w:rPr>
          <w:rFonts w:ascii="宋体" w:hAnsi="宋体" w:hint="eastAsia"/>
          <w:b/>
          <w:color w:val="0D0D0D"/>
          <w:sz w:val="28"/>
          <w:szCs w:val="28"/>
        </w:rPr>
        <w:t>（公章）</w:t>
      </w:r>
    </w:p>
    <w:p w14:paraId="4E27443E" w14:textId="77777777" w:rsidR="00E20C16" w:rsidRDefault="00E20C16">
      <w:pPr>
        <w:spacing w:line="360" w:lineRule="auto"/>
        <w:ind w:right="26"/>
        <w:rPr>
          <w:rFonts w:ascii="宋体" w:hAnsi="宋体"/>
          <w:b/>
          <w:color w:val="0D0D0D"/>
          <w:sz w:val="28"/>
          <w:szCs w:val="28"/>
        </w:rPr>
      </w:pPr>
    </w:p>
    <w:p w14:paraId="5371E64C" w14:textId="77777777" w:rsidR="00E20C16" w:rsidRDefault="00E20C16">
      <w:pPr>
        <w:spacing w:line="360" w:lineRule="auto"/>
        <w:ind w:right="26"/>
        <w:rPr>
          <w:rFonts w:ascii="宋体" w:hAnsi="宋体"/>
          <w:b/>
          <w:color w:val="0D0D0D"/>
          <w:sz w:val="28"/>
          <w:szCs w:val="28"/>
        </w:rPr>
      </w:pPr>
    </w:p>
    <w:p w14:paraId="539CE167" w14:textId="77777777" w:rsidR="00E20C16" w:rsidRDefault="003047E6">
      <w:pPr>
        <w:spacing w:line="360" w:lineRule="auto"/>
        <w:ind w:right="26"/>
        <w:outlineLvl w:val="0"/>
        <w:rPr>
          <w:rFonts w:ascii="宋体" w:hAnsi="宋体"/>
          <w:b/>
          <w:color w:val="0D0D0D"/>
          <w:sz w:val="28"/>
          <w:szCs w:val="28"/>
        </w:rPr>
      </w:pPr>
      <w:r>
        <w:rPr>
          <w:rFonts w:ascii="宋体" w:hAnsi="宋体" w:hint="eastAsia"/>
          <w:b/>
          <w:color w:val="0D0D0D"/>
          <w:sz w:val="28"/>
          <w:szCs w:val="28"/>
        </w:rPr>
        <w:t>法定代表人或授权代理人：</w:t>
      </w:r>
    </w:p>
    <w:p w14:paraId="4480068F" w14:textId="77777777" w:rsidR="00E20C16" w:rsidRDefault="00E20C16">
      <w:pPr>
        <w:spacing w:line="360" w:lineRule="auto"/>
        <w:ind w:right="26"/>
        <w:rPr>
          <w:rFonts w:ascii="宋体" w:hAnsi="宋体"/>
          <w:b/>
          <w:color w:val="0D0D0D"/>
          <w:sz w:val="28"/>
          <w:szCs w:val="28"/>
        </w:rPr>
      </w:pPr>
    </w:p>
    <w:p w14:paraId="7E886321" w14:textId="77777777" w:rsidR="00E20C16" w:rsidRDefault="00E20C16">
      <w:pPr>
        <w:spacing w:line="360" w:lineRule="auto"/>
        <w:ind w:right="26"/>
        <w:rPr>
          <w:rFonts w:ascii="宋体" w:hAnsi="宋体"/>
          <w:b/>
          <w:color w:val="0D0D0D"/>
          <w:sz w:val="28"/>
          <w:szCs w:val="28"/>
        </w:rPr>
      </w:pPr>
    </w:p>
    <w:p w14:paraId="514FD842" w14:textId="77777777" w:rsidR="00E20C16" w:rsidRDefault="003047E6">
      <w:pPr>
        <w:spacing w:line="360" w:lineRule="auto"/>
        <w:ind w:right="26"/>
        <w:outlineLvl w:val="0"/>
        <w:rPr>
          <w:rFonts w:hAnsi="宋体"/>
          <w:b/>
          <w:sz w:val="28"/>
          <w:szCs w:val="28"/>
        </w:rPr>
      </w:pPr>
      <w:r>
        <w:rPr>
          <w:rFonts w:ascii="宋体" w:hAnsi="宋体" w:hint="eastAsia"/>
          <w:b/>
          <w:color w:val="0D0D0D"/>
          <w:sz w:val="28"/>
          <w:szCs w:val="28"/>
        </w:rPr>
        <w:t>签订地点：</w:t>
      </w:r>
      <w:r>
        <w:rPr>
          <w:rFonts w:hAnsi="宋体" w:hint="eastAsia"/>
          <w:b/>
          <w:sz w:val="28"/>
          <w:szCs w:val="28"/>
        </w:rPr>
        <w:t>深圳</w:t>
      </w:r>
    </w:p>
    <w:bookmarkEnd w:id="2"/>
    <w:p w14:paraId="7F282BC6" w14:textId="77777777" w:rsidR="00E20C16" w:rsidRDefault="003047E6">
      <w:pPr>
        <w:widowControl/>
        <w:spacing w:before="100" w:beforeAutospacing="1" w:after="100" w:afterAutospacing="1" w:line="360" w:lineRule="auto"/>
        <w:jc w:val="left"/>
        <w:rPr>
          <w:rFonts w:ascii="宋体" w:hAnsi="宋体"/>
          <w:kern w:val="0"/>
          <w:szCs w:val="21"/>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20C16">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464C" w14:textId="77777777" w:rsidR="00AB6586" w:rsidRDefault="00AB6586">
      <w:r>
        <w:separator/>
      </w:r>
    </w:p>
  </w:endnote>
  <w:endnote w:type="continuationSeparator" w:id="0">
    <w:p w14:paraId="76081ACD" w14:textId="77777777" w:rsidR="00AB6586" w:rsidRDefault="00AB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sdtPr>
    <w:sdtEndPr/>
    <w:sdtContent>
      <w:p w14:paraId="22791F40" w14:textId="26F558A0" w:rsidR="00454BBA" w:rsidRDefault="00454BBA">
        <w:pPr>
          <w:pStyle w:val="aa"/>
          <w:jc w:val="center"/>
        </w:pPr>
        <w:r>
          <w:fldChar w:fldCharType="begin"/>
        </w:r>
        <w:r>
          <w:instrText>PAGE   \* MERGEFORMAT</w:instrText>
        </w:r>
        <w:r>
          <w:fldChar w:fldCharType="separate"/>
        </w:r>
        <w:r w:rsidR="007460D4" w:rsidRPr="007460D4">
          <w:rPr>
            <w:noProof/>
            <w:lang w:val="zh-CN"/>
          </w:rPr>
          <w:t>1</w:t>
        </w:r>
        <w:r>
          <w:fldChar w:fldCharType="end"/>
        </w:r>
      </w:p>
    </w:sdtContent>
  </w:sdt>
  <w:p w14:paraId="1BB0AAF3" w14:textId="77777777" w:rsidR="00454BBA" w:rsidRDefault="00454BB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sdtPr>
    <w:sdtEndPr/>
    <w:sdtContent>
      <w:p w14:paraId="4B217745" w14:textId="1ECBC816" w:rsidR="00454BBA" w:rsidRDefault="00454BBA">
        <w:pPr>
          <w:pStyle w:val="aa"/>
          <w:jc w:val="center"/>
        </w:pPr>
        <w:r>
          <w:fldChar w:fldCharType="begin"/>
        </w:r>
        <w:r>
          <w:instrText>PAGE   \* MERGEFORMAT</w:instrText>
        </w:r>
        <w:r>
          <w:fldChar w:fldCharType="separate"/>
        </w:r>
        <w:r w:rsidR="007460D4" w:rsidRPr="007460D4">
          <w:rPr>
            <w:noProof/>
            <w:lang w:val="zh-CN"/>
          </w:rPr>
          <w:t>20</w:t>
        </w:r>
        <w:r>
          <w:fldChar w:fldCharType="end"/>
        </w:r>
      </w:p>
    </w:sdtContent>
  </w:sdt>
  <w:p w14:paraId="5DE97F4F" w14:textId="77777777" w:rsidR="00454BBA" w:rsidRDefault="00454BBA">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AFB7" w14:textId="77777777" w:rsidR="00454BBA" w:rsidRDefault="00454BB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2723" w14:textId="77777777" w:rsidR="00AB6586" w:rsidRDefault="00AB6586">
      <w:r>
        <w:separator/>
      </w:r>
    </w:p>
  </w:footnote>
  <w:footnote w:type="continuationSeparator" w:id="0">
    <w:p w14:paraId="7D6C936E" w14:textId="77777777" w:rsidR="00AB6586" w:rsidRDefault="00AB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584"/>
    <w:rsid w:val="0001290F"/>
    <w:rsid w:val="000138EF"/>
    <w:rsid w:val="0001438D"/>
    <w:rsid w:val="00014D21"/>
    <w:rsid w:val="000166BD"/>
    <w:rsid w:val="00016A01"/>
    <w:rsid w:val="00017201"/>
    <w:rsid w:val="0002104D"/>
    <w:rsid w:val="00022CD3"/>
    <w:rsid w:val="00022D6C"/>
    <w:rsid w:val="00023EE9"/>
    <w:rsid w:val="000240E8"/>
    <w:rsid w:val="00024205"/>
    <w:rsid w:val="0002789C"/>
    <w:rsid w:val="00027D10"/>
    <w:rsid w:val="00030006"/>
    <w:rsid w:val="00031A4E"/>
    <w:rsid w:val="00031D78"/>
    <w:rsid w:val="00031D96"/>
    <w:rsid w:val="00031DD2"/>
    <w:rsid w:val="00031E3F"/>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0C89"/>
    <w:rsid w:val="00051098"/>
    <w:rsid w:val="00052302"/>
    <w:rsid w:val="00052827"/>
    <w:rsid w:val="00052BEE"/>
    <w:rsid w:val="00052D58"/>
    <w:rsid w:val="00053108"/>
    <w:rsid w:val="000541F9"/>
    <w:rsid w:val="00055240"/>
    <w:rsid w:val="000557E4"/>
    <w:rsid w:val="00056CF4"/>
    <w:rsid w:val="00060393"/>
    <w:rsid w:val="000606F2"/>
    <w:rsid w:val="00060843"/>
    <w:rsid w:val="000609AF"/>
    <w:rsid w:val="0006251D"/>
    <w:rsid w:val="00064E77"/>
    <w:rsid w:val="00065232"/>
    <w:rsid w:val="00066315"/>
    <w:rsid w:val="0006703B"/>
    <w:rsid w:val="0006718A"/>
    <w:rsid w:val="000671F1"/>
    <w:rsid w:val="00067DA7"/>
    <w:rsid w:val="00071723"/>
    <w:rsid w:val="00072176"/>
    <w:rsid w:val="000727BF"/>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63A4"/>
    <w:rsid w:val="00097239"/>
    <w:rsid w:val="00097973"/>
    <w:rsid w:val="00097DDE"/>
    <w:rsid w:val="000A137B"/>
    <w:rsid w:val="000A1593"/>
    <w:rsid w:val="000A1777"/>
    <w:rsid w:val="000A20C8"/>
    <w:rsid w:val="000A2AFC"/>
    <w:rsid w:val="000A2BFC"/>
    <w:rsid w:val="000A5645"/>
    <w:rsid w:val="000A6170"/>
    <w:rsid w:val="000B0CA6"/>
    <w:rsid w:val="000B1862"/>
    <w:rsid w:val="000B2189"/>
    <w:rsid w:val="000B26CD"/>
    <w:rsid w:val="000B3268"/>
    <w:rsid w:val="000B5100"/>
    <w:rsid w:val="000B6AA8"/>
    <w:rsid w:val="000B6EE4"/>
    <w:rsid w:val="000C035A"/>
    <w:rsid w:val="000C100E"/>
    <w:rsid w:val="000C1088"/>
    <w:rsid w:val="000C19BE"/>
    <w:rsid w:val="000C1D2F"/>
    <w:rsid w:val="000C1FA6"/>
    <w:rsid w:val="000C2444"/>
    <w:rsid w:val="000C26FF"/>
    <w:rsid w:val="000C3F94"/>
    <w:rsid w:val="000C424D"/>
    <w:rsid w:val="000C5514"/>
    <w:rsid w:val="000C5A20"/>
    <w:rsid w:val="000C5D0B"/>
    <w:rsid w:val="000C6767"/>
    <w:rsid w:val="000C68E7"/>
    <w:rsid w:val="000C6E67"/>
    <w:rsid w:val="000C6FAD"/>
    <w:rsid w:val="000D0599"/>
    <w:rsid w:val="000D38A7"/>
    <w:rsid w:val="000D3D87"/>
    <w:rsid w:val="000D43E9"/>
    <w:rsid w:val="000D7E47"/>
    <w:rsid w:val="000E0514"/>
    <w:rsid w:val="000E35CB"/>
    <w:rsid w:val="000E3B08"/>
    <w:rsid w:val="000E444F"/>
    <w:rsid w:val="000E5798"/>
    <w:rsid w:val="000E6573"/>
    <w:rsid w:val="000E6FDC"/>
    <w:rsid w:val="000E7A28"/>
    <w:rsid w:val="000F06C8"/>
    <w:rsid w:val="000F2B08"/>
    <w:rsid w:val="000F3A96"/>
    <w:rsid w:val="000F43E9"/>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1042"/>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4F64"/>
    <w:rsid w:val="001A5E3B"/>
    <w:rsid w:val="001A63A2"/>
    <w:rsid w:val="001B07DD"/>
    <w:rsid w:val="001B0BFD"/>
    <w:rsid w:val="001B185D"/>
    <w:rsid w:val="001B2186"/>
    <w:rsid w:val="001B3B5D"/>
    <w:rsid w:val="001B43CF"/>
    <w:rsid w:val="001B47B1"/>
    <w:rsid w:val="001B4F0D"/>
    <w:rsid w:val="001B6B56"/>
    <w:rsid w:val="001B714B"/>
    <w:rsid w:val="001B76DA"/>
    <w:rsid w:val="001C044F"/>
    <w:rsid w:val="001C0471"/>
    <w:rsid w:val="001C1B03"/>
    <w:rsid w:val="001C2010"/>
    <w:rsid w:val="001C2A8E"/>
    <w:rsid w:val="001C3C95"/>
    <w:rsid w:val="001C4757"/>
    <w:rsid w:val="001C5504"/>
    <w:rsid w:val="001C5B7E"/>
    <w:rsid w:val="001C7718"/>
    <w:rsid w:val="001D0D88"/>
    <w:rsid w:val="001D1F20"/>
    <w:rsid w:val="001D25D0"/>
    <w:rsid w:val="001D3A89"/>
    <w:rsid w:val="001D4655"/>
    <w:rsid w:val="001D46C2"/>
    <w:rsid w:val="001D47F2"/>
    <w:rsid w:val="001D4D5D"/>
    <w:rsid w:val="001D5CCB"/>
    <w:rsid w:val="001D695B"/>
    <w:rsid w:val="001D6F8C"/>
    <w:rsid w:val="001D747C"/>
    <w:rsid w:val="001E02A1"/>
    <w:rsid w:val="001E5F15"/>
    <w:rsid w:val="001E7E52"/>
    <w:rsid w:val="001F0F63"/>
    <w:rsid w:val="001F2BF9"/>
    <w:rsid w:val="001F2D81"/>
    <w:rsid w:val="001F31FB"/>
    <w:rsid w:val="001F40F9"/>
    <w:rsid w:val="001F4169"/>
    <w:rsid w:val="001F50A0"/>
    <w:rsid w:val="001F5DA6"/>
    <w:rsid w:val="001F6F44"/>
    <w:rsid w:val="001F7CC0"/>
    <w:rsid w:val="002009F5"/>
    <w:rsid w:val="00200A19"/>
    <w:rsid w:val="00200B24"/>
    <w:rsid w:val="002019B6"/>
    <w:rsid w:val="00201FEC"/>
    <w:rsid w:val="00203CF6"/>
    <w:rsid w:val="00206847"/>
    <w:rsid w:val="00206B78"/>
    <w:rsid w:val="002071A9"/>
    <w:rsid w:val="00211354"/>
    <w:rsid w:val="00211444"/>
    <w:rsid w:val="00211B78"/>
    <w:rsid w:val="00215314"/>
    <w:rsid w:val="00216CAA"/>
    <w:rsid w:val="00221240"/>
    <w:rsid w:val="0022136B"/>
    <w:rsid w:val="002215D2"/>
    <w:rsid w:val="00222087"/>
    <w:rsid w:val="00222341"/>
    <w:rsid w:val="002243FC"/>
    <w:rsid w:val="00224547"/>
    <w:rsid w:val="002306C9"/>
    <w:rsid w:val="00231B62"/>
    <w:rsid w:val="002330CA"/>
    <w:rsid w:val="002332D3"/>
    <w:rsid w:val="00237AD7"/>
    <w:rsid w:val="0024032B"/>
    <w:rsid w:val="00242261"/>
    <w:rsid w:val="00242885"/>
    <w:rsid w:val="00242944"/>
    <w:rsid w:val="00242A56"/>
    <w:rsid w:val="00242E69"/>
    <w:rsid w:val="00243D41"/>
    <w:rsid w:val="00246B69"/>
    <w:rsid w:val="00247986"/>
    <w:rsid w:val="00247FC1"/>
    <w:rsid w:val="00250097"/>
    <w:rsid w:val="00255EB9"/>
    <w:rsid w:val="002605A0"/>
    <w:rsid w:val="002605AA"/>
    <w:rsid w:val="0026065F"/>
    <w:rsid w:val="002631C1"/>
    <w:rsid w:val="002640F2"/>
    <w:rsid w:val="00264C0E"/>
    <w:rsid w:val="00266019"/>
    <w:rsid w:val="00266A06"/>
    <w:rsid w:val="00267009"/>
    <w:rsid w:val="00270DB2"/>
    <w:rsid w:val="00271A77"/>
    <w:rsid w:val="00271D6C"/>
    <w:rsid w:val="00273145"/>
    <w:rsid w:val="002741A9"/>
    <w:rsid w:val="002759C1"/>
    <w:rsid w:val="00275EA7"/>
    <w:rsid w:val="00276CBA"/>
    <w:rsid w:val="002818A1"/>
    <w:rsid w:val="00281AF5"/>
    <w:rsid w:val="00285D79"/>
    <w:rsid w:val="00285E1A"/>
    <w:rsid w:val="0028655B"/>
    <w:rsid w:val="00287B07"/>
    <w:rsid w:val="00287DD6"/>
    <w:rsid w:val="00291ACE"/>
    <w:rsid w:val="00292419"/>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653"/>
    <w:rsid w:val="002D1D4F"/>
    <w:rsid w:val="002D2BE9"/>
    <w:rsid w:val="002D44F5"/>
    <w:rsid w:val="002D4AC7"/>
    <w:rsid w:val="002D6BC2"/>
    <w:rsid w:val="002D6BE3"/>
    <w:rsid w:val="002D7B1B"/>
    <w:rsid w:val="002E05C3"/>
    <w:rsid w:val="002E2BC0"/>
    <w:rsid w:val="002E3DED"/>
    <w:rsid w:val="002E46D7"/>
    <w:rsid w:val="002E54B5"/>
    <w:rsid w:val="002E70FE"/>
    <w:rsid w:val="002F07F4"/>
    <w:rsid w:val="002F1E2E"/>
    <w:rsid w:val="002F2074"/>
    <w:rsid w:val="002F211E"/>
    <w:rsid w:val="002F3F6D"/>
    <w:rsid w:val="002F4759"/>
    <w:rsid w:val="002F50A3"/>
    <w:rsid w:val="002F6520"/>
    <w:rsid w:val="002F66B1"/>
    <w:rsid w:val="002F68F6"/>
    <w:rsid w:val="003026F5"/>
    <w:rsid w:val="003047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0323EB0"/>
    <w:rsid w:val="0032522B"/>
    <w:rsid w:val="003256E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13C8"/>
    <w:rsid w:val="0036532A"/>
    <w:rsid w:val="003659AF"/>
    <w:rsid w:val="003665D0"/>
    <w:rsid w:val="00367C29"/>
    <w:rsid w:val="003703AC"/>
    <w:rsid w:val="00371CDD"/>
    <w:rsid w:val="003726C2"/>
    <w:rsid w:val="00372795"/>
    <w:rsid w:val="00372AA7"/>
    <w:rsid w:val="00373576"/>
    <w:rsid w:val="0037431E"/>
    <w:rsid w:val="003755F6"/>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080"/>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1A70"/>
    <w:rsid w:val="003B4B05"/>
    <w:rsid w:val="003B5723"/>
    <w:rsid w:val="003B5DEA"/>
    <w:rsid w:val="003C0739"/>
    <w:rsid w:val="003C0916"/>
    <w:rsid w:val="003C104A"/>
    <w:rsid w:val="003C1181"/>
    <w:rsid w:val="003C1814"/>
    <w:rsid w:val="003C1C4E"/>
    <w:rsid w:val="003C29ED"/>
    <w:rsid w:val="003C4859"/>
    <w:rsid w:val="003C549A"/>
    <w:rsid w:val="003C5DC5"/>
    <w:rsid w:val="003C5EB4"/>
    <w:rsid w:val="003C756C"/>
    <w:rsid w:val="003C7D4D"/>
    <w:rsid w:val="003C7D64"/>
    <w:rsid w:val="003D36D7"/>
    <w:rsid w:val="003D3A28"/>
    <w:rsid w:val="003D4511"/>
    <w:rsid w:val="003D49AD"/>
    <w:rsid w:val="003D4BBC"/>
    <w:rsid w:val="003D5389"/>
    <w:rsid w:val="003D55BE"/>
    <w:rsid w:val="003D65F2"/>
    <w:rsid w:val="003D7BA3"/>
    <w:rsid w:val="003E0139"/>
    <w:rsid w:val="003E0AD5"/>
    <w:rsid w:val="003E16F3"/>
    <w:rsid w:val="003E24DF"/>
    <w:rsid w:val="003E277A"/>
    <w:rsid w:val="003E399E"/>
    <w:rsid w:val="003E40CE"/>
    <w:rsid w:val="003E43F4"/>
    <w:rsid w:val="003E46C5"/>
    <w:rsid w:val="003E4D9A"/>
    <w:rsid w:val="003E58AC"/>
    <w:rsid w:val="003E7379"/>
    <w:rsid w:val="003F1846"/>
    <w:rsid w:val="003F4614"/>
    <w:rsid w:val="003F784C"/>
    <w:rsid w:val="00400293"/>
    <w:rsid w:val="004005A5"/>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5FFD"/>
    <w:rsid w:val="004265DC"/>
    <w:rsid w:val="004275E3"/>
    <w:rsid w:val="00427FD7"/>
    <w:rsid w:val="00431AC3"/>
    <w:rsid w:val="00431BE1"/>
    <w:rsid w:val="00431F66"/>
    <w:rsid w:val="004324F7"/>
    <w:rsid w:val="00434652"/>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4BBA"/>
    <w:rsid w:val="00455CEB"/>
    <w:rsid w:val="00456C08"/>
    <w:rsid w:val="00456F57"/>
    <w:rsid w:val="004611DE"/>
    <w:rsid w:val="00461247"/>
    <w:rsid w:val="00461F61"/>
    <w:rsid w:val="0046263A"/>
    <w:rsid w:val="00464303"/>
    <w:rsid w:val="00465799"/>
    <w:rsid w:val="004677CE"/>
    <w:rsid w:val="00467DCB"/>
    <w:rsid w:val="00470498"/>
    <w:rsid w:val="004708E9"/>
    <w:rsid w:val="00470C94"/>
    <w:rsid w:val="00470E62"/>
    <w:rsid w:val="0047119A"/>
    <w:rsid w:val="00471F87"/>
    <w:rsid w:val="004739DB"/>
    <w:rsid w:val="00473B5C"/>
    <w:rsid w:val="00474024"/>
    <w:rsid w:val="00475541"/>
    <w:rsid w:val="00475AE5"/>
    <w:rsid w:val="00476249"/>
    <w:rsid w:val="0048026F"/>
    <w:rsid w:val="004828D8"/>
    <w:rsid w:val="00486012"/>
    <w:rsid w:val="0048671F"/>
    <w:rsid w:val="0048715E"/>
    <w:rsid w:val="00490250"/>
    <w:rsid w:val="004902D5"/>
    <w:rsid w:val="004907C1"/>
    <w:rsid w:val="004909EF"/>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6A5E"/>
    <w:rsid w:val="004B7155"/>
    <w:rsid w:val="004B7BBC"/>
    <w:rsid w:val="004B7C6E"/>
    <w:rsid w:val="004C007C"/>
    <w:rsid w:val="004C1766"/>
    <w:rsid w:val="004C2330"/>
    <w:rsid w:val="004C53AE"/>
    <w:rsid w:val="004C707D"/>
    <w:rsid w:val="004D0342"/>
    <w:rsid w:val="004D1696"/>
    <w:rsid w:val="004D2553"/>
    <w:rsid w:val="004D2A62"/>
    <w:rsid w:val="004D2E26"/>
    <w:rsid w:val="004D2FCF"/>
    <w:rsid w:val="004D4661"/>
    <w:rsid w:val="004D55D0"/>
    <w:rsid w:val="004D5ACC"/>
    <w:rsid w:val="004E0435"/>
    <w:rsid w:val="004E0F7D"/>
    <w:rsid w:val="004E1291"/>
    <w:rsid w:val="004E14CC"/>
    <w:rsid w:val="004E2130"/>
    <w:rsid w:val="004E350E"/>
    <w:rsid w:val="004E3D38"/>
    <w:rsid w:val="004E4547"/>
    <w:rsid w:val="004E7184"/>
    <w:rsid w:val="004F0A7A"/>
    <w:rsid w:val="004F2D6D"/>
    <w:rsid w:val="004F42C1"/>
    <w:rsid w:val="004F6344"/>
    <w:rsid w:val="005017A2"/>
    <w:rsid w:val="005019AC"/>
    <w:rsid w:val="00502A59"/>
    <w:rsid w:val="00503D3F"/>
    <w:rsid w:val="00504AC5"/>
    <w:rsid w:val="00505AC7"/>
    <w:rsid w:val="005068F3"/>
    <w:rsid w:val="00506941"/>
    <w:rsid w:val="00507E1D"/>
    <w:rsid w:val="00511C6C"/>
    <w:rsid w:val="005129B2"/>
    <w:rsid w:val="00512D6B"/>
    <w:rsid w:val="00513B3E"/>
    <w:rsid w:val="005140D7"/>
    <w:rsid w:val="005143A9"/>
    <w:rsid w:val="00515D94"/>
    <w:rsid w:val="00516942"/>
    <w:rsid w:val="00516E20"/>
    <w:rsid w:val="00520F5E"/>
    <w:rsid w:val="005212D3"/>
    <w:rsid w:val="00521B52"/>
    <w:rsid w:val="00521FC1"/>
    <w:rsid w:val="005226D1"/>
    <w:rsid w:val="0052319D"/>
    <w:rsid w:val="0052404A"/>
    <w:rsid w:val="00524830"/>
    <w:rsid w:val="005248B6"/>
    <w:rsid w:val="00524BAD"/>
    <w:rsid w:val="005254F5"/>
    <w:rsid w:val="00526015"/>
    <w:rsid w:val="00527783"/>
    <w:rsid w:val="00527B02"/>
    <w:rsid w:val="00530DB8"/>
    <w:rsid w:val="0053447C"/>
    <w:rsid w:val="00535763"/>
    <w:rsid w:val="00535880"/>
    <w:rsid w:val="00535DEB"/>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9697B"/>
    <w:rsid w:val="005A06D7"/>
    <w:rsid w:val="005A1ED1"/>
    <w:rsid w:val="005A41FF"/>
    <w:rsid w:val="005A7140"/>
    <w:rsid w:val="005A7D08"/>
    <w:rsid w:val="005B060E"/>
    <w:rsid w:val="005B0A60"/>
    <w:rsid w:val="005B1738"/>
    <w:rsid w:val="005B1842"/>
    <w:rsid w:val="005B240C"/>
    <w:rsid w:val="005B2D41"/>
    <w:rsid w:val="005B3C50"/>
    <w:rsid w:val="005B4925"/>
    <w:rsid w:val="005B4E98"/>
    <w:rsid w:val="005B6483"/>
    <w:rsid w:val="005B66FD"/>
    <w:rsid w:val="005B685B"/>
    <w:rsid w:val="005B6A9D"/>
    <w:rsid w:val="005B6E41"/>
    <w:rsid w:val="005B77B1"/>
    <w:rsid w:val="005B78AB"/>
    <w:rsid w:val="005C0810"/>
    <w:rsid w:val="005C1900"/>
    <w:rsid w:val="005C2546"/>
    <w:rsid w:val="005C3BCB"/>
    <w:rsid w:val="005C3F89"/>
    <w:rsid w:val="005C4FF8"/>
    <w:rsid w:val="005C5912"/>
    <w:rsid w:val="005C6AF7"/>
    <w:rsid w:val="005C7F22"/>
    <w:rsid w:val="005D2E49"/>
    <w:rsid w:val="005D31D4"/>
    <w:rsid w:val="005D3BFB"/>
    <w:rsid w:val="005D500B"/>
    <w:rsid w:val="005D58AE"/>
    <w:rsid w:val="005D6727"/>
    <w:rsid w:val="005D7F1C"/>
    <w:rsid w:val="005E041C"/>
    <w:rsid w:val="005E2933"/>
    <w:rsid w:val="005E372D"/>
    <w:rsid w:val="005E6DD6"/>
    <w:rsid w:val="005E6E86"/>
    <w:rsid w:val="005F0A71"/>
    <w:rsid w:val="005F0B96"/>
    <w:rsid w:val="005F0EBB"/>
    <w:rsid w:val="005F20E0"/>
    <w:rsid w:val="005F288F"/>
    <w:rsid w:val="005F2B6C"/>
    <w:rsid w:val="005F2BCB"/>
    <w:rsid w:val="005F3373"/>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3D95"/>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10CC"/>
    <w:rsid w:val="006A292D"/>
    <w:rsid w:val="006A2CB1"/>
    <w:rsid w:val="006A3C7C"/>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B36"/>
    <w:rsid w:val="006F0FE2"/>
    <w:rsid w:val="006F1996"/>
    <w:rsid w:val="006F2C40"/>
    <w:rsid w:val="006F6BDA"/>
    <w:rsid w:val="006F7BD2"/>
    <w:rsid w:val="006F7C8E"/>
    <w:rsid w:val="0070077A"/>
    <w:rsid w:val="007011A9"/>
    <w:rsid w:val="00701585"/>
    <w:rsid w:val="007027FA"/>
    <w:rsid w:val="007030BF"/>
    <w:rsid w:val="00703FD5"/>
    <w:rsid w:val="007043C1"/>
    <w:rsid w:val="0070491F"/>
    <w:rsid w:val="0070609D"/>
    <w:rsid w:val="00707180"/>
    <w:rsid w:val="00707AF7"/>
    <w:rsid w:val="00707DE7"/>
    <w:rsid w:val="007124F5"/>
    <w:rsid w:val="00712663"/>
    <w:rsid w:val="00715573"/>
    <w:rsid w:val="0071611C"/>
    <w:rsid w:val="0071633D"/>
    <w:rsid w:val="007171DE"/>
    <w:rsid w:val="00717934"/>
    <w:rsid w:val="00717FC9"/>
    <w:rsid w:val="007206A3"/>
    <w:rsid w:val="00722A46"/>
    <w:rsid w:val="00722E88"/>
    <w:rsid w:val="007244D7"/>
    <w:rsid w:val="00727284"/>
    <w:rsid w:val="00731589"/>
    <w:rsid w:val="007318E8"/>
    <w:rsid w:val="007328E1"/>
    <w:rsid w:val="00732CE8"/>
    <w:rsid w:val="00734A9B"/>
    <w:rsid w:val="00734ADA"/>
    <w:rsid w:val="00735EE5"/>
    <w:rsid w:val="0074108A"/>
    <w:rsid w:val="0074155D"/>
    <w:rsid w:val="00741591"/>
    <w:rsid w:val="007460D4"/>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7A6"/>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3BEE"/>
    <w:rsid w:val="007B4881"/>
    <w:rsid w:val="007B65FA"/>
    <w:rsid w:val="007C0329"/>
    <w:rsid w:val="007C0AE2"/>
    <w:rsid w:val="007C0BF0"/>
    <w:rsid w:val="007C0DB5"/>
    <w:rsid w:val="007C1033"/>
    <w:rsid w:val="007C7465"/>
    <w:rsid w:val="007C7A35"/>
    <w:rsid w:val="007D2175"/>
    <w:rsid w:val="007D3CD7"/>
    <w:rsid w:val="007D43E8"/>
    <w:rsid w:val="007D4EBE"/>
    <w:rsid w:val="007D566D"/>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45ED"/>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17003"/>
    <w:rsid w:val="0082055E"/>
    <w:rsid w:val="00820A94"/>
    <w:rsid w:val="0082124A"/>
    <w:rsid w:val="00822B93"/>
    <w:rsid w:val="00822FD6"/>
    <w:rsid w:val="008232D2"/>
    <w:rsid w:val="0082507C"/>
    <w:rsid w:val="00825EDC"/>
    <w:rsid w:val="008265D3"/>
    <w:rsid w:val="008268A7"/>
    <w:rsid w:val="00826953"/>
    <w:rsid w:val="00826E02"/>
    <w:rsid w:val="008274A4"/>
    <w:rsid w:val="00827FB4"/>
    <w:rsid w:val="00830F1B"/>
    <w:rsid w:val="00831A2E"/>
    <w:rsid w:val="00832DBF"/>
    <w:rsid w:val="008334AE"/>
    <w:rsid w:val="00834257"/>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0F78"/>
    <w:rsid w:val="0086277F"/>
    <w:rsid w:val="00864095"/>
    <w:rsid w:val="008650F1"/>
    <w:rsid w:val="00865974"/>
    <w:rsid w:val="00866432"/>
    <w:rsid w:val="00870568"/>
    <w:rsid w:val="0087067E"/>
    <w:rsid w:val="00870727"/>
    <w:rsid w:val="008726BD"/>
    <w:rsid w:val="00872BB9"/>
    <w:rsid w:val="008738C4"/>
    <w:rsid w:val="00874E68"/>
    <w:rsid w:val="0087504C"/>
    <w:rsid w:val="00875ACE"/>
    <w:rsid w:val="0087697D"/>
    <w:rsid w:val="00877385"/>
    <w:rsid w:val="008774FC"/>
    <w:rsid w:val="00880D4D"/>
    <w:rsid w:val="00881910"/>
    <w:rsid w:val="00884A40"/>
    <w:rsid w:val="0088517F"/>
    <w:rsid w:val="0088608E"/>
    <w:rsid w:val="0088633A"/>
    <w:rsid w:val="00890463"/>
    <w:rsid w:val="00890536"/>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4C08"/>
    <w:rsid w:val="008B608B"/>
    <w:rsid w:val="008B64CD"/>
    <w:rsid w:val="008C0FCB"/>
    <w:rsid w:val="008C115C"/>
    <w:rsid w:val="008C27DB"/>
    <w:rsid w:val="008C51F9"/>
    <w:rsid w:val="008C75C4"/>
    <w:rsid w:val="008D1B5E"/>
    <w:rsid w:val="008D2326"/>
    <w:rsid w:val="008D251D"/>
    <w:rsid w:val="008D3DBB"/>
    <w:rsid w:val="008D4F39"/>
    <w:rsid w:val="008D62CA"/>
    <w:rsid w:val="008D6E17"/>
    <w:rsid w:val="008E125E"/>
    <w:rsid w:val="008E1EC1"/>
    <w:rsid w:val="008E418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33D9"/>
    <w:rsid w:val="009437C1"/>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083"/>
    <w:rsid w:val="00987B0E"/>
    <w:rsid w:val="0099009F"/>
    <w:rsid w:val="0099096E"/>
    <w:rsid w:val="009913D9"/>
    <w:rsid w:val="0099216A"/>
    <w:rsid w:val="009958EF"/>
    <w:rsid w:val="00996942"/>
    <w:rsid w:val="009969AC"/>
    <w:rsid w:val="009A0DDD"/>
    <w:rsid w:val="009A2D7C"/>
    <w:rsid w:val="009A3982"/>
    <w:rsid w:val="009A3A62"/>
    <w:rsid w:val="009A3ED6"/>
    <w:rsid w:val="009A457B"/>
    <w:rsid w:val="009A45B2"/>
    <w:rsid w:val="009A4C7F"/>
    <w:rsid w:val="009B065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2FF2"/>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767C9"/>
    <w:rsid w:val="00A81138"/>
    <w:rsid w:val="00A81D78"/>
    <w:rsid w:val="00A83D75"/>
    <w:rsid w:val="00A84AB9"/>
    <w:rsid w:val="00A862EB"/>
    <w:rsid w:val="00A86CDE"/>
    <w:rsid w:val="00A86DBF"/>
    <w:rsid w:val="00A90182"/>
    <w:rsid w:val="00A903EA"/>
    <w:rsid w:val="00A90FBB"/>
    <w:rsid w:val="00A93209"/>
    <w:rsid w:val="00A93473"/>
    <w:rsid w:val="00A96A42"/>
    <w:rsid w:val="00A9753C"/>
    <w:rsid w:val="00AA062D"/>
    <w:rsid w:val="00AA0844"/>
    <w:rsid w:val="00AA3CE7"/>
    <w:rsid w:val="00AA3F16"/>
    <w:rsid w:val="00AA44BE"/>
    <w:rsid w:val="00AA6452"/>
    <w:rsid w:val="00AA6EF7"/>
    <w:rsid w:val="00AA6F4C"/>
    <w:rsid w:val="00AA7A1E"/>
    <w:rsid w:val="00AA7E18"/>
    <w:rsid w:val="00AB0598"/>
    <w:rsid w:val="00AB09A1"/>
    <w:rsid w:val="00AB1D9C"/>
    <w:rsid w:val="00AB3AE2"/>
    <w:rsid w:val="00AB3B4C"/>
    <w:rsid w:val="00AB3D14"/>
    <w:rsid w:val="00AB45B8"/>
    <w:rsid w:val="00AB5F29"/>
    <w:rsid w:val="00AB6586"/>
    <w:rsid w:val="00AB65AE"/>
    <w:rsid w:val="00AB6DE0"/>
    <w:rsid w:val="00AC14EA"/>
    <w:rsid w:val="00AC1ADE"/>
    <w:rsid w:val="00AC54D8"/>
    <w:rsid w:val="00AC7BE3"/>
    <w:rsid w:val="00AD065B"/>
    <w:rsid w:val="00AD2E99"/>
    <w:rsid w:val="00AD37C6"/>
    <w:rsid w:val="00AD397F"/>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AF67A5"/>
    <w:rsid w:val="00B0090E"/>
    <w:rsid w:val="00B00B62"/>
    <w:rsid w:val="00B03923"/>
    <w:rsid w:val="00B05172"/>
    <w:rsid w:val="00B06D03"/>
    <w:rsid w:val="00B06D85"/>
    <w:rsid w:val="00B10244"/>
    <w:rsid w:val="00B112C7"/>
    <w:rsid w:val="00B1162C"/>
    <w:rsid w:val="00B1198E"/>
    <w:rsid w:val="00B204A8"/>
    <w:rsid w:val="00B20655"/>
    <w:rsid w:val="00B21114"/>
    <w:rsid w:val="00B21652"/>
    <w:rsid w:val="00B2251C"/>
    <w:rsid w:val="00B23A73"/>
    <w:rsid w:val="00B23FF4"/>
    <w:rsid w:val="00B25AA6"/>
    <w:rsid w:val="00B30863"/>
    <w:rsid w:val="00B32C0D"/>
    <w:rsid w:val="00B32DBA"/>
    <w:rsid w:val="00B3563B"/>
    <w:rsid w:val="00B361BB"/>
    <w:rsid w:val="00B368D9"/>
    <w:rsid w:val="00B36E9A"/>
    <w:rsid w:val="00B37C57"/>
    <w:rsid w:val="00B37D2D"/>
    <w:rsid w:val="00B4022D"/>
    <w:rsid w:val="00B40EA3"/>
    <w:rsid w:val="00B42B56"/>
    <w:rsid w:val="00B42CB4"/>
    <w:rsid w:val="00B43F78"/>
    <w:rsid w:val="00B44EEC"/>
    <w:rsid w:val="00B46621"/>
    <w:rsid w:val="00B501DA"/>
    <w:rsid w:val="00B5336D"/>
    <w:rsid w:val="00B544D6"/>
    <w:rsid w:val="00B565C2"/>
    <w:rsid w:val="00B576D4"/>
    <w:rsid w:val="00B60BD7"/>
    <w:rsid w:val="00B61804"/>
    <w:rsid w:val="00B6306F"/>
    <w:rsid w:val="00B63447"/>
    <w:rsid w:val="00B638DC"/>
    <w:rsid w:val="00B646AF"/>
    <w:rsid w:val="00B65A12"/>
    <w:rsid w:val="00B70347"/>
    <w:rsid w:val="00B7051B"/>
    <w:rsid w:val="00B71C1F"/>
    <w:rsid w:val="00B72A16"/>
    <w:rsid w:val="00B7337A"/>
    <w:rsid w:val="00B733A2"/>
    <w:rsid w:val="00B74B7A"/>
    <w:rsid w:val="00B75087"/>
    <w:rsid w:val="00B769CF"/>
    <w:rsid w:val="00B76A3B"/>
    <w:rsid w:val="00B80807"/>
    <w:rsid w:val="00B811D5"/>
    <w:rsid w:val="00B81974"/>
    <w:rsid w:val="00B81B9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39CA"/>
    <w:rsid w:val="00BA6A0F"/>
    <w:rsid w:val="00BA6E70"/>
    <w:rsid w:val="00BA70FB"/>
    <w:rsid w:val="00BB0623"/>
    <w:rsid w:val="00BB204F"/>
    <w:rsid w:val="00BB7F82"/>
    <w:rsid w:val="00BC005C"/>
    <w:rsid w:val="00BC0F8E"/>
    <w:rsid w:val="00BC1462"/>
    <w:rsid w:val="00BC163C"/>
    <w:rsid w:val="00BC2151"/>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D6EC5"/>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0E"/>
    <w:rsid w:val="00BF5A45"/>
    <w:rsid w:val="00BF5C40"/>
    <w:rsid w:val="00BF6E03"/>
    <w:rsid w:val="00C00AA3"/>
    <w:rsid w:val="00C01E9C"/>
    <w:rsid w:val="00C0227B"/>
    <w:rsid w:val="00C024D8"/>
    <w:rsid w:val="00C0367A"/>
    <w:rsid w:val="00C06268"/>
    <w:rsid w:val="00C063A4"/>
    <w:rsid w:val="00C06BE6"/>
    <w:rsid w:val="00C079FF"/>
    <w:rsid w:val="00C10685"/>
    <w:rsid w:val="00C10926"/>
    <w:rsid w:val="00C114A2"/>
    <w:rsid w:val="00C120AC"/>
    <w:rsid w:val="00C15032"/>
    <w:rsid w:val="00C15231"/>
    <w:rsid w:val="00C164AD"/>
    <w:rsid w:val="00C179EC"/>
    <w:rsid w:val="00C20E2E"/>
    <w:rsid w:val="00C22902"/>
    <w:rsid w:val="00C22A73"/>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3EF4"/>
    <w:rsid w:val="00C443D4"/>
    <w:rsid w:val="00C44C70"/>
    <w:rsid w:val="00C451DC"/>
    <w:rsid w:val="00C46966"/>
    <w:rsid w:val="00C479DB"/>
    <w:rsid w:val="00C5120F"/>
    <w:rsid w:val="00C5156F"/>
    <w:rsid w:val="00C52154"/>
    <w:rsid w:val="00C5361F"/>
    <w:rsid w:val="00C54410"/>
    <w:rsid w:val="00C55A43"/>
    <w:rsid w:val="00C574ED"/>
    <w:rsid w:val="00C60E74"/>
    <w:rsid w:val="00C666E3"/>
    <w:rsid w:val="00C73BD5"/>
    <w:rsid w:val="00C74879"/>
    <w:rsid w:val="00C7566F"/>
    <w:rsid w:val="00C7586D"/>
    <w:rsid w:val="00C75B21"/>
    <w:rsid w:val="00C77CA7"/>
    <w:rsid w:val="00C77D41"/>
    <w:rsid w:val="00C8101F"/>
    <w:rsid w:val="00C81E26"/>
    <w:rsid w:val="00C82637"/>
    <w:rsid w:val="00C82765"/>
    <w:rsid w:val="00C8304B"/>
    <w:rsid w:val="00C83466"/>
    <w:rsid w:val="00C861CA"/>
    <w:rsid w:val="00C87D70"/>
    <w:rsid w:val="00C90795"/>
    <w:rsid w:val="00C928F5"/>
    <w:rsid w:val="00C92F34"/>
    <w:rsid w:val="00C937F0"/>
    <w:rsid w:val="00C93EE7"/>
    <w:rsid w:val="00C94905"/>
    <w:rsid w:val="00C94C84"/>
    <w:rsid w:val="00C94E5A"/>
    <w:rsid w:val="00CA0DC4"/>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13E"/>
    <w:rsid w:val="00CD15F0"/>
    <w:rsid w:val="00CD3C50"/>
    <w:rsid w:val="00CD4109"/>
    <w:rsid w:val="00CD561D"/>
    <w:rsid w:val="00CD5FFC"/>
    <w:rsid w:val="00CD62E2"/>
    <w:rsid w:val="00CE0B6C"/>
    <w:rsid w:val="00CE1487"/>
    <w:rsid w:val="00CE276D"/>
    <w:rsid w:val="00CE323B"/>
    <w:rsid w:val="00CE3A30"/>
    <w:rsid w:val="00CE55E3"/>
    <w:rsid w:val="00CE606A"/>
    <w:rsid w:val="00CE6364"/>
    <w:rsid w:val="00CE6D88"/>
    <w:rsid w:val="00CE7CC4"/>
    <w:rsid w:val="00CF070D"/>
    <w:rsid w:val="00CF2FDE"/>
    <w:rsid w:val="00CF3E9F"/>
    <w:rsid w:val="00CF502F"/>
    <w:rsid w:val="00CF5676"/>
    <w:rsid w:val="00CF622A"/>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09A2"/>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395D"/>
    <w:rsid w:val="00D8566A"/>
    <w:rsid w:val="00D871F7"/>
    <w:rsid w:val="00D879AD"/>
    <w:rsid w:val="00D90271"/>
    <w:rsid w:val="00D92CC1"/>
    <w:rsid w:val="00D9351F"/>
    <w:rsid w:val="00D93CE2"/>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A6326"/>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D73C5"/>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DF7989"/>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C16"/>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2C25"/>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0C9"/>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868"/>
    <w:rsid w:val="00E83907"/>
    <w:rsid w:val="00E843D2"/>
    <w:rsid w:val="00E846C0"/>
    <w:rsid w:val="00E85598"/>
    <w:rsid w:val="00E86C77"/>
    <w:rsid w:val="00E870E0"/>
    <w:rsid w:val="00E8764F"/>
    <w:rsid w:val="00E90D07"/>
    <w:rsid w:val="00E913CB"/>
    <w:rsid w:val="00E91FB5"/>
    <w:rsid w:val="00E93B3B"/>
    <w:rsid w:val="00E93B78"/>
    <w:rsid w:val="00E93CB5"/>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6A6B"/>
    <w:rsid w:val="00EA74D6"/>
    <w:rsid w:val="00EA76F9"/>
    <w:rsid w:val="00EB106E"/>
    <w:rsid w:val="00EB1B58"/>
    <w:rsid w:val="00EB1DFD"/>
    <w:rsid w:val="00EB27B7"/>
    <w:rsid w:val="00EB2A4D"/>
    <w:rsid w:val="00EB2BFD"/>
    <w:rsid w:val="00EB3012"/>
    <w:rsid w:val="00EB46DD"/>
    <w:rsid w:val="00EB4A2A"/>
    <w:rsid w:val="00EB4E80"/>
    <w:rsid w:val="00EB552C"/>
    <w:rsid w:val="00EB5A16"/>
    <w:rsid w:val="00EB5DC2"/>
    <w:rsid w:val="00EC0230"/>
    <w:rsid w:val="00EC07DC"/>
    <w:rsid w:val="00EC0CD9"/>
    <w:rsid w:val="00EC0F17"/>
    <w:rsid w:val="00EC1519"/>
    <w:rsid w:val="00EC15AE"/>
    <w:rsid w:val="00EC38EC"/>
    <w:rsid w:val="00EC3A70"/>
    <w:rsid w:val="00EC3ACF"/>
    <w:rsid w:val="00EC41BB"/>
    <w:rsid w:val="00EC469C"/>
    <w:rsid w:val="00EC4787"/>
    <w:rsid w:val="00EC6E75"/>
    <w:rsid w:val="00ED05F9"/>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E7B97"/>
    <w:rsid w:val="00EF0A4E"/>
    <w:rsid w:val="00EF1168"/>
    <w:rsid w:val="00EF2577"/>
    <w:rsid w:val="00EF272F"/>
    <w:rsid w:val="00EF303D"/>
    <w:rsid w:val="00EF3CD1"/>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0177"/>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A71"/>
    <w:rsid w:val="00F74CBB"/>
    <w:rsid w:val="00F75C2F"/>
    <w:rsid w:val="00F75F28"/>
    <w:rsid w:val="00F7649D"/>
    <w:rsid w:val="00F84435"/>
    <w:rsid w:val="00F848C5"/>
    <w:rsid w:val="00F84B55"/>
    <w:rsid w:val="00F8557C"/>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5F0"/>
    <w:rsid w:val="00FD08AE"/>
    <w:rsid w:val="00FD1EED"/>
    <w:rsid w:val="00FD209A"/>
    <w:rsid w:val="00FD2D65"/>
    <w:rsid w:val="00FD48B5"/>
    <w:rsid w:val="00FD520D"/>
    <w:rsid w:val="00FD5FFF"/>
    <w:rsid w:val="00FD74C1"/>
    <w:rsid w:val="00FE13D9"/>
    <w:rsid w:val="00FE1AF1"/>
    <w:rsid w:val="00FE2BF6"/>
    <w:rsid w:val="00FE37A6"/>
    <w:rsid w:val="00FE4D41"/>
    <w:rsid w:val="00FE67A8"/>
    <w:rsid w:val="00FE792D"/>
    <w:rsid w:val="00FF0398"/>
    <w:rsid w:val="00FF32BC"/>
    <w:rsid w:val="00FF517F"/>
    <w:rsid w:val="27E84267"/>
    <w:rsid w:val="2EF5246E"/>
    <w:rsid w:val="50D4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3F233"/>
  <w15:docId w15:val="{6CF3AB22-1D66-4015-A141-6E313451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7">
    <w:name w:val="toc 7"/>
    <w:basedOn w:val="a"/>
    <w:next w:val="a"/>
    <w:semiHidden/>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e">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6">
    <w:name w:val="批注文字 字符"/>
    <w:link w:val="a5"/>
    <w:qFormat/>
    <w:rPr>
      <w:kern w:val="2"/>
      <w:sz w:val="21"/>
      <w:szCs w:val="24"/>
    </w:rPr>
  </w:style>
  <w:style w:type="paragraph" w:customStyle="1" w:styleId="12">
    <w:name w:val="修订1"/>
    <w:hidden/>
    <w:uiPriority w:val="99"/>
    <w:semiHidden/>
    <w:qFormat/>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2">
    <w:name w:val="修订2"/>
    <w:hidden/>
    <w:uiPriority w:val="99"/>
    <w:unhideWhenUsed/>
    <w:qFormat/>
    <w:rPr>
      <w:kern w:val="2"/>
      <w:sz w:val="21"/>
      <w:szCs w:val="24"/>
    </w:rPr>
  </w:style>
  <w:style w:type="paragraph" w:customStyle="1" w:styleId="Style49">
    <w:name w:val="_Style 49"/>
    <w:qFormat/>
    <w:pPr>
      <w:widowControl w:val="0"/>
      <w:jc w:val="both"/>
    </w:pPr>
    <w:rPr>
      <w:kern w:val="2"/>
      <w:sz w:val="21"/>
      <w:szCs w:val="24"/>
    </w:rPr>
  </w:style>
  <w:style w:type="character" w:customStyle="1" w:styleId="Char0">
    <w:name w:val="批注文字 Char"/>
    <w:qFormat/>
    <w:rPr>
      <w:rFonts w:eastAsia="宋体"/>
      <w:kern w:val="2"/>
      <w:sz w:val="21"/>
      <w:szCs w:val="24"/>
      <w:lang w:val="en-US" w:eastAsia="zh-CN" w:bidi="ar-SA"/>
    </w:rPr>
  </w:style>
  <w:style w:type="character" w:customStyle="1" w:styleId="Char4">
    <w:name w:val="标题 Char"/>
    <w:qFormat/>
    <w:rPr>
      <w:rFonts w:ascii="Arial" w:hAnsi="Arial" w:cs="Arial"/>
      <w:b/>
      <w:bCs/>
      <w:kern w:val="2"/>
      <w:sz w:val="32"/>
      <w:szCs w:val="32"/>
    </w:rPr>
  </w:style>
  <w:style w:type="character" w:customStyle="1" w:styleId="Char5">
    <w:name w:val="页脚 Char"/>
    <w:uiPriority w:val="99"/>
    <w:qFormat/>
    <w:rPr>
      <w:kern w:val="2"/>
      <w:sz w:val="18"/>
      <w:szCs w:val="18"/>
    </w:rPr>
  </w:style>
  <w:style w:type="character" w:customStyle="1" w:styleId="Char6">
    <w:name w:val="页眉 Char"/>
    <w:uiPriority w:val="99"/>
    <w:qFormat/>
    <w:rPr>
      <w:kern w:val="2"/>
      <w:sz w:val="18"/>
      <w:szCs w:val="18"/>
    </w:rPr>
  </w:style>
  <w:style w:type="character" w:customStyle="1" w:styleId="1Char">
    <w:name w:val="标题 1 Char"/>
    <w:basedOn w:val="a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F619-D3D7-49FC-BDAA-2CF4DFFEAC9F}">
  <ds:schemaRefs>
    <ds:schemaRef ds:uri="http://schemas.openxmlformats.org/officeDocument/2006/bibliography"/>
  </ds:schemaRefs>
</ds:datastoreItem>
</file>

<file path=customXml/itemProps10.xml><?xml version="1.0" encoding="utf-8"?>
<ds:datastoreItem xmlns:ds="http://schemas.openxmlformats.org/officeDocument/2006/customXml" ds:itemID="{522581C4-6C13-4759-A566-00C8D6633B81}">
  <ds:schemaRefs>
    <ds:schemaRef ds:uri="http://schemas.openxmlformats.org/officeDocument/2006/bibliography"/>
  </ds:schemaRefs>
</ds:datastoreItem>
</file>

<file path=customXml/itemProps11.xml><?xml version="1.0" encoding="utf-8"?>
<ds:datastoreItem xmlns:ds="http://schemas.openxmlformats.org/officeDocument/2006/customXml" ds:itemID="{C8FBDA68-13B0-4AC7-BC9D-235D5BADF459}">
  <ds:schemaRefs>
    <ds:schemaRef ds:uri="http://schemas.openxmlformats.org/officeDocument/2006/bibliography"/>
  </ds:schemaRefs>
</ds:datastoreItem>
</file>

<file path=customXml/itemProps12.xml><?xml version="1.0" encoding="utf-8"?>
<ds:datastoreItem xmlns:ds="http://schemas.openxmlformats.org/officeDocument/2006/customXml" ds:itemID="{B8AADF79-12D9-4C40-B5CA-5A9EB83C41A1}">
  <ds:schemaRefs>
    <ds:schemaRef ds:uri="http://schemas.openxmlformats.org/officeDocument/2006/bibliography"/>
  </ds:schemaRefs>
</ds:datastoreItem>
</file>

<file path=customXml/itemProps13.xml><?xml version="1.0" encoding="utf-8"?>
<ds:datastoreItem xmlns:ds="http://schemas.openxmlformats.org/officeDocument/2006/customXml" ds:itemID="{CC4FD7B8-0B6E-4246-972E-6F83B6851C56}">
  <ds:schemaRefs>
    <ds:schemaRef ds:uri="http://schemas.openxmlformats.org/officeDocument/2006/bibliography"/>
  </ds:schemaRefs>
</ds:datastoreItem>
</file>

<file path=customXml/itemProps14.xml><?xml version="1.0" encoding="utf-8"?>
<ds:datastoreItem xmlns:ds="http://schemas.openxmlformats.org/officeDocument/2006/customXml" ds:itemID="{54445EB4-B805-435D-A758-7B9EB659669D}">
  <ds:schemaRefs>
    <ds:schemaRef ds:uri="http://schemas.openxmlformats.org/officeDocument/2006/bibliography"/>
  </ds:schemaRefs>
</ds:datastoreItem>
</file>

<file path=customXml/itemProps15.xml><?xml version="1.0" encoding="utf-8"?>
<ds:datastoreItem xmlns:ds="http://schemas.openxmlformats.org/officeDocument/2006/customXml" ds:itemID="{4DC68FE1-67CE-4F1F-A0C3-BCF10F2F2EDA}">
  <ds:schemaRefs>
    <ds:schemaRef ds:uri="http://schemas.openxmlformats.org/officeDocument/2006/bibliography"/>
  </ds:schemaRefs>
</ds:datastoreItem>
</file>

<file path=customXml/itemProps16.xml><?xml version="1.0" encoding="utf-8"?>
<ds:datastoreItem xmlns:ds="http://schemas.openxmlformats.org/officeDocument/2006/customXml" ds:itemID="{6A39E013-082F-4613-993C-42C4CF6A8687}">
  <ds:schemaRefs>
    <ds:schemaRef ds:uri="http://schemas.openxmlformats.org/officeDocument/2006/bibliography"/>
  </ds:schemaRefs>
</ds:datastoreItem>
</file>

<file path=customXml/itemProps17.xml><?xml version="1.0" encoding="utf-8"?>
<ds:datastoreItem xmlns:ds="http://schemas.openxmlformats.org/officeDocument/2006/customXml" ds:itemID="{01253BE4-6A1C-4F9C-B167-57F276539362}">
  <ds:schemaRefs>
    <ds:schemaRef ds:uri="http://schemas.openxmlformats.org/officeDocument/2006/bibliography"/>
  </ds:schemaRefs>
</ds:datastoreItem>
</file>

<file path=customXml/itemProps18.xml><?xml version="1.0" encoding="utf-8"?>
<ds:datastoreItem xmlns:ds="http://schemas.openxmlformats.org/officeDocument/2006/customXml" ds:itemID="{0CE02B0A-F2C3-4BEE-BFC6-E3EB0F56E072}">
  <ds:schemaRefs>
    <ds:schemaRef ds:uri="http://schemas.openxmlformats.org/officeDocument/2006/bibliography"/>
  </ds:schemaRefs>
</ds:datastoreItem>
</file>

<file path=customXml/itemProps19.xml><?xml version="1.0" encoding="utf-8"?>
<ds:datastoreItem xmlns:ds="http://schemas.openxmlformats.org/officeDocument/2006/customXml" ds:itemID="{AFB579F4-D811-4C30-BF6B-1F4AD204EF97}">
  <ds:schemaRefs>
    <ds:schemaRef ds:uri="http://schemas.openxmlformats.org/officeDocument/2006/bibliography"/>
  </ds:schemaRefs>
</ds:datastoreItem>
</file>

<file path=customXml/itemProps2.xml><?xml version="1.0" encoding="utf-8"?>
<ds:datastoreItem xmlns:ds="http://schemas.openxmlformats.org/officeDocument/2006/customXml" ds:itemID="{EF3FC75D-7467-453B-9651-BA253B86010F}">
  <ds:schemaRefs>
    <ds:schemaRef ds:uri="http://schemas.openxmlformats.org/officeDocument/2006/bibliography"/>
  </ds:schemaRefs>
</ds:datastoreItem>
</file>

<file path=customXml/itemProps20.xml><?xml version="1.0" encoding="utf-8"?>
<ds:datastoreItem xmlns:ds="http://schemas.openxmlformats.org/officeDocument/2006/customXml" ds:itemID="{34C3E8C7-D236-4EB8-9D7E-B954F7E72B2E}">
  <ds:schemaRefs>
    <ds:schemaRef ds:uri="http://schemas.openxmlformats.org/officeDocument/2006/bibliography"/>
  </ds:schemaRefs>
</ds:datastoreItem>
</file>

<file path=customXml/itemProps21.xml><?xml version="1.0" encoding="utf-8"?>
<ds:datastoreItem xmlns:ds="http://schemas.openxmlformats.org/officeDocument/2006/customXml" ds:itemID="{EFFBF8FB-3582-420E-A053-BD0DA488915B}">
  <ds:schemaRefs>
    <ds:schemaRef ds:uri="http://schemas.openxmlformats.org/officeDocument/2006/bibliography"/>
  </ds:schemaRefs>
</ds:datastoreItem>
</file>

<file path=customXml/itemProps22.xml><?xml version="1.0" encoding="utf-8"?>
<ds:datastoreItem xmlns:ds="http://schemas.openxmlformats.org/officeDocument/2006/customXml" ds:itemID="{6EF31793-2671-4038-8434-87EE330C7529}">
  <ds:schemaRefs>
    <ds:schemaRef ds:uri="http://schemas.openxmlformats.org/officeDocument/2006/bibliography"/>
  </ds:schemaRefs>
</ds:datastoreItem>
</file>

<file path=customXml/itemProps23.xml><?xml version="1.0" encoding="utf-8"?>
<ds:datastoreItem xmlns:ds="http://schemas.openxmlformats.org/officeDocument/2006/customXml" ds:itemID="{A92124B9-B56E-4F96-A6BC-3F324F03B2BD}">
  <ds:schemaRefs>
    <ds:schemaRef ds:uri="http://schemas.openxmlformats.org/officeDocument/2006/bibliography"/>
  </ds:schemaRefs>
</ds:datastoreItem>
</file>

<file path=customXml/itemProps24.xml><?xml version="1.0" encoding="utf-8"?>
<ds:datastoreItem xmlns:ds="http://schemas.openxmlformats.org/officeDocument/2006/customXml" ds:itemID="{4A160FA5-14BC-466F-AA60-BBDBB594FD96}">
  <ds:schemaRefs>
    <ds:schemaRef ds:uri="http://schemas.openxmlformats.org/officeDocument/2006/bibliography"/>
  </ds:schemaRefs>
</ds:datastoreItem>
</file>

<file path=customXml/itemProps25.xml><?xml version="1.0" encoding="utf-8"?>
<ds:datastoreItem xmlns:ds="http://schemas.openxmlformats.org/officeDocument/2006/customXml" ds:itemID="{A6C5979C-56F0-4AF9-A02D-51A0AEE59F2A}">
  <ds:schemaRefs>
    <ds:schemaRef ds:uri="http://schemas.openxmlformats.org/officeDocument/2006/bibliography"/>
  </ds:schemaRefs>
</ds:datastoreItem>
</file>

<file path=customXml/itemProps26.xml><?xml version="1.0" encoding="utf-8"?>
<ds:datastoreItem xmlns:ds="http://schemas.openxmlformats.org/officeDocument/2006/customXml" ds:itemID="{6F2AA311-0109-43A8-B8CD-B804E66326B5}">
  <ds:schemaRefs>
    <ds:schemaRef ds:uri="http://schemas.openxmlformats.org/officeDocument/2006/bibliography"/>
  </ds:schemaRefs>
</ds:datastoreItem>
</file>

<file path=customXml/itemProps27.xml><?xml version="1.0" encoding="utf-8"?>
<ds:datastoreItem xmlns:ds="http://schemas.openxmlformats.org/officeDocument/2006/customXml" ds:itemID="{B1E84B3A-D398-4A49-B274-245C6ED4B460}">
  <ds:schemaRefs>
    <ds:schemaRef ds:uri="http://schemas.openxmlformats.org/officeDocument/2006/bibliography"/>
  </ds:schemaRefs>
</ds:datastoreItem>
</file>

<file path=customXml/itemProps28.xml><?xml version="1.0" encoding="utf-8"?>
<ds:datastoreItem xmlns:ds="http://schemas.openxmlformats.org/officeDocument/2006/customXml" ds:itemID="{82B9FD18-287B-465D-808B-4AE151738048}">
  <ds:schemaRefs>
    <ds:schemaRef ds:uri="http://schemas.openxmlformats.org/officeDocument/2006/bibliography"/>
  </ds:schemaRefs>
</ds:datastoreItem>
</file>

<file path=customXml/itemProps29.xml><?xml version="1.0" encoding="utf-8"?>
<ds:datastoreItem xmlns:ds="http://schemas.openxmlformats.org/officeDocument/2006/customXml" ds:itemID="{978CC038-6629-4861-8782-E2B200610AB7}">
  <ds:schemaRefs>
    <ds:schemaRef ds:uri="http://schemas.openxmlformats.org/officeDocument/2006/bibliography"/>
  </ds:schemaRefs>
</ds:datastoreItem>
</file>

<file path=customXml/itemProps3.xml><?xml version="1.0" encoding="utf-8"?>
<ds:datastoreItem xmlns:ds="http://schemas.openxmlformats.org/officeDocument/2006/customXml" ds:itemID="{DB16A64A-1A87-42A9-B80C-121E536FCED1}">
  <ds:schemaRefs>
    <ds:schemaRef ds:uri="http://schemas.openxmlformats.org/officeDocument/2006/bibliography"/>
  </ds:schemaRefs>
</ds:datastoreItem>
</file>

<file path=customXml/itemProps30.xml><?xml version="1.0" encoding="utf-8"?>
<ds:datastoreItem xmlns:ds="http://schemas.openxmlformats.org/officeDocument/2006/customXml" ds:itemID="{9A6337B5-65A5-4913-AA0B-51D630F9BF70}">
  <ds:schemaRefs>
    <ds:schemaRef ds:uri="http://schemas.openxmlformats.org/officeDocument/2006/bibliography"/>
  </ds:schemaRefs>
</ds:datastoreItem>
</file>

<file path=customXml/itemProps31.xml><?xml version="1.0" encoding="utf-8"?>
<ds:datastoreItem xmlns:ds="http://schemas.openxmlformats.org/officeDocument/2006/customXml" ds:itemID="{BBE0C389-0BAF-477A-AB89-EE82516E1166}">
  <ds:schemaRefs>
    <ds:schemaRef ds:uri="http://schemas.openxmlformats.org/officeDocument/2006/bibliography"/>
  </ds:schemaRefs>
</ds:datastoreItem>
</file>

<file path=customXml/itemProps32.xml><?xml version="1.0" encoding="utf-8"?>
<ds:datastoreItem xmlns:ds="http://schemas.openxmlformats.org/officeDocument/2006/customXml" ds:itemID="{13A8A9F5-35AE-4B34-BDA3-D8DE91B45FE4}">
  <ds:schemaRefs>
    <ds:schemaRef ds:uri="http://schemas.openxmlformats.org/officeDocument/2006/bibliography"/>
  </ds:schemaRefs>
</ds:datastoreItem>
</file>

<file path=customXml/itemProps33.xml><?xml version="1.0" encoding="utf-8"?>
<ds:datastoreItem xmlns:ds="http://schemas.openxmlformats.org/officeDocument/2006/customXml" ds:itemID="{B2326B60-1A7C-4870-AFA2-83A3DDAF7C05}">
  <ds:schemaRefs>
    <ds:schemaRef ds:uri="http://schemas.openxmlformats.org/officeDocument/2006/bibliography"/>
  </ds:schemaRefs>
</ds:datastoreItem>
</file>

<file path=customXml/itemProps34.xml><?xml version="1.0" encoding="utf-8"?>
<ds:datastoreItem xmlns:ds="http://schemas.openxmlformats.org/officeDocument/2006/customXml" ds:itemID="{78AEA065-7AB3-48C8-8B4B-72C0002D75D9}">
  <ds:schemaRefs>
    <ds:schemaRef ds:uri="http://schemas.openxmlformats.org/officeDocument/2006/bibliography"/>
  </ds:schemaRefs>
</ds:datastoreItem>
</file>

<file path=customXml/itemProps35.xml><?xml version="1.0" encoding="utf-8"?>
<ds:datastoreItem xmlns:ds="http://schemas.openxmlformats.org/officeDocument/2006/customXml" ds:itemID="{FB2E2CAB-4F7F-4873-B207-6FA8B3EB6D87}">
  <ds:schemaRefs>
    <ds:schemaRef ds:uri="http://schemas.openxmlformats.org/officeDocument/2006/bibliography"/>
  </ds:schemaRefs>
</ds:datastoreItem>
</file>

<file path=customXml/itemProps36.xml><?xml version="1.0" encoding="utf-8"?>
<ds:datastoreItem xmlns:ds="http://schemas.openxmlformats.org/officeDocument/2006/customXml" ds:itemID="{B523AC90-831D-43D9-AFF4-4D1F7FD34B2A}">
  <ds:schemaRefs>
    <ds:schemaRef ds:uri="http://schemas.openxmlformats.org/officeDocument/2006/bibliography"/>
  </ds:schemaRefs>
</ds:datastoreItem>
</file>

<file path=customXml/itemProps37.xml><?xml version="1.0" encoding="utf-8"?>
<ds:datastoreItem xmlns:ds="http://schemas.openxmlformats.org/officeDocument/2006/customXml" ds:itemID="{AD27954E-5DAB-4A60-B8A6-8880583FCEFA}">
  <ds:schemaRefs>
    <ds:schemaRef ds:uri="http://schemas.openxmlformats.org/officeDocument/2006/bibliography"/>
  </ds:schemaRefs>
</ds:datastoreItem>
</file>

<file path=customXml/itemProps4.xml><?xml version="1.0" encoding="utf-8"?>
<ds:datastoreItem xmlns:ds="http://schemas.openxmlformats.org/officeDocument/2006/customXml" ds:itemID="{1BF4F763-B0A5-4BE1-B2F7-A487FCFF361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A38BB0-E948-4DF9-B52D-4721A4A370EF}">
  <ds:schemaRefs>
    <ds:schemaRef ds:uri="http://schemas.openxmlformats.org/officeDocument/2006/bibliography"/>
  </ds:schemaRefs>
</ds:datastoreItem>
</file>

<file path=customXml/itemProps7.xml><?xml version="1.0" encoding="utf-8"?>
<ds:datastoreItem xmlns:ds="http://schemas.openxmlformats.org/officeDocument/2006/customXml" ds:itemID="{AE3AD889-ADA4-44E5-BC18-6CEB3465C1A1}">
  <ds:schemaRefs>
    <ds:schemaRef ds:uri="http://schemas.openxmlformats.org/officeDocument/2006/bibliography"/>
  </ds:schemaRefs>
</ds:datastoreItem>
</file>

<file path=customXml/itemProps8.xml><?xml version="1.0" encoding="utf-8"?>
<ds:datastoreItem xmlns:ds="http://schemas.openxmlformats.org/officeDocument/2006/customXml" ds:itemID="{3434E2A8-790E-42C9-970E-3EAF5CD9A16C}">
  <ds:schemaRefs>
    <ds:schemaRef ds:uri="http://schemas.openxmlformats.org/officeDocument/2006/bibliography"/>
  </ds:schemaRefs>
</ds:datastoreItem>
</file>

<file path=customXml/itemProps9.xml><?xml version="1.0" encoding="utf-8"?>
<ds:datastoreItem xmlns:ds="http://schemas.openxmlformats.org/officeDocument/2006/customXml" ds:itemID="{E60491FB-1813-483F-9AA2-7D8AA59D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4760</Words>
  <Characters>27138</Characters>
  <Application>Microsoft Office Word</Application>
  <DocSecurity>0</DocSecurity>
  <Lines>226</Lines>
  <Paragraphs>63</Paragraphs>
  <ScaleCrop>false</ScaleCrop>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张婧</cp:lastModifiedBy>
  <cp:revision>3</cp:revision>
  <cp:lastPrinted>2022-07-14T09:05:00Z</cp:lastPrinted>
  <dcterms:created xsi:type="dcterms:W3CDTF">2022-11-25T05:45:00Z</dcterms:created>
  <dcterms:modified xsi:type="dcterms:W3CDTF">2022-11-25T05:45:00Z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contractId">
    <vt:lpwstr>bf33995ec32f49b59e849d889ec629bc</vt:lpwstr>
  </property>
  <property fmtid="{D5CDD505-2E9C-101B-9397-08002B2CF9AE}" pid="4" name="verificationId">
    <vt:lpwstr>b0a0921ea07eead6</vt:lpwstr>
  </property>
</Properties>
</file>