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38532" w14:textId="77777777" w:rsidR="008141E3" w:rsidRPr="003D7C42" w:rsidRDefault="00143CBC" w:rsidP="00CD0E47">
      <w:pPr>
        <w:jc w:val="center"/>
        <w:rPr>
          <w:rFonts w:asciiTheme="majorEastAsia" w:eastAsiaTheme="majorEastAsia" w:hAnsiTheme="majorEastAsia"/>
          <w:b/>
          <w:sz w:val="32"/>
          <w:szCs w:val="28"/>
        </w:rPr>
      </w:pPr>
      <w:bookmarkStart w:id="0" w:name="OLE_LINK3"/>
      <w:bookmarkStart w:id="1" w:name="OLE_LINK4"/>
      <w:bookmarkStart w:id="2" w:name="OLE_LINK5"/>
      <w:bookmarkStart w:id="3" w:name="_Toc472509887"/>
      <w:bookmarkStart w:id="4" w:name="_Toc85535074"/>
      <w:bookmarkStart w:id="5" w:name="_Toc85535247"/>
      <w:bookmarkStart w:id="6" w:name="_GoBack"/>
      <w:bookmarkEnd w:id="6"/>
      <w:r>
        <w:rPr>
          <w:rFonts w:asciiTheme="majorEastAsia" w:eastAsiaTheme="majorEastAsia" w:hAnsiTheme="majorEastAsia" w:hint="eastAsia"/>
          <w:b/>
          <w:sz w:val="32"/>
          <w:szCs w:val="28"/>
        </w:rPr>
        <w:t>交银施罗德养老目标日期2035三年持有期混合型基金中基金（FOF）</w:t>
      </w:r>
      <w:r w:rsidR="00864181" w:rsidRPr="003D7C42">
        <w:rPr>
          <w:rFonts w:asciiTheme="majorEastAsia" w:eastAsiaTheme="majorEastAsia" w:hAnsiTheme="majorEastAsia" w:hint="eastAsia"/>
          <w:b/>
          <w:sz w:val="32"/>
          <w:szCs w:val="28"/>
        </w:rPr>
        <w:t>风险揭示</w:t>
      </w:r>
      <w:r w:rsidR="00864181" w:rsidRPr="003D7C42">
        <w:rPr>
          <w:rFonts w:asciiTheme="majorEastAsia" w:eastAsiaTheme="majorEastAsia" w:hAnsiTheme="majorEastAsia"/>
          <w:b/>
          <w:sz w:val="32"/>
          <w:szCs w:val="28"/>
        </w:rPr>
        <w:t>书</w:t>
      </w:r>
    </w:p>
    <w:bookmarkEnd w:id="0"/>
    <w:bookmarkEnd w:id="1"/>
    <w:bookmarkEnd w:id="2"/>
    <w:p w14:paraId="69C98CAE" w14:textId="77777777" w:rsidR="00CD0E47" w:rsidRDefault="00CD0E47" w:rsidP="00CD0E47">
      <w:pPr>
        <w:rPr>
          <w:rFonts w:asciiTheme="minorEastAsia" w:eastAsiaTheme="minorEastAsia" w:hAnsiTheme="minorEastAsia"/>
          <w:sz w:val="28"/>
          <w:szCs w:val="28"/>
        </w:rPr>
      </w:pPr>
    </w:p>
    <w:p w14:paraId="7426CDEB" w14:textId="77777777" w:rsidR="004E4B80" w:rsidRPr="00821845" w:rsidRDefault="004E4B80" w:rsidP="00821845">
      <w:pPr>
        <w:adjustRightInd w:val="0"/>
        <w:snapToGrid w:val="0"/>
        <w:spacing w:line="360" w:lineRule="auto"/>
        <w:rPr>
          <w:rFonts w:hAnsi="宋体"/>
          <w:sz w:val="24"/>
        </w:rPr>
      </w:pPr>
      <w:r w:rsidRPr="00821845">
        <w:rPr>
          <w:rFonts w:hAnsi="宋体" w:hint="eastAsia"/>
          <w:sz w:val="24"/>
        </w:rPr>
        <w:t>尊敬的</w:t>
      </w:r>
      <w:r w:rsidRPr="00821845">
        <w:rPr>
          <w:rFonts w:hAnsi="宋体"/>
          <w:sz w:val="24"/>
        </w:rPr>
        <w:t>投资人：</w:t>
      </w:r>
    </w:p>
    <w:bookmarkEnd w:id="3"/>
    <w:bookmarkEnd w:id="4"/>
    <w:bookmarkEnd w:id="5"/>
    <w:p w14:paraId="0FB6A0FE" w14:textId="63843EC3" w:rsidR="004E4B80" w:rsidRDefault="004E4B80" w:rsidP="00EE0749">
      <w:pPr>
        <w:adjustRightInd w:val="0"/>
        <w:snapToGrid w:val="0"/>
        <w:spacing w:line="360" w:lineRule="auto"/>
        <w:ind w:firstLineChars="200" w:firstLine="480"/>
        <w:rPr>
          <w:rFonts w:hAnsi="宋体"/>
          <w:sz w:val="24"/>
        </w:rPr>
      </w:pPr>
      <w:r>
        <w:rPr>
          <w:rFonts w:hAnsi="宋体" w:hint="eastAsia"/>
          <w:sz w:val="24"/>
        </w:rPr>
        <w:t>感谢您选择由</w:t>
      </w:r>
      <w:r>
        <w:rPr>
          <w:rFonts w:hAnsi="宋体"/>
          <w:sz w:val="24"/>
        </w:rPr>
        <w:t>交银施罗德基金管理有限公司</w:t>
      </w:r>
      <w:r>
        <w:rPr>
          <w:rFonts w:hAnsi="宋体" w:hint="eastAsia"/>
          <w:sz w:val="24"/>
        </w:rPr>
        <w:t>发起募集</w:t>
      </w:r>
      <w:r>
        <w:rPr>
          <w:rFonts w:hAnsi="宋体"/>
          <w:sz w:val="24"/>
        </w:rPr>
        <w:t>并</w:t>
      </w:r>
      <w:r>
        <w:rPr>
          <w:rFonts w:hAnsi="宋体" w:hint="eastAsia"/>
          <w:sz w:val="24"/>
        </w:rPr>
        <w:t>管理</w:t>
      </w:r>
      <w:r>
        <w:rPr>
          <w:rFonts w:hAnsi="宋体"/>
          <w:sz w:val="24"/>
        </w:rPr>
        <w:t>的“</w:t>
      </w:r>
      <w:r w:rsidRPr="004E4B80">
        <w:rPr>
          <w:rFonts w:hAnsi="宋体" w:hint="eastAsia"/>
          <w:sz w:val="24"/>
        </w:rPr>
        <w:t>交银施罗德养老目标日期</w:t>
      </w:r>
      <w:r w:rsidRPr="004E4B80">
        <w:rPr>
          <w:rFonts w:hAnsi="宋体" w:hint="eastAsia"/>
          <w:sz w:val="24"/>
        </w:rPr>
        <w:t>2035</w:t>
      </w:r>
      <w:r w:rsidRPr="004E4B80">
        <w:rPr>
          <w:rFonts w:hAnsi="宋体" w:hint="eastAsia"/>
          <w:sz w:val="24"/>
        </w:rPr>
        <w:t>三年持有期混合型基金中基金（</w:t>
      </w:r>
      <w:r w:rsidRPr="004E4B80">
        <w:rPr>
          <w:rFonts w:hAnsi="宋体" w:hint="eastAsia"/>
          <w:sz w:val="24"/>
        </w:rPr>
        <w:t>FOF</w:t>
      </w:r>
      <w:r w:rsidRPr="004E4B80">
        <w:rPr>
          <w:rFonts w:hAnsi="宋体" w:hint="eastAsia"/>
          <w:sz w:val="24"/>
        </w:rPr>
        <w:t>）</w:t>
      </w:r>
      <w:r>
        <w:rPr>
          <w:rFonts w:hAnsi="宋体"/>
          <w:sz w:val="24"/>
        </w:rPr>
        <w:t>”</w:t>
      </w:r>
      <w:r w:rsidR="00942670">
        <w:rPr>
          <w:rFonts w:hAnsi="宋体" w:hint="eastAsia"/>
          <w:sz w:val="24"/>
        </w:rPr>
        <w:t>（以下简称“本基金”）</w:t>
      </w:r>
      <w:r>
        <w:rPr>
          <w:rFonts w:hAnsi="宋体" w:hint="eastAsia"/>
          <w:sz w:val="24"/>
        </w:rPr>
        <w:t>，</w:t>
      </w:r>
      <w:r w:rsidRPr="004E4B80">
        <w:rPr>
          <w:rFonts w:hAnsi="宋体" w:hint="eastAsia"/>
          <w:sz w:val="24"/>
        </w:rPr>
        <w:t>在您做出投资决策前，敬请仔细阅读本风险</w:t>
      </w:r>
      <w:r w:rsidR="007643E7">
        <w:rPr>
          <w:rFonts w:hAnsi="宋体" w:hint="eastAsia"/>
          <w:sz w:val="24"/>
        </w:rPr>
        <w:t>揭示</w:t>
      </w:r>
      <w:r>
        <w:rPr>
          <w:rFonts w:hAnsi="宋体" w:hint="eastAsia"/>
          <w:sz w:val="24"/>
        </w:rPr>
        <w:t>书</w:t>
      </w:r>
      <w:r w:rsidRPr="004E4B80">
        <w:rPr>
          <w:rFonts w:hAnsi="宋体" w:hint="eastAsia"/>
          <w:sz w:val="24"/>
        </w:rPr>
        <w:t>和《基金合同》、《招募说明书》</w:t>
      </w:r>
      <w:r w:rsidR="00942670">
        <w:rPr>
          <w:rFonts w:hAnsi="宋体" w:hint="eastAsia"/>
          <w:sz w:val="24"/>
        </w:rPr>
        <w:t>、《基金产品资料概要》</w:t>
      </w:r>
      <w:r w:rsidRPr="004E4B80">
        <w:rPr>
          <w:rFonts w:hAnsi="宋体" w:hint="eastAsia"/>
          <w:sz w:val="24"/>
        </w:rPr>
        <w:t>等基金法律文件。</w:t>
      </w:r>
    </w:p>
    <w:p w14:paraId="6C4AE40C" w14:textId="77777777" w:rsidR="00EE0749" w:rsidRPr="00EE0749" w:rsidRDefault="00EE0749" w:rsidP="00E1618A">
      <w:pPr>
        <w:widowControl/>
        <w:adjustRightInd w:val="0"/>
        <w:snapToGrid w:val="0"/>
        <w:spacing w:line="360" w:lineRule="auto"/>
        <w:ind w:firstLineChars="200" w:firstLine="482"/>
        <w:rPr>
          <w:rFonts w:ascii="宋体" w:hAnsi="宋体"/>
          <w:b/>
          <w:kern w:val="0"/>
          <w:sz w:val="24"/>
        </w:rPr>
      </w:pPr>
      <w:r w:rsidRPr="00EE0749">
        <w:rPr>
          <w:rFonts w:ascii="宋体" w:hAnsi="宋体" w:hint="eastAsia"/>
          <w:b/>
          <w:kern w:val="0"/>
          <w:sz w:val="24"/>
        </w:rPr>
        <w:t>本基金</w:t>
      </w:r>
      <w:r w:rsidR="00436295">
        <w:rPr>
          <w:rFonts w:ascii="宋体" w:hAnsi="宋体" w:hint="eastAsia"/>
          <w:b/>
          <w:kern w:val="0"/>
          <w:sz w:val="24"/>
        </w:rPr>
        <w:t>“养老</w:t>
      </w:r>
      <w:r w:rsidR="00436295">
        <w:rPr>
          <w:rFonts w:ascii="宋体" w:hAnsi="宋体"/>
          <w:b/>
          <w:kern w:val="0"/>
          <w:sz w:val="24"/>
        </w:rPr>
        <w:t>”</w:t>
      </w:r>
      <w:r w:rsidR="00436295">
        <w:rPr>
          <w:rFonts w:ascii="宋体" w:hAnsi="宋体" w:hint="eastAsia"/>
          <w:b/>
          <w:kern w:val="0"/>
          <w:sz w:val="24"/>
        </w:rPr>
        <w:t>的</w:t>
      </w:r>
      <w:r w:rsidRPr="00EE0749">
        <w:rPr>
          <w:rFonts w:ascii="宋体" w:hAnsi="宋体" w:hint="eastAsia"/>
          <w:b/>
          <w:kern w:val="0"/>
          <w:sz w:val="24"/>
        </w:rPr>
        <w:t>名称不代表收益保障或其他任何形式的收益承诺；本基金不保本，可能发生亏损。</w:t>
      </w:r>
    </w:p>
    <w:p w14:paraId="101B8DE8" w14:textId="77777777" w:rsidR="00EE0749" w:rsidRPr="00EE0749" w:rsidRDefault="00EE0749" w:rsidP="00EE0749">
      <w:pPr>
        <w:widowControl/>
        <w:adjustRightInd w:val="0"/>
        <w:snapToGrid w:val="0"/>
        <w:spacing w:line="360" w:lineRule="auto"/>
        <w:ind w:firstLineChars="200" w:firstLine="480"/>
        <w:rPr>
          <w:sz w:val="24"/>
        </w:rPr>
      </w:pPr>
    </w:p>
    <w:p w14:paraId="0C1FC657" w14:textId="77777777" w:rsidR="00EE0749" w:rsidRPr="00BC2FF6" w:rsidRDefault="00EE0749" w:rsidP="00BC2FF6">
      <w:pPr>
        <w:widowControl/>
        <w:adjustRightInd w:val="0"/>
        <w:snapToGrid w:val="0"/>
        <w:spacing w:line="360" w:lineRule="auto"/>
        <w:rPr>
          <w:rFonts w:hAnsi="宋体"/>
          <w:b/>
          <w:kern w:val="0"/>
          <w:sz w:val="24"/>
        </w:rPr>
      </w:pPr>
      <w:r w:rsidRPr="00BC2FF6">
        <w:rPr>
          <w:rFonts w:hAnsi="宋体" w:hint="eastAsia"/>
          <w:b/>
          <w:kern w:val="0"/>
          <w:sz w:val="24"/>
        </w:rPr>
        <w:t>一</w:t>
      </w:r>
      <w:r w:rsidRPr="00BC2FF6">
        <w:rPr>
          <w:rFonts w:hAnsi="宋体"/>
          <w:b/>
          <w:kern w:val="0"/>
          <w:sz w:val="24"/>
        </w:rPr>
        <w:t>、基金份额持有人须了解</w:t>
      </w:r>
      <w:r w:rsidRPr="00BC2FF6">
        <w:rPr>
          <w:rFonts w:hAnsi="宋体" w:hint="eastAsia"/>
          <w:b/>
          <w:kern w:val="0"/>
          <w:sz w:val="24"/>
        </w:rPr>
        <w:t>本基金以下</w:t>
      </w:r>
      <w:r w:rsidRPr="00BC2FF6">
        <w:rPr>
          <w:rFonts w:hAnsi="宋体"/>
          <w:b/>
          <w:kern w:val="0"/>
          <w:sz w:val="24"/>
        </w:rPr>
        <w:t>投资</w:t>
      </w:r>
      <w:r w:rsidRPr="00BC2FF6">
        <w:rPr>
          <w:rFonts w:hAnsi="宋体" w:hint="eastAsia"/>
          <w:b/>
          <w:kern w:val="0"/>
          <w:sz w:val="24"/>
        </w:rPr>
        <w:t>内容</w:t>
      </w:r>
      <w:r w:rsidRPr="00BC2FF6">
        <w:rPr>
          <w:rFonts w:hAnsi="宋体"/>
          <w:b/>
          <w:kern w:val="0"/>
          <w:sz w:val="24"/>
        </w:rPr>
        <w:t>：</w:t>
      </w:r>
    </w:p>
    <w:p w14:paraId="3A08AEE7" w14:textId="77777777" w:rsidR="00EE0749" w:rsidRPr="00EE0749" w:rsidRDefault="00EE0749" w:rsidP="00EE0749">
      <w:pPr>
        <w:widowControl/>
        <w:adjustRightInd w:val="0"/>
        <w:snapToGrid w:val="0"/>
        <w:spacing w:line="360" w:lineRule="auto"/>
        <w:ind w:firstLineChars="200" w:firstLine="482"/>
        <w:rPr>
          <w:rFonts w:hAnsi="宋体"/>
          <w:b/>
          <w:kern w:val="0"/>
          <w:sz w:val="24"/>
        </w:rPr>
      </w:pPr>
      <w:r w:rsidRPr="00EE0749">
        <w:rPr>
          <w:rFonts w:hAnsi="宋体" w:hint="eastAsia"/>
          <w:b/>
          <w:kern w:val="0"/>
          <w:sz w:val="24"/>
        </w:rPr>
        <w:t>（</w:t>
      </w:r>
      <w:r w:rsidRPr="00EE0749">
        <w:rPr>
          <w:rFonts w:hAnsi="宋体"/>
          <w:b/>
          <w:kern w:val="0"/>
          <w:sz w:val="24"/>
        </w:rPr>
        <w:t>一</w:t>
      </w:r>
      <w:r w:rsidRPr="00EE0749">
        <w:rPr>
          <w:rFonts w:hAnsi="宋体" w:hint="eastAsia"/>
          <w:b/>
          <w:kern w:val="0"/>
          <w:sz w:val="24"/>
        </w:rPr>
        <w:t>）本基金</w:t>
      </w:r>
      <w:r w:rsidRPr="00EE0749">
        <w:rPr>
          <w:rFonts w:hAnsi="宋体"/>
          <w:b/>
          <w:kern w:val="0"/>
          <w:sz w:val="24"/>
        </w:rPr>
        <w:t>的</w:t>
      </w:r>
      <w:r w:rsidRPr="00EE0749">
        <w:rPr>
          <w:rFonts w:hAnsi="宋体" w:hint="eastAsia"/>
          <w:b/>
          <w:kern w:val="0"/>
          <w:sz w:val="24"/>
        </w:rPr>
        <w:t>投资目标</w:t>
      </w:r>
    </w:p>
    <w:p w14:paraId="7A2AAFB4" w14:textId="77777777" w:rsidR="00EE0749" w:rsidRPr="00EE0749" w:rsidRDefault="00945DF6" w:rsidP="00EE0749">
      <w:pPr>
        <w:widowControl/>
        <w:adjustRightInd w:val="0"/>
        <w:snapToGrid w:val="0"/>
        <w:spacing w:line="360" w:lineRule="auto"/>
        <w:ind w:firstLineChars="200" w:firstLine="480"/>
        <w:rPr>
          <w:rFonts w:hAnsi="宋体"/>
          <w:kern w:val="0"/>
          <w:sz w:val="24"/>
        </w:rPr>
      </w:pPr>
      <w:r w:rsidRPr="00945DF6">
        <w:rPr>
          <w:rFonts w:hAnsi="宋体" w:hint="eastAsia"/>
          <w:kern w:val="0"/>
          <w:sz w:val="24"/>
        </w:rPr>
        <w:t>本基金为基金中基金，依照下滑曲线进行大类资产配置，力争实现养老资产的长期稳健增值，满足养老资金理财需求。</w:t>
      </w:r>
    </w:p>
    <w:p w14:paraId="52A379C9" w14:textId="77777777" w:rsidR="00EE0749" w:rsidRPr="00EE0749" w:rsidRDefault="00EE0749" w:rsidP="00EE0749">
      <w:pPr>
        <w:widowControl/>
        <w:adjustRightInd w:val="0"/>
        <w:snapToGrid w:val="0"/>
        <w:spacing w:line="360" w:lineRule="auto"/>
        <w:ind w:firstLineChars="200" w:firstLine="482"/>
        <w:rPr>
          <w:rFonts w:hAnsi="宋体"/>
          <w:b/>
          <w:kern w:val="0"/>
          <w:sz w:val="24"/>
        </w:rPr>
      </w:pPr>
      <w:r w:rsidRPr="00EE0749">
        <w:rPr>
          <w:rFonts w:hAnsi="宋体" w:hint="eastAsia"/>
          <w:b/>
          <w:kern w:val="0"/>
          <w:sz w:val="24"/>
        </w:rPr>
        <w:t>（二）本基金</w:t>
      </w:r>
      <w:r w:rsidRPr="00EE0749">
        <w:rPr>
          <w:rFonts w:hAnsi="宋体"/>
          <w:b/>
          <w:kern w:val="0"/>
          <w:sz w:val="24"/>
        </w:rPr>
        <w:t>的</w:t>
      </w:r>
      <w:r w:rsidRPr="00EE0749">
        <w:rPr>
          <w:rFonts w:hAnsi="宋体" w:hint="eastAsia"/>
          <w:b/>
          <w:kern w:val="0"/>
          <w:sz w:val="24"/>
        </w:rPr>
        <w:t>投资范围</w:t>
      </w:r>
    </w:p>
    <w:p w14:paraId="6D44917B" w14:textId="5CC21942" w:rsidR="00CF23C5" w:rsidRPr="00945DF6" w:rsidRDefault="00945DF6" w:rsidP="00945DF6">
      <w:pPr>
        <w:widowControl/>
        <w:adjustRightInd w:val="0"/>
        <w:snapToGrid w:val="0"/>
        <w:spacing w:line="360" w:lineRule="auto"/>
        <w:ind w:firstLineChars="200" w:firstLine="480"/>
        <w:rPr>
          <w:rFonts w:hAnsi="宋体"/>
          <w:kern w:val="0"/>
          <w:sz w:val="24"/>
        </w:rPr>
      </w:pPr>
      <w:r w:rsidRPr="00945DF6">
        <w:rPr>
          <w:rFonts w:hAnsi="宋体" w:hint="eastAsia"/>
          <w:kern w:val="0"/>
          <w:sz w:val="24"/>
        </w:rPr>
        <w:t>本基金的投资范围为具有良好流动性的金融工具，包括经中国证监会依法核准或注册的公开募集证券投资基金（含</w:t>
      </w:r>
      <w:r w:rsidRPr="00945DF6">
        <w:rPr>
          <w:rFonts w:hAnsi="宋体" w:hint="eastAsia"/>
          <w:kern w:val="0"/>
          <w:sz w:val="24"/>
        </w:rPr>
        <w:t>ETF</w:t>
      </w:r>
      <w:r w:rsidRPr="00945DF6">
        <w:rPr>
          <w:rFonts w:hAnsi="宋体" w:hint="eastAsia"/>
          <w:kern w:val="0"/>
          <w:sz w:val="24"/>
        </w:rPr>
        <w:t>和</w:t>
      </w:r>
      <w:r w:rsidRPr="00945DF6">
        <w:rPr>
          <w:rFonts w:hAnsi="宋体" w:hint="eastAsia"/>
          <w:kern w:val="0"/>
          <w:sz w:val="24"/>
        </w:rPr>
        <w:t>LOF</w:t>
      </w:r>
      <w:r w:rsidRPr="00945DF6">
        <w:rPr>
          <w:rFonts w:hAnsi="宋体" w:hint="eastAsia"/>
          <w:kern w:val="0"/>
          <w:sz w:val="24"/>
        </w:rPr>
        <w:t>、香港互认基金、</w:t>
      </w:r>
      <w:r w:rsidRPr="00945DF6">
        <w:rPr>
          <w:rFonts w:hAnsi="宋体" w:hint="eastAsia"/>
          <w:kern w:val="0"/>
          <w:sz w:val="24"/>
        </w:rPr>
        <w:t>QDII</w:t>
      </w:r>
      <w:r w:rsidRPr="00945DF6">
        <w:rPr>
          <w:rFonts w:hAnsi="宋体" w:hint="eastAsia"/>
          <w:kern w:val="0"/>
          <w:sz w:val="24"/>
        </w:rPr>
        <w:t>）、国内依法发行上市的股票（含中小板、创业板及其他经中国证监会核准上市的股票</w:t>
      </w:r>
      <w:r w:rsidR="0086424F" w:rsidRPr="00A640BE">
        <w:rPr>
          <w:rFonts w:ascii="宋体" w:hAnsi="宋体"/>
          <w:sz w:val="24"/>
        </w:rPr>
        <w:t>、存托凭证</w:t>
      </w:r>
      <w:r w:rsidRPr="00945DF6">
        <w:rPr>
          <w:rFonts w:hAnsi="宋体" w:hint="eastAsia"/>
          <w:kern w:val="0"/>
          <w:sz w:val="24"/>
        </w:rPr>
        <w:t>）、港股通标的股票、债券（含国债、央行票据、金融债券、政府支持债券、政府支持机构债券、地方政府债券、企业债券、公司债券、可转换债券（含可分离交易可转换债券）、可交换债券、次级债券、中期票据、短期融资券、超短期融资券等）、资产支持证券、债券回购、同业存单、银行存款（含协议存款、定期存款及其他银行存款）、货币市场工具以及法律法规或中国证监会允许基金投资的其他金融工具。</w:t>
      </w:r>
    </w:p>
    <w:p w14:paraId="356855A9" w14:textId="77777777" w:rsidR="00EE0749" w:rsidRPr="00EE0749" w:rsidRDefault="00EE0749" w:rsidP="00B16616">
      <w:pPr>
        <w:widowControl/>
        <w:adjustRightInd w:val="0"/>
        <w:snapToGrid w:val="0"/>
        <w:spacing w:line="360" w:lineRule="auto"/>
        <w:ind w:firstLineChars="200" w:firstLine="482"/>
        <w:rPr>
          <w:rFonts w:hAnsi="宋体"/>
          <w:b/>
          <w:kern w:val="0"/>
          <w:sz w:val="24"/>
        </w:rPr>
      </w:pPr>
      <w:r w:rsidRPr="00EE0749">
        <w:rPr>
          <w:rFonts w:hAnsi="宋体" w:hint="eastAsia"/>
          <w:b/>
          <w:kern w:val="0"/>
          <w:sz w:val="24"/>
        </w:rPr>
        <w:t>（三）本基金</w:t>
      </w:r>
      <w:r w:rsidRPr="00EE0749">
        <w:rPr>
          <w:rFonts w:hAnsi="宋体"/>
          <w:b/>
          <w:kern w:val="0"/>
          <w:sz w:val="24"/>
        </w:rPr>
        <w:t>的</w:t>
      </w:r>
      <w:r w:rsidRPr="00EE0749">
        <w:rPr>
          <w:rFonts w:hAnsi="宋体" w:hint="eastAsia"/>
          <w:b/>
          <w:kern w:val="0"/>
          <w:sz w:val="24"/>
        </w:rPr>
        <w:t>投资组合比例</w:t>
      </w:r>
    </w:p>
    <w:p w14:paraId="02D39F9C" w14:textId="2B1C4779" w:rsidR="00CF23C5" w:rsidRPr="00D3056D" w:rsidRDefault="00945DF6" w:rsidP="00D3056D">
      <w:pPr>
        <w:adjustRightInd w:val="0"/>
        <w:snapToGrid w:val="0"/>
        <w:spacing w:line="360" w:lineRule="auto"/>
        <w:ind w:firstLine="482"/>
        <w:rPr>
          <w:bCs/>
          <w:sz w:val="24"/>
        </w:rPr>
      </w:pPr>
      <w:r w:rsidRPr="00945DF6">
        <w:rPr>
          <w:rFonts w:hAnsi="宋体" w:hint="eastAsia"/>
          <w:kern w:val="0"/>
          <w:sz w:val="24"/>
        </w:rPr>
        <w:t>本基金投资于公开募集证券投资基金的基金份额的资产不低于本基金资产的</w:t>
      </w:r>
      <w:r w:rsidRPr="00945DF6">
        <w:rPr>
          <w:rFonts w:hAnsi="宋体" w:hint="eastAsia"/>
          <w:kern w:val="0"/>
          <w:sz w:val="24"/>
        </w:rPr>
        <w:t>80%</w:t>
      </w:r>
      <w:r w:rsidRPr="00945DF6">
        <w:rPr>
          <w:rFonts w:hAnsi="宋体" w:hint="eastAsia"/>
          <w:kern w:val="0"/>
          <w:sz w:val="24"/>
        </w:rPr>
        <w:t>，其中投资于股票</w:t>
      </w:r>
      <w:r w:rsidR="0086424F" w:rsidRPr="00A640BE">
        <w:rPr>
          <w:rFonts w:ascii="宋体" w:hAnsi="宋体"/>
          <w:sz w:val="24"/>
        </w:rPr>
        <w:t>（含存托凭证）</w:t>
      </w:r>
      <w:r w:rsidRPr="00945DF6">
        <w:rPr>
          <w:rFonts w:hAnsi="宋体" w:hint="eastAsia"/>
          <w:kern w:val="0"/>
          <w:sz w:val="24"/>
        </w:rPr>
        <w:t>、股票型基金（包括股票指数基金）、混合型基金和商品基金（含商品期货基金和黄金</w:t>
      </w:r>
      <w:r w:rsidRPr="00945DF6">
        <w:rPr>
          <w:rFonts w:hAnsi="宋体" w:hint="eastAsia"/>
          <w:kern w:val="0"/>
          <w:sz w:val="24"/>
        </w:rPr>
        <w:t>ETF</w:t>
      </w:r>
      <w:r w:rsidRPr="00945DF6">
        <w:rPr>
          <w:rFonts w:hAnsi="宋体" w:hint="eastAsia"/>
          <w:kern w:val="0"/>
          <w:sz w:val="24"/>
        </w:rPr>
        <w:t>）等品种的比例合计占基金</w:t>
      </w:r>
      <w:r w:rsidRPr="00945DF6">
        <w:rPr>
          <w:rFonts w:hAnsi="宋体" w:hint="eastAsia"/>
          <w:kern w:val="0"/>
          <w:sz w:val="24"/>
        </w:rPr>
        <w:lastRenderedPageBreak/>
        <w:t>资产的</w:t>
      </w:r>
      <w:r w:rsidRPr="00945DF6">
        <w:rPr>
          <w:rFonts w:hAnsi="宋体" w:hint="eastAsia"/>
          <w:kern w:val="0"/>
          <w:sz w:val="24"/>
        </w:rPr>
        <w:t>0%-60%</w:t>
      </w:r>
      <w:r w:rsidRPr="00945DF6">
        <w:rPr>
          <w:rFonts w:hAnsi="宋体" w:hint="eastAsia"/>
          <w:kern w:val="0"/>
          <w:sz w:val="24"/>
        </w:rPr>
        <w:t>；投资于港股通标的股票的比例占股票资产的</w:t>
      </w:r>
      <w:r w:rsidRPr="00945DF6">
        <w:rPr>
          <w:rFonts w:hAnsi="宋体" w:hint="eastAsia"/>
          <w:kern w:val="0"/>
          <w:sz w:val="24"/>
        </w:rPr>
        <w:t>0-50%</w:t>
      </w:r>
      <w:r w:rsidRPr="00945DF6">
        <w:rPr>
          <w:rFonts w:hAnsi="宋体" w:hint="eastAsia"/>
          <w:kern w:val="0"/>
          <w:sz w:val="24"/>
        </w:rPr>
        <w:t>。本基金持有的现金或者到期日在一年以内的政府债券的比例合计不低于基金资产净值的</w:t>
      </w:r>
      <w:r w:rsidRPr="00945DF6">
        <w:rPr>
          <w:rFonts w:hAnsi="宋体" w:hint="eastAsia"/>
          <w:kern w:val="0"/>
          <w:sz w:val="24"/>
        </w:rPr>
        <w:t>5%</w:t>
      </w:r>
      <w:r w:rsidRPr="00945DF6">
        <w:rPr>
          <w:rFonts w:hAnsi="宋体" w:hint="eastAsia"/>
          <w:kern w:val="0"/>
          <w:sz w:val="24"/>
        </w:rPr>
        <w:t>，其中现金不包括结算备付金、存出保证金和应收申购款等。</w:t>
      </w:r>
    </w:p>
    <w:p w14:paraId="04B8152D" w14:textId="67F300D4" w:rsidR="00EE0749" w:rsidRPr="00EE0749" w:rsidRDefault="00EE0749" w:rsidP="001B49E5">
      <w:pPr>
        <w:widowControl/>
        <w:adjustRightInd w:val="0"/>
        <w:snapToGrid w:val="0"/>
        <w:spacing w:line="360" w:lineRule="auto"/>
        <w:ind w:firstLineChars="200" w:firstLine="482"/>
        <w:rPr>
          <w:rFonts w:hAnsi="宋体"/>
          <w:b/>
          <w:kern w:val="0"/>
          <w:sz w:val="24"/>
        </w:rPr>
      </w:pPr>
      <w:r w:rsidRPr="00EE0749">
        <w:rPr>
          <w:rFonts w:hAnsi="宋体" w:hint="eastAsia"/>
          <w:b/>
          <w:kern w:val="0"/>
          <w:sz w:val="24"/>
        </w:rPr>
        <w:t>（四）</w:t>
      </w:r>
      <w:r>
        <w:rPr>
          <w:rFonts w:hAnsi="宋体" w:hint="eastAsia"/>
          <w:b/>
          <w:kern w:val="0"/>
          <w:sz w:val="24"/>
        </w:rPr>
        <w:t>本</w:t>
      </w:r>
      <w:r w:rsidRPr="00EE0749">
        <w:rPr>
          <w:rFonts w:hAnsi="宋体" w:hint="eastAsia"/>
          <w:b/>
          <w:kern w:val="0"/>
          <w:sz w:val="24"/>
        </w:rPr>
        <w:t>基金</w:t>
      </w:r>
      <w:r w:rsidR="003D7C42">
        <w:rPr>
          <w:rFonts w:hAnsi="宋体" w:hint="eastAsia"/>
          <w:b/>
          <w:kern w:val="0"/>
          <w:sz w:val="24"/>
        </w:rPr>
        <w:t>的</w:t>
      </w:r>
      <w:r w:rsidR="00780847">
        <w:rPr>
          <w:rFonts w:hAnsi="宋体" w:hint="eastAsia"/>
          <w:b/>
          <w:kern w:val="0"/>
          <w:sz w:val="24"/>
        </w:rPr>
        <w:t>主要</w:t>
      </w:r>
      <w:r w:rsidRPr="00EE0749">
        <w:rPr>
          <w:rFonts w:hAnsi="宋体" w:hint="eastAsia"/>
          <w:b/>
          <w:kern w:val="0"/>
          <w:sz w:val="24"/>
        </w:rPr>
        <w:t>投资策略</w:t>
      </w:r>
    </w:p>
    <w:p w14:paraId="25112435" w14:textId="77777777" w:rsidR="00EE0749" w:rsidRPr="00DF5461" w:rsidRDefault="00EE0749" w:rsidP="00DF5461">
      <w:pPr>
        <w:adjustRightInd w:val="0"/>
        <w:snapToGrid w:val="0"/>
        <w:spacing w:line="360" w:lineRule="auto"/>
        <w:ind w:firstLineChars="200" w:firstLine="480"/>
        <w:rPr>
          <w:bCs/>
          <w:sz w:val="24"/>
        </w:rPr>
      </w:pPr>
      <w:r w:rsidRPr="00DF5461">
        <w:rPr>
          <w:rFonts w:hint="eastAsia"/>
          <w:bCs/>
          <w:sz w:val="24"/>
        </w:rPr>
        <w:t>1</w:t>
      </w:r>
      <w:r w:rsidRPr="00DF5461">
        <w:rPr>
          <w:rFonts w:hint="eastAsia"/>
          <w:bCs/>
          <w:sz w:val="24"/>
        </w:rPr>
        <w:t>、大类资产配置</w:t>
      </w:r>
    </w:p>
    <w:p w14:paraId="1DA6DC53" w14:textId="77777777" w:rsidR="00945DF6" w:rsidRDefault="00945DF6" w:rsidP="00DF5461">
      <w:pPr>
        <w:adjustRightInd w:val="0"/>
        <w:snapToGrid w:val="0"/>
        <w:spacing w:line="360" w:lineRule="auto"/>
        <w:ind w:firstLineChars="200" w:firstLine="480"/>
        <w:rPr>
          <w:bCs/>
          <w:sz w:val="24"/>
        </w:rPr>
      </w:pPr>
      <w:r w:rsidRPr="00FA36FA">
        <w:rPr>
          <w:rFonts w:hint="eastAsia"/>
          <w:bCs/>
          <w:sz w:val="24"/>
        </w:rPr>
        <w:t>本基金主要采用目标日期策略来进行投资品种的大类资产配置。随着所设定目标日期</w:t>
      </w:r>
      <w:r w:rsidRPr="00FA36FA">
        <w:rPr>
          <w:rFonts w:hint="eastAsia"/>
          <w:bCs/>
          <w:sz w:val="24"/>
        </w:rPr>
        <w:t>2035</w:t>
      </w:r>
      <w:r w:rsidRPr="00FA36FA">
        <w:rPr>
          <w:rFonts w:hint="eastAsia"/>
          <w:bCs/>
          <w:sz w:val="24"/>
        </w:rPr>
        <w:t>年的临近，逐步降低权益类资产的配置比例，增加非权益类资产的配置比例。</w:t>
      </w:r>
      <w:r>
        <w:rPr>
          <w:rFonts w:hint="eastAsia"/>
          <w:bCs/>
          <w:sz w:val="24"/>
        </w:rPr>
        <w:t>从追求</w:t>
      </w:r>
      <w:r>
        <w:rPr>
          <w:bCs/>
          <w:sz w:val="24"/>
        </w:rPr>
        <w:t>资本增值逐步转变为</w:t>
      </w:r>
      <w:r>
        <w:rPr>
          <w:rFonts w:hint="eastAsia"/>
          <w:bCs/>
          <w:sz w:val="24"/>
        </w:rPr>
        <w:t>追求当期</w:t>
      </w:r>
      <w:r>
        <w:rPr>
          <w:bCs/>
          <w:sz w:val="24"/>
        </w:rPr>
        <w:t>收益</w:t>
      </w:r>
      <w:r w:rsidRPr="00FA36FA">
        <w:rPr>
          <w:rFonts w:hint="eastAsia"/>
          <w:bCs/>
          <w:sz w:val="24"/>
        </w:rPr>
        <w:t>，通过全方位的定量和定性分析方法精选出优质基金组成投资组合，以期达到</w:t>
      </w:r>
      <w:r w:rsidRPr="00C848F8">
        <w:rPr>
          <w:rFonts w:hint="eastAsia"/>
          <w:bCs/>
          <w:sz w:val="24"/>
        </w:rPr>
        <w:t>效用最大化</w:t>
      </w:r>
      <w:r w:rsidRPr="00FA36FA">
        <w:rPr>
          <w:rFonts w:hint="eastAsia"/>
          <w:bCs/>
          <w:sz w:val="24"/>
        </w:rPr>
        <w:t>，实现基金资产的长期增值。</w:t>
      </w:r>
    </w:p>
    <w:p w14:paraId="255F122D" w14:textId="77777777" w:rsidR="00945DF6" w:rsidRDefault="00945DF6" w:rsidP="00DF5461">
      <w:pPr>
        <w:adjustRightInd w:val="0"/>
        <w:snapToGrid w:val="0"/>
        <w:spacing w:line="360" w:lineRule="auto"/>
        <w:ind w:firstLineChars="200" w:firstLine="480"/>
        <w:rPr>
          <w:bCs/>
          <w:sz w:val="24"/>
        </w:rPr>
      </w:pPr>
      <w:r>
        <w:rPr>
          <w:rFonts w:hint="eastAsia"/>
          <w:bCs/>
          <w:sz w:val="24"/>
        </w:rPr>
        <w:t>大类资产</w:t>
      </w:r>
      <w:r>
        <w:rPr>
          <w:bCs/>
          <w:sz w:val="24"/>
        </w:rPr>
        <w:t>配置按照下滑曲线进行调整，下滑曲线</w:t>
      </w:r>
      <w:r>
        <w:rPr>
          <w:rFonts w:hint="eastAsia"/>
          <w:bCs/>
          <w:sz w:val="24"/>
        </w:rPr>
        <w:t>是</w:t>
      </w:r>
      <w:r>
        <w:rPr>
          <w:bCs/>
          <w:sz w:val="24"/>
        </w:rPr>
        <w:t>描述基金中权益资产配置比例随着时间而变化的曲线。下滑</w:t>
      </w:r>
      <w:r>
        <w:rPr>
          <w:rFonts w:hint="eastAsia"/>
          <w:bCs/>
          <w:sz w:val="24"/>
        </w:rPr>
        <w:t>曲线</w:t>
      </w:r>
      <w:r>
        <w:rPr>
          <w:bCs/>
          <w:sz w:val="24"/>
        </w:rPr>
        <w:t>在趋势上</w:t>
      </w:r>
      <w:r>
        <w:rPr>
          <w:rFonts w:hint="eastAsia"/>
          <w:bCs/>
          <w:sz w:val="24"/>
        </w:rPr>
        <w:t>是不断</w:t>
      </w:r>
      <w:r>
        <w:rPr>
          <w:bCs/>
          <w:sz w:val="24"/>
        </w:rPr>
        <w:t>下降</w:t>
      </w:r>
      <w:r>
        <w:rPr>
          <w:rFonts w:hint="eastAsia"/>
          <w:bCs/>
          <w:sz w:val="24"/>
        </w:rPr>
        <w:t>的</w:t>
      </w:r>
      <w:r>
        <w:rPr>
          <w:bCs/>
          <w:sz w:val="24"/>
        </w:rPr>
        <w:t>，</w:t>
      </w:r>
      <w:r>
        <w:rPr>
          <w:rFonts w:hint="eastAsia"/>
          <w:bCs/>
          <w:sz w:val="24"/>
        </w:rPr>
        <w:t>反映</w:t>
      </w:r>
      <w:r>
        <w:rPr>
          <w:bCs/>
          <w:sz w:val="24"/>
        </w:rPr>
        <w:t>随着投资者年纪的增长，投资的风险偏好逐渐降低。</w:t>
      </w:r>
      <w:r>
        <w:rPr>
          <w:rFonts w:hint="eastAsia"/>
          <w:bCs/>
          <w:sz w:val="24"/>
        </w:rPr>
        <w:t>即随着</w:t>
      </w:r>
      <w:r>
        <w:rPr>
          <w:bCs/>
          <w:sz w:val="24"/>
        </w:rPr>
        <w:t>目标日期的接近，基金的资产配置方案</w:t>
      </w:r>
      <w:r>
        <w:rPr>
          <w:rFonts w:hint="eastAsia"/>
          <w:bCs/>
          <w:sz w:val="24"/>
        </w:rPr>
        <w:t>越来越</w:t>
      </w:r>
      <w:r>
        <w:rPr>
          <w:bCs/>
          <w:sz w:val="24"/>
        </w:rPr>
        <w:t>保守，权益类资产</w:t>
      </w:r>
      <w:r>
        <w:rPr>
          <w:rFonts w:hint="eastAsia"/>
          <w:bCs/>
          <w:sz w:val="24"/>
        </w:rPr>
        <w:t>的</w:t>
      </w:r>
      <w:r>
        <w:rPr>
          <w:bCs/>
          <w:sz w:val="24"/>
        </w:rPr>
        <w:t>投资比例逐步降低，固定收益类和货币类</w:t>
      </w:r>
      <w:r>
        <w:rPr>
          <w:rFonts w:hint="eastAsia"/>
          <w:bCs/>
          <w:sz w:val="24"/>
        </w:rPr>
        <w:t>资产</w:t>
      </w:r>
      <w:r>
        <w:rPr>
          <w:bCs/>
          <w:sz w:val="24"/>
        </w:rPr>
        <w:t>配置比例逐步提高。</w:t>
      </w:r>
      <w:r>
        <w:rPr>
          <w:rFonts w:hint="eastAsia"/>
          <w:bCs/>
          <w:sz w:val="24"/>
        </w:rPr>
        <w:t>本基金</w:t>
      </w:r>
      <w:r w:rsidRPr="0087747C">
        <w:rPr>
          <w:rFonts w:hint="eastAsia"/>
          <w:bCs/>
          <w:sz w:val="24"/>
        </w:rPr>
        <w:t>预设下滑曲线</w:t>
      </w:r>
      <w:r>
        <w:rPr>
          <w:rFonts w:hint="eastAsia"/>
          <w:bCs/>
          <w:sz w:val="24"/>
        </w:rPr>
        <w:t>的图例</w:t>
      </w:r>
      <w:r>
        <w:rPr>
          <w:bCs/>
          <w:sz w:val="24"/>
        </w:rPr>
        <w:t>详见</w:t>
      </w:r>
      <w:r>
        <w:rPr>
          <w:rFonts w:hint="eastAsia"/>
          <w:bCs/>
          <w:sz w:val="24"/>
        </w:rPr>
        <w:t>《</w:t>
      </w:r>
      <w:r>
        <w:rPr>
          <w:bCs/>
          <w:sz w:val="24"/>
        </w:rPr>
        <w:t>招募说明书</w:t>
      </w:r>
      <w:r>
        <w:rPr>
          <w:rFonts w:hint="eastAsia"/>
          <w:bCs/>
          <w:sz w:val="24"/>
        </w:rPr>
        <w:t>》</w:t>
      </w:r>
      <w:r>
        <w:rPr>
          <w:bCs/>
          <w:sz w:val="24"/>
        </w:rPr>
        <w:t>。</w:t>
      </w:r>
    </w:p>
    <w:p w14:paraId="4B4920C3" w14:textId="77777777" w:rsidR="00945DF6" w:rsidRPr="00A67151" w:rsidRDefault="00945DF6" w:rsidP="00DF5461">
      <w:pPr>
        <w:adjustRightInd w:val="0"/>
        <w:snapToGrid w:val="0"/>
        <w:spacing w:line="360" w:lineRule="auto"/>
        <w:ind w:firstLineChars="200" w:firstLine="480"/>
        <w:rPr>
          <w:bCs/>
          <w:sz w:val="24"/>
        </w:rPr>
      </w:pPr>
      <w:r>
        <w:rPr>
          <w:rFonts w:hint="eastAsia"/>
          <w:bCs/>
          <w:sz w:val="24"/>
        </w:rPr>
        <w:t>本基金</w:t>
      </w:r>
      <w:r>
        <w:rPr>
          <w:bCs/>
          <w:sz w:val="24"/>
        </w:rPr>
        <w:t>权益</w:t>
      </w:r>
      <w:r>
        <w:rPr>
          <w:rFonts w:hint="eastAsia"/>
          <w:bCs/>
          <w:sz w:val="24"/>
        </w:rPr>
        <w:t>类</w:t>
      </w:r>
      <w:r>
        <w:rPr>
          <w:bCs/>
          <w:sz w:val="24"/>
        </w:rPr>
        <w:t>资产包括股票、股票型</w:t>
      </w:r>
      <w:r>
        <w:rPr>
          <w:rFonts w:hint="eastAsia"/>
          <w:bCs/>
          <w:sz w:val="24"/>
        </w:rPr>
        <w:t>基金</w:t>
      </w:r>
      <w:r>
        <w:rPr>
          <w:bCs/>
          <w:sz w:val="24"/>
        </w:rPr>
        <w:t>、混合型基金</w:t>
      </w:r>
      <w:r>
        <w:rPr>
          <w:rFonts w:hint="eastAsia"/>
          <w:bCs/>
          <w:sz w:val="24"/>
        </w:rPr>
        <w:t>（</w:t>
      </w:r>
      <w:r w:rsidRPr="002B2B73">
        <w:rPr>
          <w:rFonts w:hint="eastAsia"/>
          <w:bCs/>
          <w:sz w:val="24"/>
        </w:rPr>
        <w:t>混合型基金</w:t>
      </w:r>
      <w:r>
        <w:rPr>
          <w:rFonts w:hint="eastAsia"/>
          <w:bCs/>
          <w:sz w:val="24"/>
        </w:rPr>
        <w:t>需</w:t>
      </w:r>
      <w:r>
        <w:rPr>
          <w:bCs/>
          <w:sz w:val="24"/>
        </w:rPr>
        <w:t>符合</w:t>
      </w:r>
      <w:r w:rsidRPr="002B2B73">
        <w:rPr>
          <w:rFonts w:hint="eastAsia"/>
          <w:bCs/>
          <w:sz w:val="24"/>
        </w:rPr>
        <w:t>基金合同中明确约定股票投资占基金资产的比例为</w:t>
      </w:r>
      <w:r w:rsidRPr="002B2B73">
        <w:rPr>
          <w:rFonts w:hint="eastAsia"/>
          <w:bCs/>
          <w:sz w:val="24"/>
        </w:rPr>
        <w:t>50%</w:t>
      </w:r>
      <w:r w:rsidRPr="002B2B73">
        <w:rPr>
          <w:rFonts w:hint="eastAsia"/>
          <w:bCs/>
          <w:sz w:val="24"/>
        </w:rPr>
        <w:t>以上</w:t>
      </w:r>
      <w:r>
        <w:rPr>
          <w:rFonts w:hint="eastAsia"/>
          <w:bCs/>
          <w:sz w:val="24"/>
        </w:rPr>
        <w:t>或者</w:t>
      </w:r>
      <w:r w:rsidRPr="002B2B73">
        <w:rPr>
          <w:rFonts w:hint="eastAsia"/>
          <w:bCs/>
          <w:sz w:val="24"/>
        </w:rPr>
        <w:t>最近</w:t>
      </w:r>
      <w:r w:rsidRPr="002B2B73">
        <w:rPr>
          <w:rFonts w:hint="eastAsia"/>
          <w:bCs/>
          <w:sz w:val="24"/>
        </w:rPr>
        <w:t>4</w:t>
      </w:r>
      <w:r w:rsidRPr="002B2B73">
        <w:rPr>
          <w:rFonts w:hint="eastAsia"/>
          <w:bCs/>
          <w:sz w:val="24"/>
        </w:rPr>
        <w:t>个季度披露的股票投资占基金资产的比例均在</w:t>
      </w:r>
      <w:r w:rsidRPr="002B2B73">
        <w:rPr>
          <w:rFonts w:hint="eastAsia"/>
          <w:bCs/>
          <w:sz w:val="24"/>
        </w:rPr>
        <w:t>50%</w:t>
      </w:r>
      <w:r w:rsidRPr="002B2B73">
        <w:rPr>
          <w:rFonts w:hint="eastAsia"/>
          <w:bCs/>
          <w:sz w:val="24"/>
        </w:rPr>
        <w:t>以上</w:t>
      </w:r>
      <w:r>
        <w:rPr>
          <w:rFonts w:hint="eastAsia"/>
          <w:bCs/>
          <w:sz w:val="24"/>
        </w:rPr>
        <w:t>）。其中</w:t>
      </w:r>
      <w:r>
        <w:rPr>
          <w:bCs/>
          <w:sz w:val="24"/>
        </w:rPr>
        <w:t>权益</w:t>
      </w:r>
      <w:r>
        <w:rPr>
          <w:rFonts w:hint="eastAsia"/>
          <w:bCs/>
          <w:sz w:val="24"/>
        </w:rPr>
        <w:t>类资产</w:t>
      </w:r>
      <w:r>
        <w:rPr>
          <w:bCs/>
          <w:sz w:val="24"/>
        </w:rPr>
        <w:t>占比将按照下滑曲线逐年调整，并预留一定主动调整空间，在综合考虑各期限的</w:t>
      </w:r>
      <w:r>
        <w:rPr>
          <w:rFonts w:hint="eastAsia"/>
          <w:bCs/>
          <w:sz w:val="24"/>
        </w:rPr>
        <w:t>资产</w:t>
      </w:r>
      <w:r>
        <w:rPr>
          <w:bCs/>
          <w:sz w:val="24"/>
        </w:rPr>
        <w:t>配置需求和影响因素后，本基金的权</w:t>
      </w:r>
      <w:r w:rsidRPr="00A67151">
        <w:rPr>
          <w:bCs/>
          <w:sz w:val="24"/>
        </w:rPr>
        <w:t>益类</w:t>
      </w:r>
      <w:r w:rsidRPr="00A67151">
        <w:rPr>
          <w:rFonts w:hint="eastAsia"/>
          <w:bCs/>
          <w:sz w:val="24"/>
        </w:rPr>
        <w:t>资产</w:t>
      </w:r>
      <w:r w:rsidRPr="00A67151">
        <w:rPr>
          <w:bCs/>
          <w:sz w:val="24"/>
        </w:rPr>
        <w:t>配置比例如下：</w:t>
      </w:r>
    </w:p>
    <w:tbl>
      <w:tblPr>
        <w:tblW w:w="7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5"/>
        <w:gridCol w:w="2226"/>
        <w:gridCol w:w="2226"/>
      </w:tblGrid>
      <w:tr w:rsidR="00945DF6" w:rsidRPr="00A67151" w14:paraId="63DA8BDF" w14:textId="77777777" w:rsidTr="00325E23">
        <w:trPr>
          <w:jc w:val="center"/>
        </w:trPr>
        <w:tc>
          <w:tcPr>
            <w:tcW w:w="2735" w:type="dxa"/>
            <w:shd w:val="clear" w:color="auto" w:fill="auto"/>
            <w:vAlign w:val="center"/>
          </w:tcPr>
          <w:p w14:paraId="4F7ABF91" w14:textId="77777777" w:rsidR="00945DF6" w:rsidRPr="00A67151" w:rsidRDefault="00945DF6" w:rsidP="00325E23">
            <w:pPr>
              <w:jc w:val="center"/>
              <w:rPr>
                <w:rFonts w:ascii="宋体" w:hAnsi="宋体"/>
                <w:bCs/>
                <w:sz w:val="24"/>
              </w:rPr>
            </w:pPr>
            <w:r w:rsidRPr="00A67151">
              <w:rPr>
                <w:rFonts w:ascii="宋体" w:hAnsi="宋体" w:hint="eastAsia"/>
                <w:bCs/>
                <w:sz w:val="24"/>
              </w:rPr>
              <w:t>年份</w:t>
            </w:r>
          </w:p>
        </w:tc>
        <w:tc>
          <w:tcPr>
            <w:tcW w:w="2226" w:type="dxa"/>
          </w:tcPr>
          <w:p w14:paraId="3313F8A4" w14:textId="77777777" w:rsidR="00945DF6" w:rsidRPr="00A67151" w:rsidRDefault="00945DF6" w:rsidP="00325E23">
            <w:pPr>
              <w:jc w:val="center"/>
              <w:rPr>
                <w:rFonts w:ascii="宋体" w:hAnsi="宋体"/>
                <w:bCs/>
                <w:sz w:val="24"/>
              </w:rPr>
            </w:pPr>
            <w:r w:rsidRPr="0087747C">
              <w:rPr>
                <w:rFonts w:ascii="宋体" w:hAnsi="宋体" w:hint="eastAsia"/>
                <w:bCs/>
                <w:sz w:val="24"/>
              </w:rPr>
              <w:t>下滑曲线</w:t>
            </w:r>
            <w:r w:rsidRPr="0087747C">
              <w:rPr>
                <w:rFonts w:ascii="宋体" w:hAnsi="宋体"/>
                <w:bCs/>
                <w:sz w:val="24"/>
              </w:rPr>
              <w:t>中枢</w:t>
            </w:r>
          </w:p>
        </w:tc>
        <w:tc>
          <w:tcPr>
            <w:tcW w:w="2226" w:type="dxa"/>
            <w:shd w:val="clear" w:color="auto" w:fill="auto"/>
            <w:vAlign w:val="center"/>
          </w:tcPr>
          <w:p w14:paraId="203672B0" w14:textId="77777777" w:rsidR="00945DF6" w:rsidRPr="00A67151" w:rsidRDefault="00945DF6" w:rsidP="00325E23">
            <w:pPr>
              <w:jc w:val="center"/>
              <w:rPr>
                <w:rFonts w:ascii="宋体" w:hAnsi="宋体"/>
                <w:bCs/>
                <w:sz w:val="24"/>
              </w:rPr>
            </w:pPr>
            <w:r w:rsidRPr="00A67151">
              <w:rPr>
                <w:rFonts w:ascii="宋体" w:hAnsi="宋体" w:hint="eastAsia"/>
                <w:bCs/>
                <w:sz w:val="24"/>
              </w:rPr>
              <w:t>权益类</w:t>
            </w:r>
            <w:r w:rsidRPr="00A67151">
              <w:rPr>
                <w:rFonts w:ascii="宋体" w:hAnsi="宋体"/>
                <w:bCs/>
                <w:sz w:val="24"/>
              </w:rPr>
              <w:t>资产占比</w:t>
            </w:r>
          </w:p>
        </w:tc>
      </w:tr>
      <w:tr w:rsidR="00945DF6" w:rsidRPr="00A67151" w14:paraId="5FACB674" w14:textId="77777777" w:rsidTr="00325E23">
        <w:trPr>
          <w:jc w:val="center"/>
        </w:trPr>
        <w:tc>
          <w:tcPr>
            <w:tcW w:w="2735" w:type="dxa"/>
            <w:shd w:val="clear" w:color="auto" w:fill="auto"/>
            <w:vAlign w:val="center"/>
          </w:tcPr>
          <w:p w14:paraId="5234E438" w14:textId="77777777" w:rsidR="00945DF6" w:rsidRPr="00A67151" w:rsidRDefault="00945DF6" w:rsidP="00325E23">
            <w:pPr>
              <w:jc w:val="center"/>
              <w:rPr>
                <w:rFonts w:ascii="宋体" w:hAnsi="宋体" w:cs="宋体"/>
                <w:kern w:val="0"/>
                <w:sz w:val="24"/>
              </w:rPr>
            </w:pPr>
            <w:r w:rsidRPr="00A67151">
              <w:rPr>
                <w:rFonts w:ascii="宋体" w:hAnsi="宋体" w:cs="宋体" w:hint="eastAsia"/>
                <w:kern w:val="0"/>
                <w:sz w:val="24"/>
              </w:rPr>
              <w:t>基金合同生效之日至</w:t>
            </w:r>
            <w:r w:rsidRPr="00A67151">
              <w:rPr>
                <w:rFonts w:ascii="宋体" w:hAnsi="宋体" w:cs="宋体"/>
                <w:kern w:val="0"/>
                <w:sz w:val="24"/>
              </w:rPr>
              <w:t>2020.12.31</w:t>
            </w:r>
          </w:p>
        </w:tc>
        <w:tc>
          <w:tcPr>
            <w:tcW w:w="2226" w:type="dxa"/>
            <w:vAlign w:val="center"/>
          </w:tcPr>
          <w:p w14:paraId="52241BFF" w14:textId="77777777" w:rsidR="00945DF6" w:rsidRPr="0087747C" w:rsidRDefault="00945DF6" w:rsidP="00325E23">
            <w:pPr>
              <w:jc w:val="center"/>
              <w:rPr>
                <w:rFonts w:ascii="宋体" w:hAnsi="宋体"/>
                <w:bCs/>
                <w:sz w:val="24"/>
              </w:rPr>
            </w:pPr>
            <w:r w:rsidRPr="0087747C">
              <w:rPr>
                <w:rFonts w:ascii="宋体" w:hAnsi="宋体" w:hint="eastAsia"/>
                <w:bCs/>
                <w:sz w:val="24"/>
              </w:rPr>
              <w:t>50</w:t>
            </w:r>
            <w:r w:rsidRPr="0087747C">
              <w:rPr>
                <w:rFonts w:ascii="宋体" w:hAnsi="宋体"/>
                <w:bCs/>
                <w:sz w:val="24"/>
              </w:rPr>
              <w:t>%</w:t>
            </w:r>
          </w:p>
        </w:tc>
        <w:tc>
          <w:tcPr>
            <w:tcW w:w="2226" w:type="dxa"/>
            <w:shd w:val="clear" w:color="auto" w:fill="auto"/>
            <w:vAlign w:val="center"/>
          </w:tcPr>
          <w:p w14:paraId="4E52F5CE"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35%-60%</w:t>
            </w:r>
          </w:p>
        </w:tc>
      </w:tr>
      <w:tr w:rsidR="00945DF6" w:rsidRPr="00A67151" w14:paraId="622E12CF" w14:textId="77777777" w:rsidTr="00325E23">
        <w:trPr>
          <w:jc w:val="center"/>
        </w:trPr>
        <w:tc>
          <w:tcPr>
            <w:tcW w:w="2735" w:type="dxa"/>
            <w:shd w:val="clear" w:color="auto" w:fill="auto"/>
            <w:vAlign w:val="center"/>
          </w:tcPr>
          <w:p w14:paraId="7FE05914"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2021.1.1-2023.12.31</w:t>
            </w:r>
          </w:p>
        </w:tc>
        <w:tc>
          <w:tcPr>
            <w:tcW w:w="2226" w:type="dxa"/>
            <w:vAlign w:val="center"/>
          </w:tcPr>
          <w:p w14:paraId="5CC64568" w14:textId="77777777" w:rsidR="00945DF6" w:rsidRPr="0087747C" w:rsidRDefault="00945DF6" w:rsidP="00325E23">
            <w:pPr>
              <w:jc w:val="center"/>
              <w:rPr>
                <w:rFonts w:ascii="宋体" w:hAnsi="宋体"/>
                <w:bCs/>
                <w:sz w:val="24"/>
              </w:rPr>
            </w:pPr>
            <w:r w:rsidRPr="0087747C">
              <w:rPr>
                <w:rFonts w:ascii="宋体" w:hAnsi="宋体" w:hint="eastAsia"/>
                <w:bCs/>
                <w:sz w:val="24"/>
              </w:rPr>
              <w:t>45</w:t>
            </w:r>
            <w:r w:rsidRPr="0087747C">
              <w:rPr>
                <w:rFonts w:ascii="宋体" w:hAnsi="宋体"/>
                <w:bCs/>
                <w:sz w:val="24"/>
              </w:rPr>
              <w:t>%</w:t>
            </w:r>
          </w:p>
        </w:tc>
        <w:tc>
          <w:tcPr>
            <w:tcW w:w="2226" w:type="dxa"/>
            <w:shd w:val="clear" w:color="auto" w:fill="auto"/>
            <w:vAlign w:val="center"/>
          </w:tcPr>
          <w:p w14:paraId="3D618B69"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30%-5</w:t>
            </w:r>
            <w:r w:rsidRPr="00A67151">
              <w:rPr>
                <w:rFonts w:ascii="宋体" w:hAnsi="宋体" w:cs="宋体" w:hint="eastAsia"/>
                <w:kern w:val="0"/>
                <w:sz w:val="24"/>
              </w:rPr>
              <w:t>5</w:t>
            </w:r>
            <w:r w:rsidRPr="00A67151">
              <w:rPr>
                <w:rFonts w:ascii="宋体" w:hAnsi="宋体" w:cs="宋体"/>
                <w:kern w:val="0"/>
                <w:sz w:val="24"/>
              </w:rPr>
              <w:t>%</w:t>
            </w:r>
          </w:p>
        </w:tc>
      </w:tr>
      <w:tr w:rsidR="00945DF6" w:rsidRPr="00A67151" w14:paraId="4FAC6EBB" w14:textId="77777777" w:rsidTr="00325E23">
        <w:trPr>
          <w:jc w:val="center"/>
        </w:trPr>
        <w:tc>
          <w:tcPr>
            <w:tcW w:w="2735" w:type="dxa"/>
            <w:shd w:val="clear" w:color="auto" w:fill="auto"/>
            <w:vAlign w:val="center"/>
          </w:tcPr>
          <w:p w14:paraId="1C947CF9"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2024.1.1-2026.12.31</w:t>
            </w:r>
          </w:p>
        </w:tc>
        <w:tc>
          <w:tcPr>
            <w:tcW w:w="2226" w:type="dxa"/>
            <w:vAlign w:val="center"/>
          </w:tcPr>
          <w:p w14:paraId="078B13E8" w14:textId="77777777" w:rsidR="00945DF6" w:rsidRPr="0087747C" w:rsidRDefault="00945DF6" w:rsidP="00325E23">
            <w:pPr>
              <w:jc w:val="center"/>
              <w:rPr>
                <w:rFonts w:ascii="宋体" w:hAnsi="宋体"/>
                <w:bCs/>
                <w:sz w:val="24"/>
              </w:rPr>
            </w:pPr>
            <w:r w:rsidRPr="0087747C">
              <w:rPr>
                <w:rFonts w:ascii="宋体" w:hAnsi="宋体" w:hint="eastAsia"/>
                <w:bCs/>
                <w:sz w:val="24"/>
              </w:rPr>
              <w:t>40</w:t>
            </w:r>
            <w:r w:rsidRPr="0087747C">
              <w:rPr>
                <w:rFonts w:ascii="宋体" w:hAnsi="宋体"/>
                <w:bCs/>
                <w:sz w:val="24"/>
              </w:rPr>
              <w:t>%</w:t>
            </w:r>
          </w:p>
        </w:tc>
        <w:tc>
          <w:tcPr>
            <w:tcW w:w="2226" w:type="dxa"/>
            <w:shd w:val="clear" w:color="auto" w:fill="auto"/>
            <w:vAlign w:val="center"/>
          </w:tcPr>
          <w:p w14:paraId="7D876EA3"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25%-</w:t>
            </w:r>
            <w:r w:rsidRPr="00A67151">
              <w:rPr>
                <w:rFonts w:ascii="宋体" w:hAnsi="宋体" w:cs="宋体" w:hint="eastAsia"/>
                <w:kern w:val="0"/>
                <w:sz w:val="24"/>
              </w:rPr>
              <w:t>50</w:t>
            </w:r>
            <w:r w:rsidRPr="00A67151">
              <w:rPr>
                <w:rFonts w:ascii="宋体" w:hAnsi="宋体" w:cs="宋体"/>
                <w:kern w:val="0"/>
                <w:sz w:val="24"/>
              </w:rPr>
              <w:t>%</w:t>
            </w:r>
          </w:p>
        </w:tc>
      </w:tr>
      <w:tr w:rsidR="00945DF6" w:rsidRPr="00A67151" w14:paraId="22692F41" w14:textId="77777777" w:rsidTr="00325E23">
        <w:trPr>
          <w:jc w:val="center"/>
        </w:trPr>
        <w:tc>
          <w:tcPr>
            <w:tcW w:w="2735" w:type="dxa"/>
            <w:shd w:val="clear" w:color="auto" w:fill="auto"/>
            <w:vAlign w:val="center"/>
          </w:tcPr>
          <w:p w14:paraId="2520DE2B"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2027.1.1-2029.12.31</w:t>
            </w:r>
          </w:p>
        </w:tc>
        <w:tc>
          <w:tcPr>
            <w:tcW w:w="2226" w:type="dxa"/>
            <w:vAlign w:val="center"/>
          </w:tcPr>
          <w:p w14:paraId="78F7D01D" w14:textId="77777777" w:rsidR="00945DF6" w:rsidRPr="0087747C" w:rsidRDefault="00945DF6" w:rsidP="00325E23">
            <w:pPr>
              <w:jc w:val="center"/>
              <w:rPr>
                <w:rFonts w:ascii="宋体" w:hAnsi="宋体"/>
                <w:bCs/>
                <w:sz w:val="24"/>
              </w:rPr>
            </w:pPr>
            <w:r w:rsidRPr="0087747C">
              <w:rPr>
                <w:rFonts w:ascii="宋体" w:hAnsi="宋体" w:hint="eastAsia"/>
                <w:bCs/>
                <w:sz w:val="24"/>
              </w:rPr>
              <w:t>35</w:t>
            </w:r>
            <w:r w:rsidRPr="0087747C">
              <w:rPr>
                <w:rFonts w:ascii="宋体" w:hAnsi="宋体"/>
                <w:bCs/>
                <w:sz w:val="24"/>
              </w:rPr>
              <w:t>%</w:t>
            </w:r>
          </w:p>
        </w:tc>
        <w:tc>
          <w:tcPr>
            <w:tcW w:w="2226" w:type="dxa"/>
            <w:shd w:val="clear" w:color="auto" w:fill="auto"/>
            <w:vAlign w:val="center"/>
          </w:tcPr>
          <w:p w14:paraId="55F7E717"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20%-</w:t>
            </w:r>
            <w:r w:rsidRPr="00A67151">
              <w:rPr>
                <w:rFonts w:ascii="宋体" w:hAnsi="宋体" w:cs="宋体" w:hint="eastAsia"/>
                <w:kern w:val="0"/>
                <w:sz w:val="24"/>
              </w:rPr>
              <w:t>45</w:t>
            </w:r>
            <w:r w:rsidRPr="00A67151">
              <w:rPr>
                <w:rFonts w:ascii="宋体" w:hAnsi="宋体" w:cs="宋体"/>
                <w:kern w:val="0"/>
                <w:sz w:val="24"/>
              </w:rPr>
              <w:t>%</w:t>
            </w:r>
          </w:p>
        </w:tc>
      </w:tr>
      <w:tr w:rsidR="00945DF6" w:rsidRPr="00A67151" w14:paraId="7E164F67" w14:textId="77777777" w:rsidTr="00325E23">
        <w:trPr>
          <w:jc w:val="center"/>
        </w:trPr>
        <w:tc>
          <w:tcPr>
            <w:tcW w:w="2735" w:type="dxa"/>
            <w:shd w:val="clear" w:color="auto" w:fill="auto"/>
            <w:vAlign w:val="center"/>
          </w:tcPr>
          <w:p w14:paraId="3846988C" w14:textId="77777777" w:rsidR="00945DF6" w:rsidRPr="00A67151" w:rsidRDefault="00945DF6" w:rsidP="00325E23">
            <w:pPr>
              <w:jc w:val="center"/>
              <w:rPr>
                <w:rFonts w:ascii="宋体" w:hAnsi="宋体"/>
                <w:bCs/>
                <w:sz w:val="24"/>
              </w:rPr>
            </w:pPr>
            <w:r w:rsidRPr="00A67151">
              <w:rPr>
                <w:rFonts w:ascii="宋体" w:hAnsi="宋体" w:cs="宋体"/>
                <w:kern w:val="0"/>
                <w:sz w:val="24"/>
              </w:rPr>
              <w:t>2030.1.1-2032.12.31</w:t>
            </w:r>
          </w:p>
        </w:tc>
        <w:tc>
          <w:tcPr>
            <w:tcW w:w="2226" w:type="dxa"/>
            <w:vAlign w:val="center"/>
          </w:tcPr>
          <w:p w14:paraId="0756F4BA" w14:textId="77777777" w:rsidR="00945DF6" w:rsidRPr="0087747C" w:rsidRDefault="00945DF6" w:rsidP="00325E23">
            <w:pPr>
              <w:jc w:val="center"/>
              <w:rPr>
                <w:rFonts w:ascii="宋体" w:hAnsi="宋体"/>
                <w:bCs/>
                <w:sz w:val="24"/>
              </w:rPr>
            </w:pPr>
            <w:r w:rsidRPr="0087747C">
              <w:rPr>
                <w:rFonts w:ascii="宋体" w:hAnsi="宋体" w:hint="eastAsia"/>
                <w:bCs/>
                <w:sz w:val="24"/>
              </w:rPr>
              <w:t>32</w:t>
            </w:r>
            <w:r w:rsidRPr="0087747C">
              <w:rPr>
                <w:rFonts w:ascii="宋体" w:hAnsi="宋体"/>
                <w:bCs/>
                <w:sz w:val="24"/>
              </w:rPr>
              <w:t>%</w:t>
            </w:r>
          </w:p>
        </w:tc>
        <w:tc>
          <w:tcPr>
            <w:tcW w:w="2226" w:type="dxa"/>
            <w:shd w:val="clear" w:color="auto" w:fill="auto"/>
            <w:vAlign w:val="center"/>
          </w:tcPr>
          <w:p w14:paraId="2DF72A16"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17%-</w:t>
            </w:r>
            <w:r w:rsidRPr="00A67151">
              <w:rPr>
                <w:rFonts w:ascii="宋体" w:hAnsi="宋体" w:cs="宋体" w:hint="eastAsia"/>
                <w:kern w:val="0"/>
                <w:sz w:val="24"/>
              </w:rPr>
              <w:t>4</w:t>
            </w:r>
            <w:r w:rsidRPr="00A67151">
              <w:rPr>
                <w:rFonts w:ascii="宋体" w:hAnsi="宋体" w:cs="宋体"/>
                <w:kern w:val="0"/>
                <w:sz w:val="24"/>
              </w:rPr>
              <w:t>2%</w:t>
            </w:r>
          </w:p>
        </w:tc>
      </w:tr>
      <w:tr w:rsidR="00945DF6" w:rsidRPr="009B6E41" w14:paraId="00B3844E" w14:textId="77777777" w:rsidTr="00325E23">
        <w:trPr>
          <w:jc w:val="center"/>
        </w:trPr>
        <w:tc>
          <w:tcPr>
            <w:tcW w:w="2735" w:type="dxa"/>
            <w:shd w:val="clear" w:color="auto" w:fill="auto"/>
            <w:vAlign w:val="center"/>
          </w:tcPr>
          <w:p w14:paraId="38F11236" w14:textId="77777777" w:rsidR="00945DF6" w:rsidRPr="00A67151" w:rsidRDefault="00945DF6" w:rsidP="00325E23">
            <w:pPr>
              <w:jc w:val="center"/>
              <w:rPr>
                <w:rFonts w:ascii="宋体" w:hAnsi="宋体"/>
                <w:bCs/>
                <w:sz w:val="24"/>
              </w:rPr>
            </w:pPr>
            <w:r w:rsidRPr="00A67151">
              <w:rPr>
                <w:rFonts w:ascii="宋体" w:hAnsi="宋体" w:cs="宋体"/>
                <w:kern w:val="0"/>
                <w:sz w:val="24"/>
              </w:rPr>
              <w:t>2033.1.1-2035.12.31</w:t>
            </w:r>
          </w:p>
        </w:tc>
        <w:tc>
          <w:tcPr>
            <w:tcW w:w="2226" w:type="dxa"/>
            <w:vAlign w:val="center"/>
          </w:tcPr>
          <w:p w14:paraId="13547BC2" w14:textId="77777777" w:rsidR="00945DF6" w:rsidRPr="0087747C" w:rsidRDefault="00945DF6" w:rsidP="00325E23">
            <w:pPr>
              <w:jc w:val="center"/>
              <w:rPr>
                <w:rFonts w:ascii="宋体" w:hAnsi="宋体"/>
                <w:bCs/>
                <w:sz w:val="24"/>
              </w:rPr>
            </w:pPr>
            <w:r w:rsidRPr="0087747C">
              <w:rPr>
                <w:rFonts w:ascii="宋体" w:hAnsi="宋体" w:hint="eastAsia"/>
                <w:bCs/>
                <w:sz w:val="24"/>
              </w:rPr>
              <w:t>29</w:t>
            </w:r>
            <w:r w:rsidRPr="0087747C">
              <w:rPr>
                <w:rFonts w:ascii="宋体" w:hAnsi="宋体"/>
                <w:bCs/>
                <w:sz w:val="24"/>
              </w:rPr>
              <w:t>%</w:t>
            </w:r>
          </w:p>
        </w:tc>
        <w:tc>
          <w:tcPr>
            <w:tcW w:w="2226" w:type="dxa"/>
            <w:shd w:val="clear" w:color="auto" w:fill="auto"/>
            <w:vAlign w:val="center"/>
          </w:tcPr>
          <w:p w14:paraId="2B1C88A9" w14:textId="77777777" w:rsidR="00945DF6" w:rsidRPr="00A67151" w:rsidRDefault="00945DF6" w:rsidP="00325E23">
            <w:pPr>
              <w:jc w:val="center"/>
              <w:rPr>
                <w:rFonts w:ascii="宋体" w:hAnsi="宋体" w:cs="宋体"/>
                <w:kern w:val="0"/>
                <w:sz w:val="24"/>
              </w:rPr>
            </w:pPr>
            <w:r w:rsidRPr="00A67151">
              <w:rPr>
                <w:rFonts w:ascii="宋体" w:hAnsi="宋体" w:cs="宋体" w:hint="eastAsia"/>
                <w:kern w:val="0"/>
                <w:sz w:val="24"/>
              </w:rPr>
              <w:t>1</w:t>
            </w:r>
            <w:r w:rsidRPr="00A67151">
              <w:rPr>
                <w:rFonts w:ascii="宋体" w:hAnsi="宋体" w:cs="宋体"/>
                <w:kern w:val="0"/>
                <w:sz w:val="24"/>
              </w:rPr>
              <w:t>4%-39%</w:t>
            </w:r>
          </w:p>
        </w:tc>
      </w:tr>
    </w:tbl>
    <w:p w14:paraId="01E74DB3" w14:textId="77777777" w:rsidR="00945DF6" w:rsidRPr="00C848F8" w:rsidRDefault="00945DF6" w:rsidP="00DF5461">
      <w:pPr>
        <w:adjustRightInd w:val="0"/>
        <w:snapToGrid w:val="0"/>
        <w:spacing w:line="360" w:lineRule="auto"/>
        <w:ind w:firstLineChars="200" w:firstLine="480"/>
        <w:rPr>
          <w:bCs/>
          <w:sz w:val="24"/>
        </w:rPr>
      </w:pPr>
      <w:r w:rsidRPr="00E77B43">
        <w:rPr>
          <w:rFonts w:hint="eastAsia"/>
          <w:bCs/>
          <w:sz w:val="24"/>
        </w:rPr>
        <w:t>因市场波动、基金规模变动等基金管理人之外的因素致使本基金投资比例不符合上述投资比例的，基金管理人应当在</w:t>
      </w:r>
      <w:r>
        <w:rPr>
          <w:bCs/>
          <w:sz w:val="24"/>
        </w:rPr>
        <w:t>1</w:t>
      </w:r>
      <w:r w:rsidRPr="00E77B43">
        <w:rPr>
          <w:rFonts w:hint="eastAsia"/>
          <w:bCs/>
          <w:sz w:val="24"/>
        </w:rPr>
        <w:t>0</w:t>
      </w:r>
      <w:r w:rsidRPr="00E77B43">
        <w:rPr>
          <w:rFonts w:hint="eastAsia"/>
          <w:bCs/>
          <w:sz w:val="24"/>
        </w:rPr>
        <w:t>个交易日内进行调整</w:t>
      </w:r>
      <w:r>
        <w:rPr>
          <w:rFonts w:hint="eastAsia"/>
          <w:bCs/>
          <w:sz w:val="24"/>
        </w:rPr>
        <w:t>。</w:t>
      </w:r>
    </w:p>
    <w:p w14:paraId="219C89B2" w14:textId="77777777" w:rsidR="00EE0749" w:rsidRPr="00DF5461" w:rsidRDefault="00EE0749" w:rsidP="00DF5461">
      <w:pPr>
        <w:adjustRightInd w:val="0"/>
        <w:snapToGrid w:val="0"/>
        <w:spacing w:line="360" w:lineRule="auto"/>
        <w:ind w:firstLineChars="200" w:firstLine="480"/>
        <w:rPr>
          <w:bCs/>
          <w:sz w:val="24"/>
        </w:rPr>
      </w:pPr>
      <w:r w:rsidRPr="00DF5461">
        <w:rPr>
          <w:rFonts w:hint="eastAsia"/>
          <w:bCs/>
          <w:sz w:val="24"/>
        </w:rPr>
        <w:t>2</w:t>
      </w:r>
      <w:r w:rsidRPr="00DF5461">
        <w:rPr>
          <w:rFonts w:hint="eastAsia"/>
          <w:bCs/>
          <w:sz w:val="24"/>
        </w:rPr>
        <w:t>、基金投资策略</w:t>
      </w:r>
    </w:p>
    <w:p w14:paraId="0D5B4373" w14:textId="77777777" w:rsidR="00945DF6" w:rsidRPr="00FA36FA" w:rsidRDefault="00945DF6" w:rsidP="00DF5461">
      <w:pPr>
        <w:adjustRightInd w:val="0"/>
        <w:snapToGrid w:val="0"/>
        <w:spacing w:line="360" w:lineRule="auto"/>
        <w:ind w:firstLineChars="200" w:firstLine="480"/>
        <w:rPr>
          <w:bCs/>
          <w:sz w:val="24"/>
        </w:rPr>
      </w:pPr>
      <w:r w:rsidRPr="00FA36FA">
        <w:rPr>
          <w:rFonts w:hint="eastAsia"/>
          <w:bCs/>
          <w:sz w:val="24"/>
        </w:rPr>
        <w:t>基于本基金管理人绩效评估系统对备选基金的评估分析，通过定量和定性相</w:t>
      </w:r>
      <w:r w:rsidRPr="00FA36FA">
        <w:rPr>
          <w:rFonts w:hint="eastAsia"/>
          <w:bCs/>
          <w:sz w:val="24"/>
        </w:rPr>
        <w:lastRenderedPageBreak/>
        <w:t>结合的方法，精选具有不同风险收益特征及投资业绩比较优势的基金确定本基金配置组合。本基金的绩效评估系统分析主要包括业绩指标分析、业绩归因分析以及基金管理人综合评估等：</w:t>
      </w:r>
    </w:p>
    <w:p w14:paraId="01374C70" w14:textId="77777777" w:rsidR="00945DF6" w:rsidRPr="00FA36FA" w:rsidRDefault="00945DF6" w:rsidP="00DF5461">
      <w:pPr>
        <w:adjustRightInd w:val="0"/>
        <w:snapToGrid w:val="0"/>
        <w:spacing w:line="360" w:lineRule="auto"/>
        <w:ind w:firstLineChars="200" w:firstLine="480"/>
        <w:rPr>
          <w:bCs/>
          <w:sz w:val="24"/>
        </w:rPr>
      </w:pPr>
      <w:r w:rsidRPr="00FA36FA">
        <w:rPr>
          <w:rFonts w:hint="eastAsia"/>
          <w:bCs/>
          <w:sz w:val="24"/>
        </w:rPr>
        <w:t>（</w:t>
      </w:r>
      <w:r w:rsidRPr="00FA36FA">
        <w:rPr>
          <w:rFonts w:hint="eastAsia"/>
          <w:bCs/>
          <w:sz w:val="24"/>
        </w:rPr>
        <w:t>1</w:t>
      </w:r>
      <w:r w:rsidRPr="00FA36FA">
        <w:rPr>
          <w:rFonts w:hint="eastAsia"/>
          <w:bCs/>
          <w:sz w:val="24"/>
        </w:rPr>
        <w:t>）运用量化方法分析所有适选基金在不同市场下的历史业绩表现，包括收益指标、风险指标和风险调整后收益指标等，具体如下：</w:t>
      </w:r>
    </w:p>
    <w:p w14:paraId="417C229E" w14:textId="77777777" w:rsidR="00945DF6" w:rsidRPr="00DF5461" w:rsidRDefault="00945DF6" w:rsidP="00DF5461">
      <w:pPr>
        <w:pStyle w:val="af3"/>
        <w:numPr>
          <w:ilvl w:val="0"/>
          <w:numId w:val="19"/>
        </w:numPr>
        <w:adjustRightInd w:val="0"/>
        <w:snapToGrid w:val="0"/>
        <w:spacing w:line="360" w:lineRule="auto"/>
        <w:ind w:firstLineChars="0"/>
        <w:rPr>
          <w:bCs/>
          <w:sz w:val="24"/>
        </w:rPr>
      </w:pPr>
      <w:r w:rsidRPr="00DF5461">
        <w:rPr>
          <w:rFonts w:hint="eastAsia"/>
          <w:bCs/>
          <w:sz w:val="24"/>
        </w:rPr>
        <w:t>收益指标：包括绝对收益、相对收益等指标；</w:t>
      </w:r>
    </w:p>
    <w:p w14:paraId="5248D2E4" w14:textId="77777777" w:rsidR="00945DF6" w:rsidRPr="00DF5461" w:rsidRDefault="00945DF6" w:rsidP="00DF5461">
      <w:pPr>
        <w:pStyle w:val="af3"/>
        <w:numPr>
          <w:ilvl w:val="0"/>
          <w:numId w:val="19"/>
        </w:numPr>
        <w:adjustRightInd w:val="0"/>
        <w:snapToGrid w:val="0"/>
        <w:spacing w:line="360" w:lineRule="auto"/>
        <w:ind w:firstLineChars="0"/>
        <w:rPr>
          <w:bCs/>
          <w:sz w:val="24"/>
        </w:rPr>
      </w:pPr>
      <w:r w:rsidRPr="00DF5461">
        <w:rPr>
          <w:rFonts w:hint="eastAsia"/>
          <w:bCs/>
          <w:sz w:val="24"/>
        </w:rPr>
        <w:t>风险指标：包括波动率、最大回撤等指标；</w:t>
      </w:r>
    </w:p>
    <w:p w14:paraId="4ECF4719" w14:textId="77777777" w:rsidR="00945DF6" w:rsidRPr="00DF5461" w:rsidRDefault="00945DF6" w:rsidP="00DF5461">
      <w:pPr>
        <w:pStyle w:val="af3"/>
        <w:numPr>
          <w:ilvl w:val="0"/>
          <w:numId w:val="19"/>
        </w:numPr>
        <w:adjustRightInd w:val="0"/>
        <w:snapToGrid w:val="0"/>
        <w:spacing w:line="360" w:lineRule="auto"/>
        <w:ind w:firstLineChars="0"/>
        <w:rPr>
          <w:bCs/>
          <w:sz w:val="24"/>
        </w:rPr>
      </w:pPr>
      <w:r w:rsidRPr="00DF5461">
        <w:rPr>
          <w:rFonts w:hint="eastAsia"/>
          <w:bCs/>
          <w:sz w:val="24"/>
        </w:rPr>
        <w:t>风险调整后收益指标：包括夏普比率、信息比率等指标。</w:t>
      </w:r>
    </w:p>
    <w:p w14:paraId="00E774DC" w14:textId="77777777" w:rsidR="00945DF6" w:rsidRPr="00FA36FA" w:rsidRDefault="00945DF6" w:rsidP="00DF5461">
      <w:pPr>
        <w:adjustRightInd w:val="0"/>
        <w:snapToGrid w:val="0"/>
        <w:spacing w:line="360" w:lineRule="auto"/>
        <w:ind w:firstLineChars="200" w:firstLine="480"/>
        <w:rPr>
          <w:bCs/>
          <w:sz w:val="24"/>
        </w:rPr>
      </w:pPr>
      <w:r w:rsidRPr="00FA36FA">
        <w:rPr>
          <w:rFonts w:hint="eastAsia"/>
          <w:bCs/>
          <w:sz w:val="24"/>
        </w:rPr>
        <w:t>（</w:t>
      </w:r>
      <w:r w:rsidRPr="00FA36FA">
        <w:rPr>
          <w:rFonts w:hint="eastAsia"/>
          <w:bCs/>
          <w:sz w:val="24"/>
        </w:rPr>
        <w:t>2</w:t>
      </w:r>
      <w:r w:rsidRPr="00FA36FA">
        <w:rPr>
          <w:rFonts w:hint="eastAsia"/>
          <w:bCs/>
          <w:sz w:val="24"/>
        </w:rPr>
        <w:t>）深入分析基金的业绩表现，再次精选基金确定备选基金，包括对基金的择时能力、资产配置能力、个股选择能力等进行归因分析，解释基金收益来源，评估未来收益的持续性与稳定性。基于市场环境、政策变动、风险事件等多重因素对基金配置组合进行持续跟踪，动态调整基金投资组合及配置比例。</w:t>
      </w:r>
    </w:p>
    <w:p w14:paraId="4A7AC92E" w14:textId="77777777" w:rsidR="00945DF6" w:rsidRPr="00FA36FA" w:rsidRDefault="00945DF6" w:rsidP="00DF5461">
      <w:pPr>
        <w:adjustRightInd w:val="0"/>
        <w:snapToGrid w:val="0"/>
        <w:spacing w:line="360" w:lineRule="auto"/>
        <w:ind w:firstLineChars="200" w:firstLine="480"/>
        <w:rPr>
          <w:bCs/>
          <w:sz w:val="24"/>
        </w:rPr>
      </w:pPr>
      <w:r w:rsidRPr="00FA36FA">
        <w:rPr>
          <w:rFonts w:hint="eastAsia"/>
          <w:bCs/>
          <w:sz w:val="24"/>
        </w:rPr>
        <w:t>（</w:t>
      </w:r>
      <w:r w:rsidRPr="00FA36FA">
        <w:rPr>
          <w:rFonts w:hint="eastAsia"/>
          <w:bCs/>
          <w:sz w:val="24"/>
        </w:rPr>
        <w:t>3</w:t>
      </w:r>
      <w:r w:rsidRPr="00FA36FA">
        <w:rPr>
          <w:rFonts w:hint="eastAsia"/>
          <w:bCs/>
          <w:sz w:val="24"/>
        </w:rPr>
        <w:t>）结合对基金管理人的定性评估，包括基金管理人基本情况、投研团队实力以及投研团队稳定性、基金经理投资优势及业绩稳定性等方面，被投资基金运作合规，风格清晰，中长期收益良好，业绩波动性较低，根据定性评估分析结果，最终确定本基金的投资组合及配置比例。</w:t>
      </w:r>
    </w:p>
    <w:p w14:paraId="2D87E13F" w14:textId="110BA4C7" w:rsidR="00BD1C7B" w:rsidRPr="00BD1C7B" w:rsidRDefault="00945DF6" w:rsidP="00945DF6">
      <w:pPr>
        <w:adjustRightInd w:val="0"/>
        <w:snapToGrid w:val="0"/>
        <w:spacing w:line="360" w:lineRule="auto"/>
        <w:ind w:firstLineChars="200" w:firstLine="480"/>
        <w:rPr>
          <w:rFonts w:hAnsi="宋体"/>
          <w:b/>
          <w:kern w:val="0"/>
          <w:sz w:val="24"/>
        </w:rPr>
      </w:pPr>
      <w:r w:rsidRPr="00FA36FA">
        <w:rPr>
          <w:rFonts w:hint="eastAsia"/>
          <w:bCs/>
          <w:sz w:val="24"/>
        </w:rPr>
        <w:t>综上，本基金通过定量和定性相结合的方法，长期持续跟踪本基金的组合业绩，并定期对基金组合进行维护，力争实现基金资产的长期稳健增值。</w:t>
      </w:r>
    </w:p>
    <w:p w14:paraId="75A5687F" w14:textId="77777777" w:rsidR="00EE0749" w:rsidRPr="00EE0749" w:rsidRDefault="00EE0749" w:rsidP="00945DF6">
      <w:pPr>
        <w:adjustRightInd w:val="0"/>
        <w:snapToGrid w:val="0"/>
        <w:spacing w:line="360" w:lineRule="auto"/>
        <w:ind w:firstLineChars="200" w:firstLine="482"/>
        <w:rPr>
          <w:rFonts w:hAnsi="宋体"/>
          <w:b/>
          <w:kern w:val="0"/>
          <w:sz w:val="24"/>
        </w:rPr>
      </w:pPr>
      <w:r w:rsidRPr="00EE0749">
        <w:rPr>
          <w:rFonts w:hAnsi="宋体" w:hint="eastAsia"/>
          <w:b/>
          <w:kern w:val="0"/>
          <w:sz w:val="24"/>
        </w:rPr>
        <w:t>（五）</w:t>
      </w:r>
      <w:r>
        <w:rPr>
          <w:rFonts w:hAnsi="宋体" w:hint="eastAsia"/>
          <w:b/>
          <w:kern w:val="0"/>
          <w:sz w:val="24"/>
        </w:rPr>
        <w:t>本基金</w:t>
      </w:r>
      <w:r w:rsidRPr="00EE0749">
        <w:rPr>
          <w:rFonts w:hAnsi="宋体" w:hint="eastAsia"/>
          <w:b/>
          <w:kern w:val="0"/>
          <w:sz w:val="24"/>
        </w:rPr>
        <w:t>业绩比较基准</w:t>
      </w:r>
    </w:p>
    <w:p w14:paraId="65A6C3F9" w14:textId="77777777" w:rsidR="00945DF6" w:rsidRDefault="00945DF6" w:rsidP="00945DF6">
      <w:pPr>
        <w:spacing w:line="360" w:lineRule="auto"/>
        <w:ind w:firstLineChars="200" w:firstLine="480"/>
        <w:rPr>
          <w:bCs/>
          <w:sz w:val="24"/>
        </w:rPr>
      </w:pPr>
      <w:r w:rsidRPr="00C420EF">
        <w:rPr>
          <w:rFonts w:hint="eastAsia"/>
          <w:bCs/>
          <w:sz w:val="24"/>
        </w:rPr>
        <w:t>沪深</w:t>
      </w:r>
      <w:r w:rsidRPr="00C420EF">
        <w:rPr>
          <w:rFonts w:hint="eastAsia"/>
          <w:bCs/>
          <w:sz w:val="24"/>
        </w:rPr>
        <w:t>300</w:t>
      </w:r>
      <w:r w:rsidRPr="00C420EF">
        <w:rPr>
          <w:rFonts w:hint="eastAsia"/>
          <w:bCs/>
          <w:sz w:val="24"/>
        </w:rPr>
        <w:t>指数收益率×</w:t>
      </w:r>
      <w:r>
        <w:rPr>
          <w:rFonts w:hint="eastAsia"/>
          <w:bCs/>
          <w:sz w:val="24"/>
        </w:rPr>
        <w:t>X</w:t>
      </w:r>
      <w:r w:rsidRPr="00C420EF">
        <w:rPr>
          <w:rFonts w:hint="eastAsia"/>
          <w:bCs/>
          <w:sz w:val="24"/>
        </w:rPr>
        <w:t>+</w:t>
      </w:r>
      <w:r w:rsidRPr="00AF0054">
        <w:rPr>
          <w:rFonts w:hint="eastAsia"/>
          <w:bCs/>
          <w:sz w:val="24"/>
        </w:rPr>
        <w:t>中债综合全价指数收益率</w:t>
      </w:r>
      <w:r w:rsidRPr="00C420EF">
        <w:rPr>
          <w:rFonts w:hint="eastAsia"/>
          <w:bCs/>
          <w:sz w:val="24"/>
        </w:rPr>
        <w:t>×（</w:t>
      </w:r>
      <w:r w:rsidRPr="00C420EF">
        <w:rPr>
          <w:rFonts w:hint="eastAsia"/>
          <w:bCs/>
          <w:sz w:val="24"/>
        </w:rPr>
        <w:t>1-</w:t>
      </w:r>
      <w:r>
        <w:rPr>
          <w:rFonts w:hint="eastAsia"/>
          <w:bCs/>
          <w:sz w:val="24"/>
        </w:rPr>
        <w:t>X</w:t>
      </w:r>
      <w:r w:rsidRPr="00C420EF">
        <w:rPr>
          <w:rFonts w:hint="eastAsia"/>
          <w:bCs/>
          <w:sz w:val="24"/>
        </w:rPr>
        <w:t>）</w:t>
      </w:r>
    </w:p>
    <w:p w14:paraId="49B920C4" w14:textId="77777777" w:rsidR="00945DF6" w:rsidRPr="00A67151" w:rsidRDefault="00945DF6" w:rsidP="00945DF6">
      <w:pPr>
        <w:spacing w:line="360" w:lineRule="auto"/>
        <w:ind w:firstLineChars="200" w:firstLine="480"/>
        <w:rPr>
          <w:bCs/>
          <w:sz w:val="24"/>
        </w:rPr>
      </w:pPr>
      <w:r>
        <w:rPr>
          <w:rFonts w:hint="eastAsia"/>
          <w:bCs/>
          <w:sz w:val="24"/>
        </w:rPr>
        <w:t>其</w:t>
      </w:r>
      <w:r w:rsidRPr="00A67151">
        <w:rPr>
          <w:rFonts w:hint="eastAsia"/>
          <w:bCs/>
          <w:sz w:val="24"/>
        </w:rPr>
        <w:t>中</w:t>
      </w:r>
      <w:r>
        <w:rPr>
          <w:bCs/>
          <w:sz w:val="24"/>
        </w:rPr>
        <w:t>X</w:t>
      </w:r>
      <w:r w:rsidRPr="00A67151">
        <w:rPr>
          <w:bCs/>
          <w:sz w:val="24"/>
        </w:rPr>
        <w:t>的取值如下表列示：</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1843"/>
      </w:tblGrid>
      <w:tr w:rsidR="00945DF6" w:rsidRPr="00A67151" w14:paraId="5AA5373F" w14:textId="77777777" w:rsidTr="00325E23">
        <w:tc>
          <w:tcPr>
            <w:tcW w:w="3118" w:type="dxa"/>
            <w:shd w:val="clear" w:color="auto" w:fill="auto"/>
            <w:vAlign w:val="center"/>
          </w:tcPr>
          <w:p w14:paraId="5E2ADBF6" w14:textId="77777777" w:rsidR="00945DF6" w:rsidRPr="00A67151" w:rsidRDefault="00945DF6" w:rsidP="00325E23">
            <w:pPr>
              <w:jc w:val="center"/>
              <w:rPr>
                <w:rFonts w:ascii="宋体" w:hAnsi="宋体"/>
                <w:bCs/>
                <w:sz w:val="24"/>
              </w:rPr>
            </w:pPr>
            <w:r w:rsidRPr="00A67151">
              <w:rPr>
                <w:rFonts w:ascii="宋体" w:hAnsi="宋体" w:hint="eastAsia"/>
                <w:bCs/>
                <w:sz w:val="24"/>
              </w:rPr>
              <w:t>年份</w:t>
            </w:r>
          </w:p>
        </w:tc>
        <w:tc>
          <w:tcPr>
            <w:tcW w:w="1843" w:type="dxa"/>
            <w:shd w:val="clear" w:color="auto" w:fill="auto"/>
            <w:vAlign w:val="center"/>
          </w:tcPr>
          <w:p w14:paraId="2D4567A0" w14:textId="77777777" w:rsidR="00945DF6" w:rsidRPr="00A67151" w:rsidRDefault="00945DF6" w:rsidP="00325E23">
            <w:pPr>
              <w:jc w:val="center"/>
              <w:rPr>
                <w:rFonts w:ascii="宋体" w:hAnsi="宋体"/>
                <w:bCs/>
                <w:sz w:val="24"/>
              </w:rPr>
            </w:pPr>
            <w:r w:rsidRPr="00A67151">
              <w:rPr>
                <w:rFonts w:ascii="宋体" w:hAnsi="宋体" w:hint="eastAsia"/>
                <w:bCs/>
                <w:sz w:val="24"/>
              </w:rPr>
              <w:t>X的取值</w:t>
            </w:r>
          </w:p>
        </w:tc>
      </w:tr>
      <w:tr w:rsidR="00945DF6" w:rsidRPr="00A67151" w14:paraId="5A79298A" w14:textId="77777777" w:rsidTr="00325E23">
        <w:tc>
          <w:tcPr>
            <w:tcW w:w="3118" w:type="dxa"/>
            <w:shd w:val="clear" w:color="auto" w:fill="auto"/>
            <w:vAlign w:val="center"/>
          </w:tcPr>
          <w:p w14:paraId="0F4548BA" w14:textId="77777777" w:rsidR="00945DF6" w:rsidRPr="00A67151" w:rsidRDefault="00945DF6" w:rsidP="00325E23">
            <w:pPr>
              <w:jc w:val="center"/>
              <w:rPr>
                <w:rFonts w:ascii="宋体" w:hAnsi="宋体" w:cs="宋体"/>
                <w:kern w:val="0"/>
                <w:sz w:val="24"/>
              </w:rPr>
            </w:pPr>
            <w:r w:rsidRPr="00A67151">
              <w:rPr>
                <w:rFonts w:ascii="宋体" w:hAnsi="宋体" w:cs="宋体" w:hint="eastAsia"/>
                <w:kern w:val="0"/>
                <w:sz w:val="24"/>
              </w:rPr>
              <w:t>基金合同生效之日至2020.12.31</w:t>
            </w:r>
          </w:p>
        </w:tc>
        <w:tc>
          <w:tcPr>
            <w:tcW w:w="1843" w:type="dxa"/>
            <w:shd w:val="clear" w:color="auto" w:fill="auto"/>
            <w:vAlign w:val="center"/>
          </w:tcPr>
          <w:p w14:paraId="7003BD11" w14:textId="77777777" w:rsidR="00945DF6" w:rsidRPr="00A67151" w:rsidRDefault="00945DF6" w:rsidP="00325E23">
            <w:pPr>
              <w:jc w:val="center"/>
              <w:rPr>
                <w:rFonts w:ascii="宋体" w:hAnsi="宋体" w:cs="宋体"/>
                <w:kern w:val="0"/>
                <w:sz w:val="24"/>
              </w:rPr>
            </w:pPr>
            <w:r w:rsidRPr="00A67151">
              <w:rPr>
                <w:rFonts w:ascii="宋体" w:hAnsi="宋体" w:cs="宋体" w:hint="eastAsia"/>
                <w:kern w:val="0"/>
                <w:sz w:val="24"/>
              </w:rPr>
              <w:t>53%</w:t>
            </w:r>
          </w:p>
        </w:tc>
      </w:tr>
      <w:tr w:rsidR="00945DF6" w:rsidRPr="00A67151" w14:paraId="3C5EF859" w14:textId="77777777" w:rsidTr="00325E23">
        <w:tc>
          <w:tcPr>
            <w:tcW w:w="3118" w:type="dxa"/>
            <w:shd w:val="clear" w:color="auto" w:fill="auto"/>
            <w:vAlign w:val="center"/>
          </w:tcPr>
          <w:p w14:paraId="753B706A"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2021.1.1-2023.12.31</w:t>
            </w:r>
          </w:p>
        </w:tc>
        <w:tc>
          <w:tcPr>
            <w:tcW w:w="1843" w:type="dxa"/>
            <w:shd w:val="clear" w:color="auto" w:fill="auto"/>
            <w:vAlign w:val="center"/>
          </w:tcPr>
          <w:p w14:paraId="0454982F"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46%</w:t>
            </w:r>
          </w:p>
        </w:tc>
      </w:tr>
      <w:tr w:rsidR="00945DF6" w:rsidRPr="00A67151" w14:paraId="5604B938" w14:textId="77777777" w:rsidTr="00325E23">
        <w:tc>
          <w:tcPr>
            <w:tcW w:w="3118" w:type="dxa"/>
            <w:shd w:val="clear" w:color="auto" w:fill="auto"/>
            <w:vAlign w:val="center"/>
          </w:tcPr>
          <w:p w14:paraId="226A4DCB"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2024.1.1-2026.12.31</w:t>
            </w:r>
          </w:p>
        </w:tc>
        <w:tc>
          <w:tcPr>
            <w:tcW w:w="1843" w:type="dxa"/>
            <w:shd w:val="clear" w:color="auto" w:fill="auto"/>
            <w:vAlign w:val="center"/>
          </w:tcPr>
          <w:p w14:paraId="633727F4" w14:textId="77777777" w:rsidR="00945DF6" w:rsidRPr="00A67151" w:rsidRDefault="00945DF6" w:rsidP="00325E23">
            <w:pPr>
              <w:jc w:val="center"/>
              <w:rPr>
                <w:rFonts w:ascii="宋体" w:hAnsi="宋体" w:cs="宋体"/>
                <w:kern w:val="0"/>
                <w:sz w:val="24"/>
              </w:rPr>
            </w:pPr>
            <w:r w:rsidRPr="00A67151">
              <w:rPr>
                <w:rFonts w:ascii="宋体" w:hAnsi="宋体" w:cs="宋体" w:hint="eastAsia"/>
                <w:kern w:val="0"/>
                <w:sz w:val="24"/>
              </w:rPr>
              <w:t>39%</w:t>
            </w:r>
          </w:p>
        </w:tc>
      </w:tr>
      <w:tr w:rsidR="00945DF6" w:rsidRPr="00A67151" w14:paraId="369EAFB9" w14:textId="77777777" w:rsidTr="00325E23">
        <w:tc>
          <w:tcPr>
            <w:tcW w:w="3118" w:type="dxa"/>
            <w:shd w:val="clear" w:color="auto" w:fill="auto"/>
            <w:vAlign w:val="center"/>
          </w:tcPr>
          <w:p w14:paraId="0E4283AC"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2027.1.1-2029.12.31</w:t>
            </w:r>
          </w:p>
        </w:tc>
        <w:tc>
          <w:tcPr>
            <w:tcW w:w="1843" w:type="dxa"/>
            <w:shd w:val="clear" w:color="auto" w:fill="auto"/>
            <w:vAlign w:val="center"/>
          </w:tcPr>
          <w:p w14:paraId="28C2074C" w14:textId="77777777" w:rsidR="00945DF6" w:rsidRPr="00A67151" w:rsidRDefault="00945DF6" w:rsidP="00325E23">
            <w:pPr>
              <w:jc w:val="center"/>
              <w:rPr>
                <w:rFonts w:ascii="宋体" w:hAnsi="宋体" w:cs="宋体"/>
                <w:kern w:val="0"/>
                <w:sz w:val="24"/>
              </w:rPr>
            </w:pPr>
            <w:r w:rsidRPr="00A67151">
              <w:rPr>
                <w:rFonts w:ascii="宋体" w:hAnsi="宋体" w:cs="宋体" w:hint="eastAsia"/>
                <w:kern w:val="0"/>
                <w:sz w:val="24"/>
              </w:rPr>
              <w:t>35</w:t>
            </w:r>
            <w:r w:rsidRPr="00A67151">
              <w:rPr>
                <w:rFonts w:ascii="宋体" w:hAnsi="宋体" w:cs="宋体"/>
                <w:kern w:val="0"/>
                <w:sz w:val="24"/>
              </w:rPr>
              <w:t>%</w:t>
            </w:r>
          </w:p>
        </w:tc>
      </w:tr>
      <w:tr w:rsidR="00945DF6" w:rsidRPr="00A67151" w14:paraId="4E4A9AEF" w14:textId="77777777" w:rsidTr="00325E23">
        <w:tc>
          <w:tcPr>
            <w:tcW w:w="3118" w:type="dxa"/>
            <w:shd w:val="clear" w:color="auto" w:fill="auto"/>
            <w:vAlign w:val="center"/>
          </w:tcPr>
          <w:p w14:paraId="00C82022" w14:textId="77777777" w:rsidR="00945DF6" w:rsidRPr="00A67151" w:rsidRDefault="00945DF6" w:rsidP="00325E23">
            <w:pPr>
              <w:jc w:val="center"/>
              <w:rPr>
                <w:rFonts w:ascii="宋体" w:hAnsi="宋体"/>
                <w:bCs/>
                <w:sz w:val="24"/>
              </w:rPr>
            </w:pPr>
            <w:r w:rsidRPr="00A67151">
              <w:rPr>
                <w:rFonts w:ascii="宋体" w:hAnsi="宋体" w:cs="宋体"/>
                <w:kern w:val="0"/>
                <w:sz w:val="24"/>
              </w:rPr>
              <w:t>2030.1.1-2032.12.31</w:t>
            </w:r>
          </w:p>
        </w:tc>
        <w:tc>
          <w:tcPr>
            <w:tcW w:w="1843" w:type="dxa"/>
            <w:shd w:val="clear" w:color="auto" w:fill="auto"/>
            <w:vAlign w:val="center"/>
          </w:tcPr>
          <w:p w14:paraId="18855640" w14:textId="77777777" w:rsidR="00945DF6" w:rsidRPr="00A67151" w:rsidRDefault="00945DF6" w:rsidP="00325E23">
            <w:pPr>
              <w:jc w:val="center"/>
              <w:rPr>
                <w:rFonts w:ascii="宋体" w:hAnsi="宋体" w:cs="宋体"/>
                <w:kern w:val="0"/>
                <w:sz w:val="24"/>
              </w:rPr>
            </w:pPr>
            <w:r w:rsidRPr="00A67151">
              <w:rPr>
                <w:rFonts w:ascii="宋体" w:hAnsi="宋体" w:cs="宋体" w:hint="eastAsia"/>
                <w:kern w:val="0"/>
                <w:sz w:val="24"/>
              </w:rPr>
              <w:t>32</w:t>
            </w:r>
            <w:r w:rsidRPr="00A67151">
              <w:rPr>
                <w:rFonts w:ascii="宋体" w:hAnsi="宋体" w:cs="宋体"/>
                <w:kern w:val="0"/>
                <w:sz w:val="24"/>
              </w:rPr>
              <w:t>%</w:t>
            </w:r>
          </w:p>
        </w:tc>
      </w:tr>
      <w:tr w:rsidR="00945DF6" w:rsidRPr="009B6E41" w14:paraId="426B46A8" w14:textId="77777777" w:rsidTr="00325E23">
        <w:tc>
          <w:tcPr>
            <w:tcW w:w="3118" w:type="dxa"/>
            <w:shd w:val="clear" w:color="auto" w:fill="auto"/>
            <w:vAlign w:val="center"/>
          </w:tcPr>
          <w:p w14:paraId="1F26A552" w14:textId="77777777" w:rsidR="00945DF6" w:rsidRPr="00A67151" w:rsidRDefault="00945DF6" w:rsidP="00325E23">
            <w:pPr>
              <w:jc w:val="center"/>
              <w:rPr>
                <w:rFonts w:ascii="宋体" w:hAnsi="宋体"/>
                <w:bCs/>
                <w:sz w:val="24"/>
              </w:rPr>
            </w:pPr>
            <w:r w:rsidRPr="00A67151">
              <w:rPr>
                <w:rFonts w:ascii="宋体" w:hAnsi="宋体" w:cs="宋体"/>
                <w:kern w:val="0"/>
                <w:sz w:val="24"/>
              </w:rPr>
              <w:t>2033.1.1-2035.12.31</w:t>
            </w:r>
          </w:p>
        </w:tc>
        <w:tc>
          <w:tcPr>
            <w:tcW w:w="1843" w:type="dxa"/>
            <w:shd w:val="clear" w:color="auto" w:fill="auto"/>
            <w:vAlign w:val="center"/>
          </w:tcPr>
          <w:p w14:paraId="28A0F888" w14:textId="77777777" w:rsidR="00945DF6" w:rsidRPr="00A67151" w:rsidRDefault="00945DF6" w:rsidP="00325E23">
            <w:pPr>
              <w:jc w:val="center"/>
              <w:rPr>
                <w:rFonts w:ascii="宋体" w:hAnsi="宋体" w:cs="宋体"/>
                <w:kern w:val="0"/>
                <w:sz w:val="24"/>
              </w:rPr>
            </w:pPr>
            <w:r w:rsidRPr="00A67151">
              <w:rPr>
                <w:rFonts w:ascii="宋体" w:hAnsi="宋体" w:cs="宋体"/>
                <w:kern w:val="0"/>
                <w:sz w:val="24"/>
              </w:rPr>
              <w:t>29%</w:t>
            </w:r>
          </w:p>
        </w:tc>
      </w:tr>
    </w:tbl>
    <w:p w14:paraId="28827F49" w14:textId="77777777" w:rsidR="00EE0749" w:rsidRPr="00EE0749" w:rsidRDefault="00EE0749" w:rsidP="00E240B7">
      <w:pPr>
        <w:widowControl/>
        <w:adjustRightInd w:val="0"/>
        <w:snapToGrid w:val="0"/>
        <w:spacing w:line="360" w:lineRule="auto"/>
        <w:ind w:firstLineChars="200" w:firstLine="482"/>
        <w:rPr>
          <w:rFonts w:hAnsi="宋体"/>
          <w:b/>
          <w:kern w:val="0"/>
          <w:sz w:val="24"/>
        </w:rPr>
      </w:pPr>
      <w:r w:rsidRPr="00EE0749">
        <w:rPr>
          <w:rFonts w:hAnsi="宋体" w:hint="eastAsia"/>
          <w:b/>
          <w:kern w:val="0"/>
          <w:sz w:val="24"/>
        </w:rPr>
        <w:t>（六）</w:t>
      </w:r>
      <w:r>
        <w:rPr>
          <w:rFonts w:hAnsi="宋体" w:hint="eastAsia"/>
          <w:b/>
          <w:kern w:val="0"/>
          <w:sz w:val="24"/>
        </w:rPr>
        <w:t>本基金</w:t>
      </w:r>
      <w:r w:rsidRPr="00EE0749">
        <w:rPr>
          <w:rFonts w:hAnsi="宋体" w:hint="eastAsia"/>
          <w:b/>
          <w:kern w:val="0"/>
          <w:sz w:val="24"/>
        </w:rPr>
        <w:t>风险收益特征</w:t>
      </w:r>
    </w:p>
    <w:p w14:paraId="3159EEB5" w14:textId="77777777" w:rsidR="00945DF6" w:rsidRPr="00945DF6" w:rsidRDefault="00945DF6" w:rsidP="00945DF6">
      <w:pPr>
        <w:widowControl/>
        <w:adjustRightInd w:val="0"/>
        <w:snapToGrid w:val="0"/>
        <w:spacing w:line="360" w:lineRule="auto"/>
        <w:ind w:firstLineChars="200" w:firstLine="480"/>
        <w:rPr>
          <w:rFonts w:ascii="宋体" w:hAnsi="宋体"/>
          <w:sz w:val="24"/>
        </w:rPr>
      </w:pPr>
      <w:r w:rsidRPr="00945DF6">
        <w:rPr>
          <w:rFonts w:ascii="宋体" w:hAnsi="宋体" w:hint="eastAsia"/>
          <w:sz w:val="24"/>
        </w:rPr>
        <w:t>本基金为混合型基金中基金，由于本基金主要投资于公开募集证券投资基金的基金份额，持有基金的预期风险和预期收益间接成为本基金的预期风险和预期</w:t>
      </w:r>
      <w:r w:rsidRPr="00945DF6">
        <w:rPr>
          <w:rFonts w:ascii="宋体" w:hAnsi="宋体" w:hint="eastAsia"/>
          <w:sz w:val="24"/>
        </w:rPr>
        <w:lastRenderedPageBreak/>
        <w:t>收益。本基金的预期风险与预期收益高于债券型基金、债券型基金中基金、货币市场基金和货币型基金中基金，低于股票型基金和股票型基金中基金。</w:t>
      </w:r>
    </w:p>
    <w:p w14:paraId="622771C4" w14:textId="77777777" w:rsidR="00EE0749" w:rsidRDefault="00945DF6" w:rsidP="00B16616">
      <w:pPr>
        <w:widowControl/>
        <w:adjustRightInd w:val="0"/>
        <w:snapToGrid w:val="0"/>
        <w:spacing w:line="360" w:lineRule="auto"/>
        <w:ind w:firstLineChars="200" w:firstLine="480"/>
        <w:rPr>
          <w:rFonts w:hAnsi="宋体"/>
          <w:kern w:val="0"/>
          <w:sz w:val="24"/>
        </w:rPr>
      </w:pPr>
      <w:r w:rsidRPr="00945DF6">
        <w:rPr>
          <w:rFonts w:ascii="宋体" w:hAnsi="宋体" w:hint="eastAsia"/>
          <w:sz w:val="24"/>
        </w:rPr>
        <w:t>本基金可投资港股通标的股票，会面临港股通机制下因投资环境、投资标的、市场制度以及交易规则等差异带来的特有风险。</w:t>
      </w:r>
    </w:p>
    <w:p w14:paraId="1E444824" w14:textId="77777777" w:rsidR="00EE0749" w:rsidRPr="00BC2FF6" w:rsidRDefault="00E240B7" w:rsidP="00BC2FF6">
      <w:pPr>
        <w:widowControl/>
        <w:adjustRightInd w:val="0"/>
        <w:snapToGrid w:val="0"/>
        <w:spacing w:line="360" w:lineRule="auto"/>
        <w:rPr>
          <w:rFonts w:hAnsi="宋体"/>
          <w:b/>
          <w:kern w:val="0"/>
          <w:sz w:val="24"/>
        </w:rPr>
      </w:pPr>
      <w:r w:rsidRPr="00BC2FF6">
        <w:rPr>
          <w:rFonts w:hAnsi="宋体" w:hint="eastAsia"/>
          <w:b/>
          <w:kern w:val="0"/>
          <w:sz w:val="24"/>
        </w:rPr>
        <w:t>二</w:t>
      </w:r>
      <w:r w:rsidR="00EE0749" w:rsidRPr="00BC2FF6">
        <w:rPr>
          <w:rFonts w:hAnsi="宋体"/>
          <w:b/>
          <w:kern w:val="0"/>
          <w:sz w:val="24"/>
        </w:rPr>
        <w:t>、</w:t>
      </w:r>
      <w:r w:rsidR="00EE0749" w:rsidRPr="00BC2FF6">
        <w:rPr>
          <w:rFonts w:hAnsi="宋体" w:hint="eastAsia"/>
          <w:b/>
          <w:kern w:val="0"/>
          <w:sz w:val="24"/>
        </w:rPr>
        <w:t>本基金的</w:t>
      </w:r>
      <w:r w:rsidR="00EE0749" w:rsidRPr="00BC2FF6">
        <w:rPr>
          <w:rFonts w:hAnsi="宋体"/>
          <w:b/>
          <w:kern w:val="0"/>
          <w:sz w:val="24"/>
        </w:rPr>
        <w:t>费用</w:t>
      </w:r>
    </w:p>
    <w:p w14:paraId="3C90620C" w14:textId="156D2EF2" w:rsidR="00EE0749" w:rsidRPr="00EE0749" w:rsidRDefault="00EE0749" w:rsidP="00EE0749">
      <w:pPr>
        <w:adjustRightInd w:val="0"/>
        <w:snapToGrid w:val="0"/>
        <w:spacing w:line="360" w:lineRule="auto"/>
        <w:ind w:firstLineChars="200" w:firstLine="482"/>
        <w:rPr>
          <w:b/>
          <w:sz w:val="24"/>
        </w:rPr>
      </w:pPr>
      <w:r w:rsidRPr="00EE0749">
        <w:rPr>
          <w:rFonts w:hint="eastAsia"/>
          <w:b/>
          <w:sz w:val="24"/>
        </w:rPr>
        <w:t>（一</w:t>
      </w:r>
      <w:r w:rsidRPr="00EE0749">
        <w:rPr>
          <w:rFonts w:hAnsi="宋体" w:hint="eastAsia"/>
          <w:b/>
          <w:sz w:val="24"/>
        </w:rPr>
        <w:t>）</w:t>
      </w:r>
      <w:r w:rsidRPr="00EE0749">
        <w:rPr>
          <w:rFonts w:hAnsi="宋体"/>
          <w:b/>
          <w:sz w:val="24"/>
        </w:rPr>
        <w:t>基金管理人的管理费</w:t>
      </w:r>
      <w:r w:rsidR="00B16616">
        <w:rPr>
          <w:rFonts w:hAnsi="宋体" w:hint="eastAsia"/>
          <w:b/>
          <w:sz w:val="24"/>
        </w:rPr>
        <w:t>和</w:t>
      </w:r>
      <w:r w:rsidR="00B16616">
        <w:rPr>
          <w:rFonts w:hAnsi="宋体"/>
          <w:b/>
          <w:sz w:val="24"/>
        </w:rPr>
        <w:t>托管费</w:t>
      </w:r>
    </w:p>
    <w:p w14:paraId="7DE716A7" w14:textId="77777777" w:rsidR="008824BD" w:rsidRPr="000B37C5" w:rsidRDefault="008824BD" w:rsidP="008824BD">
      <w:pPr>
        <w:adjustRightInd w:val="0"/>
        <w:snapToGrid w:val="0"/>
        <w:spacing w:line="360" w:lineRule="auto"/>
        <w:ind w:firstLineChars="200" w:firstLine="480"/>
        <w:rPr>
          <w:bCs/>
          <w:sz w:val="24"/>
        </w:rPr>
      </w:pPr>
      <w:r w:rsidRPr="000B37C5">
        <w:rPr>
          <w:rFonts w:hint="eastAsia"/>
          <w:bCs/>
          <w:sz w:val="24"/>
        </w:rPr>
        <w:t>本基金</w:t>
      </w:r>
      <w:r w:rsidRPr="000B37C5">
        <w:rPr>
          <w:rFonts w:hint="eastAsia"/>
          <w:bCs/>
          <w:sz w:val="24"/>
        </w:rPr>
        <w:t>A</w:t>
      </w:r>
      <w:r w:rsidRPr="000B37C5">
        <w:rPr>
          <w:rFonts w:hint="eastAsia"/>
          <w:bCs/>
          <w:sz w:val="24"/>
        </w:rPr>
        <w:t>类基金份额的年管理费率为</w:t>
      </w:r>
      <w:r w:rsidRPr="000B37C5">
        <w:rPr>
          <w:rFonts w:hint="eastAsia"/>
          <w:bCs/>
          <w:sz w:val="24"/>
        </w:rPr>
        <w:t>0.8%</w:t>
      </w:r>
      <w:r w:rsidRPr="000B37C5">
        <w:rPr>
          <w:rFonts w:hint="eastAsia"/>
          <w:bCs/>
          <w:sz w:val="24"/>
        </w:rPr>
        <w:t>；本基金</w:t>
      </w:r>
      <w:r w:rsidRPr="000B37C5">
        <w:rPr>
          <w:rFonts w:hint="eastAsia"/>
          <w:bCs/>
          <w:sz w:val="24"/>
        </w:rPr>
        <w:t>Y</w:t>
      </w:r>
      <w:r w:rsidRPr="000B37C5">
        <w:rPr>
          <w:rFonts w:hint="eastAsia"/>
          <w:bCs/>
          <w:sz w:val="24"/>
        </w:rPr>
        <w:t>类基金份额的年管理费率为</w:t>
      </w:r>
      <w:r w:rsidRPr="000B37C5">
        <w:rPr>
          <w:rFonts w:hint="eastAsia"/>
          <w:bCs/>
          <w:sz w:val="24"/>
        </w:rPr>
        <w:t>0.4%</w:t>
      </w:r>
      <w:r w:rsidRPr="000B37C5">
        <w:rPr>
          <w:rFonts w:hint="eastAsia"/>
          <w:bCs/>
          <w:sz w:val="24"/>
        </w:rPr>
        <w:t>。</w:t>
      </w:r>
    </w:p>
    <w:p w14:paraId="255D089E" w14:textId="408F58E7" w:rsidR="008824BD" w:rsidRDefault="008824BD" w:rsidP="008824BD">
      <w:pPr>
        <w:adjustRightInd w:val="0"/>
        <w:snapToGrid w:val="0"/>
        <w:spacing w:line="360" w:lineRule="auto"/>
        <w:ind w:firstLineChars="200" w:firstLine="480"/>
        <w:rPr>
          <w:bCs/>
          <w:sz w:val="24"/>
        </w:rPr>
      </w:pPr>
      <w:r w:rsidRPr="000B37C5">
        <w:rPr>
          <w:rFonts w:hint="eastAsia"/>
          <w:bCs/>
          <w:sz w:val="24"/>
        </w:rPr>
        <w:t>本基金</w:t>
      </w:r>
      <w:r w:rsidRPr="000B37C5">
        <w:rPr>
          <w:rFonts w:hint="eastAsia"/>
          <w:bCs/>
          <w:sz w:val="24"/>
        </w:rPr>
        <w:t>A</w:t>
      </w:r>
      <w:r w:rsidRPr="000B37C5">
        <w:rPr>
          <w:rFonts w:hint="eastAsia"/>
          <w:bCs/>
          <w:sz w:val="24"/>
        </w:rPr>
        <w:t>类基金份额的年托管费率为</w:t>
      </w:r>
      <w:r w:rsidRPr="000B37C5">
        <w:rPr>
          <w:rFonts w:hint="eastAsia"/>
          <w:bCs/>
          <w:sz w:val="24"/>
        </w:rPr>
        <w:t>0.2%</w:t>
      </w:r>
      <w:r w:rsidRPr="000B37C5">
        <w:rPr>
          <w:rFonts w:hint="eastAsia"/>
          <w:bCs/>
          <w:sz w:val="24"/>
        </w:rPr>
        <w:t>；本基金</w:t>
      </w:r>
      <w:r w:rsidRPr="000B37C5">
        <w:rPr>
          <w:rFonts w:hint="eastAsia"/>
          <w:bCs/>
          <w:sz w:val="24"/>
        </w:rPr>
        <w:t>Y</w:t>
      </w:r>
      <w:r w:rsidRPr="000B37C5">
        <w:rPr>
          <w:rFonts w:hint="eastAsia"/>
          <w:bCs/>
          <w:sz w:val="24"/>
        </w:rPr>
        <w:t>类基金份额的年托管费率为</w:t>
      </w:r>
      <w:r w:rsidRPr="000B37C5">
        <w:rPr>
          <w:rFonts w:hint="eastAsia"/>
          <w:bCs/>
          <w:sz w:val="24"/>
        </w:rPr>
        <w:t>0.1%</w:t>
      </w:r>
      <w:r w:rsidRPr="000B37C5">
        <w:rPr>
          <w:rFonts w:hint="eastAsia"/>
          <w:bCs/>
          <w:sz w:val="24"/>
        </w:rPr>
        <w:t>。</w:t>
      </w:r>
    </w:p>
    <w:p w14:paraId="7D206A4A" w14:textId="7855223E" w:rsidR="008824BD" w:rsidRPr="008824BD" w:rsidRDefault="0086424F" w:rsidP="008824BD">
      <w:pPr>
        <w:adjustRightInd w:val="0"/>
        <w:snapToGrid w:val="0"/>
        <w:spacing w:line="360" w:lineRule="auto"/>
        <w:ind w:firstLineChars="200" w:firstLine="480"/>
        <w:rPr>
          <w:bCs/>
          <w:sz w:val="24"/>
        </w:rPr>
      </w:pPr>
      <w:r w:rsidRPr="0086424F">
        <w:rPr>
          <w:rFonts w:hint="eastAsia"/>
          <w:bCs/>
          <w:sz w:val="24"/>
        </w:rPr>
        <w:t>本基金基金财产中持有的基金管理人自身管理的基金部分不收取管理费。本基金基金财产中持有的基金托管人自身托管的基金部分不收取托管费。</w:t>
      </w:r>
      <w:r w:rsidR="008824BD" w:rsidRPr="008824BD">
        <w:rPr>
          <w:rFonts w:hint="eastAsia"/>
          <w:bCs/>
          <w:sz w:val="24"/>
        </w:rPr>
        <w:t>本基金</w:t>
      </w:r>
      <w:r w:rsidR="008824BD" w:rsidRPr="008824BD">
        <w:rPr>
          <w:rFonts w:hint="eastAsia"/>
          <w:bCs/>
          <w:sz w:val="24"/>
        </w:rPr>
        <w:t>A</w:t>
      </w:r>
      <w:r w:rsidR="008824BD" w:rsidRPr="008824BD">
        <w:rPr>
          <w:rFonts w:hint="eastAsia"/>
          <w:bCs/>
          <w:sz w:val="24"/>
        </w:rPr>
        <w:t>类基金份额和</w:t>
      </w:r>
      <w:r w:rsidR="008824BD" w:rsidRPr="008824BD">
        <w:rPr>
          <w:rFonts w:hint="eastAsia"/>
          <w:bCs/>
          <w:sz w:val="24"/>
        </w:rPr>
        <w:t>Y</w:t>
      </w:r>
      <w:r w:rsidR="008824BD" w:rsidRPr="008824BD">
        <w:rPr>
          <w:rFonts w:hint="eastAsia"/>
          <w:bCs/>
          <w:sz w:val="24"/>
        </w:rPr>
        <w:t>类基金份额的基金费用计提方法、计提标准和支付方式详见《基金合同》。</w:t>
      </w:r>
    </w:p>
    <w:p w14:paraId="270CF38F" w14:textId="0BE953A4" w:rsidR="000B37C5" w:rsidRDefault="008824BD" w:rsidP="008824BD">
      <w:pPr>
        <w:adjustRightInd w:val="0"/>
        <w:snapToGrid w:val="0"/>
        <w:spacing w:line="360" w:lineRule="auto"/>
        <w:ind w:firstLineChars="200" w:firstLine="480"/>
        <w:rPr>
          <w:bCs/>
          <w:sz w:val="24"/>
        </w:rPr>
      </w:pPr>
      <w:r w:rsidRPr="008824BD">
        <w:rPr>
          <w:rFonts w:hint="eastAsia"/>
          <w:bCs/>
          <w:sz w:val="24"/>
        </w:rPr>
        <w:t>本基金</w:t>
      </w:r>
      <w:r w:rsidRPr="008824BD">
        <w:rPr>
          <w:rFonts w:hint="eastAsia"/>
          <w:bCs/>
          <w:sz w:val="24"/>
        </w:rPr>
        <w:t>Y</w:t>
      </w:r>
      <w:r w:rsidRPr="008824BD">
        <w:rPr>
          <w:rFonts w:hint="eastAsia"/>
          <w:bCs/>
          <w:sz w:val="24"/>
        </w:rPr>
        <w:t>类基金份额可对基金管理费和基金托管费实施一定的费率优惠，具体优惠请参看</w:t>
      </w:r>
      <w:r w:rsidR="00AE4A46">
        <w:rPr>
          <w:rFonts w:hint="eastAsia"/>
          <w:bCs/>
          <w:sz w:val="24"/>
        </w:rPr>
        <w:t>《</w:t>
      </w:r>
      <w:r w:rsidRPr="008824BD">
        <w:rPr>
          <w:rFonts w:hint="eastAsia"/>
          <w:bCs/>
          <w:sz w:val="24"/>
        </w:rPr>
        <w:t>招募说明书</w:t>
      </w:r>
      <w:r w:rsidR="00AE4A46">
        <w:rPr>
          <w:rFonts w:hint="eastAsia"/>
          <w:bCs/>
          <w:sz w:val="24"/>
        </w:rPr>
        <w:t>》</w:t>
      </w:r>
      <w:r w:rsidRPr="008824BD">
        <w:rPr>
          <w:rFonts w:hint="eastAsia"/>
          <w:bCs/>
          <w:sz w:val="24"/>
        </w:rPr>
        <w:t>或相关公告。</w:t>
      </w:r>
    </w:p>
    <w:p w14:paraId="3476732E" w14:textId="51C1D28D" w:rsidR="00EE0749" w:rsidRPr="00780847" w:rsidRDefault="00EE0749" w:rsidP="00EE0749">
      <w:pPr>
        <w:adjustRightInd w:val="0"/>
        <w:snapToGrid w:val="0"/>
        <w:spacing w:line="360" w:lineRule="auto"/>
        <w:ind w:firstLineChars="200" w:firstLine="482"/>
        <w:rPr>
          <w:b/>
          <w:sz w:val="24"/>
        </w:rPr>
      </w:pPr>
      <w:r w:rsidRPr="00780847">
        <w:rPr>
          <w:rFonts w:hint="eastAsia"/>
          <w:b/>
          <w:sz w:val="24"/>
        </w:rPr>
        <w:t>（</w:t>
      </w:r>
      <w:r w:rsidR="000B37C5">
        <w:rPr>
          <w:rFonts w:hint="eastAsia"/>
          <w:b/>
          <w:sz w:val="24"/>
        </w:rPr>
        <w:t>二</w:t>
      </w:r>
      <w:r w:rsidRPr="00780847">
        <w:rPr>
          <w:b/>
          <w:sz w:val="24"/>
        </w:rPr>
        <w:t>）</w:t>
      </w:r>
      <w:r w:rsidRPr="00780847">
        <w:rPr>
          <w:rFonts w:hint="eastAsia"/>
          <w:b/>
          <w:sz w:val="24"/>
        </w:rPr>
        <w:t>本基金的</w:t>
      </w:r>
      <w:r w:rsidRPr="00780847">
        <w:rPr>
          <w:b/>
          <w:sz w:val="24"/>
        </w:rPr>
        <w:t>申购费</w:t>
      </w:r>
    </w:p>
    <w:p w14:paraId="3F2D8B0F" w14:textId="72AEC143" w:rsidR="00EE0749" w:rsidRPr="005435A1" w:rsidRDefault="00EE0749" w:rsidP="00EE0749">
      <w:pPr>
        <w:widowControl/>
        <w:adjustRightInd w:val="0"/>
        <w:snapToGrid w:val="0"/>
        <w:spacing w:line="360" w:lineRule="auto"/>
        <w:ind w:firstLineChars="200" w:firstLine="480"/>
        <w:rPr>
          <w:rFonts w:hAnsi="宋体"/>
          <w:sz w:val="24"/>
        </w:rPr>
      </w:pPr>
      <w:r w:rsidRPr="005435A1">
        <w:rPr>
          <w:rFonts w:hAnsi="宋体"/>
          <w:sz w:val="24"/>
        </w:rPr>
        <w:t>本基金</w:t>
      </w:r>
      <w:r w:rsidR="000B37C5" w:rsidRPr="00A640BE">
        <w:rPr>
          <w:rFonts w:ascii="宋体" w:hAnsi="宋体" w:hint="eastAsia"/>
          <w:sz w:val="24"/>
        </w:rPr>
        <w:t>A类基金份额和Y类基金份额</w:t>
      </w:r>
      <w:r w:rsidRPr="005435A1">
        <w:rPr>
          <w:rFonts w:hAnsi="宋体"/>
          <w:sz w:val="24"/>
        </w:rPr>
        <w:t>的申购费率如下：</w:t>
      </w:r>
    </w:p>
    <w:tbl>
      <w:tblPr>
        <w:tblW w:w="0" w:type="auto"/>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60"/>
        <w:gridCol w:w="2268"/>
        <w:gridCol w:w="2750"/>
      </w:tblGrid>
      <w:tr w:rsidR="00B16616" w:rsidRPr="00C02B7E" w14:paraId="6564B27C" w14:textId="77777777" w:rsidTr="00CC5C07">
        <w:trPr>
          <w:cantSplit/>
          <w:trHeight w:val="132"/>
        </w:trPr>
        <w:tc>
          <w:tcPr>
            <w:tcW w:w="3260" w:type="dxa"/>
            <w:shd w:val="clear" w:color="auto" w:fill="FFFFFF"/>
            <w:vAlign w:val="center"/>
          </w:tcPr>
          <w:p w14:paraId="513C8A63" w14:textId="77777777" w:rsidR="00B16616" w:rsidRPr="00C02B7E" w:rsidRDefault="00B16616" w:rsidP="00B16616">
            <w:pPr>
              <w:adjustRightInd w:val="0"/>
              <w:snapToGrid w:val="0"/>
              <w:jc w:val="center"/>
              <w:rPr>
                <w:b/>
                <w:sz w:val="24"/>
              </w:rPr>
            </w:pPr>
            <w:r w:rsidRPr="00C02B7E">
              <w:rPr>
                <w:b/>
                <w:sz w:val="24"/>
              </w:rPr>
              <w:t>申购金额（含申购费）</w:t>
            </w:r>
          </w:p>
        </w:tc>
        <w:tc>
          <w:tcPr>
            <w:tcW w:w="2268" w:type="dxa"/>
            <w:shd w:val="clear" w:color="auto" w:fill="FFFFFF"/>
            <w:vAlign w:val="center"/>
          </w:tcPr>
          <w:p w14:paraId="1A95E882" w14:textId="0797D879" w:rsidR="00B16616" w:rsidRPr="00C02B7E" w:rsidRDefault="00CC5C07" w:rsidP="00B16616">
            <w:pPr>
              <w:adjustRightInd w:val="0"/>
              <w:snapToGrid w:val="0"/>
              <w:jc w:val="center"/>
              <w:rPr>
                <w:b/>
                <w:sz w:val="24"/>
              </w:rPr>
            </w:pPr>
            <w:r>
              <w:rPr>
                <w:rFonts w:hint="eastAsia"/>
                <w:b/>
                <w:sz w:val="24"/>
              </w:rPr>
              <w:t>A</w:t>
            </w:r>
            <w:r>
              <w:rPr>
                <w:b/>
                <w:sz w:val="24"/>
              </w:rPr>
              <w:t>类基金份额</w:t>
            </w:r>
            <w:r>
              <w:rPr>
                <w:rFonts w:hint="eastAsia"/>
                <w:b/>
                <w:sz w:val="24"/>
              </w:rPr>
              <w:t>和</w:t>
            </w:r>
            <w:r>
              <w:rPr>
                <w:b/>
                <w:sz w:val="24"/>
              </w:rPr>
              <w:t>Y</w:t>
            </w:r>
            <w:r>
              <w:rPr>
                <w:b/>
                <w:sz w:val="24"/>
              </w:rPr>
              <w:t>类基金份额</w:t>
            </w:r>
            <w:r w:rsidR="00B16616" w:rsidRPr="00C02B7E">
              <w:rPr>
                <w:b/>
                <w:sz w:val="24"/>
              </w:rPr>
              <w:t>申购费率</w:t>
            </w:r>
          </w:p>
        </w:tc>
        <w:tc>
          <w:tcPr>
            <w:tcW w:w="2750" w:type="dxa"/>
            <w:shd w:val="clear" w:color="auto" w:fill="FFFFFF"/>
            <w:vAlign w:val="center"/>
          </w:tcPr>
          <w:p w14:paraId="04059653" w14:textId="2A1E1F1E" w:rsidR="00B16616" w:rsidRPr="00C02B7E" w:rsidRDefault="00CC5C07" w:rsidP="00B16616">
            <w:pPr>
              <w:adjustRightInd w:val="0"/>
              <w:snapToGrid w:val="0"/>
              <w:jc w:val="center"/>
              <w:rPr>
                <w:b/>
                <w:sz w:val="24"/>
              </w:rPr>
            </w:pPr>
            <w:r>
              <w:rPr>
                <w:b/>
                <w:sz w:val="24"/>
              </w:rPr>
              <w:t>A</w:t>
            </w:r>
            <w:r>
              <w:rPr>
                <w:b/>
                <w:sz w:val="24"/>
              </w:rPr>
              <w:t>类基金份额</w:t>
            </w:r>
            <w:r>
              <w:rPr>
                <w:rFonts w:hint="eastAsia"/>
                <w:b/>
                <w:sz w:val="24"/>
              </w:rPr>
              <w:t>的非个人</w:t>
            </w:r>
            <w:r w:rsidR="00B16616" w:rsidRPr="00B16616">
              <w:rPr>
                <w:rFonts w:hint="eastAsia"/>
                <w:b/>
                <w:sz w:val="24"/>
              </w:rPr>
              <w:t>养老金客户</w:t>
            </w:r>
            <w:r w:rsidR="00B16616" w:rsidRPr="00C02B7E">
              <w:rPr>
                <w:rFonts w:hint="eastAsia"/>
                <w:b/>
                <w:sz w:val="24"/>
              </w:rPr>
              <w:t>特定</w:t>
            </w:r>
            <w:r w:rsidR="00B16616" w:rsidRPr="00C02B7E">
              <w:rPr>
                <w:b/>
                <w:sz w:val="24"/>
              </w:rPr>
              <w:t>申购费率</w:t>
            </w:r>
          </w:p>
        </w:tc>
      </w:tr>
      <w:tr w:rsidR="00B16616" w:rsidRPr="00C02B7E" w14:paraId="5481542A" w14:textId="77777777" w:rsidTr="00CC5C07">
        <w:trPr>
          <w:cantSplit/>
          <w:trHeight w:val="131"/>
        </w:trPr>
        <w:tc>
          <w:tcPr>
            <w:tcW w:w="3260" w:type="dxa"/>
          </w:tcPr>
          <w:p w14:paraId="6320320F" w14:textId="77777777" w:rsidR="00B16616" w:rsidRPr="00C02B7E" w:rsidRDefault="00B16616" w:rsidP="00B16616">
            <w:pPr>
              <w:adjustRightInd w:val="0"/>
              <w:snapToGrid w:val="0"/>
              <w:rPr>
                <w:sz w:val="24"/>
              </w:rPr>
            </w:pPr>
            <w:r w:rsidRPr="00C02B7E">
              <w:rPr>
                <w:sz w:val="24"/>
              </w:rPr>
              <w:t>50</w:t>
            </w:r>
            <w:r w:rsidRPr="00C02B7E">
              <w:rPr>
                <w:rFonts w:hAnsi="宋体"/>
                <w:sz w:val="24"/>
              </w:rPr>
              <w:t>万元以下</w:t>
            </w:r>
          </w:p>
        </w:tc>
        <w:tc>
          <w:tcPr>
            <w:tcW w:w="2268" w:type="dxa"/>
            <w:vAlign w:val="center"/>
          </w:tcPr>
          <w:p w14:paraId="652D62AE" w14:textId="77777777" w:rsidR="00B16616" w:rsidRPr="00C02B7E" w:rsidRDefault="00B16616" w:rsidP="00B16616">
            <w:pPr>
              <w:adjustRightInd w:val="0"/>
              <w:snapToGrid w:val="0"/>
              <w:jc w:val="center"/>
              <w:rPr>
                <w:sz w:val="24"/>
              </w:rPr>
            </w:pPr>
            <w:r w:rsidRPr="00EC6BFE">
              <w:t>1.0%</w:t>
            </w:r>
          </w:p>
        </w:tc>
        <w:tc>
          <w:tcPr>
            <w:tcW w:w="2750" w:type="dxa"/>
            <w:vAlign w:val="center"/>
          </w:tcPr>
          <w:p w14:paraId="192FA95F" w14:textId="77777777" w:rsidR="00B16616" w:rsidRPr="00EC6BFE" w:rsidRDefault="00B16616" w:rsidP="00B16616">
            <w:pPr>
              <w:adjustRightInd w:val="0"/>
              <w:snapToGrid w:val="0"/>
              <w:jc w:val="center"/>
            </w:pPr>
            <w:r w:rsidRPr="00C02B7E">
              <w:rPr>
                <w:kern w:val="0"/>
                <w:sz w:val="24"/>
              </w:rPr>
              <w:t>0.</w:t>
            </w:r>
            <w:r>
              <w:rPr>
                <w:kern w:val="0"/>
                <w:sz w:val="24"/>
              </w:rPr>
              <w:t>40</w:t>
            </w:r>
            <w:r w:rsidRPr="00C02B7E">
              <w:rPr>
                <w:kern w:val="0"/>
                <w:sz w:val="24"/>
              </w:rPr>
              <w:t>%</w:t>
            </w:r>
          </w:p>
        </w:tc>
      </w:tr>
      <w:tr w:rsidR="00B16616" w:rsidRPr="00C02B7E" w14:paraId="345346A8" w14:textId="77777777" w:rsidTr="00CC5C07">
        <w:trPr>
          <w:cantSplit/>
          <w:trHeight w:val="131"/>
        </w:trPr>
        <w:tc>
          <w:tcPr>
            <w:tcW w:w="3260" w:type="dxa"/>
          </w:tcPr>
          <w:p w14:paraId="0086A102" w14:textId="77777777" w:rsidR="00B16616" w:rsidRPr="00C02B7E" w:rsidRDefault="00B16616" w:rsidP="00B16616">
            <w:pPr>
              <w:adjustRightInd w:val="0"/>
              <w:snapToGrid w:val="0"/>
              <w:rPr>
                <w:sz w:val="24"/>
              </w:rPr>
            </w:pPr>
            <w:r w:rsidRPr="00C02B7E">
              <w:rPr>
                <w:sz w:val="24"/>
              </w:rPr>
              <w:t>50</w:t>
            </w:r>
            <w:r w:rsidRPr="00C02B7E">
              <w:rPr>
                <w:rFonts w:hAnsi="宋体"/>
                <w:sz w:val="24"/>
              </w:rPr>
              <w:t>万元（含）至</w:t>
            </w:r>
            <w:r w:rsidRPr="00C02B7E">
              <w:rPr>
                <w:sz w:val="24"/>
              </w:rPr>
              <w:t>100</w:t>
            </w:r>
            <w:r w:rsidRPr="00C02B7E">
              <w:rPr>
                <w:rFonts w:hAnsi="宋体"/>
                <w:sz w:val="24"/>
              </w:rPr>
              <w:t>万元</w:t>
            </w:r>
          </w:p>
        </w:tc>
        <w:tc>
          <w:tcPr>
            <w:tcW w:w="2268" w:type="dxa"/>
            <w:vAlign w:val="center"/>
          </w:tcPr>
          <w:p w14:paraId="47DB83B9" w14:textId="77777777" w:rsidR="00B16616" w:rsidRPr="00C02B7E" w:rsidRDefault="00B16616" w:rsidP="00B16616">
            <w:pPr>
              <w:adjustRightInd w:val="0"/>
              <w:snapToGrid w:val="0"/>
              <w:jc w:val="center"/>
              <w:rPr>
                <w:sz w:val="24"/>
              </w:rPr>
            </w:pPr>
            <w:r w:rsidRPr="00EC6BFE">
              <w:t>0.8%</w:t>
            </w:r>
          </w:p>
        </w:tc>
        <w:tc>
          <w:tcPr>
            <w:tcW w:w="2750" w:type="dxa"/>
            <w:vAlign w:val="center"/>
          </w:tcPr>
          <w:p w14:paraId="4B591A50" w14:textId="77777777" w:rsidR="00B16616" w:rsidRPr="00EC6BFE" w:rsidRDefault="00B16616" w:rsidP="00B16616">
            <w:pPr>
              <w:adjustRightInd w:val="0"/>
              <w:snapToGrid w:val="0"/>
              <w:jc w:val="center"/>
            </w:pPr>
            <w:r w:rsidRPr="00C02B7E">
              <w:rPr>
                <w:kern w:val="0"/>
                <w:sz w:val="24"/>
              </w:rPr>
              <w:t>0.</w:t>
            </w:r>
            <w:r>
              <w:rPr>
                <w:kern w:val="0"/>
                <w:sz w:val="24"/>
              </w:rPr>
              <w:t>24</w:t>
            </w:r>
            <w:r w:rsidRPr="00C02B7E">
              <w:rPr>
                <w:kern w:val="0"/>
                <w:sz w:val="24"/>
              </w:rPr>
              <w:t>%</w:t>
            </w:r>
          </w:p>
        </w:tc>
      </w:tr>
      <w:tr w:rsidR="00B16616" w:rsidRPr="00C02B7E" w14:paraId="4C316717" w14:textId="77777777" w:rsidTr="00CC5C07">
        <w:trPr>
          <w:cantSplit/>
          <w:trHeight w:val="131"/>
        </w:trPr>
        <w:tc>
          <w:tcPr>
            <w:tcW w:w="3260" w:type="dxa"/>
          </w:tcPr>
          <w:p w14:paraId="79CA5B77" w14:textId="77777777" w:rsidR="00B16616" w:rsidRPr="00C02B7E" w:rsidRDefault="00B16616" w:rsidP="00B16616">
            <w:pPr>
              <w:adjustRightInd w:val="0"/>
              <w:snapToGrid w:val="0"/>
              <w:rPr>
                <w:sz w:val="24"/>
              </w:rPr>
            </w:pPr>
            <w:r w:rsidRPr="00C02B7E">
              <w:rPr>
                <w:sz w:val="24"/>
              </w:rPr>
              <w:t>100</w:t>
            </w:r>
            <w:r w:rsidRPr="00C02B7E">
              <w:rPr>
                <w:rFonts w:hAnsi="宋体"/>
                <w:sz w:val="24"/>
              </w:rPr>
              <w:t>万元（含）至</w:t>
            </w:r>
            <w:r w:rsidRPr="00C02B7E">
              <w:rPr>
                <w:sz w:val="24"/>
              </w:rPr>
              <w:t>200</w:t>
            </w:r>
            <w:r w:rsidRPr="00C02B7E">
              <w:rPr>
                <w:rFonts w:hAnsi="宋体"/>
                <w:sz w:val="24"/>
              </w:rPr>
              <w:t>万元</w:t>
            </w:r>
          </w:p>
        </w:tc>
        <w:tc>
          <w:tcPr>
            <w:tcW w:w="2268" w:type="dxa"/>
            <w:vAlign w:val="center"/>
          </w:tcPr>
          <w:p w14:paraId="6323EC86" w14:textId="77777777" w:rsidR="00B16616" w:rsidRPr="00C02B7E" w:rsidRDefault="00B16616" w:rsidP="00B16616">
            <w:pPr>
              <w:adjustRightInd w:val="0"/>
              <w:snapToGrid w:val="0"/>
              <w:jc w:val="center"/>
              <w:rPr>
                <w:sz w:val="24"/>
              </w:rPr>
            </w:pPr>
            <w:r w:rsidRPr="00EC6BFE">
              <w:t>0.6%</w:t>
            </w:r>
          </w:p>
        </w:tc>
        <w:tc>
          <w:tcPr>
            <w:tcW w:w="2750" w:type="dxa"/>
            <w:vAlign w:val="center"/>
          </w:tcPr>
          <w:p w14:paraId="7435BA1A" w14:textId="77777777" w:rsidR="00B16616" w:rsidRPr="00EC6BFE" w:rsidRDefault="00B16616" w:rsidP="00B16616">
            <w:pPr>
              <w:adjustRightInd w:val="0"/>
              <w:snapToGrid w:val="0"/>
              <w:jc w:val="center"/>
            </w:pPr>
            <w:r w:rsidRPr="00C02B7E">
              <w:rPr>
                <w:kern w:val="0"/>
                <w:sz w:val="24"/>
              </w:rPr>
              <w:t>0.</w:t>
            </w:r>
            <w:r>
              <w:rPr>
                <w:kern w:val="0"/>
                <w:sz w:val="24"/>
              </w:rPr>
              <w:t>12</w:t>
            </w:r>
            <w:r w:rsidRPr="00C02B7E">
              <w:rPr>
                <w:kern w:val="0"/>
                <w:sz w:val="24"/>
              </w:rPr>
              <w:t>%</w:t>
            </w:r>
          </w:p>
        </w:tc>
      </w:tr>
      <w:tr w:rsidR="00B16616" w:rsidRPr="00C02B7E" w14:paraId="61597B27" w14:textId="77777777" w:rsidTr="00CC5C07">
        <w:trPr>
          <w:cantSplit/>
          <w:trHeight w:val="131"/>
        </w:trPr>
        <w:tc>
          <w:tcPr>
            <w:tcW w:w="3260" w:type="dxa"/>
          </w:tcPr>
          <w:p w14:paraId="1E4CA9B6" w14:textId="77777777" w:rsidR="00B16616" w:rsidRPr="00C02B7E" w:rsidRDefault="00B16616" w:rsidP="00B16616">
            <w:pPr>
              <w:adjustRightInd w:val="0"/>
              <w:snapToGrid w:val="0"/>
              <w:rPr>
                <w:sz w:val="24"/>
              </w:rPr>
            </w:pPr>
            <w:r w:rsidRPr="00C02B7E">
              <w:rPr>
                <w:sz w:val="24"/>
              </w:rPr>
              <w:t>200</w:t>
            </w:r>
            <w:r w:rsidRPr="00C02B7E">
              <w:rPr>
                <w:rFonts w:hAnsi="宋体"/>
                <w:sz w:val="24"/>
              </w:rPr>
              <w:t>万元（含）至</w:t>
            </w:r>
            <w:r w:rsidRPr="00C02B7E">
              <w:rPr>
                <w:sz w:val="24"/>
              </w:rPr>
              <w:t>500</w:t>
            </w:r>
            <w:r w:rsidRPr="00C02B7E">
              <w:rPr>
                <w:rFonts w:hAnsi="宋体"/>
                <w:sz w:val="24"/>
              </w:rPr>
              <w:t>万元</w:t>
            </w:r>
          </w:p>
        </w:tc>
        <w:tc>
          <w:tcPr>
            <w:tcW w:w="2268" w:type="dxa"/>
            <w:vAlign w:val="center"/>
          </w:tcPr>
          <w:p w14:paraId="7E17621C" w14:textId="77777777" w:rsidR="00B16616" w:rsidRPr="00C02B7E" w:rsidRDefault="00B16616" w:rsidP="00B16616">
            <w:pPr>
              <w:adjustRightInd w:val="0"/>
              <w:snapToGrid w:val="0"/>
              <w:jc w:val="center"/>
              <w:rPr>
                <w:sz w:val="24"/>
              </w:rPr>
            </w:pPr>
            <w:r w:rsidRPr="00EC6BFE">
              <w:t>0.4%</w:t>
            </w:r>
          </w:p>
        </w:tc>
        <w:tc>
          <w:tcPr>
            <w:tcW w:w="2750" w:type="dxa"/>
            <w:vAlign w:val="center"/>
          </w:tcPr>
          <w:p w14:paraId="621BD8CF" w14:textId="77777777" w:rsidR="00B16616" w:rsidRPr="00EC6BFE" w:rsidRDefault="00B16616" w:rsidP="00B16616">
            <w:pPr>
              <w:adjustRightInd w:val="0"/>
              <w:snapToGrid w:val="0"/>
              <w:jc w:val="center"/>
            </w:pPr>
            <w:r w:rsidRPr="00C02B7E">
              <w:rPr>
                <w:kern w:val="0"/>
                <w:sz w:val="24"/>
              </w:rPr>
              <w:t>0.0</w:t>
            </w:r>
            <w:r>
              <w:rPr>
                <w:kern w:val="0"/>
                <w:sz w:val="24"/>
              </w:rPr>
              <w:t>8</w:t>
            </w:r>
            <w:r w:rsidRPr="00C02B7E">
              <w:rPr>
                <w:kern w:val="0"/>
                <w:sz w:val="24"/>
              </w:rPr>
              <w:t>%</w:t>
            </w:r>
          </w:p>
        </w:tc>
      </w:tr>
      <w:tr w:rsidR="00B16616" w:rsidRPr="00C02B7E" w14:paraId="5D5EE3DE" w14:textId="77777777" w:rsidTr="00CC5C07">
        <w:trPr>
          <w:cantSplit/>
          <w:trHeight w:val="131"/>
        </w:trPr>
        <w:tc>
          <w:tcPr>
            <w:tcW w:w="3260" w:type="dxa"/>
          </w:tcPr>
          <w:p w14:paraId="40D66DF8" w14:textId="77777777" w:rsidR="00B16616" w:rsidRPr="00C02B7E" w:rsidRDefault="00B16616" w:rsidP="00B16616">
            <w:pPr>
              <w:adjustRightInd w:val="0"/>
              <w:snapToGrid w:val="0"/>
              <w:rPr>
                <w:sz w:val="24"/>
              </w:rPr>
            </w:pPr>
            <w:r w:rsidRPr="00C02B7E">
              <w:rPr>
                <w:sz w:val="24"/>
              </w:rPr>
              <w:t>500</w:t>
            </w:r>
            <w:r w:rsidRPr="00C02B7E">
              <w:rPr>
                <w:rFonts w:hAnsi="宋体"/>
                <w:sz w:val="24"/>
              </w:rPr>
              <w:t>万元以上（含</w:t>
            </w:r>
            <w:r w:rsidRPr="00C02B7E">
              <w:rPr>
                <w:sz w:val="24"/>
              </w:rPr>
              <w:t>500</w:t>
            </w:r>
            <w:r w:rsidRPr="00C02B7E">
              <w:rPr>
                <w:rFonts w:hAnsi="宋体"/>
                <w:sz w:val="24"/>
              </w:rPr>
              <w:t>万</w:t>
            </w:r>
            <w:r>
              <w:rPr>
                <w:rFonts w:hAnsi="宋体" w:hint="eastAsia"/>
                <w:sz w:val="24"/>
              </w:rPr>
              <w:t>元</w:t>
            </w:r>
            <w:r w:rsidRPr="00C02B7E">
              <w:rPr>
                <w:rFonts w:hAnsi="宋体"/>
                <w:sz w:val="24"/>
              </w:rPr>
              <w:t>）</w:t>
            </w:r>
          </w:p>
        </w:tc>
        <w:tc>
          <w:tcPr>
            <w:tcW w:w="2268" w:type="dxa"/>
          </w:tcPr>
          <w:p w14:paraId="7D45A506" w14:textId="77777777" w:rsidR="00B16616" w:rsidRPr="00C02B7E" w:rsidRDefault="00B16616" w:rsidP="00B16616">
            <w:pPr>
              <w:adjustRightInd w:val="0"/>
              <w:snapToGrid w:val="0"/>
              <w:jc w:val="center"/>
              <w:rPr>
                <w:sz w:val="24"/>
              </w:rPr>
            </w:pPr>
            <w:r w:rsidRPr="00C02B7E">
              <w:rPr>
                <w:rFonts w:hAnsi="宋体"/>
                <w:sz w:val="24"/>
              </w:rPr>
              <w:t>每笔交易</w:t>
            </w:r>
            <w:r w:rsidRPr="00C02B7E">
              <w:rPr>
                <w:sz w:val="24"/>
              </w:rPr>
              <w:t>1000</w:t>
            </w:r>
            <w:r w:rsidRPr="00C02B7E">
              <w:rPr>
                <w:rFonts w:hAnsi="宋体"/>
                <w:sz w:val="24"/>
              </w:rPr>
              <w:t>元</w:t>
            </w:r>
          </w:p>
        </w:tc>
        <w:tc>
          <w:tcPr>
            <w:tcW w:w="2750" w:type="dxa"/>
          </w:tcPr>
          <w:p w14:paraId="73D8C087" w14:textId="77777777" w:rsidR="00B16616" w:rsidRPr="00C02B7E" w:rsidRDefault="00B16616" w:rsidP="00B16616">
            <w:pPr>
              <w:adjustRightInd w:val="0"/>
              <w:snapToGrid w:val="0"/>
              <w:jc w:val="center"/>
              <w:rPr>
                <w:rFonts w:hAnsi="宋体"/>
                <w:sz w:val="24"/>
              </w:rPr>
            </w:pPr>
            <w:r w:rsidRPr="00C02B7E">
              <w:rPr>
                <w:rFonts w:hAnsi="宋体"/>
                <w:sz w:val="24"/>
              </w:rPr>
              <w:t>每笔交易</w:t>
            </w:r>
            <w:r w:rsidRPr="00C02B7E">
              <w:rPr>
                <w:sz w:val="24"/>
              </w:rPr>
              <w:t>1000</w:t>
            </w:r>
            <w:r w:rsidRPr="00C02B7E">
              <w:rPr>
                <w:rFonts w:hAnsi="宋体"/>
                <w:sz w:val="24"/>
              </w:rPr>
              <w:t>元</w:t>
            </w:r>
          </w:p>
        </w:tc>
      </w:tr>
    </w:tbl>
    <w:p w14:paraId="3A066E45" w14:textId="295C010F" w:rsidR="000B37C5" w:rsidRDefault="000B37C5" w:rsidP="00EE0749">
      <w:pPr>
        <w:adjustRightInd w:val="0"/>
        <w:snapToGrid w:val="0"/>
        <w:spacing w:line="360" w:lineRule="auto"/>
        <w:ind w:firstLineChars="200" w:firstLine="480"/>
        <w:rPr>
          <w:rFonts w:ascii="宋体" w:hAnsi="宋体"/>
          <w:sz w:val="24"/>
        </w:rPr>
      </w:pPr>
      <w:r w:rsidRPr="00A640BE">
        <w:rPr>
          <w:rFonts w:ascii="宋体" w:hAnsi="宋体" w:hint="eastAsia"/>
          <w:sz w:val="24"/>
        </w:rPr>
        <w:t>基金管理人可对Y类基金份额实施费率优惠或豁免申购费用，敬请投资者留意本基金管理人的有关公告。</w:t>
      </w:r>
    </w:p>
    <w:p w14:paraId="1C5899FC" w14:textId="13B74F2E" w:rsidR="00EE0749" w:rsidRPr="00EE0749" w:rsidRDefault="00EE0749" w:rsidP="00EE0749">
      <w:pPr>
        <w:adjustRightInd w:val="0"/>
        <w:snapToGrid w:val="0"/>
        <w:spacing w:line="360" w:lineRule="auto"/>
        <w:ind w:firstLineChars="200" w:firstLine="482"/>
        <w:rPr>
          <w:b/>
          <w:bCs/>
          <w:sz w:val="24"/>
        </w:rPr>
      </w:pPr>
      <w:r>
        <w:rPr>
          <w:rFonts w:hint="eastAsia"/>
          <w:b/>
          <w:bCs/>
          <w:sz w:val="24"/>
        </w:rPr>
        <w:t>（</w:t>
      </w:r>
      <w:r w:rsidR="000B37C5">
        <w:rPr>
          <w:rFonts w:hint="eastAsia"/>
          <w:b/>
          <w:bCs/>
          <w:sz w:val="24"/>
        </w:rPr>
        <w:t>三</w:t>
      </w:r>
      <w:r>
        <w:rPr>
          <w:b/>
          <w:bCs/>
          <w:sz w:val="24"/>
        </w:rPr>
        <w:t>）</w:t>
      </w:r>
      <w:r w:rsidRPr="00EE0749">
        <w:rPr>
          <w:rFonts w:hint="eastAsia"/>
          <w:b/>
          <w:bCs/>
          <w:sz w:val="24"/>
        </w:rPr>
        <w:t>本基金的</w:t>
      </w:r>
      <w:r>
        <w:rPr>
          <w:rFonts w:hint="eastAsia"/>
          <w:b/>
          <w:bCs/>
          <w:sz w:val="24"/>
        </w:rPr>
        <w:t>赎回</w:t>
      </w:r>
      <w:r w:rsidRPr="00EE0749">
        <w:rPr>
          <w:b/>
          <w:bCs/>
          <w:sz w:val="24"/>
        </w:rPr>
        <w:t>费</w:t>
      </w:r>
    </w:p>
    <w:p w14:paraId="0E182653" w14:textId="6D4C7FB2" w:rsidR="00EE0749" w:rsidRPr="00B16616" w:rsidRDefault="00B16616" w:rsidP="00EE0749">
      <w:pPr>
        <w:widowControl/>
        <w:adjustRightInd w:val="0"/>
        <w:snapToGrid w:val="0"/>
        <w:spacing w:line="360" w:lineRule="auto"/>
        <w:ind w:firstLineChars="200" w:firstLine="480"/>
        <w:rPr>
          <w:sz w:val="24"/>
        </w:rPr>
      </w:pPr>
      <w:r w:rsidRPr="00B16616">
        <w:rPr>
          <w:rFonts w:hAnsi="宋体" w:hint="eastAsia"/>
          <w:sz w:val="24"/>
        </w:rPr>
        <w:t>基金份额持有人持有的每份基金份额最短持有期限为三年，本基金不收取赎回费用。</w:t>
      </w:r>
      <w:r w:rsidR="000B37C5" w:rsidRPr="00A640BE">
        <w:rPr>
          <w:rFonts w:ascii="宋体" w:hAnsi="宋体" w:hint="eastAsia"/>
          <w:sz w:val="24"/>
        </w:rPr>
        <w:t>其中，对于不受最短持有期限制的红利再投资所得基金份额，对持续持有期少于7日的投资者收取1.5%的赎回费，并全额计入基金财产。</w:t>
      </w:r>
    </w:p>
    <w:p w14:paraId="709B9B34" w14:textId="28CA0F8B" w:rsidR="00EE0749" w:rsidRPr="00BC2FF6" w:rsidRDefault="00EE0749" w:rsidP="00780847">
      <w:pPr>
        <w:widowControl/>
        <w:adjustRightInd w:val="0"/>
        <w:snapToGrid w:val="0"/>
        <w:spacing w:line="360" w:lineRule="auto"/>
        <w:rPr>
          <w:rFonts w:hAnsi="宋体"/>
          <w:b/>
          <w:kern w:val="0"/>
          <w:sz w:val="24"/>
        </w:rPr>
      </w:pPr>
      <w:r w:rsidRPr="00BC2FF6">
        <w:rPr>
          <w:rFonts w:hAnsi="宋体" w:hint="eastAsia"/>
          <w:b/>
          <w:kern w:val="0"/>
          <w:sz w:val="24"/>
        </w:rPr>
        <w:lastRenderedPageBreak/>
        <w:t>三</w:t>
      </w:r>
      <w:r w:rsidRPr="00BC2FF6">
        <w:rPr>
          <w:rFonts w:hAnsi="宋体"/>
          <w:b/>
          <w:kern w:val="0"/>
          <w:sz w:val="24"/>
        </w:rPr>
        <w:t>、基金份额持有人须了解并承受以下</w:t>
      </w:r>
      <w:r w:rsidR="00780847">
        <w:rPr>
          <w:rFonts w:hAnsi="宋体" w:hint="eastAsia"/>
          <w:b/>
          <w:kern w:val="0"/>
          <w:sz w:val="24"/>
        </w:rPr>
        <w:t>主要</w:t>
      </w:r>
      <w:r w:rsidRPr="00BC2FF6">
        <w:rPr>
          <w:rFonts w:hAnsi="宋体"/>
          <w:b/>
          <w:kern w:val="0"/>
          <w:sz w:val="24"/>
        </w:rPr>
        <w:t>风险：</w:t>
      </w:r>
    </w:p>
    <w:p w14:paraId="1C9E1EE4" w14:textId="77777777" w:rsidR="007643E7" w:rsidRPr="005435A1" w:rsidRDefault="007643E7" w:rsidP="007643E7">
      <w:pPr>
        <w:widowControl/>
        <w:adjustRightInd w:val="0"/>
        <w:snapToGrid w:val="0"/>
        <w:spacing w:line="360" w:lineRule="auto"/>
        <w:ind w:firstLineChars="200" w:firstLine="482"/>
        <w:rPr>
          <w:b/>
          <w:kern w:val="0"/>
          <w:sz w:val="24"/>
        </w:rPr>
      </w:pPr>
      <w:r w:rsidRPr="00E240B7">
        <w:rPr>
          <w:b/>
          <w:kern w:val="0"/>
          <w:sz w:val="24"/>
        </w:rPr>
        <w:t>（</w:t>
      </w:r>
      <w:r w:rsidRPr="00E240B7">
        <w:rPr>
          <w:rFonts w:hint="eastAsia"/>
          <w:b/>
          <w:kern w:val="0"/>
          <w:sz w:val="24"/>
        </w:rPr>
        <w:t>一</w:t>
      </w:r>
      <w:r w:rsidRPr="00E240B7">
        <w:rPr>
          <w:b/>
          <w:kern w:val="0"/>
          <w:sz w:val="24"/>
        </w:rPr>
        <w:t>）流动性风险</w:t>
      </w:r>
      <w:r w:rsidRPr="005435A1">
        <w:rPr>
          <w:b/>
          <w:kern w:val="0"/>
          <w:sz w:val="24"/>
        </w:rPr>
        <w:t xml:space="preserve"> </w:t>
      </w:r>
    </w:p>
    <w:p w14:paraId="7913D42F" w14:textId="77777777" w:rsidR="007643E7" w:rsidRPr="00D31AF4" w:rsidRDefault="007643E7" w:rsidP="007643E7">
      <w:pPr>
        <w:widowControl/>
        <w:adjustRightInd w:val="0"/>
        <w:snapToGrid w:val="0"/>
        <w:spacing w:line="360" w:lineRule="auto"/>
        <w:ind w:firstLineChars="200" w:firstLine="480"/>
        <w:rPr>
          <w:kern w:val="0"/>
          <w:sz w:val="24"/>
        </w:rPr>
      </w:pPr>
      <w:r w:rsidRPr="00D31AF4">
        <w:rPr>
          <w:rFonts w:hint="eastAsia"/>
          <w:kern w:val="0"/>
          <w:sz w:val="24"/>
        </w:rPr>
        <w:t>本基金属于开放式基金，在基金的所有开放日，基金份额持有人持有的每份基金份额最短持有期限为三年，对于满足持有期限的投资人，基金管理人都有义务接受投资人的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14:paraId="08C01A98" w14:textId="77777777" w:rsidR="007643E7" w:rsidRPr="00D31AF4" w:rsidRDefault="007643E7" w:rsidP="007643E7">
      <w:pPr>
        <w:widowControl/>
        <w:adjustRightInd w:val="0"/>
        <w:snapToGrid w:val="0"/>
        <w:spacing w:line="360" w:lineRule="auto"/>
        <w:ind w:firstLineChars="200" w:firstLine="480"/>
        <w:rPr>
          <w:kern w:val="0"/>
          <w:sz w:val="24"/>
        </w:rPr>
      </w:pPr>
      <w:r w:rsidRPr="00D31AF4">
        <w:rPr>
          <w:rFonts w:hint="eastAsia"/>
          <w:kern w:val="0"/>
          <w:sz w:val="24"/>
        </w:rPr>
        <w:t>1</w:t>
      </w:r>
      <w:r w:rsidRPr="00D31AF4">
        <w:rPr>
          <w:rFonts w:hint="eastAsia"/>
          <w:kern w:val="0"/>
          <w:sz w:val="24"/>
        </w:rPr>
        <w:t>、本基金的申购、赎回安排</w:t>
      </w:r>
    </w:p>
    <w:p w14:paraId="4CC8F516" w14:textId="77777777" w:rsidR="007643E7" w:rsidRPr="00D31AF4" w:rsidRDefault="007643E7" w:rsidP="007643E7">
      <w:pPr>
        <w:widowControl/>
        <w:adjustRightInd w:val="0"/>
        <w:snapToGrid w:val="0"/>
        <w:spacing w:line="360" w:lineRule="auto"/>
        <w:ind w:firstLineChars="200" w:firstLine="480"/>
        <w:rPr>
          <w:kern w:val="0"/>
          <w:sz w:val="24"/>
        </w:rPr>
      </w:pPr>
      <w:r w:rsidRPr="00D31AF4">
        <w:rPr>
          <w:rFonts w:hint="eastAsia"/>
          <w:kern w:val="0"/>
          <w:sz w:val="24"/>
        </w:rPr>
        <w:t>本基金采用开放方式运作，基金管理人在开放日办理基金份额的申购和赎回，但对于每份基金份额，基金份额持有人仅可在该份额最短持有期限届满后申请赎回，具体办理时间为上海证券交易所、深圳证券交易所的正常交易日的交易时间，但基金管理人根据法律法规、中国证监会的要求或基金合同的规定公告暂停申购、赎回时除外。基金管理人自基金合同生效之日起不超过</w:t>
      </w:r>
      <w:r w:rsidRPr="00D31AF4">
        <w:rPr>
          <w:rFonts w:hint="eastAsia"/>
          <w:kern w:val="0"/>
          <w:sz w:val="24"/>
        </w:rPr>
        <w:t>3</w:t>
      </w:r>
      <w:r w:rsidRPr="00D31AF4">
        <w:rPr>
          <w:rFonts w:hint="eastAsia"/>
          <w:kern w:val="0"/>
          <w:sz w:val="24"/>
        </w:rPr>
        <w:t>个月开始办理申购业务，具体业务办理时间在申购开始公告中规定。基金管理人自基金合同生效之日起至三年后的年度对日（含该日）开始办理赎回，具体业务办理时间在赎回开始公告中规定。</w:t>
      </w:r>
    </w:p>
    <w:p w14:paraId="546F2BDA" w14:textId="77777777" w:rsidR="007643E7" w:rsidRPr="00D31AF4" w:rsidRDefault="007643E7" w:rsidP="007643E7">
      <w:pPr>
        <w:widowControl/>
        <w:adjustRightInd w:val="0"/>
        <w:snapToGrid w:val="0"/>
        <w:spacing w:line="360" w:lineRule="auto"/>
        <w:ind w:firstLineChars="200" w:firstLine="480"/>
        <w:rPr>
          <w:kern w:val="0"/>
          <w:sz w:val="24"/>
        </w:rPr>
      </w:pPr>
      <w:r w:rsidRPr="00D31AF4">
        <w:rPr>
          <w:rFonts w:hint="eastAsia"/>
          <w:kern w:val="0"/>
          <w:sz w:val="24"/>
        </w:rPr>
        <w:t>若基金份额持有人多次认购或申购本基金导致持有多笔不同期限的本基金份额时，基金份额持有人在赎回时需特别关注申请赎回的基金份额数量，若申请赎回的基金份额超过了该份额持有人持续持有超过三年的基金份额数量，则基金份额持有人的赎回申请将被予以拒绝。基金份额持有人需承担赎回申请失败的风险。</w:t>
      </w:r>
    </w:p>
    <w:p w14:paraId="47F22263" w14:textId="77777777" w:rsidR="007643E7" w:rsidRPr="00D31AF4" w:rsidRDefault="007643E7" w:rsidP="007643E7">
      <w:pPr>
        <w:widowControl/>
        <w:adjustRightInd w:val="0"/>
        <w:snapToGrid w:val="0"/>
        <w:spacing w:line="360" w:lineRule="auto"/>
        <w:ind w:firstLineChars="200" w:firstLine="480"/>
        <w:rPr>
          <w:kern w:val="0"/>
          <w:sz w:val="24"/>
        </w:rPr>
      </w:pPr>
      <w:r w:rsidRPr="00D31AF4">
        <w:rPr>
          <w:rFonts w:hint="eastAsia"/>
          <w:kern w:val="0"/>
          <w:sz w:val="24"/>
        </w:rPr>
        <w:t>2</w:t>
      </w:r>
      <w:r w:rsidRPr="00D31AF4">
        <w:rPr>
          <w:rFonts w:hint="eastAsia"/>
          <w:kern w:val="0"/>
          <w:sz w:val="24"/>
        </w:rPr>
        <w:t>、投资市场、行业及资产的流动性风险评估</w:t>
      </w:r>
    </w:p>
    <w:p w14:paraId="2F1E01CA" w14:textId="77777777" w:rsidR="007643E7" w:rsidRPr="00D31AF4" w:rsidRDefault="007643E7" w:rsidP="007643E7">
      <w:pPr>
        <w:widowControl/>
        <w:adjustRightInd w:val="0"/>
        <w:snapToGrid w:val="0"/>
        <w:spacing w:line="360" w:lineRule="auto"/>
        <w:ind w:firstLineChars="200" w:firstLine="480"/>
        <w:rPr>
          <w:kern w:val="0"/>
          <w:sz w:val="24"/>
        </w:rPr>
      </w:pPr>
      <w:r w:rsidRPr="00D31AF4">
        <w:rPr>
          <w:rFonts w:hint="eastAsia"/>
          <w:kern w:val="0"/>
          <w:sz w:val="24"/>
        </w:rPr>
        <w:t>本基金为基金中基金，投资于公开募集证券投资基金的基金份额的资产不低于基金资产的</w:t>
      </w:r>
      <w:r w:rsidRPr="00D31AF4">
        <w:rPr>
          <w:rFonts w:hint="eastAsia"/>
          <w:kern w:val="0"/>
          <w:sz w:val="24"/>
        </w:rPr>
        <w:t>80%</w:t>
      </w:r>
      <w:r w:rsidRPr="00D31AF4">
        <w:rPr>
          <w:rFonts w:hint="eastAsia"/>
          <w:kern w:val="0"/>
          <w:sz w:val="24"/>
        </w:rPr>
        <w:t>，主要投资对象为具有良好流动性的金融工具，同时本基金基于分散投资的原则在行业和个券方面未有高集中度的特征，综合评估在正常市场环境下本基金的流动性风险适中。</w:t>
      </w:r>
    </w:p>
    <w:p w14:paraId="2D376359" w14:textId="77777777" w:rsidR="007643E7" w:rsidRPr="00D31AF4" w:rsidRDefault="007643E7" w:rsidP="007643E7">
      <w:pPr>
        <w:widowControl/>
        <w:adjustRightInd w:val="0"/>
        <w:snapToGrid w:val="0"/>
        <w:spacing w:line="360" w:lineRule="auto"/>
        <w:ind w:firstLineChars="200" w:firstLine="480"/>
        <w:rPr>
          <w:kern w:val="0"/>
          <w:sz w:val="24"/>
        </w:rPr>
      </w:pPr>
      <w:r w:rsidRPr="00D31AF4">
        <w:rPr>
          <w:rFonts w:hint="eastAsia"/>
          <w:kern w:val="0"/>
          <w:sz w:val="24"/>
        </w:rPr>
        <w:t>3</w:t>
      </w:r>
      <w:r w:rsidRPr="00D31AF4">
        <w:rPr>
          <w:rFonts w:hint="eastAsia"/>
          <w:kern w:val="0"/>
          <w:sz w:val="24"/>
        </w:rPr>
        <w:t>、巨额赎回情形下的流动性风险管理措施</w:t>
      </w:r>
    </w:p>
    <w:p w14:paraId="40EB1351" w14:textId="77777777" w:rsidR="007643E7" w:rsidRPr="00D31AF4" w:rsidRDefault="007643E7" w:rsidP="007643E7">
      <w:pPr>
        <w:widowControl/>
        <w:adjustRightInd w:val="0"/>
        <w:snapToGrid w:val="0"/>
        <w:spacing w:line="360" w:lineRule="auto"/>
        <w:ind w:firstLineChars="200" w:firstLine="480"/>
        <w:rPr>
          <w:kern w:val="0"/>
          <w:sz w:val="24"/>
        </w:rPr>
      </w:pPr>
      <w:r w:rsidRPr="00D31AF4">
        <w:rPr>
          <w:rFonts w:hint="eastAsia"/>
          <w:kern w:val="0"/>
          <w:sz w:val="24"/>
        </w:rPr>
        <w:lastRenderedPageBreak/>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D31AF4">
        <w:rPr>
          <w:rFonts w:hint="eastAsia"/>
          <w:kern w:val="0"/>
          <w:sz w:val="24"/>
        </w:rPr>
        <w:t>10%</w:t>
      </w:r>
      <w:r w:rsidRPr="00D31AF4">
        <w:rPr>
          <w:rFonts w:hint="eastAsia"/>
          <w:kern w:val="0"/>
          <w:sz w:val="24"/>
        </w:rPr>
        <w:t>，即认为是发生了巨额赎回。</w:t>
      </w:r>
    </w:p>
    <w:p w14:paraId="1550D6EE" w14:textId="7C591F46" w:rsidR="007643E7" w:rsidRPr="00D31AF4" w:rsidRDefault="007643E7" w:rsidP="007643E7">
      <w:pPr>
        <w:widowControl/>
        <w:adjustRightInd w:val="0"/>
        <w:snapToGrid w:val="0"/>
        <w:spacing w:line="360" w:lineRule="auto"/>
        <w:ind w:firstLineChars="200" w:firstLine="480"/>
        <w:rPr>
          <w:kern w:val="0"/>
          <w:sz w:val="24"/>
        </w:rPr>
      </w:pPr>
      <w:r w:rsidRPr="00D31AF4">
        <w:rPr>
          <w:rFonts w:hint="eastAsia"/>
          <w:kern w:val="0"/>
          <w:sz w:val="24"/>
        </w:rPr>
        <w:t>当基金出现巨额赎回时，基金管理人可以根据基金当时的资产组合状况决定全额赎回或部分延期赎回</w:t>
      </w:r>
      <w:r>
        <w:rPr>
          <w:rFonts w:hint="eastAsia"/>
          <w:kern w:val="0"/>
          <w:sz w:val="24"/>
        </w:rPr>
        <w:t>，</w:t>
      </w:r>
      <w:r>
        <w:rPr>
          <w:kern w:val="0"/>
          <w:sz w:val="24"/>
        </w:rPr>
        <w:t>具体</w:t>
      </w:r>
      <w:r w:rsidRPr="00D31AF4">
        <w:rPr>
          <w:rFonts w:hint="eastAsia"/>
          <w:kern w:val="0"/>
          <w:sz w:val="24"/>
        </w:rPr>
        <w:t>风险管理措施</w:t>
      </w:r>
      <w:r>
        <w:rPr>
          <w:rFonts w:hint="eastAsia"/>
          <w:kern w:val="0"/>
          <w:sz w:val="24"/>
        </w:rPr>
        <w:t>详见本基金</w:t>
      </w:r>
      <w:r w:rsidR="00AE4A46">
        <w:rPr>
          <w:rFonts w:hint="eastAsia"/>
          <w:kern w:val="0"/>
          <w:sz w:val="24"/>
        </w:rPr>
        <w:t>《</w:t>
      </w:r>
      <w:r>
        <w:rPr>
          <w:kern w:val="0"/>
          <w:sz w:val="24"/>
        </w:rPr>
        <w:t>招募说明书</w:t>
      </w:r>
      <w:r w:rsidR="00AE4A46">
        <w:rPr>
          <w:rFonts w:hint="eastAsia"/>
          <w:kern w:val="0"/>
          <w:sz w:val="24"/>
        </w:rPr>
        <w:t>》</w:t>
      </w:r>
      <w:r w:rsidRPr="00D31AF4">
        <w:rPr>
          <w:rFonts w:hint="eastAsia"/>
          <w:kern w:val="0"/>
          <w:sz w:val="24"/>
        </w:rPr>
        <w:t>。</w:t>
      </w:r>
    </w:p>
    <w:p w14:paraId="59522D65" w14:textId="77777777" w:rsidR="007643E7" w:rsidRPr="00D31AF4" w:rsidRDefault="007643E7" w:rsidP="007643E7">
      <w:pPr>
        <w:widowControl/>
        <w:adjustRightInd w:val="0"/>
        <w:snapToGrid w:val="0"/>
        <w:spacing w:line="360" w:lineRule="auto"/>
        <w:ind w:firstLineChars="200" w:firstLine="480"/>
        <w:rPr>
          <w:kern w:val="0"/>
          <w:sz w:val="24"/>
        </w:rPr>
      </w:pPr>
      <w:r w:rsidRPr="00D31AF4">
        <w:rPr>
          <w:rFonts w:hint="eastAsia"/>
          <w:kern w:val="0"/>
          <w:sz w:val="24"/>
        </w:rPr>
        <w:t>4</w:t>
      </w:r>
      <w:r w:rsidRPr="00D31AF4">
        <w:rPr>
          <w:rFonts w:hint="eastAsia"/>
          <w:kern w:val="0"/>
          <w:sz w:val="24"/>
        </w:rPr>
        <w:t>、实施备用的流动性风险管理工具的情形、程序及对投资者的潜在影响</w:t>
      </w:r>
    </w:p>
    <w:p w14:paraId="40A459BA" w14:textId="77777777" w:rsidR="007643E7" w:rsidRPr="00D31AF4" w:rsidRDefault="007643E7" w:rsidP="007643E7">
      <w:pPr>
        <w:widowControl/>
        <w:adjustRightInd w:val="0"/>
        <w:snapToGrid w:val="0"/>
        <w:spacing w:line="360" w:lineRule="auto"/>
        <w:ind w:firstLineChars="200" w:firstLine="480"/>
        <w:rPr>
          <w:kern w:val="0"/>
          <w:sz w:val="24"/>
        </w:rPr>
      </w:pPr>
      <w:r w:rsidRPr="00D31AF4">
        <w:rPr>
          <w:rFonts w:hint="eastAsia"/>
          <w:kern w:val="0"/>
          <w:sz w:val="24"/>
        </w:rPr>
        <w:t>本基金在面临大规模赎回的情况下有可能因为无法变现造成流动性风险。</w:t>
      </w:r>
    </w:p>
    <w:p w14:paraId="7C130CD5" w14:textId="77777777" w:rsidR="007643E7" w:rsidRDefault="007643E7" w:rsidP="007643E7">
      <w:pPr>
        <w:widowControl/>
        <w:adjustRightInd w:val="0"/>
        <w:snapToGrid w:val="0"/>
        <w:spacing w:line="360" w:lineRule="auto"/>
        <w:ind w:firstLineChars="200" w:firstLine="480"/>
        <w:rPr>
          <w:rFonts w:hAnsi="宋体"/>
          <w:b/>
          <w:sz w:val="24"/>
          <w:szCs w:val="21"/>
        </w:rPr>
      </w:pPr>
      <w:r w:rsidRPr="00D31AF4">
        <w:rPr>
          <w:rFonts w:hint="eastAsia"/>
          <w:kern w:val="0"/>
          <w:sz w:val="24"/>
        </w:rPr>
        <w:t>如果出现流动性风险，基金管理人经与基金托管人协商，在确保投资者得到公平对待的前提下，可实施备用的流动性风险管理工具，包括但不限于延期办理巨额赎回申请、暂停接受赎回申请、延缓支付赎回款项、摆动定价、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01E04689" w14:textId="77777777" w:rsidR="007643E7" w:rsidRPr="00111C1F" w:rsidRDefault="007643E7" w:rsidP="007643E7">
      <w:pPr>
        <w:widowControl/>
        <w:adjustRightInd w:val="0"/>
        <w:snapToGrid w:val="0"/>
        <w:spacing w:line="360" w:lineRule="auto"/>
        <w:ind w:firstLineChars="200" w:firstLine="482"/>
        <w:rPr>
          <w:rFonts w:hAnsi="宋体"/>
          <w:b/>
          <w:sz w:val="24"/>
          <w:szCs w:val="21"/>
        </w:rPr>
      </w:pPr>
      <w:r w:rsidRPr="00111C1F">
        <w:rPr>
          <w:rFonts w:hAnsi="宋体"/>
          <w:b/>
          <w:sz w:val="24"/>
          <w:szCs w:val="21"/>
        </w:rPr>
        <w:t>（</w:t>
      </w:r>
      <w:r>
        <w:rPr>
          <w:rFonts w:hAnsi="宋体" w:hint="eastAsia"/>
          <w:b/>
          <w:sz w:val="24"/>
          <w:szCs w:val="21"/>
        </w:rPr>
        <w:t>二</w:t>
      </w:r>
      <w:r w:rsidRPr="00111C1F">
        <w:rPr>
          <w:rFonts w:hAnsi="宋体"/>
          <w:b/>
          <w:sz w:val="24"/>
          <w:szCs w:val="21"/>
        </w:rPr>
        <w:t>）本基金的</w:t>
      </w:r>
      <w:r w:rsidRPr="00111C1F">
        <w:rPr>
          <w:rFonts w:hAnsi="宋体" w:hint="eastAsia"/>
          <w:b/>
          <w:sz w:val="24"/>
          <w:szCs w:val="21"/>
        </w:rPr>
        <w:t>特有</w:t>
      </w:r>
      <w:r w:rsidRPr="00111C1F">
        <w:rPr>
          <w:rFonts w:hAnsi="宋体"/>
          <w:b/>
          <w:sz w:val="24"/>
          <w:szCs w:val="21"/>
        </w:rPr>
        <w:t>风险</w:t>
      </w:r>
    </w:p>
    <w:p w14:paraId="13FEB2B0" w14:textId="77777777" w:rsidR="00945DF6" w:rsidRPr="00945DF6" w:rsidRDefault="00945DF6" w:rsidP="00945DF6">
      <w:pPr>
        <w:widowControl/>
        <w:adjustRightInd w:val="0"/>
        <w:snapToGrid w:val="0"/>
        <w:spacing w:line="360" w:lineRule="auto"/>
        <w:ind w:firstLineChars="200" w:firstLine="480"/>
        <w:rPr>
          <w:rFonts w:hAnsi="宋体"/>
          <w:kern w:val="0"/>
          <w:sz w:val="24"/>
        </w:rPr>
      </w:pPr>
      <w:r w:rsidRPr="00945DF6">
        <w:rPr>
          <w:rFonts w:hAnsi="宋体" w:hint="eastAsia"/>
          <w:kern w:val="0"/>
          <w:sz w:val="24"/>
        </w:rPr>
        <w:t>1</w:t>
      </w:r>
      <w:r w:rsidRPr="00945DF6">
        <w:rPr>
          <w:rFonts w:hAnsi="宋体" w:hint="eastAsia"/>
          <w:kern w:val="0"/>
          <w:sz w:val="24"/>
        </w:rPr>
        <w:t>、本基金为养老目标基金，致力于满足投资者的养老资金理财需求，但养老目标基金并不代表收益保障或其他任何形式的收益承诺。本基金非保本产品，存在投资者承担亏损的可能性。</w:t>
      </w:r>
    </w:p>
    <w:p w14:paraId="2D19D744" w14:textId="240FF70E" w:rsidR="00945DF6" w:rsidRPr="00945DF6" w:rsidRDefault="00945DF6" w:rsidP="00945DF6">
      <w:pPr>
        <w:widowControl/>
        <w:adjustRightInd w:val="0"/>
        <w:snapToGrid w:val="0"/>
        <w:spacing w:line="360" w:lineRule="auto"/>
        <w:ind w:firstLineChars="200" w:firstLine="480"/>
        <w:rPr>
          <w:rFonts w:hAnsi="宋体"/>
          <w:kern w:val="0"/>
          <w:sz w:val="24"/>
        </w:rPr>
      </w:pPr>
      <w:r w:rsidRPr="00945DF6">
        <w:rPr>
          <w:rFonts w:hAnsi="宋体" w:hint="eastAsia"/>
          <w:kern w:val="0"/>
          <w:sz w:val="24"/>
        </w:rPr>
        <w:t>2</w:t>
      </w:r>
      <w:r w:rsidRPr="00945DF6">
        <w:rPr>
          <w:rFonts w:hAnsi="宋体" w:hint="eastAsia"/>
          <w:kern w:val="0"/>
          <w:sz w:val="24"/>
        </w:rPr>
        <w:t>、本基金为混合型基金中基金，本基金投资于经中国证监会依法核准或注册的公开募集证券投资基金的基金份额的资产不低于本基金资产的</w:t>
      </w:r>
      <w:r w:rsidRPr="00945DF6">
        <w:rPr>
          <w:rFonts w:hAnsi="宋体" w:hint="eastAsia"/>
          <w:kern w:val="0"/>
          <w:sz w:val="24"/>
        </w:rPr>
        <w:t>80%</w:t>
      </w:r>
      <w:r w:rsidRPr="00945DF6">
        <w:rPr>
          <w:rFonts w:hAnsi="宋体" w:hint="eastAsia"/>
          <w:kern w:val="0"/>
          <w:sz w:val="24"/>
        </w:rPr>
        <w:t>，其中投资于股票</w:t>
      </w:r>
      <w:r w:rsidR="00E2553E" w:rsidRPr="00E6465D">
        <w:rPr>
          <w:rFonts w:hAnsi="宋体" w:hint="eastAsia"/>
          <w:kern w:val="0"/>
          <w:sz w:val="24"/>
        </w:rPr>
        <w:t>（含存托凭证）</w:t>
      </w:r>
      <w:r w:rsidRPr="00945DF6">
        <w:rPr>
          <w:rFonts w:hAnsi="宋体" w:hint="eastAsia"/>
          <w:kern w:val="0"/>
          <w:sz w:val="24"/>
        </w:rPr>
        <w:t>、股票型基金（包括股票指数基金）、混合型基金和商品基金（含商品期货基金和黄金</w:t>
      </w:r>
      <w:r w:rsidRPr="00945DF6">
        <w:rPr>
          <w:rFonts w:hAnsi="宋体" w:hint="eastAsia"/>
          <w:kern w:val="0"/>
          <w:sz w:val="24"/>
        </w:rPr>
        <w:t>ETF</w:t>
      </w:r>
      <w:r w:rsidRPr="00945DF6">
        <w:rPr>
          <w:rFonts w:hAnsi="宋体" w:hint="eastAsia"/>
          <w:kern w:val="0"/>
          <w:sz w:val="24"/>
        </w:rPr>
        <w:t>）等品种的比例合计占基金资产的</w:t>
      </w:r>
      <w:r w:rsidRPr="00945DF6">
        <w:rPr>
          <w:rFonts w:hAnsi="宋体" w:hint="eastAsia"/>
          <w:kern w:val="0"/>
          <w:sz w:val="24"/>
        </w:rPr>
        <w:t>0%-60%</w:t>
      </w:r>
      <w:r w:rsidRPr="00945DF6">
        <w:rPr>
          <w:rFonts w:hAnsi="宋体" w:hint="eastAsia"/>
          <w:kern w:val="0"/>
          <w:sz w:val="24"/>
        </w:rPr>
        <w:t>；投资于港股通标的股票的比例占股票资产的</w:t>
      </w:r>
      <w:r w:rsidRPr="00945DF6">
        <w:rPr>
          <w:rFonts w:hAnsi="宋体" w:hint="eastAsia"/>
          <w:kern w:val="0"/>
          <w:sz w:val="24"/>
        </w:rPr>
        <w:t>0-50%</w:t>
      </w:r>
      <w:r w:rsidRPr="00945DF6">
        <w:rPr>
          <w:rFonts w:hAnsi="宋体" w:hint="eastAsia"/>
          <w:kern w:val="0"/>
          <w:sz w:val="24"/>
        </w:rPr>
        <w:t>。因此本基金所持有的基金的业绩表现、持有基金的基金管理人水平等因素将影响到本基金的基金业绩表现。</w:t>
      </w:r>
    </w:p>
    <w:p w14:paraId="53642790" w14:textId="77777777" w:rsidR="00945DF6" w:rsidRPr="00945DF6" w:rsidRDefault="00945DF6" w:rsidP="00945DF6">
      <w:pPr>
        <w:widowControl/>
        <w:adjustRightInd w:val="0"/>
        <w:snapToGrid w:val="0"/>
        <w:spacing w:line="360" w:lineRule="auto"/>
        <w:ind w:firstLineChars="200" w:firstLine="480"/>
        <w:rPr>
          <w:rFonts w:hAnsi="宋体"/>
          <w:kern w:val="0"/>
          <w:sz w:val="24"/>
        </w:rPr>
      </w:pPr>
      <w:r w:rsidRPr="00945DF6">
        <w:rPr>
          <w:rFonts w:hAnsi="宋体" w:hint="eastAsia"/>
          <w:kern w:val="0"/>
          <w:sz w:val="24"/>
        </w:rPr>
        <w:t>3</w:t>
      </w:r>
      <w:r w:rsidRPr="00945DF6">
        <w:rPr>
          <w:rFonts w:hAnsi="宋体" w:hint="eastAsia"/>
          <w:kern w:val="0"/>
          <w:sz w:val="24"/>
        </w:rPr>
        <w:t>、目标日期前，本基金设置基金份额持有人最短持有期限。基金份额持有人持有的每份基金份额最短持有期限为三年，在最短持有期限内该份基金份额不可赎回，自最短持有期限的下一工作日起（含该日）可赎回。对于每笔认购的基金份额而言，最短持有期限自基金合同生效之日起（含该日）至三年后的年度对日的前一日；对于每笔申购的基金份额而言，最短持有期限自该笔申购份额确认日（含该日，通常</w:t>
      </w:r>
      <w:r w:rsidRPr="00945DF6">
        <w:rPr>
          <w:rFonts w:hAnsi="宋体" w:hint="eastAsia"/>
          <w:kern w:val="0"/>
          <w:sz w:val="24"/>
        </w:rPr>
        <w:t>T</w:t>
      </w:r>
      <w:r w:rsidRPr="00945DF6">
        <w:rPr>
          <w:rFonts w:hAnsi="宋体" w:hint="eastAsia"/>
          <w:kern w:val="0"/>
          <w:sz w:val="24"/>
        </w:rPr>
        <w:t>日提交的有效申购申请于</w:t>
      </w:r>
      <w:r w:rsidRPr="00945DF6">
        <w:rPr>
          <w:rFonts w:hAnsi="宋体" w:hint="eastAsia"/>
          <w:kern w:val="0"/>
          <w:sz w:val="24"/>
        </w:rPr>
        <w:t>T+3</w:t>
      </w:r>
      <w:r w:rsidRPr="00945DF6">
        <w:rPr>
          <w:rFonts w:hAnsi="宋体" w:hint="eastAsia"/>
          <w:kern w:val="0"/>
          <w:sz w:val="24"/>
        </w:rPr>
        <w:t>日确认）至三年后的年度对</w:t>
      </w:r>
      <w:r w:rsidRPr="00945DF6">
        <w:rPr>
          <w:rFonts w:hAnsi="宋体" w:hint="eastAsia"/>
          <w:kern w:val="0"/>
          <w:sz w:val="24"/>
        </w:rPr>
        <w:lastRenderedPageBreak/>
        <w:t>日的前一日。到达目标日期（</w:t>
      </w:r>
      <w:r w:rsidRPr="00945DF6">
        <w:rPr>
          <w:rFonts w:hAnsi="宋体" w:hint="eastAsia"/>
          <w:kern w:val="0"/>
          <w:sz w:val="24"/>
        </w:rPr>
        <w:t>2035</w:t>
      </w:r>
      <w:r w:rsidRPr="00945DF6">
        <w:rPr>
          <w:rFonts w:hAnsi="宋体" w:hint="eastAsia"/>
          <w:kern w:val="0"/>
          <w:sz w:val="24"/>
        </w:rPr>
        <w:t>年</w:t>
      </w:r>
      <w:r w:rsidRPr="00945DF6">
        <w:rPr>
          <w:rFonts w:hAnsi="宋体" w:hint="eastAsia"/>
          <w:kern w:val="0"/>
          <w:sz w:val="24"/>
        </w:rPr>
        <w:t>12</w:t>
      </w:r>
      <w:r w:rsidRPr="00945DF6">
        <w:rPr>
          <w:rFonts w:hAnsi="宋体" w:hint="eastAsia"/>
          <w:kern w:val="0"/>
          <w:sz w:val="24"/>
        </w:rPr>
        <w:t>月</w:t>
      </w:r>
      <w:r w:rsidRPr="00945DF6">
        <w:rPr>
          <w:rFonts w:hAnsi="宋体" w:hint="eastAsia"/>
          <w:kern w:val="0"/>
          <w:sz w:val="24"/>
        </w:rPr>
        <w:t>31</w:t>
      </w:r>
      <w:r w:rsidRPr="00945DF6">
        <w:rPr>
          <w:rFonts w:hAnsi="宋体" w:hint="eastAsia"/>
          <w:kern w:val="0"/>
          <w:sz w:val="24"/>
        </w:rPr>
        <w:t>日）后</w:t>
      </w:r>
      <w:r w:rsidRPr="00945DF6">
        <w:rPr>
          <w:rFonts w:hAnsi="宋体" w:hint="eastAsia"/>
          <w:kern w:val="0"/>
          <w:sz w:val="24"/>
        </w:rPr>
        <w:t>2036</w:t>
      </w:r>
      <w:r w:rsidRPr="00945DF6">
        <w:rPr>
          <w:rFonts w:hAnsi="宋体" w:hint="eastAsia"/>
          <w:kern w:val="0"/>
          <w:sz w:val="24"/>
        </w:rPr>
        <w:t>年第一个工作日，本基金转型为“交银施罗德债基优选债券型基金中基金（</w:t>
      </w:r>
      <w:r w:rsidRPr="00945DF6">
        <w:rPr>
          <w:rFonts w:hAnsi="宋体" w:hint="eastAsia"/>
          <w:kern w:val="0"/>
          <w:sz w:val="24"/>
        </w:rPr>
        <w:t>FOF</w:t>
      </w:r>
      <w:r w:rsidRPr="00945DF6">
        <w:rPr>
          <w:rFonts w:hAnsi="宋体" w:hint="eastAsia"/>
          <w:kern w:val="0"/>
          <w:sz w:val="24"/>
        </w:rPr>
        <w:t>）”，不再设置最短持有期，基金管理人将根据转型后基金合同的约定在开放日办理基金份额的申购和赎回。因此，对于基金份额持有人而言，存在投资本基金后三年内无法赎回的风险。</w:t>
      </w:r>
    </w:p>
    <w:p w14:paraId="444EB3AD" w14:textId="77777777" w:rsidR="00945DF6" w:rsidRPr="00945DF6" w:rsidRDefault="00945DF6" w:rsidP="00945DF6">
      <w:pPr>
        <w:widowControl/>
        <w:adjustRightInd w:val="0"/>
        <w:snapToGrid w:val="0"/>
        <w:spacing w:line="360" w:lineRule="auto"/>
        <w:ind w:firstLineChars="200" w:firstLine="480"/>
        <w:rPr>
          <w:rFonts w:hAnsi="宋体"/>
          <w:kern w:val="0"/>
          <w:sz w:val="24"/>
        </w:rPr>
      </w:pPr>
      <w:r w:rsidRPr="00945DF6">
        <w:rPr>
          <w:rFonts w:hAnsi="宋体" w:hint="eastAsia"/>
          <w:kern w:val="0"/>
          <w:sz w:val="24"/>
        </w:rPr>
        <w:t>4</w:t>
      </w:r>
      <w:r w:rsidRPr="00945DF6">
        <w:rPr>
          <w:rFonts w:hAnsi="宋体" w:hint="eastAsia"/>
          <w:kern w:val="0"/>
          <w:sz w:val="24"/>
        </w:rPr>
        <w:t>、本基金为基金中基金，由于本基金所持有的相当比例的基金暂停估值，导致基金管理人无法计算当日本基金资产净值；或者由于本基金持有的相当比例的基金份额或适合本基金投资的基金份额拒绝或暂停申购、暂停上市或二级市场交易停牌、基金管理人无法找到其他合适的可替代的基金品种，或其他可能对本基金业绩产生负面影响的情形，本基金可能拒绝或暂停申购业务。</w:t>
      </w:r>
    </w:p>
    <w:p w14:paraId="1A4FD110" w14:textId="77777777" w:rsidR="00945DF6" w:rsidRPr="00945DF6" w:rsidRDefault="00945DF6" w:rsidP="00945DF6">
      <w:pPr>
        <w:widowControl/>
        <w:adjustRightInd w:val="0"/>
        <w:snapToGrid w:val="0"/>
        <w:spacing w:line="360" w:lineRule="auto"/>
        <w:ind w:firstLineChars="200" w:firstLine="480"/>
        <w:rPr>
          <w:rFonts w:hAnsi="宋体"/>
          <w:kern w:val="0"/>
          <w:sz w:val="24"/>
        </w:rPr>
      </w:pPr>
      <w:r w:rsidRPr="00945DF6">
        <w:rPr>
          <w:rFonts w:hAnsi="宋体" w:hint="eastAsia"/>
          <w:kern w:val="0"/>
          <w:sz w:val="24"/>
        </w:rPr>
        <w:t>5</w:t>
      </w:r>
      <w:r w:rsidRPr="00945DF6">
        <w:rPr>
          <w:rFonts w:hAnsi="宋体" w:hint="eastAsia"/>
          <w:kern w:val="0"/>
          <w:sz w:val="24"/>
        </w:rPr>
        <w:t>、本基金为基金中基金，由于本基金所持有的相当比例的基金暂停估值，导致基金管理人无法计算当日本基金资产净值；或者由于本基金持有的相当比例的基金份额拒绝或暂停赎回、暂停上市或二级市场交易停牌、延期办理赎回、延期支付赎回款项，或其他可能对本基金业绩产生负面影响的情形，本基金可能暂停赎回或延缓支付赎回款项。</w:t>
      </w:r>
    </w:p>
    <w:p w14:paraId="031404CB" w14:textId="77777777" w:rsidR="00945DF6" w:rsidRPr="00945DF6" w:rsidRDefault="00945DF6" w:rsidP="00945DF6">
      <w:pPr>
        <w:widowControl/>
        <w:adjustRightInd w:val="0"/>
        <w:snapToGrid w:val="0"/>
        <w:spacing w:line="360" w:lineRule="auto"/>
        <w:ind w:firstLineChars="200" w:firstLine="480"/>
        <w:rPr>
          <w:rFonts w:hAnsi="宋体"/>
          <w:kern w:val="0"/>
          <w:sz w:val="24"/>
        </w:rPr>
      </w:pPr>
      <w:r w:rsidRPr="00945DF6">
        <w:rPr>
          <w:rFonts w:hAnsi="宋体" w:hint="eastAsia"/>
          <w:kern w:val="0"/>
          <w:sz w:val="24"/>
        </w:rPr>
        <w:t>6</w:t>
      </w:r>
      <w:r w:rsidRPr="00945DF6">
        <w:rPr>
          <w:rFonts w:hAnsi="宋体" w:hint="eastAsia"/>
          <w:kern w:val="0"/>
          <w:sz w:val="24"/>
        </w:rPr>
        <w:t>、本基金为基金中基金，本基金管理人运用本基金的基金财产申购自身管理的基金的（</w:t>
      </w:r>
      <w:r w:rsidRPr="00945DF6">
        <w:rPr>
          <w:rFonts w:hAnsi="宋体" w:hint="eastAsia"/>
          <w:kern w:val="0"/>
          <w:sz w:val="24"/>
        </w:rPr>
        <w:t>ETF</w:t>
      </w:r>
      <w:r w:rsidRPr="00945DF6">
        <w:rPr>
          <w:rFonts w:hAnsi="宋体" w:hint="eastAsia"/>
          <w:kern w:val="0"/>
          <w:sz w:val="24"/>
        </w:rPr>
        <w:t>除外），应当通过直销渠道申购且不得收取申购费、赎回费（按照相关法规、基金招募说明书约定应当收取，并计入基金财产的赎回费用除外）、销售服务费（如有）等销售费用。但如果本基金管理人运用本基金的基金财产申购非自身管理的基金的，将会承担本基金以及本基金所投资或持有基金份额的相关费用，本基金对上述费用的支付将对收益水平造成影响。</w:t>
      </w:r>
    </w:p>
    <w:p w14:paraId="32089924" w14:textId="77777777" w:rsidR="007643E7" w:rsidRPr="00EB753F" w:rsidRDefault="00945DF6" w:rsidP="007643E7">
      <w:pPr>
        <w:snapToGrid w:val="0"/>
        <w:spacing w:line="360" w:lineRule="auto"/>
        <w:ind w:firstLineChars="200" w:firstLine="480"/>
        <w:rPr>
          <w:rFonts w:hAnsi="宋体"/>
          <w:sz w:val="24"/>
        </w:rPr>
      </w:pPr>
      <w:r w:rsidRPr="00945DF6">
        <w:rPr>
          <w:rFonts w:hAnsi="宋体" w:hint="eastAsia"/>
          <w:kern w:val="0"/>
          <w:sz w:val="24"/>
        </w:rPr>
        <w:t>7</w:t>
      </w:r>
      <w:r w:rsidRPr="00945DF6">
        <w:rPr>
          <w:rFonts w:hAnsi="宋体" w:hint="eastAsia"/>
          <w:kern w:val="0"/>
          <w:sz w:val="24"/>
        </w:rPr>
        <w:t>、本基金为基金中基金，本基金可能投资于封闭运作基金、定期开放基金等流通受限基金。本基金投资流动受限基金将面临所投资基金的流动性风险，因此可能在本基金需要变现资产时，受流动性所限，本基金无法卖出所持有的流通受限基金，由此可能给基金净值带来不利影响或损失。</w:t>
      </w:r>
    </w:p>
    <w:p w14:paraId="0EE7D92B"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8</w:t>
      </w:r>
      <w:r w:rsidRPr="00945DF6">
        <w:rPr>
          <w:rFonts w:hAnsi="宋体" w:hint="eastAsia"/>
          <w:sz w:val="24"/>
        </w:rPr>
        <w:t>、本基金可投资港股通标的股票，会面临港股通机制下因投资环境、投资标的、市场制度以及交易规则等差异带来的特有风险，具体如下：</w:t>
      </w:r>
    </w:p>
    <w:p w14:paraId="6F82FDFE"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w:t>
      </w:r>
      <w:r w:rsidRPr="00945DF6">
        <w:rPr>
          <w:rFonts w:hAnsi="宋体" w:hint="eastAsia"/>
          <w:sz w:val="24"/>
        </w:rPr>
        <w:t>1</w:t>
      </w:r>
      <w:r w:rsidRPr="00945DF6">
        <w:rPr>
          <w:rFonts w:hAnsi="宋体" w:hint="eastAsia"/>
          <w:sz w:val="24"/>
        </w:rPr>
        <w:t>）港股交易失败风险</w:t>
      </w:r>
    </w:p>
    <w:p w14:paraId="0F56DC08"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港股通业务目前存在每日额度。在香港联合交易所开市前阶段，当日额度使用完毕的，新增的买单申报将面临失败的风险；在香港联合交易所持续交易</w:t>
      </w:r>
      <w:r w:rsidRPr="00945DF6">
        <w:rPr>
          <w:rFonts w:hAnsi="宋体" w:hint="eastAsia"/>
          <w:sz w:val="24"/>
        </w:rPr>
        <w:lastRenderedPageBreak/>
        <w:t>时段，当日额度使用完毕的，当日本基金将面临不能通过港股通进行买入交易的风险。</w:t>
      </w:r>
    </w:p>
    <w:p w14:paraId="1243E1F8"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w:t>
      </w:r>
      <w:r w:rsidRPr="00945DF6">
        <w:rPr>
          <w:rFonts w:hAnsi="宋体" w:hint="eastAsia"/>
          <w:sz w:val="24"/>
        </w:rPr>
        <w:t>2</w:t>
      </w:r>
      <w:r w:rsidRPr="00945DF6">
        <w:rPr>
          <w:rFonts w:hAnsi="宋体" w:hint="eastAsia"/>
          <w:sz w:val="24"/>
        </w:rPr>
        <w:t>）汇率风险</w:t>
      </w:r>
    </w:p>
    <w:p w14:paraId="5140B05F"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本基金将投资港股通标的股票，在交易时间内提交订单依据的港币买入参考汇率和卖出参考汇率，并不等于最终结算汇率。港股通交易日日终，中国证券登记结算有限责任公司进行净额换汇，将换汇成本按成交金额分摊至每笔交易，确定交易实际适用的结算汇率。</w:t>
      </w:r>
    </w:p>
    <w:p w14:paraId="39BB1F14"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本基金以人民币募集和计价，港币相对于人民币的汇率变化将会影响本基金以人民币计价的基金资产价值，从而导致基金资产面临潜在风险。人民币对港币的汇率的波动也可能加大基金净值的波动，从而对基金业绩产生影响。故本基金投资面临汇率风险，汇率波动可能对基金的投资收益造成损失。</w:t>
      </w:r>
    </w:p>
    <w:p w14:paraId="5AA411B0"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w:t>
      </w:r>
      <w:r w:rsidRPr="00945DF6">
        <w:rPr>
          <w:rFonts w:hAnsi="宋体" w:hint="eastAsia"/>
          <w:sz w:val="24"/>
        </w:rPr>
        <w:t>3</w:t>
      </w:r>
      <w:r w:rsidRPr="00945DF6">
        <w:rPr>
          <w:rFonts w:hAnsi="宋体" w:hint="eastAsia"/>
          <w:sz w:val="24"/>
        </w:rPr>
        <w:t>）境外市场的风险</w:t>
      </w:r>
    </w:p>
    <w:p w14:paraId="63477B74"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1</w:t>
      </w:r>
      <w:r w:rsidRPr="00945DF6">
        <w:rPr>
          <w:rFonts w:hAnsi="宋体" w:hint="eastAsia"/>
          <w:sz w:val="24"/>
        </w:rPr>
        <w:t>）本基金将通过港股通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48580E45"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2</w:t>
      </w:r>
      <w:r w:rsidRPr="00945DF6">
        <w:rPr>
          <w:rFonts w:hAnsi="宋体" w:hint="eastAsia"/>
          <w:sz w:val="24"/>
        </w:rPr>
        <w:t>）香港市场交易规则有别于内地</w:t>
      </w:r>
      <w:r w:rsidRPr="00945DF6">
        <w:rPr>
          <w:rFonts w:hAnsi="宋体" w:hint="eastAsia"/>
          <w:sz w:val="24"/>
        </w:rPr>
        <w:t>A</w:t>
      </w:r>
      <w:r w:rsidRPr="00945DF6">
        <w:rPr>
          <w:rFonts w:hAnsi="宋体" w:hint="eastAsia"/>
          <w:sz w:val="24"/>
        </w:rPr>
        <w:t>股市场规则，此外，在“内地与香港股票市场交易互联互通机制”下参与香港股票投资还将面临包括但不限于如下特殊风险：</w:t>
      </w:r>
    </w:p>
    <w:p w14:paraId="752853F1"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a</w:t>
      </w:r>
      <w:r w:rsidRPr="00945DF6">
        <w:rPr>
          <w:rFonts w:hAnsi="宋体" w:hint="eastAsia"/>
          <w:sz w:val="24"/>
        </w:rPr>
        <w:t>）香港市场实行</w:t>
      </w:r>
      <w:r w:rsidRPr="00945DF6">
        <w:rPr>
          <w:rFonts w:hAnsi="宋体" w:hint="eastAsia"/>
          <w:sz w:val="24"/>
        </w:rPr>
        <w:t>T+0</w:t>
      </w:r>
      <w:r w:rsidRPr="00945DF6">
        <w:rPr>
          <w:rFonts w:hAnsi="宋体" w:hint="eastAsia"/>
          <w:sz w:val="24"/>
        </w:rPr>
        <w:t>回转交易机制（即当日买入的股票，在交收前可以于当日卖出），且证券交易价格并无涨跌幅上下限的规定，因此每日涨跌幅空间相对较大，可能表现出比</w:t>
      </w:r>
      <w:r w:rsidRPr="00945DF6">
        <w:rPr>
          <w:rFonts w:hAnsi="宋体" w:hint="eastAsia"/>
          <w:sz w:val="24"/>
        </w:rPr>
        <w:t>A</w:t>
      </w:r>
      <w:r w:rsidRPr="00945DF6">
        <w:rPr>
          <w:rFonts w:hAnsi="宋体" w:hint="eastAsia"/>
          <w:sz w:val="24"/>
        </w:rPr>
        <w:t>股更为剧烈的股价波动；</w:t>
      </w:r>
    </w:p>
    <w:p w14:paraId="27292D74"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b</w:t>
      </w:r>
      <w:r w:rsidRPr="00945DF6">
        <w:rPr>
          <w:rFonts w:hAnsi="宋体" w:hint="eastAsia"/>
          <w:sz w:val="24"/>
        </w:rPr>
        <w:t>）只有沪港深三地均为交易日且能够满足结算安排的交易日才为港股通交易日，存在港股通交易日不连贯的情形（如内地市场因放假等原因休市而香港市场照常交易或内地市场开市香港市场休市但港股通不能如常进行交易），而导致港股不能及时卖出带来一定的流动性风险；以及基金所持的港股组合在后续港股通交易日开市交易中集中体现市场反应而造成其价格波动骤然增大，进而导致本基金所持港股组合在资产估值上出现波动增大的风险；</w:t>
      </w:r>
    </w:p>
    <w:p w14:paraId="71C17A01"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c</w:t>
      </w:r>
      <w:r w:rsidRPr="00945DF6">
        <w:rPr>
          <w:rFonts w:hAnsi="宋体" w:hint="eastAsia"/>
          <w:sz w:val="24"/>
        </w:rPr>
        <w:t>）香港出现台风、黑色暴雨或者香港联合交易所规定的其他情形时，香港联合交易所将可能停市，投资者将面临在停市期间无法进行港股通交易的风险；</w:t>
      </w:r>
      <w:r w:rsidRPr="00945DF6">
        <w:rPr>
          <w:rFonts w:hAnsi="宋体" w:hint="eastAsia"/>
          <w:sz w:val="24"/>
        </w:rPr>
        <w:lastRenderedPageBreak/>
        <w:t>出现上海证券交易所及深圳证券交易所证券交易服务公司认定的交易异常情况时，上海证券交易所及深圳证券交易所证券交易服务公司将可能暂停提供部分或者全部港股通服务，投资者将面临在暂停服务期间无法进行港股通交易的风险；</w:t>
      </w:r>
    </w:p>
    <w:p w14:paraId="2672616A"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d</w:t>
      </w:r>
      <w:r w:rsidRPr="00945DF6">
        <w:rPr>
          <w:rFonts w:hAnsi="宋体" w:hint="eastAsia"/>
          <w:sz w:val="24"/>
        </w:rPr>
        <w:t>）投资者因港股通股票权益分派、转换、上市公司被收购等情形或者异常情况，所取得的港股通股票以外的香港联合交易所上市证券，只能通过港股通卖出，但不得买入，上海证券交易所及深圳证券交易所另有规定的除外；因港股通股票发行人供股、港股通股票权益分派或者转换等情形取得的香港联合交易所上市股票的认购权利凭证在香港联合交易所上市的，可以通过港股通卖出，但不得买入，其行权等事宜按照中国证监会、中国证券登记结算有限责任公司的相关规定处理；因港股通股票权益分派、转换或者上市公司被收购等所取得的非香港联合交易所上市证券，不得通过港股通买入或卖出；</w:t>
      </w:r>
    </w:p>
    <w:p w14:paraId="0D0FEC76" w14:textId="77777777" w:rsidR="00945DF6" w:rsidRPr="00945DF6" w:rsidRDefault="00945DF6" w:rsidP="00945DF6">
      <w:pPr>
        <w:snapToGrid w:val="0"/>
        <w:spacing w:line="360" w:lineRule="auto"/>
        <w:ind w:firstLineChars="200" w:firstLine="480"/>
        <w:rPr>
          <w:rFonts w:hAnsi="宋体"/>
          <w:sz w:val="24"/>
        </w:rPr>
      </w:pPr>
      <w:r w:rsidRPr="00945DF6">
        <w:rPr>
          <w:rFonts w:hAnsi="宋体" w:hint="eastAsia"/>
          <w:sz w:val="24"/>
        </w:rPr>
        <w:t>e</w:t>
      </w:r>
      <w:r w:rsidRPr="00945DF6">
        <w:rPr>
          <w:rFonts w:hAnsi="宋体" w:hint="eastAsia"/>
          <w:sz w:val="24"/>
        </w:rPr>
        <w:t>）代理投票。由于中国证券登记结算有限责任公司是在汇总投资者意愿后再向香港中央结算有限公司提交投票意愿，中国证券登记结算有限责任公司对投资者设定的意愿征集期比香港中央结算有限公司的征集期稍早结束；投票没有权益登记日的，以投票截止日的持有作为计算基准；投票数量超出持有数量的，按照比例分配持有基数。</w:t>
      </w:r>
    </w:p>
    <w:p w14:paraId="36EF3340" w14:textId="77777777" w:rsidR="007643E7" w:rsidRDefault="00945DF6" w:rsidP="007643E7">
      <w:pPr>
        <w:widowControl/>
        <w:adjustRightInd w:val="0"/>
        <w:snapToGrid w:val="0"/>
        <w:spacing w:line="360" w:lineRule="auto"/>
        <w:ind w:firstLineChars="200" w:firstLine="480"/>
        <w:rPr>
          <w:rFonts w:hAnsi="宋体"/>
          <w:sz w:val="24"/>
        </w:rPr>
      </w:pPr>
      <w:r w:rsidRPr="00945DF6">
        <w:rPr>
          <w:rFonts w:hAnsi="宋体" w:hint="eastAsia"/>
          <w:sz w:val="24"/>
        </w:rPr>
        <w:t>（</w:t>
      </w:r>
      <w:r w:rsidRPr="00945DF6">
        <w:rPr>
          <w:rFonts w:hAnsi="宋体" w:hint="eastAsia"/>
          <w:sz w:val="24"/>
        </w:rPr>
        <w:t>4</w:t>
      </w:r>
      <w:r w:rsidRPr="00945DF6">
        <w:rPr>
          <w:rFonts w:hAnsi="宋体" w:hint="eastAsia"/>
          <w:sz w:val="24"/>
        </w:rPr>
        <w:t>）本基金可根据投资策略需要或不同配置地市场环境的变化，选择将部分基金资产投资于港股或选择不将基金资产投资于港股，基金资产并非必然投资港股。</w:t>
      </w:r>
    </w:p>
    <w:p w14:paraId="0CC4E361" w14:textId="1FCA9876" w:rsidR="000B37C5" w:rsidRDefault="000B37C5" w:rsidP="007643E7">
      <w:pPr>
        <w:widowControl/>
        <w:adjustRightInd w:val="0"/>
        <w:snapToGrid w:val="0"/>
        <w:spacing w:line="360" w:lineRule="auto"/>
        <w:ind w:firstLineChars="200" w:firstLine="482"/>
        <w:rPr>
          <w:rFonts w:hAnsi="宋体"/>
          <w:sz w:val="24"/>
        </w:rPr>
      </w:pPr>
      <w:r w:rsidRPr="000B37C5">
        <w:rPr>
          <w:rFonts w:hAnsi="宋体" w:hint="eastAsia"/>
          <w:b/>
          <w:sz w:val="24"/>
        </w:rPr>
        <w:t>（三</w:t>
      </w:r>
      <w:r w:rsidRPr="000B37C5">
        <w:rPr>
          <w:rFonts w:hAnsi="宋体"/>
          <w:b/>
          <w:sz w:val="24"/>
        </w:rPr>
        <w:t>）</w:t>
      </w:r>
      <w:r w:rsidRPr="000B37C5">
        <w:rPr>
          <w:rFonts w:hAnsi="宋体" w:hint="eastAsia"/>
          <w:sz w:val="24"/>
        </w:rPr>
        <w:t>本基金的</w:t>
      </w:r>
      <w:r w:rsidRPr="000B37C5">
        <w:rPr>
          <w:rFonts w:hAnsi="宋体" w:hint="eastAsia"/>
          <w:sz w:val="24"/>
        </w:rPr>
        <w:t>Y</w:t>
      </w:r>
      <w:r w:rsidRPr="000B37C5">
        <w:rPr>
          <w:rFonts w:hAnsi="宋体" w:hint="eastAsia"/>
          <w:sz w:val="24"/>
        </w:rPr>
        <w:t>类基金份额为针对个人养老金投资基金业务设立的单独的基金份额类别，投资者仅能通过个人养老金资金账户购买</w:t>
      </w:r>
      <w:r w:rsidRPr="000B37C5">
        <w:rPr>
          <w:rFonts w:hAnsi="宋体" w:hint="eastAsia"/>
          <w:sz w:val="24"/>
        </w:rPr>
        <w:t>Y</w:t>
      </w:r>
      <w:r w:rsidRPr="000B37C5">
        <w:rPr>
          <w:rFonts w:hAnsi="宋体" w:hint="eastAsia"/>
          <w:sz w:val="24"/>
        </w:rPr>
        <w:t>类基金份额参与个人养老金投资基金业务。根据个人养老金账户要求，个人养老金投资基金的基金份额申购赎回等款项将在个人养老金账户内流转，投资者未达到领取基本养老金年龄或者政策规定的其他领取条件时不可领取个人养老金。具体业务规则请关注基金管理人届时发布的相关公告。</w:t>
      </w:r>
    </w:p>
    <w:p w14:paraId="324DD785" w14:textId="008EEEF0" w:rsidR="0086424F" w:rsidRPr="00A20473" w:rsidRDefault="007643E7" w:rsidP="0086424F">
      <w:pPr>
        <w:widowControl/>
        <w:adjustRightInd w:val="0"/>
        <w:snapToGrid w:val="0"/>
        <w:spacing w:line="360" w:lineRule="auto"/>
        <w:ind w:firstLineChars="200" w:firstLine="482"/>
        <w:rPr>
          <w:kern w:val="0"/>
          <w:sz w:val="24"/>
        </w:rPr>
      </w:pPr>
      <w:r w:rsidRPr="007643E7">
        <w:rPr>
          <w:rFonts w:hAnsi="宋体" w:hint="eastAsia"/>
          <w:b/>
          <w:kern w:val="0"/>
          <w:sz w:val="24"/>
        </w:rPr>
        <w:t>本风险揭示书未尽事宜</w:t>
      </w:r>
      <w:r w:rsidRPr="007643E7">
        <w:rPr>
          <w:rFonts w:hAnsi="宋体"/>
          <w:b/>
          <w:kern w:val="0"/>
          <w:sz w:val="24"/>
        </w:rPr>
        <w:t>，</w:t>
      </w:r>
      <w:r w:rsidRPr="007643E7">
        <w:rPr>
          <w:rFonts w:hAnsi="宋体" w:hint="eastAsia"/>
          <w:b/>
          <w:kern w:val="0"/>
          <w:sz w:val="24"/>
        </w:rPr>
        <w:t>详</w:t>
      </w:r>
      <w:r w:rsidRPr="007643E7">
        <w:rPr>
          <w:rFonts w:hint="eastAsia"/>
          <w:b/>
          <w:kern w:val="0"/>
          <w:sz w:val="24"/>
        </w:rPr>
        <w:t>见</w:t>
      </w:r>
      <w:r w:rsidRPr="007643E7">
        <w:rPr>
          <w:b/>
          <w:kern w:val="0"/>
          <w:sz w:val="24"/>
        </w:rPr>
        <w:t>本基金</w:t>
      </w:r>
      <w:r w:rsidRPr="007643E7">
        <w:rPr>
          <w:rFonts w:hint="eastAsia"/>
          <w:b/>
          <w:kern w:val="0"/>
          <w:sz w:val="24"/>
        </w:rPr>
        <w:t>《</w:t>
      </w:r>
      <w:r w:rsidRPr="007643E7">
        <w:rPr>
          <w:b/>
          <w:kern w:val="0"/>
          <w:sz w:val="24"/>
        </w:rPr>
        <w:t>招募说明书</w:t>
      </w:r>
      <w:r w:rsidRPr="007643E7">
        <w:rPr>
          <w:rFonts w:hint="eastAsia"/>
          <w:b/>
          <w:kern w:val="0"/>
          <w:sz w:val="24"/>
        </w:rPr>
        <w:t>》</w:t>
      </w:r>
      <w:r>
        <w:rPr>
          <w:kern w:val="0"/>
          <w:sz w:val="24"/>
        </w:rPr>
        <w:t>。</w:t>
      </w:r>
      <w:r w:rsidR="0086424F" w:rsidRPr="00A72F92">
        <w:rPr>
          <w:rFonts w:hAnsi="宋体" w:hint="eastAsia"/>
          <w:b/>
          <w:kern w:val="0"/>
          <w:sz w:val="24"/>
        </w:rPr>
        <w:t>本风险揭示书的揭示事项仅为列举性质，未能详尽列明投资者投资本基金所面临的全部风险和可能导致损失的所有因素。</w:t>
      </w:r>
      <w:r w:rsidR="0086424F" w:rsidRPr="00B22C10">
        <w:rPr>
          <w:rFonts w:hAnsi="宋体" w:hint="eastAsia"/>
          <w:b/>
          <w:kern w:val="0"/>
          <w:sz w:val="24"/>
        </w:rPr>
        <w:t>基金管理人承诺以诚实信用、勤勉尽责的原则管理和运</w:t>
      </w:r>
      <w:r w:rsidR="0086424F" w:rsidRPr="00B22C10">
        <w:rPr>
          <w:rFonts w:hAnsi="宋体" w:hint="eastAsia"/>
          <w:b/>
          <w:kern w:val="0"/>
          <w:sz w:val="24"/>
        </w:rPr>
        <w:lastRenderedPageBreak/>
        <w:t>用基金资产，但不保证本基金一定盈利，也不保证最低收益。基金管理人管理的其他基金的业绩不构成对本基金业绩表现的保证。</w:t>
      </w:r>
    </w:p>
    <w:p w14:paraId="6F51D452" w14:textId="77777777" w:rsidR="0086424F" w:rsidRDefault="0086424F" w:rsidP="0086424F">
      <w:pPr>
        <w:widowControl/>
        <w:adjustRightInd w:val="0"/>
        <w:snapToGrid w:val="0"/>
        <w:spacing w:line="360" w:lineRule="auto"/>
        <w:ind w:firstLineChars="200" w:firstLine="482"/>
        <w:rPr>
          <w:rFonts w:hAnsi="宋体"/>
          <w:b/>
          <w:kern w:val="0"/>
          <w:sz w:val="24"/>
        </w:rPr>
      </w:pPr>
      <w:r w:rsidRPr="0064506F">
        <w:rPr>
          <w:rFonts w:hAnsi="宋体" w:hint="eastAsia"/>
          <w:b/>
          <w:kern w:val="0"/>
          <w:sz w:val="24"/>
        </w:rPr>
        <w:t>投资人</w:t>
      </w:r>
      <w:r>
        <w:rPr>
          <w:rFonts w:hAnsi="宋体" w:hint="eastAsia"/>
          <w:b/>
          <w:kern w:val="0"/>
          <w:sz w:val="24"/>
        </w:rPr>
        <w:t>在投资本基金前，</w:t>
      </w:r>
      <w:r w:rsidRPr="0064506F">
        <w:rPr>
          <w:rFonts w:hAnsi="宋体" w:hint="eastAsia"/>
          <w:b/>
          <w:kern w:val="0"/>
          <w:sz w:val="24"/>
        </w:rPr>
        <w:t>应当认真阅读《基金合同》、《招募说明书》、</w:t>
      </w:r>
      <w:r>
        <w:rPr>
          <w:rFonts w:hAnsi="宋体" w:hint="eastAsia"/>
          <w:b/>
          <w:kern w:val="0"/>
          <w:sz w:val="24"/>
        </w:rPr>
        <w:t>《</w:t>
      </w:r>
      <w:r w:rsidRPr="0064506F">
        <w:rPr>
          <w:rFonts w:hAnsi="宋体" w:hint="eastAsia"/>
          <w:b/>
          <w:kern w:val="0"/>
          <w:sz w:val="24"/>
        </w:rPr>
        <w:t>基金产品资料概要</w:t>
      </w:r>
      <w:r>
        <w:rPr>
          <w:rFonts w:hAnsi="宋体" w:hint="eastAsia"/>
          <w:b/>
          <w:kern w:val="0"/>
          <w:sz w:val="24"/>
        </w:rPr>
        <w:t>》</w:t>
      </w:r>
      <w:r w:rsidRPr="0064506F">
        <w:rPr>
          <w:rFonts w:hAnsi="宋体" w:hint="eastAsia"/>
          <w:b/>
          <w:kern w:val="0"/>
          <w:sz w:val="24"/>
        </w:rPr>
        <w:t>等基金法律文件，了解</w:t>
      </w:r>
      <w:r>
        <w:rPr>
          <w:rFonts w:hAnsi="宋体" w:hint="eastAsia"/>
          <w:b/>
          <w:kern w:val="0"/>
          <w:sz w:val="24"/>
        </w:rPr>
        <w:t>本</w:t>
      </w:r>
      <w:r w:rsidRPr="0064506F">
        <w:rPr>
          <w:rFonts w:hAnsi="宋体" w:hint="eastAsia"/>
          <w:b/>
          <w:kern w:val="0"/>
          <w:sz w:val="24"/>
        </w:rPr>
        <w:t>基金的</w:t>
      </w:r>
      <w:r>
        <w:rPr>
          <w:rFonts w:hAnsi="宋体" w:hint="eastAsia"/>
          <w:b/>
          <w:kern w:val="0"/>
          <w:sz w:val="24"/>
        </w:rPr>
        <w:t>产品</w:t>
      </w:r>
      <w:r w:rsidRPr="0064506F">
        <w:rPr>
          <w:rFonts w:hAnsi="宋体" w:hint="eastAsia"/>
          <w:b/>
          <w:kern w:val="0"/>
          <w:sz w:val="24"/>
        </w:rPr>
        <w:t>特征，并根据自身的投资目的、投资期限、投资经验、资产状况等判断</w:t>
      </w:r>
      <w:r>
        <w:rPr>
          <w:rFonts w:hAnsi="宋体" w:hint="eastAsia"/>
          <w:b/>
          <w:kern w:val="0"/>
          <w:sz w:val="24"/>
        </w:rPr>
        <w:t>本</w:t>
      </w:r>
      <w:r w:rsidRPr="0064506F">
        <w:rPr>
          <w:rFonts w:hAnsi="宋体" w:hint="eastAsia"/>
          <w:b/>
          <w:kern w:val="0"/>
          <w:sz w:val="24"/>
        </w:rPr>
        <w:t>基金是否和投资人的风险承受能力相适应。</w:t>
      </w:r>
      <w:r w:rsidRPr="006220A2">
        <w:rPr>
          <w:rFonts w:hAnsi="宋体" w:hint="eastAsia"/>
          <w:b/>
          <w:kern w:val="0"/>
          <w:sz w:val="24"/>
        </w:rPr>
        <w:t>基金管理人提醒投资人基金投资的“买者自负”原则，在做出投资决策后，基金运营状况与基金净值变化引致的投资风险，由投资人自行负担。</w:t>
      </w:r>
    </w:p>
    <w:p w14:paraId="314B37D0" w14:textId="77777777" w:rsidR="0086424F" w:rsidRDefault="0086424F" w:rsidP="0086424F">
      <w:pPr>
        <w:widowControl/>
        <w:adjustRightInd w:val="0"/>
        <w:snapToGrid w:val="0"/>
        <w:spacing w:line="360" w:lineRule="auto"/>
        <w:ind w:firstLineChars="200" w:firstLine="482"/>
        <w:rPr>
          <w:rFonts w:hAnsi="宋体"/>
          <w:b/>
          <w:kern w:val="0"/>
          <w:sz w:val="24"/>
        </w:rPr>
      </w:pPr>
    </w:p>
    <w:p w14:paraId="2DA9014D" w14:textId="77777777" w:rsidR="0086424F" w:rsidRDefault="0086424F" w:rsidP="0086424F">
      <w:pPr>
        <w:widowControl/>
        <w:adjustRightInd w:val="0"/>
        <w:snapToGrid w:val="0"/>
        <w:spacing w:line="360" w:lineRule="auto"/>
        <w:ind w:firstLineChars="200" w:firstLine="482"/>
        <w:rPr>
          <w:rFonts w:hAnsi="宋体"/>
          <w:b/>
          <w:kern w:val="0"/>
          <w:sz w:val="24"/>
        </w:rPr>
      </w:pPr>
    </w:p>
    <w:p w14:paraId="47A3BF8A" w14:textId="77777777" w:rsidR="0086424F" w:rsidRDefault="0086424F" w:rsidP="0086424F">
      <w:pPr>
        <w:widowControl/>
        <w:adjustRightInd w:val="0"/>
        <w:snapToGrid w:val="0"/>
        <w:spacing w:line="360" w:lineRule="auto"/>
        <w:ind w:firstLineChars="200" w:firstLine="482"/>
        <w:rPr>
          <w:rFonts w:hAnsi="宋体"/>
          <w:b/>
          <w:kern w:val="0"/>
          <w:sz w:val="24"/>
        </w:rPr>
      </w:pPr>
    </w:p>
    <w:p w14:paraId="6FF7DF6E" w14:textId="4C1F67F0" w:rsidR="0086424F" w:rsidRDefault="0086424F" w:rsidP="0086424F">
      <w:pPr>
        <w:widowControl/>
        <w:adjustRightInd w:val="0"/>
        <w:snapToGrid w:val="0"/>
        <w:spacing w:line="360" w:lineRule="auto"/>
        <w:ind w:firstLineChars="200" w:firstLine="482"/>
        <w:rPr>
          <w:rFonts w:hAnsi="宋体"/>
          <w:b/>
          <w:kern w:val="0"/>
          <w:sz w:val="24"/>
        </w:rPr>
      </w:pPr>
      <w:r w:rsidRPr="0040084E">
        <w:rPr>
          <w:rFonts w:hAnsi="宋体" w:hint="eastAsia"/>
          <w:b/>
          <w:kern w:val="0"/>
          <w:sz w:val="24"/>
        </w:rPr>
        <w:t>本人</w:t>
      </w:r>
      <w:r w:rsidRPr="0040084E">
        <w:rPr>
          <w:rFonts w:hAnsi="宋体" w:hint="eastAsia"/>
          <w:b/>
          <w:kern w:val="0"/>
          <w:sz w:val="24"/>
        </w:rPr>
        <w:t>/</w:t>
      </w:r>
      <w:r w:rsidRPr="0040084E">
        <w:rPr>
          <w:rFonts w:hAnsi="宋体" w:hint="eastAsia"/>
          <w:b/>
          <w:kern w:val="0"/>
          <w:sz w:val="24"/>
        </w:rPr>
        <w:t>本机构已经阅读</w:t>
      </w:r>
      <w:r>
        <w:rPr>
          <w:rFonts w:hAnsi="宋体" w:hint="eastAsia"/>
          <w:b/>
          <w:kern w:val="0"/>
          <w:sz w:val="24"/>
        </w:rPr>
        <w:t>《</w:t>
      </w:r>
      <w:r w:rsidRPr="0086424F">
        <w:rPr>
          <w:rFonts w:hAnsi="宋体" w:hint="eastAsia"/>
          <w:b/>
          <w:kern w:val="0"/>
          <w:sz w:val="24"/>
        </w:rPr>
        <w:t>交银施罗德养老目标日期</w:t>
      </w:r>
      <w:r w:rsidRPr="0086424F">
        <w:rPr>
          <w:rFonts w:hAnsi="宋体" w:hint="eastAsia"/>
          <w:b/>
          <w:kern w:val="0"/>
          <w:sz w:val="24"/>
        </w:rPr>
        <w:t>2035</w:t>
      </w:r>
      <w:r w:rsidRPr="0086424F">
        <w:rPr>
          <w:rFonts w:hAnsi="宋体" w:hint="eastAsia"/>
          <w:b/>
          <w:kern w:val="0"/>
          <w:sz w:val="24"/>
        </w:rPr>
        <w:t>三年持有期混合型基金中基金（</w:t>
      </w:r>
      <w:r w:rsidRPr="0086424F">
        <w:rPr>
          <w:rFonts w:hAnsi="宋体" w:hint="eastAsia"/>
          <w:b/>
          <w:kern w:val="0"/>
          <w:sz w:val="24"/>
        </w:rPr>
        <w:t>FOF</w:t>
      </w:r>
      <w:r w:rsidRPr="0086424F">
        <w:rPr>
          <w:rFonts w:hAnsi="宋体" w:hint="eastAsia"/>
          <w:b/>
          <w:kern w:val="0"/>
          <w:sz w:val="24"/>
        </w:rPr>
        <w:t>）</w:t>
      </w:r>
      <w:r w:rsidRPr="0040084E">
        <w:rPr>
          <w:rFonts w:hAnsi="宋体" w:hint="eastAsia"/>
          <w:b/>
          <w:kern w:val="0"/>
          <w:sz w:val="24"/>
        </w:rPr>
        <w:t>风险揭示</w:t>
      </w:r>
      <w:r>
        <w:rPr>
          <w:rFonts w:hAnsi="宋体" w:hint="eastAsia"/>
          <w:b/>
          <w:kern w:val="0"/>
          <w:sz w:val="24"/>
        </w:rPr>
        <w:t>书》</w:t>
      </w:r>
      <w:r w:rsidRPr="0040084E">
        <w:rPr>
          <w:rFonts w:hAnsi="宋体" w:hint="eastAsia"/>
          <w:b/>
          <w:kern w:val="0"/>
          <w:sz w:val="24"/>
        </w:rPr>
        <w:t>并完全理解</w:t>
      </w:r>
      <w:r>
        <w:rPr>
          <w:rFonts w:hAnsi="宋体" w:hint="eastAsia"/>
          <w:b/>
          <w:kern w:val="0"/>
          <w:sz w:val="24"/>
        </w:rPr>
        <w:t>其</w:t>
      </w:r>
      <w:r w:rsidRPr="0040084E">
        <w:rPr>
          <w:rFonts w:hAnsi="宋体" w:hint="eastAsia"/>
          <w:b/>
          <w:kern w:val="0"/>
          <w:sz w:val="24"/>
        </w:rPr>
        <w:t>内容，</w:t>
      </w:r>
      <w:r>
        <w:rPr>
          <w:rFonts w:hAnsi="宋体" w:hint="eastAsia"/>
          <w:b/>
          <w:kern w:val="0"/>
          <w:sz w:val="24"/>
        </w:rPr>
        <w:t>已</w:t>
      </w:r>
      <w:r w:rsidRPr="0040084E">
        <w:rPr>
          <w:rFonts w:hAnsi="宋体" w:hint="eastAsia"/>
          <w:b/>
          <w:kern w:val="0"/>
          <w:sz w:val="24"/>
        </w:rPr>
        <w:t>充分了解</w:t>
      </w:r>
      <w:r w:rsidRPr="0086424F">
        <w:rPr>
          <w:rFonts w:hAnsi="宋体" w:hint="eastAsia"/>
          <w:b/>
          <w:kern w:val="0"/>
          <w:sz w:val="24"/>
        </w:rPr>
        <w:t>交银施罗德养老目标日期</w:t>
      </w:r>
      <w:r w:rsidRPr="0086424F">
        <w:rPr>
          <w:rFonts w:hAnsi="宋体" w:hint="eastAsia"/>
          <w:b/>
          <w:kern w:val="0"/>
          <w:sz w:val="24"/>
        </w:rPr>
        <w:t>2035</w:t>
      </w:r>
      <w:r w:rsidRPr="0086424F">
        <w:rPr>
          <w:rFonts w:hAnsi="宋体" w:hint="eastAsia"/>
          <w:b/>
          <w:kern w:val="0"/>
          <w:sz w:val="24"/>
        </w:rPr>
        <w:t>三年持有期混合型基金中基金（</w:t>
      </w:r>
      <w:r w:rsidRPr="0086424F">
        <w:rPr>
          <w:rFonts w:hAnsi="宋体" w:hint="eastAsia"/>
          <w:b/>
          <w:kern w:val="0"/>
          <w:sz w:val="24"/>
        </w:rPr>
        <w:t>FOF</w:t>
      </w:r>
      <w:r w:rsidRPr="0086424F">
        <w:rPr>
          <w:rFonts w:hAnsi="宋体" w:hint="eastAsia"/>
          <w:b/>
          <w:kern w:val="0"/>
          <w:sz w:val="24"/>
        </w:rPr>
        <w:t>）</w:t>
      </w:r>
      <w:r>
        <w:rPr>
          <w:rFonts w:hAnsi="宋体" w:hint="eastAsia"/>
          <w:b/>
          <w:kern w:val="0"/>
          <w:sz w:val="24"/>
        </w:rPr>
        <w:t>的产品特征和</w:t>
      </w:r>
      <w:r w:rsidRPr="0040084E">
        <w:rPr>
          <w:rFonts w:hAnsi="宋体" w:hint="eastAsia"/>
          <w:b/>
          <w:kern w:val="0"/>
          <w:sz w:val="24"/>
        </w:rPr>
        <w:t>可能面临的风险。</w:t>
      </w:r>
    </w:p>
    <w:p w14:paraId="1343780C" w14:textId="77777777" w:rsidR="0086424F" w:rsidRPr="00B22C10" w:rsidRDefault="0086424F" w:rsidP="0086424F">
      <w:pPr>
        <w:widowControl/>
        <w:adjustRightInd w:val="0"/>
        <w:snapToGrid w:val="0"/>
        <w:spacing w:line="360" w:lineRule="auto"/>
        <w:ind w:firstLineChars="1500" w:firstLine="3614"/>
        <w:rPr>
          <w:rFonts w:hAnsi="宋体"/>
          <w:b/>
          <w:kern w:val="0"/>
          <w:sz w:val="24"/>
        </w:rPr>
      </w:pPr>
      <w:r>
        <w:rPr>
          <w:rFonts w:hAnsi="宋体" w:hint="eastAsia"/>
          <w:b/>
          <w:kern w:val="0"/>
          <w:sz w:val="24"/>
        </w:rPr>
        <w:t>投资人签字</w:t>
      </w:r>
      <w:r>
        <w:rPr>
          <w:rFonts w:hAnsi="宋体" w:hint="eastAsia"/>
          <w:b/>
          <w:kern w:val="0"/>
          <w:sz w:val="24"/>
        </w:rPr>
        <w:t>/</w:t>
      </w:r>
      <w:r>
        <w:rPr>
          <w:rFonts w:hAnsi="宋体" w:hint="eastAsia"/>
          <w:b/>
          <w:kern w:val="0"/>
          <w:sz w:val="24"/>
        </w:rPr>
        <w:t>盖章：</w:t>
      </w:r>
      <w:r>
        <w:rPr>
          <w:rFonts w:hAnsi="宋体" w:hint="eastAsia"/>
          <w:b/>
          <w:kern w:val="0"/>
          <w:sz w:val="24"/>
        </w:rPr>
        <w:t xml:space="preserve"> </w:t>
      </w:r>
      <w:r>
        <w:rPr>
          <w:rFonts w:hAnsi="宋体"/>
          <w:b/>
          <w:kern w:val="0"/>
          <w:sz w:val="24"/>
        </w:rPr>
        <w:t xml:space="preserve"> </w:t>
      </w:r>
    </w:p>
    <w:p w14:paraId="33ECC253" w14:textId="77777777" w:rsidR="0086424F" w:rsidRPr="007643E7" w:rsidRDefault="0086424F" w:rsidP="007643E7">
      <w:pPr>
        <w:widowControl/>
        <w:adjustRightInd w:val="0"/>
        <w:snapToGrid w:val="0"/>
        <w:spacing w:line="360" w:lineRule="auto"/>
        <w:ind w:firstLineChars="200" w:firstLine="592"/>
        <w:rPr>
          <w:rFonts w:ascii="仿宋_GB2312" w:eastAsia="仿宋_GB2312"/>
          <w:spacing w:val="8"/>
          <w:sz w:val="28"/>
          <w:szCs w:val="28"/>
        </w:rPr>
      </w:pPr>
    </w:p>
    <w:sectPr w:rsidR="0086424F" w:rsidRPr="007643E7" w:rsidSect="00197EC7">
      <w:headerReference w:type="default" r:id="rId8"/>
      <w:footerReference w:type="default" r:id="rId9"/>
      <w:pgSz w:w="11906" w:h="16838" w:code="9"/>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EA07E" w14:textId="77777777" w:rsidR="008B0A17" w:rsidRDefault="008B0A17">
      <w:r>
        <w:separator/>
      </w:r>
    </w:p>
  </w:endnote>
  <w:endnote w:type="continuationSeparator" w:id="0">
    <w:p w14:paraId="1C7D6213" w14:textId="77777777" w:rsidR="008B0A17" w:rsidRDefault="008B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F6DC6" w14:textId="192B98BC" w:rsidR="0077075D" w:rsidRPr="004E5884" w:rsidRDefault="00637F1F" w:rsidP="004E5884">
    <w:pPr>
      <w:pStyle w:val="a8"/>
      <w:jc w:val="center"/>
    </w:pPr>
    <w:r>
      <w:rPr>
        <w:rStyle w:val="a9"/>
      </w:rPr>
      <w:fldChar w:fldCharType="begin"/>
    </w:r>
    <w:r w:rsidR="0077075D">
      <w:rPr>
        <w:rStyle w:val="a9"/>
      </w:rPr>
      <w:instrText xml:space="preserve"> PAGE </w:instrText>
    </w:r>
    <w:r>
      <w:rPr>
        <w:rStyle w:val="a9"/>
      </w:rPr>
      <w:fldChar w:fldCharType="separate"/>
    </w:r>
    <w:r w:rsidR="00DF7176">
      <w:rPr>
        <w:rStyle w:val="a9"/>
        <w:noProof/>
      </w:rPr>
      <w:t>9</w:t>
    </w:r>
    <w:r>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CF857" w14:textId="77777777" w:rsidR="008B0A17" w:rsidRDefault="008B0A17">
      <w:r>
        <w:separator/>
      </w:r>
    </w:p>
  </w:footnote>
  <w:footnote w:type="continuationSeparator" w:id="0">
    <w:p w14:paraId="5C3561AB" w14:textId="77777777" w:rsidR="008B0A17" w:rsidRDefault="008B0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5ABFF" w14:textId="77777777" w:rsidR="00143CBC" w:rsidRDefault="00356C10" w:rsidP="00864181">
    <w:pPr>
      <w:pStyle w:val="aa"/>
      <w:jc w:val="right"/>
    </w:pPr>
    <w:r>
      <w:rPr>
        <w:rFonts w:hint="eastAsia"/>
        <w:noProof/>
      </w:rPr>
      <w:drawing>
        <wp:anchor distT="0" distB="0" distL="114300" distR="114300" simplePos="0" relativeHeight="251658752" behindDoc="0" locked="0" layoutInCell="1" allowOverlap="1" wp14:anchorId="1E6391F1" wp14:editId="6CE288D0">
          <wp:simplePos x="0" y="0"/>
          <wp:positionH relativeFrom="column">
            <wp:posOffset>11430</wp:posOffset>
          </wp:positionH>
          <wp:positionV relativeFrom="paragraph">
            <wp:posOffset>21590</wp:posOffset>
          </wp:positionV>
          <wp:extent cx="1828800" cy="238125"/>
          <wp:effectExtent l="19050" t="0" r="0" b="0"/>
          <wp:wrapNone/>
          <wp:docPr id="7"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srcRect/>
                  <a:stretch>
                    <a:fillRect/>
                  </a:stretch>
                </pic:blipFill>
                <pic:spPr bwMode="auto">
                  <a:xfrm>
                    <a:off x="0" y="0"/>
                    <a:ext cx="1828800" cy="238125"/>
                  </a:xfrm>
                  <a:prstGeom prst="rect">
                    <a:avLst/>
                  </a:prstGeom>
                  <a:noFill/>
                  <a:ln w="9525">
                    <a:noFill/>
                    <a:miter lim="800000"/>
                    <a:headEnd/>
                    <a:tailEnd/>
                  </a:ln>
                </pic:spPr>
              </pic:pic>
            </a:graphicData>
          </a:graphic>
        </wp:anchor>
      </w:drawing>
    </w:r>
    <w:r w:rsidR="00143CBC">
      <w:rPr>
        <w:rFonts w:hint="eastAsia"/>
      </w:rPr>
      <w:t>交银施罗德养老目标日期</w:t>
    </w:r>
    <w:r w:rsidR="00143CBC">
      <w:rPr>
        <w:rFonts w:hint="eastAsia"/>
      </w:rPr>
      <w:t>2035</w:t>
    </w:r>
    <w:r w:rsidR="00143CBC">
      <w:rPr>
        <w:rFonts w:hint="eastAsia"/>
      </w:rPr>
      <w:t>三年持有期</w:t>
    </w:r>
  </w:p>
  <w:p w14:paraId="0F2438FF" w14:textId="77777777" w:rsidR="00356C10" w:rsidRDefault="00143CBC" w:rsidP="00864181">
    <w:pPr>
      <w:pStyle w:val="aa"/>
      <w:jc w:val="right"/>
    </w:pPr>
    <w:r>
      <w:rPr>
        <w:rFonts w:hint="eastAsia"/>
      </w:rPr>
      <w:t>混合型基金中基金（</w:t>
    </w:r>
    <w:r>
      <w:rPr>
        <w:rFonts w:hint="eastAsia"/>
      </w:rPr>
      <w:t>FOF</w:t>
    </w:r>
    <w:r>
      <w:rPr>
        <w:rFonts w:hint="eastAsia"/>
      </w:rPr>
      <w:t>）</w:t>
    </w:r>
    <w:r w:rsidR="00864181" w:rsidRPr="00864181">
      <w:rPr>
        <w:rFonts w:hint="eastAsia"/>
      </w:rPr>
      <w:t>风险揭示书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2AFE"/>
    <w:multiLevelType w:val="hybridMultilevel"/>
    <w:tmpl w:val="CAF00678"/>
    <w:lvl w:ilvl="0" w:tplc="04090017">
      <w:start w:val="1"/>
      <w:numFmt w:val="chineseCountingThousand"/>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0ED3587F"/>
    <w:multiLevelType w:val="singleLevel"/>
    <w:tmpl w:val="43962A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6F46A3"/>
    <w:multiLevelType w:val="hybridMultilevel"/>
    <w:tmpl w:val="CAF0067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A6002E4"/>
    <w:multiLevelType w:val="hybridMultilevel"/>
    <w:tmpl w:val="2EE43E7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1AAC64A5"/>
    <w:multiLevelType w:val="hybridMultilevel"/>
    <w:tmpl w:val="9C8E9FEA"/>
    <w:lvl w:ilvl="0" w:tplc="5C549A84">
      <w:start w:val="1"/>
      <w:numFmt w:val="chineseCountingThousand"/>
      <w:pStyle w:val="2"/>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F541315"/>
    <w:multiLevelType w:val="hybridMultilevel"/>
    <w:tmpl w:val="CAF0067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BBA4C1D"/>
    <w:multiLevelType w:val="hybridMultilevel"/>
    <w:tmpl w:val="CAF0067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0EA45B6"/>
    <w:multiLevelType w:val="hybridMultilevel"/>
    <w:tmpl w:val="CAF0067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AF15D1B"/>
    <w:multiLevelType w:val="hybridMultilevel"/>
    <w:tmpl w:val="CAF0067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DCC6DBD"/>
    <w:multiLevelType w:val="hybridMultilevel"/>
    <w:tmpl w:val="85384FF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15:restartNumberingAfterBreak="0">
    <w:nsid w:val="46463390"/>
    <w:multiLevelType w:val="hybridMultilevel"/>
    <w:tmpl w:val="CAF0067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17F41C8"/>
    <w:multiLevelType w:val="hybridMultilevel"/>
    <w:tmpl w:val="763C38B2"/>
    <w:lvl w:ilvl="0" w:tplc="5818163E">
      <w:start w:val="1"/>
      <w:numFmt w:val="chineseCountingThousand"/>
      <w:lvlText w:val="%1、"/>
      <w:lvlJc w:val="left"/>
      <w:pPr>
        <w:tabs>
          <w:tab w:val="num" w:pos="420"/>
        </w:tabs>
        <w:ind w:left="420" w:hanging="420"/>
      </w:pPr>
    </w:lvl>
    <w:lvl w:ilvl="1" w:tplc="04090017">
      <w:start w:val="1"/>
      <w:numFmt w:val="chineseCountingThousand"/>
      <w:lvlText w:val="(%2)"/>
      <w:lvlJc w:val="left"/>
      <w:pPr>
        <w:tabs>
          <w:tab w:val="num" w:pos="840"/>
        </w:tabs>
        <w:ind w:left="840" w:hanging="420"/>
      </w:pPr>
    </w:lvl>
    <w:lvl w:ilvl="2" w:tplc="EFF06E94">
      <w:start w:val="1"/>
      <w:numFmt w:val="japaneseCounting"/>
      <w:lvlText w:val="（%3）"/>
      <w:lvlJc w:val="left"/>
      <w:pPr>
        <w:tabs>
          <w:tab w:val="num" w:pos="1695"/>
        </w:tabs>
        <w:ind w:left="1695" w:hanging="855"/>
      </w:pPr>
      <w:rPr>
        <w:rFonts w:hint="default"/>
      </w:rPr>
    </w:lvl>
    <w:lvl w:ilvl="3" w:tplc="370C3AB6">
      <w:start w:val="1"/>
      <w:numFmt w:val="decimal"/>
      <w:lvlText w:val="%4、"/>
      <w:lvlJc w:val="left"/>
      <w:pPr>
        <w:tabs>
          <w:tab w:val="num" w:pos="1620"/>
        </w:tabs>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76514F4"/>
    <w:multiLevelType w:val="hybridMultilevel"/>
    <w:tmpl w:val="CAF0067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5861BF8"/>
    <w:multiLevelType w:val="hybridMultilevel"/>
    <w:tmpl w:val="6F86EDAA"/>
    <w:lvl w:ilvl="0" w:tplc="0409000B">
      <w:start w:val="1"/>
      <w:numFmt w:val="bullet"/>
      <w:lvlText w:val=""/>
      <w:lvlJc w:val="left"/>
      <w:pPr>
        <w:ind w:left="1012" w:hanging="420"/>
      </w:pPr>
      <w:rPr>
        <w:rFonts w:ascii="Wingdings" w:hAnsi="Wingdings" w:hint="default"/>
      </w:r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14" w15:restartNumberingAfterBreak="0">
    <w:nsid w:val="705A019E"/>
    <w:multiLevelType w:val="hybridMultilevel"/>
    <w:tmpl w:val="FA1484E0"/>
    <w:lvl w:ilvl="0" w:tplc="327403B0">
      <w:start w:val="1"/>
      <w:numFmt w:val="bullet"/>
      <w:pStyle w:val="InfoBlue"/>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7A5092"/>
    <w:multiLevelType w:val="hybridMultilevel"/>
    <w:tmpl w:val="4F9EF25A"/>
    <w:lvl w:ilvl="0" w:tplc="0409000F">
      <w:start w:val="1"/>
      <w:numFmt w:val="decimal"/>
      <w:lvlText w:val="%1."/>
      <w:lvlJc w:val="left"/>
      <w:pPr>
        <w:ind w:left="1012" w:hanging="420"/>
      </w:p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16" w15:restartNumberingAfterBreak="0">
    <w:nsid w:val="742C1615"/>
    <w:multiLevelType w:val="hybridMultilevel"/>
    <w:tmpl w:val="CAF0067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9C1377C"/>
    <w:multiLevelType w:val="hybridMultilevel"/>
    <w:tmpl w:val="ABB272E8"/>
    <w:lvl w:ilvl="0" w:tplc="0409000B">
      <w:start w:val="1"/>
      <w:numFmt w:val="bullet"/>
      <w:lvlText w:val=""/>
      <w:lvlJc w:val="left"/>
      <w:pPr>
        <w:ind w:left="900" w:hanging="420"/>
      </w:pPr>
      <w:rPr>
        <w:rFonts w:ascii="Wingdings" w:hAnsi="Wingdings" w:hint="default"/>
      </w:rPr>
    </w:lvl>
    <w:lvl w:ilvl="1" w:tplc="0409000B">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4"/>
  </w:num>
  <w:num w:numId="2">
    <w:abstractNumId w:val="1"/>
  </w:num>
  <w:num w:numId="3">
    <w:abstractNumId w:val="11"/>
  </w:num>
  <w:num w:numId="4">
    <w:abstractNumId w:val="4"/>
  </w:num>
  <w:num w:numId="5">
    <w:abstractNumId w:val="16"/>
  </w:num>
  <w:num w:numId="6">
    <w:abstractNumId w:val="12"/>
  </w:num>
  <w:num w:numId="7">
    <w:abstractNumId w:val="7"/>
  </w:num>
  <w:num w:numId="8">
    <w:abstractNumId w:val="8"/>
  </w:num>
  <w:num w:numId="9">
    <w:abstractNumId w:val="0"/>
  </w:num>
  <w:num w:numId="10">
    <w:abstractNumId w:val="10"/>
  </w:num>
  <w:num w:numId="11">
    <w:abstractNumId w:val="2"/>
  </w:num>
  <w:num w:numId="12">
    <w:abstractNumId w:val="5"/>
  </w:num>
  <w:num w:numId="13">
    <w:abstractNumId w:val="6"/>
  </w:num>
  <w:num w:numId="14">
    <w:abstractNumId w:val="4"/>
    <w:lvlOverride w:ilvl="0">
      <w:startOverride w:val="1"/>
    </w:lvlOverride>
  </w:num>
  <w:num w:numId="15">
    <w:abstractNumId w:val="15"/>
  </w:num>
  <w:num w:numId="16">
    <w:abstractNumId w:val="13"/>
  </w:num>
  <w:num w:numId="17">
    <w:abstractNumId w:val="17"/>
  </w:num>
  <w:num w:numId="18">
    <w:abstractNumId w:val="9"/>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eaeaea">
      <v:fill color="#eaeaea"/>
      <v:shadow on="t"/>
      <o:colormru v:ext="edit" colors="#fcc,#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70C1A"/>
    <w:rsid w:val="0000061C"/>
    <w:rsid w:val="00001381"/>
    <w:rsid w:val="000018CA"/>
    <w:rsid w:val="00001DFD"/>
    <w:rsid w:val="000043F9"/>
    <w:rsid w:val="00005EE9"/>
    <w:rsid w:val="00010411"/>
    <w:rsid w:val="00010712"/>
    <w:rsid w:val="000112DA"/>
    <w:rsid w:val="0001130F"/>
    <w:rsid w:val="00011CDF"/>
    <w:rsid w:val="00012808"/>
    <w:rsid w:val="000132A8"/>
    <w:rsid w:val="00013A95"/>
    <w:rsid w:val="000140AF"/>
    <w:rsid w:val="00014968"/>
    <w:rsid w:val="00025EA5"/>
    <w:rsid w:val="00026A33"/>
    <w:rsid w:val="00034544"/>
    <w:rsid w:val="0003783C"/>
    <w:rsid w:val="00041343"/>
    <w:rsid w:val="00042343"/>
    <w:rsid w:val="0004412D"/>
    <w:rsid w:val="000446E8"/>
    <w:rsid w:val="000463C1"/>
    <w:rsid w:val="000467C2"/>
    <w:rsid w:val="00046D4A"/>
    <w:rsid w:val="000478DB"/>
    <w:rsid w:val="00050189"/>
    <w:rsid w:val="00050F65"/>
    <w:rsid w:val="00053841"/>
    <w:rsid w:val="00053F3A"/>
    <w:rsid w:val="00054FEA"/>
    <w:rsid w:val="000553EF"/>
    <w:rsid w:val="00057BA1"/>
    <w:rsid w:val="00060653"/>
    <w:rsid w:val="00062477"/>
    <w:rsid w:val="00063490"/>
    <w:rsid w:val="00064D85"/>
    <w:rsid w:val="000703EA"/>
    <w:rsid w:val="00076F73"/>
    <w:rsid w:val="00080DB1"/>
    <w:rsid w:val="00081A9A"/>
    <w:rsid w:val="00083D9E"/>
    <w:rsid w:val="00084F7F"/>
    <w:rsid w:val="0008538C"/>
    <w:rsid w:val="00085CB9"/>
    <w:rsid w:val="000878A6"/>
    <w:rsid w:val="00087AB6"/>
    <w:rsid w:val="000903D3"/>
    <w:rsid w:val="00091B1F"/>
    <w:rsid w:val="000927F6"/>
    <w:rsid w:val="000928C4"/>
    <w:rsid w:val="00097C24"/>
    <w:rsid w:val="000A07BE"/>
    <w:rsid w:val="000A7DBF"/>
    <w:rsid w:val="000B0FA3"/>
    <w:rsid w:val="000B274A"/>
    <w:rsid w:val="000B37C5"/>
    <w:rsid w:val="000B3B23"/>
    <w:rsid w:val="000B69B3"/>
    <w:rsid w:val="000C1B20"/>
    <w:rsid w:val="000C47D5"/>
    <w:rsid w:val="000C7C99"/>
    <w:rsid w:val="000D05BA"/>
    <w:rsid w:val="000D2744"/>
    <w:rsid w:val="000D767F"/>
    <w:rsid w:val="000E07CA"/>
    <w:rsid w:val="000E7284"/>
    <w:rsid w:val="000F171D"/>
    <w:rsid w:val="000F343D"/>
    <w:rsid w:val="000F61A5"/>
    <w:rsid w:val="001008E2"/>
    <w:rsid w:val="00105711"/>
    <w:rsid w:val="00105BAE"/>
    <w:rsid w:val="001074A0"/>
    <w:rsid w:val="001078F5"/>
    <w:rsid w:val="00112972"/>
    <w:rsid w:val="00114892"/>
    <w:rsid w:val="00116984"/>
    <w:rsid w:val="00122317"/>
    <w:rsid w:val="00122CB4"/>
    <w:rsid w:val="001254C5"/>
    <w:rsid w:val="00127B1D"/>
    <w:rsid w:val="00142806"/>
    <w:rsid w:val="00143CBC"/>
    <w:rsid w:val="00150682"/>
    <w:rsid w:val="00151312"/>
    <w:rsid w:val="00151653"/>
    <w:rsid w:val="00152A59"/>
    <w:rsid w:val="001540B8"/>
    <w:rsid w:val="001564CF"/>
    <w:rsid w:val="001603BB"/>
    <w:rsid w:val="00163F93"/>
    <w:rsid w:val="001640D2"/>
    <w:rsid w:val="00165B9C"/>
    <w:rsid w:val="001667BC"/>
    <w:rsid w:val="00170563"/>
    <w:rsid w:val="001731A8"/>
    <w:rsid w:val="001739F8"/>
    <w:rsid w:val="00174E42"/>
    <w:rsid w:val="001753C7"/>
    <w:rsid w:val="001758D8"/>
    <w:rsid w:val="00180D8B"/>
    <w:rsid w:val="00181B91"/>
    <w:rsid w:val="00182D95"/>
    <w:rsid w:val="00184375"/>
    <w:rsid w:val="00190204"/>
    <w:rsid w:val="001926EB"/>
    <w:rsid w:val="0019373B"/>
    <w:rsid w:val="00193916"/>
    <w:rsid w:val="00193C3F"/>
    <w:rsid w:val="001965AE"/>
    <w:rsid w:val="00196711"/>
    <w:rsid w:val="00197C82"/>
    <w:rsid w:val="00197EC7"/>
    <w:rsid w:val="001A06E7"/>
    <w:rsid w:val="001A0D33"/>
    <w:rsid w:val="001A20DB"/>
    <w:rsid w:val="001A2E3F"/>
    <w:rsid w:val="001A4894"/>
    <w:rsid w:val="001B49E5"/>
    <w:rsid w:val="001B5F0E"/>
    <w:rsid w:val="001B6A19"/>
    <w:rsid w:val="001B6AE7"/>
    <w:rsid w:val="001C02F3"/>
    <w:rsid w:val="001C1AA9"/>
    <w:rsid w:val="001C5E55"/>
    <w:rsid w:val="001D1BE0"/>
    <w:rsid w:val="001D1F56"/>
    <w:rsid w:val="001D2B71"/>
    <w:rsid w:val="001D3536"/>
    <w:rsid w:val="001D3C03"/>
    <w:rsid w:val="001E16AC"/>
    <w:rsid w:val="001E22FE"/>
    <w:rsid w:val="001E3E4D"/>
    <w:rsid w:val="001E4A75"/>
    <w:rsid w:val="001E4F8A"/>
    <w:rsid w:val="001E6160"/>
    <w:rsid w:val="001F083E"/>
    <w:rsid w:val="001F0F0B"/>
    <w:rsid w:val="001F29E5"/>
    <w:rsid w:val="001F2F9E"/>
    <w:rsid w:val="001F330B"/>
    <w:rsid w:val="001F3E38"/>
    <w:rsid w:val="001F40CD"/>
    <w:rsid w:val="0020326C"/>
    <w:rsid w:val="00206D3C"/>
    <w:rsid w:val="00207B64"/>
    <w:rsid w:val="00211B1C"/>
    <w:rsid w:val="0021332B"/>
    <w:rsid w:val="00216BB6"/>
    <w:rsid w:val="00216DE0"/>
    <w:rsid w:val="002176C7"/>
    <w:rsid w:val="002176E8"/>
    <w:rsid w:val="002206BA"/>
    <w:rsid w:val="00222684"/>
    <w:rsid w:val="00224E7D"/>
    <w:rsid w:val="00226400"/>
    <w:rsid w:val="00227A34"/>
    <w:rsid w:val="00230070"/>
    <w:rsid w:val="002307B0"/>
    <w:rsid w:val="00232941"/>
    <w:rsid w:val="002342E2"/>
    <w:rsid w:val="002350C4"/>
    <w:rsid w:val="0023672A"/>
    <w:rsid w:val="00236CDF"/>
    <w:rsid w:val="00240294"/>
    <w:rsid w:val="002403E2"/>
    <w:rsid w:val="002414D7"/>
    <w:rsid w:val="002427A6"/>
    <w:rsid w:val="00242DD9"/>
    <w:rsid w:val="00242E5E"/>
    <w:rsid w:val="00243660"/>
    <w:rsid w:val="00244A4C"/>
    <w:rsid w:val="00246B9B"/>
    <w:rsid w:val="00246FA8"/>
    <w:rsid w:val="002504F3"/>
    <w:rsid w:val="00254CA0"/>
    <w:rsid w:val="00256B96"/>
    <w:rsid w:val="00256D1C"/>
    <w:rsid w:val="002624B1"/>
    <w:rsid w:val="00262FE7"/>
    <w:rsid w:val="00263473"/>
    <w:rsid w:val="0026446E"/>
    <w:rsid w:val="002656E0"/>
    <w:rsid w:val="0026613C"/>
    <w:rsid w:val="00266988"/>
    <w:rsid w:val="00271009"/>
    <w:rsid w:val="00274AF6"/>
    <w:rsid w:val="00275977"/>
    <w:rsid w:val="00276E51"/>
    <w:rsid w:val="002777C3"/>
    <w:rsid w:val="00280B67"/>
    <w:rsid w:val="002825A9"/>
    <w:rsid w:val="00282BE8"/>
    <w:rsid w:val="00282D22"/>
    <w:rsid w:val="002837D8"/>
    <w:rsid w:val="00284D58"/>
    <w:rsid w:val="00290B86"/>
    <w:rsid w:val="002912CB"/>
    <w:rsid w:val="00292A1B"/>
    <w:rsid w:val="002944B9"/>
    <w:rsid w:val="002946DE"/>
    <w:rsid w:val="002968E6"/>
    <w:rsid w:val="002A6657"/>
    <w:rsid w:val="002A704E"/>
    <w:rsid w:val="002B26D7"/>
    <w:rsid w:val="002B48BA"/>
    <w:rsid w:val="002B70A2"/>
    <w:rsid w:val="002B76AC"/>
    <w:rsid w:val="002B7B9B"/>
    <w:rsid w:val="002C0AE6"/>
    <w:rsid w:val="002D1BDB"/>
    <w:rsid w:val="002D3E24"/>
    <w:rsid w:val="002D552D"/>
    <w:rsid w:val="002D660F"/>
    <w:rsid w:val="002E003D"/>
    <w:rsid w:val="002E462D"/>
    <w:rsid w:val="002E55A8"/>
    <w:rsid w:val="002E6574"/>
    <w:rsid w:val="002E69A2"/>
    <w:rsid w:val="002E7A16"/>
    <w:rsid w:val="002F158F"/>
    <w:rsid w:val="002F3075"/>
    <w:rsid w:val="002F7609"/>
    <w:rsid w:val="003009A0"/>
    <w:rsid w:val="00302377"/>
    <w:rsid w:val="00302FBF"/>
    <w:rsid w:val="00303FEC"/>
    <w:rsid w:val="00304A33"/>
    <w:rsid w:val="00305081"/>
    <w:rsid w:val="00305A79"/>
    <w:rsid w:val="00306AE8"/>
    <w:rsid w:val="00306FD0"/>
    <w:rsid w:val="00307FC2"/>
    <w:rsid w:val="00311676"/>
    <w:rsid w:val="00311B0E"/>
    <w:rsid w:val="003121D7"/>
    <w:rsid w:val="00315B8E"/>
    <w:rsid w:val="00320CFF"/>
    <w:rsid w:val="00321710"/>
    <w:rsid w:val="00326481"/>
    <w:rsid w:val="003309F7"/>
    <w:rsid w:val="00331831"/>
    <w:rsid w:val="0033285C"/>
    <w:rsid w:val="0033429D"/>
    <w:rsid w:val="00335664"/>
    <w:rsid w:val="00342061"/>
    <w:rsid w:val="0034288E"/>
    <w:rsid w:val="00345086"/>
    <w:rsid w:val="00350A96"/>
    <w:rsid w:val="00351745"/>
    <w:rsid w:val="00352C61"/>
    <w:rsid w:val="00355166"/>
    <w:rsid w:val="0035607C"/>
    <w:rsid w:val="00356135"/>
    <w:rsid w:val="0035667F"/>
    <w:rsid w:val="00356C10"/>
    <w:rsid w:val="0035739D"/>
    <w:rsid w:val="00357783"/>
    <w:rsid w:val="00363080"/>
    <w:rsid w:val="00365C9F"/>
    <w:rsid w:val="00366750"/>
    <w:rsid w:val="00370592"/>
    <w:rsid w:val="00372CB2"/>
    <w:rsid w:val="00374EFC"/>
    <w:rsid w:val="00380BFE"/>
    <w:rsid w:val="0038127A"/>
    <w:rsid w:val="00382A0D"/>
    <w:rsid w:val="003858B4"/>
    <w:rsid w:val="00385F62"/>
    <w:rsid w:val="00387267"/>
    <w:rsid w:val="00387436"/>
    <w:rsid w:val="003914D1"/>
    <w:rsid w:val="003926B0"/>
    <w:rsid w:val="00393488"/>
    <w:rsid w:val="0039573F"/>
    <w:rsid w:val="003A1098"/>
    <w:rsid w:val="003A2487"/>
    <w:rsid w:val="003A3699"/>
    <w:rsid w:val="003A735D"/>
    <w:rsid w:val="003A7BED"/>
    <w:rsid w:val="003A7F08"/>
    <w:rsid w:val="003B4B63"/>
    <w:rsid w:val="003B52CF"/>
    <w:rsid w:val="003B7D50"/>
    <w:rsid w:val="003B7D80"/>
    <w:rsid w:val="003C3811"/>
    <w:rsid w:val="003D1FBB"/>
    <w:rsid w:val="003D334D"/>
    <w:rsid w:val="003D3741"/>
    <w:rsid w:val="003D4313"/>
    <w:rsid w:val="003D47E2"/>
    <w:rsid w:val="003D4A48"/>
    <w:rsid w:val="003D4BDB"/>
    <w:rsid w:val="003D5691"/>
    <w:rsid w:val="003D67B0"/>
    <w:rsid w:val="003D7C42"/>
    <w:rsid w:val="003D7F04"/>
    <w:rsid w:val="003E00DA"/>
    <w:rsid w:val="003E114F"/>
    <w:rsid w:val="003E425F"/>
    <w:rsid w:val="003E518C"/>
    <w:rsid w:val="003E6B5C"/>
    <w:rsid w:val="003F0094"/>
    <w:rsid w:val="003F07A9"/>
    <w:rsid w:val="003F25A0"/>
    <w:rsid w:val="003F2781"/>
    <w:rsid w:val="003F4087"/>
    <w:rsid w:val="003F4F0B"/>
    <w:rsid w:val="003F71C6"/>
    <w:rsid w:val="003F7B5E"/>
    <w:rsid w:val="00400BDE"/>
    <w:rsid w:val="00406DC1"/>
    <w:rsid w:val="00410035"/>
    <w:rsid w:val="00415433"/>
    <w:rsid w:val="00417212"/>
    <w:rsid w:val="00421DC4"/>
    <w:rsid w:val="00425563"/>
    <w:rsid w:val="004274CC"/>
    <w:rsid w:val="004300F6"/>
    <w:rsid w:val="00435245"/>
    <w:rsid w:val="00435F55"/>
    <w:rsid w:val="00436295"/>
    <w:rsid w:val="00436C7A"/>
    <w:rsid w:val="004379C6"/>
    <w:rsid w:val="00440467"/>
    <w:rsid w:val="00440D05"/>
    <w:rsid w:val="004445F3"/>
    <w:rsid w:val="00445D1D"/>
    <w:rsid w:val="00446755"/>
    <w:rsid w:val="004534E0"/>
    <w:rsid w:val="00456732"/>
    <w:rsid w:val="004568A2"/>
    <w:rsid w:val="00457E7B"/>
    <w:rsid w:val="00460517"/>
    <w:rsid w:val="0046626B"/>
    <w:rsid w:val="00472FA6"/>
    <w:rsid w:val="00474139"/>
    <w:rsid w:val="00475212"/>
    <w:rsid w:val="004800A3"/>
    <w:rsid w:val="00481404"/>
    <w:rsid w:val="00482BA0"/>
    <w:rsid w:val="00483D93"/>
    <w:rsid w:val="00494528"/>
    <w:rsid w:val="00496029"/>
    <w:rsid w:val="00496584"/>
    <w:rsid w:val="00496855"/>
    <w:rsid w:val="004A06C3"/>
    <w:rsid w:val="004A34D7"/>
    <w:rsid w:val="004B484F"/>
    <w:rsid w:val="004B4868"/>
    <w:rsid w:val="004B7559"/>
    <w:rsid w:val="004C1343"/>
    <w:rsid w:val="004C29E1"/>
    <w:rsid w:val="004C36E5"/>
    <w:rsid w:val="004C635B"/>
    <w:rsid w:val="004D7705"/>
    <w:rsid w:val="004D7B79"/>
    <w:rsid w:val="004E25E2"/>
    <w:rsid w:val="004E40E0"/>
    <w:rsid w:val="004E4B80"/>
    <w:rsid w:val="004E5884"/>
    <w:rsid w:val="004F493F"/>
    <w:rsid w:val="004F7057"/>
    <w:rsid w:val="0050108C"/>
    <w:rsid w:val="00502C69"/>
    <w:rsid w:val="005041F6"/>
    <w:rsid w:val="00505C9F"/>
    <w:rsid w:val="00506048"/>
    <w:rsid w:val="00510BC2"/>
    <w:rsid w:val="00513826"/>
    <w:rsid w:val="00513DAD"/>
    <w:rsid w:val="00521318"/>
    <w:rsid w:val="00525B1D"/>
    <w:rsid w:val="00526712"/>
    <w:rsid w:val="00526B21"/>
    <w:rsid w:val="005308C5"/>
    <w:rsid w:val="005332E6"/>
    <w:rsid w:val="00534090"/>
    <w:rsid w:val="005448C6"/>
    <w:rsid w:val="00544DE3"/>
    <w:rsid w:val="0055068F"/>
    <w:rsid w:val="00551652"/>
    <w:rsid w:val="00552AB3"/>
    <w:rsid w:val="005558D1"/>
    <w:rsid w:val="005563E3"/>
    <w:rsid w:val="00562190"/>
    <w:rsid w:val="00562D04"/>
    <w:rsid w:val="00563C8D"/>
    <w:rsid w:val="00564E75"/>
    <w:rsid w:val="00566C7E"/>
    <w:rsid w:val="00567430"/>
    <w:rsid w:val="00570C1A"/>
    <w:rsid w:val="005714D7"/>
    <w:rsid w:val="00572A57"/>
    <w:rsid w:val="00580BD2"/>
    <w:rsid w:val="00585BA4"/>
    <w:rsid w:val="00585FBE"/>
    <w:rsid w:val="00586153"/>
    <w:rsid w:val="005908AD"/>
    <w:rsid w:val="0059427B"/>
    <w:rsid w:val="0059503E"/>
    <w:rsid w:val="00597BDD"/>
    <w:rsid w:val="005A34E3"/>
    <w:rsid w:val="005A5461"/>
    <w:rsid w:val="005B2013"/>
    <w:rsid w:val="005B46E4"/>
    <w:rsid w:val="005B6058"/>
    <w:rsid w:val="005B7102"/>
    <w:rsid w:val="005C0942"/>
    <w:rsid w:val="005C1F39"/>
    <w:rsid w:val="005C4AE6"/>
    <w:rsid w:val="005C6ECB"/>
    <w:rsid w:val="005D0A41"/>
    <w:rsid w:val="005D0CC2"/>
    <w:rsid w:val="005D126D"/>
    <w:rsid w:val="005D1B8F"/>
    <w:rsid w:val="005D5BF6"/>
    <w:rsid w:val="005D759A"/>
    <w:rsid w:val="005E3404"/>
    <w:rsid w:val="005E3F9A"/>
    <w:rsid w:val="005E4D6C"/>
    <w:rsid w:val="005E61CB"/>
    <w:rsid w:val="005E7446"/>
    <w:rsid w:val="00601D54"/>
    <w:rsid w:val="006033ED"/>
    <w:rsid w:val="00604FED"/>
    <w:rsid w:val="00605B80"/>
    <w:rsid w:val="00606150"/>
    <w:rsid w:val="00606511"/>
    <w:rsid w:val="00607183"/>
    <w:rsid w:val="00607E7D"/>
    <w:rsid w:val="00610842"/>
    <w:rsid w:val="006116FF"/>
    <w:rsid w:val="00612DC4"/>
    <w:rsid w:val="0061534F"/>
    <w:rsid w:val="0061539D"/>
    <w:rsid w:val="0061740D"/>
    <w:rsid w:val="00621C4D"/>
    <w:rsid w:val="0062245A"/>
    <w:rsid w:val="00622514"/>
    <w:rsid w:val="00625D40"/>
    <w:rsid w:val="006269FA"/>
    <w:rsid w:val="00626A49"/>
    <w:rsid w:val="00634011"/>
    <w:rsid w:val="00636592"/>
    <w:rsid w:val="00636952"/>
    <w:rsid w:val="00637F1F"/>
    <w:rsid w:val="00640A66"/>
    <w:rsid w:val="00640F0E"/>
    <w:rsid w:val="0064169A"/>
    <w:rsid w:val="006430C7"/>
    <w:rsid w:val="00646684"/>
    <w:rsid w:val="006475A2"/>
    <w:rsid w:val="006516C4"/>
    <w:rsid w:val="0065346A"/>
    <w:rsid w:val="006542E4"/>
    <w:rsid w:val="00654F8B"/>
    <w:rsid w:val="00661414"/>
    <w:rsid w:val="006619A2"/>
    <w:rsid w:val="00662CD5"/>
    <w:rsid w:val="00663905"/>
    <w:rsid w:val="00664E1F"/>
    <w:rsid w:val="00664E6A"/>
    <w:rsid w:val="00665C3F"/>
    <w:rsid w:val="006743BB"/>
    <w:rsid w:val="006753DB"/>
    <w:rsid w:val="00676374"/>
    <w:rsid w:val="00676A95"/>
    <w:rsid w:val="00677585"/>
    <w:rsid w:val="00677E48"/>
    <w:rsid w:val="0068305B"/>
    <w:rsid w:val="00683CCD"/>
    <w:rsid w:val="00683FD4"/>
    <w:rsid w:val="00684795"/>
    <w:rsid w:val="00687A11"/>
    <w:rsid w:val="00693520"/>
    <w:rsid w:val="00694037"/>
    <w:rsid w:val="00694092"/>
    <w:rsid w:val="00694E52"/>
    <w:rsid w:val="006958F2"/>
    <w:rsid w:val="006A152E"/>
    <w:rsid w:val="006B4AAD"/>
    <w:rsid w:val="006B6738"/>
    <w:rsid w:val="006C1876"/>
    <w:rsid w:val="006C1F2E"/>
    <w:rsid w:val="006C728D"/>
    <w:rsid w:val="006D00D3"/>
    <w:rsid w:val="006D4332"/>
    <w:rsid w:val="006D5B04"/>
    <w:rsid w:val="006D75F1"/>
    <w:rsid w:val="006D7F46"/>
    <w:rsid w:val="006E067A"/>
    <w:rsid w:val="006E0EC5"/>
    <w:rsid w:val="006E15F6"/>
    <w:rsid w:val="006E2244"/>
    <w:rsid w:val="006E3110"/>
    <w:rsid w:val="006E5E3C"/>
    <w:rsid w:val="006E68AE"/>
    <w:rsid w:val="006E701B"/>
    <w:rsid w:val="006F2588"/>
    <w:rsid w:val="006F2DEB"/>
    <w:rsid w:val="007037EE"/>
    <w:rsid w:val="007065D5"/>
    <w:rsid w:val="00717F4E"/>
    <w:rsid w:val="007208AD"/>
    <w:rsid w:val="00722F67"/>
    <w:rsid w:val="00723C46"/>
    <w:rsid w:val="00725AFF"/>
    <w:rsid w:val="007301A8"/>
    <w:rsid w:val="00732CE1"/>
    <w:rsid w:val="00735D72"/>
    <w:rsid w:val="007406D6"/>
    <w:rsid w:val="00740846"/>
    <w:rsid w:val="0074210C"/>
    <w:rsid w:val="00746ADE"/>
    <w:rsid w:val="0074755E"/>
    <w:rsid w:val="007555E9"/>
    <w:rsid w:val="007602EA"/>
    <w:rsid w:val="00762A8A"/>
    <w:rsid w:val="007634CA"/>
    <w:rsid w:val="007643E7"/>
    <w:rsid w:val="0076636D"/>
    <w:rsid w:val="00767439"/>
    <w:rsid w:val="0077075D"/>
    <w:rsid w:val="00772CBA"/>
    <w:rsid w:val="00775C9B"/>
    <w:rsid w:val="00777D29"/>
    <w:rsid w:val="00780847"/>
    <w:rsid w:val="00781DEE"/>
    <w:rsid w:val="00781FE3"/>
    <w:rsid w:val="007821A7"/>
    <w:rsid w:val="0078423A"/>
    <w:rsid w:val="00790972"/>
    <w:rsid w:val="00792194"/>
    <w:rsid w:val="00792EFA"/>
    <w:rsid w:val="007941DC"/>
    <w:rsid w:val="00794905"/>
    <w:rsid w:val="00795EDF"/>
    <w:rsid w:val="007A14D7"/>
    <w:rsid w:val="007A32A9"/>
    <w:rsid w:val="007A3B49"/>
    <w:rsid w:val="007A3B71"/>
    <w:rsid w:val="007A3F5E"/>
    <w:rsid w:val="007A6A0F"/>
    <w:rsid w:val="007A78A2"/>
    <w:rsid w:val="007A79FF"/>
    <w:rsid w:val="007B0178"/>
    <w:rsid w:val="007B2508"/>
    <w:rsid w:val="007B2B56"/>
    <w:rsid w:val="007B7F42"/>
    <w:rsid w:val="007C0B90"/>
    <w:rsid w:val="007C4BA3"/>
    <w:rsid w:val="007D21C9"/>
    <w:rsid w:val="007D36C5"/>
    <w:rsid w:val="007D3CAF"/>
    <w:rsid w:val="007D757F"/>
    <w:rsid w:val="007E0840"/>
    <w:rsid w:val="007E0A90"/>
    <w:rsid w:val="007F0F29"/>
    <w:rsid w:val="007F20DF"/>
    <w:rsid w:val="007F3ECC"/>
    <w:rsid w:val="007F4CEC"/>
    <w:rsid w:val="007F6640"/>
    <w:rsid w:val="007F739C"/>
    <w:rsid w:val="00800070"/>
    <w:rsid w:val="00802966"/>
    <w:rsid w:val="00805C19"/>
    <w:rsid w:val="00806702"/>
    <w:rsid w:val="00810721"/>
    <w:rsid w:val="008141E3"/>
    <w:rsid w:val="00815F09"/>
    <w:rsid w:val="0082141C"/>
    <w:rsid w:val="00821845"/>
    <w:rsid w:val="00822903"/>
    <w:rsid w:val="00823EFA"/>
    <w:rsid w:val="00827AB0"/>
    <w:rsid w:val="00827C69"/>
    <w:rsid w:val="00834076"/>
    <w:rsid w:val="0083495C"/>
    <w:rsid w:val="00835F45"/>
    <w:rsid w:val="00835FA7"/>
    <w:rsid w:val="008363E3"/>
    <w:rsid w:val="00836C58"/>
    <w:rsid w:val="00837901"/>
    <w:rsid w:val="00843056"/>
    <w:rsid w:val="008432B9"/>
    <w:rsid w:val="0084659A"/>
    <w:rsid w:val="00847693"/>
    <w:rsid w:val="00847CEE"/>
    <w:rsid w:val="008508A4"/>
    <w:rsid w:val="008522DA"/>
    <w:rsid w:val="0085427E"/>
    <w:rsid w:val="00855286"/>
    <w:rsid w:val="00855807"/>
    <w:rsid w:val="00855F93"/>
    <w:rsid w:val="0085734C"/>
    <w:rsid w:val="008579D8"/>
    <w:rsid w:val="00860D97"/>
    <w:rsid w:val="008611D8"/>
    <w:rsid w:val="00863DE4"/>
    <w:rsid w:val="00863E18"/>
    <w:rsid w:val="00864181"/>
    <w:rsid w:val="0086424F"/>
    <w:rsid w:val="00866060"/>
    <w:rsid w:val="00867D72"/>
    <w:rsid w:val="00872740"/>
    <w:rsid w:val="00872E76"/>
    <w:rsid w:val="00876181"/>
    <w:rsid w:val="008824BD"/>
    <w:rsid w:val="0088365F"/>
    <w:rsid w:val="00885126"/>
    <w:rsid w:val="008878E8"/>
    <w:rsid w:val="008911C2"/>
    <w:rsid w:val="0089122A"/>
    <w:rsid w:val="008923B1"/>
    <w:rsid w:val="00892825"/>
    <w:rsid w:val="0089537D"/>
    <w:rsid w:val="00895400"/>
    <w:rsid w:val="00896802"/>
    <w:rsid w:val="008A3756"/>
    <w:rsid w:val="008A74FD"/>
    <w:rsid w:val="008B0A17"/>
    <w:rsid w:val="008B0A67"/>
    <w:rsid w:val="008B6CAB"/>
    <w:rsid w:val="008C4DF4"/>
    <w:rsid w:val="008C7989"/>
    <w:rsid w:val="008D0993"/>
    <w:rsid w:val="008D26DD"/>
    <w:rsid w:val="008D2E07"/>
    <w:rsid w:val="008D4297"/>
    <w:rsid w:val="008D5813"/>
    <w:rsid w:val="008D6736"/>
    <w:rsid w:val="008E26CC"/>
    <w:rsid w:val="008E3F41"/>
    <w:rsid w:val="008F19C5"/>
    <w:rsid w:val="008F2F9C"/>
    <w:rsid w:val="008F5653"/>
    <w:rsid w:val="00900150"/>
    <w:rsid w:val="00900966"/>
    <w:rsid w:val="009020B9"/>
    <w:rsid w:val="00906800"/>
    <w:rsid w:val="009068FB"/>
    <w:rsid w:val="00907608"/>
    <w:rsid w:val="00911F3A"/>
    <w:rsid w:val="0091301A"/>
    <w:rsid w:val="00913DD2"/>
    <w:rsid w:val="009147B7"/>
    <w:rsid w:val="00916B07"/>
    <w:rsid w:val="00917ACA"/>
    <w:rsid w:val="00922E0B"/>
    <w:rsid w:val="009264D9"/>
    <w:rsid w:val="009313A0"/>
    <w:rsid w:val="00931786"/>
    <w:rsid w:val="0093636F"/>
    <w:rsid w:val="00937B39"/>
    <w:rsid w:val="00940495"/>
    <w:rsid w:val="009405B3"/>
    <w:rsid w:val="0094147E"/>
    <w:rsid w:val="00942670"/>
    <w:rsid w:val="009441CA"/>
    <w:rsid w:val="00945DF6"/>
    <w:rsid w:val="009510CB"/>
    <w:rsid w:val="009526ED"/>
    <w:rsid w:val="00953B96"/>
    <w:rsid w:val="00953CC8"/>
    <w:rsid w:val="00954A84"/>
    <w:rsid w:val="009558E5"/>
    <w:rsid w:val="00956EAF"/>
    <w:rsid w:val="00957511"/>
    <w:rsid w:val="00963421"/>
    <w:rsid w:val="00963477"/>
    <w:rsid w:val="009645C2"/>
    <w:rsid w:val="009650BA"/>
    <w:rsid w:val="0096532C"/>
    <w:rsid w:val="009723D0"/>
    <w:rsid w:val="00973A5E"/>
    <w:rsid w:val="00973F65"/>
    <w:rsid w:val="00974593"/>
    <w:rsid w:val="00975814"/>
    <w:rsid w:val="00975A82"/>
    <w:rsid w:val="009810B7"/>
    <w:rsid w:val="00981AAA"/>
    <w:rsid w:val="009902F3"/>
    <w:rsid w:val="00991754"/>
    <w:rsid w:val="00993FE4"/>
    <w:rsid w:val="0099513F"/>
    <w:rsid w:val="009A0811"/>
    <w:rsid w:val="009A53AB"/>
    <w:rsid w:val="009A67EF"/>
    <w:rsid w:val="009B0D63"/>
    <w:rsid w:val="009B288A"/>
    <w:rsid w:val="009B3E4F"/>
    <w:rsid w:val="009B68D4"/>
    <w:rsid w:val="009C1751"/>
    <w:rsid w:val="009C3496"/>
    <w:rsid w:val="009C3FFB"/>
    <w:rsid w:val="009C65A2"/>
    <w:rsid w:val="009D1345"/>
    <w:rsid w:val="009D14AA"/>
    <w:rsid w:val="009D1836"/>
    <w:rsid w:val="009D1A0B"/>
    <w:rsid w:val="009D5739"/>
    <w:rsid w:val="009D5D03"/>
    <w:rsid w:val="009E31C4"/>
    <w:rsid w:val="009E3B53"/>
    <w:rsid w:val="009F544E"/>
    <w:rsid w:val="009F581A"/>
    <w:rsid w:val="009F7A61"/>
    <w:rsid w:val="009F7A8D"/>
    <w:rsid w:val="009F7E59"/>
    <w:rsid w:val="00A008C0"/>
    <w:rsid w:val="00A012CA"/>
    <w:rsid w:val="00A042F4"/>
    <w:rsid w:val="00A05A2B"/>
    <w:rsid w:val="00A07F76"/>
    <w:rsid w:val="00A10834"/>
    <w:rsid w:val="00A133C4"/>
    <w:rsid w:val="00A1594B"/>
    <w:rsid w:val="00A20473"/>
    <w:rsid w:val="00A20EDF"/>
    <w:rsid w:val="00A24F5B"/>
    <w:rsid w:val="00A27287"/>
    <w:rsid w:val="00A31878"/>
    <w:rsid w:val="00A328C2"/>
    <w:rsid w:val="00A34A3A"/>
    <w:rsid w:val="00A37C4D"/>
    <w:rsid w:val="00A421B2"/>
    <w:rsid w:val="00A454FF"/>
    <w:rsid w:val="00A45902"/>
    <w:rsid w:val="00A51224"/>
    <w:rsid w:val="00A61532"/>
    <w:rsid w:val="00A6356B"/>
    <w:rsid w:val="00A70639"/>
    <w:rsid w:val="00A73261"/>
    <w:rsid w:val="00A74C76"/>
    <w:rsid w:val="00A77F11"/>
    <w:rsid w:val="00A77F49"/>
    <w:rsid w:val="00A80A3D"/>
    <w:rsid w:val="00A82AAF"/>
    <w:rsid w:val="00A90B21"/>
    <w:rsid w:val="00A94FC7"/>
    <w:rsid w:val="00A95DD3"/>
    <w:rsid w:val="00A96E22"/>
    <w:rsid w:val="00AA52E2"/>
    <w:rsid w:val="00AA5A3A"/>
    <w:rsid w:val="00AA5AA5"/>
    <w:rsid w:val="00AA5C8B"/>
    <w:rsid w:val="00AA5D17"/>
    <w:rsid w:val="00AA6685"/>
    <w:rsid w:val="00AA6E4C"/>
    <w:rsid w:val="00AA6EB4"/>
    <w:rsid w:val="00AB090E"/>
    <w:rsid w:val="00AB56B2"/>
    <w:rsid w:val="00AB7922"/>
    <w:rsid w:val="00AB7E03"/>
    <w:rsid w:val="00AC0640"/>
    <w:rsid w:val="00AC09E7"/>
    <w:rsid w:val="00AC0C3B"/>
    <w:rsid w:val="00AC19DA"/>
    <w:rsid w:val="00AC4441"/>
    <w:rsid w:val="00AC646D"/>
    <w:rsid w:val="00AD141F"/>
    <w:rsid w:val="00AD1CFC"/>
    <w:rsid w:val="00AD1FA8"/>
    <w:rsid w:val="00AD23EF"/>
    <w:rsid w:val="00AD482F"/>
    <w:rsid w:val="00AD7790"/>
    <w:rsid w:val="00AE1717"/>
    <w:rsid w:val="00AE3DD2"/>
    <w:rsid w:val="00AE4A46"/>
    <w:rsid w:val="00AE4E54"/>
    <w:rsid w:val="00AE605B"/>
    <w:rsid w:val="00AF2194"/>
    <w:rsid w:val="00AF51E4"/>
    <w:rsid w:val="00AF55CE"/>
    <w:rsid w:val="00AF6E21"/>
    <w:rsid w:val="00B01624"/>
    <w:rsid w:val="00B040E8"/>
    <w:rsid w:val="00B068CC"/>
    <w:rsid w:val="00B078EE"/>
    <w:rsid w:val="00B07BE1"/>
    <w:rsid w:val="00B13E6E"/>
    <w:rsid w:val="00B148D2"/>
    <w:rsid w:val="00B15F41"/>
    <w:rsid w:val="00B16616"/>
    <w:rsid w:val="00B203E9"/>
    <w:rsid w:val="00B22E36"/>
    <w:rsid w:val="00B233AC"/>
    <w:rsid w:val="00B27117"/>
    <w:rsid w:val="00B311EC"/>
    <w:rsid w:val="00B31550"/>
    <w:rsid w:val="00B3373E"/>
    <w:rsid w:val="00B35832"/>
    <w:rsid w:val="00B37E39"/>
    <w:rsid w:val="00B45C3A"/>
    <w:rsid w:val="00B50DD7"/>
    <w:rsid w:val="00B52EAD"/>
    <w:rsid w:val="00B533E1"/>
    <w:rsid w:val="00B53506"/>
    <w:rsid w:val="00B6084E"/>
    <w:rsid w:val="00B625A8"/>
    <w:rsid w:val="00B628C2"/>
    <w:rsid w:val="00B65FCC"/>
    <w:rsid w:val="00B6605E"/>
    <w:rsid w:val="00B66068"/>
    <w:rsid w:val="00B66948"/>
    <w:rsid w:val="00B679C1"/>
    <w:rsid w:val="00B7005A"/>
    <w:rsid w:val="00B70A13"/>
    <w:rsid w:val="00B714FC"/>
    <w:rsid w:val="00B75324"/>
    <w:rsid w:val="00B7730F"/>
    <w:rsid w:val="00B84DD4"/>
    <w:rsid w:val="00B84FCF"/>
    <w:rsid w:val="00B86D8B"/>
    <w:rsid w:val="00B907C4"/>
    <w:rsid w:val="00B9206A"/>
    <w:rsid w:val="00B92F16"/>
    <w:rsid w:val="00B9507C"/>
    <w:rsid w:val="00B979EB"/>
    <w:rsid w:val="00BA0AAF"/>
    <w:rsid w:val="00BA0CA3"/>
    <w:rsid w:val="00BA2FAF"/>
    <w:rsid w:val="00BA3F2F"/>
    <w:rsid w:val="00BA553B"/>
    <w:rsid w:val="00BA66BF"/>
    <w:rsid w:val="00BB19C4"/>
    <w:rsid w:val="00BB238D"/>
    <w:rsid w:val="00BB35EB"/>
    <w:rsid w:val="00BB3E65"/>
    <w:rsid w:val="00BB41E3"/>
    <w:rsid w:val="00BB7F57"/>
    <w:rsid w:val="00BC003E"/>
    <w:rsid w:val="00BC13FA"/>
    <w:rsid w:val="00BC2FF6"/>
    <w:rsid w:val="00BC4309"/>
    <w:rsid w:val="00BC49BF"/>
    <w:rsid w:val="00BC4A64"/>
    <w:rsid w:val="00BC6702"/>
    <w:rsid w:val="00BC6BEF"/>
    <w:rsid w:val="00BD1C7B"/>
    <w:rsid w:val="00BD286E"/>
    <w:rsid w:val="00BD2A35"/>
    <w:rsid w:val="00BD39D4"/>
    <w:rsid w:val="00BD497F"/>
    <w:rsid w:val="00BD5EDF"/>
    <w:rsid w:val="00BE04D6"/>
    <w:rsid w:val="00BE26DC"/>
    <w:rsid w:val="00BE30D0"/>
    <w:rsid w:val="00BE5C74"/>
    <w:rsid w:val="00BE7DEE"/>
    <w:rsid w:val="00BE7F0C"/>
    <w:rsid w:val="00BF07BB"/>
    <w:rsid w:val="00BF0936"/>
    <w:rsid w:val="00BF2125"/>
    <w:rsid w:val="00BF44CD"/>
    <w:rsid w:val="00BF755B"/>
    <w:rsid w:val="00C02EC1"/>
    <w:rsid w:val="00C035D7"/>
    <w:rsid w:val="00C04C46"/>
    <w:rsid w:val="00C10C4F"/>
    <w:rsid w:val="00C13851"/>
    <w:rsid w:val="00C14190"/>
    <w:rsid w:val="00C16210"/>
    <w:rsid w:val="00C20022"/>
    <w:rsid w:val="00C20F14"/>
    <w:rsid w:val="00C241A6"/>
    <w:rsid w:val="00C24314"/>
    <w:rsid w:val="00C277A7"/>
    <w:rsid w:val="00C316EA"/>
    <w:rsid w:val="00C3469A"/>
    <w:rsid w:val="00C36180"/>
    <w:rsid w:val="00C36348"/>
    <w:rsid w:val="00C36A33"/>
    <w:rsid w:val="00C420AD"/>
    <w:rsid w:val="00C42234"/>
    <w:rsid w:val="00C466BE"/>
    <w:rsid w:val="00C5051C"/>
    <w:rsid w:val="00C518A0"/>
    <w:rsid w:val="00C51F9E"/>
    <w:rsid w:val="00C55DD2"/>
    <w:rsid w:val="00C640CA"/>
    <w:rsid w:val="00C648AB"/>
    <w:rsid w:val="00C66B53"/>
    <w:rsid w:val="00C67FD0"/>
    <w:rsid w:val="00C84E55"/>
    <w:rsid w:val="00C852D9"/>
    <w:rsid w:val="00C86684"/>
    <w:rsid w:val="00C915E0"/>
    <w:rsid w:val="00C915FF"/>
    <w:rsid w:val="00CA07BE"/>
    <w:rsid w:val="00CA08C8"/>
    <w:rsid w:val="00CA0918"/>
    <w:rsid w:val="00CA15CB"/>
    <w:rsid w:val="00CA393E"/>
    <w:rsid w:val="00CA4518"/>
    <w:rsid w:val="00CA5FCC"/>
    <w:rsid w:val="00CB0A52"/>
    <w:rsid w:val="00CB1CF0"/>
    <w:rsid w:val="00CC0AD9"/>
    <w:rsid w:val="00CC4D9F"/>
    <w:rsid w:val="00CC5465"/>
    <w:rsid w:val="00CC5C07"/>
    <w:rsid w:val="00CC6D7A"/>
    <w:rsid w:val="00CD0E47"/>
    <w:rsid w:val="00CD239B"/>
    <w:rsid w:val="00CD260B"/>
    <w:rsid w:val="00CD5EEF"/>
    <w:rsid w:val="00CD6763"/>
    <w:rsid w:val="00CD7DBF"/>
    <w:rsid w:val="00CE028E"/>
    <w:rsid w:val="00CE141C"/>
    <w:rsid w:val="00CE15CD"/>
    <w:rsid w:val="00CE4362"/>
    <w:rsid w:val="00CE56BD"/>
    <w:rsid w:val="00CE75BB"/>
    <w:rsid w:val="00CE7D47"/>
    <w:rsid w:val="00CF23C5"/>
    <w:rsid w:val="00CF2DBC"/>
    <w:rsid w:val="00CF56DC"/>
    <w:rsid w:val="00CF78A4"/>
    <w:rsid w:val="00CF7DBD"/>
    <w:rsid w:val="00D00065"/>
    <w:rsid w:val="00D00E44"/>
    <w:rsid w:val="00D01AA4"/>
    <w:rsid w:val="00D030DF"/>
    <w:rsid w:val="00D035EE"/>
    <w:rsid w:val="00D0750B"/>
    <w:rsid w:val="00D11679"/>
    <w:rsid w:val="00D130F3"/>
    <w:rsid w:val="00D13CBF"/>
    <w:rsid w:val="00D1411D"/>
    <w:rsid w:val="00D141E4"/>
    <w:rsid w:val="00D24462"/>
    <w:rsid w:val="00D26AB8"/>
    <w:rsid w:val="00D3056D"/>
    <w:rsid w:val="00D30963"/>
    <w:rsid w:val="00D31AF4"/>
    <w:rsid w:val="00D327AF"/>
    <w:rsid w:val="00D343BF"/>
    <w:rsid w:val="00D35F46"/>
    <w:rsid w:val="00D400A2"/>
    <w:rsid w:val="00D41730"/>
    <w:rsid w:val="00D43371"/>
    <w:rsid w:val="00D43F66"/>
    <w:rsid w:val="00D509F7"/>
    <w:rsid w:val="00D50BCC"/>
    <w:rsid w:val="00D53A34"/>
    <w:rsid w:val="00D551E7"/>
    <w:rsid w:val="00D56154"/>
    <w:rsid w:val="00D613A2"/>
    <w:rsid w:val="00D62EB6"/>
    <w:rsid w:val="00D67F02"/>
    <w:rsid w:val="00D7078F"/>
    <w:rsid w:val="00D711E3"/>
    <w:rsid w:val="00D71540"/>
    <w:rsid w:val="00D71768"/>
    <w:rsid w:val="00D71B6B"/>
    <w:rsid w:val="00D7382A"/>
    <w:rsid w:val="00D758D1"/>
    <w:rsid w:val="00D76FB6"/>
    <w:rsid w:val="00D80135"/>
    <w:rsid w:val="00D82DD0"/>
    <w:rsid w:val="00D8300B"/>
    <w:rsid w:val="00D83756"/>
    <w:rsid w:val="00D83B24"/>
    <w:rsid w:val="00D84B54"/>
    <w:rsid w:val="00D871C0"/>
    <w:rsid w:val="00D907AF"/>
    <w:rsid w:val="00D90C96"/>
    <w:rsid w:val="00D912CF"/>
    <w:rsid w:val="00D916DE"/>
    <w:rsid w:val="00D92498"/>
    <w:rsid w:val="00D959AE"/>
    <w:rsid w:val="00D95D67"/>
    <w:rsid w:val="00DA13A4"/>
    <w:rsid w:val="00DA35A1"/>
    <w:rsid w:val="00DA5AB0"/>
    <w:rsid w:val="00DA5E97"/>
    <w:rsid w:val="00DA6F9E"/>
    <w:rsid w:val="00DB2E6F"/>
    <w:rsid w:val="00DB4297"/>
    <w:rsid w:val="00DB535D"/>
    <w:rsid w:val="00DB6D32"/>
    <w:rsid w:val="00DC3DBA"/>
    <w:rsid w:val="00DC4334"/>
    <w:rsid w:val="00DC5E1E"/>
    <w:rsid w:val="00DD41E5"/>
    <w:rsid w:val="00DD4F16"/>
    <w:rsid w:val="00DE25BF"/>
    <w:rsid w:val="00DE3158"/>
    <w:rsid w:val="00DE59EB"/>
    <w:rsid w:val="00DF5461"/>
    <w:rsid w:val="00DF690E"/>
    <w:rsid w:val="00DF7176"/>
    <w:rsid w:val="00E00282"/>
    <w:rsid w:val="00E025E5"/>
    <w:rsid w:val="00E039EF"/>
    <w:rsid w:val="00E1289F"/>
    <w:rsid w:val="00E15D27"/>
    <w:rsid w:val="00E1618A"/>
    <w:rsid w:val="00E205AE"/>
    <w:rsid w:val="00E21DC9"/>
    <w:rsid w:val="00E2252E"/>
    <w:rsid w:val="00E22D81"/>
    <w:rsid w:val="00E240B7"/>
    <w:rsid w:val="00E252C7"/>
    <w:rsid w:val="00E2553E"/>
    <w:rsid w:val="00E2560E"/>
    <w:rsid w:val="00E256AE"/>
    <w:rsid w:val="00E26608"/>
    <w:rsid w:val="00E30257"/>
    <w:rsid w:val="00E30F05"/>
    <w:rsid w:val="00E320C8"/>
    <w:rsid w:val="00E35A1D"/>
    <w:rsid w:val="00E36474"/>
    <w:rsid w:val="00E36A12"/>
    <w:rsid w:val="00E37F9A"/>
    <w:rsid w:val="00E45146"/>
    <w:rsid w:val="00E458B6"/>
    <w:rsid w:val="00E5031E"/>
    <w:rsid w:val="00E511AE"/>
    <w:rsid w:val="00E54467"/>
    <w:rsid w:val="00E5756B"/>
    <w:rsid w:val="00E61376"/>
    <w:rsid w:val="00E61D15"/>
    <w:rsid w:val="00E6378E"/>
    <w:rsid w:val="00E63E8C"/>
    <w:rsid w:val="00E667B0"/>
    <w:rsid w:val="00E70281"/>
    <w:rsid w:val="00E73051"/>
    <w:rsid w:val="00E738A4"/>
    <w:rsid w:val="00E76ACD"/>
    <w:rsid w:val="00E81652"/>
    <w:rsid w:val="00E8353A"/>
    <w:rsid w:val="00E862E1"/>
    <w:rsid w:val="00E87E67"/>
    <w:rsid w:val="00E91C57"/>
    <w:rsid w:val="00E931B4"/>
    <w:rsid w:val="00EA07CE"/>
    <w:rsid w:val="00EA0FBA"/>
    <w:rsid w:val="00EB35E6"/>
    <w:rsid w:val="00EB799E"/>
    <w:rsid w:val="00EC01CD"/>
    <w:rsid w:val="00EC1107"/>
    <w:rsid w:val="00EC403E"/>
    <w:rsid w:val="00EC47D8"/>
    <w:rsid w:val="00EC5E9D"/>
    <w:rsid w:val="00EC6103"/>
    <w:rsid w:val="00EC6412"/>
    <w:rsid w:val="00ED49AA"/>
    <w:rsid w:val="00ED4E43"/>
    <w:rsid w:val="00ED7652"/>
    <w:rsid w:val="00EE0749"/>
    <w:rsid w:val="00EE0F73"/>
    <w:rsid w:val="00EE0FCA"/>
    <w:rsid w:val="00EE6CAE"/>
    <w:rsid w:val="00EF1202"/>
    <w:rsid w:val="00EF2662"/>
    <w:rsid w:val="00EF5518"/>
    <w:rsid w:val="00F01E4B"/>
    <w:rsid w:val="00F0505C"/>
    <w:rsid w:val="00F0745A"/>
    <w:rsid w:val="00F108F0"/>
    <w:rsid w:val="00F12B32"/>
    <w:rsid w:val="00F148E0"/>
    <w:rsid w:val="00F14F8F"/>
    <w:rsid w:val="00F16859"/>
    <w:rsid w:val="00F170D7"/>
    <w:rsid w:val="00F208C7"/>
    <w:rsid w:val="00F3003F"/>
    <w:rsid w:val="00F36F37"/>
    <w:rsid w:val="00F37A98"/>
    <w:rsid w:val="00F42A40"/>
    <w:rsid w:val="00F51115"/>
    <w:rsid w:val="00F51DB7"/>
    <w:rsid w:val="00F54995"/>
    <w:rsid w:val="00F57D13"/>
    <w:rsid w:val="00F646A0"/>
    <w:rsid w:val="00F712CA"/>
    <w:rsid w:val="00F74F98"/>
    <w:rsid w:val="00F75858"/>
    <w:rsid w:val="00F75E9C"/>
    <w:rsid w:val="00F773FC"/>
    <w:rsid w:val="00F830F3"/>
    <w:rsid w:val="00F851EF"/>
    <w:rsid w:val="00F85B86"/>
    <w:rsid w:val="00F9063D"/>
    <w:rsid w:val="00F935D1"/>
    <w:rsid w:val="00F97762"/>
    <w:rsid w:val="00F97782"/>
    <w:rsid w:val="00F97E6A"/>
    <w:rsid w:val="00FA1FF9"/>
    <w:rsid w:val="00FA21FB"/>
    <w:rsid w:val="00FA361F"/>
    <w:rsid w:val="00FA3EDE"/>
    <w:rsid w:val="00FA576D"/>
    <w:rsid w:val="00FA74E1"/>
    <w:rsid w:val="00FA7F1B"/>
    <w:rsid w:val="00FB0BA7"/>
    <w:rsid w:val="00FB200E"/>
    <w:rsid w:val="00FB3A63"/>
    <w:rsid w:val="00FB3AB9"/>
    <w:rsid w:val="00FB41D5"/>
    <w:rsid w:val="00FB71B8"/>
    <w:rsid w:val="00FC40B1"/>
    <w:rsid w:val="00FC4854"/>
    <w:rsid w:val="00FC4BF1"/>
    <w:rsid w:val="00FC4D61"/>
    <w:rsid w:val="00FC6BB0"/>
    <w:rsid w:val="00FD0273"/>
    <w:rsid w:val="00FD1616"/>
    <w:rsid w:val="00FD3091"/>
    <w:rsid w:val="00FD324F"/>
    <w:rsid w:val="00FE08A7"/>
    <w:rsid w:val="00FE0F06"/>
    <w:rsid w:val="00FE199F"/>
    <w:rsid w:val="00FF18F8"/>
    <w:rsid w:val="00FF26A3"/>
    <w:rsid w:val="00FF3BE1"/>
    <w:rsid w:val="00FF7BCB"/>
    <w:rsid w:val="00FF7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aeaea">
      <v:fill color="#eaeaea"/>
      <v:shadow on="t"/>
      <o:colormru v:ext="edit" colors="#fcc,#eaeaea"/>
    </o:shapedefaults>
    <o:shapelayout v:ext="edit">
      <o:idmap v:ext="edit" data="1"/>
    </o:shapelayout>
  </w:shapeDefaults>
  <w:decimalSymbol w:val="."/>
  <w:listSeparator w:val=","/>
  <w14:docId w14:val="3C893BC7"/>
  <w15:docId w15:val="{9251E862-484D-476B-B3AE-09C31CE0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652"/>
    <w:pPr>
      <w:widowControl w:val="0"/>
      <w:jc w:val="both"/>
    </w:pPr>
    <w:rPr>
      <w:kern w:val="2"/>
      <w:sz w:val="21"/>
      <w:szCs w:val="24"/>
    </w:rPr>
  </w:style>
  <w:style w:type="paragraph" w:styleId="1">
    <w:name w:val="heading 1"/>
    <w:basedOn w:val="a"/>
    <w:next w:val="a"/>
    <w:qFormat/>
    <w:rsid w:val="00ED7652"/>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rsid w:val="004C635B"/>
    <w:pPr>
      <w:keepNext/>
      <w:keepLines/>
      <w:numPr>
        <w:numId w:val="4"/>
      </w:numPr>
      <w:spacing w:line="360" w:lineRule="auto"/>
      <w:ind w:left="0" w:firstLineChars="200" w:firstLine="562"/>
      <w:outlineLvl w:val="1"/>
    </w:pPr>
    <w:rPr>
      <w:rFonts w:ascii="仿宋_GB2312" w:eastAsia="仿宋_GB2312"/>
      <w:b/>
      <w:bCs/>
      <w:sz w:val="28"/>
      <w:szCs w:val="28"/>
    </w:rPr>
  </w:style>
  <w:style w:type="paragraph" w:styleId="3">
    <w:name w:val="heading 3"/>
    <w:aliases w:val="Chapter X.X.X."/>
    <w:basedOn w:val="a"/>
    <w:next w:val="a"/>
    <w:qFormat/>
    <w:rsid w:val="00ED7652"/>
    <w:pPr>
      <w:keepNext/>
      <w:jc w:val="center"/>
      <w:outlineLvl w:val="2"/>
    </w:pPr>
    <w:rPr>
      <w:rFonts w:eastAsia="楷体_GB2312"/>
      <w:b/>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ED7652"/>
    <w:rPr>
      <w:sz w:val="18"/>
    </w:rPr>
  </w:style>
  <w:style w:type="character" w:styleId="a3">
    <w:name w:val="footnote reference"/>
    <w:basedOn w:val="a0"/>
    <w:semiHidden/>
    <w:rsid w:val="00ED7652"/>
    <w:rPr>
      <w:vertAlign w:val="superscript"/>
    </w:rPr>
  </w:style>
  <w:style w:type="paragraph" w:styleId="a4">
    <w:name w:val="Normal (Web)"/>
    <w:basedOn w:val="a"/>
    <w:rsid w:val="00ED7652"/>
    <w:pPr>
      <w:widowControl/>
      <w:spacing w:before="100" w:beforeAutospacing="1" w:after="100" w:afterAutospacing="1" w:line="288" w:lineRule="auto"/>
      <w:jc w:val="left"/>
    </w:pPr>
    <w:rPr>
      <w:rFonts w:ascii="Arial Unicode MS" w:eastAsia="Arial Unicode MS" w:hAnsi="Arial Unicode MS" w:cs="Arial Unicode MS"/>
      <w:kern w:val="0"/>
      <w:sz w:val="24"/>
    </w:rPr>
  </w:style>
  <w:style w:type="paragraph" w:styleId="10">
    <w:name w:val="toc 1"/>
    <w:basedOn w:val="a"/>
    <w:next w:val="a"/>
    <w:autoRedefine/>
    <w:semiHidden/>
    <w:rsid w:val="00D7078F"/>
    <w:pPr>
      <w:tabs>
        <w:tab w:val="right" w:leader="dot" w:pos="8296"/>
      </w:tabs>
      <w:spacing w:before="120" w:after="120" w:line="360" w:lineRule="auto"/>
      <w:jc w:val="left"/>
    </w:pPr>
    <w:rPr>
      <w:rFonts w:ascii="黑体" w:eastAsia="黑体"/>
      <w:b/>
      <w:noProof/>
      <w:sz w:val="28"/>
    </w:rPr>
  </w:style>
  <w:style w:type="paragraph" w:styleId="20">
    <w:name w:val="Body Text Indent 2"/>
    <w:basedOn w:val="a"/>
    <w:rsid w:val="00ED7652"/>
    <w:pPr>
      <w:widowControl/>
      <w:spacing w:line="288" w:lineRule="auto"/>
      <w:ind w:firstLineChars="200" w:firstLine="480"/>
      <w:jc w:val="left"/>
    </w:pPr>
    <w:rPr>
      <w:rFonts w:eastAsia="楷体_GB2312"/>
      <w:sz w:val="24"/>
    </w:rPr>
  </w:style>
  <w:style w:type="paragraph" w:styleId="a5">
    <w:name w:val="footnote text"/>
    <w:basedOn w:val="a"/>
    <w:semiHidden/>
    <w:rsid w:val="00ED7652"/>
    <w:pPr>
      <w:snapToGrid w:val="0"/>
      <w:jc w:val="left"/>
    </w:pPr>
    <w:rPr>
      <w:sz w:val="18"/>
      <w:szCs w:val="18"/>
    </w:rPr>
  </w:style>
  <w:style w:type="character" w:styleId="a6">
    <w:name w:val="Hyperlink"/>
    <w:basedOn w:val="a0"/>
    <w:uiPriority w:val="99"/>
    <w:rsid w:val="00ED7652"/>
    <w:rPr>
      <w:color w:val="0000FF"/>
      <w:u w:val="single"/>
    </w:rPr>
  </w:style>
  <w:style w:type="paragraph" w:styleId="a7">
    <w:name w:val="Body Text"/>
    <w:basedOn w:val="a"/>
    <w:rsid w:val="00ED7652"/>
    <w:pPr>
      <w:widowControl/>
      <w:spacing w:line="264" w:lineRule="auto"/>
      <w:jc w:val="left"/>
    </w:pPr>
    <w:rPr>
      <w:rFonts w:eastAsia="楷体_GB2312"/>
      <w:kern w:val="0"/>
      <w:sz w:val="24"/>
    </w:rPr>
  </w:style>
  <w:style w:type="paragraph" w:styleId="21">
    <w:name w:val="toc 2"/>
    <w:basedOn w:val="a"/>
    <w:next w:val="a"/>
    <w:autoRedefine/>
    <w:uiPriority w:val="39"/>
    <w:rsid w:val="007F0F29"/>
    <w:pPr>
      <w:tabs>
        <w:tab w:val="right" w:leader="dot" w:pos="8296"/>
      </w:tabs>
      <w:ind w:leftChars="200" w:left="420"/>
    </w:pPr>
    <w:rPr>
      <w:noProof/>
      <w:sz w:val="28"/>
      <w:szCs w:val="28"/>
    </w:rPr>
  </w:style>
  <w:style w:type="paragraph" w:styleId="31">
    <w:name w:val="toc 3"/>
    <w:basedOn w:val="a"/>
    <w:next w:val="a"/>
    <w:autoRedefine/>
    <w:semiHidden/>
    <w:rsid w:val="00ED7652"/>
    <w:pPr>
      <w:ind w:leftChars="400" w:left="840"/>
    </w:pPr>
  </w:style>
  <w:style w:type="paragraph" w:styleId="4">
    <w:name w:val="toc 4"/>
    <w:basedOn w:val="a"/>
    <w:next w:val="a"/>
    <w:autoRedefine/>
    <w:semiHidden/>
    <w:rsid w:val="00ED7652"/>
    <w:pPr>
      <w:ind w:leftChars="600" w:left="1260"/>
    </w:pPr>
  </w:style>
  <w:style w:type="paragraph" w:styleId="5">
    <w:name w:val="toc 5"/>
    <w:basedOn w:val="a"/>
    <w:next w:val="a"/>
    <w:autoRedefine/>
    <w:semiHidden/>
    <w:rsid w:val="00ED7652"/>
    <w:pPr>
      <w:ind w:leftChars="800" w:left="1680"/>
    </w:pPr>
  </w:style>
  <w:style w:type="paragraph" w:styleId="6">
    <w:name w:val="toc 6"/>
    <w:basedOn w:val="a"/>
    <w:next w:val="a"/>
    <w:autoRedefine/>
    <w:semiHidden/>
    <w:rsid w:val="00ED7652"/>
    <w:pPr>
      <w:ind w:leftChars="1000" w:left="2100"/>
    </w:pPr>
  </w:style>
  <w:style w:type="paragraph" w:styleId="7">
    <w:name w:val="toc 7"/>
    <w:basedOn w:val="a"/>
    <w:next w:val="a"/>
    <w:autoRedefine/>
    <w:semiHidden/>
    <w:rsid w:val="00ED7652"/>
    <w:pPr>
      <w:ind w:leftChars="1200" w:left="2520"/>
    </w:pPr>
  </w:style>
  <w:style w:type="paragraph" w:styleId="8">
    <w:name w:val="toc 8"/>
    <w:basedOn w:val="a"/>
    <w:next w:val="a"/>
    <w:autoRedefine/>
    <w:semiHidden/>
    <w:rsid w:val="00ED7652"/>
    <w:pPr>
      <w:ind w:leftChars="1400" w:left="2940"/>
    </w:pPr>
  </w:style>
  <w:style w:type="paragraph" w:styleId="9">
    <w:name w:val="toc 9"/>
    <w:basedOn w:val="a"/>
    <w:next w:val="a"/>
    <w:autoRedefine/>
    <w:semiHidden/>
    <w:rsid w:val="00ED7652"/>
    <w:pPr>
      <w:ind w:leftChars="1600" w:left="3360"/>
    </w:pPr>
  </w:style>
  <w:style w:type="paragraph" w:styleId="a8">
    <w:name w:val="footer"/>
    <w:basedOn w:val="a"/>
    <w:rsid w:val="00ED7652"/>
    <w:pPr>
      <w:tabs>
        <w:tab w:val="center" w:pos="4153"/>
        <w:tab w:val="right" w:pos="8306"/>
      </w:tabs>
      <w:snapToGrid w:val="0"/>
      <w:jc w:val="left"/>
    </w:pPr>
    <w:rPr>
      <w:sz w:val="18"/>
      <w:szCs w:val="18"/>
    </w:rPr>
  </w:style>
  <w:style w:type="character" w:styleId="a9">
    <w:name w:val="page number"/>
    <w:basedOn w:val="a0"/>
    <w:rsid w:val="00ED7652"/>
  </w:style>
  <w:style w:type="paragraph" w:styleId="aa">
    <w:name w:val="header"/>
    <w:basedOn w:val="a"/>
    <w:rsid w:val="00ED7652"/>
    <w:pPr>
      <w:pBdr>
        <w:bottom w:val="single" w:sz="6" w:space="1" w:color="auto"/>
      </w:pBdr>
      <w:tabs>
        <w:tab w:val="center" w:pos="4153"/>
        <w:tab w:val="right" w:pos="8306"/>
      </w:tabs>
      <w:snapToGrid w:val="0"/>
      <w:jc w:val="center"/>
    </w:pPr>
    <w:rPr>
      <w:sz w:val="18"/>
      <w:szCs w:val="18"/>
    </w:rPr>
  </w:style>
  <w:style w:type="character" w:styleId="ab">
    <w:name w:val="FollowedHyperlink"/>
    <w:basedOn w:val="a0"/>
    <w:rsid w:val="00ED7652"/>
    <w:rPr>
      <w:color w:val="800080"/>
      <w:u w:val="single"/>
    </w:rPr>
  </w:style>
  <w:style w:type="paragraph" w:styleId="ac">
    <w:name w:val="Body Text Indent"/>
    <w:basedOn w:val="a"/>
    <w:rsid w:val="007A14D7"/>
    <w:pPr>
      <w:spacing w:after="120"/>
      <w:ind w:leftChars="200" w:left="420"/>
    </w:pPr>
  </w:style>
  <w:style w:type="paragraph" w:styleId="32">
    <w:name w:val="Body Text Indent 3"/>
    <w:basedOn w:val="a"/>
    <w:rsid w:val="007A14D7"/>
    <w:pPr>
      <w:spacing w:after="120"/>
      <w:ind w:leftChars="200" w:left="420"/>
    </w:pPr>
    <w:rPr>
      <w:sz w:val="16"/>
      <w:szCs w:val="16"/>
    </w:rPr>
  </w:style>
  <w:style w:type="paragraph" w:styleId="ad">
    <w:name w:val="Normal Indent"/>
    <w:basedOn w:val="a"/>
    <w:rsid w:val="007A14D7"/>
    <w:pPr>
      <w:ind w:firstLine="420"/>
    </w:pPr>
    <w:rPr>
      <w:szCs w:val="20"/>
    </w:rPr>
  </w:style>
  <w:style w:type="paragraph" w:customStyle="1" w:styleId="InfoBlue">
    <w:name w:val="InfoBlue"/>
    <w:basedOn w:val="a"/>
    <w:next w:val="a7"/>
    <w:autoRedefine/>
    <w:rsid w:val="007A14D7"/>
    <w:pPr>
      <w:numPr>
        <w:numId w:val="1"/>
      </w:numPr>
      <w:spacing w:after="120" w:line="240" w:lineRule="atLeast"/>
      <w:jc w:val="left"/>
    </w:pPr>
    <w:rPr>
      <w:rFonts w:ascii="宋体" w:hAnsi="宋体"/>
      <w:bCs/>
      <w:iCs/>
    </w:rPr>
  </w:style>
  <w:style w:type="paragraph" w:customStyle="1" w:styleId="Listbullet">
    <w:name w:val="List_bullet"/>
    <w:basedOn w:val="a"/>
    <w:rsid w:val="007A14D7"/>
    <w:pPr>
      <w:widowControl/>
      <w:numPr>
        <w:numId w:val="2"/>
      </w:numPr>
      <w:jc w:val="left"/>
    </w:pPr>
    <w:rPr>
      <w:kern w:val="0"/>
      <w:sz w:val="24"/>
    </w:rPr>
  </w:style>
  <w:style w:type="paragraph" w:styleId="ae">
    <w:name w:val="annotation text"/>
    <w:basedOn w:val="a"/>
    <w:link w:val="Char"/>
    <w:uiPriority w:val="99"/>
    <w:semiHidden/>
    <w:rsid w:val="007A14D7"/>
    <w:pPr>
      <w:jc w:val="left"/>
    </w:pPr>
  </w:style>
  <w:style w:type="paragraph" w:customStyle="1" w:styleId="af">
    <w:name w:val="正文所"/>
    <w:basedOn w:val="a"/>
    <w:rsid w:val="007A14D7"/>
    <w:pPr>
      <w:spacing w:line="360" w:lineRule="auto"/>
      <w:ind w:firstLineChars="200" w:firstLine="420"/>
    </w:pPr>
    <w:rPr>
      <w:rFonts w:ascii="宋体"/>
      <w:szCs w:val="20"/>
    </w:rPr>
  </w:style>
  <w:style w:type="paragraph" w:customStyle="1" w:styleId="Char1CharCharCharCharCharChar">
    <w:name w:val="Char1 Char Char Char Char Char Char"/>
    <w:basedOn w:val="a"/>
    <w:rsid w:val="000F171D"/>
  </w:style>
  <w:style w:type="character" w:styleId="af0">
    <w:name w:val="annotation reference"/>
    <w:basedOn w:val="a0"/>
    <w:uiPriority w:val="99"/>
    <w:semiHidden/>
    <w:rsid w:val="000F171D"/>
    <w:rPr>
      <w:sz w:val="21"/>
      <w:szCs w:val="21"/>
    </w:rPr>
  </w:style>
  <w:style w:type="paragraph" w:styleId="af1">
    <w:name w:val="Balloon Text"/>
    <w:basedOn w:val="a"/>
    <w:semiHidden/>
    <w:rsid w:val="000F171D"/>
    <w:rPr>
      <w:sz w:val="18"/>
      <w:szCs w:val="18"/>
    </w:rPr>
  </w:style>
  <w:style w:type="paragraph" w:customStyle="1" w:styleId="ParaCharCharCharCharCharChar">
    <w:name w:val="默认段落字体 Para Char Char Char Char Char Char"/>
    <w:basedOn w:val="a"/>
    <w:autoRedefine/>
    <w:rsid w:val="004C29E1"/>
    <w:pPr>
      <w:tabs>
        <w:tab w:val="num" w:pos="840"/>
      </w:tabs>
      <w:ind w:left="840" w:hanging="360"/>
    </w:pPr>
    <w:rPr>
      <w:sz w:val="24"/>
    </w:rPr>
  </w:style>
  <w:style w:type="paragraph" w:customStyle="1" w:styleId="CharCharCharCharCharCharChar">
    <w:name w:val="Char Char Char Char Char Char Char"/>
    <w:basedOn w:val="a"/>
    <w:rsid w:val="00D67F02"/>
  </w:style>
  <w:style w:type="character" w:customStyle="1" w:styleId="2Char">
    <w:name w:val="标题 2 Char"/>
    <w:basedOn w:val="a0"/>
    <w:link w:val="2"/>
    <w:rsid w:val="004C635B"/>
    <w:rPr>
      <w:rFonts w:ascii="仿宋_GB2312" w:eastAsia="仿宋_GB2312"/>
      <w:b/>
      <w:bCs/>
      <w:kern w:val="2"/>
      <w:sz w:val="28"/>
      <w:szCs w:val="28"/>
    </w:rPr>
  </w:style>
  <w:style w:type="character" w:customStyle="1" w:styleId="Char">
    <w:name w:val="批注文字 Char"/>
    <w:link w:val="ae"/>
    <w:uiPriority w:val="99"/>
    <w:semiHidden/>
    <w:rsid w:val="008D2E07"/>
    <w:rPr>
      <w:kern w:val="2"/>
      <w:sz w:val="21"/>
      <w:szCs w:val="24"/>
    </w:rPr>
  </w:style>
  <w:style w:type="paragraph" w:customStyle="1" w:styleId="Default">
    <w:name w:val="Default"/>
    <w:rsid w:val="00E256AE"/>
    <w:pPr>
      <w:widowControl w:val="0"/>
      <w:autoSpaceDE w:val="0"/>
      <w:autoSpaceDN w:val="0"/>
      <w:adjustRightInd w:val="0"/>
    </w:pPr>
    <w:rPr>
      <w:color w:val="000000"/>
      <w:sz w:val="24"/>
      <w:szCs w:val="24"/>
    </w:rPr>
  </w:style>
  <w:style w:type="paragraph" w:styleId="af2">
    <w:name w:val="annotation subject"/>
    <w:basedOn w:val="ae"/>
    <w:next w:val="ae"/>
    <w:link w:val="Char0"/>
    <w:rsid w:val="00510BC2"/>
    <w:rPr>
      <w:b/>
      <w:bCs/>
    </w:rPr>
  </w:style>
  <w:style w:type="character" w:customStyle="1" w:styleId="Char0">
    <w:name w:val="批注主题 Char"/>
    <w:basedOn w:val="Char"/>
    <w:link w:val="af2"/>
    <w:rsid w:val="00510BC2"/>
    <w:rPr>
      <w:b/>
      <w:bCs/>
      <w:kern w:val="2"/>
      <w:sz w:val="21"/>
      <w:szCs w:val="24"/>
    </w:rPr>
  </w:style>
  <w:style w:type="paragraph" w:styleId="af3">
    <w:name w:val="List Paragraph"/>
    <w:basedOn w:val="a"/>
    <w:qFormat/>
    <w:rsid w:val="00EC403E"/>
    <w:pPr>
      <w:ind w:firstLineChars="200" w:firstLine="420"/>
    </w:pPr>
  </w:style>
  <w:style w:type="paragraph" w:styleId="af4">
    <w:name w:val="Revision"/>
    <w:hidden/>
    <w:uiPriority w:val="99"/>
    <w:semiHidden/>
    <w:rsid w:val="0077075D"/>
    <w:rPr>
      <w:kern w:val="2"/>
      <w:sz w:val="21"/>
      <w:szCs w:val="24"/>
    </w:rPr>
  </w:style>
  <w:style w:type="character" w:styleId="af5">
    <w:name w:val="Placeholder Text"/>
    <w:basedOn w:val="a0"/>
    <w:uiPriority w:val="99"/>
    <w:semiHidden/>
    <w:rsid w:val="00D141E4"/>
    <w:rPr>
      <w:color w:val="808080"/>
    </w:rPr>
  </w:style>
  <w:style w:type="paragraph" w:styleId="af6">
    <w:name w:val="Title"/>
    <w:basedOn w:val="a"/>
    <w:next w:val="a"/>
    <w:link w:val="Char1"/>
    <w:qFormat/>
    <w:rsid w:val="008141E3"/>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f6"/>
    <w:rsid w:val="008141E3"/>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48501">
      <w:bodyDiv w:val="1"/>
      <w:marLeft w:val="0"/>
      <w:marRight w:val="0"/>
      <w:marTop w:val="0"/>
      <w:marBottom w:val="0"/>
      <w:divBdr>
        <w:top w:val="none" w:sz="0" w:space="0" w:color="auto"/>
        <w:left w:val="none" w:sz="0" w:space="0" w:color="auto"/>
        <w:bottom w:val="none" w:sz="0" w:space="0" w:color="auto"/>
        <w:right w:val="none" w:sz="0" w:space="0" w:color="auto"/>
      </w:divBdr>
      <w:divsChild>
        <w:div w:id="1074473984">
          <w:marLeft w:val="0"/>
          <w:marRight w:val="0"/>
          <w:marTop w:val="0"/>
          <w:marBottom w:val="0"/>
          <w:divBdr>
            <w:top w:val="none" w:sz="0" w:space="0" w:color="auto"/>
            <w:left w:val="none" w:sz="0" w:space="0" w:color="auto"/>
            <w:bottom w:val="none" w:sz="0" w:space="0" w:color="auto"/>
            <w:right w:val="none" w:sz="0" w:space="0" w:color="auto"/>
          </w:divBdr>
          <w:divsChild>
            <w:div w:id="801575499">
              <w:marLeft w:val="0"/>
              <w:marRight w:val="0"/>
              <w:marTop w:val="0"/>
              <w:marBottom w:val="0"/>
              <w:divBdr>
                <w:top w:val="none" w:sz="0" w:space="0" w:color="auto"/>
                <w:left w:val="none" w:sz="0" w:space="0" w:color="auto"/>
                <w:bottom w:val="none" w:sz="0" w:space="0" w:color="auto"/>
                <w:right w:val="none" w:sz="0" w:space="0" w:color="auto"/>
              </w:divBdr>
            </w:div>
            <w:div w:id="1349336841">
              <w:marLeft w:val="0"/>
              <w:marRight w:val="0"/>
              <w:marTop w:val="0"/>
              <w:marBottom w:val="0"/>
              <w:divBdr>
                <w:top w:val="none" w:sz="0" w:space="0" w:color="auto"/>
                <w:left w:val="none" w:sz="0" w:space="0" w:color="auto"/>
                <w:bottom w:val="none" w:sz="0" w:space="0" w:color="auto"/>
                <w:right w:val="none" w:sz="0" w:space="0" w:color="auto"/>
              </w:divBdr>
            </w:div>
            <w:div w:id="1420370399">
              <w:marLeft w:val="0"/>
              <w:marRight w:val="0"/>
              <w:marTop w:val="0"/>
              <w:marBottom w:val="0"/>
              <w:divBdr>
                <w:top w:val="none" w:sz="0" w:space="0" w:color="auto"/>
                <w:left w:val="none" w:sz="0" w:space="0" w:color="auto"/>
                <w:bottom w:val="none" w:sz="0" w:space="0" w:color="auto"/>
                <w:right w:val="none" w:sz="0" w:space="0" w:color="auto"/>
              </w:divBdr>
            </w:div>
            <w:div w:id="1437292359">
              <w:marLeft w:val="0"/>
              <w:marRight w:val="0"/>
              <w:marTop w:val="0"/>
              <w:marBottom w:val="0"/>
              <w:divBdr>
                <w:top w:val="none" w:sz="0" w:space="0" w:color="auto"/>
                <w:left w:val="none" w:sz="0" w:space="0" w:color="auto"/>
                <w:bottom w:val="none" w:sz="0" w:space="0" w:color="auto"/>
                <w:right w:val="none" w:sz="0" w:space="0" w:color="auto"/>
              </w:divBdr>
            </w:div>
            <w:div w:id="1801072668">
              <w:marLeft w:val="0"/>
              <w:marRight w:val="0"/>
              <w:marTop w:val="0"/>
              <w:marBottom w:val="0"/>
              <w:divBdr>
                <w:top w:val="none" w:sz="0" w:space="0" w:color="auto"/>
                <w:left w:val="none" w:sz="0" w:space="0" w:color="auto"/>
                <w:bottom w:val="none" w:sz="0" w:space="0" w:color="auto"/>
                <w:right w:val="none" w:sz="0" w:space="0" w:color="auto"/>
              </w:divBdr>
            </w:div>
            <w:div w:id="213918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76439">
      <w:bodyDiv w:val="1"/>
      <w:marLeft w:val="0"/>
      <w:marRight w:val="0"/>
      <w:marTop w:val="0"/>
      <w:marBottom w:val="0"/>
      <w:divBdr>
        <w:top w:val="none" w:sz="0" w:space="0" w:color="auto"/>
        <w:left w:val="none" w:sz="0" w:space="0" w:color="auto"/>
        <w:bottom w:val="none" w:sz="0" w:space="0" w:color="auto"/>
        <w:right w:val="none" w:sz="0" w:space="0" w:color="auto"/>
      </w:divBdr>
      <w:divsChild>
        <w:div w:id="512453829">
          <w:marLeft w:val="0"/>
          <w:marRight w:val="0"/>
          <w:marTop w:val="0"/>
          <w:marBottom w:val="0"/>
          <w:divBdr>
            <w:top w:val="none" w:sz="0" w:space="0" w:color="auto"/>
            <w:left w:val="none" w:sz="0" w:space="0" w:color="auto"/>
            <w:bottom w:val="none" w:sz="0" w:space="0" w:color="auto"/>
            <w:right w:val="none" w:sz="0" w:space="0" w:color="auto"/>
          </w:divBdr>
        </w:div>
        <w:div w:id="1263605045">
          <w:marLeft w:val="0"/>
          <w:marRight w:val="0"/>
          <w:marTop w:val="0"/>
          <w:marBottom w:val="0"/>
          <w:divBdr>
            <w:top w:val="none" w:sz="0" w:space="0" w:color="auto"/>
            <w:left w:val="none" w:sz="0" w:space="0" w:color="auto"/>
            <w:bottom w:val="none" w:sz="0" w:space="0" w:color="auto"/>
            <w:right w:val="none" w:sz="0" w:space="0" w:color="auto"/>
          </w:divBdr>
        </w:div>
        <w:div w:id="1862278593">
          <w:marLeft w:val="0"/>
          <w:marRight w:val="0"/>
          <w:marTop w:val="0"/>
          <w:marBottom w:val="0"/>
          <w:divBdr>
            <w:top w:val="none" w:sz="0" w:space="0" w:color="auto"/>
            <w:left w:val="none" w:sz="0" w:space="0" w:color="auto"/>
            <w:bottom w:val="none" w:sz="0" w:space="0" w:color="auto"/>
            <w:right w:val="none" w:sz="0" w:space="0" w:color="auto"/>
          </w:divBdr>
        </w:div>
      </w:divsChild>
    </w:div>
    <w:div w:id="595554436">
      <w:bodyDiv w:val="1"/>
      <w:marLeft w:val="0"/>
      <w:marRight w:val="0"/>
      <w:marTop w:val="0"/>
      <w:marBottom w:val="0"/>
      <w:divBdr>
        <w:top w:val="none" w:sz="0" w:space="0" w:color="auto"/>
        <w:left w:val="none" w:sz="0" w:space="0" w:color="auto"/>
        <w:bottom w:val="none" w:sz="0" w:space="0" w:color="auto"/>
        <w:right w:val="none" w:sz="0" w:space="0" w:color="auto"/>
      </w:divBdr>
    </w:div>
    <w:div w:id="1002009301">
      <w:bodyDiv w:val="1"/>
      <w:marLeft w:val="0"/>
      <w:marRight w:val="0"/>
      <w:marTop w:val="0"/>
      <w:marBottom w:val="0"/>
      <w:divBdr>
        <w:top w:val="none" w:sz="0" w:space="0" w:color="auto"/>
        <w:left w:val="none" w:sz="0" w:space="0" w:color="auto"/>
        <w:bottom w:val="none" w:sz="0" w:space="0" w:color="auto"/>
        <w:right w:val="none" w:sz="0" w:space="0" w:color="auto"/>
      </w:divBdr>
    </w:div>
    <w:div w:id="1021586409">
      <w:bodyDiv w:val="1"/>
      <w:marLeft w:val="0"/>
      <w:marRight w:val="0"/>
      <w:marTop w:val="0"/>
      <w:marBottom w:val="0"/>
      <w:divBdr>
        <w:top w:val="none" w:sz="0" w:space="0" w:color="auto"/>
        <w:left w:val="none" w:sz="0" w:space="0" w:color="auto"/>
        <w:bottom w:val="none" w:sz="0" w:space="0" w:color="auto"/>
        <w:right w:val="none" w:sz="0" w:space="0" w:color="auto"/>
      </w:divBdr>
      <w:divsChild>
        <w:div w:id="527833762">
          <w:marLeft w:val="1224"/>
          <w:marRight w:val="0"/>
          <w:marTop w:val="96"/>
          <w:marBottom w:val="0"/>
          <w:divBdr>
            <w:top w:val="none" w:sz="0" w:space="0" w:color="auto"/>
            <w:left w:val="none" w:sz="0" w:space="0" w:color="auto"/>
            <w:bottom w:val="none" w:sz="0" w:space="0" w:color="auto"/>
            <w:right w:val="none" w:sz="0" w:space="0" w:color="auto"/>
          </w:divBdr>
        </w:div>
        <w:div w:id="1557350741">
          <w:marLeft w:val="1224"/>
          <w:marRight w:val="0"/>
          <w:marTop w:val="96"/>
          <w:marBottom w:val="0"/>
          <w:divBdr>
            <w:top w:val="none" w:sz="0" w:space="0" w:color="auto"/>
            <w:left w:val="none" w:sz="0" w:space="0" w:color="auto"/>
            <w:bottom w:val="none" w:sz="0" w:space="0" w:color="auto"/>
            <w:right w:val="none" w:sz="0" w:space="0" w:color="auto"/>
          </w:divBdr>
        </w:div>
      </w:divsChild>
    </w:div>
    <w:div w:id="1144615493">
      <w:bodyDiv w:val="1"/>
      <w:marLeft w:val="0"/>
      <w:marRight w:val="0"/>
      <w:marTop w:val="0"/>
      <w:marBottom w:val="0"/>
      <w:divBdr>
        <w:top w:val="none" w:sz="0" w:space="0" w:color="auto"/>
        <w:left w:val="none" w:sz="0" w:space="0" w:color="auto"/>
        <w:bottom w:val="none" w:sz="0" w:space="0" w:color="auto"/>
        <w:right w:val="none" w:sz="0" w:space="0" w:color="auto"/>
      </w:divBdr>
      <w:divsChild>
        <w:div w:id="792751060">
          <w:marLeft w:val="0"/>
          <w:marRight w:val="0"/>
          <w:marTop w:val="0"/>
          <w:marBottom w:val="0"/>
          <w:divBdr>
            <w:top w:val="none" w:sz="0" w:space="0" w:color="auto"/>
            <w:left w:val="none" w:sz="0" w:space="0" w:color="auto"/>
            <w:bottom w:val="none" w:sz="0" w:space="0" w:color="auto"/>
            <w:right w:val="none" w:sz="0" w:space="0" w:color="auto"/>
          </w:divBdr>
          <w:divsChild>
            <w:div w:id="930435836">
              <w:marLeft w:val="0"/>
              <w:marRight w:val="0"/>
              <w:marTop w:val="0"/>
              <w:marBottom w:val="0"/>
              <w:divBdr>
                <w:top w:val="none" w:sz="0" w:space="0" w:color="auto"/>
                <w:left w:val="none" w:sz="0" w:space="0" w:color="auto"/>
                <w:bottom w:val="none" w:sz="0" w:space="0" w:color="auto"/>
                <w:right w:val="none" w:sz="0" w:space="0" w:color="auto"/>
              </w:divBdr>
            </w:div>
            <w:div w:id="17445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70152">
      <w:bodyDiv w:val="1"/>
      <w:marLeft w:val="0"/>
      <w:marRight w:val="0"/>
      <w:marTop w:val="0"/>
      <w:marBottom w:val="0"/>
      <w:divBdr>
        <w:top w:val="none" w:sz="0" w:space="0" w:color="auto"/>
        <w:left w:val="none" w:sz="0" w:space="0" w:color="auto"/>
        <w:bottom w:val="none" w:sz="0" w:space="0" w:color="auto"/>
        <w:right w:val="none" w:sz="0" w:space="0" w:color="auto"/>
      </w:divBdr>
      <w:divsChild>
        <w:div w:id="1793353864">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0"/>
              <w:divBdr>
                <w:top w:val="none" w:sz="0" w:space="0" w:color="auto"/>
                <w:left w:val="none" w:sz="0" w:space="0" w:color="auto"/>
                <w:bottom w:val="none" w:sz="0" w:space="0" w:color="auto"/>
                <w:right w:val="none" w:sz="0" w:space="0" w:color="auto"/>
              </w:divBdr>
            </w:div>
            <w:div w:id="949704035">
              <w:marLeft w:val="0"/>
              <w:marRight w:val="0"/>
              <w:marTop w:val="0"/>
              <w:marBottom w:val="0"/>
              <w:divBdr>
                <w:top w:val="none" w:sz="0" w:space="0" w:color="auto"/>
                <w:left w:val="none" w:sz="0" w:space="0" w:color="auto"/>
                <w:bottom w:val="none" w:sz="0" w:space="0" w:color="auto"/>
                <w:right w:val="none" w:sz="0" w:space="0" w:color="auto"/>
              </w:divBdr>
            </w:div>
            <w:div w:id="1018048210">
              <w:marLeft w:val="0"/>
              <w:marRight w:val="0"/>
              <w:marTop w:val="0"/>
              <w:marBottom w:val="0"/>
              <w:divBdr>
                <w:top w:val="none" w:sz="0" w:space="0" w:color="auto"/>
                <w:left w:val="none" w:sz="0" w:space="0" w:color="auto"/>
                <w:bottom w:val="none" w:sz="0" w:space="0" w:color="auto"/>
                <w:right w:val="none" w:sz="0" w:space="0" w:color="auto"/>
              </w:divBdr>
            </w:div>
            <w:div w:id="1283997006">
              <w:marLeft w:val="0"/>
              <w:marRight w:val="0"/>
              <w:marTop w:val="0"/>
              <w:marBottom w:val="0"/>
              <w:divBdr>
                <w:top w:val="none" w:sz="0" w:space="0" w:color="auto"/>
                <w:left w:val="none" w:sz="0" w:space="0" w:color="auto"/>
                <w:bottom w:val="none" w:sz="0" w:space="0" w:color="auto"/>
                <w:right w:val="none" w:sz="0" w:space="0" w:color="auto"/>
              </w:divBdr>
            </w:div>
            <w:div w:id="1410880523">
              <w:marLeft w:val="0"/>
              <w:marRight w:val="0"/>
              <w:marTop w:val="0"/>
              <w:marBottom w:val="0"/>
              <w:divBdr>
                <w:top w:val="none" w:sz="0" w:space="0" w:color="auto"/>
                <w:left w:val="none" w:sz="0" w:space="0" w:color="auto"/>
                <w:bottom w:val="none" w:sz="0" w:space="0" w:color="auto"/>
                <w:right w:val="none" w:sz="0" w:space="0" w:color="auto"/>
              </w:divBdr>
            </w:div>
            <w:div w:id="17280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2605">
      <w:bodyDiv w:val="1"/>
      <w:marLeft w:val="0"/>
      <w:marRight w:val="0"/>
      <w:marTop w:val="0"/>
      <w:marBottom w:val="0"/>
      <w:divBdr>
        <w:top w:val="none" w:sz="0" w:space="0" w:color="auto"/>
        <w:left w:val="none" w:sz="0" w:space="0" w:color="auto"/>
        <w:bottom w:val="none" w:sz="0" w:space="0" w:color="auto"/>
        <w:right w:val="none" w:sz="0" w:space="0" w:color="auto"/>
      </w:divBdr>
    </w:div>
    <w:div w:id="1504469957">
      <w:bodyDiv w:val="1"/>
      <w:marLeft w:val="0"/>
      <w:marRight w:val="0"/>
      <w:marTop w:val="0"/>
      <w:marBottom w:val="0"/>
      <w:divBdr>
        <w:top w:val="none" w:sz="0" w:space="0" w:color="auto"/>
        <w:left w:val="none" w:sz="0" w:space="0" w:color="auto"/>
        <w:bottom w:val="none" w:sz="0" w:space="0" w:color="auto"/>
        <w:right w:val="none" w:sz="0" w:space="0" w:color="auto"/>
      </w:divBdr>
    </w:div>
    <w:div w:id="1570114320">
      <w:bodyDiv w:val="1"/>
      <w:marLeft w:val="0"/>
      <w:marRight w:val="0"/>
      <w:marTop w:val="0"/>
      <w:marBottom w:val="0"/>
      <w:divBdr>
        <w:top w:val="none" w:sz="0" w:space="0" w:color="auto"/>
        <w:left w:val="none" w:sz="0" w:space="0" w:color="auto"/>
        <w:bottom w:val="none" w:sz="0" w:space="0" w:color="auto"/>
        <w:right w:val="none" w:sz="0" w:space="0" w:color="auto"/>
      </w:divBdr>
    </w:div>
    <w:div w:id="1707484328">
      <w:bodyDiv w:val="1"/>
      <w:marLeft w:val="0"/>
      <w:marRight w:val="0"/>
      <w:marTop w:val="0"/>
      <w:marBottom w:val="0"/>
      <w:divBdr>
        <w:top w:val="none" w:sz="0" w:space="0" w:color="auto"/>
        <w:left w:val="none" w:sz="0" w:space="0" w:color="auto"/>
        <w:bottom w:val="none" w:sz="0" w:space="0" w:color="auto"/>
        <w:right w:val="none" w:sz="0" w:space="0" w:color="auto"/>
      </w:divBdr>
    </w:div>
    <w:div w:id="1881891737">
      <w:bodyDiv w:val="1"/>
      <w:marLeft w:val="0"/>
      <w:marRight w:val="0"/>
      <w:marTop w:val="0"/>
      <w:marBottom w:val="0"/>
      <w:divBdr>
        <w:top w:val="none" w:sz="0" w:space="0" w:color="auto"/>
        <w:left w:val="none" w:sz="0" w:space="0" w:color="auto"/>
        <w:bottom w:val="none" w:sz="0" w:space="0" w:color="auto"/>
        <w:right w:val="none" w:sz="0" w:space="0" w:color="auto"/>
      </w:divBdr>
      <w:divsChild>
        <w:div w:id="1060322318">
          <w:marLeft w:val="0"/>
          <w:marRight w:val="0"/>
          <w:marTop w:val="0"/>
          <w:marBottom w:val="0"/>
          <w:divBdr>
            <w:top w:val="none" w:sz="0" w:space="0" w:color="auto"/>
            <w:left w:val="none" w:sz="0" w:space="0" w:color="auto"/>
            <w:bottom w:val="none" w:sz="0" w:space="0" w:color="auto"/>
            <w:right w:val="none" w:sz="0" w:space="0" w:color="auto"/>
          </w:divBdr>
          <w:divsChild>
            <w:div w:id="1122266213">
              <w:marLeft w:val="0"/>
              <w:marRight w:val="0"/>
              <w:marTop w:val="0"/>
              <w:marBottom w:val="0"/>
              <w:divBdr>
                <w:top w:val="none" w:sz="0" w:space="0" w:color="auto"/>
                <w:left w:val="none" w:sz="0" w:space="0" w:color="auto"/>
                <w:bottom w:val="none" w:sz="0" w:space="0" w:color="auto"/>
                <w:right w:val="none" w:sz="0" w:space="0" w:color="auto"/>
              </w:divBdr>
            </w:div>
            <w:div w:id="1178034692">
              <w:marLeft w:val="0"/>
              <w:marRight w:val="0"/>
              <w:marTop w:val="0"/>
              <w:marBottom w:val="0"/>
              <w:divBdr>
                <w:top w:val="none" w:sz="0" w:space="0" w:color="auto"/>
                <w:left w:val="none" w:sz="0" w:space="0" w:color="auto"/>
                <w:bottom w:val="none" w:sz="0" w:space="0" w:color="auto"/>
                <w:right w:val="none" w:sz="0" w:space="0" w:color="auto"/>
              </w:divBdr>
            </w:div>
            <w:div w:id="1438409057">
              <w:marLeft w:val="0"/>
              <w:marRight w:val="0"/>
              <w:marTop w:val="0"/>
              <w:marBottom w:val="0"/>
              <w:divBdr>
                <w:top w:val="none" w:sz="0" w:space="0" w:color="auto"/>
                <w:left w:val="none" w:sz="0" w:space="0" w:color="auto"/>
                <w:bottom w:val="none" w:sz="0" w:space="0" w:color="auto"/>
                <w:right w:val="none" w:sz="0" w:space="0" w:color="auto"/>
              </w:divBdr>
            </w:div>
            <w:div w:id="1745838302">
              <w:marLeft w:val="0"/>
              <w:marRight w:val="0"/>
              <w:marTop w:val="0"/>
              <w:marBottom w:val="0"/>
              <w:divBdr>
                <w:top w:val="none" w:sz="0" w:space="0" w:color="auto"/>
                <w:left w:val="none" w:sz="0" w:space="0" w:color="auto"/>
                <w:bottom w:val="none" w:sz="0" w:space="0" w:color="auto"/>
                <w:right w:val="none" w:sz="0" w:space="0" w:color="auto"/>
              </w:divBdr>
            </w:div>
            <w:div w:id="1835993194">
              <w:marLeft w:val="0"/>
              <w:marRight w:val="0"/>
              <w:marTop w:val="0"/>
              <w:marBottom w:val="0"/>
              <w:divBdr>
                <w:top w:val="none" w:sz="0" w:space="0" w:color="auto"/>
                <w:left w:val="none" w:sz="0" w:space="0" w:color="auto"/>
                <w:bottom w:val="none" w:sz="0" w:space="0" w:color="auto"/>
                <w:right w:val="none" w:sz="0" w:space="0" w:color="auto"/>
              </w:divBdr>
            </w:div>
            <w:div w:id="21016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A1180-D92C-42EB-9FE7-910AD67E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1205</Words>
  <Characters>6873</Characters>
  <Application>Microsoft Office Word</Application>
  <DocSecurity>0</DocSecurity>
  <Lines>57</Lines>
  <Paragraphs>16</Paragraphs>
  <ScaleCrop>false</ScaleCrop>
  <Company>chinaamc</Company>
  <LinksUpToDate>false</LinksUpToDate>
  <CharactersWithSpaces>8062</CharactersWithSpaces>
  <SharedDoc>false</SharedDoc>
  <HLinks>
    <vt:vector size="66" baseType="variant">
      <vt:variant>
        <vt:i4>1048638</vt:i4>
      </vt:variant>
      <vt:variant>
        <vt:i4>62</vt:i4>
      </vt:variant>
      <vt:variant>
        <vt:i4>0</vt:i4>
      </vt:variant>
      <vt:variant>
        <vt:i4>5</vt:i4>
      </vt:variant>
      <vt:variant>
        <vt:lpwstr/>
      </vt:variant>
      <vt:variant>
        <vt:lpwstr>_Toc355215951</vt:lpwstr>
      </vt:variant>
      <vt:variant>
        <vt:i4>1048638</vt:i4>
      </vt:variant>
      <vt:variant>
        <vt:i4>56</vt:i4>
      </vt:variant>
      <vt:variant>
        <vt:i4>0</vt:i4>
      </vt:variant>
      <vt:variant>
        <vt:i4>5</vt:i4>
      </vt:variant>
      <vt:variant>
        <vt:lpwstr/>
      </vt:variant>
      <vt:variant>
        <vt:lpwstr>_Toc355215950</vt:lpwstr>
      </vt:variant>
      <vt:variant>
        <vt:i4>1114174</vt:i4>
      </vt:variant>
      <vt:variant>
        <vt:i4>50</vt:i4>
      </vt:variant>
      <vt:variant>
        <vt:i4>0</vt:i4>
      </vt:variant>
      <vt:variant>
        <vt:i4>5</vt:i4>
      </vt:variant>
      <vt:variant>
        <vt:lpwstr/>
      </vt:variant>
      <vt:variant>
        <vt:lpwstr>_Toc355215949</vt:lpwstr>
      </vt:variant>
      <vt:variant>
        <vt:i4>1114174</vt:i4>
      </vt:variant>
      <vt:variant>
        <vt:i4>44</vt:i4>
      </vt:variant>
      <vt:variant>
        <vt:i4>0</vt:i4>
      </vt:variant>
      <vt:variant>
        <vt:i4>5</vt:i4>
      </vt:variant>
      <vt:variant>
        <vt:lpwstr/>
      </vt:variant>
      <vt:variant>
        <vt:lpwstr>_Toc355215948</vt:lpwstr>
      </vt:variant>
      <vt:variant>
        <vt:i4>1114174</vt:i4>
      </vt:variant>
      <vt:variant>
        <vt:i4>38</vt:i4>
      </vt:variant>
      <vt:variant>
        <vt:i4>0</vt:i4>
      </vt:variant>
      <vt:variant>
        <vt:i4>5</vt:i4>
      </vt:variant>
      <vt:variant>
        <vt:lpwstr/>
      </vt:variant>
      <vt:variant>
        <vt:lpwstr>_Toc355215947</vt:lpwstr>
      </vt:variant>
      <vt:variant>
        <vt:i4>1114174</vt:i4>
      </vt:variant>
      <vt:variant>
        <vt:i4>32</vt:i4>
      </vt:variant>
      <vt:variant>
        <vt:i4>0</vt:i4>
      </vt:variant>
      <vt:variant>
        <vt:i4>5</vt:i4>
      </vt:variant>
      <vt:variant>
        <vt:lpwstr/>
      </vt:variant>
      <vt:variant>
        <vt:lpwstr>_Toc355215946</vt:lpwstr>
      </vt:variant>
      <vt:variant>
        <vt:i4>1114174</vt:i4>
      </vt:variant>
      <vt:variant>
        <vt:i4>26</vt:i4>
      </vt:variant>
      <vt:variant>
        <vt:i4>0</vt:i4>
      </vt:variant>
      <vt:variant>
        <vt:i4>5</vt:i4>
      </vt:variant>
      <vt:variant>
        <vt:lpwstr/>
      </vt:variant>
      <vt:variant>
        <vt:lpwstr>_Toc355215945</vt:lpwstr>
      </vt:variant>
      <vt:variant>
        <vt:i4>1114174</vt:i4>
      </vt:variant>
      <vt:variant>
        <vt:i4>20</vt:i4>
      </vt:variant>
      <vt:variant>
        <vt:i4>0</vt:i4>
      </vt:variant>
      <vt:variant>
        <vt:i4>5</vt:i4>
      </vt:variant>
      <vt:variant>
        <vt:lpwstr/>
      </vt:variant>
      <vt:variant>
        <vt:lpwstr>_Toc355215944</vt:lpwstr>
      </vt:variant>
      <vt:variant>
        <vt:i4>1114174</vt:i4>
      </vt:variant>
      <vt:variant>
        <vt:i4>14</vt:i4>
      </vt:variant>
      <vt:variant>
        <vt:i4>0</vt:i4>
      </vt:variant>
      <vt:variant>
        <vt:i4>5</vt:i4>
      </vt:variant>
      <vt:variant>
        <vt:lpwstr/>
      </vt:variant>
      <vt:variant>
        <vt:lpwstr>_Toc355215943</vt:lpwstr>
      </vt:variant>
      <vt:variant>
        <vt:i4>1114174</vt:i4>
      </vt:variant>
      <vt:variant>
        <vt:i4>8</vt:i4>
      </vt:variant>
      <vt:variant>
        <vt:i4>0</vt:i4>
      </vt:variant>
      <vt:variant>
        <vt:i4>5</vt:i4>
      </vt:variant>
      <vt:variant>
        <vt:lpwstr/>
      </vt:variant>
      <vt:variant>
        <vt:lpwstr>_Toc355215942</vt:lpwstr>
      </vt:variant>
      <vt:variant>
        <vt:i4>1114174</vt:i4>
      </vt:variant>
      <vt:variant>
        <vt:i4>2</vt:i4>
      </vt:variant>
      <vt:variant>
        <vt:i4>0</vt:i4>
      </vt:variant>
      <vt:variant>
        <vt:i4>5</vt:i4>
      </vt:variant>
      <vt:variant>
        <vt:lpwstr/>
      </vt:variant>
      <vt:variant>
        <vt:lpwstr>_Toc355215941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产品说明书(文字稿)</dc:title>
  <dc:creator>zhanght</dc:creator>
  <cp:lastModifiedBy>刘晨晨</cp:lastModifiedBy>
  <cp:revision>108</cp:revision>
  <cp:lastPrinted>2007-11-21T09:54:00Z</cp:lastPrinted>
  <dcterms:created xsi:type="dcterms:W3CDTF">2015-08-05T02:01:00Z</dcterms:created>
  <dcterms:modified xsi:type="dcterms:W3CDTF">2022-11-12T14:10:00Z</dcterms:modified>
</cp:coreProperties>
</file>