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FC844" w14:textId="77777777" w:rsidR="00F3528E" w:rsidRPr="00EB07BC" w:rsidRDefault="00F3528E">
      <w:pPr>
        <w:rPr>
          <w:sz w:val="32"/>
        </w:rPr>
      </w:pPr>
    </w:p>
    <w:p w14:paraId="1D62AC7A" w14:textId="77777777" w:rsidR="00F3528E" w:rsidRPr="00EB07BC" w:rsidRDefault="00F3528E">
      <w:pPr>
        <w:rPr>
          <w:sz w:val="32"/>
        </w:rPr>
      </w:pPr>
    </w:p>
    <w:p w14:paraId="6D7F7AA4" w14:textId="77777777" w:rsidR="00F3528E" w:rsidRPr="00EB07BC" w:rsidRDefault="00F3528E">
      <w:pPr>
        <w:rPr>
          <w:sz w:val="32"/>
        </w:rPr>
      </w:pPr>
    </w:p>
    <w:p w14:paraId="4E90D9DE" w14:textId="49DD6458" w:rsidR="00F3528E" w:rsidRPr="003E746D" w:rsidRDefault="00C76A2C">
      <w:pPr>
        <w:jc w:val="center"/>
        <w:rPr>
          <w:sz w:val="32"/>
        </w:rPr>
      </w:pPr>
      <w:r w:rsidRPr="003E746D">
        <w:rPr>
          <w:noProof/>
        </w:rPr>
        <w:drawing>
          <wp:inline distT="0" distB="0" distL="0" distR="0" wp14:anchorId="3139CEC5" wp14:editId="3BBFD865">
            <wp:extent cx="4345305" cy="570865"/>
            <wp:effectExtent l="0" t="0" r="0" b="635"/>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5305" cy="570865"/>
                    </a:xfrm>
                    <a:prstGeom prst="rect">
                      <a:avLst/>
                    </a:prstGeom>
                    <a:noFill/>
                    <a:ln>
                      <a:noFill/>
                    </a:ln>
                  </pic:spPr>
                </pic:pic>
              </a:graphicData>
            </a:graphic>
          </wp:inline>
        </w:drawing>
      </w:r>
    </w:p>
    <w:p w14:paraId="2602EFE5" w14:textId="77777777" w:rsidR="004D2F6C" w:rsidRPr="003E746D" w:rsidRDefault="004D2F6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59B9DA4A" w14:textId="77777777" w:rsidR="004D2F6C" w:rsidRPr="003E746D" w:rsidRDefault="004D2F6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9F82844" w14:textId="77777777" w:rsidR="004D2F6C" w:rsidRPr="003E746D" w:rsidRDefault="00435F28">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sidRPr="003E746D">
        <w:rPr>
          <w:rFonts w:ascii="Times New Roman" w:hAnsi="Times New Roman"/>
          <w:b/>
          <w:spacing w:val="2"/>
          <w:w w:val="99"/>
          <w:kern w:val="0"/>
          <w:position w:val="-4"/>
          <w:sz w:val="44"/>
          <w:szCs w:val="44"/>
        </w:rPr>
        <w:t>交银施罗德安享稳健养老目标一年持有期混合型基金中基金（</w:t>
      </w:r>
      <w:r w:rsidRPr="003E746D">
        <w:rPr>
          <w:rFonts w:ascii="Times New Roman" w:hAnsi="Times New Roman"/>
          <w:b/>
          <w:spacing w:val="2"/>
          <w:w w:val="99"/>
          <w:kern w:val="0"/>
          <w:position w:val="-4"/>
          <w:sz w:val="44"/>
          <w:szCs w:val="44"/>
        </w:rPr>
        <w:t>FOF</w:t>
      </w:r>
      <w:r w:rsidRPr="003E746D">
        <w:rPr>
          <w:rFonts w:ascii="Times New Roman" w:hAnsi="Times New Roman"/>
          <w:b/>
          <w:spacing w:val="2"/>
          <w:w w:val="99"/>
          <w:kern w:val="0"/>
          <w:position w:val="-4"/>
          <w:sz w:val="44"/>
          <w:szCs w:val="44"/>
        </w:rPr>
        <w:t>）</w:t>
      </w:r>
    </w:p>
    <w:p w14:paraId="502D9B4F" w14:textId="77777777" w:rsidR="004D2F6C" w:rsidRPr="003E746D" w:rsidRDefault="00435F28">
      <w:pPr>
        <w:autoSpaceDE w:val="0"/>
        <w:autoSpaceDN w:val="0"/>
        <w:adjustRightInd w:val="0"/>
        <w:snapToGrid w:val="0"/>
        <w:spacing w:before="63" w:line="360" w:lineRule="auto"/>
        <w:ind w:rightChars="6" w:right="13"/>
        <w:jc w:val="center"/>
        <w:rPr>
          <w:rFonts w:ascii="宋体" w:hAnsi="宋体"/>
          <w:b/>
          <w:kern w:val="0"/>
          <w:sz w:val="44"/>
          <w:szCs w:val="44"/>
        </w:rPr>
      </w:pPr>
      <w:r w:rsidRPr="003E746D">
        <w:rPr>
          <w:rFonts w:ascii="宋体" w:hAnsi="宋体"/>
          <w:b/>
          <w:spacing w:val="2"/>
          <w:w w:val="99"/>
          <w:kern w:val="0"/>
          <w:sz w:val="44"/>
          <w:szCs w:val="44"/>
        </w:rPr>
        <w:t>(更新)招募说明书</w:t>
      </w:r>
    </w:p>
    <w:p w14:paraId="00AC010A" w14:textId="5A7C927F" w:rsidR="004D2F6C" w:rsidRPr="003E746D" w:rsidRDefault="00435F28">
      <w:pPr>
        <w:snapToGrid w:val="0"/>
        <w:spacing w:line="360" w:lineRule="auto"/>
        <w:jc w:val="center"/>
        <w:rPr>
          <w:rFonts w:ascii="宋体" w:hAnsi="宋体"/>
          <w:b/>
          <w:sz w:val="30"/>
          <w:szCs w:val="30"/>
        </w:rPr>
      </w:pPr>
      <w:r w:rsidRPr="003E746D">
        <w:rPr>
          <w:rFonts w:ascii="Times New Roman" w:hAnsi="Times New Roman"/>
          <w:b/>
          <w:color w:val="000000"/>
          <w:sz w:val="32"/>
          <w:szCs w:val="32"/>
        </w:rPr>
        <w:t>(2022</w:t>
      </w:r>
      <w:r w:rsidRPr="003E746D">
        <w:rPr>
          <w:rFonts w:ascii="Times New Roman" w:hAnsi="Times New Roman"/>
          <w:b/>
          <w:color w:val="000000"/>
          <w:sz w:val="32"/>
          <w:szCs w:val="32"/>
        </w:rPr>
        <w:t>年第</w:t>
      </w:r>
      <w:r w:rsidR="00F3528E" w:rsidRPr="003E746D">
        <w:rPr>
          <w:rFonts w:ascii="Times New Roman" w:hAnsi="Times New Roman" w:hint="eastAsia"/>
          <w:b/>
          <w:color w:val="000000"/>
          <w:sz w:val="32"/>
          <w:szCs w:val="32"/>
        </w:rPr>
        <w:t>2</w:t>
      </w:r>
      <w:r w:rsidRPr="003E746D">
        <w:rPr>
          <w:rFonts w:ascii="Times New Roman" w:hAnsi="Times New Roman"/>
          <w:b/>
          <w:color w:val="000000"/>
          <w:sz w:val="32"/>
          <w:szCs w:val="32"/>
        </w:rPr>
        <w:t>号</w:t>
      </w:r>
      <w:r w:rsidRPr="003E746D">
        <w:rPr>
          <w:rFonts w:ascii="Times New Roman" w:hAnsi="Times New Roman"/>
          <w:b/>
          <w:color w:val="000000"/>
          <w:sz w:val="32"/>
          <w:szCs w:val="32"/>
        </w:rPr>
        <w:t>)</w:t>
      </w:r>
    </w:p>
    <w:p w14:paraId="61B0A037" w14:textId="77777777" w:rsidR="004D2F6C" w:rsidRPr="003E746D" w:rsidRDefault="004D2F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FFF580A" w14:textId="77777777" w:rsidR="004D2F6C" w:rsidRPr="003E746D" w:rsidRDefault="004D2F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1E158D1" w14:textId="77777777" w:rsidR="004D2F6C" w:rsidRPr="003E746D" w:rsidRDefault="004D2F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D1913F5" w14:textId="77777777" w:rsidR="004D2F6C" w:rsidRPr="003E746D" w:rsidRDefault="004D2F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61F632A" w14:textId="77777777" w:rsidR="004D2F6C" w:rsidRPr="003E746D" w:rsidRDefault="004D2F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D2C0ED6" w14:textId="77777777" w:rsidR="004D2F6C" w:rsidRPr="003E746D" w:rsidRDefault="004D2F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E41F3A5" w14:textId="77777777" w:rsidR="004D2F6C" w:rsidRPr="003E746D" w:rsidRDefault="00435F28">
      <w:pPr>
        <w:autoSpaceDE w:val="0"/>
        <w:autoSpaceDN w:val="0"/>
        <w:adjustRightInd w:val="0"/>
        <w:snapToGrid w:val="0"/>
        <w:spacing w:line="360" w:lineRule="auto"/>
        <w:ind w:firstLineChars="500" w:firstLine="1405"/>
        <w:rPr>
          <w:rFonts w:ascii="宋体" w:hAnsi="宋体"/>
          <w:b/>
          <w:w w:val="99"/>
          <w:kern w:val="0"/>
          <w:sz w:val="28"/>
          <w:szCs w:val="32"/>
        </w:rPr>
      </w:pPr>
      <w:r w:rsidRPr="003E746D">
        <w:rPr>
          <w:rFonts w:ascii="宋体" w:hAnsi="宋体"/>
          <w:b/>
          <w:spacing w:val="2"/>
          <w:w w:val="99"/>
          <w:kern w:val="0"/>
          <w:sz w:val="28"/>
          <w:szCs w:val="32"/>
        </w:rPr>
        <w:t>基金管理人：交银施罗德基金管理有限公司</w:t>
      </w:r>
    </w:p>
    <w:p w14:paraId="332CDADB" w14:textId="77777777" w:rsidR="004D2F6C" w:rsidRPr="003E746D" w:rsidRDefault="00435F28">
      <w:pPr>
        <w:autoSpaceDE w:val="0"/>
        <w:autoSpaceDN w:val="0"/>
        <w:adjustRightInd w:val="0"/>
        <w:snapToGrid w:val="0"/>
        <w:spacing w:line="360" w:lineRule="auto"/>
        <w:ind w:firstLineChars="500" w:firstLine="1405"/>
        <w:rPr>
          <w:rFonts w:ascii="宋体" w:hAnsi="宋体"/>
          <w:b/>
          <w:w w:val="99"/>
          <w:kern w:val="0"/>
          <w:sz w:val="28"/>
          <w:szCs w:val="32"/>
        </w:rPr>
      </w:pPr>
      <w:r w:rsidRPr="003E746D">
        <w:rPr>
          <w:rFonts w:ascii="宋体" w:hAnsi="宋体"/>
          <w:b/>
          <w:spacing w:val="2"/>
          <w:w w:val="99"/>
          <w:kern w:val="0"/>
          <w:sz w:val="28"/>
          <w:szCs w:val="32"/>
        </w:rPr>
        <w:t>基金托管人：中国农业银行股份有限公司</w:t>
      </w:r>
    </w:p>
    <w:p w14:paraId="5AD4DC33" w14:textId="77777777" w:rsidR="004D2F6C" w:rsidRPr="003E746D" w:rsidRDefault="004D2F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31065CC" w14:textId="77777777" w:rsidR="004D2F6C" w:rsidRPr="003E746D" w:rsidRDefault="004D2F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71E11B6" w14:textId="780CEE85" w:rsidR="004D2F6C" w:rsidRPr="003E746D" w:rsidRDefault="00435F28">
      <w:pPr>
        <w:autoSpaceDE w:val="0"/>
        <w:autoSpaceDN w:val="0"/>
        <w:adjustRightInd w:val="0"/>
        <w:snapToGrid w:val="0"/>
        <w:spacing w:line="360" w:lineRule="auto"/>
        <w:ind w:rightChars="6" w:right="13"/>
        <w:jc w:val="center"/>
        <w:rPr>
          <w:rFonts w:ascii="宋体" w:hAnsi="宋体"/>
          <w:b/>
          <w:kern w:val="0"/>
          <w:sz w:val="28"/>
          <w:szCs w:val="32"/>
        </w:rPr>
      </w:pPr>
      <w:r w:rsidRPr="003E746D">
        <w:rPr>
          <w:rFonts w:ascii="Times New Roman" w:hAnsi="Times New Roman"/>
          <w:b/>
          <w:spacing w:val="2"/>
          <w:w w:val="99"/>
          <w:kern w:val="0"/>
          <w:sz w:val="28"/>
          <w:szCs w:val="32"/>
        </w:rPr>
        <w:t>二〇二二年</w:t>
      </w:r>
      <w:r w:rsidR="005337AD" w:rsidRPr="003E746D">
        <w:rPr>
          <w:rFonts w:ascii="Times New Roman" w:hAnsi="Times New Roman" w:hint="eastAsia"/>
          <w:b/>
          <w:spacing w:val="2"/>
          <w:w w:val="99"/>
          <w:kern w:val="0"/>
          <w:sz w:val="28"/>
          <w:szCs w:val="32"/>
        </w:rPr>
        <w:t>十一</w:t>
      </w:r>
      <w:r w:rsidRPr="003E746D">
        <w:rPr>
          <w:rFonts w:ascii="Times New Roman" w:hAnsi="Times New Roman"/>
          <w:b/>
          <w:spacing w:val="2"/>
          <w:w w:val="99"/>
          <w:kern w:val="0"/>
          <w:sz w:val="28"/>
          <w:szCs w:val="32"/>
        </w:rPr>
        <w:t>月</w:t>
      </w:r>
    </w:p>
    <w:p w14:paraId="779A3B58" w14:textId="77777777" w:rsidR="004D2F6C" w:rsidRPr="003E746D" w:rsidRDefault="004D2F6C">
      <w:pPr>
        <w:autoSpaceDE w:val="0"/>
        <w:autoSpaceDN w:val="0"/>
        <w:adjustRightInd w:val="0"/>
        <w:snapToGrid w:val="0"/>
        <w:spacing w:line="360" w:lineRule="auto"/>
        <w:ind w:left="1347" w:rightChars="6" w:right="13"/>
        <w:rPr>
          <w:rFonts w:ascii="宋体" w:hAnsi="宋体"/>
          <w:kern w:val="0"/>
          <w:sz w:val="32"/>
          <w:szCs w:val="32"/>
        </w:rPr>
        <w:sectPr w:rsidR="004D2F6C" w:rsidRPr="003E746D">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72E3A311" w14:textId="77777777" w:rsidR="004D2F6C" w:rsidRPr="003E746D" w:rsidRDefault="00435F28">
      <w:pPr>
        <w:pStyle w:val="1"/>
        <w:snapToGrid w:val="0"/>
        <w:spacing w:beforeLines="0" w:before="240" w:after="240"/>
        <w:rPr>
          <w:rFonts w:ascii="宋体" w:hAnsi="宋体"/>
          <w:kern w:val="0"/>
        </w:rPr>
      </w:pPr>
      <w:bookmarkStart w:id="0" w:name="_Toc324920538"/>
      <w:bookmarkStart w:id="1" w:name="_Toc496884613"/>
      <w:bookmarkStart w:id="2" w:name="_Toc104410509"/>
      <w:r w:rsidRPr="003E746D">
        <w:rPr>
          <w:rFonts w:ascii="Times New Roman" w:hAnsi="Times New Roman"/>
          <w:kern w:val="0"/>
        </w:rPr>
        <w:lastRenderedPageBreak/>
        <w:t>重要提示</w:t>
      </w:r>
      <w:bookmarkEnd w:id="0"/>
      <w:bookmarkEnd w:id="1"/>
      <w:bookmarkEnd w:id="2"/>
    </w:p>
    <w:p w14:paraId="21F3A602"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交银施罗德安享稳健养老目标一年持有期混合型基金中基金（</w:t>
      </w:r>
      <w:r w:rsidRPr="003E746D">
        <w:rPr>
          <w:rFonts w:ascii="Times New Roman" w:hAnsi="Times New Roman"/>
          <w:kern w:val="0"/>
          <w:sz w:val="24"/>
        </w:rPr>
        <w:t>FOF</w:t>
      </w:r>
      <w:r w:rsidRPr="003E746D">
        <w:rPr>
          <w:rFonts w:ascii="Times New Roman" w:hAnsi="Times New Roman"/>
          <w:kern w:val="0"/>
          <w:sz w:val="24"/>
        </w:rPr>
        <w:t>）（以下简称</w:t>
      </w:r>
      <w:r w:rsidRPr="003E746D">
        <w:rPr>
          <w:rFonts w:ascii="Times New Roman" w:hAnsi="Times New Roman"/>
          <w:kern w:val="0"/>
          <w:sz w:val="24"/>
        </w:rPr>
        <w:t>“</w:t>
      </w:r>
      <w:r w:rsidRPr="003E746D">
        <w:rPr>
          <w:rFonts w:ascii="Times New Roman" w:hAnsi="Times New Roman"/>
          <w:kern w:val="0"/>
          <w:sz w:val="24"/>
        </w:rPr>
        <w:t>本基金</w:t>
      </w:r>
      <w:r w:rsidRPr="003E746D">
        <w:rPr>
          <w:rFonts w:ascii="Times New Roman" w:hAnsi="Times New Roman"/>
          <w:kern w:val="0"/>
          <w:sz w:val="24"/>
        </w:rPr>
        <w:t>”</w:t>
      </w:r>
      <w:r w:rsidRPr="003E746D">
        <w:rPr>
          <w:rFonts w:ascii="Times New Roman" w:hAnsi="Times New Roman"/>
          <w:kern w:val="0"/>
          <w:sz w:val="24"/>
        </w:rPr>
        <w:t>）经</w:t>
      </w:r>
      <w:r w:rsidRPr="003E746D">
        <w:rPr>
          <w:rFonts w:ascii="Times New Roman" w:hAnsi="Times New Roman"/>
          <w:kern w:val="0"/>
          <w:sz w:val="24"/>
        </w:rPr>
        <w:t>2018</w:t>
      </w:r>
      <w:r w:rsidRPr="003E746D">
        <w:rPr>
          <w:rFonts w:ascii="Times New Roman" w:hAnsi="Times New Roman"/>
          <w:kern w:val="0"/>
          <w:sz w:val="24"/>
        </w:rPr>
        <w:t>年</w:t>
      </w:r>
      <w:r w:rsidRPr="003E746D">
        <w:rPr>
          <w:rFonts w:ascii="Times New Roman" w:hAnsi="Times New Roman"/>
          <w:kern w:val="0"/>
          <w:sz w:val="24"/>
        </w:rPr>
        <w:t>12</w:t>
      </w:r>
      <w:r w:rsidRPr="003E746D">
        <w:rPr>
          <w:rFonts w:ascii="Times New Roman" w:hAnsi="Times New Roman"/>
          <w:kern w:val="0"/>
          <w:sz w:val="24"/>
        </w:rPr>
        <w:t>月</w:t>
      </w:r>
      <w:r w:rsidRPr="003E746D">
        <w:rPr>
          <w:rFonts w:ascii="Times New Roman" w:hAnsi="Times New Roman"/>
          <w:kern w:val="0"/>
          <w:sz w:val="24"/>
        </w:rPr>
        <w:t>27</w:t>
      </w:r>
      <w:r w:rsidRPr="003E746D">
        <w:rPr>
          <w:rFonts w:ascii="Times New Roman" w:hAnsi="Times New Roman"/>
          <w:kern w:val="0"/>
          <w:sz w:val="24"/>
        </w:rPr>
        <w:t>日中国证券监督管理委员会（以下简称</w:t>
      </w:r>
      <w:r w:rsidRPr="003E746D">
        <w:rPr>
          <w:rFonts w:ascii="Times New Roman" w:hAnsi="Times New Roman"/>
          <w:kern w:val="0"/>
          <w:sz w:val="24"/>
        </w:rPr>
        <w:t>“</w:t>
      </w:r>
      <w:r w:rsidRPr="003E746D">
        <w:rPr>
          <w:rFonts w:ascii="Times New Roman" w:hAnsi="Times New Roman"/>
          <w:kern w:val="0"/>
          <w:sz w:val="24"/>
        </w:rPr>
        <w:t>中国证监会</w:t>
      </w:r>
      <w:r w:rsidRPr="003E746D">
        <w:rPr>
          <w:rFonts w:ascii="Times New Roman" w:hAnsi="Times New Roman"/>
          <w:kern w:val="0"/>
          <w:sz w:val="24"/>
        </w:rPr>
        <w:t>”</w:t>
      </w:r>
      <w:r w:rsidRPr="003E746D">
        <w:rPr>
          <w:rFonts w:ascii="Times New Roman" w:hAnsi="Times New Roman"/>
          <w:kern w:val="0"/>
          <w:sz w:val="24"/>
        </w:rPr>
        <w:t>）证监许可【</w:t>
      </w:r>
      <w:r w:rsidRPr="003E746D">
        <w:rPr>
          <w:rFonts w:ascii="Times New Roman" w:hAnsi="Times New Roman"/>
          <w:kern w:val="0"/>
          <w:sz w:val="24"/>
        </w:rPr>
        <w:t>2018</w:t>
      </w:r>
      <w:r w:rsidRPr="003E746D">
        <w:rPr>
          <w:rFonts w:ascii="Times New Roman" w:hAnsi="Times New Roman"/>
          <w:kern w:val="0"/>
          <w:sz w:val="24"/>
        </w:rPr>
        <w:t>】</w:t>
      </w:r>
      <w:r w:rsidRPr="003E746D">
        <w:rPr>
          <w:rFonts w:ascii="Times New Roman" w:hAnsi="Times New Roman"/>
          <w:kern w:val="0"/>
          <w:sz w:val="24"/>
        </w:rPr>
        <w:t>2197</w:t>
      </w:r>
      <w:r w:rsidRPr="003E746D">
        <w:rPr>
          <w:rFonts w:ascii="Times New Roman" w:hAnsi="Times New Roman"/>
          <w:kern w:val="0"/>
          <w:sz w:val="24"/>
        </w:rPr>
        <w:t>号文准予募集注册。</w:t>
      </w:r>
    </w:p>
    <w:p w14:paraId="1B3464AF"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44074BC4"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6F26EE6"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本基金为基金中基金，由于本基金主要投资于经中国证监会依法核准或注册的公开募集证券投资基金的基金份额，投资本基金可能遇到的风险包括：基金中基金的特有风险；因受到经济因素、政治因素、投资心理和交易制度等各种因素的影响而引起的市场风险；基金管理人在基金管理运作过程中产生的基金管理风险；流动性风险；信用风险；投资资产支持证券的特定风险；投资流通受限证券的特定风险；投资科创板股票的特定风险；投资本基金的其他风险等等。本基金为混合型基金中基金，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14:paraId="7D955F71"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本基金为养老目标基金，致力于满足投资者的养老资金理财需求，但养老目标基金并不代表收益保障或其他任何形式的收益承诺。本基金非保本产品，存在投资者承担亏损的可能性。</w:t>
      </w:r>
    </w:p>
    <w:p w14:paraId="667B75D9" w14:textId="5D038DDB"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本基金定位为稳健型目标风险策略基金，本基金投资于股票</w:t>
      </w:r>
      <w:r w:rsidR="000110D9" w:rsidRPr="003E746D">
        <w:rPr>
          <w:rFonts w:ascii="Times New Roman" w:hAnsi="Times New Roman" w:hint="eastAsia"/>
          <w:kern w:val="0"/>
          <w:sz w:val="24"/>
        </w:rPr>
        <w:t>（含存托凭证）</w:t>
      </w:r>
      <w:r w:rsidRPr="003E746D">
        <w:rPr>
          <w:rFonts w:ascii="Times New Roman" w:hAnsi="Times New Roman"/>
          <w:kern w:val="0"/>
          <w:sz w:val="24"/>
        </w:rPr>
        <w:t>、</w:t>
      </w:r>
      <w:r w:rsidRPr="003E746D">
        <w:rPr>
          <w:rFonts w:ascii="Times New Roman" w:hAnsi="Times New Roman"/>
          <w:kern w:val="0"/>
          <w:sz w:val="24"/>
        </w:rPr>
        <w:lastRenderedPageBreak/>
        <w:t>股票型基金（包括股票指数基金）、混合型基金和商品基金（含商品期货基金和黄金</w:t>
      </w:r>
      <w:r w:rsidRPr="003E746D">
        <w:rPr>
          <w:rFonts w:ascii="Times New Roman" w:hAnsi="Times New Roman"/>
          <w:kern w:val="0"/>
          <w:sz w:val="24"/>
        </w:rPr>
        <w:t>ETF</w:t>
      </w:r>
      <w:r w:rsidRPr="003E746D">
        <w:rPr>
          <w:rFonts w:ascii="Times New Roman" w:hAnsi="Times New Roman"/>
          <w:kern w:val="0"/>
          <w:sz w:val="24"/>
        </w:rPr>
        <w:t>）等品种的比例合计占基金资产的</w:t>
      </w:r>
      <w:r w:rsidRPr="003E746D">
        <w:rPr>
          <w:rFonts w:ascii="Times New Roman" w:hAnsi="Times New Roman"/>
          <w:kern w:val="0"/>
          <w:sz w:val="24"/>
        </w:rPr>
        <w:t>0%-30%</w:t>
      </w:r>
      <w:r w:rsidRPr="003E746D">
        <w:rPr>
          <w:rFonts w:ascii="Times New Roman" w:hAnsi="Times New Roman"/>
          <w:kern w:val="0"/>
          <w:sz w:val="24"/>
        </w:rPr>
        <w:t>。其中投资于权益类资产（包括股票</w:t>
      </w:r>
      <w:r w:rsidR="000110D9" w:rsidRPr="003E746D">
        <w:rPr>
          <w:rFonts w:ascii="Times New Roman" w:hAnsi="Times New Roman" w:hint="eastAsia"/>
          <w:kern w:val="0"/>
          <w:sz w:val="24"/>
        </w:rPr>
        <w:t>（含存托凭证）</w:t>
      </w:r>
      <w:r w:rsidRPr="003E746D">
        <w:rPr>
          <w:rFonts w:ascii="Times New Roman" w:hAnsi="Times New Roman"/>
          <w:kern w:val="0"/>
          <w:sz w:val="24"/>
        </w:rPr>
        <w:t>、股票型基金、混合型基金）的战略配置目标比例为</w:t>
      </w:r>
      <w:r w:rsidRPr="003E746D">
        <w:rPr>
          <w:rFonts w:ascii="Times New Roman" w:hAnsi="Times New Roman"/>
          <w:kern w:val="0"/>
          <w:sz w:val="24"/>
        </w:rPr>
        <w:t>25%</w:t>
      </w:r>
      <w:r w:rsidRPr="003E746D">
        <w:rPr>
          <w:rFonts w:ascii="Times New Roman" w:hAnsi="Times New Roman"/>
          <w:kern w:val="0"/>
          <w:sz w:val="24"/>
        </w:rPr>
        <w:t>，投资比例为基金资产的</w:t>
      </w:r>
      <w:r w:rsidRPr="003E746D">
        <w:rPr>
          <w:rFonts w:ascii="Times New Roman" w:hAnsi="Times New Roman"/>
          <w:kern w:val="0"/>
          <w:sz w:val="24"/>
        </w:rPr>
        <w:t>15%-30%</w:t>
      </w:r>
      <w:r w:rsidRPr="003E746D">
        <w:rPr>
          <w:rFonts w:ascii="Times New Roman" w:hAnsi="Times New Roman"/>
          <w:kern w:val="0"/>
          <w:sz w:val="24"/>
        </w:rPr>
        <w:t>。其中混合型基金需符合下列两个条件之一：</w:t>
      </w:r>
      <w:r w:rsidRPr="003E746D">
        <w:rPr>
          <w:rFonts w:ascii="Times New Roman" w:hAnsi="Times New Roman"/>
          <w:kern w:val="0"/>
          <w:sz w:val="24"/>
        </w:rPr>
        <w:t>1</w:t>
      </w:r>
      <w:r w:rsidRPr="003E746D">
        <w:rPr>
          <w:rFonts w:ascii="Times New Roman" w:hAnsi="Times New Roman"/>
          <w:kern w:val="0"/>
          <w:sz w:val="24"/>
        </w:rPr>
        <w:t>、基金合同中明确约定股票投资占基金资产的比例为</w:t>
      </w:r>
      <w:r w:rsidRPr="003E746D">
        <w:rPr>
          <w:rFonts w:ascii="Times New Roman" w:hAnsi="Times New Roman"/>
          <w:kern w:val="0"/>
          <w:sz w:val="24"/>
        </w:rPr>
        <w:t>50%</w:t>
      </w:r>
      <w:r w:rsidRPr="003E746D">
        <w:rPr>
          <w:rFonts w:ascii="Times New Roman" w:hAnsi="Times New Roman"/>
          <w:kern w:val="0"/>
          <w:sz w:val="24"/>
        </w:rPr>
        <w:t>以上；</w:t>
      </w:r>
      <w:r w:rsidRPr="003E746D">
        <w:rPr>
          <w:rFonts w:ascii="Times New Roman" w:hAnsi="Times New Roman"/>
          <w:kern w:val="0"/>
          <w:sz w:val="24"/>
        </w:rPr>
        <w:t>2</w:t>
      </w:r>
      <w:r w:rsidRPr="003E746D">
        <w:rPr>
          <w:rFonts w:ascii="Times New Roman" w:hAnsi="Times New Roman"/>
          <w:kern w:val="0"/>
          <w:sz w:val="24"/>
        </w:rPr>
        <w:t>、最近</w:t>
      </w:r>
      <w:r w:rsidRPr="003E746D">
        <w:rPr>
          <w:rFonts w:ascii="Times New Roman" w:hAnsi="Times New Roman"/>
          <w:kern w:val="0"/>
          <w:sz w:val="24"/>
        </w:rPr>
        <w:t>4</w:t>
      </w:r>
      <w:r w:rsidRPr="003E746D">
        <w:rPr>
          <w:rFonts w:ascii="Times New Roman" w:hAnsi="Times New Roman"/>
          <w:kern w:val="0"/>
          <w:sz w:val="24"/>
        </w:rPr>
        <w:t>个季度披露的股票投资占基金资产的比例均在</w:t>
      </w:r>
      <w:r w:rsidRPr="003E746D">
        <w:rPr>
          <w:rFonts w:ascii="Times New Roman" w:hAnsi="Times New Roman"/>
          <w:kern w:val="0"/>
          <w:sz w:val="24"/>
        </w:rPr>
        <w:t>50%</w:t>
      </w:r>
      <w:r w:rsidRPr="003E746D">
        <w:rPr>
          <w:rFonts w:ascii="Times New Roman" w:hAnsi="Times New Roman"/>
          <w:kern w:val="0"/>
          <w:sz w:val="24"/>
        </w:rPr>
        <w:t>以上的混合型基金。</w:t>
      </w:r>
    </w:p>
    <w:p w14:paraId="2964F327"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本基金属于混合型基金中基金，基金管理人初始给予本基金的风险等级为</w:t>
      </w:r>
      <w:r w:rsidRPr="003E746D">
        <w:rPr>
          <w:rFonts w:ascii="Times New Roman" w:hAnsi="Times New Roman"/>
          <w:kern w:val="0"/>
          <w:sz w:val="24"/>
        </w:rPr>
        <w:t>R3</w:t>
      </w:r>
      <w:r w:rsidRPr="003E746D">
        <w:rPr>
          <w:rFonts w:ascii="Times New Roman" w:hAnsi="Times New Roman"/>
          <w:kern w:val="0"/>
          <w:sz w:val="24"/>
        </w:rPr>
        <w:t>，因此主要适合风险等级为</w:t>
      </w:r>
      <w:r w:rsidRPr="003E746D">
        <w:rPr>
          <w:rFonts w:ascii="Times New Roman" w:hAnsi="Times New Roman"/>
          <w:kern w:val="0"/>
          <w:sz w:val="24"/>
        </w:rPr>
        <w:t>C3</w:t>
      </w:r>
      <w:r w:rsidRPr="003E746D">
        <w:rPr>
          <w:rFonts w:ascii="Times New Roman" w:hAnsi="Times New Roman"/>
          <w:kern w:val="0"/>
          <w:sz w:val="24"/>
        </w:rPr>
        <w:t>型、</w:t>
      </w:r>
      <w:r w:rsidRPr="003E746D">
        <w:rPr>
          <w:rFonts w:ascii="Times New Roman" w:hAnsi="Times New Roman"/>
          <w:kern w:val="0"/>
          <w:sz w:val="24"/>
        </w:rPr>
        <w:t>C4</w:t>
      </w:r>
      <w:r w:rsidRPr="003E746D">
        <w:rPr>
          <w:rFonts w:ascii="Times New Roman" w:hAnsi="Times New Roman"/>
          <w:kern w:val="0"/>
          <w:sz w:val="24"/>
        </w:rPr>
        <w:t>型及</w:t>
      </w:r>
      <w:r w:rsidRPr="003E746D">
        <w:rPr>
          <w:rFonts w:ascii="Times New Roman" w:hAnsi="Times New Roman"/>
          <w:kern w:val="0"/>
          <w:sz w:val="24"/>
        </w:rPr>
        <w:t>C5</w:t>
      </w:r>
      <w:r w:rsidRPr="003E746D">
        <w:rPr>
          <w:rFonts w:ascii="Times New Roman" w:hAnsi="Times New Roman"/>
          <w:kern w:val="0"/>
          <w:sz w:val="24"/>
        </w:rPr>
        <w:t>型投资者购买。</w:t>
      </w:r>
    </w:p>
    <w:p w14:paraId="20D0F989"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通常</w:t>
      </w:r>
      <w:r w:rsidRPr="003E746D">
        <w:rPr>
          <w:rFonts w:ascii="Times New Roman" w:hAnsi="Times New Roman"/>
          <w:kern w:val="0"/>
          <w:sz w:val="24"/>
        </w:rPr>
        <w:t>T</w:t>
      </w:r>
      <w:r w:rsidRPr="003E746D">
        <w:rPr>
          <w:rFonts w:ascii="Times New Roman" w:hAnsi="Times New Roman"/>
          <w:kern w:val="0"/>
          <w:sz w:val="24"/>
        </w:rPr>
        <w:t>日提交的有效申购申请于</w:t>
      </w:r>
      <w:r w:rsidRPr="003E746D">
        <w:rPr>
          <w:rFonts w:ascii="Times New Roman" w:hAnsi="Times New Roman"/>
          <w:kern w:val="0"/>
          <w:sz w:val="24"/>
        </w:rPr>
        <w:t>T+3</w:t>
      </w:r>
      <w:r w:rsidRPr="003E746D">
        <w:rPr>
          <w:rFonts w:ascii="Times New Roman" w:hAnsi="Times New Roman"/>
          <w:kern w:val="0"/>
          <w:sz w:val="24"/>
        </w:rPr>
        <w:t>日确认）至一年后的年度对日的前一日。</w:t>
      </w:r>
    </w:p>
    <w:p w14:paraId="0C01B27F"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因此，对于基金份额持有人而言，存在投资本基金后一年内无法赎回的风险。</w:t>
      </w:r>
    </w:p>
    <w:p w14:paraId="38296EAE"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特别提示：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被予以拒绝。基金份额持有人需承担赎回申请失败的风险。</w:t>
      </w:r>
    </w:p>
    <w:p w14:paraId="2887DA0F"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3E746D">
        <w:rPr>
          <w:rFonts w:ascii="Times New Roman" w:hAnsi="Times New Roman"/>
          <w:kern w:val="0"/>
          <w:sz w:val="24"/>
        </w:rPr>
        <w:t>“</w:t>
      </w:r>
      <w:r w:rsidRPr="003E746D">
        <w:rPr>
          <w:rFonts w:ascii="Times New Roman" w:hAnsi="Times New Roman"/>
          <w:kern w:val="0"/>
          <w:sz w:val="24"/>
        </w:rPr>
        <w:t>风险揭示</w:t>
      </w:r>
      <w:r w:rsidRPr="003E746D">
        <w:rPr>
          <w:rFonts w:ascii="Times New Roman" w:hAnsi="Times New Roman"/>
          <w:kern w:val="0"/>
          <w:sz w:val="24"/>
        </w:rPr>
        <w:t>”</w:t>
      </w:r>
      <w:r w:rsidRPr="003E746D">
        <w:rPr>
          <w:rFonts w:ascii="Times New Roman" w:hAnsi="Times New Roman"/>
          <w:kern w:val="0"/>
          <w:sz w:val="24"/>
        </w:rPr>
        <w:t>章节内容。</w:t>
      </w:r>
    </w:p>
    <w:p w14:paraId="7EC54AE9"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71D7C833"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w:t>
      </w:r>
      <w:r w:rsidRPr="003E746D">
        <w:rPr>
          <w:rFonts w:ascii="Times New Roman" w:hAnsi="Times New Roman"/>
          <w:kern w:val="0"/>
          <w:sz w:val="24"/>
        </w:rPr>
        <w:lastRenderedPageBreak/>
        <w:t>者基金投资的</w:t>
      </w:r>
      <w:r w:rsidRPr="003E746D">
        <w:rPr>
          <w:rFonts w:ascii="Times New Roman" w:hAnsi="Times New Roman"/>
          <w:kern w:val="0"/>
          <w:sz w:val="24"/>
        </w:rPr>
        <w:t>“</w:t>
      </w:r>
      <w:r w:rsidRPr="003E746D">
        <w:rPr>
          <w:rFonts w:ascii="Times New Roman" w:hAnsi="Times New Roman"/>
          <w:kern w:val="0"/>
          <w:sz w:val="24"/>
        </w:rPr>
        <w:t>买者自负</w:t>
      </w:r>
      <w:r w:rsidRPr="003E746D">
        <w:rPr>
          <w:rFonts w:ascii="Times New Roman" w:hAnsi="Times New Roman"/>
          <w:kern w:val="0"/>
          <w:sz w:val="24"/>
        </w:rPr>
        <w:t>”</w:t>
      </w:r>
      <w:r w:rsidRPr="003E746D">
        <w:rPr>
          <w:rFonts w:ascii="Times New Roman" w:hAnsi="Times New Roman"/>
          <w:kern w:val="0"/>
          <w:sz w:val="24"/>
        </w:rPr>
        <w:t>原则，在投资者作出投资决策后，基金运营状况与基金净值变化引致的投资风险，由投资者自行负责。</w:t>
      </w:r>
    </w:p>
    <w:p w14:paraId="7E283A98" w14:textId="77777777" w:rsidR="004D2F6C" w:rsidRPr="003E746D" w:rsidRDefault="00435F28">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kern w:val="0"/>
          <w:sz w:val="24"/>
        </w:rPr>
        <w:t>本基金单一投资者持有基金份额数不得超过基金份额总数的</w:t>
      </w:r>
      <w:r w:rsidRPr="003E746D">
        <w:rPr>
          <w:rFonts w:ascii="Times New Roman" w:hAnsi="Times New Roman"/>
          <w:kern w:val="0"/>
          <w:sz w:val="24"/>
        </w:rPr>
        <w:t>50%</w:t>
      </w:r>
      <w:r w:rsidRPr="003E746D">
        <w:rPr>
          <w:rFonts w:ascii="Times New Roman" w:hAnsi="Times New Roman"/>
          <w:kern w:val="0"/>
          <w:sz w:val="24"/>
        </w:rPr>
        <w:t>，但在基金运作过程中因基金份额赎回等情形导致被动超过前述</w:t>
      </w:r>
      <w:r w:rsidRPr="003E746D">
        <w:rPr>
          <w:rFonts w:ascii="Times New Roman" w:hAnsi="Times New Roman"/>
          <w:kern w:val="0"/>
          <w:sz w:val="24"/>
        </w:rPr>
        <w:t>50%</w:t>
      </w:r>
      <w:r w:rsidRPr="003E746D">
        <w:rPr>
          <w:rFonts w:ascii="Times New Roman" w:hAnsi="Times New Roman"/>
          <w:kern w:val="0"/>
          <w:sz w:val="24"/>
        </w:rPr>
        <w:t>比例的除外。</w:t>
      </w:r>
    </w:p>
    <w:p w14:paraId="685CD2FA" w14:textId="236F2659" w:rsidR="00327122" w:rsidRPr="003E746D" w:rsidRDefault="00327122" w:rsidP="00327122">
      <w:pPr>
        <w:autoSpaceDE w:val="0"/>
        <w:autoSpaceDN w:val="0"/>
        <w:adjustRightInd w:val="0"/>
        <w:snapToGrid w:val="0"/>
        <w:spacing w:line="360" w:lineRule="auto"/>
        <w:ind w:leftChars="50" w:left="105" w:firstLineChars="200" w:firstLine="480"/>
        <w:rPr>
          <w:rFonts w:ascii="Times New Roman" w:hAnsi="Times New Roman"/>
          <w:kern w:val="0"/>
          <w:sz w:val="24"/>
          <w:lang w:val="x-none"/>
        </w:rPr>
      </w:pPr>
      <w:r w:rsidRPr="003E746D">
        <w:rPr>
          <w:rFonts w:ascii="Times New Roman" w:hAnsi="Times New Roman" w:hint="eastAsia"/>
          <w:kern w:val="0"/>
          <w:sz w:val="24"/>
          <w:lang w:val="x-none"/>
        </w:rPr>
        <w:t>本基金的</w:t>
      </w:r>
      <w:r w:rsidRPr="003E746D">
        <w:rPr>
          <w:rFonts w:ascii="Times New Roman" w:hAnsi="Times New Roman" w:hint="eastAsia"/>
          <w:kern w:val="0"/>
          <w:sz w:val="24"/>
          <w:lang w:val="x-none"/>
        </w:rPr>
        <w:t>Y</w:t>
      </w:r>
      <w:r w:rsidRPr="003E746D">
        <w:rPr>
          <w:rFonts w:ascii="Times New Roman" w:hAnsi="Times New Roman" w:hint="eastAsia"/>
          <w:kern w:val="0"/>
          <w:sz w:val="24"/>
          <w:lang w:val="x-none"/>
        </w:rPr>
        <w:t>类基金份额为针对个人养老金投资基金业务设立的单独的基金份额类别，投资</w:t>
      </w:r>
      <w:r w:rsidR="0014104A" w:rsidRPr="003E746D">
        <w:rPr>
          <w:rFonts w:ascii="Times New Roman" w:hAnsi="Times New Roman" w:hint="eastAsia"/>
          <w:kern w:val="0"/>
          <w:sz w:val="24"/>
          <w:lang w:val="x-none"/>
        </w:rPr>
        <w:t>者</w:t>
      </w:r>
      <w:r w:rsidRPr="003E746D">
        <w:rPr>
          <w:rFonts w:ascii="Times New Roman" w:hAnsi="Times New Roman" w:hint="eastAsia"/>
          <w:kern w:val="0"/>
          <w:sz w:val="24"/>
          <w:lang w:val="x-none"/>
        </w:rPr>
        <w:t>仅能通过个人养老金资金账户购买</w:t>
      </w:r>
      <w:r w:rsidRPr="003E746D">
        <w:rPr>
          <w:rFonts w:ascii="Times New Roman" w:hAnsi="Times New Roman" w:hint="eastAsia"/>
          <w:kern w:val="0"/>
          <w:sz w:val="24"/>
          <w:lang w:val="x-none"/>
        </w:rPr>
        <w:t>Y</w:t>
      </w:r>
      <w:r w:rsidRPr="003E746D">
        <w:rPr>
          <w:rFonts w:ascii="Times New Roman" w:hAnsi="Times New Roman" w:hint="eastAsia"/>
          <w:kern w:val="0"/>
          <w:sz w:val="24"/>
          <w:lang w:val="x-none"/>
        </w:rPr>
        <w:t>类基金份额参与个人养老金投资基金业务。根据个人养老金账户要求，个人养老金投资基金</w:t>
      </w:r>
      <w:r w:rsidR="00240920" w:rsidRPr="003E746D">
        <w:rPr>
          <w:rFonts w:ascii="Times New Roman" w:hAnsi="Times New Roman" w:hint="eastAsia"/>
          <w:kern w:val="0"/>
          <w:sz w:val="24"/>
          <w:lang w:val="x-none"/>
        </w:rPr>
        <w:t>的</w:t>
      </w:r>
      <w:r w:rsidRPr="003E746D">
        <w:rPr>
          <w:rFonts w:ascii="Times New Roman" w:hAnsi="Times New Roman" w:hint="eastAsia"/>
          <w:kern w:val="0"/>
          <w:sz w:val="24"/>
          <w:lang w:val="x-none"/>
        </w:rPr>
        <w:t>基金份额申购赎回等款项将在个人养老金账户内流转</w:t>
      </w:r>
      <w:r w:rsidR="0014104A" w:rsidRPr="003E746D">
        <w:rPr>
          <w:rFonts w:ascii="Times New Roman" w:hAnsi="Times New Roman" w:hint="eastAsia"/>
          <w:kern w:val="0"/>
          <w:sz w:val="24"/>
          <w:lang w:val="x-none"/>
        </w:rPr>
        <w:t>，投资者未达到领取基</w:t>
      </w:r>
      <w:r w:rsidR="00050E90" w:rsidRPr="003E746D">
        <w:rPr>
          <w:rFonts w:ascii="Times New Roman" w:hAnsi="Times New Roman" w:hint="eastAsia"/>
          <w:kern w:val="0"/>
          <w:sz w:val="24"/>
          <w:lang w:val="x-none"/>
        </w:rPr>
        <w:t>本</w:t>
      </w:r>
      <w:r w:rsidR="0014104A" w:rsidRPr="003E746D">
        <w:rPr>
          <w:rFonts w:ascii="Times New Roman" w:hAnsi="Times New Roman" w:hint="eastAsia"/>
          <w:kern w:val="0"/>
          <w:sz w:val="24"/>
          <w:lang w:val="x-none"/>
        </w:rPr>
        <w:t>养老金年龄或者政策规定的其他领取条件时不可领取个人养老金</w:t>
      </w:r>
      <w:r w:rsidRPr="003E746D">
        <w:rPr>
          <w:rFonts w:ascii="Times New Roman" w:hAnsi="Times New Roman" w:hint="eastAsia"/>
          <w:kern w:val="0"/>
          <w:sz w:val="24"/>
          <w:lang w:val="x-none"/>
        </w:rPr>
        <w:t>。具体业务规则请关注基金管理人届时发布的相关公告。</w:t>
      </w:r>
    </w:p>
    <w:p w14:paraId="4C16A11A" w14:textId="7A1EE657" w:rsidR="004D2F6C" w:rsidRPr="003E746D" w:rsidRDefault="00F3528E">
      <w:pPr>
        <w:autoSpaceDE w:val="0"/>
        <w:autoSpaceDN w:val="0"/>
        <w:adjustRightInd w:val="0"/>
        <w:snapToGrid w:val="0"/>
        <w:spacing w:line="360" w:lineRule="auto"/>
        <w:ind w:leftChars="50" w:left="105" w:firstLineChars="200" w:firstLine="480"/>
        <w:rPr>
          <w:rFonts w:ascii="宋体" w:hAnsi="宋体"/>
          <w:kern w:val="0"/>
          <w:sz w:val="24"/>
        </w:rPr>
      </w:pPr>
      <w:r w:rsidRPr="003E746D">
        <w:rPr>
          <w:rFonts w:ascii="Times New Roman" w:hAnsi="Times New Roman" w:hint="eastAsia"/>
          <w:kern w:val="0"/>
          <w:sz w:val="24"/>
        </w:rPr>
        <w:t>本次更新招募说明书主要对本基金增设</w:t>
      </w:r>
      <w:r w:rsidRPr="003E746D">
        <w:rPr>
          <w:rFonts w:ascii="Times New Roman" w:hAnsi="Times New Roman" w:hint="eastAsia"/>
          <w:kern w:val="0"/>
          <w:sz w:val="24"/>
        </w:rPr>
        <w:t>Y</w:t>
      </w:r>
      <w:r w:rsidRPr="003E746D">
        <w:rPr>
          <w:rFonts w:ascii="Times New Roman" w:hAnsi="Times New Roman" w:hint="eastAsia"/>
          <w:kern w:val="0"/>
          <w:sz w:val="24"/>
        </w:rPr>
        <w:t>类基金份额等相关信息进行更新，前述内容更新截止日为</w:t>
      </w:r>
      <w:r w:rsidRPr="003E746D">
        <w:rPr>
          <w:rFonts w:ascii="Times New Roman" w:hAnsi="Times New Roman" w:hint="eastAsia"/>
          <w:kern w:val="0"/>
          <w:sz w:val="24"/>
        </w:rPr>
        <w:t>2022</w:t>
      </w:r>
      <w:r w:rsidRPr="003E746D">
        <w:rPr>
          <w:rFonts w:ascii="Times New Roman" w:hAnsi="Times New Roman" w:hint="eastAsia"/>
          <w:kern w:val="0"/>
          <w:sz w:val="24"/>
        </w:rPr>
        <w:t>年</w:t>
      </w:r>
      <w:r w:rsidR="005337AD" w:rsidRPr="003E746D">
        <w:rPr>
          <w:rFonts w:ascii="Times New Roman" w:hAnsi="Times New Roman"/>
          <w:kern w:val="0"/>
          <w:sz w:val="24"/>
        </w:rPr>
        <w:t>11</w:t>
      </w:r>
      <w:r w:rsidRPr="003E746D">
        <w:rPr>
          <w:rFonts w:ascii="Times New Roman" w:hAnsi="Times New Roman" w:hint="eastAsia"/>
          <w:kern w:val="0"/>
          <w:sz w:val="24"/>
        </w:rPr>
        <w:t>月</w:t>
      </w:r>
      <w:r w:rsidR="005337AD" w:rsidRPr="003E746D">
        <w:rPr>
          <w:rFonts w:ascii="Times New Roman" w:hAnsi="Times New Roman"/>
          <w:kern w:val="0"/>
          <w:sz w:val="24"/>
        </w:rPr>
        <w:t>1</w:t>
      </w:r>
      <w:r w:rsidR="00F4063A" w:rsidRPr="003E746D">
        <w:rPr>
          <w:rFonts w:ascii="Times New Roman" w:hAnsi="Times New Roman"/>
          <w:kern w:val="0"/>
          <w:sz w:val="24"/>
        </w:rPr>
        <w:t>1</w:t>
      </w:r>
      <w:r w:rsidRPr="003E746D">
        <w:rPr>
          <w:rFonts w:ascii="Times New Roman" w:hAnsi="Times New Roman" w:hint="eastAsia"/>
          <w:kern w:val="0"/>
          <w:sz w:val="24"/>
        </w:rPr>
        <w:t>日，除非另有说明，</w:t>
      </w:r>
      <w:r w:rsidR="00435F28" w:rsidRPr="003E746D">
        <w:rPr>
          <w:rFonts w:ascii="Times New Roman" w:hAnsi="Times New Roman"/>
          <w:kern w:val="0"/>
          <w:sz w:val="24"/>
        </w:rPr>
        <w:t>本招募说明书所载内容截止日为</w:t>
      </w:r>
      <w:r w:rsidR="00435F28" w:rsidRPr="003E746D">
        <w:rPr>
          <w:rFonts w:ascii="Times New Roman" w:hAnsi="Times New Roman"/>
          <w:kern w:val="0"/>
          <w:sz w:val="24"/>
        </w:rPr>
        <w:t>2022</w:t>
      </w:r>
      <w:r w:rsidR="00435F28" w:rsidRPr="003E746D">
        <w:rPr>
          <w:rFonts w:ascii="Times New Roman" w:hAnsi="Times New Roman"/>
          <w:kern w:val="0"/>
          <w:sz w:val="24"/>
        </w:rPr>
        <w:t>年</w:t>
      </w:r>
      <w:r w:rsidR="00435F28" w:rsidRPr="003E746D">
        <w:rPr>
          <w:rFonts w:ascii="Times New Roman" w:hAnsi="Times New Roman"/>
          <w:kern w:val="0"/>
          <w:sz w:val="24"/>
        </w:rPr>
        <w:t>04</w:t>
      </w:r>
      <w:r w:rsidR="00435F28" w:rsidRPr="003E746D">
        <w:rPr>
          <w:rFonts w:ascii="Times New Roman" w:hAnsi="Times New Roman"/>
          <w:kern w:val="0"/>
          <w:sz w:val="24"/>
        </w:rPr>
        <w:t>月</w:t>
      </w:r>
      <w:r w:rsidR="00435F28" w:rsidRPr="003E746D">
        <w:rPr>
          <w:rFonts w:ascii="Times New Roman" w:hAnsi="Times New Roman"/>
          <w:kern w:val="0"/>
          <w:sz w:val="24"/>
        </w:rPr>
        <w:t>28</w:t>
      </w:r>
      <w:r w:rsidR="00435F28" w:rsidRPr="003E746D">
        <w:rPr>
          <w:rFonts w:ascii="Times New Roman" w:hAnsi="Times New Roman"/>
          <w:kern w:val="0"/>
          <w:sz w:val="24"/>
        </w:rPr>
        <w:t>日，有关财务数据和净值表现截止日为</w:t>
      </w:r>
      <w:r w:rsidR="00435F28" w:rsidRPr="003E746D">
        <w:rPr>
          <w:rFonts w:ascii="Times New Roman" w:hAnsi="Times New Roman"/>
          <w:kern w:val="0"/>
          <w:sz w:val="24"/>
        </w:rPr>
        <w:t>2022</w:t>
      </w:r>
      <w:r w:rsidR="00435F28" w:rsidRPr="003E746D">
        <w:rPr>
          <w:rFonts w:ascii="Times New Roman" w:hAnsi="Times New Roman"/>
          <w:kern w:val="0"/>
          <w:sz w:val="24"/>
        </w:rPr>
        <w:t>年</w:t>
      </w:r>
      <w:r w:rsidR="00435F28" w:rsidRPr="003E746D">
        <w:rPr>
          <w:rFonts w:ascii="Times New Roman" w:hAnsi="Times New Roman"/>
          <w:kern w:val="0"/>
          <w:sz w:val="24"/>
        </w:rPr>
        <w:t>03</w:t>
      </w:r>
      <w:r w:rsidR="00435F28" w:rsidRPr="003E746D">
        <w:rPr>
          <w:rFonts w:ascii="Times New Roman" w:hAnsi="Times New Roman"/>
          <w:kern w:val="0"/>
          <w:sz w:val="24"/>
        </w:rPr>
        <w:t>月</w:t>
      </w:r>
      <w:r w:rsidR="00435F28" w:rsidRPr="003E746D">
        <w:rPr>
          <w:rFonts w:ascii="Times New Roman" w:hAnsi="Times New Roman"/>
          <w:kern w:val="0"/>
          <w:sz w:val="24"/>
        </w:rPr>
        <w:t>31</w:t>
      </w:r>
      <w:r w:rsidR="00435F28" w:rsidRPr="003E746D">
        <w:rPr>
          <w:rFonts w:ascii="Times New Roman" w:hAnsi="Times New Roman"/>
          <w:kern w:val="0"/>
          <w:sz w:val="24"/>
        </w:rPr>
        <w:t>日。本招募说明书所载的财务数据未经审计。</w:t>
      </w:r>
    </w:p>
    <w:p w14:paraId="1B2F4BF2" w14:textId="77777777" w:rsidR="004D2F6C" w:rsidRPr="003E746D" w:rsidRDefault="004D2F6C">
      <w:pPr>
        <w:autoSpaceDE w:val="0"/>
        <w:autoSpaceDN w:val="0"/>
        <w:adjustRightInd w:val="0"/>
        <w:snapToGrid w:val="0"/>
        <w:spacing w:before="51" w:line="360" w:lineRule="auto"/>
        <w:ind w:left="120" w:rightChars="6" w:right="13" w:firstLine="480"/>
        <w:rPr>
          <w:rFonts w:ascii="宋体" w:hAnsi="宋体"/>
          <w:kern w:val="0"/>
          <w:szCs w:val="24"/>
        </w:rPr>
        <w:sectPr w:rsidR="004D2F6C" w:rsidRPr="003E746D">
          <w:headerReference w:type="default" r:id="rId13"/>
          <w:pgSz w:w="11920" w:h="16840"/>
          <w:pgMar w:top="1440" w:right="1680" w:bottom="280" w:left="1680" w:header="0" w:footer="1073" w:gutter="0"/>
          <w:pgNumType w:start="1"/>
          <w:cols w:space="720"/>
        </w:sectPr>
      </w:pPr>
    </w:p>
    <w:p w14:paraId="0081532B" w14:textId="77777777" w:rsidR="00FC4818" w:rsidRPr="003E746D" w:rsidRDefault="00435F28" w:rsidP="00FC4818">
      <w:pPr>
        <w:pStyle w:val="ad"/>
        <w:snapToGrid w:val="0"/>
        <w:spacing w:after="240" w:line="360" w:lineRule="auto"/>
        <w:jc w:val="center"/>
        <w:rPr>
          <w:rFonts w:ascii="宋体" w:hAnsi="宋体"/>
          <w:noProof/>
          <w:sz w:val="24"/>
        </w:rPr>
      </w:pPr>
      <w:r w:rsidRPr="003E746D">
        <w:rPr>
          <w:rFonts w:ascii="宋体" w:hAnsi="宋体"/>
          <w:color w:val="000000"/>
          <w:position w:val="-4"/>
          <w:sz w:val="24"/>
          <w:szCs w:val="30"/>
        </w:rPr>
        <w:lastRenderedPageBreak/>
        <w:t>目</w:t>
      </w:r>
      <w:r w:rsidRPr="003E746D">
        <w:rPr>
          <w:rFonts w:ascii="宋体" w:hAnsi="宋体"/>
          <w:color w:val="000000"/>
          <w:position w:val="-4"/>
          <w:sz w:val="24"/>
          <w:szCs w:val="30"/>
        </w:rPr>
        <w:tab/>
        <w:t>录</w:t>
      </w:r>
      <w:r w:rsidR="00FC4818" w:rsidRPr="003E746D">
        <w:rPr>
          <w:rFonts w:ascii="宋体" w:hAnsi="宋体"/>
          <w:color w:val="000000"/>
          <w:position w:val="-4"/>
          <w:sz w:val="24"/>
          <w:szCs w:val="30"/>
        </w:rPr>
        <w:fldChar w:fldCharType="begin"/>
      </w:r>
      <w:r w:rsidR="00FC4818" w:rsidRPr="003E746D">
        <w:rPr>
          <w:rFonts w:ascii="宋体" w:hAnsi="宋体"/>
          <w:color w:val="000000"/>
          <w:position w:val="-4"/>
          <w:sz w:val="24"/>
          <w:szCs w:val="30"/>
        </w:rPr>
        <w:instrText xml:space="preserve"> TOC \o "1-3" \f - \h \t "-1" </w:instrText>
      </w:r>
      <w:r w:rsidR="00FC4818" w:rsidRPr="003E746D">
        <w:rPr>
          <w:rFonts w:ascii="宋体" w:hAnsi="宋体"/>
          <w:color w:val="000000"/>
          <w:position w:val="-4"/>
          <w:sz w:val="24"/>
          <w:szCs w:val="30"/>
        </w:rPr>
        <w:fldChar w:fldCharType="separate"/>
      </w:r>
    </w:p>
    <w:p w14:paraId="7C603A56" w14:textId="61E8B834" w:rsidR="00FC4818" w:rsidRPr="003E746D" w:rsidRDefault="00C24255" w:rsidP="00FC4818">
      <w:pPr>
        <w:pStyle w:val="10"/>
        <w:tabs>
          <w:tab w:val="right" w:leader="dot" w:pos="8550"/>
        </w:tabs>
        <w:spacing w:line="360" w:lineRule="auto"/>
        <w:rPr>
          <w:rFonts w:ascii="宋体" w:hAnsi="宋体"/>
          <w:noProof/>
          <w:sz w:val="24"/>
        </w:rPr>
      </w:pPr>
      <w:hyperlink w:anchor="_Toc104410509" w:history="1">
        <w:r w:rsidR="00FC4818" w:rsidRPr="003E746D">
          <w:rPr>
            <w:rStyle w:val="aa"/>
            <w:rFonts w:ascii="宋体" w:hAnsi="宋体" w:hint="eastAsia"/>
            <w:noProof/>
            <w:kern w:val="0"/>
            <w:sz w:val="24"/>
          </w:rPr>
          <w:t>重要提示</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_Toc104410509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1</w:t>
        </w:r>
        <w:r w:rsidR="00FC4818" w:rsidRPr="003E746D">
          <w:rPr>
            <w:rFonts w:ascii="宋体" w:hAnsi="宋体"/>
            <w:noProof/>
            <w:sz w:val="24"/>
          </w:rPr>
          <w:fldChar w:fldCharType="end"/>
        </w:r>
      </w:hyperlink>
    </w:p>
    <w:p w14:paraId="12AAEB69" w14:textId="6B7543A8" w:rsidR="00FC4818" w:rsidRPr="003E746D" w:rsidRDefault="00C24255" w:rsidP="00FC4818">
      <w:pPr>
        <w:pStyle w:val="10"/>
        <w:tabs>
          <w:tab w:val="right" w:leader="dot" w:pos="8550"/>
        </w:tabs>
        <w:spacing w:line="360" w:lineRule="auto"/>
        <w:rPr>
          <w:rFonts w:ascii="宋体" w:hAnsi="宋体"/>
          <w:noProof/>
          <w:sz w:val="24"/>
        </w:rPr>
      </w:pPr>
      <w:hyperlink w:anchor="_Toc104410510" w:history="1">
        <w:r w:rsidR="00FC4818" w:rsidRPr="003E746D">
          <w:rPr>
            <w:rStyle w:val="aa"/>
            <w:rFonts w:ascii="宋体" w:hAnsi="宋体" w:hint="eastAsia"/>
            <w:noProof/>
            <w:sz w:val="24"/>
          </w:rPr>
          <w:t>一、绪言</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_Toc104410510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5</w:t>
        </w:r>
        <w:r w:rsidR="00FC4818" w:rsidRPr="003E746D">
          <w:rPr>
            <w:rFonts w:ascii="宋体" w:hAnsi="宋体"/>
            <w:noProof/>
            <w:sz w:val="24"/>
          </w:rPr>
          <w:fldChar w:fldCharType="end"/>
        </w:r>
      </w:hyperlink>
    </w:p>
    <w:p w14:paraId="4215C508" w14:textId="67CF4F5A" w:rsidR="00FC4818" w:rsidRPr="003E746D" w:rsidRDefault="00C24255" w:rsidP="00FC4818">
      <w:pPr>
        <w:pStyle w:val="10"/>
        <w:tabs>
          <w:tab w:val="right" w:leader="dot" w:pos="8550"/>
        </w:tabs>
        <w:spacing w:line="360" w:lineRule="auto"/>
        <w:rPr>
          <w:rFonts w:ascii="宋体" w:hAnsi="宋体"/>
          <w:noProof/>
          <w:sz w:val="24"/>
        </w:rPr>
      </w:pPr>
      <w:hyperlink w:anchor="_Toc104410511" w:history="1">
        <w:r w:rsidR="00FC4818" w:rsidRPr="003E746D">
          <w:rPr>
            <w:rStyle w:val="aa"/>
            <w:rFonts w:ascii="宋体" w:hAnsi="宋体" w:hint="eastAsia"/>
            <w:noProof/>
            <w:sz w:val="24"/>
          </w:rPr>
          <w:t>二、释义</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_Toc104410511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6</w:t>
        </w:r>
        <w:r w:rsidR="00FC4818" w:rsidRPr="003E746D">
          <w:rPr>
            <w:rFonts w:ascii="宋体" w:hAnsi="宋体"/>
            <w:noProof/>
            <w:sz w:val="24"/>
          </w:rPr>
          <w:fldChar w:fldCharType="end"/>
        </w:r>
      </w:hyperlink>
    </w:p>
    <w:p w14:paraId="58348BFC" w14:textId="116FEAEB" w:rsidR="00FC4818" w:rsidRPr="003E746D" w:rsidRDefault="00C24255" w:rsidP="00FC4818">
      <w:pPr>
        <w:pStyle w:val="10"/>
        <w:tabs>
          <w:tab w:val="right" w:leader="dot" w:pos="8550"/>
        </w:tabs>
        <w:spacing w:line="360" w:lineRule="auto"/>
        <w:rPr>
          <w:rFonts w:ascii="宋体" w:hAnsi="宋体"/>
          <w:noProof/>
          <w:sz w:val="24"/>
        </w:rPr>
      </w:pPr>
      <w:hyperlink w:anchor="_Toc104410512" w:history="1">
        <w:r w:rsidR="00FC4818" w:rsidRPr="003E746D">
          <w:rPr>
            <w:rStyle w:val="aa"/>
            <w:rFonts w:ascii="宋体" w:hAnsi="宋体" w:hint="eastAsia"/>
            <w:noProof/>
            <w:sz w:val="24"/>
          </w:rPr>
          <w:t>三、基金管理人</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_Toc104410512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11</w:t>
        </w:r>
        <w:r w:rsidR="00FC4818" w:rsidRPr="003E746D">
          <w:rPr>
            <w:rFonts w:ascii="宋体" w:hAnsi="宋体"/>
            <w:noProof/>
            <w:sz w:val="24"/>
          </w:rPr>
          <w:fldChar w:fldCharType="end"/>
        </w:r>
      </w:hyperlink>
    </w:p>
    <w:p w14:paraId="72EB38B5" w14:textId="0E7798C9" w:rsidR="00FC4818" w:rsidRPr="003E746D" w:rsidRDefault="00C24255" w:rsidP="00FC4818">
      <w:pPr>
        <w:pStyle w:val="10"/>
        <w:tabs>
          <w:tab w:val="right" w:leader="dot" w:pos="8550"/>
        </w:tabs>
        <w:spacing w:line="360" w:lineRule="auto"/>
        <w:rPr>
          <w:rFonts w:ascii="宋体" w:hAnsi="宋体"/>
          <w:noProof/>
          <w:sz w:val="24"/>
        </w:rPr>
      </w:pPr>
      <w:hyperlink w:anchor="_Toc104410513" w:history="1">
        <w:r w:rsidR="00FC4818" w:rsidRPr="003E746D">
          <w:rPr>
            <w:rStyle w:val="aa"/>
            <w:rFonts w:ascii="宋体" w:hAnsi="宋体" w:hint="eastAsia"/>
            <w:noProof/>
            <w:sz w:val="24"/>
          </w:rPr>
          <w:t>四、基金托管人</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_Toc104410513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19</w:t>
        </w:r>
        <w:r w:rsidR="00FC4818" w:rsidRPr="003E746D">
          <w:rPr>
            <w:rFonts w:ascii="宋体" w:hAnsi="宋体"/>
            <w:noProof/>
            <w:sz w:val="24"/>
          </w:rPr>
          <w:fldChar w:fldCharType="end"/>
        </w:r>
      </w:hyperlink>
    </w:p>
    <w:p w14:paraId="44EB62C0" w14:textId="1D2D1031" w:rsidR="00FC4818" w:rsidRPr="003E746D" w:rsidRDefault="00C24255" w:rsidP="00FC4818">
      <w:pPr>
        <w:pStyle w:val="10"/>
        <w:tabs>
          <w:tab w:val="right" w:leader="dot" w:pos="8550"/>
        </w:tabs>
        <w:spacing w:line="360" w:lineRule="auto"/>
        <w:rPr>
          <w:rFonts w:ascii="宋体" w:hAnsi="宋体"/>
          <w:noProof/>
          <w:sz w:val="24"/>
        </w:rPr>
      </w:pPr>
      <w:hyperlink w:anchor="_Toc104410514" w:history="1">
        <w:r w:rsidR="00FC4818" w:rsidRPr="003E746D">
          <w:rPr>
            <w:rStyle w:val="aa"/>
            <w:rFonts w:ascii="宋体" w:hAnsi="宋体" w:hint="eastAsia"/>
            <w:noProof/>
            <w:sz w:val="24"/>
          </w:rPr>
          <w:t>五、相关服务机构</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_Toc104410514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22</w:t>
        </w:r>
        <w:r w:rsidR="00FC4818" w:rsidRPr="003E746D">
          <w:rPr>
            <w:rFonts w:ascii="宋体" w:hAnsi="宋体"/>
            <w:noProof/>
            <w:sz w:val="24"/>
          </w:rPr>
          <w:fldChar w:fldCharType="end"/>
        </w:r>
      </w:hyperlink>
    </w:p>
    <w:p w14:paraId="15384847" w14:textId="64D2F1FA" w:rsidR="00FC4818" w:rsidRPr="003E746D" w:rsidRDefault="00C24255" w:rsidP="00FC4818">
      <w:pPr>
        <w:pStyle w:val="10"/>
        <w:tabs>
          <w:tab w:val="right" w:leader="dot" w:pos="8550"/>
        </w:tabs>
        <w:spacing w:line="360" w:lineRule="auto"/>
        <w:rPr>
          <w:rFonts w:ascii="宋体" w:hAnsi="宋体"/>
          <w:noProof/>
          <w:sz w:val="24"/>
        </w:rPr>
      </w:pPr>
      <w:hyperlink w:anchor="_Toc104410515" w:history="1">
        <w:r w:rsidR="00FC4818" w:rsidRPr="003E746D">
          <w:rPr>
            <w:rStyle w:val="aa"/>
            <w:rFonts w:ascii="宋体" w:hAnsi="宋体" w:hint="eastAsia"/>
            <w:noProof/>
            <w:sz w:val="24"/>
          </w:rPr>
          <w:t>六、基金的募集</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_Toc104410515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40</w:t>
        </w:r>
        <w:r w:rsidR="00FC4818" w:rsidRPr="003E746D">
          <w:rPr>
            <w:rFonts w:ascii="宋体" w:hAnsi="宋体"/>
            <w:noProof/>
            <w:sz w:val="24"/>
          </w:rPr>
          <w:fldChar w:fldCharType="end"/>
        </w:r>
      </w:hyperlink>
    </w:p>
    <w:p w14:paraId="2B398E2E" w14:textId="0B99FD48" w:rsidR="00FC4818" w:rsidRPr="003E746D" w:rsidRDefault="00C24255" w:rsidP="00FC4818">
      <w:pPr>
        <w:pStyle w:val="10"/>
        <w:tabs>
          <w:tab w:val="right" w:leader="dot" w:pos="8550"/>
        </w:tabs>
        <w:spacing w:line="360" w:lineRule="auto"/>
        <w:rPr>
          <w:rFonts w:ascii="宋体" w:hAnsi="宋体"/>
          <w:noProof/>
          <w:sz w:val="24"/>
        </w:rPr>
      </w:pPr>
      <w:hyperlink w:anchor="_Toc104410516" w:history="1">
        <w:r w:rsidR="00FC4818" w:rsidRPr="003E746D">
          <w:rPr>
            <w:rStyle w:val="aa"/>
            <w:rFonts w:ascii="宋体" w:hAnsi="宋体" w:hint="eastAsia"/>
            <w:noProof/>
            <w:sz w:val="24"/>
          </w:rPr>
          <w:t>七、基金合同的生效</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_Toc104410516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41</w:t>
        </w:r>
        <w:r w:rsidR="00FC4818" w:rsidRPr="003E746D">
          <w:rPr>
            <w:rFonts w:ascii="宋体" w:hAnsi="宋体"/>
            <w:noProof/>
            <w:sz w:val="24"/>
          </w:rPr>
          <w:fldChar w:fldCharType="end"/>
        </w:r>
      </w:hyperlink>
    </w:p>
    <w:p w14:paraId="5A105200" w14:textId="2D96777E" w:rsidR="00FC4818" w:rsidRPr="003E746D" w:rsidRDefault="00C24255" w:rsidP="00FC4818">
      <w:pPr>
        <w:pStyle w:val="10"/>
        <w:tabs>
          <w:tab w:val="right" w:leader="dot" w:pos="8550"/>
        </w:tabs>
        <w:spacing w:line="360" w:lineRule="auto"/>
        <w:rPr>
          <w:rFonts w:ascii="宋体" w:hAnsi="宋体"/>
          <w:noProof/>
          <w:sz w:val="24"/>
        </w:rPr>
      </w:pPr>
      <w:hyperlink w:anchor="_Toc104410517" w:history="1">
        <w:r w:rsidR="00FC4818" w:rsidRPr="003E746D">
          <w:rPr>
            <w:rStyle w:val="aa"/>
            <w:rFonts w:ascii="宋体" w:hAnsi="宋体" w:hint="eastAsia"/>
            <w:noProof/>
            <w:sz w:val="24"/>
          </w:rPr>
          <w:t>八、基金份额的申购与赎回</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_Toc104410517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42</w:t>
        </w:r>
        <w:r w:rsidR="00FC4818" w:rsidRPr="003E746D">
          <w:rPr>
            <w:rFonts w:ascii="宋体" w:hAnsi="宋体"/>
            <w:noProof/>
            <w:sz w:val="24"/>
          </w:rPr>
          <w:fldChar w:fldCharType="end"/>
        </w:r>
      </w:hyperlink>
    </w:p>
    <w:p w14:paraId="3F26BB4B" w14:textId="0072E96E" w:rsidR="00FC4818" w:rsidRPr="003E746D" w:rsidRDefault="00C24255" w:rsidP="00FC4818">
      <w:pPr>
        <w:pStyle w:val="10"/>
        <w:tabs>
          <w:tab w:val="right" w:leader="dot" w:pos="8550"/>
        </w:tabs>
        <w:spacing w:line="360" w:lineRule="auto"/>
        <w:rPr>
          <w:rFonts w:ascii="宋体" w:hAnsi="宋体"/>
          <w:noProof/>
          <w:sz w:val="24"/>
        </w:rPr>
      </w:pPr>
      <w:hyperlink w:anchor="_Toc104410518" w:history="1">
        <w:r w:rsidR="00FC4818" w:rsidRPr="003E746D">
          <w:rPr>
            <w:rStyle w:val="aa"/>
            <w:rFonts w:ascii="宋体" w:hAnsi="宋体" w:hint="eastAsia"/>
            <w:noProof/>
            <w:sz w:val="24"/>
          </w:rPr>
          <w:t>九、基金的投资</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_Toc104410518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54</w:t>
        </w:r>
        <w:r w:rsidR="00FC4818" w:rsidRPr="003E746D">
          <w:rPr>
            <w:rFonts w:ascii="宋体" w:hAnsi="宋体"/>
            <w:noProof/>
            <w:sz w:val="24"/>
          </w:rPr>
          <w:fldChar w:fldCharType="end"/>
        </w:r>
      </w:hyperlink>
    </w:p>
    <w:p w14:paraId="4BEBF84C" w14:textId="5371CD78" w:rsidR="00FC4818" w:rsidRPr="003E746D" w:rsidRDefault="00C24255" w:rsidP="00FC4818">
      <w:pPr>
        <w:pStyle w:val="10"/>
        <w:tabs>
          <w:tab w:val="right" w:leader="dot" w:pos="8550"/>
        </w:tabs>
        <w:spacing w:line="360" w:lineRule="auto"/>
        <w:rPr>
          <w:rFonts w:ascii="宋体" w:hAnsi="宋体"/>
          <w:noProof/>
          <w:sz w:val="24"/>
        </w:rPr>
      </w:pPr>
      <w:hyperlink w:anchor="_Toc104410519" w:history="1">
        <w:r w:rsidR="00FC4818" w:rsidRPr="003E746D">
          <w:rPr>
            <w:rStyle w:val="aa"/>
            <w:rFonts w:ascii="宋体" w:hAnsi="宋体" w:hint="eastAsia"/>
            <w:noProof/>
            <w:sz w:val="24"/>
          </w:rPr>
          <w:t>十、基金的业绩</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_Toc104410519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66</w:t>
        </w:r>
        <w:r w:rsidR="00FC4818" w:rsidRPr="003E746D">
          <w:rPr>
            <w:rFonts w:ascii="宋体" w:hAnsi="宋体"/>
            <w:noProof/>
            <w:sz w:val="24"/>
          </w:rPr>
          <w:fldChar w:fldCharType="end"/>
        </w:r>
      </w:hyperlink>
    </w:p>
    <w:p w14:paraId="36A16376" w14:textId="4FE44A63" w:rsidR="00FC4818" w:rsidRPr="003E746D" w:rsidRDefault="00C24255" w:rsidP="00FC4818">
      <w:pPr>
        <w:pStyle w:val="10"/>
        <w:tabs>
          <w:tab w:val="right" w:leader="dot" w:pos="8550"/>
        </w:tabs>
        <w:spacing w:line="360" w:lineRule="auto"/>
        <w:rPr>
          <w:rFonts w:ascii="宋体" w:hAnsi="宋体"/>
          <w:noProof/>
          <w:sz w:val="24"/>
        </w:rPr>
      </w:pPr>
      <w:hyperlink w:anchor="_Toc104410520" w:history="1">
        <w:r w:rsidR="00FC4818" w:rsidRPr="003E746D">
          <w:rPr>
            <w:rStyle w:val="aa"/>
            <w:rFonts w:ascii="宋体" w:hAnsi="宋体" w:hint="eastAsia"/>
            <w:noProof/>
            <w:sz w:val="24"/>
          </w:rPr>
          <w:t>十一、基金的财产</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_Toc104410520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68</w:t>
        </w:r>
        <w:r w:rsidR="00FC4818" w:rsidRPr="003E746D">
          <w:rPr>
            <w:rFonts w:ascii="宋体" w:hAnsi="宋体"/>
            <w:noProof/>
            <w:sz w:val="24"/>
          </w:rPr>
          <w:fldChar w:fldCharType="end"/>
        </w:r>
      </w:hyperlink>
    </w:p>
    <w:p w14:paraId="68717643" w14:textId="04069C73" w:rsidR="00FC4818" w:rsidRPr="003E746D" w:rsidRDefault="00C24255" w:rsidP="00FC4818">
      <w:pPr>
        <w:pStyle w:val="10"/>
        <w:tabs>
          <w:tab w:val="right" w:leader="dot" w:pos="8550"/>
        </w:tabs>
        <w:spacing w:line="360" w:lineRule="auto"/>
        <w:rPr>
          <w:rFonts w:ascii="宋体" w:hAnsi="宋体"/>
          <w:noProof/>
          <w:sz w:val="24"/>
        </w:rPr>
      </w:pPr>
      <w:hyperlink w:anchor="_Toc104410521" w:history="1">
        <w:r w:rsidR="00FC4818" w:rsidRPr="003E746D">
          <w:rPr>
            <w:rStyle w:val="aa"/>
            <w:rFonts w:ascii="宋体" w:hAnsi="宋体" w:hint="eastAsia"/>
            <w:noProof/>
            <w:sz w:val="24"/>
          </w:rPr>
          <w:t>十二、基金资产的估值</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_Toc104410521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69</w:t>
        </w:r>
        <w:r w:rsidR="00FC4818" w:rsidRPr="003E746D">
          <w:rPr>
            <w:rFonts w:ascii="宋体" w:hAnsi="宋体"/>
            <w:noProof/>
            <w:sz w:val="24"/>
          </w:rPr>
          <w:fldChar w:fldCharType="end"/>
        </w:r>
      </w:hyperlink>
    </w:p>
    <w:p w14:paraId="63D2E4B8" w14:textId="0CAC8B26" w:rsidR="00FC4818" w:rsidRPr="003E746D" w:rsidRDefault="00C24255" w:rsidP="00FC4818">
      <w:pPr>
        <w:pStyle w:val="10"/>
        <w:tabs>
          <w:tab w:val="right" w:leader="dot" w:pos="8550"/>
        </w:tabs>
        <w:spacing w:line="360" w:lineRule="auto"/>
        <w:rPr>
          <w:rFonts w:ascii="宋体" w:hAnsi="宋体"/>
          <w:noProof/>
          <w:sz w:val="24"/>
        </w:rPr>
      </w:pPr>
      <w:hyperlink w:anchor="_Toc104410522" w:history="1">
        <w:r w:rsidR="00FC4818" w:rsidRPr="003E746D">
          <w:rPr>
            <w:rStyle w:val="aa"/>
            <w:rFonts w:ascii="宋体" w:hAnsi="宋体" w:hint="eastAsia"/>
            <w:noProof/>
            <w:sz w:val="24"/>
          </w:rPr>
          <w:t>十三、基金收益与分配</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_Toc104410522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75</w:t>
        </w:r>
        <w:r w:rsidR="00FC4818" w:rsidRPr="003E746D">
          <w:rPr>
            <w:rFonts w:ascii="宋体" w:hAnsi="宋体"/>
            <w:noProof/>
            <w:sz w:val="24"/>
          </w:rPr>
          <w:fldChar w:fldCharType="end"/>
        </w:r>
      </w:hyperlink>
    </w:p>
    <w:p w14:paraId="2C9D54C4" w14:textId="5262DA17" w:rsidR="00FC4818" w:rsidRPr="003E746D" w:rsidRDefault="00C24255" w:rsidP="00FC4818">
      <w:pPr>
        <w:pStyle w:val="10"/>
        <w:tabs>
          <w:tab w:val="right" w:leader="dot" w:pos="8550"/>
        </w:tabs>
        <w:spacing w:line="360" w:lineRule="auto"/>
        <w:rPr>
          <w:rFonts w:ascii="宋体" w:hAnsi="宋体"/>
          <w:noProof/>
          <w:sz w:val="24"/>
        </w:rPr>
      </w:pPr>
      <w:hyperlink w:anchor="_Toc104410523" w:history="1">
        <w:r w:rsidR="00FC4818" w:rsidRPr="003E746D">
          <w:rPr>
            <w:rStyle w:val="aa"/>
            <w:rFonts w:ascii="宋体" w:hAnsi="宋体" w:hint="eastAsia"/>
            <w:noProof/>
            <w:sz w:val="24"/>
          </w:rPr>
          <w:t>十四、基金的费用与税收</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_Toc104410523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77</w:t>
        </w:r>
        <w:r w:rsidR="00FC4818" w:rsidRPr="003E746D">
          <w:rPr>
            <w:rFonts w:ascii="宋体" w:hAnsi="宋体"/>
            <w:noProof/>
            <w:sz w:val="24"/>
          </w:rPr>
          <w:fldChar w:fldCharType="end"/>
        </w:r>
      </w:hyperlink>
    </w:p>
    <w:p w14:paraId="2AC9A897" w14:textId="3555816B" w:rsidR="00FC4818" w:rsidRPr="003E746D" w:rsidRDefault="00C24255" w:rsidP="00FC4818">
      <w:pPr>
        <w:pStyle w:val="10"/>
        <w:tabs>
          <w:tab w:val="right" w:leader="dot" w:pos="8550"/>
        </w:tabs>
        <w:spacing w:line="360" w:lineRule="auto"/>
        <w:rPr>
          <w:rFonts w:ascii="宋体" w:hAnsi="宋体"/>
          <w:noProof/>
          <w:sz w:val="24"/>
        </w:rPr>
      </w:pPr>
      <w:hyperlink w:anchor="_Toc104410524" w:history="1">
        <w:r w:rsidR="00FC4818" w:rsidRPr="003E746D">
          <w:rPr>
            <w:rStyle w:val="aa"/>
            <w:rFonts w:ascii="宋体" w:hAnsi="宋体" w:hint="eastAsia"/>
            <w:noProof/>
            <w:sz w:val="24"/>
          </w:rPr>
          <w:t>十五、基金的会计与审计</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_Toc104410524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80</w:t>
        </w:r>
        <w:r w:rsidR="00FC4818" w:rsidRPr="003E746D">
          <w:rPr>
            <w:rFonts w:ascii="宋体" w:hAnsi="宋体"/>
            <w:noProof/>
            <w:sz w:val="24"/>
          </w:rPr>
          <w:fldChar w:fldCharType="end"/>
        </w:r>
      </w:hyperlink>
    </w:p>
    <w:p w14:paraId="155563FA" w14:textId="2C52B047" w:rsidR="00FC4818" w:rsidRPr="003E746D" w:rsidRDefault="00C24255" w:rsidP="00FC4818">
      <w:pPr>
        <w:pStyle w:val="10"/>
        <w:tabs>
          <w:tab w:val="right" w:leader="dot" w:pos="8550"/>
        </w:tabs>
        <w:spacing w:line="360" w:lineRule="auto"/>
        <w:rPr>
          <w:rFonts w:ascii="宋体" w:hAnsi="宋体"/>
          <w:noProof/>
          <w:sz w:val="24"/>
        </w:rPr>
      </w:pPr>
      <w:hyperlink w:anchor="_Toc104410525" w:history="1">
        <w:r w:rsidR="00FC4818" w:rsidRPr="003E746D">
          <w:rPr>
            <w:rStyle w:val="aa"/>
            <w:rFonts w:ascii="宋体" w:hAnsi="宋体" w:hint="eastAsia"/>
            <w:noProof/>
            <w:sz w:val="24"/>
          </w:rPr>
          <w:t>十六、基金的信息披露</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_Toc104410525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81</w:t>
        </w:r>
        <w:r w:rsidR="00FC4818" w:rsidRPr="003E746D">
          <w:rPr>
            <w:rFonts w:ascii="宋体" w:hAnsi="宋体"/>
            <w:noProof/>
            <w:sz w:val="24"/>
          </w:rPr>
          <w:fldChar w:fldCharType="end"/>
        </w:r>
      </w:hyperlink>
    </w:p>
    <w:p w14:paraId="07E92D5D" w14:textId="3D2AA076" w:rsidR="00FC4818" w:rsidRPr="003E746D" w:rsidRDefault="00761217" w:rsidP="00FC4818">
      <w:pPr>
        <w:pStyle w:val="10"/>
        <w:tabs>
          <w:tab w:val="right" w:leader="dot" w:pos="8550"/>
        </w:tabs>
        <w:spacing w:line="360" w:lineRule="auto"/>
        <w:rPr>
          <w:rFonts w:ascii="宋体" w:hAnsi="宋体"/>
          <w:noProof/>
          <w:sz w:val="24"/>
        </w:rPr>
      </w:pPr>
      <w:hyperlink w:anchor="_Toc104410526" w:history="1">
        <w:r w:rsidR="00FC4818" w:rsidRPr="003E746D">
          <w:rPr>
            <w:rStyle w:val="aa"/>
            <w:rFonts w:ascii="宋体" w:hAnsi="宋体" w:hint="eastAsia"/>
            <w:noProof/>
            <w:sz w:val="24"/>
          </w:rPr>
          <w:t>十七、风险揭示</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_Toc104410526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88</w:t>
        </w:r>
        <w:r w:rsidR="00FC4818" w:rsidRPr="003E746D">
          <w:rPr>
            <w:rFonts w:ascii="宋体" w:hAnsi="宋体"/>
            <w:noProof/>
            <w:sz w:val="24"/>
          </w:rPr>
          <w:fldChar w:fldCharType="end"/>
        </w:r>
      </w:hyperlink>
    </w:p>
    <w:p w14:paraId="177DFD76" w14:textId="55D35167" w:rsidR="00FC4818" w:rsidRPr="003E746D" w:rsidRDefault="00761217" w:rsidP="00FC4818">
      <w:pPr>
        <w:pStyle w:val="10"/>
        <w:tabs>
          <w:tab w:val="right" w:leader="dot" w:pos="8550"/>
        </w:tabs>
        <w:spacing w:line="360" w:lineRule="auto"/>
        <w:rPr>
          <w:rFonts w:ascii="宋体" w:hAnsi="宋体"/>
          <w:noProof/>
          <w:sz w:val="24"/>
        </w:rPr>
      </w:pPr>
      <w:hyperlink w:anchor="_Toc104410527" w:history="1">
        <w:r w:rsidR="00FC4818" w:rsidRPr="003E746D">
          <w:rPr>
            <w:rStyle w:val="aa"/>
            <w:rFonts w:ascii="宋体" w:hAnsi="宋体" w:hint="eastAsia"/>
            <w:noProof/>
            <w:sz w:val="24"/>
          </w:rPr>
          <w:t>十八、基金合同的变更、终止与基金财产的清算</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_Toc104410527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96</w:t>
        </w:r>
        <w:r w:rsidR="00FC4818" w:rsidRPr="003E746D">
          <w:rPr>
            <w:rFonts w:ascii="宋体" w:hAnsi="宋体"/>
            <w:noProof/>
            <w:sz w:val="24"/>
          </w:rPr>
          <w:fldChar w:fldCharType="end"/>
        </w:r>
      </w:hyperlink>
    </w:p>
    <w:p w14:paraId="577165F1" w14:textId="1FE236C4" w:rsidR="00FC4818" w:rsidRPr="003E746D" w:rsidRDefault="00761217" w:rsidP="00FC4818">
      <w:pPr>
        <w:pStyle w:val="10"/>
        <w:tabs>
          <w:tab w:val="right" w:leader="dot" w:pos="8550"/>
        </w:tabs>
        <w:spacing w:line="360" w:lineRule="auto"/>
        <w:rPr>
          <w:rFonts w:ascii="宋体" w:hAnsi="宋体"/>
          <w:noProof/>
          <w:sz w:val="24"/>
        </w:rPr>
      </w:pPr>
      <w:hyperlink w:anchor="_Toc104410528" w:history="1">
        <w:r w:rsidR="00FC4818" w:rsidRPr="003E746D">
          <w:rPr>
            <w:rStyle w:val="aa"/>
            <w:rFonts w:ascii="宋体" w:hAnsi="宋体" w:hint="eastAsia"/>
            <w:noProof/>
            <w:sz w:val="24"/>
          </w:rPr>
          <w:t>十九、基金合同内容摘要</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_Toc104410528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98</w:t>
        </w:r>
        <w:r w:rsidR="00FC4818" w:rsidRPr="003E746D">
          <w:rPr>
            <w:rFonts w:ascii="宋体" w:hAnsi="宋体"/>
            <w:noProof/>
            <w:sz w:val="24"/>
          </w:rPr>
          <w:fldChar w:fldCharType="end"/>
        </w:r>
      </w:hyperlink>
    </w:p>
    <w:p w14:paraId="3460B2BB" w14:textId="41706EA7" w:rsidR="00FC4818" w:rsidRPr="003E746D" w:rsidRDefault="00761217" w:rsidP="00FC4818">
      <w:pPr>
        <w:pStyle w:val="10"/>
        <w:tabs>
          <w:tab w:val="right" w:leader="dot" w:pos="8550"/>
        </w:tabs>
        <w:spacing w:line="360" w:lineRule="auto"/>
        <w:rPr>
          <w:rFonts w:ascii="宋体" w:hAnsi="宋体"/>
          <w:noProof/>
          <w:sz w:val="24"/>
        </w:rPr>
      </w:pPr>
      <w:hyperlink w:anchor="_Toc104410529" w:history="1">
        <w:r w:rsidR="00FC4818" w:rsidRPr="003E746D">
          <w:rPr>
            <w:rStyle w:val="aa"/>
            <w:rFonts w:ascii="宋体" w:hAnsi="宋体" w:hint="eastAsia"/>
            <w:noProof/>
            <w:sz w:val="24"/>
          </w:rPr>
          <w:t>二十、托管协议的内容摘要</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_Toc104410529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114</w:t>
        </w:r>
        <w:r w:rsidR="00FC4818" w:rsidRPr="003E746D">
          <w:rPr>
            <w:rFonts w:ascii="宋体" w:hAnsi="宋体"/>
            <w:noProof/>
            <w:sz w:val="24"/>
          </w:rPr>
          <w:fldChar w:fldCharType="end"/>
        </w:r>
      </w:hyperlink>
    </w:p>
    <w:p w14:paraId="7CB58426" w14:textId="4DC68DAF" w:rsidR="00FC4818" w:rsidRPr="003E746D" w:rsidRDefault="00761217" w:rsidP="00FC4818">
      <w:pPr>
        <w:pStyle w:val="10"/>
        <w:tabs>
          <w:tab w:val="right" w:leader="dot" w:pos="8550"/>
        </w:tabs>
        <w:spacing w:line="360" w:lineRule="auto"/>
        <w:rPr>
          <w:rFonts w:ascii="宋体" w:hAnsi="宋体"/>
          <w:noProof/>
          <w:sz w:val="24"/>
        </w:rPr>
      </w:pPr>
      <w:hyperlink w:anchor="_Toc104410530" w:history="1">
        <w:r w:rsidR="00FC4818" w:rsidRPr="003E746D">
          <w:rPr>
            <w:rStyle w:val="aa"/>
            <w:rFonts w:ascii="宋体" w:hAnsi="宋体" w:hint="eastAsia"/>
            <w:noProof/>
            <w:sz w:val="24"/>
          </w:rPr>
          <w:t>二十一、对基金份额持有人的服务</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_Toc104410530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128</w:t>
        </w:r>
        <w:r w:rsidR="00FC4818" w:rsidRPr="003E746D">
          <w:rPr>
            <w:rFonts w:ascii="宋体" w:hAnsi="宋体"/>
            <w:noProof/>
            <w:sz w:val="24"/>
          </w:rPr>
          <w:fldChar w:fldCharType="end"/>
        </w:r>
      </w:hyperlink>
    </w:p>
    <w:p w14:paraId="5A9BAC4D" w14:textId="6F27EEB8" w:rsidR="00FC4818" w:rsidRPr="003E746D" w:rsidRDefault="00761217" w:rsidP="00FC4818">
      <w:pPr>
        <w:pStyle w:val="10"/>
        <w:tabs>
          <w:tab w:val="right" w:leader="dot" w:pos="8550"/>
        </w:tabs>
        <w:spacing w:line="360" w:lineRule="auto"/>
        <w:rPr>
          <w:rFonts w:ascii="宋体" w:hAnsi="宋体"/>
          <w:noProof/>
          <w:sz w:val="24"/>
        </w:rPr>
      </w:pPr>
      <w:hyperlink w:anchor="_Toc104410531" w:history="1">
        <w:r w:rsidR="00FC4818" w:rsidRPr="003E746D">
          <w:rPr>
            <w:rStyle w:val="aa"/>
            <w:rFonts w:ascii="宋体" w:hAnsi="宋体" w:hint="eastAsia"/>
            <w:noProof/>
            <w:sz w:val="24"/>
          </w:rPr>
          <w:t>二十二、其他应披露事项</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_Toc104410531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130</w:t>
        </w:r>
        <w:r w:rsidR="00FC4818" w:rsidRPr="003E746D">
          <w:rPr>
            <w:rFonts w:ascii="宋体" w:hAnsi="宋体"/>
            <w:noProof/>
            <w:sz w:val="24"/>
          </w:rPr>
          <w:fldChar w:fldCharType="end"/>
        </w:r>
      </w:hyperlink>
    </w:p>
    <w:p w14:paraId="212DE19D" w14:textId="7E12D15B" w:rsidR="00FC4818" w:rsidRPr="003E746D" w:rsidRDefault="00761217" w:rsidP="00FC4818">
      <w:pPr>
        <w:pStyle w:val="10"/>
        <w:tabs>
          <w:tab w:val="right" w:leader="dot" w:pos="8550"/>
        </w:tabs>
        <w:spacing w:line="360" w:lineRule="auto"/>
        <w:rPr>
          <w:rFonts w:ascii="宋体" w:hAnsi="宋体"/>
          <w:noProof/>
          <w:sz w:val="24"/>
        </w:rPr>
      </w:pPr>
      <w:hyperlink w:anchor="_Toc104410532" w:history="1">
        <w:r w:rsidR="00FC4818" w:rsidRPr="003E746D">
          <w:rPr>
            <w:rStyle w:val="aa"/>
            <w:rFonts w:ascii="宋体" w:hAnsi="宋体" w:hint="eastAsia"/>
            <w:noProof/>
            <w:sz w:val="24"/>
          </w:rPr>
          <w:t>二十三、招募说明书的存放及查阅方式</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_Toc104410532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133</w:t>
        </w:r>
        <w:r w:rsidR="00FC4818" w:rsidRPr="003E746D">
          <w:rPr>
            <w:rFonts w:ascii="宋体" w:hAnsi="宋体"/>
            <w:noProof/>
            <w:sz w:val="24"/>
          </w:rPr>
          <w:fldChar w:fldCharType="end"/>
        </w:r>
      </w:hyperlink>
    </w:p>
    <w:p w14:paraId="7834FD21" w14:textId="455EB1B0" w:rsidR="00FC4818" w:rsidRPr="003E746D" w:rsidRDefault="00761217" w:rsidP="00FC4818">
      <w:pPr>
        <w:pStyle w:val="10"/>
        <w:tabs>
          <w:tab w:val="right" w:leader="dot" w:pos="8550"/>
        </w:tabs>
        <w:spacing w:line="360" w:lineRule="auto"/>
        <w:rPr>
          <w:rFonts w:ascii="宋体" w:hAnsi="宋体"/>
          <w:noProof/>
          <w:sz w:val="24"/>
        </w:rPr>
      </w:pPr>
      <w:hyperlink w:anchor="_Toc104410533" w:history="1">
        <w:r w:rsidR="00FC4818" w:rsidRPr="003E746D">
          <w:rPr>
            <w:rStyle w:val="aa"/>
            <w:rFonts w:ascii="宋体" w:hAnsi="宋体" w:hint="eastAsia"/>
            <w:noProof/>
            <w:sz w:val="24"/>
          </w:rPr>
          <w:t>二十四、备查文件</w:t>
        </w:r>
        <w:r w:rsidR="00FC4818" w:rsidRPr="003E746D">
          <w:rPr>
            <w:rFonts w:ascii="宋体" w:hAnsi="宋体"/>
            <w:noProof/>
            <w:sz w:val="24"/>
          </w:rPr>
          <w:tab/>
        </w:r>
        <w:r w:rsidR="00FC4818" w:rsidRPr="003E746D">
          <w:rPr>
            <w:rFonts w:ascii="宋体" w:hAnsi="宋体"/>
            <w:noProof/>
            <w:sz w:val="24"/>
          </w:rPr>
          <w:fldChar w:fldCharType="begin"/>
        </w:r>
        <w:r w:rsidR="00FC4818" w:rsidRPr="003E746D">
          <w:rPr>
            <w:rFonts w:ascii="宋体" w:hAnsi="宋体"/>
            <w:noProof/>
            <w:sz w:val="24"/>
          </w:rPr>
          <w:instrText xml:space="preserve"> PAGEREF _Toc104410533 \h </w:instrText>
        </w:r>
        <w:r w:rsidR="00FC4818" w:rsidRPr="003E746D">
          <w:rPr>
            <w:rFonts w:ascii="宋体" w:hAnsi="宋体"/>
            <w:noProof/>
            <w:sz w:val="24"/>
          </w:rPr>
        </w:r>
        <w:r w:rsidR="00FC4818" w:rsidRPr="003E746D">
          <w:rPr>
            <w:rFonts w:ascii="宋体" w:hAnsi="宋体"/>
            <w:noProof/>
            <w:sz w:val="24"/>
          </w:rPr>
          <w:fldChar w:fldCharType="separate"/>
        </w:r>
        <w:r w:rsidR="000550ED" w:rsidRPr="003E746D">
          <w:rPr>
            <w:rFonts w:ascii="宋体" w:hAnsi="宋体"/>
            <w:noProof/>
            <w:sz w:val="24"/>
          </w:rPr>
          <w:t>134</w:t>
        </w:r>
        <w:r w:rsidR="00FC4818" w:rsidRPr="003E746D">
          <w:rPr>
            <w:rFonts w:ascii="宋体" w:hAnsi="宋体"/>
            <w:noProof/>
            <w:sz w:val="24"/>
          </w:rPr>
          <w:fldChar w:fldCharType="end"/>
        </w:r>
      </w:hyperlink>
    </w:p>
    <w:p w14:paraId="23DFC490" w14:textId="77777777" w:rsidR="004D2F6C" w:rsidRPr="003E746D" w:rsidRDefault="00FC4818" w:rsidP="00FC4818">
      <w:pPr>
        <w:pStyle w:val="ad"/>
        <w:snapToGrid w:val="0"/>
        <w:spacing w:after="240" w:line="360" w:lineRule="auto"/>
        <w:jc w:val="center"/>
        <w:rPr>
          <w:rFonts w:ascii="宋体" w:hAnsi="宋体"/>
          <w:color w:val="000000"/>
          <w:sz w:val="24"/>
        </w:rPr>
      </w:pPr>
      <w:r w:rsidRPr="003E746D">
        <w:rPr>
          <w:rFonts w:ascii="宋体" w:hAnsi="宋体"/>
          <w:color w:val="000000"/>
          <w:position w:val="-4"/>
          <w:sz w:val="24"/>
          <w:szCs w:val="30"/>
        </w:rPr>
        <w:fldChar w:fldCharType="end"/>
      </w:r>
    </w:p>
    <w:p w14:paraId="5A849F9A" w14:textId="77777777" w:rsidR="004D2F6C" w:rsidRPr="003E746D" w:rsidRDefault="004D2F6C">
      <w:pPr>
        <w:autoSpaceDE w:val="0"/>
        <w:autoSpaceDN w:val="0"/>
        <w:adjustRightInd w:val="0"/>
        <w:snapToGrid w:val="0"/>
        <w:spacing w:line="360" w:lineRule="auto"/>
        <w:ind w:left="120" w:rightChars="6" w:right="13"/>
        <w:rPr>
          <w:rFonts w:ascii="宋体" w:hAnsi="宋体"/>
          <w:kern w:val="0"/>
          <w:szCs w:val="24"/>
        </w:rPr>
        <w:sectPr w:rsidR="004D2F6C" w:rsidRPr="003E746D">
          <w:pgSz w:w="11920" w:h="16840"/>
          <w:pgMar w:top="1480" w:right="1680" w:bottom="280" w:left="1680" w:header="0" w:footer="1073" w:gutter="0"/>
          <w:cols w:space="720"/>
        </w:sectPr>
      </w:pPr>
    </w:p>
    <w:p w14:paraId="2CEBC83D" w14:textId="355AADB4" w:rsidR="004D2F6C" w:rsidRPr="003E746D" w:rsidRDefault="00435F28">
      <w:pPr>
        <w:pStyle w:val="1"/>
        <w:snapToGrid w:val="0"/>
        <w:spacing w:beforeLines="0" w:before="240" w:after="240"/>
        <w:rPr>
          <w:rFonts w:ascii="宋体" w:hAnsi="宋体"/>
          <w:szCs w:val="30"/>
        </w:rPr>
      </w:pPr>
      <w:bookmarkStart w:id="3" w:name="_Toc104410510"/>
      <w:r w:rsidRPr="003E746D">
        <w:rPr>
          <w:rFonts w:ascii="Times New Roman" w:hAnsi="Times New Roman"/>
          <w:sz w:val="30"/>
        </w:rPr>
        <w:lastRenderedPageBreak/>
        <w:t>一、绪言</w:t>
      </w:r>
      <w:bookmarkEnd w:id="3"/>
    </w:p>
    <w:p w14:paraId="6C6D983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交银施罗德安享稳健养老目标一年持有期混合型基金中基金（FOF）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证券投资基金运作指引第2号——基金中基金指引》、《公开募集开放式证券投资基金流动性风险管理规定》（以下简称“《流动性规定》”）、《养老目标证券投资基金指引（试行）》和其他相关法律法规的规定以及《交银施罗德安享稳健养老目标一年持有期混合型基金中基金（FOF）基金合同》（以下简称“基金合同”）编写。</w:t>
      </w:r>
    </w:p>
    <w:p w14:paraId="4375377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2DDC72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12D9409"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1C94DC97" w14:textId="3FA0F419" w:rsidR="004D2F6C" w:rsidRPr="003E746D" w:rsidRDefault="00435F28">
      <w:pPr>
        <w:pStyle w:val="1"/>
        <w:snapToGrid w:val="0"/>
        <w:spacing w:beforeLines="0" w:before="240" w:after="240"/>
        <w:rPr>
          <w:rFonts w:ascii="宋体" w:hAnsi="宋体"/>
          <w:szCs w:val="30"/>
        </w:rPr>
      </w:pPr>
      <w:bookmarkStart w:id="4" w:name="_Toc104410511"/>
      <w:r w:rsidRPr="003E746D">
        <w:rPr>
          <w:rFonts w:ascii="Times New Roman" w:hAnsi="Times New Roman"/>
          <w:sz w:val="30"/>
        </w:rPr>
        <w:lastRenderedPageBreak/>
        <w:t>二、释义</w:t>
      </w:r>
      <w:bookmarkEnd w:id="4"/>
    </w:p>
    <w:p w14:paraId="15DF43A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在本招募说明书中，除非文意另有所指，下列词语或简称具有如下含义：</w:t>
      </w:r>
    </w:p>
    <w:p w14:paraId="313248D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1、基金或本基金：指交银施罗德安享稳健养老目标一年持有期混合型基金中基金（FOF）</w:t>
      </w:r>
    </w:p>
    <w:p w14:paraId="712203C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2、基金管理人或本基金管理人：指交银施罗德基金管理有限公司</w:t>
      </w:r>
    </w:p>
    <w:p w14:paraId="40F8AE2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3、基金托管人或本基金托管人：指中国农业银行股份有限公司</w:t>
      </w:r>
    </w:p>
    <w:p w14:paraId="1F3F0B5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4、《基金合同》或基金合同：指《交银施罗德安享稳健养老目标一年持有期混合型基金中基金（FOF）基金合同》及对基金合同的任何有效修订和补充</w:t>
      </w:r>
    </w:p>
    <w:p w14:paraId="50A26F9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5、托管协议：指基金管理人与基金托管人就本基金签订之《交银施罗德安享稳健养老目标一年持有期混合型基金中基金（FOF）托管协议》及对该托管协议的任何有效修订和补充</w:t>
      </w:r>
    </w:p>
    <w:p w14:paraId="029F675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6、招募说明书或《招募说明书》或本招募说明书：指《交银施罗德安享稳健养老目标一年持有期混合型基金中基金（FOF）招募说明书》及其更新</w:t>
      </w:r>
    </w:p>
    <w:p w14:paraId="384C67F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7、基金产品资料概要：指《交银施罗德安享稳健养老目标一年持有期混合型基金中基金（FOF）基金产品资料概要》及其更新</w:t>
      </w:r>
    </w:p>
    <w:p w14:paraId="663E70F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8、基金份额发售公告：指《交银施罗德安享稳健养老目标一年持有期混合型基金中基金（FOF）基金份额发售公告》</w:t>
      </w:r>
    </w:p>
    <w:p w14:paraId="048172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9、法律法规：指中国现行有效并公布实施的法律、行政法规、规范性文件、司法解释、行政规章以及其他对基金合同当事人有约束力的决定、决议、通知等</w:t>
      </w:r>
    </w:p>
    <w:p w14:paraId="7503214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10、《基金法》：指《中华人民共和国证券投资基金法》及颁布机关对其不时做出的修订</w:t>
      </w:r>
    </w:p>
    <w:p w14:paraId="1420150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11、《销售办法》：指《证券投资基金销售管理办法》及颁布机关对其不时做出的修订</w:t>
      </w:r>
    </w:p>
    <w:p w14:paraId="2DD399F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12、《信息披露办法》：指《公开募集证券投资基金信息披露管理办法》及颁布机关对其不时做出的修订</w:t>
      </w:r>
    </w:p>
    <w:p w14:paraId="29C66C3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13、《运作办法》：指《公开募集证券投资基金运作管理办法》及颁布机关对其不时做出的修订</w:t>
      </w:r>
    </w:p>
    <w:p w14:paraId="3C31C7B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14、《流动性规定》：指《公开募集开放式证券投资基金流动性风险管理规定》及颁布机关对其不时做出的修订</w:t>
      </w:r>
    </w:p>
    <w:p w14:paraId="5CC722C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15、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5E8EE7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16、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2B49138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17、中国证监会：指中国证券监督管理委员会</w:t>
      </w:r>
    </w:p>
    <w:p w14:paraId="2D7F071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18、银行业监督管理机构：指中国人民银行和/或中国银行保险监督管理委员会</w:t>
      </w:r>
    </w:p>
    <w:p w14:paraId="7D410B5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19、基金合同当事人：指受基金合同约束，根据基金合同享有权利并承担义务的法律主体，包括基金管理人、基金托管人和基金份额持有人</w:t>
      </w:r>
    </w:p>
    <w:p w14:paraId="435E36E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20、个人投资者：指依据有关法律法规规定可投资于证券投资基金的自然人</w:t>
      </w:r>
    </w:p>
    <w:p w14:paraId="106DB58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21、机构投资者：指依法可以投资证券投资基金的、在中华人民共和国境内合法登记并存续或经有关政府部门批准设立并存续的企业法人、事业法人、社会团体或其他组织</w:t>
      </w:r>
    </w:p>
    <w:p w14:paraId="5BD8F16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22、合格境外机构投资者：指符合《合格境外机构投资者境内证券投资管理办法》及相关法律法规规定，可以投资于在中国境内依法募集的证券投资基金的中国境外的机构投资者</w:t>
      </w:r>
    </w:p>
    <w:p w14:paraId="2CB2BB1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23、人民币合格境外机构投资者：指按照《人民币合格境外机构投资者境内证券投资试点办法》及相关法律法规规定，运用来自境外的人民币资金进行中国境内证券投资的境外机构投资者</w:t>
      </w:r>
    </w:p>
    <w:p w14:paraId="5FC028B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24、投资人或投资者：指个人投资者、机构投资者、合格境外机构投资者和人民币合格境外机构投资者以及法律法规或中国证监会允许购买证券投资基金的其他投资人的合称</w:t>
      </w:r>
    </w:p>
    <w:p w14:paraId="69E5BE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25、基金份额持有人：指依基金合同和招募说明书合法取得基金份额的投资人</w:t>
      </w:r>
    </w:p>
    <w:p w14:paraId="2DD4C62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26、基金销售业务：指基金管理人或销售机构宣传推介基金，发售基金份额，</w:t>
      </w:r>
      <w:r w:rsidRPr="003E746D">
        <w:rPr>
          <w:rFonts w:ascii="宋体" w:hAnsi="宋体"/>
          <w:sz w:val="24"/>
        </w:rPr>
        <w:lastRenderedPageBreak/>
        <w:t>办理基金份额的申购、赎回、转换、转托管及定期定额投资等业务</w:t>
      </w:r>
    </w:p>
    <w:p w14:paraId="56C2117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27、销售机构：指交银施罗德基金管理有限公司以及符合《销售办法》和中国证监会规定的其他条件，取得基金销售业务资格并与基金管理人签订了基金销售服务协议，办理基金销售业务的机构</w:t>
      </w:r>
    </w:p>
    <w:p w14:paraId="6E25F46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11CEC6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29、登记机构：指办理登记业务的机构。基金的登记机构为交银施罗德基金管理有限公司或接受交银施罗德基金管理有限公司委托办理登记业务的机构</w:t>
      </w:r>
    </w:p>
    <w:p w14:paraId="0DA60A0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30、基金账户：指登记机构为投资人开立的、记录其持有的、基金管理人所管理的基金份额余额及其变动情况的账户</w:t>
      </w:r>
    </w:p>
    <w:p w14:paraId="35DC7E5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31、基金交易账户：指销售机构为投资人开立的、记录投资人通过该销售机构办理认购、申购、赎回、转换、定期定额投资及转托管等业务而引起的基金份额变动及结余情况的账户</w:t>
      </w:r>
    </w:p>
    <w:p w14:paraId="66E8E0B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32、基金合同生效日：指基金募集达到法律法规规定及基金合同规定的条件，基金管理人向中国证监会办理基金备案手续完毕，并获得中国证监会书面确认的日期</w:t>
      </w:r>
    </w:p>
    <w:p w14:paraId="0F00F2D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33、基金合同终止日：指基金合同规定的基金合同终止事由出现后，基金财产清算完毕，清算结果报中国证监会备案并予以公告的日期</w:t>
      </w:r>
    </w:p>
    <w:p w14:paraId="3271FF3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34、基金募集期：指自基金份额发售之日起至发售结束之日止的期间，最长不得超过3个月</w:t>
      </w:r>
    </w:p>
    <w:p w14:paraId="5A58051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35、存续期：指基金合同生效至终止之间的不定期期限</w:t>
      </w:r>
    </w:p>
    <w:p w14:paraId="7DC9359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36、工作日：指上海证券交易所、深圳证券交易所的正常交易日</w:t>
      </w:r>
    </w:p>
    <w:p w14:paraId="2B1934E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37、T日：指销售机构在规定时间受理投资人申购、赎回或其他业务申请的开放日</w:t>
      </w:r>
    </w:p>
    <w:p w14:paraId="010F35F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38、T+n日：指自T日起第n个工作日（不包含T日）</w:t>
      </w:r>
    </w:p>
    <w:p w14:paraId="3F97345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39、最短持有期限：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w:t>
      </w:r>
      <w:r w:rsidRPr="003E746D">
        <w:rPr>
          <w:rFonts w:ascii="宋体" w:hAnsi="宋体"/>
          <w:sz w:val="24"/>
        </w:rPr>
        <w:lastRenderedPageBreak/>
        <w:t>最短持有期限自该笔申购份额确认日（含该日，通常T日提交的有效申购申请于T+3日确认）至一年后的年度对日的前一日</w:t>
      </w:r>
    </w:p>
    <w:p w14:paraId="26BF594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40、年度对日：指某一特定日期在后续日历年度中的对应日期，若该日历年度中不存在对应日期的，则该年度对日为该特定日期在后续日历年度中的对应月度的最后一日。如该年度对日为非工作日的，则顺延至下一个工作日</w:t>
      </w:r>
    </w:p>
    <w:p w14:paraId="15D1BBA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41、开放日：指为投资人办理基金份额申购、赎回或其他业务的工作日</w:t>
      </w:r>
    </w:p>
    <w:p w14:paraId="2A19105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42、开放时间：指开放日基金接受申购、赎回或其他交易的时间段</w:t>
      </w:r>
    </w:p>
    <w:p w14:paraId="1E93F00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43、《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2C6C3F5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44、认购：指在基金募集期内，投资人根据基金合同和招募说明书的规定申请购买基金份额的行为</w:t>
      </w:r>
    </w:p>
    <w:p w14:paraId="4FC7D88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45、申购：指基金合同生效后，投资人根据基金合同和招募说明书的规定申请购买基金份额的行为</w:t>
      </w:r>
    </w:p>
    <w:p w14:paraId="40CABC0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46、赎回：指基金合同生效后，基金份额持有人按基金合同和招募说明书规定的条件要求将基金份额兑换为现金的行为</w:t>
      </w:r>
    </w:p>
    <w:p w14:paraId="3C9B9A6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47、基金转换：指基金份额持有人按照基金合同和基金管理人届时有效公告规定的条件，申请将其持有基金管理人管理的、某一基金的基金份额转换为基金管理人管理的其他基金基金份额的行为</w:t>
      </w:r>
    </w:p>
    <w:p w14:paraId="3880318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48、转托管：指基金份额持有人在本基金的不同销售机构之间实施的变更所持基金份额销售机构的操作</w:t>
      </w:r>
    </w:p>
    <w:p w14:paraId="28F99B8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49、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AD16C4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50、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1F34BE6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51、元：指人民币元</w:t>
      </w:r>
    </w:p>
    <w:p w14:paraId="45788B7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52、基金收益：指基金投资所得红利、股息、债券利息、买卖证券价差、银行</w:t>
      </w:r>
      <w:r w:rsidRPr="003E746D">
        <w:rPr>
          <w:rFonts w:ascii="宋体" w:hAnsi="宋体"/>
          <w:sz w:val="24"/>
        </w:rPr>
        <w:lastRenderedPageBreak/>
        <w:t>存款利息、已实现的其他合法收入及因运用基金财产带来的成本和费用的节约</w:t>
      </w:r>
    </w:p>
    <w:p w14:paraId="3C8B5A9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53、基金资产总值：指基金拥有的各类有价证券、证券投资基金份额、银行存款本息、基金应收申购款及其他资产的</w:t>
      </w:r>
      <w:bookmarkStart w:id="5" w:name="_GoBack"/>
      <w:bookmarkEnd w:id="5"/>
      <w:r w:rsidRPr="003E746D">
        <w:rPr>
          <w:rFonts w:ascii="宋体" w:hAnsi="宋体"/>
          <w:sz w:val="24"/>
        </w:rPr>
        <w:t>价值总和</w:t>
      </w:r>
    </w:p>
    <w:p w14:paraId="491EAD6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54、基金资产净值：指基金资产总值减去基金负债后的价值</w:t>
      </w:r>
    </w:p>
    <w:p w14:paraId="38EEB61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55、基金份额净值：指估值日基金资产净值除以估值日基金份额总数</w:t>
      </w:r>
    </w:p>
    <w:p w14:paraId="38CB4A6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56、基金资产估值：指计算评估基金资产和负债的价值，以确定基金资产净值和基金份额净值的过程</w:t>
      </w:r>
    </w:p>
    <w:p w14:paraId="69F1E293" w14:textId="78DDA305" w:rsidR="00F3528E" w:rsidRPr="003E746D" w:rsidRDefault="00F3528E" w:rsidP="00F3528E">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57、A类基金份额：指</w:t>
      </w:r>
      <w:r w:rsidR="00F33421" w:rsidRPr="003E746D">
        <w:rPr>
          <w:rFonts w:ascii="宋体" w:hAnsi="宋体" w:hint="eastAsia"/>
          <w:sz w:val="24"/>
        </w:rPr>
        <w:t>非针对个人养老金投资基金业务设立</w:t>
      </w:r>
      <w:r w:rsidRPr="003E746D">
        <w:rPr>
          <w:rFonts w:ascii="宋体" w:hAnsi="宋体" w:hint="eastAsia"/>
          <w:sz w:val="24"/>
        </w:rPr>
        <w:t>的基金份额</w:t>
      </w:r>
    </w:p>
    <w:p w14:paraId="7F8E1217" w14:textId="77777777" w:rsidR="00F3528E" w:rsidRPr="003E746D" w:rsidRDefault="00F3528E" w:rsidP="00F3528E">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58、Y类基金份额：指针对个人养老金投资基金业务设立的基金份额</w:t>
      </w:r>
    </w:p>
    <w:p w14:paraId="085903C1" w14:textId="5CD3960F" w:rsidR="004D2F6C" w:rsidRPr="003E746D" w:rsidRDefault="00435F28" w:rsidP="00F3528E">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w:t>
      </w:r>
      <w:r w:rsidR="00F3528E" w:rsidRPr="003E746D">
        <w:rPr>
          <w:rFonts w:ascii="宋体" w:hAnsi="宋体"/>
          <w:sz w:val="24"/>
        </w:rPr>
        <w:t>9</w:t>
      </w:r>
      <w:r w:rsidRPr="003E746D">
        <w:rPr>
          <w:rFonts w:ascii="宋体" w:hAnsi="宋体"/>
          <w:sz w:val="24"/>
        </w:rPr>
        <w:t>、指定媒介：指中国证监会指定的用以进行信息披露的全国性报刊及指定互联网网站（包括基金管理人网站、基金托管人网站、中国证监会基金电子披露网站）等媒介</w:t>
      </w:r>
    </w:p>
    <w:p w14:paraId="59F1BF48" w14:textId="3C30B795" w:rsidR="004D2F6C" w:rsidRPr="003E746D" w:rsidRDefault="00F3528E">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60</w:t>
      </w:r>
      <w:r w:rsidR="00435F28" w:rsidRPr="003E746D">
        <w:rPr>
          <w:rFonts w:ascii="宋体" w:hAnsi="宋体"/>
          <w:sz w:val="24"/>
        </w:rPr>
        <w:t>、不可抗力：指基金合同当事人不能预见、不能避免且不能克服的客观事件</w:t>
      </w:r>
    </w:p>
    <w:p w14:paraId="2A440187"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0DFB5FC1" w14:textId="214DB6BA" w:rsidR="004D2F6C" w:rsidRPr="003E746D" w:rsidRDefault="00435F28">
      <w:pPr>
        <w:pStyle w:val="1"/>
        <w:snapToGrid w:val="0"/>
        <w:spacing w:beforeLines="0" w:before="240" w:after="240"/>
        <w:rPr>
          <w:rFonts w:ascii="宋体" w:hAnsi="宋体"/>
          <w:szCs w:val="30"/>
        </w:rPr>
      </w:pPr>
      <w:bookmarkStart w:id="6" w:name="_Toc104410512"/>
      <w:r w:rsidRPr="003E746D">
        <w:rPr>
          <w:rFonts w:ascii="Times New Roman" w:hAnsi="Times New Roman"/>
          <w:sz w:val="30"/>
        </w:rPr>
        <w:lastRenderedPageBreak/>
        <w:t>三、基金管理人</w:t>
      </w:r>
      <w:bookmarkEnd w:id="6"/>
    </w:p>
    <w:p w14:paraId="7F951C1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（一）基金管理人概况</w:t>
      </w:r>
    </w:p>
    <w:p w14:paraId="1662B7C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名称：交银施罗德基金管理有限公司</w:t>
      </w:r>
    </w:p>
    <w:p w14:paraId="6431340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住所：中国(上海)自由贸易试验区银城中路188号交通银行大楼二层（裙）</w:t>
      </w:r>
    </w:p>
    <w:p w14:paraId="4EA57E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办公地址：上海市浦东新区世纪大道8号国金中心二期21-22楼</w:t>
      </w:r>
    </w:p>
    <w:p w14:paraId="3DFD85C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邮政编码：200120</w:t>
      </w:r>
    </w:p>
    <w:p w14:paraId="4201722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法定代表人：阮红</w:t>
      </w:r>
    </w:p>
    <w:p w14:paraId="4C84A2E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成立时间：2005年8月4日</w:t>
      </w:r>
    </w:p>
    <w:p w14:paraId="176B1B6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注册资本：2亿元人民币</w:t>
      </w:r>
    </w:p>
    <w:p w14:paraId="0306952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存续期间：持续经营</w:t>
      </w:r>
    </w:p>
    <w:p w14:paraId="2E940FF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联系人：郭佳敏</w:t>
      </w:r>
    </w:p>
    <w:p w14:paraId="0135760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电话：（021）61055050</w:t>
      </w:r>
    </w:p>
    <w:p w14:paraId="7AFE190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传真：（021）61055034</w:t>
      </w:r>
    </w:p>
    <w:p w14:paraId="0113E32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4D2F6C" w:rsidRPr="003E746D" w14:paraId="2917766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FD8BCE"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03E952B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股权比例</w:t>
            </w:r>
          </w:p>
        </w:tc>
      </w:tr>
      <w:tr w:rsidR="004D2F6C" w:rsidRPr="003E746D" w14:paraId="7FF9515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424FB5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交通银行股份有限公司（以下使用全称或其简称</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交通银行</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9CA465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65%</w:t>
            </w:r>
          </w:p>
        </w:tc>
      </w:tr>
      <w:tr w:rsidR="004D2F6C" w:rsidRPr="003E746D" w14:paraId="1359727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AB3743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717E3F90"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30%</w:t>
            </w:r>
          </w:p>
        </w:tc>
      </w:tr>
      <w:tr w:rsidR="004D2F6C" w:rsidRPr="003E746D" w14:paraId="711EB39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8A3D4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775E20D6"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5%</w:t>
            </w:r>
          </w:p>
        </w:tc>
      </w:tr>
    </w:tbl>
    <w:p w14:paraId="197DAB96" w14:textId="77777777" w:rsidR="008D7A26" w:rsidRPr="003E746D" w:rsidRDefault="008D7A26">
      <w:pPr>
        <w:autoSpaceDE w:val="0"/>
        <w:autoSpaceDN w:val="0"/>
        <w:adjustRightInd w:val="0"/>
        <w:snapToGrid w:val="0"/>
        <w:spacing w:line="360" w:lineRule="auto"/>
        <w:ind w:firstLineChars="200" w:firstLine="480"/>
        <w:jc w:val="left"/>
        <w:rPr>
          <w:rFonts w:ascii="宋体" w:hAnsi="宋体"/>
          <w:sz w:val="24"/>
        </w:rPr>
      </w:pPr>
    </w:p>
    <w:p w14:paraId="4019F38D" w14:textId="493536A1"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（二）主要成员情况</w:t>
      </w:r>
    </w:p>
    <w:p w14:paraId="7A1341C3"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1、基金管理人董事会成员</w:t>
      </w:r>
    </w:p>
    <w:p w14:paraId="4FCECAA7"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B414966"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童洁萍女士，董事，在职工商管理硕士。现任交通银行总行个人金融业务部副总经理。历任交通银行南京分行个人金融业务部副高级经理、江苏省分行个人金融业务部副总经理、总经理、玄武支行行长。</w:t>
      </w:r>
    </w:p>
    <w:p w14:paraId="22A9BB01"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王贤家先生，董事，学士。现任交通银行总行风险管理部/内控案防办 副总经</w:t>
      </w:r>
      <w:r w:rsidRPr="003E746D">
        <w:rPr>
          <w:rFonts w:ascii="宋体" w:hAnsi="宋体" w:hint="eastAsia"/>
          <w:sz w:val="24"/>
        </w:rPr>
        <w:lastRenderedPageBreak/>
        <w:t>理。历任交通银行总行国际业务部外汇资金处交易员、澳门分行资金部主管、总行金融市场部债券投资部副高级经理、外汇交易部高级经理。</w:t>
      </w:r>
    </w:p>
    <w:p w14:paraId="6477CCE2"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2FBEACB"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李定邦（Lieven Debruyne）先生，董事，硕士。现任施罗德集团全球业务总裁, 担任集团管理委员会成员。历任施罗德投资管理有限公司亚洲投资产品总监、亚太区行政总裁、施罗德投资管理（香港）有限公司行政总裁兼亚太区基金业务拓展总监。</w:t>
      </w:r>
    </w:p>
    <w:p w14:paraId="756B4EC6"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30BA0AC0"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6C3B354C"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678A4BD"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D54B183"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2、基金管理人监事会成员</w:t>
      </w:r>
    </w:p>
    <w:p w14:paraId="452ADA09"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梅津芝女士，监事长，学士。高级经济师、审计师。现任交通银行私人银行部总经理。历任交通银行山西省分行个人金融业务部高级经理，交通银行山西省分行</w:t>
      </w:r>
      <w:r w:rsidRPr="003E746D">
        <w:rPr>
          <w:rFonts w:ascii="宋体" w:hAnsi="宋体" w:hint="eastAsia"/>
          <w:sz w:val="24"/>
        </w:rPr>
        <w:lastRenderedPageBreak/>
        <w:t>副行长，交通银行个人金融业务部副总经理。</w:t>
      </w:r>
    </w:p>
    <w:p w14:paraId="17FB773E"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251A558C"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7E50B565"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794BE637"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3、基金管理人高级管理人员</w:t>
      </w:r>
    </w:p>
    <w:p w14:paraId="6FCBB600"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谢卫先生，总经理、代任首席信息官。简历同上。</w:t>
      </w:r>
    </w:p>
    <w:p w14:paraId="75121F19"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3400116" w14:textId="77777777" w:rsidR="008D7A26" w:rsidRPr="003E746D" w:rsidRDefault="008D7A26" w:rsidP="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417C2142" w14:textId="77777777" w:rsidR="008D7A26" w:rsidRPr="003E746D" w:rsidRDefault="008D7A26">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5731605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4、本基金基金经理</w:t>
      </w:r>
    </w:p>
    <w:p w14:paraId="1C4AE79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蔡铮先生:基金经理。复旦大学电子工程硕士，13年证券投资行业从业经验。2007年起在瑞士银行香港分行工作。2009年加入交银施罗德基金管理有限公司，曾任投资研究部数量分析师、基金经理助理、量化投资部助理总经理、量化投资部副总经理，现任量化投资副总监兼多元资产管理副总监、基金经理。曾任交银施罗德深证300价值交易型开放式指数证券投资基金联接基金(2012年12月27日至2021年04</w:t>
      </w:r>
      <w:r w:rsidRPr="003E746D">
        <w:rPr>
          <w:rFonts w:ascii="宋体" w:hAnsi="宋体"/>
          <w:sz w:val="24"/>
        </w:rPr>
        <w:lastRenderedPageBreak/>
        <w:t>月30日)、交银施罗德沪深300行业分层等权重指数证券投资基金(2012年12月27日至2015年06月30日)、交银施罗德消费新驱动股票型证券投资基金(2012年12月27日至2015年06月30日)、上证180公司治理交易型开放式指数证券投资基金(2012年12月27日至2021年04月30日)、深证300价值交易型开放式指数证券投资基金(2012年12月27日至2021年04月30日)、交银施罗德上证180公司治理交易型开放式指数证券投资基金联接基金(2012年12月27日至2021年04月30日)、交银施罗德国证新能源指数证券投资基金（LOF）(2015年03月26日至2021年04月30日)、交银施罗德全球自然资源证券投资基金(2015年04月22日至2017年03月24日)、交银施罗德环球精选价值证券投资基金(2015年04月22日至2017年03月24日)、交银施罗德中证海外中国互联网指数型证券投资基金(QDII-LOF)(2015年05月27日至2021年04月30日)、交银施罗德中证互联网金融指数分级证券投资基金(2015年06月26日至2020年11月25日)、交银施罗德中证环境治理指数分级证券投资基金(2015年08月13日至2016年07月18日)、交银施罗德中证环境治理指数型证券投资基金（LOF）(2016年07月19日至2021年04月30日)、交银施罗德致远量化智投策略定期开放混合型证券投资基金(2018年05月18日至2020年07月17日)、交银施罗德创业板50指数型证券投资基金(2019年11月20日至2021年04月30日)的基金经理。现任交银施罗德养老目标日期2035三年持有期混合型基金中基金（FOF）(2021年04月30日至今)、交银施罗德安享稳健养老目标一年持有期混合型基金中基金（FOF）(2021年04月30日至今)的基金经理。</w:t>
      </w:r>
    </w:p>
    <w:p w14:paraId="00A365D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本基金历任基金经理：</w:t>
      </w:r>
    </w:p>
    <w:p w14:paraId="1786EF1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杨喆女士(2019年05月30日至2021年05月21日)。</w:t>
      </w:r>
    </w:p>
    <w:p w14:paraId="2E8EA36A" w14:textId="77777777" w:rsidR="004D2F6C" w:rsidRPr="003E746D" w:rsidRDefault="004D2F6C">
      <w:pPr>
        <w:autoSpaceDE w:val="0"/>
        <w:autoSpaceDN w:val="0"/>
        <w:adjustRightInd w:val="0"/>
        <w:snapToGrid w:val="0"/>
        <w:spacing w:line="360" w:lineRule="auto"/>
        <w:ind w:firstLineChars="200" w:firstLine="420"/>
        <w:jc w:val="left"/>
        <w:rPr>
          <w:rFonts w:ascii="宋体" w:hAnsi="宋体"/>
          <w:szCs w:val="24"/>
        </w:rPr>
      </w:pPr>
    </w:p>
    <w:p w14:paraId="311FF3F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5、投资决策委员会成员</w:t>
      </w:r>
    </w:p>
    <w:p w14:paraId="31DFDDE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委员：谢卫（总经理）</w:t>
      </w:r>
    </w:p>
    <w:p w14:paraId="7450D6D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马俊（副总经理、研究总监）</w:t>
      </w:r>
    </w:p>
    <w:p w14:paraId="5C4E2E0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王少成（权益投资总监、基金经理）</w:t>
      </w:r>
    </w:p>
    <w:p w14:paraId="3E49F0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于海颖（固定收益（公募）投资总监、基金经理）</w:t>
      </w:r>
    </w:p>
    <w:p w14:paraId="358D22E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王崇（权益投资副总监、权益部一级专家、基金经理）</w:t>
      </w:r>
    </w:p>
    <w:p w14:paraId="02811C17" w14:textId="77777777" w:rsidR="004D2F6C" w:rsidRPr="003E746D" w:rsidRDefault="004D2F6C">
      <w:pPr>
        <w:autoSpaceDE w:val="0"/>
        <w:autoSpaceDN w:val="0"/>
        <w:adjustRightInd w:val="0"/>
        <w:snapToGrid w:val="0"/>
        <w:spacing w:line="360" w:lineRule="auto"/>
        <w:ind w:firstLineChars="200" w:firstLine="420"/>
        <w:jc w:val="left"/>
        <w:rPr>
          <w:rFonts w:ascii="宋体" w:hAnsi="宋体"/>
          <w:szCs w:val="24"/>
        </w:rPr>
      </w:pPr>
    </w:p>
    <w:p w14:paraId="2E1F50D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上述人员之间无近亲属关系，上述各项人员信息更新截止日为2022年04月28</w:t>
      </w:r>
      <w:r w:rsidRPr="003E746D">
        <w:rPr>
          <w:rFonts w:ascii="宋体" w:hAnsi="宋体"/>
          <w:sz w:val="24"/>
        </w:rPr>
        <w:lastRenderedPageBreak/>
        <w:t>日，期后变动（如有）敬请关注基金管理人发布的相关公告。</w:t>
      </w:r>
    </w:p>
    <w:p w14:paraId="026DCBB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（三）基金管理人的职责</w:t>
      </w:r>
    </w:p>
    <w:p w14:paraId="492DC48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1、依法募集资金，办理或者委托经中国证监会认定的其他机构办理基金份额的发售、申购、赎回和登记事宜；</w:t>
      </w:r>
    </w:p>
    <w:p w14:paraId="7BD9A26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2、办理基金备案手续；</w:t>
      </w:r>
    </w:p>
    <w:p w14:paraId="6738F43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3、对所管理的不同基金财产分别管理、分别记账，进行证券投资；</w:t>
      </w:r>
    </w:p>
    <w:p w14:paraId="0EFE63F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4、按照基金合同的约定确定基金收益分配方案，及时向基金份额持有人分配收益；</w:t>
      </w:r>
    </w:p>
    <w:p w14:paraId="504D96C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5、进行基金会计核算并编制基金财务会计报告；</w:t>
      </w:r>
    </w:p>
    <w:p w14:paraId="4B9D416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6、编制季度报告、中期报告和年度报告；</w:t>
      </w:r>
    </w:p>
    <w:p w14:paraId="6AE2FDB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7、计算并公告基金净值信息，确定基金份额申购、赎回价格；</w:t>
      </w:r>
    </w:p>
    <w:p w14:paraId="212BFB2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8、办理与基金财产管理业务活动有关的信息披露事项；</w:t>
      </w:r>
    </w:p>
    <w:p w14:paraId="2F4F888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9、按照规定召集基金份额持有人大会；</w:t>
      </w:r>
    </w:p>
    <w:p w14:paraId="19363A3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10、保存基金财产管理业务活动的记录、账册、报表和其他相关资料；</w:t>
      </w:r>
    </w:p>
    <w:p w14:paraId="506494F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11、以基金管理人名义，代表基金份额持有人利益行使诉讼权利或者实施其他法律行为；</w:t>
      </w:r>
    </w:p>
    <w:p w14:paraId="3DB3B60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12、有关法律法规和中国证监会规定的其他职责。</w:t>
      </w:r>
    </w:p>
    <w:p w14:paraId="325AEC6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（四）基金管理人的承诺</w:t>
      </w:r>
    </w:p>
    <w:p w14:paraId="652C1EA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1、基金管理人承诺不从事违反《中华人民共和国证券法》的行为，并承诺建立健全内部控制制度，采取有效措施，防止违反《中华人民共和国证券法》行为的发生；</w:t>
      </w:r>
    </w:p>
    <w:p w14:paraId="68A0FAC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2、基金管理人承诺不从事违反《基金法》的行为，并承诺建立健全内部风险控制制度，采取有效措施，防止下列行为的发生：</w:t>
      </w:r>
    </w:p>
    <w:p w14:paraId="02C2A0A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（1）将基金管理人固有财产或者他人财产混同于基金财产从事证券投资；</w:t>
      </w:r>
    </w:p>
    <w:p w14:paraId="7F991AA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（2）不公平地对待管理的不同基金财产；</w:t>
      </w:r>
    </w:p>
    <w:p w14:paraId="2F9F59A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（3）利用基金财产为基金份额持有人以外的第三人牟取利益；</w:t>
      </w:r>
    </w:p>
    <w:p w14:paraId="0F3FFB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（4）向基金份额持有人违规承诺收益或者承担损失；</w:t>
      </w:r>
    </w:p>
    <w:p w14:paraId="249EF83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（5）侵占、挪用基金财产；</w:t>
      </w:r>
    </w:p>
    <w:p w14:paraId="01A55D1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（6）法律、行政法规和中国证监会禁止的其他行为。</w:t>
      </w:r>
    </w:p>
    <w:p w14:paraId="3FF08ED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3、基金管理人承诺严格遵守基金合同，并承诺建立健全内部控制制度，采取</w:t>
      </w:r>
      <w:r w:rsidRPr="003E746D">
        <w:rPr>
          <w:rFonts w:ascii="宋体" w:hAnsi="宋体"/>
          <w:sz w:val="24"/>
        </w:rPr>
        <w:lastRenderedPageBreak/>
        <w:t>有效措施，防止违反基金合同行为的发生；</w:t>
      </w:r>
    </w:p>
    <w:p w14:paraId="0AA4F8B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4、基金管理人承诺加强人员管理，强化职业操守，督促和约束员工遵守国家有关法律法规及行业规范，诚实信用、勤勉尽责；</w:t>
      </w:r>
    </w:p>
    <w:p w14:paraId="75E680A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5、基金管理人承诺不从事其他法规规定禁止从事的行为。</w:t>
      </w:r>
    </w:p>
    <w:p w14:paraId="26E1C63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（五）基金经理承诺</w:t>
      </w:r>
    </w:p>
    <w:p w14:paraId="3E7E972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1、依照有关法律法规和基金合同的规定，本着谨慎的原则为基金份额持有人谋取最大利益；</w:t>
      </w:r>
    </w:p>
    <w:p w14:paraId="197AA01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2、不利用职务之便为自己、受雇人或任何第三者谋取利益；</w:t>
      </w:r>
    </w:p>
    <w:p w14:paraId="105B9CA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2595321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4、不以任何形式为其他组织或个人进行证券交易。</w:t>
      </w:r>
    </w:p>
    <w:p w14:paraId="67AEA4F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（六）基金管理人的内部控制制度</w:t>
      </w:r>
    </w:p>
    <w:p w14:paraId="31FC96E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1、风险管理的原则</w:t>
      </w:r>
    </w:p>
    <w:p w14:paraId="4236656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（1）全面性原则</w:t>
      </w:r>
    </w:p>
    <w:p w14:paraId="3BDCE47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公司风险管理必须覆盖公司的所有部门和岗位，渗透各项业务过程和业务环节。</w:t>
      </w:r>
    </w:p>
    <w:p w14:paraId="24350D4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（2）独立性原则</w:t>
      </w:r>
    </w:p>
    <w:p w14:paraId="224B668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公司设立独立的风险管理部，风险管理部保持高度的独立性和权威性，负责对公司各部门风险控制工作进行监督和检查。</w:t>
      </w:r>
    </w:p>
    <w:p w14:paraId="41A883E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（3）相互制约原则</w:t>
      </w:r>
    </w:p>
    <w:p w14:paraId="78D85C3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公司及各部门在内部组织结构的设计上要形成一种相互制约的机制，建立不同岗位之间的制衡体系。</w:t>
      </w:r>
    </w:p>
    <w:p w14:paraId="1F560E5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（4）定性和定量相结合原则</w:t>
      </w:r>
    </w:p>
    <w:p w14:paraId="4370ABD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建立完备的风险管理指标体系，使风险管理更具客观性和操作性。</w:t>
      </w:r>
    </w:p>
    <w:p w14:paraId="547C621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2、风险管理和内部风险控制体系结构</w:t>
      </w:r>
    </w:p>
    <w:p w14:paraId="42CB0AA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26498C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（1）董事会</w:t>
      </w:r>
    </w:p>
    <w:p w14:paraId="6845407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负责制定公司的风险管理政策，对风险管理负完全的和最终的责任。</w:t>
      </w:r>
    </w:p>
    <w:p w14:paraId="43C7D8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（2）监事会</w:t>
      </w:r>
    </w:p>
    <w:p w14:paraId="64C87B5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是公司常设的监事机构，对股东会负责。监事会对公司财务、公司董事、总经理及其他高级管理人员进行监督。</w:t>
      </w:r>
    </w:p>
    <w:p w14:paraId="7A317DB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（3）合规审核及风险管理委员会</w:t>
      </w:r>
    </w:p>
    <w:p w14:paraId="57B0DB0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6CE83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（4）风险控制委员会</w:t>
      </w:r>
    </w:p>
    <w:p w14:paraId="2B8CA44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4D86323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（5）督察长</w:t>
      </w:r>
    </w:p>
    <w:p w14:paraId="3040872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独立行使督察权利；直接对董事会负责；就内部控制制度和执行情况独立地履行检查、评价、报告、建议职能；定期和不定期地向董事会报告公司内部控制执行情况。</w:t>
      </w:r>
    </w:p>
    <w:p w14:paraId="368E891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（6）风险管理部</w:t>
      </w:r>
    </w:p>
    <w:p w14:paraId="152EE71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43652B9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（7）审计部</w:t>
      </w:r>
    </w:p>
    <w:p w14:paraId="1B46E4F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9CB147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（8）法律合规部</w:t>
      </w:r>
    </w:p>
    <w:p w14:paraId="4EDD550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C12C22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（9）业务部门</w:t>
      </w:r>
    </w:p>
    <w:p w14:paraId="16B04F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04D783F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3、风险管理和内部风险控制的措施</w:t>
      </w:r>
    </w:p>
    <w:p w14:paraId="5AEE8DA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（1）建立内控体系，完善内控制度</w:t>
      </w:r>
    </w:p>
    <w:p w14:paraId="0CBDCB6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68306EE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（2）建立相互分离、相互制衡的内控机制</w:t>
      </w:r>
    </w:p>
    <w:p w14:paraId="251A866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建立、健全了各项制度，做到基金经理分开，投资决策分开，基金交易集中，形成不同部门、不同岗位之间的制衡机制，从制度上减少和防范风险。</w:t>
      </w:r>
    </w:p>
    <w:p w14:paraId="05A20C8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（3）建立、健全岗位责任制</w:t>
      </w:r>
    </w:p>
    <w:p w14:paraId="34C6A5D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建立、健全了岗位责任制，使每个员工都明确自己的任务、职责，并及时将各自工作领域中的风险隐患上报，以防范和减少风险。</w:t>
      </w:r>
    </w:p>
    <w:p w14:paraId="43D47E3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（4）建立风险分类、识别、评估、报告、提示程序</w:t>
      </w:r>
    </w:p>
    <w:p w14:paraId="49FC149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6AFFA8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（5）建立有效的内部监控系统</w:t>
      </w:r>
    </w:p>
    <w:p w14:paraId="082A833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建立了足够、有效的内部监控系统，如电脑预警系统、投资监控系统，对可能出现的各种风险进行全面和实时的监控。</w:t>
      </w:r>
    </w:p>
    <w:p w14:paraId="61F929C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（6）使用数量化的风险管理手段</w:t>
      </w:r>
    </w:p>
    <w:p w14:paraId="2EC48BB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4531A05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（7）提供足够的培训</w:t>
      </w:r>
    </w:p>
    <w:p w14:paraId="1BE0D27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制定了完整的培训计划，为所有员工提供足够和适当的培训，使员工明确其职责所在，控制风险。</w:t>
      </w:r>
    </w:p>
    <w:p w14:paraId="1AF612AB"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6D36E6E3" w14:textId="16193299" w:rsidR="004D2F6C" w:rsidRPr="003E746D" w:rsidRDefault="00435F28">
      <w:pPr>
        <w:pStyle w:val="1"/>
        <w:snapToGrid w:val="0"/>
        <w:spacing w:beforeLines="0" w:before="240" w:after="240"/>
        <w:rPr>
          <w:rFonts w:ascii="宋体" w:hAnsi="宋体"/>
          <w:szCs w:val="30"/>
        </w:rPr>
      </w:pPr>
      <w:bookmarkStart w:id="7" w:name="_Toc104410513"/>
      <w:r w:rsidRPr="003E746D">
        <w:rPr>
          <w:rFonts w:ascii="Times New Roman" w:hAnsi="Times New Roman"/>
          <w:sz w:val="30"/>
        </w:rPr>
        <w:lastRenderedPageBreak/>
        <w:t>四、基金托管人</w:t>
      </w:r>
      <w:bookmarkEnd w:id="7"/>
    </w:p>
    <w:p w14:paraId="6E447837"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（一）基金托管人情况</w:t>
      </w:r>
    </w:p>
    <w:p w14:paraId="66FD6E89"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1、基本情况</w:t>
      </w:r>
    </w:p>
    <w:p w14:paraId="23866DCA"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名称：中国农业银行股份有限公司（简称中国农业银行）</w:t>
      </w:r>
    </w:p>
    <w:p w14:paraId="772EA70F"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住所：北京市东城区建国门内大街69号</w:t>
      </w:r>
    </w:p>
    <w:p w14:paraId="53CBF1FE"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办公地址：北京市西城区复兴门内大街28号凯晨世贸中心东座</w:t>
      </w:r>
    </w:p>
    <w:p w14:paraId="520F8DBD"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法定代表人：谷澍</w:t>
      </w:r>
    </w:p>
    <w:p w14:paraId="39BD7E27"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成立日期：2009年1月15日</w:t>
      </w:r>
    </w:p>
    <w:p w14:paraId="359D66A0"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批准设立机关和批准设立文号：中国银监会银监复[2009]13号</w:t>
      </w:r>
    </w:p>
    <w:p w14:paraId="7276D466"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基金托管资格批文及文号：中国证监会证监基字[1998]23号</w:t>
      </w:r>
    </w:p>
    <w:p w14:paraId="53BF49CF"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注册资本：34,998,303.4万元人民币</w:t>
      </w:r>
    </w:p>
    <w:p w14:paraId="6C7F74AC"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存续期间：持续经营</w:t>
      </w:r>
    </w:p>
    <w:p w14:paraId="70ABC897"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联系电话：010-66060069</w:t>
      </w:r>
    </w:p>
    <w:p w14:paraId="093B4E75"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传真：010-68121816</w:t>
      </w:r>
    </w:p>
    <w:p w14:paraId="433D8CE2"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联系人：秦一楠</w:t>
      </w:r>
    </w:p>
    <w:p w14:paraId="2B52A4A7"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C835963"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中国农业银行是中国第一批开展托管业务的国内商业银行，经验丰富，服务优质，业绩突出，2004年被英国《全球托管人》评为中国“最佳托管银行”。2007年</w:t>
      </w:r>
      <w:r w:rsidRPr="003E746D">
        <w:rPr>
          <w:rFonts w:ascii="宋体" w:hAnsi="宋体" w:hint="eastAsia"/>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w:t>
      </w:r>
    </w:p>
    <w:p w14:paraId="7608DFB6"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14:paraId="4D7B4486"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2、主要人员情况</w:t>
      </w:r>
    </w:p>
    <w:p w14:paraId="0D00A8D1"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14:paraId="6D590F1F" w14:textId="77777777" w:rsidR="00C36ABA" w:rsidRPr="003E746D" w:rsidRDefault="00C36ABA" w:rsidP="00C36ABA">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3、基金托管业务经营情况</w:t>
      </w:r>
    </w:p>
    <w:p w14:paraId="5E3F91C4" w14:textId="3C3FDB2C" w:rsidR="004D2F6C" w:rsidRPr="003E746D" w:rsidRDefault="00C36ABA">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截止到2022年6月30日，中国农业银行托管的封闭式证券投资基金和开放式证券投资基金共740只。</w:t>
      </w:r>
    </w:p>
    <w:p w14:paraId="47C7E6DE"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（二）基金托管人的内部风险控制制度说明</w:t>
      </w:r>
    </w:p>
    <w:p w14:paraId="5AF0A43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1、内部控制目标</w:t>
      </w:r>
    </w:p>
    <w:p w14:paraId="5CD9D74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2C25C40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2、内部控制组织结构</w:t>
      </w:r>
    </w:p>
    <w:p w14:paraId="3FDECBB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风险管理委员会总体负责中国农业银行的风险管理与内部控制工作,对托管业</w:t>
      </w:r>
      <w:r w:rsidRPr="003E746D">
        <w:rPr>
          <w:rFonts w:ascii="宋体" w:hAnsi="宋体"/>
          <w:sz w:val="24"/>
        </w:rPr>
        <w:lastRenderedPageBreak/>
        <w:t>务风险管理和内部控制工作进行监督和评价。托管业务部专门设置了风险管理处,配备了专职内控监督人员负责托管业务的内控监督工作,独立行使监督稽核职权。</w:t>
      </w:r>
    </w:p>
    <w:p w14:paraId="613AE12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3、内部控制制度及措施</w:t>
      </w:r>
    </w:p>
    <w:p w14:paraId="2ADCB10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F7FDF76"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（三）基金托管人对基金管理人运作基金进行监督的方法和程序</w:t>
      </w:r>
    </w:p>
    <w:p w14:paraId="17AC991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37AF96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当基金出现异常交易行为时，基金托管人应当针对不同情况进行以下方式的处理：</w:t>
      </w:r>
    </w:p>
    <w:p w14:paraId="2FBFA92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1、电话提示。对媒体和舆论反映集中的问题，电话提示基金管理人；</w:t>
      </w:r>
    </w:p>
    <w:p w14:paraId="66C9463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2、书面警示。对本基金投资比例接近超标、资金头寸不足等问题，以书面方式对基金管理人进行提示；</w:t>
      </w:r>
    </w:p>
    <w:p w14:paraId="529767E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3、书面报告。对投资比例超标、清算资金透支以及其他涉嫌违规交易等行为，书面提示有关基金管理人并报中国证监会。</w:t>
      </w:r>
    </w:p>
    <w:p w14:paraId="157AAE91" w14:textId="77777777" w:rsidR="004D2F6C" w:rsidRPr="003E746D" w:rsidRDefault="004D2F6C">
      <w:pPr>
        <w:autoSpaceDE w:val="0"/>
        <w:autoSpaceDN w:val="0"/>
        <w:adjustRightInd w:val="0"/>
        <w:snapToGrid w:val="0"/>
        <w:spacing w:line="360" w:lineRule="auto"/>
        <w:ind w:firstLineChars="200" w:firstLine="420"/>
        <w:jc w:val="left"/>
        <w:rPr>
          <w:rFonts w:ascii="宋体" w:hAnsi="宋体"/>
          <w:szCs w:val="24"/>
        </w:rPr>
      </w:pPr>
    </w:p>
    <w:p w14:paraId="1E879E62"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53D3E7CC" w14:textId="6FC48B5E" w:rsidR="004D2F6C" w:rsidRPr="003E746D" w:rsidRDefault="00435F28">
      <w:pPr>
        <w:pStyle w:val="1"/>
        <w:snapToGrid w:val="0"/>
        <w:spacing w:beforeLines="0" w:before="240" w:after="240"/>
        <w:rPr>
          <w:rFonts w:ascii="宋体" w:hAnsi="宋体"/>
          <w:szCs w:val="30"/>
        </w:rPr>
      </w:pPr>
      <w:bookmarkStart w:id="8" w:name="_Toc104410514"/>
      <w:r w:rsidRPr="003E746D">
        <w:rPr>
          <w:rFonts w:ascii="Times New Roman" w:hAnsi="Times New Roman"/>
          <w:sz w:val="30"/>
        </w:rPr>
        <w:lastRenderedPageBreak/>
        <w:t>五、相关服务机构</w:t>
      </w:r>
      <w:bookmarkEnd w:id="8"/>
    </w:p>
    <w:p w14:paraId="037060E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（一）基金份额销售机构</w:t>
      </w:r>
    </w:p>
    <w:p w14:paraId="0942C8C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1、直销机构</w:t>
      </w:r>
    </w:p>
    <w:p w14:paraId="621C3C2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本基金直销机构为基金管理人直销柜台以及基金管理人的网上直销交易平台（网站及手机APP，下同）。</w:t>
      </w:r>
    </w:p>
    <w:p w14:paraId="703B715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名称：交银施罗德基金管理有限公司</w:t>
      </w:r>
    </w:p>
    <w:p w14:paraId="3376F42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住所：中国(上海)自由贸易试验区银城中路188号交通银行大楼二层（裙）</w:t>
      </w:r>
    </w:p>
    <w:p w14:paraId="7581AA8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办公地址：上海市浦东新区世纪大道8号国金中心二期21-22楼</w:t>
      </w:r>
    </w:p>
    <w:p w14:paraId="0A77CA8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法定代表人：阮红</w:t>
      </w:r>
    </w:p>
    <w:p w14:paraId="30A1234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成立时间：2005年8月4日</w:t>
      </w:r>
    </w:p>
    <w:p w14:paraId="30D29E1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电话：（021）61055724</w:t>
      </w:r>
    </w:p>
    <w:p w14:paraId="1B08205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传真：（021）61055054</w:t>
      </w:r>
    </w:p>
    <w:p w14:paraId="21CD7BB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联系人：傅鲸</w:t>
      </w:r>
    </w:p>
    <w:p w14:paraId="63106B6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客户服务电话：400-700-5000（免长途话费），（021）61055000</w:t>
      </w:r>
    </w:p>
    <w:p w14:paraId="07F550A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网址：www.fund001.com</w:t>
      </w:r>
    </w:p>
    <w:p w14:paraId="692397F1" w14:textId="71399FEE"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个人投资者可以通过基金管理人网上直销交易平台办理开户、本基金</w:t>
      </w:r>
      <w:r w:rsidR="00F71C6D" w:rsidRPr="003E746D">
        <w:rPr>
          <w:rFonts w:ascii="宋体" w:hAnsi="宋体" w:hint="eastAsia"/>
          <w:sz w:val="24"/>
        </w:rPr>
        <w:t>A类基金份额</w:t>
      </w:r>
      <w:r w:rsidRPr="003E746D">
        <w:rPr>
          <w:rFonts w:ascii="宋体" w:hAnsi="宋体"/>
          <w:sz w:val="24"/>
        </w:rPr>
        <w:t>的申购、赎回、定期定额投资等业务，具体交易细则请参阅基金管理人网站。</w:t>
      </w:r>
    </w:p>
    <w:p w14:paraId="1588D5C4" w14:textId="5F8F9ADF"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网上直销交易平台网址：www.fund001.com。</w:t>
      </w:r>
    </w:p>
    <w:p w14:paraId="3D7D722E" w14:textId="77777777" w:rsidR="00F26453" w:rsidRPr="003E746D" w:rsidRDefault="00435F28" w:rsidP="00F26453">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w:t>
      </w:r>
      <w:r w:rsidR="00F26453" w:rsidRPr="003E746D">
        <w:rPr>
          <w:rFonts w:ascii="宋体" w:hAnsi="宋体" w:hint="eastAsia"/>
          <w:sz w:val="24"/>
        </w:rPr>
        <w:t>销售</w:t>
      </w:r>
      <w:r w:rsidR="00F26453" w:rsidRPr="003E746D">
        <w:rPr>
          <w:rFonts w:ascii="宋体" w:hAnsi="宋体"/>
          <w:sz w:val="24"/>
        </w:rPr>
        <w:t>机构</w:t>
      </w:r>
    </w:p>
    <w:p w14:paraId="530D90AD" w14:textId="2A3C5114" w:rsidR="00F3528E" w:rsidRPr="003E746D" w:rsidRDefault="00F26453" w:rsidP="00F26453">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本基金A类基金份额除直销机构外的其他销售机构：</w:t>
      </w:r>
    </w:p>
    <w:p w14:paraId="4A7429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（1）名称：交通银行股份有限公司</w:t>
      </w:r>
    </w:p>
    <w:p w14:paraId="6579EE5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住所：上海市浦东新区银城中路188号</w:t>
      </w:r>
    </w:p>
    <w:p w14:paraId="11BA9AF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办公地址：上海市浦东新区银城中路188号</w:t>
      </w:r>
    </w:p>
    <w:p w14:paraId="3ED7B12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法定代表人：任德奇</w:t>
      </w:r>
    </w:p>
    <w:p w14:paraId="73B3DA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电话：（021）58781234</w:t>
      </w:r>
    </w:p>
    <w:p w14:paraId="55C760E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传真：（021）58408483</w:t>
      </w:r>
    </w:p>
    <w:p w14:paraId="5CDD273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联系人：范瑞波</w:t>
      </w:r>
    </w:p>
    <w:p w14:paraId="2B35D2F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客户服务电话：95559</w:t>
      </w:r>
    </w:p>
    <w:p w14:paraId="4AEAA50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网址：www.bankcomm.com</w:t>
      </w:r>
    </w:p>
    <w:p w14:paraId="26CA7F0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（2）名称：中国农业银行股份有限公司</w:t>
      </w:r>
    </w:p>
    <w:p w14:paraId="4176DAF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住所：北京市东城区建国门内大街69号</w:t>
      </w:r>
    </w:p>
    <w:p w14:paraId="07BB503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办公地址：北京市西城区复兴门内大街28号凯晨世贸中心东座</w:t>
      </w:r>
    </w:p>
    <w:p w14:paraId="3801D61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法定代表人：周慕冰</w:t>
      </w:r>
    </w:p>
    <w:p w14:paraId="397F882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联系电话：010-66060069</w:t>
      </w:r>
    </w:p>
    <w:p w14:paraId="6C96F87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传真：010-68121816</w:t>
      </w:r>
    </w:p>
    <w:p w14:paraId="76C5CA5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联系人：贺倩</w:t>
      </w:r>
    </w:p>
    <w:p w14:paraId="1CF0239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客户服务电话：95599</w:t>
      </w:r>
    </w:p>
    <w:p w14:paraId="4391B29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网址：www.abchina.com</w:t>
      </w:r>
    </w:p>
    <w:p w14:paraId="477E26A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（3）名称：招商银行股份有限公司</w:t>
      </w:r>
    </w:p>
    <w:p w14:paraId="4D9E751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住所：深圳市福田区深南大道7088号</w:t>
      </w:r>
    </w:p>
    <w:p w14:paraId="52FDEC2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办公地址：深圳市福田区深南大道7088号</w:t>
      </w:r>
    </w:p>
    <w:p w14:paraId="725AAD3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法定代表人：缪建民</w:t>
      </w:r>
    </w:p>
    <w:p w14:paraId="1BB36D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电话：（0755）83198888</w:t>
      </w:r>
    </w:p>
    <w:p w14:paraId="4D7B7CD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传真：（0755）83195109</w:t>
      </w:r>
    </w:p>
    <w:p w14:paraId="1570512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联系人：季平伟</w:t>
      </w:r>
    </w:p>
    <w:p w14:paraId="10E6A00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客户服务电话：95555</w:t>
      </w:r>
    </w:p>
    <w:p w14:paraId="7A9642B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网址：www.cmbchina.com</w:t>
      </w:r>
    </w:p>
    <w:p w14:paraId="7189A72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（4）名称：中国建设银行股份有限公司</w:t>
      </w:r>
    </w:p>
    <w:p w14:paraId="48DEE3E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住所：北京市西城区金融大街25号</w:t>
      </w:r>
    </w:p>
    <w:p w14:paraId="29D8FEB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办公地址：北京市西城区金融大街25号</w:t>
      </w:r>
    </w:p>
    <w:p w14:paraId="04AF788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法定代表人：田国立</w:t>
      </w:r>
    </w:p>
    <w:p w14:paraId="5AAEF38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电话：（010）66275654</w:t>
      </w:r>
    </w:p>
    <w:p w14:paraId="04C0ABB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传真：（010）66275654</w:t>
      </w:r>
    </w:p>
    <w:p w14:paraId="6E88CED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客户服务电话：95533</w:t>
      </w:r>
    </w:p>
    <w:p w14:paraId="1173166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网址：www.ccb.com</w:t>
      </w:r>
    </w:p>
    <w:p w14:paraId="072E0A7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（5）名称：平安银行股份有限公司</w:t>
      </w:r>
    </w:p>
    <w:p w14:paraId="0C54237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注册地址：深圳市罗湖区深南东路5047号</w:t>
      </w:r>
    </w:p>
    <w:p w14:paraId="12E05FF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办公地址：深圳市深南东路5047号</w:t>
      </w:r>
    </w:p>
    <w:p w14:paraId="44CE969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法人代表：谢永林</w:t>
      </w:r>
    </w:p>
    <w:p w14:paraId="4474157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电话：0755-22166574</w:t>
      </w:r>
    </w:p>
    <w:p w14:paraId="346864A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传真：0755-82080406</w:t>
      </w:r>
    </w:p>
    <w:p w14:paraId="23EB10A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联系人：赵杨</w:t>
      </w:r>
    </w:p>
    <w:p w14:paraId="0BEA74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客服电话：95511-3或95501</w:t>
      </w:r>
    </w:p>
    <w:p w14:paraId="3C9503B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网址：bank.pingan.com</w:t>
      </w:r>
    </w:p>
    <w:p w14:paraId="3BBC45D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（6）名称：中国民生银行股份有限公司</w:t>
      </w:r>
    </w:p>
    <w:p w14:paraId="40D12C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住所：北京市西城区复兴门内大街2号</w:t>
      </w:r>
    </w:p>
    <w:p w14:paraId="33B5E47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办公地址：北京市西城区复兴门内大街2号</w:t>
      </w:r>
    </w:p>
    <w:p w14:paraId="640B0EB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法定代表人：洪崎</w:t>
      </w:r>
    </w:p>
    <w:p w14:paraId="17412A2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电话：（010）58560666</w:t>
      </w:r>
    </w:p>
    <w:p w14:paraId="39FAC43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传真：（010）57092611</w:t>
      </w:r>
    </w:p>
    <w:p w14:paraId="6445D4E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联系人：许野</w:t>
      </w:r>
    </w:p>
    <w:p w14:paraId="6605B633" w14:textId="1816BDED"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客户服务电话：95568</w:t>
      </w:r>
    </w:p>
    <w:p w14:paraId="042BAE4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网址：www.cmbc.com.cn</w:t>
      </w:r>
    </w:p>
    <w:p w14:paraId="1AC994E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（7）名称：中国邮政储蓄银行股份有限公司</w:t>
      </w:r>
    </w:p>
    <w:p w14:paraId="4262948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住所：北京市西城区金融大街3号</w:t>
      </w:r>
    </w:p>
    <w:p w14:paraId="5AE999E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办公地址：北京市西城区金融大街3号</w:t>
      </w:r>
    </w:p>
    <w:p w14:paraId="4EC1DAA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法定代表人：李国华</w:t>
      </w:r>
    </w:p>
    <w:p w14:paraId="7DED36A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传真：（010）68858117</w:t>
      </w:r>
    </w:p>
    <w:p w14:paraId="1057125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联系人：陈春林</w:t>
      </w:r>
    </w:p>
    <w:p w14:paraId="776773B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客户服务电话：95580</w:t>
      </w:r>
    </w:p>
    <w:p w14:paraId="56CFF53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网址：www.psbc.com</w:t>
      </w:r>
    </w:p>
    <w:p w14:paraId="02FF645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（8）名称：中信银行股份有限公司</w:t>
      </w:r>
    </w:p>
    <w:p w14:paraId="1AB97F9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住所：北京市东城区朝阳门北大街9号</w:t>
      </w:r>
    </w:p>
    <w:p w14:paraId="5961058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办公地址：北京市东城区朝阳门北大街9号</w:t>
      </w:r>
    </w:p>
    <w:p w14:paraId="7A1EAB1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法定代表人：朱鹤新</w:t>
      </w:r>
    </w:p>
    <w:p w14:paraId="05968C6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电话：（010）89936330</w:t>
      </w:r>
    </w:p>
    <w:p w14:paraId="7B9495B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传真：（010）85230024</w:t>
      </w:r>
    </w:p>
    <w:p w14:paraId="0E3F9E7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联系人：丰靖</w:t>
      </w:r>
    </w:p>
    <w:p w14:paraId="39AE015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客户服务电话：95558</w:t>
      </w:r>
    </w:p>
    <w:p w14:paraId="6376012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网址：bank.ecitic.com</w:t>
      </w:r>
    </w:p>
    <w:p w14:paraId="4116345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（9）名称：宁波银行股份有限公司</w:t>
      </w:r>
    </w:p>
    <w:p w14:paraId="0BE3CAC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住所：宁波市江东区中山东路294号</w:t>
      </w:r>
    </w:p>
    <w:p w14:paraId="3CE6D27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法定代表人：陆华裕</w:t>
      </w:r>
    </w:p>
    <w:p w14:paraId="7E25E6F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电话：（021）63586210</w:t>
      </w:r>
    </w:p>
    <w:p w14:paraId="0F1A7E9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传真：（021）63586215</w:t>
      </w:r>
    </w:p>
    <w:p w14:paraId="0677B0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联系人：胡技勋</w:t>
      </w:r>
    </w:p>
    <w:p w14:paraId="38CBBC9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客户服务电话：96528（上海地区962528）</w:t>
      </w:r>
    </w:p>
    <w:p w14:paraId="7B0F62D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网址：www.nbcb.com.cn</w:t>
      </w:r>
    </w:p>
    <w:p w14:paraId="184FDED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（10）名称：上海银行股份有限公司</w:t>
      </w:r>
    </w:p>
    <w:p w14:paraId="4B23FCE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住所：上海市银城中路168号</w:t>
      </w:r>
    </w:p>
    <w:p w14:paraId="3EAAD36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办公地址：上海市银城中路168号</w:t>
      </w:r>
    </w:p>
    <w:p w14:paraId="3A7C34C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法定代表人：金煜</w:t>
      </w:r>
    </w:p>
    <w:p w14:paraId="4A01E93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电话：（021）68475888</w:t>
      </w:r>
    </w:p>
    <w:p w14:paraId="465D00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传真：（021）68476111</w:t>
      </w:r>
    </w:p>
    <w:p w14:paraId="78DFA19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联系人：张萍</w:t>
      </w:r>
    </w:p>
    <w:p w14:paraId="36461D5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客户服务电话：（021）962888</w:t>
      </w:r>
    </w:p>
    <w:p w14:paraId="3AE0F24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网址：www.bankofshanghai.com</w:t>
      </w:r>
    </w:p>
    <w:p w14:paraId="62BAFC1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（11）名称：兴业银行股份有限公司</w:t>
      </w:r>
    </w:p>
    <w:p w14:paraId="3A669D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注册地址：福建省福州市湖东路154号中山大厦</w:t>
      </w:r>
    </w:p>
    <w:p w14:paraId="0DA5F3F9" w14:textId="0B40D110"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办公地址：上海市浦东新区银城路167号兴业银行大厦</w:t>
      </w:r>
    </w:p>
    <w:p w14:paraId="328D3EC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法定代表人：吕家进</w:t>
      </w:r>
    </w:p>
    <w:p w14:paraId="6FAED97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联系人：蔡宣铭</w:t>
      </w:r>
    </w:p>
    <w:p w14:paraId="21D8D33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联系电话：021-52629999</w:t>
      </w:r>
    </w:p>
    <w:p w14:paraId="162CA97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客服热线：95561</w:t>
      </w:r>
    </w:p>
    <w:p w14:paraId="4A6F3AE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网址：www.cib.com.cn</w:t>
      </w:r>
    </w:p>
    <w:p w14:paraId="2833EB5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（12）名称：中信建投证券股份有限公司</w:t>
      </w:r>
    </w:p>
    <w:p w14:paraId="6AD740C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住所：北京市朝阳区安立路66号4号楼</w:t>
      </w:r>
    </w:p>
    <w:p w14:paraId="5EDC7DD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办公地址：北京市朝阳门内大街188号</w:t>
      </w:r>
    </w:p>
    <w:p w14:paraId="4BD4647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法定代表人：王常青</w:t>
      </w:r>
    </w:p>
    <w:p w14:paraId="2E1F0E6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电话：（010）85130588</w:t>
      </w:r>
    </w:p>
    <w:p w14:paraId="7877A7A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传真：（010）65182261</w:t>
      </w:r>
    </w:p>
    <w:p w14:paraId="2168B58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联系人：魏明</w:t>
      </w:r>
    </w:p>
    <w:p w14:paraId="4907A99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客户服务电话：95587</w:t>
      </w:r>
    </w:p>
    <w:p w14:paraId="4601171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网址：www.csc108.com</w:t>
      </w:r>
    </w:p>
    <w:p w14:paraId="32E07B8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（13）名称：国信证券股份有限公司</w:t>
      </w:r>
    </w:p>
    <w:p w14:paraId="68F04C5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住所：深圳市罗湖区红岭中路1012号国信证券大厦16-26楼</w:t>
      </w:r>
    </w:p>
    <w:p w14:paraId="65ACFB4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办公地址：深圳市罗湖区红岭中路1012号国信证券大厦16-26楼</w:t>
      </w:r>
    </w:p>
    <w:p w14:paraId="38306E3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法定代表人：何如</w:t>
      </w:r>
    </w:p>
    <w:p w14:paraId="350120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电话：（0755）82130833</w:t>
      </w:r>
    </w:p>
    <w:p w14:paraId="073F232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传真：（0755）82133952</w:t>
      </w:r>
    </w:p>
    <w:p w14:paraId="1C3431D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联系人：周杨</w:t>
      </w:r>
    </w:p>
    <w:p w14:paraId="1969A29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客户服务电话：95536</w:t>
      </w:r>
    </w:p>
    <w:p w14:paraId="048F09E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网址：www.guosen.com.cn</w:t>
      </w:r>
    </w:p>
    <w:p w14:paraId="7E7C436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（14）名称：国金证券股份有限公司</w:t>
      </w:r>
    </w:p>
    <w:p w14:paraId="0032A7C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住所：四川省成都市东城根上街95号</w:t>
      </w:r>
    </w:p>
    <w:p w14:paraId="325A48C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办公地址：成都市东城根上街95号</w:t>
      </w:r>
    </w:p>
    <w:p w14:paraId="4CA757A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法定代表人：冉云</w:t>
      </w:r>
    </w:p>
    <w:p w14:paraId="4AD9B97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电话：（028）86690057，（028）86690058</w:t>
      </w:r>
    </w:p>
    <w:p w14:paraId="1DAC0AD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传真：（028）86690126</w:t>
      </w:r>
    </w:p>
    <w:p w14:paraId="6C292F2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联系人：刘婧漪 贾鹏</w:t>
      </w:r>
    </w:p>
    <w:p w14:paraId="0301C7F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客户服务电话：95310</w:t>
      </w:r>
    </w:p>
    <w:p w14:paraId="7661844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网址：www.gjzq.com.cn</w:t>
      </w:r>
    </w:p>
    <w:p w14:paraId="161C9C6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（15）名称：华龙证券股份有限公司</w:t>
      </w:r>
    </w:p>
    <w:p w14:paraId="62A992C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住所：兰州市城关区东岗西路638号财富中心</w:t>
      </w:r>
    </w:p>
    <w:p w14:paraId="1E6FE6C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办公地址：兰州市城关区东岗西路638号财富中心</w:t>
      </w:r>
    </w:p>
    <w:p w14:paraId="45F64DD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法定代表人：李晓安</w:t>
      </w:r>
    </w:p>
    <w:p w14:paraId="151620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电话：（0931）4890208</w:t>
      </w:r>
    </w:p>
    <w:p w14:paraId="0CDA79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传真：（0931）4890628</w:t>
      </w:r>
    </w:p>
    <w:p w14:paraId="3468D87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联系人：李昕田</w:t>
      </w:r>
    </w:p>
    <w:p w14:paraId="3544605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客户服务电话：4006898888、（0931）4890208</w:t>
      </w:r>
    </w:p>
    <w:p w14:paraId="1B31863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网址：www.hlzqgs.com</w:t>
      </w:r>
    </w:p>
    <w:p w14:paraId="55F58DF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（16）名称：兴业证券股份有限公司</w:t>
      </w:r>
    </w:p>
    <w:p w14:paraId="485435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住所：福州市湖东路268号</w:t>
      </w:r>
    </w:p>
    <w:p w14:paraId="618A5BD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办公地址：上海市浦东新区长柳路36号</w:t>
      </w:r>
    </w:p>
    <w:p w14:paraId="13F13CC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法定代表人：杨华辉</w:t>
      </w:r>
    </w:p>
    <w:p w14:paraId="28B5DF6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 021-38565547</w:t>
      </w:r>
    </w:p>
    <w:p w14:paraId="64478FC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联系人：乔琳雪</w:t>
      </w:r>
    </w:p>
    <w:p w14:paraId="2864F6E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 www.xyzq.com.cn</w:t>
      </w:r>
    </w:p>
    <w:p w14:paraId="4460DBA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客户服务电话：95562</w:t>
      </w:r>
    </w:p>
    <w:p w14:paraId="52D85A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（17）名称：长城国瑞证券有限公司</w:t>
      </w:r>
    </w:p>
    <w:p w14:paraId="5125498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住所：厦门市莲前西路2号莲富大厦17楼</w:t>
      </w:r>
    </w:p>
    <w:p w14:paraId="1E83B86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办公地址：厦门市莲前西路2号莲富大厦17楼</w:t>
      </w:r>
    </w:p>
    <w:p w14:paraId="3E46563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法定代表人：王勇</w:t>
      </w:r>
    </w:p>
    <w:p w14:paraId="2B66F7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电话：（0592）5161642</w:t>
      </w:r>
    </w:p>
    <w:p w14:paraId="2826D46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传真：（0592）5161640</w:t>
      </w:r>
    </w:p>
    <w:p w14:paraId="74AEF13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联系人：赵钦</w:t>
      </w:r>
    </w:p>
    <w:p w14:paraId="7669CD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客户服务电话：（0592）5163588</w:t>
      </w:r>
    </w:p>
    <w:p w14:paraId="53FBFE1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网址：www.xmzq.cn</w:t>
      </w:r>
    </w:p>
    <w:p w14:paraId="055054B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（18）名称：海通证券股份有限公司</w:t>
      </w:r>
    </w:p>
    <w:p w14:paraId="75CE8A1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住所：上海市淮海中路98号</w:t>
      </w:r>
    </w:p>
    <w:p w14:paraId="0F950C4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办公地址：上海市广东路689号</w:t>
      </w:r>
    </w:p>
    <w:p w14:paraId="6405750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法定代表人：王开国</w:t>
      </w:r>
    </w:p>
    <w:p w14:paraId="4067A14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电话：（021）23219000</w:t>
      </w:r>
    </w:p>
    <w:p w14:paraId="62A3E84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传真：（021）23219100</w:t>
      </w:r>
    </w:p>
    <w:p w14:paraId="4513D04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联系人：李笑鸣</w:t>
      </w:r>
    </w:p>
    <w:p w14:paraId="242AFD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客户服务电话：95553或拨打各城市营业网点咨询电话</w:t>
      </w:r>
    </w:p>
    <w:p w14:paraId="204273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网址：www.htsec.com"</w:t>
      </w:r>
    </w:p>
    <w:p w14:paraId="3066A96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（19）名称：大同证券有限责任公司</w:t>
      </w:r>
    </w:p>
    <w:p w14:paraId="6D7DF83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注册地址：山西省大同市城区迎宾街15号桐城中央21层</w:t>
      </w:r>
    </w:p>
    <w:p w14:paraId="14A80C0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办公地址：太原市长治路 111 号山西世贸中心 A 座 F12、F13</w:t>
      </w:r>
    </w:p>
    <w:p w14:paraId="0DE15AD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邮政编码：030600</w:t>
      </w:r>
    </w:p>
    <w:p w14:paraId="19674AE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法定代表人：董祥</w:t>
      </w:r>
    </w:p>
    <w:p w14:paraId="2AB0E3A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 话：（0351）4130322</w:t>
      </w:r>
    </w:p>
    <w:p w14:paraId="5F1B04F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 真：（0351）7219891</w:t>
      </w:r>
    </w:p>
    <w:p w14:paraId="2A9A5C8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客服电话：4007121212</w:t>
      </w:r>
    </w:p>
    <w:p w14:paraId="7EDBCCD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网址：www.dtsbc.com.cn</w:t>
      </w:r>
    </w:p>
    <w:p w14:paraId="514DC68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（20）名称：广发证券股份有限公司</w:t>
      </w:r>
    </w:p>
    <w:p w14:paraId="2FC6A12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住所：广州市黄埔区中新广州知识城腾飞一街2号618室</w:t>
      </w:r>
    </w:p>
    <w:p w14:paraId="722058A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办公地址：广州市天河区马场路26号广发证券大厦</w:t>
      </w:r>
    </w:p>
    <w:p w14:paraId="5DF5436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法定代表人：孙树明</w:t>
      </w:r>
    </w:p>
    <w:p w14:paraId="2527865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电话：（020）66338888</w:t>
      </w:r>
    </w:p>
    <w:p w14:paraId="7859426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传真：（020）87553600</w:t>
      </w:r>
    </w:p>
    <w:p w14:paraId="1354FC8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联系人：马梦洁</w:t>
      </w:r>
    </w:p>
    <w:p w14:paraId="3E6886C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客户服务电话：95575</w:t>
      </w:r>
    </w:p>
    <w:p w14:paraId="4B087C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网址：www.gf.com.cn</w:t>
      </w:r>
    </w:p>
    <w:p w14:paraId="1FA7C65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（21）名称：深圳市新兰德证券投资咨询有限公司</w:t>
      </w:r>
    </w:p>
    <w:p w14:paraId="0271E9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住所：深圳市福田区华强北路赛格科技园4栋10层1006#</w:t>
      </w:r>
    </w:p>
    <w:p w14:paraId="6715D0C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办公地址：北京市西城区金融大街35号国际企业大厦C座9层</w:t>
      </w:r>
    </w:p>
    <w:p w14:paraId="4AF7EAC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法定代表人：陈操</w:t>
      </w:r>
    </w:p>
    <w:p w14:paraId="23F73F9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电话：（010）58325395</w:t>
      </w:r>
    </w:p>
    <w:p w14:paraId="5F4E850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传真：（010）58325282</w:t>
      </w:r>
    </w:p>
    <w:p w14:paraId="62513D5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联系人：刘宝文</w:t>
      </w:r>
    </w:p>
    <w:p w14:paraId="61AB4BD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客户服务电话：400-850-7771</w:t>
      </w:r>
    </w:p>
    <w:p w14:paraId="038915A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网址：http://8.jrj.com.cn/</w:t>
      </w:r>
    </w:p>
    <w:p w14:paraId="3D116BE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（22）名称：北京肯特瑞基金销售有限公司</w:t>
      </w:r>
    </w:p>
    <w:p w14:paraId="6064955E" w14:textId="77777777" w:rsidR="004D2F6C" w:rsidRPr="003E746D" w:rsidRDefault="00435F28" w:rsidP="00676977">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住所： 北京市海淀区西三旗建材城中路12号17号平房157</w:t>
      </w:r>
    </w:p>
    <w:p w14:paraId="0DC30F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办公地址：北京市通州区亦庄经济技术开发区科创十一街18号院京东集团总部A座15层</w:t>
      </w:r>
    </w:p>
    <w:p w14:paraId="0F474D6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法定代表人：王苏宁</w:t>
      </w:r>
    </w:p>
    <w:p w14:paraId="3D70E20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电话：95118</w:t>
      </w:r>
    </w:p>
    <w:p w14:paraId="2E9CD5B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传真：010-89189566</w:t>
      </w:r>
    </w:p>
    <w:p w14:paraId="51BF311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联系人：李丹</w:t>
      </w:r>
    </w:p>
    <w:p w14:paraId="2ECAD28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客服热线：95118</w:t>
      </w:r>
    </w:p>
    <w:p w14:paraId="35FBBEC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网址：kenterui.jd.com</w:t>
      </w:r>
    </w:p>
    <w:p w14:paraId="15D3303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（23）名称：珠海盈米财富管理有限公司</w:t>
      </w:r>
    </w:p>
    <w:p w14:paraId="61EE5A5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住所：珠海市横琴新区宝华路6号105室-3491</w:t>
      </w:r>
    </w:p>
    <w:p w14:paraId="100DA98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办公地址：广州市海珠区琶洲大道东1号保利国际广场南塔12楼B1201-1203</w:t>
      </w:r>
    </w:p>
    <w:p w14:paraId="772E8B8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法定代表人：肖雯</w:t>
      </w:r>
    </w:p>
    <w:p w14:paraId="4FAB4C7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电话：（020）89629099</w:t>
      </w:r>
    </w:p>
    <w:p w14:paraId="79A1B22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传真：（020）89629011</w:t>
      </w:r>
    </w:p>
    <w:p w14:paraId="4B3D114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联系人：黄敏嫦</w:t>
      </w:r>
    </w:p>
    <w:p w14:paraId="00CBF1B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客户服务电话：（020）89629066</w:t>
      </w:r>
    </w:p>
    <w:p w14:paraId="2B0499B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网址：www.yingmi.cn</w:t>
      </w:r>
    </w:p>
    <w:p w14:paraId="6A8945E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（24）名称：南京苏宁基金销售有限公司</w:t>
      </w:r>
    </w:p>
    <w:p w14:paraId="2F4BF7D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住所：南京市玄武区苏宁大道1-5号</w:t>
      </w:r>
    </w:p>
    <w:p w14:paraId="106FBC6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办公地址：南京市玄武区苏宁大道1-5号</w:t>
      </w:r>
    </w:p>
    <w:p w14:paraId="299AEE2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法定代表人：王锋</w:t>
      </w:r>
    </w:p>
    <w:p w14:paraId="37AFB70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电话：025-66996699</w:t>
      </w:r>
    </w:p>
    <w:p w14:paraId="6B0E0F8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传真：025-66996699</w:t>
      </w:r>
    </w:p>
    <w:p w14:paraId="157611B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 冯鹏鹏</w:t>
      </w:r>
    </w:p>
    <w:p w14:paraId="6D92A6D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客户服务电话：95177</w:t>
      </w:r>
    </w:p>
    <w:p w14:paraId="2E18897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 www.snjijin.com</w:t>
      </w:r>
    </w:p>
    <w:p w14:paraId="7E5F372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（25）名称：北京汇成基金销售有限公司</w:t>
      </w:r>
    </w:p>
    <w:p w14:paraId="25D4D77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住所：北京市海淀区中关村大街11号11层1108</w:t>
      </w:r>
    </w:p>
    <w:p w14:paraId="715A147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办公地址：北京市海淀区中关村大街11号11层1108</w:t>
      </w:r>
    </w:p>
    <w:p w14:paraId="27CF1FB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法定代表人：王伟刚</w:t>
      </w:r>
    </w:p>
    <w:p w14:paraId="4FFFD83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电话：（010）56282140</w:t>
      </w:r>
    </w:p>
    <w:p w14:paraId="2515923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传真：（010）62680827</w:t>
      </w:r>
    </w:p>
    <w:p w14:paraId="479612B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联系人：丁向坤</w:t>
      </w:r>
    </w:p>
    <w:p w14:paraId="63595AD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客户服务电话：400-619-9059</w:t>
      </w:r>
    </w:p>
    <w:p w14:paraId="75FF9C5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网址：www.fundzone.cn、www.51jijinhui.com</w:t>
      </w:r>
    </w:p>
    <w:p w14:paraId="6A1D771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（26）名称：上海利得基金销售有限公司</w:t>
      </w:r>
    </w:p>
    <w:p w14:paraId="076EA44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 上海浦东新区峨山路91弄61号陆家嘴软件园10号楼12楼</w:t>
      </w:r>
    </w:p>
    <w:p w14:paraId="3AA0A8A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办公地址：上海浦东新区峨山路91弄61号陆家嘴软件园10号楼12楼</w:t>
      </w:r>
    </w:p>
    <w:p w14:paraId="40731AB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法定代表人：沈继伟</w:t>
      </w:r>
    </w:p>
    <w:p w14:paraId="1AD47E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电话：021-50583533</w:t>
      </w:r>
    </w:p>
    <w:p w14:paraId="64FC37B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传真：021-50583633</w:t>
      </w:r>
    </w:p>
    <w:p w14:paraId="3AF13DF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 徐鹏</w:t>
      </w:r>
    </w:p>
    <w:p w14:paraId="53E4180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客服电话：400-005-6355</w:t>
      </w:r>
    </w:p>
    <w:p w14:paraId="707BC8A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网址：a.leadfund.com.cn</w:t>
      </w:r>
    </w:p>
    <w:p w14:paraId="57CE446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（27）名称：上海陆金所资产管理有限公司</w:t>
      </w:r>
    </w:p>
    <w:p w14:paraId="1F23F0A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住所：上海市浦东新区陆家嘴环路1333号14楼09单元</w:t>
      </w:r>
    </w:p>
    <w:p w14:paraId="40D2FA9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办公地址：上海市浦东新区陆家嘴环路1333号14楼</w:t>
      </w:r>
    </w:p>
    <w:p w14:paraId="78E49C9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法定代表人：郭坚</w:t>
      </w:r>
    </w:p>
    <w:p w14:paraId="755750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电话：（021）20665952</w:t>
      </w:r>
    </w:p>
    <w:p w14:paraId="31B71E1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传真：（021）22066653</w:t>
      </w:r>
    </w:p>
    <w:p w14:paraId="5909C34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联系人：宁博宇</w:t>
      </w:r>
    </w:p>
    <w:p w14:paraId="6696393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客户服务电话：4008219031</w:t>
      </w:r>
    </w:p>
    <w:p w14:paraId="2C1EB1F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网址：www.lufunds.com</w:t>
      </w:r>
    </w:p>
    <w:p w14:paraId="309D9A7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（28）名称：上海挖财金融信息服务有限公司</w:t>
      </w:r>
    </w:p>
    <w:p w14:paraId="293C4D6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住所：中国（上海）自由贸易试验区杨高南路799号5层01、02、03室</w:t>
      </w:r>
    </w:p>
    <w:p w14:paraId="097257C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办公地址：中国（上海）自由贸易试验区杨高南路799号5层01、02、03室</w:t>
      </w:r>
    </w:p>
    <w:p w14:paraId="029DAA8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 胡燕亮</w:t>
      </w:r>
    </w:p>
    <w:p w14:paraId="75A4035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电话：（021）50810687</w:t>
      </w:r>
    </w:p>
    <w:p w14:paraId="3020011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传真：（021）58300279</w:t>
      </w:r>
    </w:p>
    <w:p w14:paraId="56D67E7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 李娟</w:t>
      </w:r>
    </w:p>
    <w:p w14:paraId="7DBF3E8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客户服务电话：（021）50810673</w:t>
      </w:r>
    </w:p>
    <w:p w14:paraId="2CCF89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网址：www.wacaijijin.com</w:t>
      </w:r>
    </w:p>
    <w:p w14:paraId="30D9061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（29）名称：天津万家财富资产管理有限公司</w:t>
      </w:r>
    </w:p>
    <w:p w14:paraId="10CAE61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住所：天津自贸区（中心商务区）迎宾大道1988号滨海浙商大厦公寓2-2413室</w:t>
      </w:r>
    </w:p>
    <w:p w14:paraId="52E8C18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办公地址：北京市西城区丰盛胡同28号太平洋保险大厦5层</w:t>
      </w:r>
    </w:p>
    <w:p w14:paraId="4654A64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法定代表人：李修辞</w:t>
      </w:r>
    </w:p>
    <w:p w14:paraId="387C4DB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电话：（010）59013828</w:t>
      </w:r>
    </w:p>
    <w:p w14:paraId="13BDF70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传真：（010）59013707</w:t>
      </w:r>
    </w:p>
    <w:p w14:paraId="79BA1B4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联系人：王芳芳</w:t>
      </w:r>
    </w:p>
    <w:p w14:paraId="73B4A5C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客户服务电话：010-59013842</w:t>
      </w:r>
    </w:p>
    <w:p w14:paraId="7448348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网址：http://www.wanjiawealth.com/</w:t>
      </w:r>
    </w:p>
    <w:p w14:paraId="111427A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（30）名称：上海万得基金销售有限公司</w:t>
      </w:r>
    </w:p>
    <w:p w14:paraId="4D41772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住所：中国（上海）自由贸易试验区福山路33号11楼B座</w:t>
      </w:r>
    </w:p>
    <w:p w14:paraId="6384CBF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办公地址：上海市浦东新区福山路33号9楼</w:t>
      </w:r>
    </w:p>
    <w:p w14:paraId="7891906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 王廷富</w:t>
      </w:r>
    </w:p>
    <w:p w14:paraId="035EB3A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电话：021-50712782</w:t>
      </w:r>
    </w:p>
    <w:p w14:paraId="631F433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传真：021-50710161</w:t>
      </w:r>
    </w:p>
    <w:p w14:paraId="4162999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 徐亚丹</w:t>
      </w:r>
    </w:p>
    <w:p w14:paraId="7EAB961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客户服务电话：400-821-0203</w:t>
      </w:r>
    </w:p>
    <w:p w14:paraId="17AAC95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 www.520fund.com.cn</w:t>
      </w:r>
    </w:p>
    <w:p w14:paraId="0DFA597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（31）名称：北京蛋卷基金销售有限公司</w:t>
      </w:r>
    </w:p>
    <w:p w14:paraId="5847A5D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住所：北京市朝阳区阜通东大街1号院6号楼2单元21层222507</w:t>
      </w:r>
    </w:p>
    <w:p w14:paraId="4FB200F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办公地址：北京市朝阳区创远路 34 号院融新科技中心 C 座 17 层</w:t>
      </w:r>
    </w:p>
    <w:p w14:paraId="7ADD12F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法定代表人：钟斐斐</w:t>
      </w:r>
    </w:p>
    <w:p w14:paraId="0E2CC5B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电话：（010）61840688</w:t>
      </w:r>
    </w:p>
    <w:p w14:paraId="66AA352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传真：（010）84997571</w:t>
      </w:r>
    </w:p>
    <w:p w14:paraId="2AC5148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联系人：侯芳芳</w:t>
      </w:r>
    </w:p>
    <w:p w14:paraId="65B2055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客户服务电话：400-1599-288</w:t>
      </w:r>
    </w:p>
    <w:p w14:paraId="7984BE1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网址：https://danjuanapp.com</w:t>
      </w:r>
    </w:p>
    <w:p w14:paraId="747C609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（32）名称：奕丰基金销售有限公司</w:t>
      </w:r>
    </w:p>
    <w:p w14:paraId="6293BAD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住所：深圳市前海深港合作区前湾一路1号A栋201室（入驻深圳市前海商务秘书有限公司）</w:t>
      </w:r>
    </w:p>
    <w:p w14:paraId="5874509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办公地址：深圳市南山区海德三路海岸大厦A座17楼1704室</w:t>
      </w:r>
    </w:p>
    <w:p w14:paraId="014422A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法定代表人：TEO WEE HOWE</w:t>
      </w:r>
    </w:p>
    <w:p w14:paraId="2DF0F3F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电话：（0755）89460500</w:t>
      </w:r>
    </w:p>
    <w:p w14:paraId="0FCC528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传真：（0755）21674453</w:t>
      </w:r>
    </w:p>
    <w:p w14:paraId="2C85E2F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联系人：叶健</w:t>
      </w:r>
    </w:p>
    <w:p w14:paraId="275FD8A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客户服务电话：400-684-0500</w:t>
      </w:r>
    </w:p>
    <w:p w14:paraId="23068CF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网址：www.ifastps.com.cn</w:t>
      </w:r>
    </w:p>
    <w:p w14:paraId="4D5AB43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（33）名称：上海天天基金销售有限公司</w:t>
      </w:r>
    </w:p>
    <w:p w14:paraId="2BC060F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住所：上海市徐汇区龙田路190号2号楼2层</w:t>
      </w:r>
    </w:p>
    <w:p w14:paraId="0E54775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办公地址：上海市徐汇区龙田路195号3C座10楼</w:t>
      </w:r>
    </w:p>
    <w:p w14:paraId="5973F4E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法定代表人：其实</w:t>
      </w:r>
    </w:p>
    <w:p w14:paraId="50869AF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电话：（021）54509998</w:t>
      </w:r>
    </w:p>
    <w:p w14:paraId="56F371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传真：（021）64385308</w:t>
      </w:r>
    </w:p>
    <w:p w14:paraId="5454882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联系人：潘世友</w:t>
      </w:r>
    </w:p>
    <w:p w14:paraId="49F7C9D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客户服务电话：400-1818-188</w:t>
      </w:r>
    </w:p>
    <w:p w14:paraId="4206DA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网址：www.1234567.com.cn</w:t>
      </w:r>
    </w:p>
    <w:p w14:paraId="1C03DB7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（34）名称：上海好买基金销售有限公司</w:t>
      </w:r>
    </w:p>
    <w:p w14:paraId="5B0614A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住所：上海市虹口区场中路685弄37号4号楼449室</w:t>
      </w:r>
    </w:p>
    <w:p w14:paraId="13542B8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办公地址：上海市浦东新区浦东南路1118号鄂尔多斯国际大厦903-906室</w:t>
      </w:r>
    </w:p>
    <w:p w14:paraId="1F15DAF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法定代表人：杨文斌</w:t>
      </w:r>
    </w:p>
    <w:p w14:paraId="247E0D2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传真：（021）68596916</w:t>
      </w:r>
    </w:p>
    <w:p w14:paraId="12CC29D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联系人：薛年</w:t>
      </w:r>
    </w:p>
    <w:p w14:paraId="3D6E540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客户服务电话：400-700-9665</w:t>
      </w:r>
    </w:p>
    <w:p w14:paraId="4C9992F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网址：www.ehowbuy.com</w:t>
      </w:r>
    </w:p>
    <w:p w14:paraId="3AA7D71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（35）名称：上海长量基金销售投资顾问有限公司</w:t>
      </w:r>
    </w:p>
    <w:p w14:paraId="53F33A2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住所：上海市浦东新区高翔路526号2幢220室</w:t>
      </w:r>
    </w:p>
    <w:p w14:paraId="350B289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办公地址：上海市浦东新区浦东大道555号裕景国际B座16层</w:t>
      </w:r>
    </w:p>
    <w:p w14:paraId="081FE4D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法定代表人：张跃伟</w:t>
      </w:r>
    </w:p>
    <w:p w14:paraId="4A9B05B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电话：（021）20691832</w:t>
      </w:r>
    </w:p>
    <w:p w14:paraId="38370FC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传真：（021）20691861</w:t>
      </w:r>
    </w:p>
    <w:p w14:paraId="3364238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联系人：单丙烨</w:t>
      </w:r>
    </w:p>
    <w:p w14:paraId="23B39F4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客户服务电话：400-820-2899</w:t>
      </w:r>
    </w:p>
    <w:p w14:paraId="3CF31BB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网址：www.erichfund.com</w:t>
      </w:r>
    </w:p>
    <w:p w14:paraId="557B5E6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（36）名称：深圳众禄基金销售有限公司</w:t>
      </w:r>
    </w:p>
    <w:p w14:paraId="78E05E5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住所：深圳市罗湖区梨园路物资控股置地大厦8楼</w:t>
      </w:r>
    </w:p>
    <w:p w14:paraId="52911FA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办公地址：深圳市罗湖区梨园路物资控股置地大厦8楼</w:t>
      </w:r>
    </w:p>
    <w:p w14:paraId="24782BE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法定代表人：薛峰</w:t>
      </w:r>
    </w:p>
    <w:p w14:paraId="3138F56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电话：（0755）33227953</w:t>
      </w:r>
    </w:p>
    <w:p w14:paraId="712BBBB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传真：（0755）33227951</w:t>
      </w:r>
    </w:p>
    <w:p w14:paraId="35CC93D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联系人：汤素娅</w:t>
      </w:r>
    </w:p>
    <w:p w14:paraId="0450D32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客户服务电话：4006-788-887</w:t>
      </w:r>
    </w:p>
    <w:p w14:paraId="2BC191E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网址：www.zlfund.cn，www.jjmmw.com</w:t>
      </w:r>
    </w:p>
    <w:p w14:paraId="3C06313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（37）名称：上海联泰基金销售有限公司</w:t>
      </w:r>
    </w:p>
    <w:p w14:paraId="549BDC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住所：中国（上海）自由贸易试验区富特北路277号3层310室</w:t>
      </w:r>
    </w:p>
    <w:p w14:paraId="7A65528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办公地址：上海市长宁区福泉北路518号8座3楼</w:t>
      </w:r>
    </w:p>
    <w:p w14:paraId="1C1C506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法定代表人：燕斌</w:t>
      </w:r>
    </w:p>
    <w:p w14:paraId="0545320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电话：021-52822063</w:t>
      </w:r>
    </w:p>
    <w:p w14:paraId="4A9BCE6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传真：021-52975270</w:t>
      </w:r>
    </w:p>
    <w:p w14:paraId="564A9CF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联系人：凌秋艳</w:t>
      </w:r>
    </w:p>
    <w:p w14:paraId="07755FA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客户服务电话：4000-466-788</w:t>
      </w:r>
    </w:p>
    <w:p w14:paraId="3CE2E63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网址：www.66zichan.com</w:t>
      </w:r>
    </w:p>
    <w:p w14:paraId="67A71C2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（38）名称：浙江同花顺基金销售有限公司</w:t>
      </w:r>
    </w:p>
    <w:p w14:paraId="10EF0EC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住所：浙江省杭州市文二西路1号元茂大厦903</w:t>
      </w:r>
    </w:p>
    <w:p w14:paraId="3E15EA1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办公地址：浙江省杭州市西湖区翠柏路7号电子商务产业园2号楼 2楼</w:t>
      </w:r>
    </w:p>
    <w:p w14:paraId="69C338D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法定代表人：凌顺平</w:t>
      </w:r>
    </w:p>
    <w:p w14:paraId="016990C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电话：（0571）88911818</w:t>
      </w:r>
    </w:p>
    <w:p w14:paraId="49E45DB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传真：（0571）86800423</w:t>
      </w:r>
    </w:p>
    <w:p w14:paraId="58EB0DA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联系人：吴强</w:t>
      </w:r>
    </w:p>
    <w:p w14:paraId="4C7736A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客户服务电话：400-877-3772</w:t>
      </w:r>
    </w:p>
    <w:p w14:paraId="14796C7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网址：www.5ifund.com</w:t>
      </w:r>
    </w:p>
    <w:p w14:paraId="1143782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（39）名称：腾安基金销售（深圳）有限公司</w:t>
      </w:r>
    </w:p>
    <w:p w14:paraId="64658FB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住所：深圳市前海深港合作区前湾一路1号A栋201室（入驻深圳市前海商务秘书有限公司）</w:t>
      </w:r>
    </w:p>
    <w:p w14:paraId="2746482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办公地址：深圳市南山区海天二路33号腾讯滨海大厦</w:t>
      </w:r>
    </w:p>
    <w:p w14:paraId="4E49D0C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法定代表人：刘明军</w:t>
      </w:r>
    </w:p>
    <w:p w14:paraId="00DA9A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电话：95017（拨通后转1转8）</w:t>
      </w:r>
    </w:p>
    <w:p w14:paraId="5D5AED7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联系人：谭广峰</w:t>
      </w:r>
    </w:p>
    <w:p w14:paraId="0455FFD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客户服务电话：95017（拨通后转1转8）</w:t>
      </w:r>
    </w:p>
    <w:p w14:paraId="7244FD8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网址：http://www.tenganxinxi.com/</w:t>
      </w:r>
    </w:p>
    <w:p w14:paraId="5BBFDC4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（40）名称：蚂蚁（杭州）基金销售有限公司</w:t>
      </w:r>
    </w:p>
    <w:p w14:paraId="6A72190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住所：浙江省杭州市余杭区五常街道文一西路969号3幢5层599室</w:t>
      </w:r>
    </w:p>
    <w:p w14:paraId="363648A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办公地址：浙江省杭州市西湖区西溪路556号</w:t>
      </w:r>
    </w:p>
    <w:p w14:paraId="5B8F04B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法定代表人：王珺</w:t>
      </w:r>
    </w:p>
    <w:p w14:paraId="18B4C19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联系人：韩爱彬</w:t>
      </w:r>
    </w:p>
    <w:p w14:paraId="697380E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客户服务电话：95188-8</w:t>
      </w:r>
    </w:p>
    <w:p w14:paraId="0F2580A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网址：www.fund123.cn</w:t>
      </w:r>
    </w:p>
    <w:p w14:paraId="2CC552D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（41）名称：江苏汇林保大基金销售有限公司</w:t>
      </w:r>
    </w:p>
    <w:p w14:paraId="2909047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住所：南京市高淳区经济开发区古檀大道47号</w:t>
      </w:r>
    </w:p>
    <w:p w14:paraId="59FC04D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办公地址：江苏省南京市鼓楼区中山北路105号中环国际1413室</w:t>
      </w:r>
    </w:p>
    <w:p w14:paraId="3452A93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 吴言林</w:t>
      </w:r>
    </w:p>
    <w:p w14:paraId="623349A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电话：025-66046166转837</w:t>
      </w:r>
    </w:p>
    <w:p w14:paraId="649E346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传真：025-56663409</w:t>
      </w:r>
    </w:p>
    <w:p w14:paraId="244C78D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 孙平</w:t>
      </w:r>
    </w:p>
    <w:p w14:paraId="24C4461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客户服务电话：025-66046166</w:t>
      </w:r>
    </w:p>
    <w:p w14:paraId="18C0C6F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 www.huilinbd.com</w:t>
      </w:r>
    </w:p>
    <w:p w14:paraId="369E45A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（42）名称：上海大智慧基金销售有限公司</w:t>
      </w:r>
    </w:p>
    <w:p w14:paraId="70E1FF0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住所：上海市浦东新区杨高南路428号1号楼10-11层</w:t>
      </w:r>
    </w:p>
    <w:p w14:paraId="2901FC6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办公地址：上海市浦东新区杨高南路428号1号楼10-11层</w:t>
      </w:r>
    </w:p>
    <w:p w14:paraId="4C3C9FE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法定代表人：申健</w:t>
      </w:r>
    </w:p>
    <w:p w14:paraId="4CCF72B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电话：021-0219988-35374</w:t>
      </w:r>
    </w:p>
    <w:p w14:paraId="4D71358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传真：021-20219923</w:t>
      </w:r>
    </w:p>
    <w:p w14:paraId="0B1FE58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联系人：张蜓</w:t>
      </w:r>
    </w:p>
    <w:p w14:paraId="61B4F8D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客户服务电话：021-20292031</w:t>
      </w:r>
    </w:p>
    <w:p w14:paraId="76BBC5B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网址：https://www.wg.com.cn</w:t>
      </w:r>
    </w:p>
    <w:p w14:paraId="1C9D0DB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（43）名称：玄元保险代理有限公司</w:t>
      </w:r>
    </w:p>
    <w:p w14:paraId="502418A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住所：中国(上海)自由贸易试验区张杨路707号1105室</w:t>
      </w:r>
    </w:p>
    <w:p w14:paraId="13D252C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办公地址：中国(上海)自由贸易试验区张杨路707号1105室</w:t>
      </w:r>
    </w:p>
    <w:p w14:paraId="06BD5D4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法定代表人：马永谙</w:t>
      </w:r>
    </w:p>
    <w:p w14:paraId="29B12CB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电话：（021）50701053</w:t>
      </w:r>
    </w:p>
    <w:p w14:paraId="0D0E195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传真：（021）50701053</w:t>
      </w:r>
    </w:p>
    <w:p w14:paraId="70EFE24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客户服务电话：400-080-8208</w:t>
      </w:r>
    </w:p>
    <w:p w14:paraId="3DC94B7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网址：www.licaimofang.cn</w:t>
      </w:r>
    </w:p>
    <w:p w14:paraId="6E60BD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（44）名称：阳光人寿保险股份有限公司</w:t>
      </w:r>
    </w:p>
    <w:p w14:paraId="1047CE8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住所：海南省三亚市迎宾路360-1号三亚阳光金融广场16层</w:t>
      </w:r>
    </w:p>
    <w:p w14:paraId="2DCB127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办公地址：北京市朝阳区朝阳门外大街乙12号院1号昆泰国际大厦12层</w:t>
      </w:r>
    </w:p>
    <w:p w14:paraId="628F6D7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法定代表人：李科</w:t>
      </w:r>
    </w:p>
    <w:p w14:paraId="3368389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电话：（010）85632771</w:t>
      </w:r>
    </w:p>
    <w:p w14:paraId="404FCD1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传真：（010）85632773</w:t>
      </w:r>
    </w:p>
    <w:p w14:paraId="507B320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联系人：王超</w:t>
      </w:r>
    </w:p>
    <w:p w14:paraId="213B5ED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客户服务电话：95510</w:t>
      </w:r>
    </w:p>
    <w:p w14:paraId="7DB1E9D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网址：http://fund.sinosig.com</w:t>
      </w:r>
    </w:p>
    <w:p w14:paraId="2D65D75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（45）名称：中证金牛（北京）投资咨询有限公司</w:t>
      </w:r>
    </w:p>
    <w:p w14:paraId="370321D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 北京市丰台区东管头1号2号楼2-45室</w:t>
      </w:r>
    </w:p>
    <w:p w14:paraId="0E34F00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 北京市西城区宣武门外大街甲一号环球财讯中心A座5层</w:t>
      </w:r>
    </w:p>
    <w:p w14:paraId="1FE9BA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 钱昊旻</w:t>
      </w:r>
    </w:p>
    <w:p w14:paraId="64AF238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电话：（010）59336533</w:t>
      </w:r>
    </w:p>
    <w:p w14:paraId="2DF2FDE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传真：（010）59336500</w:t>
      </w:r>
    </w:p>
    <w:p w14:paraId="5E04986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 孟汉霄</w:t>
      </w:r>
    </w:p>
    <w:p w14:paraId="7156CA4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客户服务电话：4008-909-998</w:t>
      </w:r>
    </w:p>
    <w:p w14:paraId="299B0E7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 www.jnlc.com</w:t>
      </w:r>
    </w:p>
    <w:p w14:paraId="3C86AAB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（46）名称：大连网金基金销售有限公司</w:t>
      </w:r>
    </w:p>
    <w:p w14:paraId="154F42B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住所： 辽宁省大连市沙河口区体坛路22号诺德大厦2层202室</w:t>
      </w:r>
    </w:p>
    <w:p w14:paraId="1CBFF87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 辽宁省大连市沙河口区体坛路22号诺德大厦2层202室</w:t>
      </w:r>
    </w:p>
    <w:p w14:paraId="0BACDD9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 樊怀东</w:t>
      </w:r>
    </w:p>
    <w:p w14:paraId="01BD4E8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电话：（0411-39027810）</w:t>
      </w:r>
    </w:p>
    <w:p w14:paraId="56799F9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传真：（0411-39027835）</w:t>
      </w:r>
    </w:p>
    <w:p w14:paraId="12ECB0A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 于秀</w:t>
      </w:r>
    </w:p>
    <w:p w14:paraId="1D4137F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 4000-899-100</w:t>
      </w:r>
    </w:p>
    <w:p w14:paraId="6A0C643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网址：http://www.yibaijin.com</w:t>
      </w:r>
    </w:p>
    <w:p w14:paraId="786D138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（47）名称：上海基煜基金销售有限公司</w:t>
      </w:r>
    </w:p>
    <w:p w14:paraId="0B94014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 上海市崇明县长兴镇路潘园公路1800号2号楼6153室（上海泰和经济发展区）</w:t>
      </w:r>
    </w:p>
    <w:p w14:paraId="4802FB8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办公地址：上海市昆明路518号北美广场A1002-A1003室</w:t>
      </w:r>
    </w:p>
    <w:p w14:paraId="357957D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法定代表人：王翔</w:t>
      </w:r>
    </w:p>
    <w:p w14:paraId="0B2BCA7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电话：（021）35385521</w:t>
      </w:r>
    </w:p>
    <w:p w14:paraId="2A031EA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传真：（021）55085991</w:t>
      </w:r>
    </w:p>
    <w:p w14:paraId="54BAF9C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联系人：蓝杰</w:t>
      </w:r>
    </w:p>
    <w:p w14:paraId="240E1C3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客户服务电话：400-820-5369</w:t>
      </w:r>
    </w:p>
    <w:p w14:paraId="4C5D55A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网址：www.jiyufund.com.cn</w:t>
      </w:r>
    </w:p>
    <w:p w14:paraId="33ABC22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（48）名称：诺亚正行(上海)基金销售投资顾问有限公司</w:t>
      </w:r>
    </w:p>
    <w:p w14:paraId="5F4548B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住所：上海市虹口区飞虹路360弄9号3724室</w:t>
      </w:r>
    </w:p>
    <w:p w14:paraId="00042EF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办公地址：上海杨浦区秦皇岛路32号C栋 2楼</w:t>
      </w:r>
    </w:p>
    <w:p w14:paraId="3B8A64F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法定代表人：汪静波</w:t>
      </w:r>
    </w:p>
    <w:p w14:paraId="47502A2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电话：（021）38600735</w:t>
      </w:r>
    </w:p>
    <w:p w14:paraId="696DFA6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传真：（021）38509777</w:t>
      </w:r>
    </w:p>
    <w:p w14:paraId="3B2B176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联系人：方成</w:t>
      </w:r>
    </w:p>
    <w:p w14:paraId="7F2DC52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客户服务电话：400-821-5399</w:t>
      </w:r>
    </w:p>
    <w:p w14:paraId="19F130E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网址：www.noah-fund.com</w:t>
      </w:r>
    </w:p>
    <w:p w14:paraId="54ECD4C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（49）名称：北京中植基金销售有限公司</w:t>
      </w:r>
    </w:p>
    <w:p w14:paraId="1CAB69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住所：北京市经济技术开发区宏达北路10号五层5122室</w:t>
      </w:r>
    </w:p>
    <w:p w14:paraId="7705B3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办公地址：北京市朝阳区东三环北路甲19号SOHO嘉盛中心30层3001室</w:t>
      </w:r>
    </w:p>
    <w:p w14:paraId="30C28A3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法定代表人：李悦</w:t>
      </w:r>
    </w:p>
    <w:p w14:paraId="323E0E0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电话：（010）56642600</w:t>
      </w:r>
    </w:p>
    <w:p w14:paraId="11AC90B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传真：（010）56642623</w:t>
      </w:r>
    </w:p>
    <w:p w14:paraId="2438671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联系人：张晔</w:t>
      </w:r>
    </w:p>
    <w:p w14:paraId="22D8AAF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客户服务电话：4007868868</w:t>
      </w:r>
    </w:p>
    <w:p w14:paraId="6D22862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网址：www.chtfund.com</w:t>
      </w:r>
    </w:p>
    <w:p w14:paraId="6080DB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（50）名称：北京百度百盈基金销售有限公司</w:t>
      </w:r>
    </w:p>
    <w:p w14:paraId="4A70035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住所：北京市海淀区上地十街10号1幢1层101</w:t>
      </w:r>
    </w:p>
    <w:p w14:paraId="463C6F9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 北京市海淀区信息路甲9号奎科大厦</w:t>
      </w:r>
    </w:p>
    <w:p w14:paraId="179248B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 张旭阳</w:t>
      </w:r>
    </w:p>
    <w:p w14:paraId="61FCE2F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电话：010-61952703</w:t>
      </w:r>
    </w:p>
    <w:p w14:paraId="3D9CA81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传真：010-61951007</w:t>
      </w:r>
    </w:p>
    <w:p w14:paraId="3DE9BD0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联系人：霍博华</w:t>
      </w:r>
    </w:p>
    <w:p w14:paraId="4B053EE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客户服务电话：95599-9</w:t>
      </w:r>
    </w:p>
    <w:p w14:paraId="234B3F2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 www.baiyingfund.com</w:t>
      </w:r>
    </w:p>
    <w:p w14:paraId="18C33C4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（51）名称：北京植信基金销售有限公司</w:t>
      </w:r>
    </w:p>
    <w:p w14:paraId="14EB1EB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住所：北京市密云区兴盛南路8号院2号楼106室-67</w:t>
      </w:r>
    </w:p>
    <w:p w14:paraId="1B07416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办公地址：北京市朝阳区惠河南路盛世龙源10号</w:t>
      </w:r>
    </w:p>
    <w:p w14:paraId="0064F93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法定代表人：王军辉</w:t>
      </w:r>
    </w:p>
    <w:p w14:paraId="3CB982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电话：010-56075718</w:t>
      </w:r>
    </w:p>
    <w:p w14:paraId="33E0B70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传真：010-67767615</w:t>
      </w:r>
    </w:p>
    <w:p w14:paraId="4EDA9C9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联系人：张喆</w:t>
      </w:r>
    </w:p>
    <w:p w14:paraId="33B598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客户服务电话：4006-802-123</w:t>
      </w:r>
    </w:p>
    <w:p w14:paraId="5899227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网址：www.zhixin-inv.com</w:t>
      </w:r>
    </w:p>
    <w:p w14:paraId="05CB32B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（52）名称：嘉实财富管理有限公司</w:t>
      </w:r>
    </w:p>
    <w:p w14:paraId="5F64DB3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住所：上海市浦东新区世纪大道8号上海国金中心办公楼二期53层5312-15单元</w:t>
      </w:r>
    </w:p>
    <w:p w14:paraId="3B3A8CD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办公地址：北京市朝阳区建国路91号金地中心A座6层</w:t>
      </w:r>
    </w:p>
    <w:p w14:paraId="503924D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 赵学军</w:t>
      </w:r>
    </w:p>
    <w:p w14:paraId="3B4709B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电话：（021）38789658</w:t>
      </w:r>
    </w:p>
    <w:p w14:paraId="2F4BD75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传真：（021）68880023</w:t>
      </w:r>
    </w:p>
    <w:p w14:paraId="0B9111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联系人： 王宫</w:t>
      </w:r>
    </w:p>
    <w:p w14:paraId="5749ECE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客户服务电话：400-021-8850</w:t>
      </w:r>
    </w:p>
    <w:p w14:paraId="4A117D2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 www.harvestwm.cn</w:t>
      </w:r>
    </w:p>
    <w:p w14:paraId="1BFB465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（53）名称：上海钜派钰茂基金销售有限公司</w:t>
      </w:r>
    </w:p>
    <w:p w14:paraId="11C562A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住所：上海市浦东新区泥城镇新城路2号24幢N3187室</w:t>
      </w:r>
    </w:p>
    <w:p w14:paraId="5C66503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办公地址：上海市闵行区闵虹路166弄中庚环球创意中心T2栋9层</w:t>
      </w:r>
    </w:p>
    <w:p w14:paraId="5C2167D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法定代表人：洪思夷</w:t>
      </w:r>
    </w:p>
    <w:p w14:paraId="08996C9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电话：021-52265962</w:t>
      </w:r>
    </w:p>
    <w:p w14:paraId="00E87DC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联系人：王世之</w:t>
      </w:r>
    </w:p>
    <w:p w14:paraId="722E24B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客户服务电话：400-021-2428</w:t>
      </w:r>
    </w:p>
    <w:p w14:paraId="6F43701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网址：www.jp-fund.com</w:t>
      </w:r>
    </w:p>
    <w:p w14:paraId="0931535F" w14:textId="06A2E909" w:rsidR="00F26453" w:rsidRPr="003E746D" w:rsidRDefault="00994587" w:rsidP="00F26453">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本基金Y类基金份额的销售机构详见基金管理人网站公示或相关公告。</w:t>
      </w:r>
    </w:p>
    <w:p w14:paraId="0C86E7C6" w14:textId="6308B226"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基金管理人可根据有关法律法规的要求，选择其它符合要求的机构销售本基金，并在</w:t>
      </w:r>
      <w:r w:rsidR="00C76A2C" w:rsidRPr="003E746D">
        <w:rPr>
          <w:rFonts w:ascii="宋体" w:hAnsi="宋体"/>
          <w:sz w:val="24"/>
        </w:rPr>
        <w:t>基金</w:t>
      </w:r>
      <w:r w:rsidRPr="003E746D">
        <w:rPr>
          <w:rFonts w:ascii="宋体" w:hAnsi="宋体"/>
          <w:sz w:val="24"/>
        </w:rPr>
        <w:t>管理人网站公示。</w:t>
      </w:r>
    </w:p>
    <w:p w14:paraId="2E765FD6" w14:textId="77777777" w:rsidR="004D2F6C" w:rsidRPr="003E746D" w:rsidRDefault="00435F28" w:rsidP="00F3528E">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（二）登记机构</w:t>
      </w:r>
    </w:p>
    <w:p w14:paraId="0E47647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名称：中国证券登记结算有限责任公司</w:t>
      </w:r>
    </w:p>
    <w:p w14:paraId="63E60D4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住所：北京市西城区太平桥大街17号</w:t>
      </w:r>
    </w:p>
    <w:p w14:paraId="0B9789A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办公地址：北京市西城区太平桥大街17号</w:t>
      </w:r>
    </w:p>
    <w:p w14:paraId="4F87812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法定代表人：于文强</w:t>
      </w:r>
    </w:p>
    <w:p w14:paraId="1C71F68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电话：（010）50938782</w:t>
      </w:r>
    </w:p>
    <w:p w14:paraId="5B0B789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传真：（010）50938907</w:t>
      </w:r>
    </w:p>
    <w:p w14:paraId="621D8F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联系人：赵亦清</w:t>
      </w:r>
    </w:p>
    <w:p w14:paraId="23280A03" w14:textId="77777777" w:rsidR="004D2F6C" w:rsidRPr="003E746D" w:rsidRDefault="004D2F6C">
      <w:pPr>
        <w:autoSpaceDE w:val="0"/>
        <w:autoSpaceDN w:val="0"/>
        <w:adjustRightInd w:val="0"/>
        <w:snapToGrid w:val="0"/>
        <w:spacing w:line="360" w:lineRule="auto"/>
        <w:ind w:firstLineChars="200" w:firstLine="420"/>
        <w:jc w:val="left"/>
        <w:rPr>
          <w:rFonts w:ascii="宋体" w:hAnsi="宋体"/>
          <w:szCs w:val="24"/>
        </w:rPr>
      </w:pPr>
    </w:p>
    <w:p w14:paraId="5214D96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（三）出具法律意见书的律师事务所</w:t>
      </w:r>
    </w:p>
    <w:p w14:paraId="04E5F7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名称：上海市通力律师事务所</w:t>
      </w:r>
    </w:p>
    <w:p w14:paraId="054B252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住所：上海市银城中路68号时代金融中心19楼</w:t>
      </w:r>
    </w:p>
    <w:p w14:paraId="2EDBEC0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办公地址：上海市银城中路68号时代金融中心19楼</w:t>
      </w:r>
    </w:p>
    <w:p w14:paraId="45FBAE1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负责人：韩炯</w:t>
      </w:r>
    </w:p>
    <w:p w14:paraId="6352ED3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电话：（021）31358666</w:t>
      </w:r>
    </w:p>
    <w:p w14:paraId="7F62512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传真：（021）31358600</w:t>
      </w:r>
    </w:p>
    <w:p w14:paraId="79D05BF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联系人：丁媛</w:t>
      </w:r>
    </w:p>
    <w:p w14:paraId="4966383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经办律师：黎明、丁媛</w:t>
      </w:r>
    </w:p>
    <w:p w14:paraId="7186F26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（四）审计基金财产的会计师事务所</w:t>
      </w:r>
    </w:p>
    <w:p w14:paraId="610DB57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名称：普华永道中天会计师事务所（特殊普通合伙）</w:t>
      </w:r>
    </w:p>
    <w:p w14:paraId="65F6F5C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住所：中国(上海)自由贸易试验区陆家嘴环路1318号星展银行大厦507单元01室</w:t>
      </w:r>
    </w:p>
    <w:p w14:paraId="4E400745" w14:textId="10D524F5"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w:t>
      </w:r>
      <w:r w:rsidR="00F3528E" w:rsidRPr="003E746D">
        <w:rPr>
          <w:rFonts w:ascii="宋体" w:hAnsi="宋体" w:hint="eastAsia"/>
          <w:sz w:val="24"/>
        </w:rPr>
        <w:t>中国上海市浦东新区东育路588号前滩中心42楼</w:t>
      </w:r>
    </w:p>
    <w:p w14:paraId="0963C77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执行事务合伙人：李丹</w:t>
      </w:r>
    </w:p>
    <w:p w14:paraId="53E7310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电话：（021）23238888</w:t>
      </w:r>
    </w:p>
    <w:p w14:paraId="6751113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传真：（021）23238800</w:t>
      </w:r>
    </w:p>
    <w:p w14:paraId="2C0D665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sz w:val="24"/>
        </w:rPr>
        <w:t>联系人：金诗涛</w:t>
      </w:r>
    </w:p>
    <w:p w14:paraId="191C9DEF" w14:textId="77777777" w:rsidR="00254D53" w:rsidRPr="003E746D" w:rsidRDefault="00254D53">
      <w:pPr>
        <w:autoSpaceDE w:val="0"/>
        <w:autoSpaceDN w:val="0"/>
        <w:adjustRightInd w:val="0"/>
        <w:snapToGrid w:val="0"/>
        <w:spacing w:line="360" w:lineRule="auto"/>
        <w:ind w:firstLineChars="200" w:firstLine="480"/>
        <w:jc w:val="left"/>
        <w:rPr>
          <w:rFonts w:ascii="宋体" w:hAnsi="宋体"/>
          <w:szCs w:val="24"/>
        </w:rPr>
      </w:pPr>
      <w:r w:rsidRPr="003E746D">
        <w:rPr>
          <w:rFonts w:ascii="Times New Roman" w:hAnsi="Times New Roman"/>
          <w:sz w:val="24"/>
        </w:rPr>
        <w:t>经办注册会计师：童咏静、金诗涛</w:t>
      </w:r>
    </w:p>
    <w:p w14:paraId="79E38A60"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294079B1" w14:textId="5F58FABB" w:rsidR="004D2F6C" w:rsidRPr="003E746D" w:rsidRDefault="00435F28">
      <w:pPr>
        <w:pStyle w:val="1"/>
        <w:snapToGrid w:val="0"/>
        <w:spacing w:beforeLines="0" w:before="240" w:after="240"/>
        <w:rPr>
          <w:rFonts w:ascii="宋体" w:hAnsi="宋体"/>
          <w:szCs w:val="30"/>
        </w:rPr>
      </w:pPr>
      <w:bookmarkStart w:id="9" w:name="_Toc104410515"/>
      <w:r w:rsidRPr="003E746D">
        <w:rPr>
          <w:rFonts w:ascii="Times New Roman" w:hAnsi="Times New Roman"/>
          <w:sz w:val="30"/>
        </w:rPr>
        <w:lastRenderedPageBreak/>
        <w:t>六、基金的募集</w:t>
      </w:r>
      <w:bookmarkEnd w:id="9"/>
    </w:p>
    <w:p w14:paraId="298935A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本基金由基金管理人依照《基金法》、《运作办法》、《销售办法》、基金合同及其他有关规定，并经中国证监会2018年12月27日证监许可[2018]2197号文准予募集注册。</w:t>
      </w:r>
    </w:p>
    <w:p w14:paraId="0FDCCE1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本基金为契约型开放式混合型基金中基金（FOF）。基金存续期限为不定期。</w:t>
      </w:r>
    </w:p>
    <w:p w14:paraId="24DA401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本基金自2019年4月24日至2019年5月24日进行发售，本基金设立募集期共募集2,042,809,040.74份基金份额，有效认购户数为34,102户。</w:t>
      </w:r>
    </w:p>
    <w:p w14:paraId="63D87024"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0152F61D" w14:textId="685EF384" w:rsidR="004D2F6C" w:rsidRPr="003E746D" w:rsidRDefault="00435F28">
      <w:pPr>
        <w:pStyle w:val="1"/>
        <w:snapToGrid w:val="0"/>
        <w:spacing w:beforeLines="0" w:before="240" w:after="240"/>
        <w:rPr>
          <w:rFonts w:ascii="宋体" w:hAnsi="宋体"/>
          <w:szCs w:val="30"/>
        </w:rPr>
      </w:pPr>
      <w:bookmarkStart w:id="10" w:name="_Toc104410516"/>
      <w:r w:rsidRPr="003E746D">
        <w:rPr>
          <w:rFonts w:ascii="Times New Roman" w:hAnsi="Times New Roman"/>
          <w:sz w:val="30"/>
        </w:rPr>
        <w:lastRenderedPageBreak/>
        <w:t>七、基金合同的生效</w:t>
      </w:r>
      <w:bookmarkEnd w:id="10"/>
    </w:p>
    <w:p w14:paraId="66B872A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根据有关规定，本基金满足基金合同生效条件，基金合同已于2019年5月30日正式生效。自基金合同生效之日起，本基金管理人正式开始管理本基金。</w:t>
      </w:r>
    </w:p>
    <w:p w14:paraId="4D1257E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合同》生效后，连续20个工作日出现基金份额持有人数量不满200人或者基金资产净值低于5000万元情形的，基金管理人应当在定期报告中予以披露。连续60个工作日出现前述情形的，基金管理人提前终止基金合同，不需召开基金份额持有人大会。</w:t>
      </w:r>
    </w:p>
    <w:p w14:paraId="53C29D1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法律法规另有规定时，从其规定。</w:t>
      </w:r>
    </w:p>
    <w:p w14:paraId="6C127930"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1BC018DB" w14:textId="6DF56F4A" w:rsidR="004D2F6C" w:rsidRPr="003E746D" w:rsidRDefault="00435F28">
      <w:pPr>
        <w:pStyle w:val="1"/>
        <w:snapToGrid w:val="0"/>
        <w:spacing w:beforeLines="0" w:before="240" w:after="240"/>
        <w:rPr>
          <w:rFonts w:ascii="宋体" w:hAnsi="宋体"/>
          <w:szCs w:val="30"/>
        </w:rPr>
      </w:pPr>
      <w:bookmarkStart w:id="11" w:name="_Toc104410517"/>
      <w:r w:rsidRPr="003E746D">
        <w:rPr>
          <w:rFonts w:ascii="Times New Roman" w:hAnsi="Times New Roman"/>
          <w:sz w:val="30"/>
        </w:rPr>
        <w:lastRenderedPageBreak/>
        <w:t>八、基金份额的申购与赎回</w:t>
      </w:r>
      <w:bookmarkEnd w:id="11"/>
    </w:p>
    <w:p w14:paraId="33864B1F"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（一）申购和赎回的场所</w:t>
      </w:r>
    </w:p>
    <w:p w14:paraId="41FCBBA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投资人可通过下述场所按照规定的方式进行申购或赎回：</w:t>
      </w:r>
    </w:p>
    <w:p w14:paraId="17B6E16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1、本基金管理人的直销机构</w:t>
      </w:r>
    </w:p>
    <w:p w14:paraId="5DF15AE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本基金直销机构为基金管理人直销柜台以及基金管理人的网上直销交易平台。</w:t>
      </w:r>
    </w:p>
    <w:p w14:paraId="0F38EB6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名称：交银施罗德基金管理有限公司</w:t>
      </w:r>
    </w:p>
    <w:p w14:paraId="15AC34C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住所：中国（上海）自由贸易试验区银城中路188号交通银行大楼二层（裙）</w:t>
      </w:r>
    </w:p>
    <w:p w14:paraId="0A706B2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办公地址：上海市浦东新区世纪大道8号国金中心二期21-22楼</w:t>
      </w:r>
    </w:p>
    <w:p w14:paraId="15CBF3B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电话：（021）61055724</w:t>
      </w:r>
    </w:p>
    <w:p w14:paraId="4C50811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传真：（021）61055054</w:t>
      </w:r>
    </w:p>
    <w:p w14:paraId="4774A37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联系人：傅鲸</w:t>
      </w:r>
    </w:p>
    <w:p w14:paraId="60AF3BA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客户服务电话：400-700-5000（免长途话费），（021）61055000</w:t>
      </w:r>
    </w:p>
    <w:p w14:paraId="3D91784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网址：www.fund001.com</w:t>
      </w:r>
    </w:p>
    <w:p w14:paraId="10C0DFA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个人投资者可以通过基金管理人网上直销交易平台办理开户、本基金的申购、赎回、定期定额投资等业务，具体交易细则请参阅基金管理人网站。</w:t>
      </w:r>
    </w:p>
    <w:p w14:paraId="52505CD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网上直销交易平台网址：www.fund001.com</w:t>
      </w:r>
    </w:p>
    <w:p w14:paraId="70074C4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2、除基金管理人之外的其他销售机构</w:t>
      </w:r>
    </w:p>
    <w:p w14:paraId="6306DA6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本基金除基金管理人之外的其他销售机构参见本招募说明书“五、相关服务机构”章节或拨打本公司客户服务电话进行咨询。</w:t>
      </w:r>
    </w:p>
    <w:p w14:paraId="18F640C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3A1F8FB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若基金管理人或其指定的销售机构开通电话、传真或网上等交易方式，投资人可以通过上述方式进行申购与赎回。</w:t>
      </w:r>
    </w:p>
    <w:p w14:paraId="67DA657B"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（二）申购和赎回的开放日及时间</w:t>
      </w:r>
    </w:p>
    <w:p w14:paraId="40740A6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1、开放日及开放时间</w:t>
      </w:r>
    </w:p>
    <w:p w14:paraId="3EBF1E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在开放日办理基金份额的申购及/或赎回，但对于每份基金份额，基金份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w:t>
      </w:r>
    </w:p>
    <w:p w14:paraId="44F8767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0AE648D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2、申购、赎回开始日及业务办理时间</w:t>
      </w:r>
    </w:p>
    <w:p w14:paraId="3F85391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w:t>
      </w:r>
      <w:r w:rsidR="00F3528E" w:rsidRPr="003E746D">
        <w:rPr>
          <w:rFonts w:ascii="宋体" w:hAnsi="宋体" w:hint="eastAsia"/>
          <w:sz w:val="24"/>
        </w:rPr>
        <w:t>A类基金份额</w:t>
      </w:r>
      <w:r w:rsidRPr="003E746D">
        <w:rPr>
          <w:rFonts w:ascii="宋体" w:hAnsi="宋体"/>
          <w:sz w:val="24"/>
        </w:rPr>
        <w:t>已于2019年6月3日起开放申购业务。</w:t>
      </w:r>
    </w:p>
    <w:p w14:paraId="74ED2C0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w:t>
      </w:r>
      <w:r w:rsidR="00F3528E" w:rsidRPr="003E746D">
        <w:rPr>
          <w:rFonts w:ascii="宋体" w:hAnsi="宋体" w:hint="eastAsia"/>
          <w:sz w:val="24"/>
        </w:rPr>
        <w:t>A类基金份额</w:t>
      </w:r>
      <w:r w:rsidRPr="003E746D">
        <w:rPr>
          <w:rFonts w:ascii="宋体" w:hAnsi="宋体"/>
          <w:sz w:val="24"/>
        </w:rPr>
        <w:t>已于2020年6月1日起开放赎回业务。</w:t>
      </w:r>
    </w:p>
    <w:p w14:paraId="49BE2916" w14:textId="0FCEE644" w:rsidR="00F3528E" w:rsidRPr="003E746D" w:rsidRDefault="00F3528E" w:rsidP="00F3528E">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本基金</w:t>
      </w:r>
      <w:r w:rsidR="00F643EE" w:rsidRPr="003E746D">
        <w:rPr>
          <w:rFonts w:ascii="宋体" w:hAnsi="宋体" w:hint="eastAsia"/>
          <w:sz w:val="24"/>
        </w:rPr>
        <w:t>Y类</w:t>
      </w:r>
      <w:r w:rsidRPr="003E746D">
        <w:rPr>
          <w:rFonts w:ascii="宋体" w:hAnsi="宋体" w:hint="eastAsia"/>
          <w:sz w:val="24"/>
        </w:rPr>
        <w:t>基金份额开放申购业务</w:t>
      </w:r>
      <w:r w:rsidR="00C32E8F" w:rsidRPr="003E746D">
        <w:rPr>
          <w:rFonts w:ascii="宋体" w:hAnsi="宋体" w:hint="eastAsia"/>
          <w:sz w:val="24"/>
        </w:rPr>
        <w:t>的时间另行公告</w:t>
      </w:r>
      <w:r w:rsidRPr="003E746D">
        <w:rPr>
          <w:rFonts w:ascii="宋体" w:hAnsi="宋体" w:hint="eastAsia"/>
          <w:sz w:val="24"/>
        </w:rPr>
        <w:t>。</w:t>
      </w:r>
    </w:p>
    <w:p w14:paraId="127F1194" w14:textId="5CF6A3A4" w:rsidR="00174167" w:rsidRPr="003E746D" w:rsidRDefault="00174167">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基金管理人自Y类基金份额开放申购业务之日起至一年后的年度对日（含该日）开始办理</w:t>
      </w:r>
      <w:r w:rsidR="00A71C4D" w:rsidRPr="003E746D">
        <w:rPr>
          <w:rFonts w:ascii="宋体" w:hAnsi="宋体" w:hint="eastAsia"/>
          <w:sz w:val="24"/>
        </w:rPr>
        <w:t>Y类基金份额的</w:t>
      </w:r>
      <w:r w:rsidRPr="003E746D">
        <w:rPr>
          <w:rFonts w:ascii="宋体" w:hAnsi="宋体" w:hint="eastAsia"/>
          <w:sz w:val="24"/>
        </w:rPr>
        <w:t>赎回，具体业务办理时间在赎回开始公告中规定。</w:t>
      </w:r>
    </w:p>
    <w:p w14:paraId="1F3AFB40" w14:textId="77C31810"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34C579F4"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（三）申购与赎回的原则</w:t>
      </w:r>
    </w:p>
    <w:p w14:paraId="16E445D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1、“未知价”原则，即申购、赎回价格以申请日的基金份额净值（非申请日当天公布的基金份额净值）为基准进行计算；</w:t>
      </w:r>
    </w:p>
    <w:p w14:paraId="4E58AF9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2、“金额申购、份额赎回”原则，即申购以金额申请，赎回以份额申请；</w:t>
      </w:r>
    </w:p>
    <w:p w14:paraId="3B54DCD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3、当日的申购与赎回申请可以在基金管理人规定的时间以内撤销，但申请经登记机构受理的不得撤销；</w:t>
      </w:r>
    </w:p>
    <w:p w14:paraId="41A90BA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D3106E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基金管理人可在法律法规允许的情况下，对上述原则进行调整。基金管理人必须在新规则开始实施前依照《信息披露办法》的有关规定在指定媒介上公告。</w:t>
      </w:r>
    </w:p>
    <w:p w14:paraId="2CE34BE0"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（四）申购和赎回的数额限定</w:t>
      </w:r>
    </w:p>
    <w:p w14:paraId="26E2966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1、申购金额的限制</w:t>
      </w:r>
    </w:p>
    <w:p w14:paraId="5DB1F3CB" w14:textId="1F1D969D" w:rsidR="004D2F6C" w:rsidRPr="003E746D" w:rsidRDefault="00435F2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sz w:val="24"/>
        </w:rPr>
        <w:t>直销机构首次申购的最低金额为单笔100</w:t>
      </w:r>
      <w:r w:rsidR="00967009" w:rsidRPr="003E746D">
        <w:rPr>
          <w:rFonts w:ascii="宋体" w:hAnsi="宋体" w:hint="eastAsia"/>
          <w:sz w:val="24"/>
        </w:rPr>
        <w:t>万</w:t>
      </w:r>
      <w:r w:rsidRPr="003E746D">
        <w:rPr>
          <w:rFonts w:ascii="宋体" w:hAnsi="宋体"/>
          <w:sz w:val="24"/>
        </w:rPr>
        <w:t>元，追加申购的最低金额为单笔10</w:t>
      </w:r>
      <w:r w:rsidR="00BA218B" w:rsidRPr="003E746D">
        <w:rPr>
          <w:rFonts w:ascii="宋体" w:hAnsi="宋体" w:hint="eastAsia"/>
          <w:sz w:val="24"/>
        </w:rPr>
        <w:t>万</w:t>
      </w:r>
      <w:r w:rsidRPr="003E746D">
        <w:rPr>
          <w:rFonts w:ascii="宋体" w:hAnsi="宋体"/>
          <w:sz w:val="24"/>
        </w:rPr>
        <w:t>元；已在直销机构有认购或申购过本基金管理人管理的任一基金（包括本基金）记录的投资人不受首次申购最低金额的限制。通过基金管理人网上直销交易平台办</w:t>
      </w:r>
      <w:r w:rsidRPr="003E746D">
        <w:rPr>
          <w:rFonts w:ascii="宋体" w:hAnsi="宋体"/>
          <w:sz w:val="24"/>
        </w:rPr>
        <w:lastRenderedPageBreak/>
        <w:t>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6EDD955C" w14:textId="0E7C00A1" w:rsidR="007C4BB4" w:rsidRPr="003E746D" w:rsidRDefault="007C4BB4">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基金管理人可对Y类基金份额实施不同</w:t>
      </w:r>
      <w:r w:rsidRPr="003E746D">
        <w:rPr>
          <w:rFonts w:ascii="宋体" w:hAnsi="宋体"/>
          <w:sz w:val="24"/>
        </w:rPr>
        <w:t>的</w:t>
      </w:r>
      <w:r w:rsidRPr="003E746D">
        <w:rPr>
          <w:rFonts w:ascii="宋体" w:hAnsi="宋体" w:hint="eastAsia"/>
          <w:sz w:val="24"/>
        </w:rPr>
        <w:t>申购金额限制或豁免申购限制，敬请投资者留意本基金管理人的有关公告。</w:t>
      </w:r>
    </w:p>
    <w:p w14:paraId="0EE299E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2、赎回份额的限制</w:t>
      </w:r>
    </w:p>
    <w:p w14:paraId="2637D12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赎回的最低份额为1份基金份额，如果销售机构业务规则规定的最低单笔赎回份额高于1份，以该销售机构的规定为准。</w:t>
      </w:r>
    </w:p>
    <w:p w14:paraId="465F4D2F" w14:textId="77777777" w:rsidR="00685E95" w:rsidRPr="003E746D" w:rsidRDefault="00685E95" w:rsidP="00685E95">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3、最低基金份额余额的限制</w:t>
      </w:r>
    </w:p>
    <w:p w14:paraId="776F2ED6" w14:textId="39BD1F7C" w:rsidR="004D2F6C" w:rsidRPr="003E746D" w:rsidRDefault="00685E95">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本基金暂无最低保留余额限制。</w:t>
      </w:r>
    </w:p>
    <w:p w14:paraId="7F64C9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58883E63" w14:textId="321A2A10"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5、基金管理人可在法律法规允许的情况下，调整上述规定的申购金额</w:t>
      </w:r>
      <w:r w:rsidR="00685E95" w:rsidRPr="003E746D">
        <w:rPr>
          <w:rFonts w:ascii="宋体" w:hAnsi="宋体"/>
          <w:sz w:val="24"/>
        </w:rPr>
        <w:t>和</w:t>
      </w:r>
      <w:r w:rsidRPr="003E746D">
        <w:rPr>
          <w:rFonts w:ascii="宋体" w:hAnsi="宋体"/>
          <w:sz w:val="24"/>
        </w:rPr>
        <w:t>赎回份额的数量限制。基金管理人必须在调整实施前依照《信息披露办法》的有关规定在指定媒介上刊登公告。</w:t>
      </w:r>
    </w:p>
    <w:p w14:paraId="7DCE3C18"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（五）申购和赎回的程序</w:t>
      </w:r>
    </w:p>
    <w:p w14:paraId="6BE466A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1、申购和赎回的申请方式</w:t>
      </w:r>
    </w:p>
    <w:p w14:paraId="3442A09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B17497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2、申购和赎回的款项支付</w:t>
      </w:r>
    </w:p>
    <w:p w14:paraId="476A7C8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5B380B4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投资人递交赎回申请，赎回成立；登记机构确认赎回时，赎回生效。投资人赎</w:t>
      </w:r>
      <w:r w:rsidRPr="003E746D">
        <w:rPr>
          <w:rFonts w:ascii="宋体" w:hAnsi="宋体"/>
          <w:sz w:val="24"/>
        </w:rPr>
        <w:lastRenderedPageBreak/>
        <w:t>回申请成功后，基金管理人将在T＋7日（包括该日）内支付赎回款项。在发生巨额赎回或基金合同载明的其他暂停赎回或延缓支付赎回款项的情形时，款项的支付办法参照基金合同有关条款处理。</w:t>
      </w:r>
    </w:p>
    <w:p w14:paraId="1016750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3、申购和赎回申请的确认</w:t>
      </w:r>
    </w:p>
    <w:p w14:paraId="489417C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或基金管理人委托的登记机构应以交易时间结束前受理有效申购和赎回申请的当天作为申购或赎回申请日（T日），在正常情况下，本基金登记机构在T+3日（包括该日）内对该交易的有效性进行确认。T日提交的有效申请，投资人应在T+4日后（包括该日）及时到销售网点柜台或以销售机构规定的其他方式查询申请的确认情况。若申购不成功，则申购款项本金退还给投资人。</w:t>
      </w:r>
    </w:p>
    <w:p w14:paraId="7462359D" w14:textId="30CC760A"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基金管理人可在法律法规允许的范围内，依法对上述申购和赎回申请的确认时间进行调整，并必须在调整实施日前按照《信息披露办法》的有关规定在指定媒介上公告。</w:t>
      </w:r>
    </w:p>
    <w:p w14:paraId="76AFCAE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109194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4、申购和赎回的登记</w:t>
      </w:r>
    </w:p>
    <w:p w14:paraId="651A91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（1）投资人T日申购基金成功后，正常情况下，登记机构在T＋3日为投资人增加权益并办理登记手续。投资人应及时查询有关申请的确认情况。</w:t>
      </w:r>
    </w:p>
    <w:p w14:paraId="47575DD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（2）投资人T日赎回基金成功后，正常情况下，登记机构在T＋3日为投资人扣除权益并办理相应的登记手续。</w:t>
      </w:r>
    </w:p>
    <w:p w14:paraId="7DB856DF" w14:textId="2ED92963"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（3）基金管理人可在法律法规允许的范围内，依法对上述申购和赎回申请的确认时间进行调整，并必须在调整实施日前按照《信息披露办法》的有关规定在指定媒介上公告。</w:t>
      </w:r>
    </w:p>
    <w:p w14:paraId="23E9B1AF"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（六）基金的申购费和赎回费</w:t>
      </w:r>
    </w:p>
    <w:p w14:paraId="5752460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1、申购费用</w:t>
      </w:r>
    </w:p>
    <w:p w14:paraId="0A55C1B5" w14:textId="77777777" w:rsidR="004D2F6C" w:rsidRPr="003E746D" w:rsidRDefault="00F3528E">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本基金基金份额分为A类基金份额和Y类基金份额。投资人申购A类基金份额和Y类基金份额在申购时支付申购费用。</w:t>
      </w:r>
      <w:r w:rsidR="00435F28" w:rsidRPr="003E746D">
        <w:rPr>
          <w:rFonts w:ascii="宋体" w:hAnsi="宋体"/>
          <w:sz w:val="24"/>
        </w:rPr>
        <w:t>本基金的申购费用由</w:t>
      </w:r>
      <w:r w:rsidRPr="003E746D">
        <w:rPr>
          <w:rFonts w:ascii="宋体" w:hAnsi="宋体" w:hint="eastAsia"/>
          <w:sz w:val="24"/>
        </w:rPr>
        <w:t>该类基金份额的</w:t>
      </w:r>
      <w:r w:rsidR="00435F28" w:rsidRPr="003E746D">
        <w:rPr>
          <w:rFonts w:ascii="宋体" w:hAnsi="宋体"/>
          <w:sz w:val="24"/>
        </w:rPr>
        <w:t>基金申购人承担，不列入基金财产，主要用于本基金的市场推广、销售、登记等各项费用。</w:t>
      </w:r>
    </w:p>
    <w:p w14:paraId="16F4E89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投资人可以多次申购本基金，申购费用按每笔申购申请单独计算。</w:t>
      </w:r>
    </w:p>
    <w:p w14:paraId="4C8BA64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w:t>
      </w:r>
      <w:r w:rsidR="00F3528E" w:rsidRPr="003E746D">
        <w:rPr>
          <w:rFonts w:ascii="宋体" w:hAnsi="宋体" w:hint="eastAsia"/>
          <w:sz w:val="24"/>
        </w:rPr>
        <w:t>A类基金份额和Y类基金份额</w:t>
      </w:r>
      <w:r w:rsidRPr="003E746D">
        <w:rPr>
          <w:rFonts w:ascii="宋体" w:hAnsi="宋体"/>
          <w:sz w:val="24"/>
        </w:rPr>
        <w:t>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4D2F6C" w:rsidRPr="003E746D" w14:paraId="73BE5C3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477895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lastRenderedPageBreak/>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18DD101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申购费率</w:t>
            </w:r>
          </w:p>
        </w:tc>
      </w:tr>
      <w:tr w:rsidR="004D2F6C" w:rsidRPr="003E746D" w14:paraId="7A6B311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8E5072B"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50</w:t>
            </w:r>
            <w:r w:rsidRPr="003E746D">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3550DE41"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0.8%</w:t>
            </w:r>
          </w:p>
        </w:tc>
      </w:tr>
      <w:tr w:rsidR="004D2F6C" w:rsidRPr="003E746D" w14:paraId="78B73D5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D471226"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50</w:t>
            </w:r>
            <w:r w:rsidRPr="003E746D">
              <w:rPr>
                <w:rFonts w:ascii="Times New Roman" w:hAnsi="Times New Roman"/>
                <w:color w:val="000000"/>
                <w:kern w:val="0"/>
                <w:sz w:val="25"/>
                <w:szCs w:val="24"/>
              </w:rPr>
              <w:t>万元（含）至</w:t>
            </w:r>
            <w:r w:rsidRPr="003E746D">
              <w:rPr>
                <w:rFonts w:ascii="Times New Roman" w:hAnsi="Times New Roman"/>
                <w:color w:val="000000"/>
                <w:kern w:val="0"/>
                <w:sz w:val="25"/>
                <w:szCs w:val="24"/>
              </w:rPr>
              <w:t>100</w:t>
            </w:r>
            <w:r w:rsidRPr="003E746D">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A903112"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0.6%</w:t>
            </w:r>
          </w:p>
        </w:tc>
      </w:tr>
      <w:tr w:rsidR="004D2F6C" w:rsidRPr="003E746D" w14:paraId="550B96A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8B9A04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100</w:t>
            </w:r>
            <w:r w:rsidRPr="003E746D">
              <w:rPr>
                <w:rFonts w:ascii="Times New Roman" w:hAnsi="Times New Roman"/>
                <w:color w:val="000000"/>
                <w:kern w:val="0"/>
                <w:sz w:val="25"/>
                <w:szCs w:val="24"/>
              </w:rPr>
              <w:t>万元（含）至</w:t>
            </w:r>
            <w:r w:rsidRPr="003E746D">
              <w:rPr>
                <w:rFonts w:ascii="Times New Roman" w:hAnsi="Times New Roman"/>
                <w:color w:val="000000"/>
                <w:kern w:val="0"/>
                <w:sz w:val="25"/>
                <w:szCs w:val="24"/>
              </w:rPr>
              <w:t>200</w:t>
            </w:r>
            <w:r w:rsidRPr="003E746D">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446A3E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0.5%</w:t>
            </w:r>
          </w:p>
        </w:tc>
      </w:tr>
      <w:tr w:rsidR="004D2F6C" w:rsidRPr="003E746D" w14:paraId="35FAACB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89FAA09"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200</w:t>
            </w:r>
            <w:r w:rsidRPr="003E746D">
              <w:rPr>
                <w:rFonts w:ascii="Times New Roman" w:hAnsi="Times New Roman"/>
                <w:color w:val="000000"/>
                <w:kern w:val="0"/>
                <w:sz w:val="25"/>
                <w:szCs w:val="24"/>
              </w:rPr>
              <w:t>万元（含）至</w:t>
            </w:r>
            <w:r w:rsidRPr="003E746D">
              <w:rPr>
                <w:rFonts w:ascii="Times New Roman" w:hAnsi="Times New Roman"/>
                <w:color w:val="000000"/>
                <w:kern w:val="0"/>
                <w:sz w:val="25"/>
                <w:szCs w:val="24"/>
              </w:rPr>
              <w:t>500</w:t>
            </w:r>
            <w:r w:rsidRPr="003E746D">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04AF089"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0.3%</w:t>
            </w:r>
          </w:p>
        </w:tc>
      </w:tr>
      <w:tr w:rsidR="004D2F6C" w:rsidRPr="003E746D" w14:paraId="23515D2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CC17086"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500</w:t>
            </w:r>
            <w:r w:rsidRPr="003E746D">
              <w:rPr>
                <w:rFonts w:ascii="Times New Roman" w:hAnsi="Times New Roman"/>
                <w:color w:val="000000"/>
                <w:kern w:val="0"/>
                <w:sz w:val="25"/>
                <w:szCs w:val="24"/>
              </w:rPr>
              <w:t>万元以上（含</w:t>
            </w:r>
            <w:r w:rsidRPr="003E746D">
              <w:rPr>
                <w:rFonts w:ascii="Times New Roman" w:hAnsi="Times New Roman"/>
                <w:color w:val="000000"/>
                <w:kern w:val="0"/>
                <w:sz w:val="25"/>
                <w:szCs w:val="24"/>
              </w:rPr>
              <w:t>500</w:t>
            </w:r>
            <w:r w:rsidRPr="003E746D">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406C8C7"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每笔交易</w:t>
            </w:r>
            <w:r w:rsidRPr="003E746D">
              <w:rPr>
                <w:rFonts w:ascii="Times New Roman" w:hAnsi="Times New Roman"/>
                <w:color w:val="000000"/>
                <w:kern w:val="0"/>
                <w:sz w:val="25"/>
                <w:szCs w:val="24"/>
              </w:rPr>
              <w:t>1000</w:t>
            </w:r>
            <w:r w:rsidRPr="003E746D">
              <w:rPr>
                <w:rFonts w:ascii="Times New Roman" w:hAnsi="Times New Roman"/>
                <w:color w:val="000000"/>
                <w:kern w:val="0"/>
                <w:sz w:val="25"/>
                <w:szCs w:val="24"/>
              </w:rPr>
              <w:t>元</w:t>
            </w:r>
          </w:p>
        </w:tc>
      </w:tr>
    </w:tbl>
    <w:p w14:paraId="036E5E8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sz w:val="24"/>
        </w:rPr>
        <w:t>因红利自动再投资而产生的</w:t>
      </w:r>
      <w:r w:rsidR="00F26453" w:rsidRPr="003E746D">
        <w:rPr>
          <w:rFonts w:ascii="宋体" w:hAnsi="宋体" w:hint="eastAsia"/>
          <w:sz w:val="24"/>
        </w:rPr>
        <w:t>该类</w:t>
      </w:r>
      <w:r w:rsidRPr="003E746D">
        <w:rPr>
          <w:rFonts w:ascii="宋体" w:hAnsi="宋体"/>
          <w:sz w:val="24"/>
        </w:rPr>
        <w:t>基金份额，不收取相应的申购费用。</w:t>
      </w:r>
    </w:p>
    <w:p w14:paraId="3C2C5873" w14:textId="5C1586F1" w:rsidR="00660BF4" w:rsidRPr="003E746D" w:rsidRDefault="00F35907">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基金管理人可对</w:t>
      </w:r>
      <w:r w:rsidR="00660BF4" w:rsidRPr="003E746D">
        <w:rPr>
          <w:rFonts w:ascii="宋体" w:hAnsi="宋体" w:hint="eastAsia"/>
          <w:sz w:val="24"/>
        </w:rPr>
        <w:t>Y类基金份额</w:t>
      </w:r>
      <w:r w:rsidRPr="003E746D">
        <w:rPr>
          <w:rFonts w:ascii="宋体" w:hAnsi="宋体" w:hint="eastAsia"/>
          <w:sz w:val="24"/>
        </w:rPr>
        <w:t>实施</w:t>
      </w:r>
      <w:r w:rsidR="00660BF4" w:rsidRPr="003E746D">
        <w:rPr>
          <w:rFonts w:ascii="宋体" w:hAnsi="宋体" w:hint="eastAsia"/>
          <w:sz w:val="24"/>
        </w:rPr>
        <w:t>费率优惠或豁免申购费</w:t>
      </w:r>
      <w:r w:rsidRPr="003E746D">
        <w:rPr>
          <w:rFonts w:ascii="宋体" w:hAnsi="宋体" w:hint="eastAsia"/>
          <w:sz w:val="24"/>
        </w:rPr>
        <w:t>用</w:t>
      </w:r>
      <w:r w:rsidR="00660BF4" w:rsidRPr="003E746D">
        <w:rPr>
          <w:rFonts w:ascii="宋体" w:hAnsi="宋体" w:hint="eastAsia"/>
          <w:sz w:val="24"/>
        </w:rPr>
        <w:t>，</w:t>
      </w:r>
      <w:r w:rsidR="00660BF4" w:rsidRPr="003E746D">
        <w:rPr>
          <w:rFonts w:ascii="宋体" w:hAnsi="宋体"/>
          <w:sz w:val="24"/>
        </w:rPr>
        <w:t>敬请投资者留意本基金管理人的有关公告</w:t>
      </w:r>
      <w:r w:rsidR="00660BF4" w:rsidRPr="003E746D">
        <w:rPr>
          <w:rFonts w:ascii="宋体" w:hAnsi="宋体" w:hint="eastAsia"/>
          <w:sz w:val="24"/>
        </w:rPr>
        <w:t>。</w:t>
      </w:r>
    </w:p>
    <w:p w14:paraId="0C4A089A" w14:textId="16BE85E6"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本基金对通过基金管理人直销柜台申购本基金</w:t>
      </w:r>
      <w:r w:rsidR="00660BF4" w:rsidRPr="003E746D">
        <w:rPr>
          <w:rFonts w:ascii="宋体" w:hAnsi="宋体" w:hint="eastAsia"/>
          <w:sz w:val="24"/>
        </w:rPr>
        <w:t>A类基金份额</w:t>
      </w:r>
      <w:r w:rsidRPr="003E746D">
        <w:rPr>
          <w:rFonts w:ascii="宋体" w:hAnsi="宋体"/>
          <w:sz w:val="24"/>
        </w:rPr>
        <w:t>的</w:t>
      </w:r>
      <w:r w:rsidR="00C71C64" w:rsidRPr="003E746D">
        <w:rPr>
          <w:rFonts w:ascii="宋体" w:hAnsi="宋体" w:hint="eastAsia"/>
          <w:sz w:val="24"/>
        </w:rPr>
        <w:t>非个人</w:t>
      </w:r>
      <w:r w:rsidRPr="003E746D">
        <w:rPr>
          <w:rFonts w:ascii="宋体" w:hAnsi="宋体"/>
          <w:sz w:val="24"/>
        </w:rPr>
        <w:t>养老金客户实施特定申购费率。</w:t>
      </w:r>
    </w:p>
    <w:p w14:paraId="0F38A0BD" w14:textId="3A994DBC" w:rsidR="004D2F6C" w:rsidRPr="003E746D" w:rsidRDefault="00C71C6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非个人</w:t>
      </w:r>
      <w:r w:rsidR="00435F28" w:rsidRPr="003E746D">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w:t>
      </w:r>
      <w:r w:rsidRPr="003E746D">
        <w:rPr>
          <w:rFonts w:ascii="宋体" w:hAnsi="宋体" w:hint="eastAsia"/>
          <w:sz w:val="24"/>
        </w:rPr>
        <w:t>非个人</w:t>
      </w:r>
      <w:r w:rsidR="00435F28" w:rsidRPr="003E746D">
        <w:rPr>
          <w:rFonts w:ascii="宋体" w:hAnsi="宋体"/>
          <w:sz w:val="24"/>
        </w:rPr>
        <w:t>养老金客户范围，并按规定向中国证监会备案。</w:t>
      </w:r>
    </w:p>
    <w:p w14:paraId="0A7B2D42" w14:textId="1E01286D"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通过基金管理人直销柜台申购本基金</w:t>
      </w:r>
      <w:r w:rsidR="00660BF4" w:rsidRPr="003E746D">
        <w:rPr>
          <w:rFonts w:ascii="宋体" w:hAnsi="宋体" w:hint="eastAsia"/>
          <w:sz w:val="24"/>
        </w:rPr>
        <w:t>A类基金份额</w:t>
      </w:r>
      <w:r w:rsidRPr="003E746D">
        <w:rPr>
          <w:rFonts w:ascii="宋体" w:hAnsi="宋体"/>
          <w:sz w:val="24"/>
        </w:rPr>
        <w:t>的</w:t>
      </w:r>
      <w:r w:rsidR="00C71C64" w:rsidRPr="003E746D">
        <w:rPr>
          <w:rFonts w:ascii="宋体" w:hAnsi="宋体" w:hint="eastAsia"/>
          <w:sz w:val="24"/>
        </w:rPr>
        <w:t>非个人</w:t>
      </w:r>
      <w:r w:rsidRPr="003E746D">
        <w:rPr>
          <w:rFonts w:ascii="宋体" w:hAnsi="宋体"/>
          <w:sz w:val="24"/>
        </w:rPr>
        <w:t>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4D2F6C" w:rsidRPr="003E746D" w14:paraId="0C8B158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283F21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0AEBA0F9"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特定申购费率</w:t>
            </w:r>
          </w:p>
        </w:tc>
      </w:tr>
      <w:tr w:rsidR="004D2F6C" w:rsidRPr="003E746D" w14:paraId="21B8805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EC6725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50</w:t>
            </w:r>
            <w:r w:rsidRPr="003E746D">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2E1CCB8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0.32%</w:t>
            </w:r>
          </w:p>
        </w:tc>
      </w:tr>
      <w:tr w:rsidR="004D2F6C" w:rsidRPr="003E746D" w14:paraId="42369CE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2046F9"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50</w:t>
            </w:r>
            <w:r w:rsidRPr="003E746D">
              <w:rPr>
                <w:rFonts w:ascii="Times New Roman" w:hAnsi="Times New Roman"/>
                <w:color w:val="000000"/>
                <w:kern w:val="0"/>
                <w:sz w:val="25"/>
                <w:szCs w:val="24"/>
              </w:rPr>
              <w:t>万元（含）至</w:t>
            </w:r>
            <w:r w:rsidRPr="003E746D">
              <w:rPr>
                <w:rFonts w:ascii="Times New Roman" w:hAnsi="Times New Roman"/>
                <w:color w:val="000000"/>
                <w:kern w:val="0"/>
                <w:sz w:val="25"/>
                <w:szCs w:val="24"/>
              </w:rPr>
              <w:t>100</w:t>
            </w:r>
            <w:r w:rsidRPr="003E746D">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74F8F3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0.18%</w:t>
            </w:r>
          </w:p>
        </w:tc>
      </w:tr>
      <w:tr w:rsidR="004D2F6C" w:rsidRPr="003E746D" w14:paraId="2A56D6F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42F2FD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100</w:t>
            </w:r>
            <w:r w:rsidRPr="003E746D">
              <w:rPr>
                <w:rFonts w:ascii="Times New Roman" w:hAnsi="Times New Roman"/>
                <w:color w:val="000000"/>
                <w:kern w:val="0"/>
                <w:sz w:val="25"/>
                <w:szCs w:val="24"/>
              </w:rPr>
              <w:t>万元（含）至</w:t>
            </w:r>
            <w:r w:rsidRPr="003E746D">
              <w:rPr>
                <w:rFonts w:ascii="Times New Roman" w:hAnsi="Times New Roman"/>
                <w:color w:val="000000"/>
                <w:kern w:val="0"/>
                <w:sz w:val="25"/>
                <w:szCs w:val="24"/>
              </w:rPr>
              <w:t>200</w:t>
            </w:r>
            <w:r w:rsidRPr="003E746D">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14B8C6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0.10%</w:t>
            </w:r>
          </w:p>
        </w:tc>
      </w:tr>
      <w:tr w:rsidR="004D2F6C" w:rsidRPr="003E746D" w14:paraId="5374A6D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08273E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200</w:t>
            </w:r>
            <w:r w:rsidRPr="003E746D">
              <w:rPr>
                <w:rFonts w:ascii="Times New Roman" w:hAnsi="Times New Roman"/>
                <w:color w:val="000000"/>
                <w:kern w:val="0"/>
                <w:sz w:val="25"/>
                <w:szCs w:val="24"/>
              </w:rPr>
              <w:t>万元（含）至</w:t>
            </w:r>
            <w:r w:rsidRPr="003E746D">
              <w:rPr>
                <w:rFonts w:ascii="Times New Roman" w:hAnsi="Times New Roman"/>
                <w:color w:val="000000"/>
                <w:kern w:val="0"/>
                <w:sz w:val="25"/>
                <w:szCs w:val="24"/>
              </w:rPr>
              <w:t>500</w:t>
            </w:r>
            <w:r w:rsidRPr="003E746D">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7A4AC5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0.06%</w:t>
            </w:r>
          </w:p>
        </w:tc>
      </w:tr>
      <w:tr w:rsidR="004D2F6C" w:rsidRPr="003E746D" w14:paraId="2C10BA1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D31CED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500</w:t>
            </w:r>
            <w:r w:rsidRPr="003E746D">
              <w:rPr>
                <w:rFonts w:ascii="Times New Roman" w:hAnsi="Times New Roman"/>
                <w:color w:val="000000"/>
                <w:kern w:val="0"/>
                <w:sz w:val="25"/>
                <w:szCs w:val="24"/>
              </w:rPr>
              <w:t>万元以上（含</w:t>
            </w:r>
            <w:r w:rsidRPr="003E746D">
              <w:rPr>
                <w:rFonts w:ascii="Times New Roman" w:hAnsi="Times New Roman"/>
                <w:color w:val="000000"/>
                <w:kern w:val="0"/>
                <w:sz w:val="25"/>
                <w:szCs w:val="24"/>
              </w:rPr>
              <w:t>500</w:t>
            </w:r>
            <w:r w:rsidRPr="003E746D">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AD8D92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每笔交易</w:t>
            </w:r>
            <w:r w:rsidRPr="003E746D">
              <w:rPr>
                <w:rFonts w:ascii="Times New Roman" w:hAnsi="Times New Roman"/>
                <w:color w:val="000000"/>
                <w:kern w:val="0"/>
                <w:sz w:val="25"/>
                <w:szCs w:val="24"/>
              </w:rPr>
              <w:t>1000</w:t>
            </w:r>
            <w:r w:rsidRPr="003E746D">
              <w:rPr>
                <w:rFonts w:ascii="Times New Roman" w:hAnsi="Times New Roman"/>
                <w:color w:val="000000"/>
                <w:kern w:val="0"/>
                <w:sz w:val="25"/>
                <w:szCs w:val="24"/>
              </w:rPr>
              <w:t>元</w:t>
            </w:r>
          </w:p>
        </w:tc>
      </w:tr>
    </w:tbl>
    <w:p w14:paraId="71CE840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2、赎回费用</w:t>
      </w:r>
    </w:p>
    <w:p w14:paraId="1AAD07B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基金份额持有人持有的每份基金份额最短持有期限为一年，本基金不收取赎回费用。</w:t>
      </w:r>
      <w:r w:rsidR="00660BF4" w:rsidRPr="003E746D">
        <w:rPr>
          <w:rFonts w:ascii="宋体" w:hAnsi="宋体" w:hint="eastAsia"/>
          <w:sz w:val="24"/>
        </w:rPr>
        <w:t>其中，对于不受最短持有期限制的红利再投资所得基金份额，对持续持有期少于7日的投资者收取1.5%的赎回费，并全额计入基金财产。</w:t>
      </w:r>
    </w:p>
    <w:p w14:paraId="7B0EEB3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3、基金管理人可以在基金合同约定的范围内调整费率或收费方式，并最迟应于新的费率或收费方式实施日前依照《信息披露办法》的有关规定在指定媒介上公告。</w:t>
      </w:r>
    </w:p>
    <w:p w14:paraId="0661E1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4、基金管理人可以在不违背法律法规规定及基金合同约定且对现有基金份额持有人利益无实质不利影响的情况下根据市场情况制定基金促销计划，针对投资人定期和不定期地开展基金促销活动。在基金促销活动期间，基金管理人可以按中国证监会要求履行必要手续后，对投资人适当调低基金销售费用。</w:t>
      </w:r>
    </w:p>
    <w:p w14:paraId="742588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5F02FD02"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（七）申购和赎回的数额和价格</w:t>
      </w:r>
    </w:p>
    <w:p w14:paraId="10B11AF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1、申购和赎回数额、余额的处理方式</w:t>
      </w:r>
    </w:p>
    <w:p w14:paraId="7563EBB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（1）申购</w:t>
      </w:r>
      <w:r w:rsidR="00F90784" w:rsidRPr="003E746D">
        <w:rPr>
          <w:rFonts w:ascii="宋体" w:hAnsi="宋体" w:hint="eastAsia"/>
          <w:sz w:val="24"/>
        </w:rPr>
        <w:t>A类基金份额或Y类基金份额</w:t>
      </w:r>
      <w:r w:rsidRPr="003E746D">
        <w:rPr>
          <w:rFonts w:ascii="宋体" w:hAnsi="宋体"/>
          <w:sz w:val="24"/>
        </w:rPr>
        <w:t>的有效份额为净申购金额除以当日</w:t>
      </w:r>
      <w:r w:rsidR="00F90784" w:rsidRPr="003E746D">
        <w:rPr>
          <w:rFonts w:hint="eastAsia"/>
          <w:bCs/>
          <w:sz w:val="24"/>
        </w:rPr>
        <w:t>该类基金份额</w:t>
      </w:r>
      <w:r w:rsidRPr="003E746D">
        <w:rPr>
          <w:rFonts w:ascii="宋体" w:hAnsi="宋体"/>
          <w:sz w:val="24"/>
        </w:rPr>
        <w:t>的基金份额净值，有效份额单位为份，申购份额计算结果按四舍五入方法，保留到小数点后2位，由此产生的收益或损失由基金财产承担。</w:t>
      </w:r>
    </w:p>
    <w:p w14:paraId="1555B2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w:t>
      </w:r>
      <w:r w:rsidR="00F90784" w:rsidRPr="003E746D">
        <w:rPr>
          <w:sz w:val="24"/>
        </w:rPr>
        <w:t>A</w:t>
      </w:r>
      <w:r w:rsidR="00F90784" w:rsidRPr="003E746D">
        <w:rPr>
          <w:rFonts w:hAnsi="宋体"/>
          <w:sz w:val="24"/>
        </w:rPr>
        <w:t>类基金份额</w:t>
      </w:r>
      <w:r w:rsidR="00F90784" w:rsidRPr="003E746D">
        <w:rPr>
          <w:rFonts w:hAnsi="宋体" w:hint="eastAsia"/>
          <w:sz w:val="24"/>
        </w:rPr>
        <w:t>或</w:t>
      </w:r>
      <w:r w:rsidR="00F643EE" w:rsidRPr="003E746D">
        <w:rPr>
          <w:rFonts w:hAnsi="宋体" w:hint="eastAsia"/>
          <w:sz w:val="24"/>
        </w:rPr>
        <w:t>Y</w:t>
      </w:r>
      <w:r w:rsidR="00F643EE" w:rsidRPr="003E746D">
        <w:rPr>
          <w:rFonts w:hAnsi="宋体" w:hint="eastAsia"/>
          <w:sz w:val="24"/>
        </w:rPr>
        <w:t>类</w:t>
      </w:r>
      <w:r w:rsidR="00F90784" w:rsidRPr="003E746D">
        <w:rPr>
          <w:rFonts w:hAnsi="宋体" w:hint="eastAsia"/>
          <w:sz w:val="24"/>
        </w:rPr>
        <w:t>基金份额的</w:t>
      </w:r>
      <w:r w:rsidRPr="003E746D">
        <w:rPr>
          <w:rFonts w:ascii="宋体" w:hAnsi="宋体"/>
          <w:sz w:val="24"/>
        </w:rPr>
        <w:t>赎回金额为按实际确认的有效赎回份额乘以当日</w:t>
      </w:r>
      <w:r w:rsidR="00F90784" w:rsidRPr="003E746D">
        <w:rPr>
          <w:rFonts w:hint="eastAsia"/>
          <w:bCs/>
          <w:sz w:val="24"/>
        </w:rPr>
        <w:t>该类基金份额</w:t>
      </w:r>
      <w:r w:rsidRPr="003E746D">
        <w:rPr>
          <w:rFonts w:ascii="宋体" w:hAnsi="宋体"/>
          <w:sz w:val="24"/>
        </w:rPr>
        <w:t>基金份额净值</w:t>
      </w:r>
      <w:r w:rsidR="00F26453" w:rsidRPr="003E746D">
        <w:rPr>
          <w:rFonts w:hAnsi="宋体"/>
          <w:kern w:val="0"/>
          <w:sz w:val="24"/>
          <w:szCs w:val="24"/>
        </w:rPr>
        <w:t>并扣除相应的费用（如有）</w:t>
      </w:r>
      <w:r w:rsidRPr="003E746D">
        <w:rPr>
          <w:rFonts w:ascii="宋体" w:hAnsi="宋体"/>
          <w:sz w:val="24"/>
        </w:rPr>
        <w:t>，赎回金额单位为元。赎回金额计算结果按四舍五入方法，保留到小数点后2位，由此产生的收益或损失由基金财产承担。</w:t>
      </w:r>
    </w:p>
    <w:p w14:paraId="139E705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2、申购份额的计算</w:t>
      </w:r>
    </w:p>
    <w:p w14:paraId="40481B0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申购总金额=申请总金额</w:t>
      </w:r>
    </w:p>
    <w:p w14:paraId="2941FDE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净申购金额=申购总金额/（1+申购费率）</w:t>
      </w:r>
    </w:p>
    <w:p w14:paraId="63B6C51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（注：对于适用固定金额申购费用的申购，净申购金额＝申购总金额－固定申购费用金额）</w:t>
      </w:r>
    </w:p>
    <w:p w14:paraId="75B3B6F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申购费用=申购总金额-净申购金额</w:t>
      </w:r>
    </w:p>
    <w:p w14:paraId="0A7F9AC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（注：对于适用固定金额申购费用的申购，申购费用＝固定申购费用金额）</w:t>
      </w:r>
    </w:p>
    <w:p w14:paraId="5C622EE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申购份额=（申购总金额-申购费用）/T日</w:t>
      </w:r>
      <w:r w:rsidR="00F90784" w:rsidRPr="003E746D">
        <w:rPr>
          <w:rFonts w:ascii="宋体" w:hAnsi="宋体" w:hint="eastAsia"/>
          <w:sz w:val="24"/>
        </w:rPr>
        <w:t>A类或Y类</w:t>
      </w:r>
      <w:r w:rsidRPr="003E746D">
        <w:rPr>
          <w:rFonts w:ascii="宋体" w:hAnsi="宋体"/>
          <w:sz w:val="24"/>
        </w:rPr>
        <w:t>基金份额净值</w:t>
      </w:r>
    </w:p>
    <w:p w14:paraId="3DADD62B" w14:textId="5F96E1AE"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例三：某投资者投资100,000元申购本基金</w:t>
      </w:r>
      <w:r w:rsidR="006C5904" w:rsidRPr="003E746D">
        <w:rPr>
          <w:rFonts w:ascii="宋体" w:hAnsi="宋体" w:hint="eastAsia"/>
          <w:sz w:val="24"/>
        </w:rPr>
        <w:t>的</w:t>
      </w:r>
      <w:r w:rsidR="00F90784" w:rsidRPr="003E746D">
        <w:rPr>
          <w:rFonts w:ascii="宋体" w:hAnsi="宋体" w:hint="eastAsia"/>
          <w:sz w:val="24"/>
        </w:rPr>
        <w:t>A类</w:t>
      </w:r>
      <w:r w:rsidR="00F90784" w:rsidRPr="003E746D">
        <w:rPr>
          <w:rFonts w:ascii="宋体" w:hAnsi="宋体"/>
          <w:sz w:val="24"/>
        </w:rPr>
        <w:t>基金份额</w:t>
      </w:r>
      <w:r w:rsidRPr="003E746D">
        <w:rPr>
          <w:rFonts w:ascii="宋体" w:hAnsi="宋体"/>
          <w:sz w:val="24"/>
        </w:rPr>
        <w:t>，假设申购当日</w:t>
      </w:r>
      <w:r w:rsidR="006C5904" w:rsidRPr="003E746D">
        <w:rPr>
          <w:rFonts w:ascii="宋体" w:hAnsi="宋体" w:hint="eastAsia"/>
          <w:sz w:val="24"/>
        </w:rPr>
        <w:t>A</w:t>
      </w:r>
      <w:r w:rsidR="00F90784" w:rsidRPr="003E746D">
        <w:rPr>
          <w:rFonts w:ascii="宋体" w:hAnsi="宋体" w:hint="eastAsia"/>
          <w:sz w:val="24"/>
        </w:rPr>
        <w:t>类</w:t>
      </w:r>
      <w:r w:rsidRPr="003E746D">
        <w:rPr>
          <w:rFonts w:ascii="宋体" w:hAnsi="宋体"/>
          <w:sz w:val="24"/>
        </w:rPr>
        <w:t>基金份额净值为1.0400元，申购费率为0.8%，则其可得到的申购份额为：</w:t>
      </w:r>
    </w:p>
    <w:p w14:paraId="50FDF45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申购总金额＝100,000元</w:t>
      </w:r>
    </w:p>
    <w:p w14:paraId="39932A0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净申购金额=100,000/（1+0.8%）=99,206.35元</w:t>
      </w:r>
    </w:p>
    <w:p w14:paraId="5DBF735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申购费用=100,000-99,206.35=793.65元</w:t>
      </w:r>
    </w:p>
    <w:p w14:paraId="14B941B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申购份额=（100,000-793.65）/1.0400=95,390.72份</w:t>
      </w:r>
    </w:p>
    <w:p w14:paraId="221B43FB" w14:textId="3A5CBBBC"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即：某投资者投资100,000元申购本基金</w:t>
      </w:r>
      <w:r w:rsidR="006C5904" w:rsidRPr="003E746D">
        <w:rPr>
          <w:rFonts w:ascii="宋体" w:hAnsi="宋体" w:hint="eastAsia"/>
          <w:sz w:val="24"/>
        </w:rPr>
        <w:t>的</w:t>
      </w:r>
      <w:r w:rsidR="00F90784" w:rsidRPr="003E746D">
        <w:rPr>
          <w:rFonts w:ascii="宋体" w:hAnsi="宋体" w:hint="eastAsia"/>
          <w:sz w:val="24"/>
        </w:rPr>
        <w:t>A类</w:t>
      </w:r>
      <w:r w:rsidR="00F90784" w:rsidRPr="003E746D">
        <w:rPr>
          <w:rFonts w:ascii="宋体" w:hAnsi="宋体"/>
          <w:sz w:val="24"/>
        </w:rPr>
        <w:t>基金份额</w:t>
      </w:r>
      <w:r w:rsidRPr="003E746D">
        <w:rPr>
          <w:rFonts w:ascii="宋体" w:hAnsi="宋体"/>
          <w:sz w:val="24"/>
        </w:rPr>
        <w:t>，假设申购当日</w:t>
      </w:r>
      <w:r w:rsidR="006C5904" w:rsidRPr="003E746D">
        <w:rPr>
          <w:rFonts w:ascii="宋体" w:hAnsi="宋体" w:hint="eastAsia"/>
          <w:sz w:val="24"/>
        </w:rPr>
        <w:t>A</w:t>
      </w:r>
      <w:r w:rsidR="00F90784" w:rsidRPr="003E746D">
        <w:rPr>
          <w:rFonts w:ascii="宋体" w:hAnsi="宋体" w:hint="eastAsia"/>
          <w:sz w:val="24"/>
        </w:rPr>
        <w:t>类</w:t>
      </w:r>
      <w:r w:rsidRPr="003E746D">
        <w:rPr>
          <w:rFonts w:ascii="宋体" w:hAnsi="宋体"/>
          <w:sz w:val="24"/>
        </w:rPr>
        <w:t>基金份额净值为1.0400元，则其可得到95,390.72份基金份额。</w:t>
      </w:r>
    </w:p>
    <w:p w14:paraId="7A487FE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3、赎回金额的计算</w:t>
      </w:r>
    </w:p>
    <w:p w14:paraId="66F76747" w14:textId="45AE9923" w:rsidR="00767C3C" w:rsidRPr="003E746D" w:rsidRDefault="00767C3C" w:rsidP="00767C3C">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赎回费用=赎回份额×T日该类基金份额净值×赎回费率</w:t>
      </w:r>
    </w:p>
    <w:p w14:paraId="02EF3F28" w14:textId="3C41F5BF" w:rsidR="00767C3C" w:rsidRPr="003E746D" w:rsidRDefault="00767C3C" w:rsidP="00767C3C">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赎回金额=赎回份额×T日该类基金份额净值-赎回费用</w:t>
      </w:r>
    </w:p>
    <w:p w14:paraId="009D6B5A" w14:textId="5635A383"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例</w:t>
      </w:r>
      <w:r w:rsidR="00BD5C9A" w:rsidRPr="003E746D">
        <w:rPr>
          <w:rFonts w:ascii="宋体" w:hAnsi="宋体" w:hint="eastAsia"/>
          <w:sz w:val="24"/>
        </w:rPr>
        <w:t>四</w:t>
      </w:r>
      <w:r w:rsidRPr="003E746D">
        <w:rPr>
          <w:rFonts w:ascii="宋体" w:hAnsi="宋体"/>
          <w:sz w:val="24"/>
        </w:rPr>
        <w:t>：某投资者赎回持有的10,000份</w:t>
      </w:r>
      <w:r w:rsidR="00C572DD" w:rsidRPr="003E746D">
        <w:rPr>
          <w:rFonts w:ascii="宋体" w:hAnsi="宋体" w:hint="eastAsia"/>
          <w:sz w:val="24"/>
        </w:rPr>
        <w:t>A</w:t>
      </w:r>
      <w:r w:rsidR="00F90784" w:rsidRPr="003E746D">
        <w:rPr>
          <w:rFonts w:ascii="宋体" w:hAnsi="宋体" w:hint="eastAsia"/>
          <w:sz w:val="24"/>
        </w:rPr>
        <w:t>类</w:t>
      </w:r>
      <w:r w:rsidR="00F90784" w:rsidRPr="003E746D">
        <w:rPr>
          <w:rFonts w:ascii="宋体" w:hAnsi="宋体"/>
          <w:sz w:val="24"/>
        </w:rPr>
        <w:t>基金份额</w:t>
      </w:r>
      <w:r w:rsidR="00F90784" w:rsidRPr="003E746D">
        <w:rPr>
          <w:rFonts w:ascii="宋体" w:hAnsi="宋体" w:hint="eastAsia"/>
          <w:sz w:val="24"/>
        </w:rPr>
        <w:t>或Y类</w:t>
      </w:r>
      <w:r w:rsidRPr="003E746D">
        <w:rPr>
          <w:rFonts w:ascii="宋体" w:hAnsi="宋体"/>
          <w:sz w:val="24"/>
        </w:rPr>
        <w:t>基金份额，</w:t>
      </w:r>
      <w:r w:rsidR="006A3738" w:rsidRPr="003E746D">
        <w:rPr>
          <w:rFonts w:ascii="宋体" w:hAnsi="宋体" w:hint="eastAsia"/>
          <w:sz w:val="24"/>
        </w:rPr>
        <w:t>持有期限为一年，对应的赎回费率为0，</w:t>
      </w:r>
      <w:r w:rsidRPr="003E746D">
        <w:rPr>
          <w:rFonts w:ascii="宋体" w:hAnsi="宋体"/>
          <w:sz w:val="24"/>
        </w:rPr>
        <w:t>假设赎回当日</w:t>
      </w:r>
      <w:r w:rsidR="00F90784" w:rsidRPr="003E746D">
        <w:rPr>
          <w:rFonts w:ascii="宋体" w:hAnsi="宋体" w:hint="eastAsia"/>
          <w:sz w:val="24"/>
        </w:rPr>
        <w:t>该类</w:t>
      </w:r>
      <w:r w:rsidRPr="003E746D">
        <w:rPr>
          <w:rFonts w:ascii="宋体" w:hAnsi="宋体"/>
          <w:sz w:val="24"/>
        </w:rPr>
        <w:t>基金份额净值是1.0160元，则其可得到的赎回金额为：</w:t>
      </w:r>
    </w:p>
    <w:p w14:paraId="07DB3D2E" w14:textId="77777777" w:rsidR="00994587" w:rsidRPr="003E746D" w:rsidRDefault="00994587">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赎回费用=10,000×1.0160×0=0元</w:t>
      </w:r>
    </w:p>
    <w:p w14:paraId="322C0489" w14:textId="50D5C70A"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赎回金额=10,000×1.0160</w:t>
      </w:r>
      <w:r w:rsidR="00994587" w:rsidRPr="003E746D">
        <w:rPr>
          <w:rFonts w:ascii="宋体" w:hAnsi="宋体" w:hint="eastAsia"/>
          <w:sz w:val="24"/>
        </w:rPr>
        <w:t>-</w:t>
      </w:r>
      <w:r w:rsidR="00994587" w:rsidRPr="003E746D">
        <w:rPr>
          <w:rFonts w:ascii="宋体" w:hAnsi="宋体"/>
          <w:sz w:val="24"/>
        </w:rPr>
        <w:t>0</w:t>
      </w:r>
      <w:r w:rsidRPr="003E746D">
        <w:rPr>
          <w:rFonts w:ascii="宋体" w:hAnsi="宋体"/>
          <w:sz w:val="24"/>
        </w:rPr>
        <w:t>＝10,160.00元</w:t>
      </w:r>
    </w:p>
    <w:p w14:paraId="5DB6C604" w14:textId="58EB8635"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即：投资者赎回本基金10,000份</w:t>
      </w:r>
      <w:r w:rsidR="00F90784" w:rsidRPr="003E746D">
        <w:rPr>
          <w:rFonts w:ascii="宋体" w:hAnsi="宋体" w:hint="eastAsia"/>
          <w:sz w:val="24"/>
        </w:rPr>
        <w:t>A类</w:t>
      </w:r>
      <w:r w:rsidR="00F90784" w:rsidRPr="003E746D">
        <w:rPr>
          <w:rFonts w:ascii="宋体" w:hAnsi="宋体"/>
          <w:sz w:val="24"/>
        </w:rPr>
        <w:t>基金份额</w:t>
      </w:r>
      <w:r w:rsidR="00F90784" w:rsidRPr="003E746D">
        <w:rPr>
          <w:rFonts w:ascii="宋体" w:hAnsi="宋体" w:hint="eastAsia"/>
          <w:sz w:val="24"/>
        </w:rPr>
        <w:t>或Y类</w:t>
      </w:r>
      <w:r w:rsidRPr="003E746D">
        <w:rPr>
          <w:rFonts w:ascii="宋体" w:hAnsi="宋体"/>
          <w:sz w:val="24"/>
        </w:rPr>
        <w:t>基金份额，</w:t>
      </w:r>
      <w:r w:rsidR="006A3738" w:rsidRPr="003E746D">
        <w:rPr>
          <w:rFonts w:ascii="宋体" w:hAnsi="宋体" w:hint="eastAsia"/>
          <w:sz w:val="24"/>
        </w:rPr>
        <w:t>持有期限为一年，对应的赎回费率为0，</w:t>
      </w:r>
      <w:r w:rsidRPr="003E746D">
        <w:rPr>
          <w:rFonts w:ascii="宋体" w:hAnsi="宋体"/>
          <w:sz w:val="24"/>
        </w:rPr>
        <w:t>假设赎回当日</w:t>
      </w:r>
      <w:r w:rsidR="00F90784" w:rsidRPr="003E746D">
        <w:rPr>
          <w:rFonts w:ascii="宋体" w:hAnsi="宋体" w:hint="eastAsia"/>
          <w:sz w:val="24"/>
        </w:rPr>
        <w:t>该类</w:t>
      </w:r>
      <w:r w:rsidRPr="003E746D">
        <w:rPr>
          <w:rFonts w:ascii="宋体" w:hAnsi="宋体"/>
          <w:sz w:val="24"/>
        </w:rPr>
        <w:t>基金份额净值是1.0160元，则其可得到的赎回金额为10,160.00元。</w:t>
      </w:r>
    </w:p>
    <w:p w14:paraId="47D774B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4、基金份额净值的计算公式</w:t>
      </w:r>
    </w:p>
    <w:p w14:paraId="2FA63A66" w14:textId="77777777" w:rsidR="00F90784" w:rsidRPr="003E746D" w:rsidRDefault="00F90784" w:rsidP="00F90784">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A类基金份额净值＝A类基金份额的基金资产净值总额/发行在外的A类基金份额总数</w:t>
      </w:r>
    </w:p>
    <w:p w14:paraId="171B1653" w14:textId="6EE89433" w:rsidR="004D2F6C" w:rsidRPr="003E746D" w:rsidRDefault="00F643EE" w:rsidP="00F9078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Y类</w:t>
      </w:r>
      <w:r w:rsidR="00F90784" w:rsidRPr="003E746D">
        <w:rPr>
          <w:rFonts w:ascii="宋体" w:hAnsi="宋体" w:hint="eastAsia"/>
          <w:sz w:val="24"/>
        </w:rPr>
        <w:t>基金份额净值＝</w:t>
      </w:r>
      <w:r w:rsidRPr="003E746D">
        <w:rPr>
          <w:rFonts w:ascii="宋体" w:hAnsi="宋体" w:hint="eastAsia"/>
          <w:sz w:val="24"/>
        </w:rPr>
        <w:t>Y类</w:t>
      </w:r>
      <w:r w:rsidR="00F90784" w:rsidRPr="003E746D">
        <w:rPr>
          <w:rFonts w:ascii="宋体" w:hAnsi="宋体" w:hint="eastAsia"/>
          <w:sz w:val="24"/>
        </w:rPr>
        <w:t>基金份额的基金资产净值总额/发行在外的</w:t>
      </w:r>
      <w:r w:rsidRPr="003E746D">
        <w:rPr>
          <w:rFonts w:ascii="宋体" w:hAnsi="宋体" w:hint="eastAsia"/>
          <w:sz w:val="24"/>
        </w:rPr>
        <w:t>Y类</w:t>
      </w:r>
      <w:r w:rsidR="00F90784" w:rsidRPr="003E746D">
        <w:rPr>
          <w:rFonts w:ascii="宋体" w:hAnsi="宋体" w:hint="eastAsia"/>
          <w:sz w:val="24"/>
        </w:rPr>
        <w:t>基金份额总数</w:t>
      </w:r>
    </w:p>
    <w:p w14:paraId="05343BA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本基金T日的基金份额净值在所投资基金披露净值或万份收益当日（法定节假日顺延至第一个交易日）计算，并在T+3日内披露本基金T日</w:t>
      </w:r>
      <w:r w:rsidR="00F26453" w:rsidRPr="003E746D">
        <w:rPr>
          <w:rFonts w:hint="eastAsia"/>
          <w:bCs/>
          <w:sz w:val="24"/>
        </w:rPr>
        <w:t>各类基金份额</w:t>
      </w:r>
      <w:r w:rsidRPr="003E746D">
        <w:rPr>
          <w:rFonts w:ascii="宋体" w:hAnsi="宋体"/>
          <w:sz w:val="24"/>
        </w:rPr>
        <w:t>的基金份额净值和基金份额累计净值。遇特殊情况，经中国证监会同意，可以适当延迟计算或公告。本基金</w:t>
      </w:r>
      <w:r w:rsidR="00F90784" w:rsidRPr="003E746D">
        <w:rPr>
          <w:rFonts w:ascii="宋体" w:hAnsi="宋体" w:hint="eastAsia"/>
          <w:sz w:val="24"/>
        </w:rPr>
        <w:t>A类基金份额和</w:t>
      </w:r>
      <w:r w:rsidR="00F643EE" w:rsidRPr="003E746D">
        <w:rPr>
          <w:rFonts w:ascii="宋体" w:hAnsi="宋体" w:hint="eastAsia"/>
          <w:sz w:val="24"/>
        </w:rPr>
        <w:t>Y类</w:t>
      </w:r>
      <w:r w:rsidR="00F90784" w:rsidRPr="003E746D">
        <w:rPr>
          <w:rFonts w:ascii="宋体" w:hAnsi="宋体" w:hint="eastAsia"/>
          <w:sz w:val="24"/>
        </w:rPr>
        <w:t>基金份额的</w:t>
      </w:r>
      <w:r w:rsidRPr="003E746D">
        <w:rPr>
          <w:rFonts w:ascii="宋体" w:hAnsi="宋体"/>
          <w:sz w:val="24"/>
        </w:rPr>
        <w:t>基金份额净值的计算，保留到小数点后4位，小数点后第5位四舍五入，由此误差产生的收益或损失由基金财产承担。</w:t>
      </w:r>
    </w:p>
    <w:p w14:paraId="3FE06249"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（八）拒绝或暂停申购的情形</w:t>
      </w:r>
    </w:p>
    <w:p w14:paraId="1E27595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发生下列情况时，基金管理人可拒绝或暂停接受投资人的申购申请：</w:t>
      </w:r>
    </w:p>
    <w:p w14:paraId="669B621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1、因不可抗力导致基金无法正常运作。</w:t>
      </w:r>
    </w:p>
    <w:p w14:paraId="720F772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2、发生基金合同规定的暂停基金资产估值情况时，基金管理人可暂停接受投资人的申购申请。</w:t>
      </w:r>
    </w:p>
    <w:p w14:paraId="565C039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3、证券交易所交易时间非正常停市，导致基金管理人无法计算当日基金资产净值或者无法办理申购业务。</w:t>
      </w:r>
    </w:p>
    <w:p w14:paraId="230296A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4、由于本基金持有的相当比例的基金暂停估值，导致基金管理人无法计算当日本基金资产净值。</w:t>
      </w:r>
    </w:p>
    <w:p w14:paraId="3559E2C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14:paraId="545EA86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6、接受某笔或某些申购申请可能会影响或损害现有基金份额持有人利益时。</w:t>
      </w:r>
    </w:p>
    <w:p w14:paraId="4E6FD1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7、基金资产规模过大，使基金管理人无法找到合适的投资品种，或其他可能对基金业绩产生负面影响，或发生其他损害现有基金份额持有人利益的情形。</w:t>
      </w:r>
    </w:p>
    <w:p w14:paraId="32C3655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8、基金管理人、基金托管人、基金销售机构、基金销售支付结算机构或登记机构的异常情况导致基金销售系统、基金销售支付结算系统、基金注册登记系统或基金会计系统无法正常运行。</w:t>
      </w:r>
    </w:p>
    <w:p w14:paraId="0D14CE9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9、基金管理人接受某笔或者某些申购申请有可能导致单一投资者持有基金份额的比例超过50%，或者变相规避50%集中度的情形时，基金管理人有权将上述申购申请全部或部分确认失败。</w:t>
      </w:r>
    </w:p>
    <w:p w14:paraId="72476CD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10、当前一估值日基金资产净值50%以上的资产出现无可参考的活跃市场价格且采用估值技术仍导致公允价值存在重大不确定性时，经与基金托管人协商确认后，基金管理人应当暂停接受基金申购申请。</w:t>
      </w:r>
    </w:p>
    <w:p w14:paraId="3926A3E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11、基金合同约定、法律法规规定或中国证监会认定的其他情形。</w:t>
      </w:r>
    </w:p>
    <w:p w14:paraId="1A6BD42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发生上述除第6、9项以外的暂停申购情形之一且基金管理人决定暂停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35B79FB6"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（九）暂停赎回或延缓支付赎回款项的情形</w:t>
      </w:r>
    </w:p>
    <w:p w14:paraId="6076C90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发生下列情形时，基金管理人可暂停接受投资人的赎回申请或延缓支付赎回款项：</w:t>
      </w:r>
    </w:p>
    <w:p w14:paraId="480B0F6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1、因不可抗力导致基金管理人不能支付赎回款项。</w:t>
      </w:r>
    </w:p>
    <w:p w14:paraId="6B5B821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2、发生基金合同规定的暂停基金资产估值情况时，基金管理人可暂停接受投资人的赎回申请或延缓支付赎回款项。</w:t>
      </w:r>
    </w:p>
    <w:p w14:paraId="3099AC3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3、证券交易所交易时间非正常停市，导致基金管理人无法计算当日基金资产净值。</w:t>
      </w:r>
    </w:p>
    <w:p w14:paraId="1271163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4、由于本基金持有的相当比例的基金暂停估值，导致基金管理人无法计算当日本基金资产净值。</w:t>
      </w:r>
    </w:p>
    <w:p w14:paraId="176D4FF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5、由于本基金持有的相当比例的基金份额拒绝或暂停赎回、暂停上市或二级市场交易停牌、延期办理赎回、延期支付赎回款项，或其他可能对本基金业绩产生负面影响的情形。</w:t>
      </w:r>
    </w:p>
    <w:p w14:paraId="57A0608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6、连续两个或两个以上开放日发生巨额赎回。</w:t>
      </w:r>
    </w:p>
    <w:p w14:paraId="3EA34F8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7、发生继续接受赎回申请将损害现有基金份额持有人利益的情形时，可暂停接受投资人的赎回申请。</w:t>
      </w:r>
    </w:p>
    <w:p w14:paraId="1A2E513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7DEDC79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9、基金合同约定、法律法规规定或中国证监会认定的其他情形。</w:t>
      </w:r>
    </w:p>
    <w:p w14:paraId="2610248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w:t>
      </w:r>
      <w:r w:rsidR="00406B93" w:rsidRPr="003E746D">
        <w:rPr>
          <w:rFonts w:ascii="宋体" w:hAnsi="宋体" w:hint="eastAsia"/>
          <w:bCs/>
          <w:sz w:val="24"/>
        </w:rPr>
        <w:t>该类</w:t>
      </w:r>
      <w:r w:rsidRPr="003E746D">
        <w:rPr>
          <w:rFonts w:ascii="宋体" w:hAnsi="宋体"/>
          <w:sz w:val="24"/>
        </w:rPr>
        <w:t>基金份额净值为依据计算赎回金额。若出现上述第6项所述情形，按基金合同的相关条款处理。基金份额持有人在申请赎回时可事先选择将当日可能未获受理部分予以撤销。在暂停赎回的情况消除时，基金管理人应及时恢复赎回业务的办理并公告。</w:t>
      </w:r>
    </w:p>
    <w:p w14:paraId="545571E8"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（十）巨额赎回的情形及处理方式</w:t>
      </w:r>
    </w:p>
    <w:p w14:paraId="6CFFB39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1、巨额赎回的认定</w:t>
      </w:r>
    </w:p>
    <w:p w14:paraId="2899675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01D88F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2、巨额赎回的处理方式</w:t>
      </w:r>
    </w:p>
    <w:p w14:paraId="281B11F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当基金出现巨额赎回时，基金管理人可以根据基金当时的资产组合状况决定全额赎回或部分延期赎回。</w:t>
      </w:r>
    </w:p>
    <w:p w14:paraId="318DF69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（1）全额赎回：当基金管理人认为有能力支付投资人的全部赎回申请时，按正常赎回程序执行。</w:t>
      </w:r>
    </w:p>
    <w:p w14:paraId="2E39FD5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90784" w:rsidRPr="003E746D">
        <w:rPr>
          <w:rFonts w:ascii="宋体" w:hAnsi="宋体" w:hint="eastAsia"/>
          <w:sz w:val="24"/>
        </w:rPr>
        <w:t>该类</w:t>
      </w:r>
      <w:r w:rsidRPr="003E746D">
        <w:rPr>
          <w:rFonts w:ascii="宋体" w:hAnsi="宋体"/>
          <w:sz w:val="24"/>
        </w:rPr>
        <w:t>基金份额净值为基础计算赎回金额，以此类推，直到全部赎回为止。如投资人在提交赎回申请时未作明确选择，投资人未能赎回部分作自动延期赎回处理。</w:t>
      </w:r>
    </w:p>
    <w:p w14:paraId="01B8971A" w14:textId="1A00A65D"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21895F2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2E14BA3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3、巨额赎回的公告</w:t>
      </w:r>
    </w:p>
    <w:p w14:paraId="6C3950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当发生上述巨额赎回并延期办理时，基金管理人应当通过邮寄、传真、刊登公告或者通知销售机构代为告知等方式在3个交易日内通知基金份额持有人，说明有关处理方法，并在2日内在指定媒介上刊登公告。</w:t>
      </w:r>
    </w:p>
    <w:p w14:paraId="6DD08F56"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（十一）暂停申购或赎回的公告和重新开放申购或赎回的公告</w:t>
      </w:r>
    </w:p>
    <w:p w14:paraId="7517D9B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1、发生上述暂停申购或赎回情况的，基金管理人应在规定期限内在指定媒介上刊登暂停公告。</w:t>
      </w:r>
    </w:p>
    <w:p w14:paraId="2F091F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F90784" w:rsidRPr="003E746D">
        <w:rPr>
          <w:rFonts w:ascii="宋体" w:hAnsi="宋体" w:hint="eastAsia"/>
          <w:sz w:val="24"/>
        </w:rPr>
        <w:t>各类基金份额</w:t>
      </w:r>
      <w:r w:rsidRPr="003E746D">
        <w:rPr>
          <w:rFonts w:ascii="宋体" w:hAnsi="宋体"/>
          <w:sz w:val="24"/>
        </w:rPr>
        <w:t>的基金份额净值。</w:t>
      </w:r>
    </w:p>
    <w:p w14:paraId="0C092985"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lastRenderedPageBreak/>
        <w:t>（十二）基金转换</w:t>
      </w:r>
    </w:p>
    <w:p w14:paraId="568A8E8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C89FE1A"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（十三）基金的非交易过户</w:t>
      </w:r>
    </w:p>
    <w:p w14:paraId="74E5DBF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135BA73" w14:textId="55FD39B7" w:rsidR="004D2F6C" w:rsidRPr="003E746D" w:rsidRDefault="00435F2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E9C086E" w14:textId="7C6A4E03" w:rsidR="00BA7076" w:rsidRPr="003E746D" w:rsidRDefault="00BA7076" w:rsidP="00BA7076">
      <w:pPr>
        <w:spacing w:line="360" w:lineRule="auto"/>
        <w:ind w:firstLineChars="200" w:firstLine="480"/>
        <w:rPr>
          <w:bCs/>
          <w:sz w:val="24"/>
        </w:rPr>
      </w:pPr>
      <w:r w:rsidRPr="003E746D">
        <w:rPr>
          <w:rFonts w:ascii="宋体" w:hAnsi="宋体" w:hint="eastAsia"/>
          <w:sz w:val="24"/>
        </w:rPr>
        <w:t>法律法规对Y类基金份额的继承等事项另有规定的，按法律法规的规定执行。</w:t>
      </w:r>
    </w:p>
    <w:p w14:paraId="753EAE82"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（十四）基金的转托管</w:t>
      </w:r>
    </w:p>
    <w:p w14:paraId="00B99E2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基金份额持有人可办理已持有基金份额在不同销售机构之间的转托管，基金销售机构可以按照规定的标准收取转托管费。</w:t>
      </w:r>
    </w:p>
    <w:p w14:paraId="6BF5DC04"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（十五）定期定额投资计划</w:t>
      </w:r>
    </w:p>
    <w:p w14:paraId="52068415" w14:textId="4ADD92D4"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本基金2019年5月31日刊登公告自2019年6月3日起开通本基金</w:t>
      </w:r>
      <w:r w:rsidR="00F90784" w:rsidRPr="003E746D">
        <w:rPr>
          <w:rFonts w:ascii="宋体" w:hAnsi="宋体" w:hint="eastAsia"/>
          <w:sz w:val="24"/>
        </w:rPr>
        <w:t>A类基金份额</w:t>
      </w:r>
      <w:r w:rsidRPr="003E746D">
        <w:rPr>
          <w:rFonts w:ascii="宋体" w:hAnsi="宋体"/>
          <w:sz w:val="24"/>
        </w:rPr>
        <w:t>的定期定额投资计划业务，具体开通销售机构名单和业务规则参见相关公告。</w:t>
      </w:r>
    </w:p>
    <w:p w14:paraId="5F05FDF5"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（十六）定期定额赎回业务</w:t>
      </w:r>
    </w:p>
    <w:p w14:paraId="03EC822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2020年5月29日刊登公告自2020年6月1日起在中国农业银行股份有限公司下属各代销网点开通定期定额赎</w:t>
      </w:r>
      <w:r w:rsidRPr="003E746D">
        <w:rPr>
          <w:rFonts w:ascii="宋体" w:hAnsi="宋体"/>
          <w:sz w:val="24"/>
        </w:rPr>
        <w:lastRenderedPageBreak/>
        <w:t>回业务。</w:t>
      </w:r>
    </w:p>
    <w:p w14:paraId="234A36C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71249954"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（十七）基金份额的冻结和解冻</w:t>
      </w:r>
    </w:p>
    <w:p w14:paraId="241B235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登记机构只受理国家有权机关依法要求的基金份额的冻结与解冻，以及登记机构认可、符合法律法规的其他情况下的冻结与解冻。</w:t>
      </w:r>
    </w:p>
    <w:p w14:paraId="40271213"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（十八）基金份额的转让</w:t>
      </w:r>
    </w:p>
    <w:p w14:paraId="35ED447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A68295F"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（十九）其他业务</w:t>
      </w:r>
    </w:p>
    <w:p w14:paraId="39081EC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7922033"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0BE9FED3" w14:textId="3FDCA4CD" w:rsidR="004D2F6C" w:rsidRPr="003E746D" w:rsidRDefault="00435F28">
      <w:pPr>
        <w:pStyle w:val="1"/>
        <w:snapToGrid w:val="0"/>
        <w:spacing w:beforeLines="0" w:before="240" w:after="240"/>
        <w:rPr>
          <w:rFonts w:ascii="宋体" w:hAnsi="宋体"/>
          <w:szCs w:val="30"/>
        </w:rPr>
      </w:pPr>
      <w:bookmarkStart w:id="12" w:name="_Toc104410518"/>
      <w:r w:rsidRPr="003E746D">
        <w:rPr>
          <w:rFonts w:ascii="Times New Roman" w:hAnsi="Times New Roman"/>
          <w:sz w:val="30"/>
        </w:rPr>
        <w:lastRenderedPageBreak/>
        <w:t>九、基金的投资</w:t>
      </w:r>
      <w:bookmarkEnd w:id="12"/>
    </w:p>
    <w:p w14:paraId="2AE1A445"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（一）投资目标</w:t>
      </w:r>
    </w:p>
    <w:p w14:paraId="2D67A6B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本基金主要投资于经中国证监会依法核准或注册的公开募集证券投资基金的基金份额，在控制风险并保持基金资产良好的流动性的前提下，力争实现基金资产的长期稳健增值，满足养老资金理财需求。</w:t>
      </w:r>
    </w:p>
    <w:p w14:paraId="7C735E11"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（二）投资范围</w:t>
      </w:r>
    </w:p>
    <w:p w14:paraId="70ECBD1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的投资范围为具有良好流动性的金融工具，包括经中国证监会依法核准或注册的公开募集证券投资基金（含ETF和LOF、香港互认基金、不含QDII）、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w:t>
      </w:r>
    </w:p>
    <w:p w14:paraId="451F129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如法律法规或监管机构以后允许基金投资其他品种，基金管理人在履行适当程序后，可以将其纳入投资范围。</w:t>
      </w:r>
    </w:p>
    <w:p w14:paraId="54181E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的投资组合比例为：本基金投资于公开募集证券投资基金的基金份额的资产不低于本基金资产的80%，其中投资于股票（含存托凭证）、股票型基金（包括股票指数基金）、混合型基金和商品基金（含商品期货基金和黄金ETF）等品种的比例合计占基金资产的0%-30%。本基金持有的现金或者到期日在一年以内的政府债券的比例合计不低于基金资产净值的5%，其中现金不包括结算备付金、存出保证金、应收申购款等。</w:t>
      </w:r>
    </w:p>
    <w:p w14:paraId="3C4C002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本基金投资于权益类资产（包括股票（含存托凭证）、股票型基金、混合型基金）的战略配置目标比例为25%，投资比例为基金资产的15%-30%。其中混合型基金需符合下列两个条件之一：</w:t>
      </w:r>
    </w:p>
    <w:p w14:paraId="4AAE4EF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1、基金合同中明确约定股票投资占基金资产的比例为50%以上；</w:t>
      </w:r>
    </w:p>
    <w:p w14:paraId="1C17B35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2、最近4个季度披露的股票投资占基金资产的比例均在50%以上的混合型基金。</w:t>
      </w:r>
    </w:p>
    <w:p w14:paraId="5448F6F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如果法律法规或中国证监会变更投资品种的投资比例限制，基金管理人在履行</w:t>
      </w:r>
      <w:r w:rsidRPr="003E746D">
        <w:rPr>
          <w:rFonts w:ascii="宋体" w:hAnsi="宋体"/>
          <w:sz w:val="24"/>
        </w:rPr>
        <w:lastRenderedPageBreak/>
        <w:t>适当程序后，可以调整上述投资品种的投资比例。</w:t>
      </w:r>
    </w:p>
    <w:p w14:paraId="0E381996"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（三）投资策略</w:t>
      </w:r>
    </w:p>
    <w:p w14:paraId="193A428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本基金投资策略主要分为以下七个部分：</w:t>
      </w:r>
    </w:p>
    <w:p w14:paraId="6B16B68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1、大类资产配置</w:t>
      </w:r>
    </w:p>
    <w:p w14:paraId="6165BE3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14:paraId="1740694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2、基金投资策略</w:t>
      </w:r>
    </w:p>
    <w:p w14:paraId="1D1496D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39EAED0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（1）运用量化方法分析所有适选基金在不同市场下的历史业绩表现，包括收益指标、风险指标和风险调整后收益指标等，具体如下：</w:t>
      </w:r>
    </w:p>
    <w:p w14:paraId="0494E1B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■收益指标：包括绝对收益、相对收益等指标；</w:t>
      </w:r>
    </w:p>
    <w:p w14:paraId="5EA4FD9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■风险指标：包括波动率、最大回撤等指标；</w:t>
      </w:r>
    </w:p>
    <w:p w14:paraId="7AA1028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■风险调整后收益指标：包括夏普比率、信息比率等指标。</w:t>
      </w:r>
    </w:p>
    <w:p w14:paraId="0DEA3D1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6E35C18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结合对基金管理人的定性评估，包括基金管理人基本情况、投研团队实力以及投研团队稳定性、基金经理投资优势及业绩稳定性等方面，被投资基金运作合规，风格清晰，中长期收益良好，业绩波动性较低，根据定性评估分析结果，最终确定本基金的投资组合及配置比例。</w:t>
      </w:r>
    </w:p>
    <w:p w14:paraId="1F4DC6F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综上，本基金通过定量和定性相结合的方法，长期持续跟踪本基金的组合业绩，并定期对基金组合进行维护，力争实现基金资产的长期稳健增值。</w:t>
      </w:r>
    </w:p>
    <w:p w14:paraId="05D6955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3、股票投资策略</w:t>
      </w:r>
    </w:p>
    <w:p w14:paraId="142B4F5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14:paraId="5C8FB3A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本基金投资存托凭证的策略依照境内上市交易的股票投资策略执行。</w:t>
      </w:r>
    </w:p>
    <w:p w14:paraId="0FEC72A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4、债券投资策略</w:t>
      </w:r>
    </w:p>
    <w:p w14:paraId="7CF727B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本基金的债券投资采取主动的投资管理方式，获得与风险相匹配的投资收益，以实现在一定程度上规避股票市场的系统性风险和保证基金资产的流动性。</w:t>
      </w:r>
    </w:p>
    <w:p w14:paraId="30BC6AE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75E19D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5、权证投资策略</w:t>
      </w:r>
    </w:p>
    <w:p w14:paraId="0011A1C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F78E96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6、资产支持证券投资策略</w:t>
      </w:r>
    </w:p>
    <w:p w14:paraId="1C9EC32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11B263A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7、风险控制策略</w:t>
      </w:r>
    </w:p>
    <w:p w14:paraId="03A5AA0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本基金定位为稳健型目标风险策略基金，在风险控制策略上，将从大类资产配置、子基金选择、整体流动性风险等方面来控制风险。</w:t>
      </w:r>
    </w:p>
    <w:p w14:paraId="0578966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7E2EA84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14:paraId="5EFBD60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整体流动性风险方面，本基金将通过严格控制封闭运作的基金、定期开放基金等流动受限基金的投资比例，有效控制流动性风险。</w:t>
      </w:r>
    </w:p>
    <w:p w14:paraId="7E4FE4EC"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（四）投资限制</w:t>
      </w:r>
    </w:p>
    <w:p w14:paraId="5A0E2C0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1、组合限制</w:t>
      </w:r>
    </w:p>
    <w:p w14:paraId="6CBB801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基金的投资组合应遵循以下限制：</w:t>
      </w:r>
    </w:p>
    <w:p w14:paraId="702D44F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本基金投资于公开募集证券投资基金的基金份额的资产不低于本基金资产的80%，其中投资于股票（含存托凭证）、股票型基金（包括股票指数基金）、混合型基金和商品基金（含商品期货基金和黄金ETF）等品种的比例合计占基金资产的0%-30%；本基金投资权益类资产（包括股票（含存托凭证）、股票型基金、混合型基金）的战略配置目标比例为25%，投资比例为基金资产的15%-30%；</w:t>
      </w:r>
    </w:p>
    <w:p w14:paraId="13BAF56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（2）本基金持有的现金或者到期日在一年以内的政府债券的比例合计不低于基金资产净值的5%，其中现金不包括结算备付金、存出保证金、应收申购款等；</w:t>
      </w:r>
    </w:p>
    <w:p w14:paraId="0665ED4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（3）本基金持有单只基金的市值，不得高于本基金资产净值的20%，且不得持有其他基金中基金；</w:t>
      </w:r>
    </w:p>
    <w:p w14:paraId="0F4D7E3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（4）本基金管理人管理的全部基金中基金（除ETF联接基金外）持有单只基金不得超过被投资基金净资产的20%，被投资基金净资产规模以最近定期报告披露的规模为准；</w:t>
      </w:r>
    </w:p>
    <w:p w14:paraId="2AF0A6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（5）本基金不得持有具有复杂、衍生品性质的基金份额，包括分级基金和中国证监会认定的其他基金份额；</w:t>
      </w:r>
    </w:p>
    <w:p w14:paraId="6D3AF8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（6）本基金投资其他基金时，被投资基金的运作期限不少于2年、最近两年平均季末基金净资产应当不低于2亿元；被投资基金为指数基金、ETF和商品基金等品</w:t>
      </w:r>
      <w:r w:rsidRPr="003E746D">
        <w:rPr>
          <w:rFonts w:ascii="宋体" w:hAnsi="宋体"/>
          <w:sz w:val="24"/>
        </w:rPr>
        <w:lastRenderedPageBreak/>
        <w:t>种的，运作期限应当不少于1年，最近定期报告披露的季末基金净资产应当不低于1亿元；</w:t>
      </w:r>
    </w:p>
    <w:p w14:paraId="0A4D1F8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（7）本基金投资其他基金时，被投资基金的基金管理人及被投资基金的基金经理最近2年没有重大违法违纪行为；</w:t>
      </w:r>
    </w:p>
    <w:p w14:paraId="4BBEE09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（8）本基金投资于封闭运作基金、定期开放基金等流通受限基金的，其公允价值不得超过本基金资产净值的10%；</w:t>
      </w:r>
    </w:p>
    <w:p w14:paraId="74BB18A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（9）基金管理人运用本基金财产投资于股票、债券等金融工具的，投资品种和比例应当符合本基金的投资目标和投资策略；</w:t>
      </w:r>
    </w:p>
    <w:p w14:paraId="48ADE56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（10）本基金持有一家公司发行的证券（不含本基金所投资的基金份额），其市值不超过基金资产净值的10%；</w:t>
      </w:r>
    </w:p>
    <w:p w14:paraId="5245C04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（11）本基金管理人管理的全部基金持有一家公司发行的证券（不含本基金所投资的基金份额），不超过该证券的10%；</w:t>
      </w:r>
    </w:p>
    <w:p w14:paraId="58EE88A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（12）本基金持有的全部权证，其市值不得超过基金资产净值的3%；</w:t>
      </w:r>
    </w:p>
    <w:p w14:paraId="51FCA01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（13）本基金管理人管理的全部基金持有的同一权证，不得超过该权证的10%；</w:t>
      </w:r>
    </w:p>
    <w:p w14:paraId="6395979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（14）本基金在任何交易日买入权证的总金额，不得超过上一交易日基金资产净值的0.5%；</w:t>
      </w:r>
    </w:p>
    <w:p w14:paraId="7CE69AB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5CAEE5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525995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（17）本基金与私募类证券资管产品及中国证监会认定的其他主体为交易对手开展逆回购交易的，可接受质押品的资质要求应当与基金合同约定的投资范围保持一致；</w:t>
      </w:r>
    </w:p>
    <w:p w14:paraId="4E7807A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（18）本基金投资于同一原始权益人的各类资产支持证券的比例，不得超过基金资产净值的10%；</w:t>
      </w:r>
    </w:p>
    <w:p w14:paraId="6DCB61B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（19）本基金持有的全部资产支持证券，其市值不得超过基金资产净值的20%；</w:t>
      </w:r>
    </w:p>
    <w:p w14:paraId="2E70C2E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（20）本基金持有的同一（指同一信用级别）资产支持证券的比例，不得超过该资产支持证券规模的10%；</w:t>
      </w:r>
    </w:p>
    <w:p w14:paraId="36F324A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（21）本基金管理人管理的全部基金投资于同一原始权益人的各类资产支持证券，不得超过其各类资产支持证券合计规模的10%；</w:t>
      </w:r>
    </w:p>
    <w:p w14:paraId="28D25F6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（22）本基金应投资于信用级别评级为BBB以上（含BBB）的资产支持证券。基金持有资产支持证券期间，如果其信用等级下降、不再符合投资标准，应在评级报告发布之日起3个月内予以全部卖出；</w:t>
      </w:r>
    </w:p>
    <w:p w14:paraId="29A3D85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（23）基金财产参与股票发行申购，本基金所申报的金额不超过本基金的总资产，本基金所申报的股票数量不超过拟发行股票公司本次发行股票的总量；</w:t>
      </w:r>
    </w:p>
    <w:p w14:paraId="0DAFC2E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（24）本基金进入全国银行间同业市场进行债券回购的资金余额不得超过基金资产净值的40%，本基金在全国银行间同业市场中的债券回购最长期限为1年，债券回购到期后不得展期；</w:t>
      </w:r>
    </w:p>
    <w:p w14:paraId="2AD5A37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（25）本基金的基金资产总值不得超过基金资产净值的140%；</w:t>
      </w:r>
    </w:p>
    <w:p w14:paraId="60EDBE6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（26）本基金投资于商品基金（含商品期货基金和黄金ETF）的资产占基金资产的比例不高于10%；</w:t>
      </w:r>
    </w:p>
    <w:p w14:paraId="1BADBCD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（27）本基金投资于货币市场基金的比例不得超过基金资产的5%；</w:t>
      </w:r>
    </w:p>
    <w:p w14:paraId="7332A55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（28）本基金投资存托凭证的比例限制依照境内上市交易的股票执行；</w:t>
      </w:r>
    </w:p>
    <w:p w14:paraId="78FE435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（29）法律法规及中国证监会规定的和《基金合同》约定的其他投资限制。</w:t>
      </w:r>
    </w:p>
    <w:p w14:paraId="4D6A2BC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16）项、第（17）项及第（22）项以外的其他情形，基金管理人应当在10个交易日内进行调整，但中国证监会规定的特殊情形除外。法律法规另有规定的，从其规定。</w:t>
      </w:r>
    </w:p>
    <w:p w14:paraId="7D1D928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728A67A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上述投资组合限制条款中，若属法律法规或监管部门的强制性规定，则当法律法规或监管部门取消或修改上述限制，如适用于本基金，基金管理人在履行适当程序后，本基金投资所受限制相应调整或取消。</w:t>
      </w:r>
    </w:p>
    <w:p w14:paraId="42B8722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2、禁止行为</w:t>
      </w:r>
    </w:p>
    <w:p w14:paraId="38FF0F7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为维护基金份额持有人的合法权益，基金财产不得用于下列投资或者活动：</w:t>
      </w:r>
    </w:p>
    <w:p w14:paraId="2C0119E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（1）承销证券；</w:t>
      </w:r>
    </w:p>
    <w:p w14:paraId="414B8C4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（2）违反规定向他人贷款或者提供担保；</w:t>
      </w:r>
    </w:p>
    <w:p w14:paraId="0A5280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（3）从事承担无限责任的投资；</w:t>
      </w:r>
    </w:p>
    <w:p w14:paraId="1A28CFD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（4）向其基金管理人、基金托管人出资；</w:t>
      </w:r>
    </w:p>
    <w:p w14:paraId="2ABAAA2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（5）从事内幕交易、操纵证券交易价格及其他不正当的证券交易活动；</w:t>
      </w:r>
    </w:p>
    <w:p w14:paraId="561F3AD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（6）法律、行政法规和中国证监会规定禁止的其他活动。</w:t>
      </w:r>
    </w:p>
    <w:p w14:paraId="07222B2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如法律、行政法规或监管部门取消上述禁止性规定，如适用于本基金，基金管理人在履行适当程序后，本基金可不受上述规定的限制。</w:t>
      </w:r>
    </w:p>
    <w:p w14:paraId="44DEE64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63489C8"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（五）业绩比较基准</w:t>
      </w:r>
    </w:p>
    <w:p w14:paraId="189697A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80%×中债综合全价指数收益率+20%×沪深300指数收益率</w:t>
      </w:r>
    </w:p>
    <w:p w14:paraId="6444748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3138165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w:t>
      </w:r>
      <w:r w:rsidRPr="003E746D">
        <w:rPr>
          <w:rFonts w:ascii="宋体" w:hAnsi="宋体"/>
          <w:sz w:val="24"/>
        </w:rPr>
        <w:lastRenderedPageBreak/>
        <w:t>编制和管理的经验，编制方法清晰透明，具有独立性和良好的市场流动性；与市场整体表现具有较高的相关度，且指数历史表现强于市场平均收益水平，适合作为本基金权益类资产投资的业绩比较基准。</w:t>
      </w:r>
    </w:p>
    <w:p w14:paraId="4FBF097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根据本基金的投资范围和投资策略，选用上述业绩比较基准能够客观、合理地反映本基金的风险收益特征。</w:t>
      </w:r>
    </w:p>
    <w:p w14:paraId="6EDBC51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0025FF65"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（六）风险收益特征</w:t>
      </w:r>
    </w:p>
    <w:p w14:paraId="4CC383F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14:paraId="03AA25AD"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（七）基金管理人代表基金行使股东及债权人权利的处理原则及方法</w:t>
      </w:r>
    </w:p>
    <w:p w14:paraId="31740D4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1、基金管理人按照国家有关规定代表基金独立行使股东及债权人权利，保护基金份额持有人的利益；</w:t>
      </w:r>
    </w:p>
    <w:p w14:paraId="4C2E35C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2、不谋求对上市公司的控股，不参与所投资上市公司的经营管理；</w:t>
      </w:r>
    </w:p>
    <w:p w14:paraId="23D317F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3、有利于基金财产的安全与增值；</w:t>
      </w:r>
    </w:p>
    <w:p w14:paraId="744A7F4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4、不通过关联交易为自身、雇员、授权代理人或任何存在利害关系的第三人牟取任何不当利益。</w:t>
      </w:r>
    </w:p>
    <w:p w14:paraId="69016A88"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（八）基金投资组合报告</w:t>
      </w:r>
    </w:p>
    <w:p w14:paraId="7660D5F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基金管理人的董事会及董事保证本报告所载资料不存在虚假记载、误导性陈述或重大遗漏，并对其内容的真实性、准确性和完整性承担个别及连带责任。</w:t>
      </w:r>
    </w:p>
    <w:p w14:paraId="7BFD80E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基金托管人中国农业银行股份有限公司根据本基金合同规定，于2022年04月20日复核了本报告中的财务指标、净值表现和投资组合报告等内容，保证复核内容不存在虚假记载、误导性陈述或者重大遗漏。</w:t>
      </w:r>
    </w:p>
    <w:p w14:paraId="4746264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本报告期为2022年01月01日至03月31日。本报告财务资料未经审计师审计。</w:t>
      </w:r>
    </w:p>
    <w:p w14:paraId="693688D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D2F6C" w:rsidRPr="003E746D" w14:paraId="0AE2D7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C2BA7C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1D0155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6CFB6A6"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699EC46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占基金总资产的比例（</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w:t>
            </w:r>
          </w:p>
        </w:tc>
      </w:tr>
      <w:tr w:rsidR="004D2F6C" w:rsidRPr="003E746D" w14:paraId="60DBCB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63C9AE"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E3CF6FE"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3DC65DD"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125,249,875.57</w:t>
            </w:r>
          </w:p>
        </w:tc>
        <w:tc>
          <w:tcPr>
            <w:tcW w:w="400" w:type="pct"/>
            <w:tcBorders>
              <w:top w:val="single" w:sz="4" w:space="0" w:color="auto"/>
              <w:left w:val="single" w:sz="4" w:space="0" w:color="auto"/>
              <w:bottom w:val="single" w:sz="4" w:space="0" w:color="auto"/>
              <w:right w:val="single" w:sz="4" w:space="0" w:color="auto"/>
            </w:tcBorders>
            <w:vAlign w:val="center"/>
          </w:tcPr>
          <w:p w14:paraId="393C7EDE"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0.58</w:t>
            </w:r>
          </w:p>
        </w:tc>
      </w:tr>
      <w:tr w:rsidR="004D2F6C" w:rsidRPr="003E746D" w14:paraId="401515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10ACA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9BCD6D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5C8BC5B5"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125,249,875.57</w:t>
            </w:r>
          </w:p>
        </w:tc>
        <w:tc>
          <w:tcPr>
            <w:tcW w:w="400" w:type="pct"/>
            <w:tcBorders>
              <w:top w:val="single" w:sz="4" w:space="0" w:color="auto"/>
              <w:left w:val="single" w:sz="4" w:space="0" w:color="auto"/>
              <w:bottom w:val="single" w:sz="4" w:space="0" w:color="auto"/>
              <w:right w:val="single" w:sz="4" w:space="0" w:color="auto"/>
            </w:tcBorders>
            <w:vAlign w:val="center"/>
          </w:tcPr>
          <w:p w14:paraId="792CA078"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0.58</w:t>
            </w:r>
          </w:p>
        </w:tc>
      </w:tr>
      <w:tr w:rsidR="004D2F6C" w:rsidRPr="003E746D" w14:paraId="43ACEC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D85E72"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EABEB85"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4771852"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20,242,363,484.70</w:t>
            </w:r>
          </w:p>
        </w:tc>
        <w:tc>
          <w:tcPr>
            <w:tcW w:w="400" w:type="pct"/>
            <w:tcBorders>
              <w:top w:val="single" w:sz="4" w:space="0" w:color="auto"/>
              <w:left w:val="single" w:sz="4" w:space="0" w:color="auto"/>
              <w:bottom w:val="single" w:sz="4" w:space="0" w:color="auto"/>
              <w:right w:val="single" w:sz="4" w:space="0" w:color="auto"/>
            </w:tcBorders>
            <w:vAlign w:val="center"/>
          </w:tcPr>
          <w:p w14:paraId="27ECD4D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92.96</w:t>
            </w:r>
          </w:p>
        </w:tc>
      </w:tr>
      <w:tr w:rsidR="004D2F6C" w:rsidRPr="003E746D" w14:paraId="2AABFC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0A373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EF5CB4C"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0684D59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1,149,834,348.89</w:t>
            </w:r>
          </w:p>
        </w:tc>
        <w:tc>
          <w:tcPr>
            <w:tcW w:w="400" w:type="pct"/>
            <w:tcBorders>
              <w:top w:val="single" w:sz="4" w:space="0" w:color="auto"/>
              <w:left w:val="single" w:sz="4" w:space="0" w:color="auto"/>
              <w:bottom w:val="single" w:sz="4" w:space="0" w:color="auto"/>
              <w:right w:val="single" w:sz="4" w:space="0" w:color="auto"/>
            </w:tcBorders>
            <w:vAlign w:val="center"/>
          </w:tcPr>
          <w:p w14:paraId="3101BC92"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5.28</w:t>
            </w:r>
          </w:p>
        </w:tc>
      </w:tr>
      <w:tr w:rsidR="004D2F6C" w:rsidRPr="003E746D" w14:paraId="6478CC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12689D"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4440D14"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11B67B08"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1,149,834,348.89</w:t>
            </w:r>
          </w:p>
        </w:tc>
        <w:tc>
          <w:tcPr>
            <w:tcW w:w="400" w:type="pct"/>
            <w:tcBorders>
              <w:top w:val="single" w:sz="4" w:space="0" w:color="auto"/>
              <w:left w:val="single" w:sz="4" w:space="0" w:color="auto"/>
              <w:bottom w:val="single" w:sz="4" w:space="0" w:color="auto"/>
              <w:right w:val="single" w:sz="4" w:space="0" w:color="auto"/>
            </w:tcBorders>
            <w:vAlign w:val="center"/>
          </w:tcPr>
          <w:p w14:paraId="209A8F51"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5.28</w:t>
            </w:r>
          </w:p>
        </w:tc>
      </w:tr>
      <w:tr w:rsidR="004D2F6C" w:rsidRPr="003E746D" w14:paraId="36A472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53AFAE"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A875616"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64FE8CD1"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46D0D5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0D9E75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C1F5A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4FAB16E"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5075C305"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0C76C9C"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0BBD00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15B2B0"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274C3EF"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148D71EE"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158839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1EF9D66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C1C956"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155E4FF"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73EF51C"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54E1149"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1778F0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A28EF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454B03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FF91741"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1FDFA52"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6464C5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A4FC79"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5767D2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5DAC4125"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235,870,664.61</w:t>
            </w:r>
          </w:p>
        </w:tc>
        <w:tc>
          <w:tcPr>
            <w:tcW w:w="400" w:type="pct"/>
            <w:tcBorders>
              <w:top w:val="single" w:sz="4" w:space="0" w:color="auto"/>
              <w:left w:val="single" w:sz="4" w:space="0" w:color="auto"/>
              <w:bottom w:val="single" w:sz="4" w:space="0" w:color="auto"/>
              <w:right w:val="single" w:sz="4" w:space="0" w:color="auto"/>
            </w:tcBorders>
            <w:vAlign w:val="center"/>
          </w:tcPr>
          <w:p w14:paraId="344C0B93"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1.08</w:t>
            </w:r>
          </w:p>
        </w:tc>
      </w:tr>
      <w:tr w:rsidR="004D2F6C" w:rsidRPr="003E746D" w14:paraId="368ED4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04C9D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7C0602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4A35753C"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20,870,035.07</w:t>
            </w:r>
          </w:p>
        </w:tc>
        <w:tc>
          <w:tcPr>
            <w:tcW w:w="400" w:type="pct"/>
            <w:tcBorders>
              <w:top w:val="single" w:sz="4" w:space="0" w:color="auto"/>
              <w:left w:val="single" w:sz="4" w:space="0" w:color="auto"/>
              <w:bottom w:val="single" w:sz="4" w:space="0" w:color="auto"/>
              <w:right w:val="single" w:sz="4" w:space="0" w:color="auto"/>
            </w:tcBorders>
            <w:vAlign w:val="center"/>
          </w:tcPr>
          <w:p w14:paraId="7FDF5A0E"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0.10</w:t>
            </w:r>
          </w:p>
        </w:tc>
      </w:tr>
      <w:tr w:rsidR="004D2F6C" w:rsidRPr="003E746D" w14:paraId="3A813A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7857D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3CF2282"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C6BA6AC"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21,774,188,408.84</w:t>
            </w:r>
          </w:p>
        </w:tc>
        <w:tc>
          <w:tcPr>
            <w:tcW w:w="400" w:type="pct"/>
            <w:tcBorders>
              <w:top w:val="single" w:sz="4" w:space="0" w:color="auto"/>
              <w:left w:val="single" w:sz="4" w:space="0" w:color="auto"/>
              <w:bottom w:val="single" w:sz="4" w:space="0" w:color="auto"/>
              <w:right w:val="single" w:sz="4" w:space="0" w:color="auto"/>
            </w:tcBorders>
            <w:vAlign w:val="center"/>
          </w:tcPr>
          <w:p w14:paraId="48E5FF55"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100.00</w:t>
            </w:r>
          </w:p>
        </w:tc>
      </w:tr>
    </w:tbl>
    <w:p w14:paraId="0AB297F8" w14:textId="77777777" w:rsidR="004D2F6C" w:rsidRPr="003E746D" w:rsidRDefault="004D2F6C">
      <w:pPr>
        <w:autoSpaceDE w:val="0"/>
        <w:autoSpaceDN w:val="0"/>
        <w:adjustRightInd w:val="0"/>
        <w:snapToGrid w:val="0"/>
        <w:spacing w:line="360" w:lineRule="auto"/>
        <w:ind w:firstLineChars="200" w:firstLine="420"/>
        <w:jc w:val="left"/>
        <w:rPr>
          <w:rFonts w:ascii="宋体" w:hAnsi="宋体"/>
          <w:szCs w:val="24"/>
        </w:rPr>
      </w:pPr>
    </w:p>
    <w:p w14:paraId="007CAD0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2、报告期末按行业分类的股票投资组合</w:t>
      </w:r>
    </w:p>
    <w:p w14:paraId="4A06DEA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D2F6C" w:rsidRPr="003E746D" w14:paraId="37F205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4978E5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53CB2B1"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49FF94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82B15D9"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占基金资产净值比例（</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w:t>
            </w:r>
          </w:p>
        </w:tc>
      </w:tr>
      <w:tr w:rsidR="004D2F6C" w:rsidRPr="003E746D" w14:paraId="3B6E02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D310AE"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6E33C810"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538EFA62"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2,816,132.40</w:t>
            </w:r>
          </w:p>
        </w:tc>
        <w:tc>
          <w:tcPr>
            <w:tcW w:w="400" w:type="pct"/>
            <w:tcBorders>
              <w:top w:val="single" w:sz="4" w:space="0" w:color="auto"/>
              <w:left w:val="single" w:sz="4" w:space="0" w:color="auto"/>
              <w:bottom w:val="single" w:sz="4" w:space="0" w:color="auto"/>
              <w:right w:val="single" w:sz="4" w:space="0" w:color="auto"/>
            </w:tcBorders>
            <w:vAlign w:val="center"/>
          </w:tcPr>
          <w:p w14:paraId="2F286316"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0.01</w:t>
            </w:r>
          </w:p>
        </w:tc>
      </w:tr>
      <w:tr w:rsidR="004D2F6C" w:rsidRPr="003E746D" w14:paraId="290956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63F67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43F2417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3FC73C9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96C4113"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643C44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3672D4"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51E02DDE"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204C8B59"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102,433,267.96</w:t>
            </w:r>
          </w:p>
        </w:tc>
        <w:tc>
          <w:tcPr>
            <w:tcW w:w="400" w:type="pct"/>
            <w:tcBorders>
              <w:top w:val="single" w:sz="4" w:space="0" w:color="auto"/>
              <w:left w:val="single" w:sz="4" w:space="0" w:color="auto"/>
              <w:bottom w:val="single" w:sz="4" w:space="0" w:color="auto"/>
              <w:right w:val="single" w:sz="4" w:space="0" w:color="auto"/>
            </w:tcBorders>
            <w:vAlign w:val="center"/>
          </w:tcPr>
          <w:p w14:paraId="338A85D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0.47</w:t>
            </w:r>
          </w:p>
        </w:tc>
      </w:tr>
      <w:tr w:rsidR="004D2F6C" w:rsidRPr="003E746D" w14:paraId="0FCF8E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0B3EC6"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05741789"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51B7A1EF"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CCC2C63"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296A51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924277"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0E0C8EB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12CB16BD"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433FC7F"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44BB23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C87281"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1ADDB39B"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463FF4C9"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1,822,554.28</w:t>
            </w:r>
          </w:p>
        </w:tc>
        <w:tc>
          <w:tcPr>
            <w:tcW w:w="400" w:type="pct"/>
            <w:tcBorders>
              <w:top w:val="single" w:sz="4" w:space="0" w:color="auto"/>
              <w:left w:val="single" w:sz="4" w:space="0" w:color="auto"/>
              <w:bottom w:val="single" w:sz="4" w:space="0" w:color="auto"/>
              <w:right w:val="single" w:sz="4" w:space="0" w:color="auto"/>
            </w:tcBorders>
            <w:vAlign w:val="center"/>
          </w:tcPr>
          <w:p w14:paraId="1E9E94B2"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0.01</w:t>
            </w:r>
          </w:p>
        </w:tc>
      </w:tr>
      <w:tr w:rsidR="004D2F6C" w:rsidRPr="003E746D" w14:paraId="6F3948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550B86"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0BA805C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47F32F16"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479,021.00</w:t>
            </w:r>
          </w:p>
        </w:tc>
        <w:tc>
          <w:tcPr>
            <w:tcW w:w="400" w:type="pct"/>
            <w:tcBorders>
              <w:top w:val="single" w:sz="4" w:space="0" w:color="auto"/>
              <w:left w:val="single" w:sz="4" w:space="0" w:color="auto"/>
              <w:bottom w:val="single" w:sz="4" w:space="0" w:color="auto"/>
              <w:right w:val="single" w:sz="4" w:space="0" w:color="auto"/>
            </w:tcBorders>
            <w:vAlign w:val="center"/>
          </w:tcPr>
          <w:p w14:paraId="57623FE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0.00</w:t>
            </w:r>
          </w:p>
        </w:tc>
      </w:tr>
      <w:tr w:rsidR="004D2F6C" w:rsidRPr="003E746D" w14:paraId="7A2B83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AE4ED7"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511332E5"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68945C25"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E9FF94B"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4CBC84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6AE804"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0A53DE5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4E864178"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8,381,260.38</w:t>
            </w:r>
          </w:p>
        </w:tc>
        <w:tc>
          <w:tcPr>
            <w:tcW w:w="400" w:type="pct"/>
            <w:tcBorders>
              <w:top w:val="single" w:sz="4" w:space="0" w:color="auto"/>
              <w:left w:val="single" w:sz="4" w:space="0" w:color="auto"/>
              <w:bottom w:val="single" w:sz="4" w:space="0" w:color="auto"/>
              <w:right w:val="single" w:sz="4" w:space="0" w:color="auto"/>
            </w:tcBorders>
            <w:vAlign w:val="center"/>
          </w:tcPr>
          <w:p w14:paraId="0F8A6E7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0.04</w:t>
            </w:r>
          </w:p>
        </w:tc>
      </w:tr>
      <w:tr w:rsidR="004D2F6C" w:rsidRPr="003E746D" w14:paraId="07F806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416CD1"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23F89506"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1279CDD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5DA6F98"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3A33418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2954C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39A6A85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49940A96"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F66EA31"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680D8D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64B45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4166B26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1BD75351"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EA416DB"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7D69E1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FB2FD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4166FCA2"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26F6AF3D"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5,444,704.00</w:t>
            </w:r>
          </w:p>
        </w:tc>
        <w:tc>
          <w:tcPr>
            <w:tcW w:w="400" w:type="pct"/>
            <w:tcBorders>
              <w:top w:val="single" w:sz="4" w:space="0" w:color="auto"/>
              <w:left w:val="single" w:sz="4" w:space="0" w:color="auto"/>
              <w:bottom w:val="single" w:sz="4" w:space="0" w:color="auto"/>
              <w:right w:val="single" w:sz="4" w:space="0" w:color="auto"/>
            </w:tcBorders>
            <w:vAlign w:val="center"/>
          </w:tcPr>
          <w:p w14:paraId="60AD8F93"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0.03</w:t>
            </w:r>
          </w:p>
        </w:tc>
      </w:tr>
      <w:tr w:rsidR="004D2F6C" w:rsidRPr="003E746D" w14:paraId="5BA48E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EE89F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lastRenderedPageBreak/>
              <w:t>N</w:t>
            </w:r>
          </w:p>
        </w:tc>
        <w:tc>
          <w:tcPr>
            <w:tcW w:w="750" w:type="pct"/>
            <w:tcBorders>
              <w:top w:val="single" w:sz="4" w:space="0" w:color="auto"/>
              <w:left w:val="single" w:sz="4" w:space="0" w:color="auto"/>
              <w:bottom w:val="single" w:sz="4" w:space="0" w:color="auto"/>
              <w:right w:val="single" w:sz="4" w:space="0" w:color="auto"/>
            </w:tcBorders>
            <w:vAlign w:val="center"/>
          </w:tcPr>
          <w:p w14:paraId="172F1CE6"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0574736F"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224,082.00</w:t>
            </w:r>
          </w:p>
        </w:tc>
        <w:tc>
          <w:tcPr>
            <w:tcW w:w="400" w:type="pct"/>
            <w:tcBorders>
              <w:top w:val="single" w:sz="4" w:space="0" w:color="auto"/>
              <w:left w:val="single" w:sz="4" w:space="0" w:color="auto"/>
              <w:bottom w:val="single" w:sz="4" w:space="0" w:color="auto"/>
              <w:right w:val="single" w:sz="4" w:space="0" w:color="auto"/>
            </w:tcBorders>
            <w:vAlign w:val="center"/>
          </w:tcPr>
          <w:p w14:paraId="5F7D0E9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0.00</w:t>
            </w:r>
          </w:p>
        </w:tc>
      </w:tr>
      <w:tr w:rsidR="004D2F6C" w:rsidRPr="003E746D" w14:paraId="1F8BCA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03EB9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58726D14"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38CF74F4"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9C68292"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0BFE89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F475D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4D594BC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75BC5A71"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5E6A2C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6B27DD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F84B9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5678D7D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74FC3F58"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3,648,853.55</w:t>
            </w:r>
          </w:p>
        </w:tc>
        <w:tc>
          <w:tcPr>
            <w:tcW w:w="400" w:type="pct"/>
            <w:tcBorders>
              <w:top w:val="single" w:sz="4" w:space="0" w:color="auto"/>
              <w:left w:val="single" w:sz="4" w:space="0" w:color="auto"/>
              <w:bottom w:val="single" w:sz="4" w:space="0" w:color="auto"/>
              <w:right w:val="single" w:sz="4" w:space="0" w:color="auto"/>
            </w:tcBorders>
            <w:vAlign w:val="center"/>
          </w:tcPr>
          <w:p w14:paraId="0C170BAF"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0.02</w:t>
            </w:r>
          </w:p>
        </w:tc>
      </w:tr>
      <w:tr w:rsidR="004D2F6C" w:rsidRPr="003E746D" w14:paraId="48ADE5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6F9939"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1B56113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4FDF98BD"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FF36D1E"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3D122A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4286CD"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5D3A396B"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1DB99AA2"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46E0DBE"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5CEDD4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F59A0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52433AC"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8DF420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125,249,875.57</w:t>
            </w:r>
          </w:p>
        </w:tc>
        <w:tc>
          <w:tcPr>
            <w:tcW w:w="400" w:type="pct"/>
            <w:tcBorders>
              <w:top w:val="single" w:sz="4" w:space="0" w:color="auto"/>
              <w:left w:val="single" w:sz="4" w:space="0" w:color="auto"/>
              <w:bottom w:val="single" w:sz="4" w:space="0" w:color="auto"/>
              <w:right w:val="single" w:sz="4" w:space="0" w:color="auto"/>
            </w:tcBorders>
            <w:vAlign w:val="center"/>
          </w:tcPr>
          <w:p w14:paraId="77F3BEDB"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0.58</w:t>
            </w:r>
          </w:p>
        </w:tc>
      </w:tr>
    </w:tbl>
    <w:p w14:paraId="2B10CA7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2.2 报告期末按行业分类的港股通投资股票投资组合</w:t>
      </w:r>
    </w:p>
    <w:p w14:paraId="3E335DC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无。</w:t>
      </w:r>
    </w:p>
    <w:p w14:paraId="53A106B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3、期末按公允价值占基金资产净值比例大小排序的股票投资明细</w:t>
      </w:r>
    </w:p>
    <w:p w14:paraId="638A69A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D2F6C" w:rsidRPr="003E746D" w14:paraId="5158FC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003EBB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1774A6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86D8F8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E29216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AF2B4E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C129E8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占基金资产净值比例（</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w:t>
            </w:r>
          </w:p>
        </w:tc>
      </w:tr>
      <w:tr w:rsidR="004D2F6C" w:rsidRPr="003E746D" w14:paraId="634B48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E7618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09520B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14:paraId="4415719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14:paraId="05B4590C"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15,360</w:t>
            </w:r>
          </w:p>
        </w:tc>
        <w:tc>
          <w:tcPr>
            <w:tcW w:w="750" w:type="pct"/>
            <w:tcBorders>
              <w:top w:val="single" w:sz="4" w:space="0" w:color="auto"/>
              <w:left w:val="single" w:sz="4" w:space="0" w:color="auto"/>
              <w:bottom w:val="single" w:sz="4" w:space="0" w:color="auto"/>
              <w:right w:val="single" w:sz="4" w:space="0" w:color="auto"/>
            </w:tcBorders>
            <w:vAlign w:val="center"/>
          </w:tcPr>
          <w:p w14:paraId="72C8DFFF"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7,868,928.00</w:t>
            </w:r>
          </w:p>
        </w:tc>
        <w:tc>
          <w:tcPr>
            <w:tcW w:w="750" w:type="pct"/>
            <w:tcBorders>
              <w:top w:val="single" w:sz="4" w:space="0" w:color="auto"/>
              <w:left w:val="single" w:sz="4" w:space="0" w:color="auto"/>
              <w:bottom w:val="single" w:sz="4" w:space="0" w:color="auto"/>
              <w:right w:val="single" w:sz="4" w:space="0" w:color="auto"/>
            </w:tcBorders>
            <w:vAlign w:val="center"/>
          </w:tcPr>
          <w:p w14:paraId="1F463426"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0.04</w:t>
            </w:r>
          </w:p>
        </w:tc>
      </w:tr>
      <w:tr w:rsidR="004D2F6C" w:rsidRPr="003E746D" w14:paraId="0E3D00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3021DD"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38FEF49"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600519</w:t>
            </w:r>
          </w:p>
        </w:tc>
        <w:tc>
          <w:tcPr>
            <w:tcW w:w="750" w:type="pct"/>
            <w:tcBorders>
              <w:top w:val="single" w:sz="4" w:space="0" w:color="auto"/>
              <w:left w:val="single" w:sz="4" w:space="0" w:color="auto"/>
              <w:bottom w:val="single" w:sz="4" w:space="0" w:color="auto"/>
              <w:right w:val="single" w:sz="4" w:space="0" w:color="auto"/>
            </w:tcBorders>
            <w:vAlign w:val="center"/>
          </w:tcPr>
          <w:p w14:paraId="43DB6862"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贵州茅台</w:t>
            </w:r>
          </w:p>
        </w:tc>
        <w:tc>
          <w:tcPr>
            <w:tcW w:w="750" w:type="pct"/>
            <w:tcBorders>
              <w:top w:val="single" w:sz="4" w:space="0" w:color="auto"/>
              <w:left w:val="single" w:sz="4" w:space="0" w:color="auto"/>
              <w:bottom w:val="single" w:sz="4" w:space="0" w:color="auto"/>
              <w:right w:val="single" w:sz="4" w:space="0" w:color="auto"/>
            </w:tcBorders>
            <w:vAlign w:val="center"/>
          </w:tcPr>
          <w:p w14:paraId="53405F8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3,700</w:t>
            </w:r>
          </w:p>
        </w:tc>
        <w:tc>
          <w:tcPr>
            <w:tcW w:w="750" w:type="pct"/>
            <w:tcBorders>
              <w:top w:val="single" w:sz="4" w:space="0" w:color="auto"/>
              <w:left w:val="single" w:sz="4" w:space="0" w:color="auto"/>
              <w:bottom w:val="single" w:sz="4" w:space="0" w:color="auto"/>
              <w:right w:val="single" w:sz="4" w:space="0" w:color="auto"/>
            </w:tcBorders>
            <w:vAlign w:val="center"/>
          </w:tcPr>
          <w:p w14:paraId="679D9568"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6,360,300.00</w:t>
            </w:r>
          </w:p>
        </w:tc>
        <w:tc>
          <w:tcPr>
            <w:tcW w:w="750" w:type="pct"/>
            <w:tcBorders>
              <w:top w:val="single" w:sz="4" w:space="0" w:color="auto"/>
              <w:left w:val="single" w:sz="4" w:space="0" w:color="auto"/>
              <w:bottom w:val="single" w:sz="4" w:space="0" w:color="auto"/>
              <w:right w:val="single" w:sz="4" w:space="0" w:color="auto"/>
            </w:tcBorders>
            <w:vAlign w:val="center"/>
          </w:tcPr>
          <w:p w14:paraId="2379AF0B"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0.03</w:t>
            </w:r>
          </w:p>
        </w:tc>
      </w:tr>
      <w:tr w:rsidR="004D2F6C" w:rsidRPr="003E746D" w14:paraId="7B2332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596C52"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29D7907"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600438</w:t>
            </w:r>
          </w:p>
        </w:tc>
        <w:tc>
          <w:tcPr>
            <w:tcW w:w="750" w:type="pct"/>
            <w:tcBorders>
              <w:top w:val="single" w:sz="4" w:space="0" w:color="auto"/>
              <w:left w:val="single" w:sz="4" w:space="0" w:color="auto"/>
              <w:bottom w:val="single" w:sz="4" w:space="0" w:color="auto"/>
              <w:right w:val="single" w:sz="4" w:space="0" w:color="auto"/>
            </w:tcBorders>
            <w:vAlign w:val="center"/>
          </w:tcPr>
          <w:p w14:paraId="4E38E951"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通威股份</w:t>
            </w:r>
          </w:p>
        </w:tc>
        <w:tc>
          <w:tcPr>
            <w:tcW w:w="750" w:type="pct"/>
            <w:tcBorders>
              <w:top w:val="single" w:sz="4" w:space="0" w:color="auto"/>
              <w:left w:val="single" w:sz="4" w:space="0" w:color="auto"/>
              <w:bottom w:val="single" w:sz="4" w:space="0" w:color="auto"/>
              <w:right w:val="single" w:sz="4" w:space="0" w:color="auto"/>
            </w:tcBorders>
            <w:vAlign w:val="center"/>
          </w:tcPr>
          <w:p w14:paraId="785BB83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118,600</w:t>
            </w:r>
          </w:p>
        </w:tc>
        <w:tc>
          <w:tcPr>
            <w:tcW w:w="750" w:type="pct"/>
            <w:tcBorders>
              <w:top w:val="single" w:sz="4" w:space="0" w:color="auto"/>
              <w:left w:val="single" w:sz="4" w:space="0" w:color="auto"/>
              <w:bottom w:val="single" w:sz="4" w:space="0" w:color="auto"/>
              <w:right w:val="single" w:sz="4" w:space="0" w:color="auto"/>
            </w:tcBorders>
            <w:vAlign w:val="center"/>
          </w:tcPr>
          <w:p w14:paraId="71B7167B"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5,063,034.00</w:t>
            </w:r>
          </w:p>
        </w:tc>
        <w:tc>
          <w:tcPr>
            <w:tcW w:w="750" w:type="pct"/>
            <w:tcBorders>
              <w:top w:val="single" w:sz="4" w:space="0" w:color="auto"/>
              <w:left w:val="single" w:sz="4" w:space="0" w:color="auto"/>
              <w:bottom w:val="single" w:sz="4" w:space="0" w:color="auto"/>
              <w:right w:val="single" w:sz="4" w:space="0" w:color="auto"/>
            </w:tcBorders>
            <w:vAlign w:val="center"/>
          </w:tcPr>
          <w:p w14:paraId="17E65A4E"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0.02</w:t>
            </w:r>
          </w:p>
        </w:tc>
      </w:tr>
      <w:tr w:rsidR="004D2F6C" w:rsidRPr="003E746D" w14:paraId="0235FC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4CED1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2306BC9"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002415</w:t>
            </w:r>
          </w:p>
        </w:tc>
        <w:tc>
          <w:tcPr>
            <w:tcW w:w="750" w:type="pct"/>
            <w:tcBorders>
              <w:top w:val="single" w:sz="4" w:space="0" w:color="auto"/>
              <w:left w:val="single" w:sz="4" w:space="0" w:color="auto"/>
              <w:bottom w:val="single" w:sz="4" w:space="0" w:color="auto"/>
              <w:right w:val="single" w:sz="4" w:space="0" w:color="auto"/>
            </w:tcBorders>
            <w:vAlign w:val="center"/>
          </w:tcPr>
          <w:p w14:paraId="46A3F57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海康威视</w:t>
            </w:r>
          </w:p>
        </w:tc>
        <w:tc>
          <w:tcPr>
            <w:tcW w:w="750" w:type="pct"/>
            <w:tcBorders>
              <w:top w:val="single" w:sz="4" w:space="0" w:color="auto"/>
              <w:left w:val="single" w:sz="4" w:space="0" w:color="auto"/>
              <w:bottom w:val="single" w:sz="4" w:space="0" w:color="auto"/>
              <w:right w:val="single" w:sz="4" w:space="0" w:color="auto"/>
            </w:tcBorders>
            <w:vAlign w:val="center"/>
          </w:tcPr>
          <w:p w14:paraId="1B0C51AA"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113,300</w:t>
            </w:r>
          </w:p>
        </w:tc>
        <w:tc>
          <w:tcPr>
            <w:tcW w:w="750" w:type="pct"/>
            <w:tcBorders>
              <w:top w:val="single" w:sz="4" w:space="0" w:color="auto"/>
              <w:left w:val="single" w:sz="4" w:space="0" w:color="auto"/>
              <w:bottom w:val="single" w:sz="4" w:space="0" w:color="auto"/>
              <w:right w:val="single" w:sz="4" w:space="0" w:color="auto"/>
            </w:tcBorders>
            <w:vAlign w:val="center"/>
          </w:tcPr>
          <w:p w14:paraId="42A59729"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4,645,300.00</w:t>
            </w:r>
          </w:p>
        </w:tc>
        <w:tc>
          <w:tcPr>
            <w:tcW w:w="750" w:type="pct"/>
            <w:tcBorders>
              <w:top w:val="single" w:sz="4" w:space="0" w:color="auto"/>
              <w:left w:val="single" w:sz="4" w:space="0" w:color="auto"/>
              <w:bottom w:val="single" w:sz="4" w:space="0" w:color="auto"/>
              <w:right w:val="single" w:sz="4" w:space="0" w:color="auto"/>
            </w:tcBorders>
            <w:vAlign w:val="center"/>
          </w:tcPr>
          <w:p w14:paraId="65A4E6C5"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0.02</w:t>
            </w:r>
          </w:p>
        </w:tc>
      </w:tr>
      <w:tr w:rsidR="004D2F6C" w:rsidRPr="003E746D" w14:paraId="717482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23467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052DF8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601012</w:t>
            </w:r>
          </w:p>
        </w:tc>
        <w:tc>
          <w:tcPr>
            <w:tcW w:w="750" w:type="pct"/>
            <w:tcBorders>
              <w:top w:val="single" w:sz="4" w:space="0" w:color="auto"/>
              <w:left w:val="single" w:sz="4" w:space="0" w:color="auto"/>
              <w:bottom w:val="single" w:sz="4" w:space="0" w:color="auto"/>
              <w:right w:val="single" w:sz="4" w:space="0" w:color="auto"/>
            </w:tcBorders>
            <w:vAlign w:val="center"/>
          </w:tcPr>
          <w:p w14:paraId="26572E7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隆基股份</w:t>
            </w:r>
          </w:p>
        </w:tc>
        <w:tc>
          <w:tcPr>
            <w:tcW w:w="750" w:type="pct"/>
            <w:tcBorders>
              <w:top w:val="single" w:sz="4" w:space="0" w:color="auto"/>
              <w:left w:val="single" w:sz="4" w:space="0" w:color="auto"/>
              <w:bottom w:val="single" w:sz="4" w:space="0" w:color="auto"/>
              <w:right w:val="single" w:sz="4" w:space="0" w:color="auto"/>
            </w:tcBorders>
            <w:vAlign w:val="center"/>
          </w:tcPr>
          <w:p w14:paraId="799E69F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63,000</w:t>
            </w:r>
          </w:p>
        </w:tc>
        <w:tc>
          <w:tcPr>
            <w:tcW w:w="750" w:type="pct"/>
            <w:tcBorders>
              <w:top w:val="single" w:sz="4" w:space="0" w:color="auto"/>
              <w:left w:val="single" w:sz="4" w:space="0" w:color="auto"/>
              <w:bottom w:val="single" w:sz="4" w:space="0" w:color="auto"/>
              <w:right w:val="single" w:sz="4" w:space="0" w:color="auto"/>
            </w:tcBorders>
            <w:vAlign w:val="center"/>
          </w:tcPr>
          <w:p w14:paraId="4D530CCE"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4,547,970.00</w:t>
            </w:r>
          </w:p>
        </w:tc>
        <w:tc>
          <w:tcPr>
            <w:tcW w:w="750" w:type="pct"/>
            <w:tcBorders>
              <w:top w:val="single" w:sz="4" w:space="0" w:color="auto"/>
              <w:left w:val="single" w:sz="4" w:space="0" w:color="auto"/>
              <w:bottom w:val="single" w:sz="4" w:space="0" w:color="auto"/>
              <w:right w:val="single" w:sz="4" w:space="0" w:color="auto"/>
            </w:tcBorders>
            <w:vAlign w:val="center"/>
          </w:tcPr>
          <w:p w14:paraId="061F14FB"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0.02</w:t>
            </w:r>
          </w:p>
        </w:tc>
      </w:tr>
      <w:tr w:rsidR="004D2F6C" w:rsidRPr="003E746D" w14:paraId="4E0797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AC294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0B80BDD"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14:paraId="5FAC084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药明康德</w:t>
            </w:r>
          </w:p>
        </w:tc>
        <w:tc>
          <w:tcPr>
            <w:tcW w:w="750" w:type="pct"/>
            <w:tcBorders>
              <w:top w:val="single" w:sz="4" w:space="0" w:color="auto"/>
              <w:left w:val="single" w:sz="4" w:space="0" w:color="auto"/>
              <w:bottom w:val="single" w:sz="4" w:space="0" w:color="auto"/>
              <w:right w:val="single" w:sz="4" w:space="0" w:color="auto"/>
            </w:tcBorders>
            <w:vAlign w:val="center"/>
          </w:tcPr>
          <w:p w14:paraId="65C69AAE"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36,291</w:t>
            </w:r>
          </w:p>
        </w:tc>
        <w:tc>
          <w:tcPr>
            <w:tcW w:w="750" w:type="pct"/>
            <w:tcBorders>
              <w:top w:val="single" w:sz="4" w:space="0" w:color="auto"/>
              <w:left w:val="single" w:sz="4" w:space="0" w:color="auto"/>
              <w:bottom w:val="single" w:sz="4" w:space="0" w:color="auto"/>
              <w:right w:val="single" w:sz="4" w:space="0" w:color="auto"/>
            </w:tcBorders>
            <w:vAlign w:val="center"/>
          </w:tcPr>
          <w:p w14:paraId="0F28EDF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4,078,382.58</w:t>
            </w:r>
          </w:p>
        </w:tc>
        <w:tc>
          <w:tcPr>
            <w:tcW w:w="750" w:type="pct"/>
            <w:tcBorders>
              <w:top w:val="single" w:sz="4" w:space="0" w:color="auto"/>
              <w:left w:val="single" w:sz="4" w:space="0" w:color="auto"/>
              <w:bottom w:val="single" w:sz="4" w:space="0" w:color="auto"/>
              <w:right w:val="single" w:sz="4" w:space="0" w:color="auto"/>
            </w:tcBorders>
            <w:vAlign w:val="center"/>
          </w:tcPr>
          <w:p w14:paraId="303DCDA9"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0.02</w:t>
            </w:r>
          </w:p>
        </w:tc>
      </w:tr>
      <w:tr w:rsidR="004D2F6C" w:rsidRPr="003E746D" w14:paraId="7DADE8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45173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9980DBE"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300124</w:t>
            </w:r>
          </w:p>
        </w:tc>
        <w:tc>
          <w:tcPr>
            <w:tcW w:w="750" w:type="pct"/>
            <w:tcBorders>
              <w:top w:val="single" w:sz="4" w:space="0" w:color="auto"/>
              <w:left w:val="single" w:sz="4" w:space="0" w:color="auto"/>
              <w:bottom w:val="single" w:sz="4" w:space="0" w:color="auto"/>
              <w:right w:val="single" w:sz="4" w:space="0" w:color="auto"/>
            </w:tcBorders>
            <w:vAlign w:val="center"/>
          </w:tcPr>
          <w:p w14:paraId="1954026D"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汇川技术</w:t>
            </w:r>
          </w:p>
        </w:tc>
        <w:tc>
          <w:tcPr>
            <w:tcW w:w="750" w:type="pct"/>
            <w:tcBorders>
              <w:top w:val="single" w:sz="4" w:space="0" w:color="auto"/>
              <w:left w:val="single" w:sz="4" w:space="0" w:color="auto"/>
              <w:bottom w:val="single" w:sz="4" w:space="0" w:color="auto"/>
              <w:right w:val="single" w:sz="4" w:space="0" w:color="auto"/>
            </w:tcBorders>
            <w:vAlign w:val="center"/>
          </w:tcPr>
          <w:p w14:paraId="46EDBF41"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69,300</w:t>
            </w:r>
          </w:p>
        </w:tc>
        <w:tc>
          <w:tcPr>
            <w:tcW w:w="750" w:type="pct"/>
            <w:tcBorders>
              <w:top w:val="single" w:sz="4" w:space="0" w:color="auto"/>
              <w:left w:val="single" w:sz="4" w:space="0" w:color="auto"/>
              <w:bottom w:val="single" w:sz="4" w:space="0" w:color="auto"/>
              <w:right w:val="single" w:sz="4" w:space="0" w:color="auto"/>
            </w:tcBorders>
            <w:vAlign w:val="center"/>
          </w:tcPr>
          <w:p w14:paraId="29CEE82C"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3,950,100.00</w:t>
            </w:r>
          </w:p>
        </w:tc>
        <w:tc>
          <w:tcPr>
            <w:tcW w:w="750" w:type="pct"/>
            <w:tcBorders>
              <w:top w:val="single" w:sz="4" w:space="0" w:color="auto"/>
              <w:left w:val="single" w:sz="4" w:space="0" w:color="auto"/>
              <w:bottom w:val="single" w:sz="4" w:space="0" w:color="auto"/>
              <w:right w:val="single" w:sz="4" w:space="0" w:color="auto"/>
            </w:tcBorders>
            <w:vAlign w:val="center"/>
          </w:tcPr>
          <w:p w14:paraId="01ADA55F"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0.02</w:t>
            </w:r>
          </w:p>
        </w:tc>
      </w:tr>
      <w:tr w:rsidR="004D2F6C" w:rsidRPr="003E746D" w14:paraId="58691A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C24E6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0464472"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000858</w:t>
            </w:r>
          </w:p>
        </w:tc>
        <w:tc>
          <w:tcPr>
            <w:tcW w:w="750" w:type="pct"/>
            <w:tcBorders>
              <w:top w:val="single" w:sz="4" w:space="0" w:color="auto"/>
              <w:left w:val="single" w:sz="4" w:space="0" w:color="auto"/>
              <w:bottom w:val="single" w:sz="4" w:space="0" w:color="auto"/>
              <w:right w:val="single" w:sz="4" w:space="0" w:color="auto"/>
            </w:tcBorders>
            <w:vAlign w:val="center"/>
          </w:tcPr>
          <w:p w14:paraId="42BC9564"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五</w:t>
            </w:r>
            <w:r w:rsidRPr="003E746D">
              <w:rPr>
                <w:rFonts w:ascii="Times New Roman" w:hAnsi="Times New Roman"/>
                <w:color w:val="000000"/>
                <w:kern w:val="0"/>
                <w:sz w:val="25"/>
                <w:szCs w:val="24"/>
              </w:rPr>
              <w:t xml:space="preserve"> </w:t>
            </w:r>
            <w:r w:rsidRPr="003E746D">
              <w:rPr>
                <w:rFonts w:ascii="Times New Roman" w:hAnsi="Times New Roman"/>
                <w:color w:val="000000"/>
                <w:kern w:val="0"/>
                <w:sz w:val="25"/>
                <w:szCs w:val="24"/>
              </w:rPr>
              <w:t>粮</w:t>
            </w:r>
            <w:r w:rsidRPr="003E746D">
              <w:rPr>
                <w:rFonts w:ascii="Times New Roman" w:hAnsi="Times New Roman"/>
                <w:color w:val="000000"/>
                <w:kern w:val="0"/>
                <w:sz w:val="25"/>
                <w:szCs w:val="24"/>
              </w:rPr>
              <w:t xml:space="preserve"> </w:t>
            </w:r>
            <w:r w:rsidRPr="003E746D">
              <w:rPr>
                <w:rFonts w:ascii="Times New Roman" w:hAnsi="Times New Roman"/>
                <w:color w:val="000000"/>
                <w:kern w:val="0"/>
                <w:sz w:val="25"/>
                <w:szCs w:val="24"/>
              </w:rPr>
              <w:t>液</w:t>
            </w:r>
          </w:p>
        </w:tc>
        <w:tc>
          <w:tcPr>
            <w:tcW w:w="750" w:type="pct"/>
            <w:tcBorders>
              <w:top w:val="single" w:sz="4" w:space="0" w:color="auto"/>
              <w:left w:val="single" w:sz="4" w:space="0" w:color="auto"/>
              <w:bottom w:val="single" w:sz="4" w:space="0" w:color="auto"/>
              <w:right w:val="single" w:sz="4" w:space="0" w:color="auto"/>
            </w:tcBorders>
            <w:vAlign w:val="center"/>
          </w:tcPr>
          <w:p w14:paraId="57BBFE36"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23,900</w:t>
            </w:r>
          </w:p>
        </w:tc>
        <w:tc>
          <w:tcPr>
            <w:tcW w:w="750" w:type="pct"/>
            <w:tcBorders>
              <w:top w:val="single" w:sz="4" w:space="0" w:color="auto"/>
              <w:left w:val="single" w:sz="4" w:space="0" w:color="auto"/>
              <w:bottom w:val="single" w:sz="4" w:space="0" w:color="auto"/>
              <w:right w:val="single" w:sz="4" w:space="0" w:color="auto"/>
            </w:tcBorders>
            <w:vAlign w:val="center"/>
          </w:tcPr>
          <w:p w14:paraId="62143222"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3,705,934.00</w:t>
            </w:r>
          </w:p>
        </w:tc>
        <w:tc>
          <w:tcPr>
            <w:tcW w:w="750" w:type="pct"/>
            <w:tcBorders>
              <w:top w:val="single" w:sz="4" w:space="0" w:color="auto"/>
              <w:left w:val="single" w:sz="4" w:space="0" w:color="auto"/>
              <w:bottom w:val="single" w:sz="4" w:space="0" w:color="auto"/>
              <w:right w:val="single" w:sz="4" w:space="0" w:color="auto"/>
            </w:tcBorders>
            <w:vAlign w:val="center"/>
          </w:tcPr>
          <w:p w14:paraId="3BD43E5C"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0.02</w:t>
            </w:r>
          </w:p>
        </w:tc>
      </w:tr>
      <w:tr w:rsidR="004D2F6C" w:rsidRPr="003E746D" w14:paraId="27BC2B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2A7A7D"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FA9ED0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300274</w:t>
            </w:r>
          </w:p>
        </w:tc>
        <w:tc>
          <w:tcPr>
            <w:tcW w:w="750" w:type="pct"/>
            <w:tcBorders>
              <w:top w:val="single" w:sz="4" w:space="0" w:color="auto"/>
              <w:left w:val="single" w:sz="4" w:space="0" w:color="auto"/>
              <w:bottom w:val="single" w:sz="4" w:space="0" w:color="auto"/>
              <w:right w:val="single" w:sz="4" w:space="0" w:color="auto"/>
            </w:tcBorders>
            <w:vAlign w:val="center"/>
          </w:tcPr>
          <w:p w14:paraId="54F6A9F6"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阳光电源</w:t>
            </w:r>
          </w:p>
        </w:tc>
        <w:tc>
          <w:tcPr>
            <w:tcW w:w="750" w:type="pct"/>
            <w:tcBorders>
              <w:top w:val="single" w:sz="4" w:space="0" w:color="auto"/>
              <w:left w:val="single" w:sz="4" w:space="0" w:color="auto"/>
              <w:bottom w:val="single" w:sz="4" w:space="0" w:color="auto"/>
              <w:right w:val="single" w:sz="4" w:space="0" w:color="auto"/>
            </w:tcBorders>
            <w:vAlign w:val="center"/>
          </w:tcPr>
          <w:p w14:paraId="15E337B5"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33,200</w:t>
            </w:r>
          </w:p>
        </w:tc>
        <w:tc>
          <w:tcPr>
            <w:tcW w:w="750" w:type="pct"/>
            <w:tcBorders>
              <w:top w:val="single" w:sz="4" w:space="0" w:color="auto"/>
              <w:left w:val="single" w:sz="4" w:space="0" w:color="auto"/>
              <w:bottom w:val="single" w:sz="4" w:space="0" w:color="auto"/>
              <w:right w:val="single" w:sz="4" w:space="0" w:color="auto"/>
            </w:tcBorders>
            <w:vAlign w:val="center"/>
          </w:tcPr>
          <w:p w14:paraId="48DCDF7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3,561,032.00</w:t>
            </w:r>
          </w:p>
        </w:tc>
        <w:tc>
          <w:tcPr>
            <w:tcW w:w="750" w:type="pct"/>
            <w:tcBorders>
              <w:top w:val="single" w:sz="4" w:space="0" w:color="auto"/>
              <w:left w:val="single" w:sz="4" w:space="0" w:color="auto"/>
              <w:bottom w:val="single" w:sz="4" w:space="0" w:color="auto"/>
              <w:right w:val="single" w:sz="4" w:space="0" w:color="auto"/>
            </w:tcBorders>
            <w:vAlign w:val="center"/>
          </w:tcPr>
          <w:p w14:paraId="5C75A15C"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0.02</w:t>
            </w:r>
          </w:p>
        </w:tc>
      </w:tr>
      <w:tr w:rsidR="004D2F6C" w:rsidRPr="003E746D" w14:paraId="46487C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CC696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4F3E8B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603501</w:t>
            </w:r>
          </w:p>
        </w:tc>
        <w:tc>
          <w:tcPr>
            <w:tcW w:w="750" w:type="pct"/>
            <w:tcBorders>
              <w:top w:val="single" w:sz="4" w:space="0" w:color="auto"/>
              <w:left w:val="single" w:sz="4" w:space="0" w:color="auto"/>
              <w:bottom w:val="single" w:sz="4" w:space="0" w:color="auto"/>
              <w:right w:val="single" w:sz="4" w:space="0" w:color="auto"/>
            </w:tcBorders>
            <w:vAlign w:val="center"/>
          </w:tcPr>
          <w:p w14:paraId="2C34522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韦尔股份</w:t>
            </w:r>
          </w:p>
        </w:tc>
        <w:tc>
          <w:tcPr>
            <w:tcW w:w="750" w:type="pct"/>
            <w:tcBorders>
              <w:top w:val="single" w:sz="4" w:space="0" w:color="auto"/>
              <w:left w:val="single" w:sz="4" w:space="0" w:color="auto"/>
              <w:bottom w:val="single" w:sz="4" w:space="0" w:color="auto"/>
              <w:right w:val="single" w:sz="4" w:space="0" w:color="auto"/>
            </w:tcBorders>
            <w:vAlign w:val="center"/>
          </w:tcPr>
          <w:p w14:paraId="6E419F6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18,400</w:t>
            </w:r>
          </w:p>
        </w:tc>
        <w:tc>
          <w:tcPr>
            <w:tcW w:w="750" w:type="pct"/>
            <w:tcBorders>
              <w:top w:val="single" w:sz="4" w:space="0" w:color="auto"/>
              <w:left w:val="single" w:sz="4" w:space="0" w:color="auto"/>
              <w:bottom w:val="single" w:sz="4" w:space="0" w:color="auto"/>
              <w:right w:val="single" w:sz="4" w:space="0" w:color="auto"/>
            </w:tcBorders>
            <w:vAlign w:val="center"/>
          </w:tcPr>
          <w:p w14:paraId="668D1373"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3,558,560.00</w:t>
            </w:r>
          </w:p>
        </w:tc>
        <w:tc>
          <w:tcPr>
            <w:tcW w:w="750" w:type="pct"/>
            <w:tcBorders>
              <w:top w:val="single" w:sz="4" w:space="0" w:color="auto"/>
              <w:left w:val="single" w:sz="4" w:space="0" w:color="auto"/>
              <w:bottom w:val="single" w:sz="4" w:space="0" w:color="auto"/>
              <w:right w:val="single" w:sz="4" w:space="0" w:color="auto"/>
            </w:tcBorders>
            <w:vAlign w:val="center"/>
          </w:tcPr>
          <w:p w14:paraId="4D30054F"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0.02</w:t>
            </w:r>
          </w:p>
        </w:tc>
      </w:tr>
    </w:tbl>
    <w:p w14:paraId="65CC863E" w14:textId="77777777" w:rsidR="004D2F6C" w:rsidRPr="003E746D" w:rsidRDefault="004D2F6C">
      <w:pPr>
        <w:autoSpaceDE w:val="0"/>
        <w:autoSpaceDN w:val="0"/>
        <w:adjustRightInd w:val="0"/>
        <w:snapToGrid w:val="0"/>
        <w:spacing w:line="360" w:lineRule="auto"/>
        <w:ind w:firstLineChars="200" w:firstLine="420"/>
        <w:jc w:val="left"/>
        <w:rPr>
          <w:rFonts w:ascii="宋体" w:hAnsi="宋体"/>
          <w:szCs w:val="24"/>
        </w:rPr>
      </w:pPr>
    </w:p>
    <w:p w14:paraId="7246F23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D2F6C" w:rsidRPr="003E746D" w14:paraId="78B064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6C6B47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0072C80"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E430577"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C356D57"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占基金资产净值比例（</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w:t>
            </w:r>
          </w:p>
        </w:tc>
      </w:tr>
      <w:tr w:rsidR="004D2F6C" w:rsidRPr="003E746D" w14:paraId="077DD3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0DFC5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D96795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60B9A903"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95D0F3"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05F514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2B357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1AF593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6EFD9EC4"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2C0B539"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7EF6F0F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1EDB0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8C514B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0BB8E91B"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1,149,403,912.34</w:t>
            </w:r>
          </w:p>
        </w:tc>
        <w:tc>
          <w:tcPr>
            <w:tcW w:w="400" w:type="pct"/>
            <w:tcBorders>
              <w:top w:val="single" w:sz="4" w:space="0" w:color="auto"/>
              <w:left w:val="single" w:sz="4" w:space="0" w:color="auto"/>
              <w:bottom w:val="single" w:sz="4" w:space="0" w:color="auto"/>
              <w:right w:val="single" w:sz="4" w:space="0" w:color="auto"/>
            </w:tcBorders>
            <w:vAlign w:val="center"/>
          </w:tcPr>
          <w:p w14:paraId="4FD379DD"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5.32</w:t>
            </w:r>
          </w:p>
        </w:tc>
      </w:tr>
      <w:tr w:rsidR="004D2F6C" w:rsidRPr="003E746D" w14:paraId="7984A0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864FB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5AC737F"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53D7B77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1,149,403,912.34</w:t>
            </w:r>
          </w:p>
        </w:tc>
        <w:tc>
          <w:tcPr>
            <w:tcW w:w="400" w:type="pct"/>
            <w:tcBorders>
              <w:top w:val="single" w:sz="4" w:space="0" w:color="auto"/>
              <w:left w:val="single" w:sz="4" w:space="0" w:color="auto"/>
              <w:bottom w:val="single" w:sz="4" w:space="0" w:color="auto"/>
              <w:right w:val="single" w:sz="4" w:space="0" w:color="auto"/>
            </w:tcBorders>
            <w:vAlign w:val="center"/>
          </w:tcPr>
          <w:p w14:paraId="15A51789"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5.32</w:t>
            </w:r>
          </w:p>
        </w:tc>
      </w:tr>
      <w:tr w:rsidR="004D2F6C" w:rsidRPr="003E746D" w14:paraId="572A48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FD4F9D"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3E4371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45224D5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FFDD03B"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3FBDD6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1F603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ABA88C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511E049F"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7A428CC"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1AF17F1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CF564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D2E4712"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536976D9"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0013F99"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12C2FB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A64DA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lastRenderedPageBreak/>
              <w:t>7</w:t>
            </w:r>
          </w:p>
        </w:tc>
        <w:tc>
          <w:tcPr>
            <w:tcW w:w="750" w:type="pct"/>
            <w:tcBorders>
              <w:top w:val="single" w:sz="4" w:space="0" w:color="auto"/>
              <w:left w:val="single" w:sz="4" w:space="0" w:color="auto"/>
              <w:bottom w:val="single" w:sz="4" w:space="0" w:color="auto"/>
              <w:right w:val="single" w:sz="4" w:space="0" w:color="auto"/>
            </w:tcBorders>
            <w:vAlign w:val="center"/>
          </w:tcPr>
          <w:p w14:paraId="2FFE02DE"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3EC0DA83"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430,436.55</w:t>
            </w:r>
          </w:p>
        </w:tc>
        <w:tc>
          <w:tcPr>
            <w:tcW w:w="400" w:type="pct"/>
            <w:tcBorders>
              <w:top w:val="single" w:sz="4" w:space="0" w:color="auto"/>
              <w:left w:val="single" w:sz="4" w:space="0" w:color="auto"/>
              <w:bottom w:val="single" w:sz="4" w:space="0" w:color="auto"/>
              <w:right w:val="single" w:sz="4" w:space="0" w:color="auto"/>
            </w:tcBorders>
            <w:vAlign w:val="center"/>
          </w:tcPr>
          <w:p w14:paraId="078BA198"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0.00</w:t>
            </w:r>
          </w:p>
        </w:tc>
      </w:tr>
      <w:tr w:rsidR="004D2F6C" w:rsidRPr="003E746D" w14:paraId="30B7BF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269384"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BF60EB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199F3B34"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CAF00A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536F7E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3D9F9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B1FD28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2EDD2046"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42BE7FB"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0524A0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464180"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D4BCE5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03725B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1,149,834,348.89</w:t>
            </w:r>
          </w:p>
        </w:tc>
        <w:tc>
          <w:tcPr>
            <w:tcW w:w="400" w:type="pct"/>
            <w:tcBorders>
              <w:top w:val="single" w:sz="4" w:space="0" w:color="auto"/>
              <w:left w:val="single" w:sz="4" w:space="0" w:color="auto"/>
              <w:bottom w:val="single" w:sz="4" w:space="0" w:color="auto"/>
              <w:right w:val="single" w:sz="4" w:space="0" w:color="auto"/>
            </w:tcBorders>
            <w:vAlign w:val="center"/>
          </w:tcPr>
          <w:p w14:paraId="1EAD9B1E"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5.32</w:t>
            </w:r>
          </w:p>
        </w:tc>
      </w:tr>
    </w:tbl>
    <w:p w14:paraId="69411AF8" w14:textId="77777777" w:rsidR="004D2F6C" w:rsidRPr="003E746D" w:rsidRDefault="004D2F6C">
      <w:pPr>
        <w:autoSpaceDE w:val="0"/>
        <w:autoSpaceDN w:val="0"/>
        <w:adjustRightInd w:val="0"/>
        <w:snapToGrid w:val="0"/>
        <w:spacing w:line="360" w:lineRule="auto"/>
        <w:ind w:firstLineChars="200" w:firstLine="420"/>
        <w:jc w:val="left"/>
        <w:rPr>
          <w:rFonts w:ascii="宋体" w:hAnsi="宋体"/>
          <w:szCs w:val="24"/>
        </w:rPr>
      </w:pPr>
    </w:p>
    <w:p w14:paraId="01B48F1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D2F6C" w:rsidRPr="003E746D" w14:paraId="1209FE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6E2F80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C5293C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6FC9C6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408881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6599314"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56C2D1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占基金资产净值比例（</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w:t>
            </w:r>
          </w:p>
        </w:tc>
      </w:tr>
      <w:tr w:rsidR="004D2F6C" w:rsidRPr="003E746D" w14:paraId="3F6CDC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6EC0D9"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7E900A0"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210206</w:t>
            </w:r>
          </w:p>
        </w:tc>
        <w:tc>
          <w:tcPr>
            <w:tcW w:w="750" w:type="pct"/>
            <w:tcBorders>
              <w:top w:val="single" w:sz="4" w:space="0" w:color="auto"/>
              <w:left w:val="single" w:sz="4" w:space="0" w:color="auto"/>
              <w:bottom w:val="single" w:sz="4" w:space="0" w:color="auto"/>
              <w:right w:val="single" w:sz="4" w:space="0" w:color="auto"/>
            </w:tcBorders>
            <w:vAlign w:val="center"/>
          </w:tcPr>
          <w:p w14:paraId="50C9D204"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21</w:t>
            </w:r>
            <w:r w:rsidRPr="003E746D">
              <w:rPr>
                <w:rFonts w:ascii="Times New Roman" w:hAnsi="Times New Roman"/>
                <w:color w:val="000000"/>
                <w:kern w:val="0"/>
                <w:sz w:val="25"/>
                <w:szCs w:val="24"/>
              </w:rPr>
              <w:t>国开</w:t>
            </w:r>
            <w:r w:rsidRPr="003E746D">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14:paraId="698ABFC3"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1,600,000</w:t>
            </w:r>
          </w:p>
        </w:tc>
        <w:tc>
          <w:tcPr>
            <w:tcW w:w="750" w:type="pct"/>
            <w:tcBorders>
              <w:top w:val="single" w:sz="4" w:space="0" w:color="auto"/>
              <w:left w:val="single" w:sz="4" w:space="0" w:color="auto"/>
              <w:bottom w:val="single" w:sz="4" w:space="0" w:color="auto"/>
              <w:right w:val="single" w:sz="4" w:space="0" w:color="auto"/>
            </w:tcBorders>
            <w:vAlign w:val="center"/>
          </w:tcPr>
          <w:p w14:paraId="0AEB93A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163,804,317.81</w:t>
            </w:r>
          </w:p>
        </w:tc>
        <w:tc>
          <w:tcPr>
            <w:tcW w:w="750" w:type="pct"/>
            <w:tcBorders>
              <w:top w:val="single" w:sz="4" w:space="0" w:color="auto"/>
              <w:left w:val="single" w:sz="4" w:space="0" w:color="auto"/>
              <w:bottom w:val="single" w:sz="4" w:space="0" w:color="auto"/>
              <w:right w:val="single" w:sz="4" w:space="0" w:color="auto"/>
            </w:tcBorders>
            <w:vAlign w:val="center"/>
          </w:tcPr>
          <w:p w14:paraId="0A8C3228"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0.76</w:t>
            </w:r>
          </w:p>
        </w:tc>
      </w:tr>
      <w:tr w:rsidR="004D2F6C" w:rsidRPr="003E746D" w14:paraId="6DF839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5DC91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EF8E759"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190407</w:t>
            </w:r>
          </w:p>
        </w:tc>
        <w:tc>
          <w:tcPr>
            <w:tcW w:w="750" w:type="pct"/>
            <w:tcBorders>
              <w:top w:val="single" w:sz="4" w:space="0" w:color="auto"/>
              <w:left w:val="single" w:sz="4" w:space="0" w:color="auto"/>
              <w:bottom w:val="single" w:sz="4" w:space="0" w:color="auto"/>
              <w:right w:val="single" w:sz="4" w:space="0" w:color="auto"/>
            </w:tcBorders>
            <w:vAlign w:val="center"/>
          </w:tcPr>
          <w:p w14:paraId="2DD039A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19</w:t>
            </w:r>
            <w:r w:rsidRPr="003E746D">
              <w:rPr>
                <w:rFonts w:ascii="Times New Roman" w:hAnsi="Times New Roman"/>
                <w:color w:val="000000"/>
                <w:kern w:val="0"/>
                <w:sz w:val="25"/>
                <w:szCs w:val="24"/>
              </w:rPr>
              <w:t>农发</w:t>
            </w:r>
            <w:r w:rsidRPr="003E746D">
              <w:rPr>
                <w:rFonts w:ascii="Times New Roman" w:hAnsi="Times New Roman"/>
                <w:color w:val="000000"/>
                <w:kern w:val="0"/>
                <w:sz w:val="25"/>
                <w:szCs w:val="24"/>
              </w:rPr>
              <w:t>07</w:t>
            </w:r>
          </w:p>
        </w:tc>
        <w:tc>
          <w:tcPr>
            <w:tcW w:w="750" w:type="pct"/>
            <w:tcBorders>
              <w:top w:val="single" w:sz="4" w:space="0" w:color="auto"/>
              <w:left w:val="single" w:sz="4" w:space="0" w:color="auto"/>
              <w:bottom w:val="single" w:sz="4" w:space="0" w:color="auto"/>
              <w:right w:val="single" w:sz="4" w:space="0" w:color="auto"/>
            </w:tcBorders>
            <w:vAlign w:val="center"/>
          </w:tcPr>
          <w:p w14:paraId="2841242C"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1,200,000</w:t>
            </w:r>
          </w:p>
        </w:tc>
        <w:tc>
          <w:tcPr>
            <w:tcW w:w="750" w:type="pct"/>
            <w:tcBorders>
              <w:top w:val="single" w:sz="4" w:space="0" w:color="auto"/>
              <w:left w:val="single" w:sz="4" w:space="0" w:color="auto"/>
              <w:bottom w:val="single" w:sz="4" w:space="0" w:color="auto"/>
              <w:right w:val="single" w:sz="4" w:space="0" w:color="auto"/>
            </w:tcBorders>
            <w:vAlign w:val="center"/>
          </w:tcPr>
          <w:p w14:paraId="661577A9"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122,946,443.84</w:t>
            </w:r>
          </w:p>
        </w:tc>
        <w:tc>
          <w:tcPr>
            <w:tcW w:w="750" w:type="pct"/>
            <w:tcBorders>
              <w:top w:val="single" w:sz="4" w:space="0" w:color="auto"/>
              <w:left w:val="single" w:sz="4" w:space="0" w:color="auto"/>
              <w:bottom w:val="single" w:sz="4" w:space="0" w:color="auto"/>
              <w:right w:val="single" w:sz="4" w:space="0" w:color="auto"/>
            </w:tcBorders>
            <w:vAlign w:val="center"/>
          </w:tcPr>
          <w:p w14:paraId="609C79C4"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0.57</w:t>
            </w:r>
          </w:p>
        </w:tc>
      </w:tr>
      <w:tr w:rsidR="004D2F6C" w:rsidRPr="003E746D" w14:paraId="368741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B77A6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7DF744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210411</w:t>
            </w:r>
          </w:p>
        </w:tc>
        <w:tc>
          <w:tcPr>
            <w:tcW w:w="750" w:type="pct"/>
            <w:tcBorders>
              <w:top w:val="single" w:sz="4" w:space="0" w:color="auto"/>
              <w:left w:val="single" w:sz="4" w:space="0" w:color="auto"/>
              <w:bottom w:val="single" w:sz="4" w:space="0" w:color="auto"/>
              <w:right w:val="single" w:sz="4" w:space="0" w:color="auto"/>
            </w:tcBorders>
            <w:vAlign w:val="center"/>
          </w:tcPr>
          <w:p w14:paraId="427D47E6"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21</w:t>
            </w:r>
            <w:r w:rsidRPr="003E746D">
              <w:rPr>
                <w:rFonts w:ascii="Times New Roman" w:hAnsi="Times New Roman"/>
                <w:color w:val="000000"/>
                <w:kern w:val="0"/>
                <w:sz w:val="25"/>
                <w:szCs w:val="24"/>
              </w:rPr>
              <w:t>农发</w:t>
            </w:r>
            <w:r w:rsidRPr="003E746D">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5B3C168C"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1,100,000</w:t>
            </w:r>
          </w:p>
        </w:tc>
        <w:tc>
          <w:tcPr>
            <w:tcW w:w="750" w:type="pct"/>
            <w:tcBorders>
              <w:top w:val="single" w:sz="4" w:space="0" w:color="auto"/>
              <w:left w:val="single" w:sz="4" w:space="0" w:color="auto"/>
              <w:bottom w:val="single" w:sz="4" w:space="0" w:color="auto"/>
              <w:right w:val="single" w:sz="4" w:space="0" w:color="auto"/>
            </w:tcBorders>
            <w:vAlign w:val="center"/>
          </w:tcPr>
          <w:p w14:paraId="2B39EA74"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111,034,904.11</w:t>
            </w:r>
          </w:p>
        </w:tc>
        <w:tc>
          <w:tcPr>
            <w:tcW w:w="750" w:type="pct"/>
            <w:tcBorders>
              <w:top w:val="single" w:sz="4" w:space="0" w:color="auto"/>
              <w:left w:val="single" w:sz="4" w:space="0" w:color="auto"/>
              <w:bottom w:val="single" w:sz="4" w:space="0" w:color="auto"/>
              <w:right w:val="single" w:sz="4" w:space="0" w:color="auto"/>
            </w:tcBorders>
            <w:vAlign w:val="center"/>
          </w:tcPr>
          <w:p w14:paraId="67E425B3"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0.51</w:t>
            </w:r>
          </w:p>
        </w:tc>
      </w:tr>
      <w:tr w:rsidR="004D2F6C" w:rsidRPr="003E746D" w14:paraId="7491B0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F2815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B5A07CE"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190214</w:t>
            </w:r>
          </w:p>
        </w:tc>
        <w:tc>
          <w:tcPr>
            <w:tcW w:w="750" w:type="pct"/>
            <w:tcBorders>
              <w:top w:val="single" w:sz="4" w:space="0" w:color="auto"/>
              <w:left w:val="single" w:sz="4" w:space="0" w:color="auto"/>
              <w:bottom w:val="single" w:sz="4" w:space="0" w:color="auto"/>
              <w:right w:val="single" w:sz="4" w:space="0" w:color="auto"/>
            </w:tcBorders>
            <w:vAlign w:val="center"/>
          </w:tcPr>
          <w:p w14:paraId="27EA5210"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19</w:t>
            </w:r>
            <w:r w:rsidRPr="003E746D">
              <w:rPr>
                <w:rFonts w:ascii="Times New Roman" w:hAnsi="Times New Roman"/>
                <w:color w:val="000000"/>
                <w:kern w:val="0"/>
                <w:sz w:val="25"/>
                <w:szCs w:val="24"/>
              </w:rPr>
              <w:t>国开</w:t>
            </w:r>
            <w:r w:rsidRPr="003E746D">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635AFCB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349CD3B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101,715,643.84</w:t>
            </w:r>
          </w:p>
        </w:tc>
        <w:tc>
          <w:tcPr>
            <w:tcW w:w="750" w:type="pct"/>
            <w:tcBorders>
              <w:top w:val="single" w:sz="4" w:space="0" w:color="auto"/>
              <w:left w:val="single" w:sz="4" w:space="0" w:color="auto"/>
              <w:bottom w:val="single" w:sz="4" w:space="0" w:color="auto"/>
              <w:right w:val="single" w:sz="4" w:space="0" w:color="auto"/>
            </w:tcBorders>
            <w:vAlign w:val="center"/>
          </w:tcPr>
          <w:p w14:paraId="7F72DCE8"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0.47</w:t>
            </w:r>
          </w:p>
        </w:tc>
      </w:tr>
      <w:tr w:rsidR="004D2F6C" w:rsidRPr="003E746D" w14:paraId="6913A2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37D64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D2431BE"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210407</w:t>
            </w:r>
          </w:p>
        </w:tc>
        <w:tc>
          <w:tcPr>
            <w:tcW w:w="750" w:type="pct"/>
            <w:tcBorders>
              <w:top w:val="single" w:sz="4" w:space="0" w:color="auto"/>
              <w:left w:val="single" w:sz="4" w:space="0" w:color="auto"/>
              <w:bottom w:val="single" w:sz="4" w:space="0" w:color="auto"/>
              <w:right w:val="single" w:sz="4" w:space="0" w:color="auto"/>
            </w:tcBorders>
            <w:vAlign w:val="center"/>
          </w:tcPr>
          <w:p w14:paraId="3095189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21</w:t>
            </w:r>
            <w:r w:rsidRPr="003E746D">
              <w:rPr>
                <w:rFonts w:ascii="Times New Roman" w:hAnsi="Times New Roman"/>
                <w:color w:val="000000"/>
                <w:kern w:val="0"/>
                <w:sz w:val="25"/>
                <w:szCs w:val="24"/>
              </w:rPr>
              <w:t>农发</w:t>
            </w:r>
            <w:r w:rsidRPr="003E746D">
              <w:rPr>
                <w:rFonts w:ascii="Times New Roman" w:hAnsi="Times New Roman"/>
                <w:color w:val="000000"/>
                <w:kern w:val="0"/>
                <w:sz w:val="25"/>
                <w:szCs w:val="24"/>
              </w:rPr>
              <w:t>07</w:t>
            </w:r>
          </w:p>
        </w:tc>
        <w:tc>
          <w:tcPr>
            <w:tcW w:w="750" w:type="pct"/>
            <w:tcBorders>
              <w:top w:val="single" w:sz="4" w:space="0" w:color="auto"/>
              <w:left w:val="single" w:sz="4" w:space="0" w:color="auto"/>
              <w:bottom w:val="single" w:sz="4" w:space="0" w:color="auto"/>
              <w:right w:val="single" w:sz="4" w:space="0" w:color="auto"/>
            </w:tcBorders>
            <w:vAlign w:val="center"/>
          </w:tcPr>
          <w:p w14:paraId="62DD5F8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61A59AFF"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101,309,178.08</w:t>
            </w:r>
          </w:p>
        </w:tc>
        <w:tc>
          <w:tcPr>
            <w:tcW w:w="750" w:type="pct"/>
            <w:tcBorders>
              <w:top w:val="single" w:sz="4" w:space="0" w:color="auto"/>
              <w:left w:val="single" w:sz="4" w:space="0" w:color="auto"/>
              <w:bottom w:val="single" w:sz="4" w:space="0" w:color="auto"/>
              <w:right w:val="single" w:sz="4" w:space="0" w:color="auto"/>
            </w:tcBorders>
            <w:vAlign w:val="center"/>
          </w:tcPr>
          <w:p w14:paraId="29381F40"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0.47</w:t>
            </w:r>
          </w:p>
        </w:tc>
      </w:tr>
    </w:tbl>
    <w:p w14:paraId="314766AE" w14:textId="77777777" w:rsidR="004D2F6C" w:rsidRPr="003E746D" w:rsidRDefault="004D2F6C">
      <w:pPr>
        <w:autoSpaceDE w:val="0"/>
        <w:autoSpaceDN w:val="0"/>
        <w:adjustRightInd w:val="0"/>
        <w:snapToGrid w:val="0"/>
        <w:spacing w:line="360" w:lineRule="auto"/>
        <w:ind w:firstLineChars="200" w:firstLine="420"/>
        <w:jc w:val="left"/>
        <w:rPr>
          <w:rFonts w:ascii="宋体" w:hAnsi="宋体"/>
          <w:szCs w:val="24"/>
        </w:rPr>
      </w:pPr>
    </w:p>
    <w:p w14:paraId="1B3AE5D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6、报告期末按公允价值占基金资产净值比例大小排序的前十名资产支持证券投资明细</w:t>
      </w:r>
    </w:p>
    <w:p w14:paraId="3D9077F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无。</w:t>
      </w:r>
    </w:p>
    <w:p w14:paraId="6A58340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7、报告期末按公允价值占基金资产净值比例大小排序的前五名贵金属投资明细</w:t>
      </w:r>
    </w:p>
    <w:p w14:paraId="54D0A17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无。</w:t>
      </w:r>
    </w:p>
    <w:p w14:paraId="62CF69E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8、报告期末按公允价值占基金资产净值比例大小排序的前五名权证投资明细</w:t>
      </w:r>
    </w:p>
    <w:p w14:paraId="4A1DF58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无。</w:t>
      </w:r>
    </w:p>
    <w:p w14:paraId="7A60B0C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9、报告期末本基金投资的股指期货交易情况说明</w:t>
      </w:r>
    </w:p>
    <w:p w14:paraId="6A6B9F3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9.1 报告期末本基金投资的股指期货持仓和损益明细</w:t>
      </w:r>
    </w:p>
    <w:p w14:paraId="3DC896E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无。</w:t>
      </w:r>
    </w:p>
    <w:p w14:paraId="5351775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9.2 本基金投资股指期货的投资政策</w:t>
      </w:r>
    </w:p>
    <w:p w14:paraId="775C9F5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无。</w:t>
      </w:r>
    </w:p>
    <w:p w14:paraId="3758EEA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10、报告期末本基金投资的国债期货交易情况说明</w:t>
      </w:r>
    </w:p>
    <w:p w14:paraId="69C8127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10.1 本期国债期货投资政策</w:t>
      </w:r>
    </w:p>
    <w:p w14:paraId="3B79805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无。</w:t>
      </w:r>
    </w:p>
    <w:p w14:paraId="3F3CDE3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10.2 报告期末本基金投资的国债期货持仓和损益明细</w:t>
      </w:r>
    </w:p>
    <w:p w14:paraId="1D26040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无。</w:t>
      </w:r>
    </w:p>
    <w:p w14:paraId="567559C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10.3 本期国债期货投资评价</w:t>
      </w:r>
    </w:p>
    <w:p w14:paraId="6F02344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无。</w:t>
      </w:r>
    </w:p>
    <w:p w14:paraId="429D8EB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11、投资组合报告附注</w:t>
      </w:r>
    </w:p>
    <w:p w14:paraId="31780DF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本基金投资的前十名证券的发行主体本期是否出现被监管部门立案调查，或在报告编制日前一年内受到公开谴责、处罚的情形</w:t>
      </w:r>
    </w:p>
    <w:p w14:paraId="65BCAB9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1210EC6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11.1 基金投资的前十名股票是否超出基金合同规定的备选股票库</w:t>
      </w:r>
    </w:p>
    <w:p w14:paraId="2E48CAC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本基金投资的前十名股票中，没有超出基金合同规定的备选股票库之外的股票。</w:t>
      </w:r>
    </w:p>
    <w:p w14:paraId="3998456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11.2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4D2F6C" w:rsidRPr="003E746D" w14:paraId="741464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1AC609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D0202E0"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13547E9"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金额（元）</w:t>
            </w:r>
          </w:p>
        </w:tc>
      </w:tr>
      <w:tr w:rsidR="004D2F6C" w:rsidRPr="003E746D" w14:paraId="19D630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70A32D"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530DADF"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6E49A1EF"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4,198.94</w:t>
            </w:r>
          </w:p>
        </w:tc>
      </w:tr>
      <w:tr w:rsidR="004D2F6C" w:rsidRPr="003E746D" w14:paraId="3B115A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1566F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51CB61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4982D425"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16,000,000.00</w:t>
            </w:r>
          </w:p>
        </w:tc>
      </w:tr>
      <w:tr w:rsidR="004D2F6C" w:rsidRPr="003E746D" w14:paraId="75E68A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DBB98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F695D4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482CB347"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21,337.66</w:t>
            </w:r>
          </w:p>
        </w:tc>
      </w:tr>
      <w:tr w:rsidR="004D2F6C" w:rsidRPr="003E746D" w14:paraId="57D1B13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6F6188"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3FD72D9"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3D2BE3DF"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602BEB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883E3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FC84090"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2061BA11"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4,507,672.96</w:t>
            </w:r>
          </w:p>
        </w:tc>
      </w:tr>
      <w:tr w:rsidR="004D2F6C" w:rsidRPr="003E746D" w14:paraId="50B461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EDD91D"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2AEEA9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7B6AF134"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336,825.51</w:t>
            </w:r>
          </w:p>
        </w:tc>
      </w:tr>
      <w:tr w:rsidR="004D2F6C" w:rsidRPr="003E746D" w14:paraId="0DF4D5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0312B0"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7F0C640"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0AF256B3"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w:t>
            </w:r>
          </w:p>
        </w:tc>
      </w:tr>
      <w:tr w:rsidR="004D2F6C" w:rsidRPr="003E746D" w14:paraId="49779B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AFDD2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9C4F856"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4477F826" w14:textId="77777777" w:rsidR="004D2F6C" w:rsidRPr="003E746D" w:rsidRDefault="00435F28">
            <w:pPr>
              <w:widowControl/>
              <w:snapToGrid w:val="0"/>
              <w:jc w:val="right"/>
              <w:rPr>
                <w:rFonts w:ascii="宋体" w:hAnsi="宋体"/>
                <w:color w:val="000000"/>
                <w:kern w:val="0"/>
                <w:sz w:val="25"/>
                <w:szCs w:val="24"/>
              </w:rPr>
            </w:pPr>
            <w:r w:rsidRPr="003E746D">
              <w:rPr>
                <w:rFonts w:ascii="Times New Roman" w:hAnsi="Times New Roman"/>
                <w:color w:val="000000"/>
                <w:kern w:val="0"/>
                <w:sz w:val="25"/>
                <w:szCs w:val="24"/>
              </w:rPr>
              <w:t>20,870,035.07</w:t>
            </w:r>
          </w:p>
        </w:tc>
      </w:tr>
    </w:tbl>
    <w:p w14:paraId="0C9FF03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11.3 报告期末持有的处于转股期的可转换债券明细</w:t>
      </w:r>
    </w:p>
    <w:p w14:paraId="6ECE6BE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无。</w:t>
      </w:r>
    </w:p>
    <w:p w14:paraId="000E708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11.4 报告期末前十名股票中存在流通受限情况的说明</w:t>
      </w:r>
    </w:p>
    <w:p w14:paraId="44FFF5B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无。</w:t>
      </w:r>
    </w:p>
    <w:p w14:paraId="2A830F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11.5 投资组合报告附注的其他文字描述部分</w:t>
      </w:r>
    </w:p>
    <w:p w14:paraId="00F4BAA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由于四舍五入的原因，分项之和与合计项之间可能存在尾差。</w:t>
      </w:r>
    </w:p>
    <w:p w14:paraId="47AA10AE" w14:textId="77777777" w:rsidR="004D2F6C" w:rsidRPr="003E746D" w:rsidRDefault="004D2F6C">
      <w:pPr>
        <w:autoSpaceDE w:val="0"/>
        <w:autoSpaceDN w:val="0"/>
        <w:adjustRightInd w:val="0"/>
        <w:snapToGrid w:val="0"/>
        <w:spacing w:line="360" w:lineRule="auto"/>
        <w:ind w:firstLineChars="200" w:firstLine="420"/>
        <w:jc w:val="left"/>
        <w:rPr>
          <w:rFonts w:ascii="宋体" w:hAnsi="宋体"/>
          <w:szCs w:val="24"/>
        </w:rPr>
      </w:pPr>
    </w:p>
    <w:p w14:paraId="624EC5E4"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030AA99A" w14:textId="48478F85" w:rsidR="004D2F6C" w:rsidRPr="003E746D" w:rsidRDefault="00435F28">
      <w:pPr>
        <w:pStyle w:val="1"/>
        <w:snapToGrid w:val="0"/>
        <w:spacing w:beforeLines="0" w:before="240" w:after="240"/>
        <w:rPr>
          <w:rFonts w:ascii="宋体" w:hAnsi="宋体"/>
          <w:szCs w:val="30"/>
        </w:rPr>
      </w:pPr>
      <w:bookmarkStart w:id="13" w:name="_Toc104410519"/>
      <w:r w:rsidRPr="003E746D">
        <w:rPr>
          <w:rFonts w:ascii="Times New Roman" w:hAnsi="Times New Roman"/>
          <w:sz w:val="30"/>
        </w:rPr>
        <w:lastRenderedPageBreak/>
        <w:t>十、基金的业绩</w:t>
      </w:r>
      <w:bookmarkEnd w:id="13"/>
    </w:p>
    <w:p w14:paraId="4B19306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基金业绩截止日为2022年03月31日，所载财务数据未经审计师审计。</w:t>
      </w:r>
    </w:p>
    <w:p w14:paraId="2062560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78C2CE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4D2F6C" w:rsidRPr="003E746D" w14:paraId="7B96589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7A28CC1"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11FE99DD"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净值增长率</w:t>
            </w:r>
            <w:r w:rsidRPr="003E746D">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6F616D47"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净值增长率标准差</w:t>
            </w:r>
            <w:r w:rsidRPr="003E746D">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07AA2D44"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业绩比较基准收益率</w:t>
            </w:r>
            <w:r w:rsidRPr="003E746D">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26972F8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业绩比较基准收益率标准差</w:t>
            </w:r>
            <w:r w:rsidRPr="003E746D">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1107B6E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700143E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②-④</w:t>
            </w:r>
          </w:p>
        </w:tc>
      </w:tr>
      <w:tr w:rsidR="004D2F6C" w:rsidRPr="003E746D" w14:paraId="4FFAADF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1D1A63F"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72E38F6F"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-2.53%</w:t>
            </w:r>
          </w:p>
        </w:tc>
        <w:tc>
          <w:tcPr>
            <w:tcW w:w="750" w:type="pct"/>
            <w:tcBorders>
              <w:top w:val="single" w:sz="4" w:space="0" w:color="auto"/>
              <w:left w:val="single" w:sz="4" w:space="0" w:color="auto"/>
              <w:bottom w:val="single" w:sz="4" w:space="0" w:color="auto"/>
              <w:right w:val="single" w:sz="4" w:space="0" w:color="auto"/>
            </w:tcBorders>
            <w:vAlign w:val="center"/>
          </w:tcPr>
          <w:p w14:paraId="1F02794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14:paraId="3CF37E9F"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-2.92%</w:t>
            </w:r>
          </w:p>
        </w:tc>
        <w:tc>
          <w:tcPr>
            <w:tcW w:w="750" w:type="pct"/>
            <w:tcBorders>
              <w:top w:val="single" w:sz="4" w:space="0" w:color="auto"/>
              <w:left w:val="single" w:sz="4" w:space="0" w:color="auto"/>
              <w:bottom w:val="single" w:sz="4" w:space="0" w:color="auto"/>
              <w:right w:val="single" w:sz="4" w:space="0" w:color="auto"/>
            </w:tcBorders>
            <w:vAlign w:val="center"/>
          </w:tcPr>
          <w:p w14:paraId="644D6DD4"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14:paraId="097B5694"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0.39%</w:t>
            </w:r>
          </w:p>
        </w:tc>
        <w:tc>
          <w:tcPr>
            <w:tcW w:w="750" w:type="pct"/>
            <w:tcBorders>
              <w:top w:val="single" w:sz="4" w:space="0" w:color="auto"/>
              <w:left w:val="single" w:sz="4" w:space="0" w:color="auto"/>
              <w:bottom w:val="single" w:sz="4" w:space="0" w:color="auto"/>
              <w:right w:val="single" w:sz="4" w:space="0" w:color="auto"/>
            </w:tcBorders>
            <w:vAlign w:val="center"/>
          </w:tcPr>
          <w:p w14:paraId="5BB52935"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-0.08%</w:t>
            </w:r>
          </w:p>
        </w:tc>
      </w:tr>
      <w:tr w:rsidR="004D2F6C" w:rsidRPr="003E746D" w14:paraId="3576A12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EF1DE0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FDEF2C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4.51%</w:t>
            </w:r>
          </w:p>
        </w:tc>
        <w:tc>
          <w:tcPr>
            <w:tcW w:w="750" w:type="pct"/>
            <w:tcBorders>
              <w:top w:val="single" w:sz="4" w:space="0" w:color="auto"/>
              <w:left w:val="single" w:sz="4" w:space="0" w:color="auto"/>
              <w:bottom w:val="single" w:sz="4" w:space="0" w:color="auto"/>
              <w:right w:val="single" w:sz="4" w:space="0" w:color="auto"/>
            </w:tcBorders>
            <w:vAlign w:val="center"/>
          </w:tcPr>
          <w:p w14:paraId="2714A665"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14:paraId="5E402BF5"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0.87%</w:t>
            </w:r>
          </w:p>
        </w:tc>
        <w:tc>
          <w:tcPr>
            <w:tcW w:w="750" w:type="pct"/>
            <w:tcBorders>
              <w:top w:val="single" w:sz="4" w:space="0" w:color="auto"/>
              <w:left w:val="single" w:sz="4" w:space="0" w:color="auto"/>
              <w:bottom w:val="single" w:sz="4" w:space="0" w:color="auto"/>
              <w:right w:val="single" w:sz="4" w:space="0" w:color="auto"/>
            </w:tcBorders>
            <w:vAlign w:val="center"/>
          </w:tcPr>
          <w:p w14:paraId="5EE349D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0.24%</w:t>
            </w:r>
          </w:p>
        </w:tc>
        <w:tc>
          <w:tcPr>
            <w:tcW w:w="750" w:type="pct"/>
            <w:tcBorders>
              <w:top w:val="single" w:sz="4" w:space="0" w:color="auto"/>
              <w:left w:val="single" w:sz="4" w:space="0" w:color="auto"/>
              <w:bottom w:val="single" w:sz="4" w:space="0" w:color="auto"/>
              <w:right w:val="single" w:sz="4" w:space="0" w:color="auto"/>
            </w:tcBorders>
            <w:vAlign w:val="center"/>
          </w:tcPr>
          <w:p w14:paraId="5094B644"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3.64%</w:t>
            </w:r>
          </w:p>
        </w:tc>
        <w:tc>
          <w:tcPr>
            <w:tcW w:w="750" w:type="pct"/>
            <w:tcBorders>
              <w:top w:val="single" w:sz="4" w:space="0" w:color="auto"/>
              <w:left w:val="single" w:sz="4" w:space="0" w:color="auto"/>
              <w:bottom w:val="single" w:sz="4" w:space="0" w:color="auto"/>
              <w:right w:val="single" w:sz="4" w:space="0" w:color="auto"/>
            </w:tcBorders>
            <w:vAlign w:val="center"/>
          </w:tcPr>
          <w:p w14:paraId="74211D86"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-0.05%</w:t>
            </w:r>
          </w:p>
        </w:tc>
      </w:tr>
      <w:tr w:rsidR="004D2F6C" w:rsidRPr="003E746D" w14:paraId="5F73EB9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3123329"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2020</w:t>
            </w:r>
            <w:r w:rsidRPr="003E746D">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C417062"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10.03%</w:t>
            </w:r>
          </w:p>
        </w:tc>
        <w:tc>
          <w:tcPr>
            <w:tcW w:w="750" w:type="pct"/>
            <w:tcBorders>
              <w:top w:val="single" w:sz="4" w:space="0" w:color="auto"/>
              <w:left w:val="single" w:sz="4" w:space="0" w:color="auto"/>
              <w:bottom w:val="single" w:sz="4" w:space="0" w:color="auto"/>
              <w:right w:val="single" w:sz="4" w:space="0" w:color="auto"/>
            </w:tcBorders>
            <w:vAlign w:val="center"/>
          </w:tcPr>
          <w:p w14:paraId="458113D4"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0.20%</w:t>
            </w:r>
          </w:p>
        </w:tc>
        <w:tc>
          <w:tcPr>
            <w:tcW w:w="750" w:type="pct"/>
            <w:tcBorders>
              <w:top w:val="single" w:sz="4" w:space="0" w:color="auto"/>
              <w:left w:val="single" w:sz="4" w:space="0" w:color="auto"/>
              <w:bottom w:val="single" w:sz="4" w:space="0" w:color="auto"/>
              <w:right w:val="single" w:sz="4" w:space="0" w:color="auto"/>
            </w:tcBorders>
            <w:vAlign w:val="center"/>
          </w:tcPr>
          <w:p w14:paraId="03E276A6"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5.32%</w:t>
            </w:r>
          </w:p>
        </w:tc>
        <w:tc>
          <w:tcPr>
            <w:tcW w:w="750" w:type="pct"/>
            <w:tcBorders>
              <w:top w:val="single" w:sz="4" w:space="0" w:color="auto"/>
              <w:left w:val="single" w:sz="4" w:space="0" w:color="auto"/>
              <w:bottom w:val="single" w:sz="4" w:space="0" w:color="auto"/>
              <w:right w:val="single" w:sz="4" w:space="0" w:color="auto"/>
            </w:tcBorders>
            <w:vAlign w:val="center"/>
          </w:tcPr>
          <w:p w14:paraId="21EE6E7C"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0.27%</w:t>
            </w:r>
          </w:p>
        </w:tc>
        <w:tc>
          <w:tcPr>
            <w:tcW w:w="750" w:type="pct"/>
            <w:tcBorders>
              <w:top w:val="single" w:sz="4" w:space="0" w:color="auto"/>
              <w:left w:val="single" w:sz="4" w:space="0" w:color="auto"/>
              <w:bottom w:val="single" w:sz="4" w:space="0" w:color="auto"/>
              <w:right w:val="single" w:sz="4" w:space="0" w:color="auto"/>
            </w:tcBorders>
            <w:vAlign w:val="center"/>
          </w:tcPr>
          <w:p w14:paraId="53115D05"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4.71%</w:t>
            </w:r>
          </w:p>
        </w:tc>
        <w:tc>
          <w:tcPr>
            <w:tcW w:w="750" w:type="pct"/>
            <w:tcBorders>
              <w:top w:val="single" w:sz="4" w:space="0" w:color="auto"/>
              <w:left w:val="single" w:sz="4" w:space="0" w:color="auto"/>
              <w:bottom w:val="single" w:sz="4" w:space="0" w:color="auto"/>
              <w:right w:val="single" w:sz="4" w:space="0" w:color="auto"/>
            </w:tcBorders>
            <w:vAlign w:val="center"/>
          </w:tcPr>
          <w:p w14:paraId="5C2A57B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-0.07%</w:t>
            </w:r>
          </w:p>
        </w:tc>
      </w:tr>
      <w:tr w:rsidR="004D2F6C" w:rsidRPr="003E746D" w14:paraId="1A0E293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D21A6B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2019</w:t>
            </w:r>
            <w:r w:rsidRPr="003E746D">
              <w:rPr>
                <w:rFonts w:ascii="Times New Roman" w:hAnsi="Times New Roman"/>
                <w:color w:val="000000"/>
                <w:kern w:val="0"/>
                <w:sz w:val="25"/>
                <w:szCs w:val="24"/>
              </w:rPr>
              <w:t>年度（自基金合同生效日起至</w:t>
            </w:r>
            <w:r w:rsidRPr="003E746D">
              <w:rPr>
                <w:rFonts w:ascii="Times New Roman" w:hAnsi="Times New Roman"/>
                <w:color w:val="000000"/>
                <w:kern w:val="0"/>
                <w:sz w:val="25"/>
                <w:szCs w:val="24"/>
              </w:rPr>
              <w:t>2019</w:t>
            </w:r>
            <w:r w:rsidRPr="003E746D">
              <w:rPr>
                <w:rFonts w:ascii="Times New Roman" w:hAnsi="Times New Roman"/>
                <w:color w:val="000000"/>
                <w:kern w:val="0"/>
                <w:sz w:val="25"/>
                <w:szCs w:val="24"/>
              </w:rPr>
              <w:t>年</w:t>
            </w:r>
            <w:r w:rsidRPr="003E746D">
              <w:rPr>
                <w:rFonts w:ascii="Times New Roman" w:hAnsi="Times New Roman"/>
                <w:color w:val="000000"/>
                <w:kern w:val="0"/>
                <w:sz w:val="25"/>
                <w:szCs w:val="24"/>
              </w:rPr>
              <w:t>12</w:t>
            </w:r>
            <w:r w:rsidRPr="003E746D">
              <w:rPr>
                <w:rFonts w:ascii="Times New Roman" w:hAnsi="Times New Roman"/>
                <w:color w:val="000000"/>
                <w:kern w:val="0"/>
                <w:sz w:val="25"/>
                <w:szCs w:val="24"/>
              </w:rPr>
              <w:t>月</w:t>
            </w:r>
            <w:r w:rsidRPr="003E746D">
              <w:rPr>
                <w:rFonts w:ascii="Times New Roman" w:hAnsi="Times New Roman"/>
                <w:color w:val="000000"/>
                <w:kern w:val="0"/>
                <w:sz w:val="25"/>
                <w:szCs w:val="24"/>
              </w:rPr>
              <w:t>31</w:t>
            </w:r>
            <w:r w:rsidRPr="003E746D">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F06AB4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3.61%</w:t>
            </w:r>
          </w:p>
        </w:tc>
        <w:tc>
          <w:tcPr>
            <w:tcW w:w="750" w:type="pct"/>
            <w:tcBorders>
              <w:top w:val="single" w:sz="4" w:space="0" w:color="auto"/>
              <w:left w:val="single" w:sz="4" w:space="0" w:color="auto"/>
              <w:bottom w:val="single" w:sz="4" w:space="0" w:color="auto"/>
              <w:right w:val="single" w:sz="4" w:space="0" w:color="auto"/>
            </w:tcBorders>
            <w:vAlign w:val="center"/>
          </w:tcPr>
          <w:p w14:paraId="0DE59E22"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CF041F0"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3.49%</w:t>
            </w:r>
          </w:p>
        </w:tc>
        <w:tc>
          <w:tcPr>
            <w:tcW w:w="750" w:type="pct"/>
            <w:tcBorders>
              <w:top w:val="single" w:sz="4" w:space="0" w:color="auto"/>
              <w:left w:val="single" w:sz="4" w:space="0" w:color="auto"/>
              <w:bottom w:val="single" w:sz="4" w:space="0" w:color="auto"/>
              <w:right w:val="single" w:sz="4" w:space="0" w:color="auto"/>
            </w:tcBorders>
            <w:vAlign w:val="center"/>
          </w:tcPr>
          <w:p w14:paraId="681E67E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0.18%</w:t>
            </w:r>
          </w:p>
        </w:tc>
        <w:tc>
          <w:tcPr>
            <w:tcW w:w="750" w:type="pct"/>
            <w:tcBorders>
              <w:top w:val="single" w:sz="4" w:space="0" w:color="auto"/>
              <w:left w:val="single" w:sz="4" w:space="0" w:color="auto"/>
              <w:bottom w:val="single" w:sz="4" w:space="0" w:color="auto"/>
              <w:right w:val="single" w:sz="4" w:space="0" w:color="auto"/>
            </w:tcBorders>
            <w:vAlign w:val="center"/>
          </w:tcPr>
          <w:p w14:paraId="71841ED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749F3055"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-0.12%</w:t>
            </w:r>
          </w:p>
        </w:tc>
      </w:tr>
    </w:tbl>
    <w:p w14:paraId="2C4ED71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2、自基金合同生效以来基金份额累计净值增长率变动及其与同期业绩比较基准收益率变动的比较</w:t>
      </w:r>
    </w:p>
    <w:p w14:paraId="679ED0EB" w14:textId="77777777" w:rsidR="004D2F6C" w:rsidRPr="003E746D" w:rsidRDefault="00435F28">
      <w:pPr>
        <w:autoSpaceDE w:val="0"/>
        <w:autoSpaceDN w:val="0"/>
        <w:adjustRightInd w:val="0"/>
        <w:snapToGrid w:val="0"/>
        <w:spacing w:line="360" w:lineRule="auto"/>
        <w:ind w:firstLineChars="200" w:firstLine="480"/>
        <w:jc w:val="center"/>
        <w:rPr>
          <w:rFonts w:ascii="宋体" w:hAnsi="宋体"/>
          <w:szCs w:val="24"/>
        </w:rPr>
      </w:pPr>
      <w:r w:rsidRPr="003E746D">
        <w:rPr>
          <w:rFonts w:ascii="宋体" w:hAnsi="宋体"/>
          <w:sz w:val="24"/>
        </w:rPr>
        <w:t>交银施罗德安享稳健养老目标一年持有期混合型基金中基金（FOF）</w:t>
      </w:r>
    </w:p>
    <w:p w14:paraId="52C1A45B" w14:textId="77777777" w:rsidR="004D2F6C" w:rsidRPr="003E746D" w:rsidRDefault="00435F28">
      <w:pPr>
        <w:autoSpaceDE w:val="0"/>
        <w:autoSpaceDN w:val="0"/>
        <w:adjustRightInd w:val="0"/>
        <w:snapToGrid w:val="0"/>
        <w:spacing w:line="360" w:lineRule="auto"/>
        <w:ind w:firstLineChars="200" w:firstLine="480"/>
        <w:jc w:val="center"/>
        <w:rPr>
          <w:rFonts w:ascii="宋体" w:hAnsi="宋体"/>
          <w:szCs w:val="24"/>
        </w:rPr>
      </w:pPr>
      <w:r w:rsidRPr="003E746D">
        <w:rPr>
          <w:rFonts w:ascii="宋体" w:hAnsi="宋体"/>
          <w:sz w:val="24"/>
        </w:rPr>
        <w:t>份额累计净值增长率与业绩比较基准收益率历史走势对比图</w:t>
      </w:r>
    </w:p>
    <w:p w14:paraId="69CB20DB" w14:textId="77777777" w:rsidR="004D2F6C" w:rsidRPr="003E746D" w:rsidRDefault="00435F28">
      <w:pPr>
        <w:autoSpaceDE w:val="0"/>
        <w:autoSpaceDN w:val="0"/>
        <w:adjustRightInd w:val="0"/>
        <w:snapToGrid w:val="0"/>
        <w:spacing w:line="360" w:lineRule="auto"/>
        <w:ind w:firstLineChars="200" w:firstLine="480"/>
        <w:jc w:val="center"/>
        <w:rPr>
          <w:rFonts w:ascii="宋体" w:hAnsi="宋体"/>
          <w:szCs w:val="24"/>
        </w:rPr>
      </w:pPr>
      <w:r w:rsidRPr="003E746D">
        <w:rPr>
          <w:rFonts w:ascii="宋体" w:hAnsi="宋体"/>
          <w:sz w:val="24"/>
        </w:rPr>
        <w:t>（2019年5月30日至2022年03月31日）</w:t>
      </w:r>
    </w:p>
    <w:p w14:paraId="30B85DAE" w14:textId="2E5B5258" w:rsidR="004D2F6C" w:rsidRPr="003E746D" w:rsidRDefault="00C76A2C">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noProof/>
          <w:kern w:val="0"/>
          <w:sz w:val="24"/>
        </w:rPr>
        <w:lastRenderedPageBreak/>
        <w:drawing>
          <wp:inline distT="0" distB="0" distL="0" distR="0" wp14:anchorId="11BE1723" wp14:editId="2F717326">
            <wp:extent cx="5581650" cy="3408680"/>
            <wp:effectExtent l="0" t="0" r="0" b="127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08680"/>
                    </a:xfrm>
                    <a:prstGeom prst="rect">
                      <a:avLst/>
                    </a:prstGeom>
                    <a:noFill/>
                    <a:ln>
                      <a:noFill/>
                    </a:ln>
                  </pic:spPr>
                </pic:pic>
              </a:graphicData>
            </a:graphic>
          </wp:inline>
        </w:drawing>
      </w:r>
    </w:p>
    <w:p w14:paraId="2BEEBA2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注：本基金建仓期为自基金合同生效日起的6个月。截至建仓期结束，本基金各项资产配置比例符合基金合同及招募说明书有关投资比例的约定。</w:t>
      </w:r>
    </w:p>
    <w:p w14:paraId="0068FB49"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567CD611" w14:textId="250EC8BF" w:rsidR="004D2F6C" w:rsidRPr="003E746D" w:rsidRDefault="00435F28">
      <w:pPr>
        <w:pStyle w:val="1"/>
        <w:snapToGrid w:val="0"/>
        <w:spacing w:beforeLines="0" w:before="240" w:after="240"/>
        <w:rPr>
          <w:rFonts w:ascii="宋体" w:hAnsi="宋体"/>
          <w:szCs w:val="30"/>
        </w:rPr>
      </w:pPr>
      <w:bookmarkStart w:id="14" w:name="_Toc104410520"/>
      <w:r w:rsidRPr="003E746D">
        <w:rPr>
          <w:rFonts w:ascii="Times New Roman" w:hAnsi="Times New Roman"/>
          <w:sz w:val="30"/>
        </w:rPr>
        <w:lastRenderedPageBreak/>
        <w:t>十一、基金的财产</w:t>
      </w:r>
      <w:bookmarkEnd w:id="14"/>
    </w:p>
    <w:p w14:paraId="0E2D2D03"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（一）基金资产总值</w:t>
      </w:r>
    </w:p>
    <w:p w14:paraId="76247DF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基金资产总值是指基金拥有的各类有价证券、证券投资基金份额、银行存款本息、基金应收申购款及其他资产的价值总和。</w:t>
      </w:r>
    </w:p>
    <w:p w14:paraId="71025210"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（二）基金资产净值</w:t>
      </w:r>
    </w:p>
    <w:p w14:paraId="0113131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基金资产净值是指基金资产总值减去基金负债后的价值。</w:t>
      </w:r>
    </w:p>
    <w:p w14:paraId="53D04D1E"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（三）基金财产的账户</w:t>
      </w:r>
    </w:p>
    <w:p w14:paraId="792B6A1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p>
    <w:p w14:paraId="1191D2C5"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（四）基金财产的保管和处分</w:t>
      </w:r>
    </w:p>
    <w:p w14:paraId="224F7DF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E9F977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B826EF2"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45E71507" w14:textId="11294B04" w:rsidR="004D2F6C" w:rsidRPr="003E746D" w:rsidRDefault="00435F28">
      <w:pPr>
        <w:pStyle w:val="1"/>
        <w:snapToGrid w:val="0"/>
        <w:spacing w:beforeLines="0" w:before="240" w:after="240"/>
        <w:rPr>
          <w:rFonts w:ascii="宋体" w:hAnsi="宋体"/>
          <w:szCs w:val="30"/>
        </w:rPr>
      </w:pPr>
      <w:bookmarkStart w:id="15" w:name="_Toc104410521"/>
      <w:r w:rsidRPr="003E746D">
        <w:rPr>
          <w:rFonts w:ascii="Times New Roman" w:hAnsi="Times New Roman"/>
          <w:sz w:val="30"/>
        </w:rPr>
        <w:lastRenderedPageBreak/>
        <w:t>十二、基金资产的估值</w:t>
      </w:r>
      <w:bookmarkEnd w:id="15"/>
    </w:p>
    <w:p w14:paraId="4D1E8296"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（一）估值日</w:t>
      </w:r>
    </w:p>
    <w:p w14:paraId="2684948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本基金的估值日为本基金相关的证券交易场所的交易日以及国家法律法规规定需要对外披露基金净值的非交易日。所投资基金的估值日是指该基金基金份额净值和基金份额累计净值的归属日。</w:t>
      </w:r>
    </w:p>
    <w:p w14:paraId="4743B9D1"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（二）估值对象</w:t>
      </w:r>
    </w:p>
    <w:p w14:paraId="0C3C638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基金所拥有的证券投资基金份额、股票、债券和其它投资等持续以公允价值计量的金融资产及负债。</w:t>
      </w:r>
    </w:p>
    <w:p w14:paraId="03C36C18"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（三）估值方法</w:t>
      </w:r>
    </w:p>
    <w:p w14:paraId="7B1688B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1、证券投资基金的估值</w:t>
      </w:r>
    </w:p>
    <w:p w14:paraId="2A87D6E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（1）本基金投资于非上市的非货币市场基金，按所投资基金估值日的份额净值进行估值；</w:t>
      </w:r>
    </w:p>
    <w:p w14:paraId="384D4B7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（2）本基金投资于非上市的货币市场基金，按所投资基金前一估值日后至估值日期间（含节假日）的万份收益计提估值日基金收益；如所投资基金披露份额净值，则按所投资基金估值日的份额净值估值；</w:t>
      </w:r>
    </w:p>
    <w:p w14:paraId="085405D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（3）本基金投资的ETF基金，按所投资ETF基金估值日的收盘价进行估值；</w:t>
      </w:r>
    </w:p>
    <w:p w14:paraId="1A71EAF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（4）本基金投资的上市开放式基金（LOF），按所投资基金估值日的份额净值估值；</w:t>
      </w:r>
    </w:p>
    <w:p w14:paraId="1F50E7D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（5）本基金投资的上市定期开放式基金、封闭式基金，按所投资基金估值日的收盘价估值；</w:t>
      </w:r>
    </w:p>
    <w:p w14:paraId="7DDB0D9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7A4C4E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（7）如遇所投资基金不公布基金份额净值、进行折算或拆分、估值日无交易等特殊情况，基金管理人根据以下原则进行估值：</w:t>
      </w:r>
    </w:p>
    <w:p w14:paraId="6721A49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以所投资基金的基金份额净值估值的，若所投资基金与本基金估值频率一致但未公布估值日基金份额净值，以其最近公布的基金份额净值估值；</w:t>
      </w:r>
    </w:p>
    <w:p w14:paraId="10B4C95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以所投资基金的收盘价估值的，若估值日无交易，且最近交易日后市场环境未发生重大变化，以最近交易日的收盘价估值；如最近交易日后市场环境发生了重大</w:t>
      </w:r>
      <w:r w:rsidRPr="003E746D">
        <w:rPr>
          <w:rFonts w:ascii="宋体" w:hAnsi="宋体"/>
          <w:sz w:val="24"/>
        </w:rPr>
        <w:lastRenderedPageBreak/>
        <w:t>变化的，可使用最新的基金份额净值为基础或参考类似投资品种的现行市价及重大变化因素调整最近交易市价，确定公允价值；</w:t>
      </w:r>
    </w:p>
    <w:p w14:paraId="029CF23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如果所投资基金前一估值日至估值日期间发生分红除权、折算或拆分，基金管理人应根据基金份额净值或收盘价、单位基金份额分红金额、折算拆分比例、持仓份额等因素合理确定公允价值；</w:t>
      </w:r>
    </w:p>
    <w:p w14:paraId="5A03DE4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（8）当基金管理人认为所投资基金按上述第（1）至第（7）条进行估值存在不公允时，应与基金托管人协商一致采用合理的估值技术或估值标准确定其公允价值。</w:t>
      </w:r>
    </w:p>
    <w:p w14:paraId="6172FE2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2、证券交易所上市的有价证券的估值</w:t>
      </w:r>
    </w:p>
    <w:p w14:paraId="138DA73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C53C80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（2）交易所市场上市交易或挂牌转让的固定收益品种（另有规定的除外），选取第三方估值机构提供的相应品种当日的估值净价进行估值；</w:t>
      </w:r>
    </w:p>
    <w:p w14:paraId="752DD4D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（3）交易所市场上市交易的可转换债券，按估值日收盘价减去可转换债券收盘价中所含债券应收利息后得到的净价进行估值；</w:t>
      </w:r>
    </w:p>
    <w:p w14:paraId="7A4A1DB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（4）交易所市场挂牌转让的资产支持证券和私募债券，采用估值技术确定公允价值。</w:t>
      </w:r>
    </w:p>
    <w:p w14:paraId="0862833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3、证券交易所发行未上市期间的有价证券应区分如下情况处理：</w:t>
      </w:r>
    </w:p>
    <w:p w14:paraId="464FD1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（1）送股、转增股、配股和公开增发的新股，按估值日在证券交易所挂牌的同一股票的估值方法估值；</w:t>
      </w:r>
    </w:p>
    <w:p w14:paraId="7F357D3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（2）首次公开发行未上市的股票和权证，采用估值技术确定公允价值；</w:t>
      </w:r>
    </w:p>
    <w:p w14:paraId="4211741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（3）发行时明确一定期限限售期的股票，包括但不限于非公开发行股票、首次公开发行股票时公司股东公开发售股份、通过大宗交易取得的带限售期的股票等，按监管机构或行业协会有关规定确定公允价值；</w:t>
      </w:r>
    </w:p>
    <w:p w14:paraId="329F200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（4）交易所市场发行未上市或未挂牌转让的债券，采用估值技术确定公允价值。</w:t>
      </w:r>
    </w:p>
    <w:p w14:paraId="1D9C4A3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4、银行间市场上市交易的固定收益品种，选取第三方估值机构提供的相应品种当日的估值净价进行估值。银行间市场发行未上市的固定收益品种，采用估值技术确定公允价值。</w:t>
      </w:r>
    </w:p>
    <w:p w14:paraId="0FD7F72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5、如有确凿证据表明按上述方法进行估值不能客观反映其公允价值的，基金管理人可根据具体情况与基金托管人商定后，按最能反映公允价值的方法估值。</w:t>
      </w:r>
    </w:p>
    <w:p w14:paraId="6B30439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6、当发生大额申购或赎回情形时，基金管理人可以对本基金采用摆动定价机制，以确保基金估值的公平性。</w:t>
      </w:r>
    </w:p>
    <w:p w14:paraId="359ED8B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7、本基金投资存托凭证的估值核算依照境内上市交易的股票执行。</w:t>
      </w:r>
    </w:p>
    <w:p w14:paraId="29EBE57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8、相关法律法规以及监管部门有强制规定的，从其规定。如有新增事项，按法律法规以及监管部门最新规定估值。</w:t>
      </w:r>
    </w:p>
    <w:p w14:paraId="59CF57B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26575A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9605866"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（四）估值程序</w:t>
      </w:r>
    </w:p>
    <w:p w14:paraId="502BFFC5" w14:textId="04D5474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w:t>
      </w:r>
      <w:r w:rsidR="00F90784" w:rsidRPr="003E746D">
        <w:rPr>
          <w:rFonts w:hint="eastAsia"/>
          <w:bCs/>
          <w:sz w:val="24"/>
        </w:rPr>
        <w:t>各类基金份额的</w:t>
      </w:r>
      <w:r w:rsidRPr="003E746D">
        <w:rPr>
          <w:rFonts w:ascii="宋体" w:hAnsi="宋体"/>
          <w:sz w:val="24"/>
        </w:rPr>
        <w:t>基金份额净值是按照估值日</w:t>
      </w:r>
      <w:r w:rsidR="00F90784" w:rsidRPr="003E746D">
        <w:rPr>
          <w:rFonts w:ascii="宋体" w:hAnsi="宋体" w:hint="eastAsia"/>
          <w:sz w:val="24"/>
        </w:rPr>
        <w:t>，</w:t>
      </w:r>
      <w:r w:rsidR="00D013D4" w:rsidRPr="003E746D">
        <w:rPr>
          <w:rFonts w:hint="eastAsia"/>
          <w:bCs/>
          <w:sz w:val="24"/>
        </w:rPr>
        <w:t>该类基金份额的</w:t>
      </w:r>
      <w:r w:rsidRPr="003E746D">
        <w:rPr>
          <w:rFonts w:ascii="宋体" w:hAnsi="宋体"/>
          <w:sz w:val="24"/>
        </w:rPr>
        <w:t>基金资产净值除以估值日</w:t>
      </w:r>
      <w:r w:rsidR="00F90784" w:rsidRPr="003E746D">
        <w:rPr>
          <w:rFonts w:hint="eastAsia"/>
          <w:bCs/>
          <w:sz w:val="24"/>
        </w:rPr>
        <w:t>该类</w:t>
      </w:r>
      <w:r w:rsidRPr="003E746D">
        <w:rPr>
          <w:rFonts w:ascii="宋体" w:hAnsi="宋体"/>
          <w:sz w:val="24"/>
        </w:rPr>
        <w:t>基金份额的余额数量计算，精确到0.0001元，小数点后第五位四舍五入。国家另有规定的，从其规定。T日的基金份额净值在所投资基金披露净值或万份收益当日（法定节假日顺延至第一个交易日）计算，并在T+3日内披露本基金T日</w:t>
      </w:r>
      <w:r w:rsidR="00F90784" w:rsidRPr="003E746D">
        <w:rPr>
          <w:rFonts w:hint="eastAsia"/>
          <w:bCs/>
          <w:sz w:val="24"/>
        </w:rPr>
        <w:t>各类基金份额</w:t>
      </w:r>
      <w:r w:rsidRPr="003E746D">
        <w:rPr>
          <w:rFonts w:ascii="宋体" w:hAnsi="宋体"/>
          <w:sz w:val="24"/>
        </w:rPr>
        <w:t>的基金份额净值和基金份额累计净值。</w:t>
      </w:r>
    </w:p>
    <w:p w14:paraId="43001AA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基金管理人于每个工作日</w:t>
      </w:r>
      <w:r w:rsidR="00F90784" w:rsidRPr="003E746D">
        <w:rPr>
          <w:rFonts w:hint="eastAsia"/>
          <w:bCs/>
          <w:sz w:val="24"/>
        </w:rPr>
        <w:t>分别</w:t>
      </w:r>
      <w:r w:rsidRPr="003E746D">
        <w:rPr>
          <w:rFonts w:ascii="宋体" w:hAnsi="宋体"/>
          <w:sz w:val="24"/>
        </w:rPr>
        <w:t>计算</w:t>
      </w:r>
      <w:r w:rsidR="00F90784" w:rsidRPr="003E746D">
        <w:rPr>
          <w:rFonts w:hint="eastAsia"/>
          <w:bCs/>
          <w:sz w:val="24"/>
        </w:rPr>
        <w:t>各类基金份额的</w:t>
      </w:r>
      <w:r w:rsidRPr="003E746D">
        <w:rPr>
          <w:rFonts w:ascii="宋体" w:hAnsi="宋体"/>
          <w:sz w:val="24"/>
        </w:rPr>
        <w:t>基金资产净值及基金份额净值，并按规定公告。如遇特殊情况，经中国证监会同意，可以适当延迟计算或公告。</w:t>
      </w:r>
    </w:p>
    <w:p w14:paraId="760C1B8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2、基金管理人应每个工作日对基金资产估值，但基金管理人根据法律法规或基金合同的规定暂停估值时除外。基金管理人每个工作日对基金资产估值后，将</w:t>
      </w:r>
      <w:r w:rsidR="00F90784" w:rsidRPr="003E746D">
        <w:rPr>
          <w:rFonts w:hint="eastAsia"/>
          <w:bCs/>
          <w:sz w:val="24"/>
        </w:rPr>
        <w:t>各类</w:t>
      </w:r>
      <w:r w:rsidRPr="003E746D">
        <w:rPr>
          <w:rFonts w:ascii="宋体" w:hAnsi="宋体"/>
          <w:sz w:val="24"/>
        </w:rPr>
        <w:t>基金份额净值结果发送基金托管人，经基金托管人复核无误后，由基金管理人依据基金合同的约定和相关法律法规的规定对外公布。</w:t>
      </w:r>
    </w:p>
    <w:p w14:paraId="49895BEB"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lastRenderedPageBreak/>
        <w:t>（五）估值错误的处理</w:t>
      </w:r>
    </w:p>
    <w:p w14:paraId="359817A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基金管理人和基金托管人将采取必要、适当、合理的措施确保基金资产估值的准确性、及时性。当基金份额净值小数点后第4位以内（含第4位）发生估值错误时，视为基金份额净值错误。</w:t>
      </w:r>
    </w:p>
    <w:p w14:paraId="26D0D80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34FC8DB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基金合同的当事人应按照以下约定处理：</w:t>
      </w:r>
    </w:p>
    <w:p w14:paraId="57D6558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1、估值错误类型</w:t>
      </w:r>
    </w:p>
    <w:p w14:paraId="549C6CB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003A3A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上述估值错误的主要类型包括但不限于：资料申报差错、数据传输差错、数据计算差错、系统故障差错、下达指令差错等。</w:t>
      </w:r>
    </w:p>
    <w:p w14:paraId="76AA7BE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对于因技术原因引起的差错，若系同行业现有技术水平无法预见、无法避免、无法抗拒，则属不可抗力。</w:t>
      </w:r>
    </w:p>
    <w:p w14:paraId="05607A9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14C419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2、估值错误处理原则</w:t>
      </w:r>
    </w:p>
    <w:p w14:paraId="457CD09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05AF41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（2）估值错误的责任方对有关当事人的直接损失负责，不对间接损失负责，并且仅对估值错误的有关直接当事人负责，不对第三方负责。</w:t>
      </w:r>
    </w:p>
    <w:p w14:paraId="1C52076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F271A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（4）估值错误调整采用尽量恢复至假设未发生估值错误的正确情形的方式。</w:t>
      </w:r>
    </w:p>
    <w:p w14:paraId="1CFEE3D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（5）按法律法规规定的其他原则处理估值错误。</w:t>
      </w:r>
    </w:p>
    <w:p w14:paraId="7977969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3、估值错误处理程序</w:t>
      </w:r>
    </w:p>
    <w:p w14:paraId="7BD8A60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估值错误被发现后，有关的当事人应当及时进行处理，处理的程序如下：</w:t>
      </w:r>
    </w:p>
    <w:p w14:paraId="416704F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（1）查明估值错误发生的原因，列明所有的当事人，并根据估值错误发生的原因确定估值错误的责任方；</w:t>
      </w:r>
    </w:p>
    <w:p w14:paraId="2836FD4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（2）根据估值错误处理原则或当事人协商的方法对因估值错误造成的损失进行评估；</w:t>
      </w:r>
    </w:p>
    <w:p w14:paraId="60A0774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（3）根据估值错误处理原则或当事人协商的方法由估值错误的责任方进行更正和赔偿损失；</w:t>
      </w:r>
    </w:p>
    <w:p w14:paraId="070D6FE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（4）根据估值错误处理的方法，需要修改基金登记机构交易数据的，由基金登记机构进行更正，并就估值错误的更正向有关当事人进行确认。</w:t>
      </w:r>
    </w:p>
    <w:p w14:paraId="298AF43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4、基金份额净值估值错误处理的方法如下：</w:t>
      </w:r>
    </w:p>
    <w:p w14:paraId="52C6DEA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（1）基金份额净值计算出现错误时，基金管理人应当立即予以纠正，通报基金托管人，并采取合理的措施防止损失进一步扩大。</w:t>
      </w:r>
    </w:p>
    <w:p w14:paraId="3257B6BB" w14:textId="44C8A5BE"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6A0A018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（3）前述内容如法律法规或监管机构另有规定的，从其规定处理。</w:t>
      </w:r>
    </w:p>
    <w:p w14:paraId="1CE92023"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（六）暂停估值的情形</w:t>
      </w:r>
    </w:p>
    <w:p w14:paraId="3682A9D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1、基金投资所涉及的证券交易市场遇法定节假日或因其他原因暂停营业时；</w:t>
      </w:r>
    </w:p>
    <w:p w14:paraId="4DBB8A9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2、因不可抗力致使基金管理人、基金托管人无法准确评估基金资产价值时；</w:t>
      </w:r>
    </w:p>
    <w:p w14:paraId="2EC137C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3、由于本基金持有的相当比例的基金暂停估值，导致基金管理人无法计算当</w:t>
      </w:r>
      <w:r w:rsidRPr="003E746D">
        <w:rPr>
          <w:rFonts w:ascii="宋体" w:hAnsi="宋体"/>
          <w:sz w:val="24"/>
        </w:rPr>
        <w:lastRenderedPageBreak/>
        <w:t>日基金资产净值；</w:t>
      </w:r>
    </w:p>
    <w:p w14:paraId="45865EA2" w14:textId="5CED811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4、当前一估值日基金资产净值50%以上的资产出现无可参考的活跃市场价格且采用估值技术仍导致公允价值存在重大不确定性时，经与基金托管人协商确认后，基金管理人应当暂停基金估值；</w:t>
      </w:r>
    </w:p>
    <w:p w14:paraId="4EE9384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5、法律法规或中国证监会规定的和基金合同约定的其它情形。</w:t>
      </w:r>
    </w:p>
    <w:p w14:paraId="6421DECD"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（七）基金净值的确认</w:t>
      </w:r>
    </w:p>
    <w:p w14:paraId="026D4FD8" w14:textId="3156A782" w:rsidR="004D2F6C" w:rsidRPr="003E746D" w:rsidRDefault="00F90784">
      <w:pPr>
        <w:autoSpaceDE w:val="0"/>
        <w:autoSpaceDN w:val="0"/>
        <w:adjustRightInd w:val="0"/>
        <w:snapToGrid w:val="0"/>
        <w:spacing w:line="360" w:lineRule="auto"/>
        <w:ind w:firstLineChars="200" w:firstLine="480"/>
        <w:jc w:val="left"/>
        <w:rPr>
          <w:rFonts w:ascii="宋体" w:hAnsi="宋体"/>
          <w:szCs w:val="24"/>
        </w:rPr>
      </w:pPr>
      <w:r w:rsidRPr="003E746D">
        <w:rPr>
          <w:rFonts w:hint="eastAsia"/>
          <w:bCs/>
          <w:sz w:val="24"/>
        </w:rPr>
        <w:t>各类基金份额的</w:t>
      </w:r>
      <w:r w:rsidR="00435F28" w:rsidRPr="003E746D">
        <w:rPr>
          <w:rFonts w:ascii="宋体" w:hAnsi="宋体"/>
          <w:sz w:val="24"/>
        </w:rPr>
        <w:t>基金资产净值和基金份额净值由基金管理人负责计算，基金托管人负责进行复核。基金管理人应于每个工作日计算</w:t>
      </w:r>
      <w:r w:rsidR="000C3294" w:rsidRPr="003E746D">
        <w:rPr>
          <w:rFonts w:hint="eastAsia"/>
          <w:bCs/>
          <w:sz w:val="24"/>
        </w:rPr>
        <w:t>各类基金份额的</w:t>
      </w:r>
      <w:r w:rsidR="00435F28" w:rsidRPr="003E746D">
        <w:rPr>
          <w:rFonts w:ascii="宋体" w:hAnsi="宋体"/>
          <w:sz w:val="24"/>
        </w:rPr>
        <w:t>基金资产净值和基金份额净值并发送给基金托管人。基金托管人对净值计算结果复核确认后发送给基金管理人，由基金管理人依据基金合同和相关法律法规的规定对基金净值予以公布。</w:t>
      </w:r>
    </w:p>
    <w:p w14:paraId="369CBE20"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（八）特殊情形的处理</w:t>
      </w:r>
    </w:p>
    <w:p w14:paraId="3636B55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1、基金管理人或基金托管人按估值方法的第5项进行估值时，所造成的误差不作为基金资产估值错误处理。</w:t>
      </w:r>
    </w:p>
    <w:p w14:paraId="6BD84BD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2、由于不可抗力原因，或 由于证券交易所、证券经纪机构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3E21A2C"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7412E41F" w14:textId="78526585" w:rsidR="004D2F6C" w:rsidRPr="003E746D" w:rsidRDefault="00435F28">
      <w:pPr>
        <w:pStyle w:val="1"/>
        <w:snapToGrid w:val="0"/>
        <w:spacing w:beforeLines="0" w:before="240" w:after="240"/>
        <w:rPr>
          <w:rFonts w:ascii="宋体" w:hAnsi="宋体"/>
          <w:szCs w:val="30"/>
        </w:rPr>
      </w:pPr>
      <w:bookmarkStart w:id="16" w:name="_Toc104410522"/>
      <w:r w:rsidRPr="003E746D">
        <w:rPr>
          <w:rFonts w:ascii="Times New Roman" w:hAnsi="Times New Roman"/>
          <w:sz w:val="30"/>
        </w:rPr>
        <w:lastRenderedPageBreak/>
        <w:t>十三、基金收益与分配</w:t>
      </w:r>
      <w:bookmarkEnd w:id="16"/>
    </w:p>
    <w:p w14:paraId="13C666CF"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（一）基金利润的构成</w:t>
      </w:r>
    </w:p>
    <w:p w14:paraId="3D62DC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基金利润指基金利息收入、投资收益、公允价值变动收益和其他收入扣除相关费用后的余额，基金已实现收益指基金利润减去公允价值变动收益后的余额。</w:t>
      </w:r>
    </w:p>
    <w:p w14:paraId="14A88747"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（二）基金可供分配利润</w:t>
      </w:r>
    </w:p>
    <w:p w14:paraId="205A643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基金可供分配利润指截至收益分配基准日基金未分配利润与未分配利润中已实现收益的孰低数。</w:t>
      </w:r>
    </w:p>
    <w:p w14:paraId="46C37F60"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（三）基金收益分配原则</w:t>
      </w:r>
    </w:p>
    <w:p w14:paraId="54FA673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1、在符合有关基金分红条件的前提下，本基金管理人可以根据实际情况进行收益分配，具体分配方案以公告为准。若《基金合同》生效不满3个月可不进行收益分配；</w:t>
      </w:r>
    </w:p>
    <w:p w14:paraId="25563439" w14:textId="3C1F7BC5" w:rsidR="000C3294" w:rsidRPr="003E746D" w:rsidRDefault="000C3294" w:rsidP="000C3294">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2、</w:t>
      </w:r>
      <w:r w:rsidR="006057A3" w:rsidRPr="003E746D">
        <w:rPr>
          <w:rFonts w:ascii="宋体" w:hAnsi="宋体" w:hint="eastAsia"/>
          <w:sz w:val="24"/>
        </w:rPr>
        <w:t>本基金收益分配方式分两种</w:t>
      </w:r>
      <w:r w:rsidR="00695023" w:rsidRPr="003E746D">
        <w:rPr>
          <w:rFonts w:ascii="宋体" w:hAnsi="宋体" w:hint="eastAsia"/>
          <w:sz w:val="24"/>
        </w:rPr>
        <w:t>：现金分红与红利再投资，投资者可选择现金红利或将现金红利自动转为相应类别的基金份额进行再投资；若投资者不选择，A类基金份额默认的收益分配方式是现金分红，Y类基金份额默认的收益分配方式为红利再投资；投资者红利再投资所得的该类基金份额不受最短持有期限制；</w:t>
      </w:r>
    </w:p>
    <w:p w14:paraId="771E2B9F" w14:textId="77777777" w:rsidR="000C3294" w:rsidRPr="003E746D" w:rsidRDefault="000C3294" w:rsidP="000C3294">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3、基金收益分配后任一类基金份额净值不能低于面值，即基金收益分配基准日的任一类基金份额净值减去每单位该类基金份额收益分配金额后不能低于面值；</w:t>
      </w:r>
    </w:p>
    <w:p w14:paraId="34C51811" w14:textId="4B2EB8D0" w:rsidR="004D2F6C" w:rsidRPr="003E746D" w:rsidRDefault="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4、本基金各基金份额类别对应的可供分配利润可能有所不同；本基金同一基金份额类别的每一基金份额享有同等分配权；</w:t>
      </w:r>
    </w:p>
    <w:p w14:paraId="0839209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5、法律法规或监管机构另有规定的，从其规定。</w:t>
      </w:r>
    </w:p>
    <w:p w14:paraId="12A30CBB"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（四）收益分配方案</w:t>
      </w:r>
    </w:p>
    <w:p w14:paraId="142C224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基金收益分配方案中应载明截止收益分配基准日的可供分配利润、基金收益分配对象、分配时间、分配数额及比例、分配方式等内容。</w:t>
      </w:r>
    </w:p>
    <w:p w14:paraId="7C2C9892"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（五）收益分配方案的确定、公告与实施</w:t>
      </w:r>
    </w:p>
    <w:p w14:paraId="55E6068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本基金收益分配方案由基金管理人拟定，并由基金托管人复核，依照《信息披露办法》的有关规定在指定媒介公告。</w:t>
      </w:r>
    </w:p>
    <w:p w14:paraId="7494919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基金红利发放日距离收益分配基准日（即可供分配利润计算截止日）的时间不得超过15个工作日。</w:t>
      </w:r>
    </w:p>
    <w:p w14:paraId="02A29BC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法律法规或监管机构另有规定的，从其规定。</w:t>
      </w:r>
    </w:p>
    <w:p w14:paraId="333E4103"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（六）基金收益分配中发生的费用</w:t>
      </w:r>
    </w:p>
    <w:p w14:paraId="7650DA4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w:t>
      </w:r>
      <w:r w:rsidR="000C3294" w:rsidRPr="003E746D">
        <w:rPr>
          <w:rFonts w:ascii="宋体" w:hAnsi="宋体" w:hint="eastAsia"/>
          <w:sz w:val="24"/>
        </w:rPr>
        <w:t>相应类别的</w:t>
      </w:r>
      <w:r w:rsidRPr="003E746D">
        <w:rPr>
          <w:rFonts w:ascii="宋体" w:hAnsi="宋体"/>
          <w:sz w:val="24"/>
        </w:rPr>
        <w:t>基金份额。红利再投资的计算方法，依照《业务规则》执行。</w:t>
      </w:r>
    </w:p>
    <w:p w14:paraId="16D2732B"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（七）收益分配方式的修改</w:t>
      </w:r>
    </w:p>
    <w:p w14:paraId="2298F3E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投资人可至销售机构办理收益分配方式的修改，投资人对本基金不同的交易账户可设置不同的收益分配方式。</w:t>
      </w:r>
    </w:p>
    <w:p w14:paraId="60D13F4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投资人同一日多次申报收益分配方式变更的，按照《业务规则》执行，最终确认的收益分配方式以登记机构记录为准。</w:t>
      </w:r>
    </w:p>
    <w:p w14:paraId="56766621"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1738F52E" w14:textId="1A3A351D" w:rsidR="004D2F6C" w:rsidRPr="003E746D" w:rsidRDefault="00435F28">
      <w:pPr>
        <w:pStyle w:val="1"/>
        <w:snapToGrid w:val="0"/>
        <w:spacing w:beforeLines="0" w:before="240" w:after="240"/>
        <w:rPr>
          <w:rFonts w:ascii="宋体" w:hAnsi="宋体"/>
          <w:szCs w:val="30"/>
        </w:rPr>
      </w:pPr>
      <w:bookmarkStart w:id="17" w:name="_Toc104410523"/>
      <w:r w:rsidRPr="003E746D">
        <w:rPr>
          <w:rFonts w:ascii="Times New Roman" w:hAnsi="Times New Roman"/>
          <w:sz w:val="30"/>
        </w:rPr>
        <w:lastRenderedPageBreak/>
        <w:t>十四、基金的费用与税收</w:t>
      </w:r>
      <w:bookmarkEnd w:id="17"/>
    </w:p>
    <w:p w14:paraId="7F229C7B"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（一）基金费用的种类</w:t>
      </w:r>
    </w:p>
    <w:p w14:paraId="6DDA126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1、基金管理人的管理费；</w:t>
      </w:r>
    </w:p>
    <w:p w14:paraId="620176E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2、基金托管人的托管费；</w:t>
      </w:r>
    </w:p>
    <w:p w14:paraId="6D3B424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3、《基金合同》生效后与基金相关的信息披露费用；</w:t>
      </w:r>
    </w:p>
    <w:p w14:paraId="156A66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4、《基金合同》生效后与基金相关的会计师费、律师费、仲裁费和诉讼费；</w:t>
      </w:r>
    </w:p>
    <w:p w14:paraId="2DF590C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5、基金份额持有人大会费用；</w:t>
      </w:r>
    </w:p>
    <w:p w14:paraId="40BFC36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6、基金的证券、基金交易费用；</w:t>
      </w:r>
    </w:p>
    <w:p w14:paraId="17B877E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7、基金的银行汇划费用；</w:t>
      </w:r>
    </w:p>
    <w:p w14:paraId="1ADD7E5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8、基金的开户费用、账户维护费用；</w:t>
      </w:r>
    </w:p>
    <w:p w14:paraId="3E448EC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9、本基金投资其他基金产生的其他基金的销售费用（如申购费、赎回费、销售服务费等），但法律法规禁止从基金财产中列支的除外；</w:t>
      </w:r>
    </w:p>
    <w:p w14:paraId="6725FA2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10、按照国家有关规定和《基金合同》约定，可以在基金财产中列支的其他费用。</w:t>
      </w:r>
    </w:p>
    <w:p w14:paraId="36F9804E"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（二）基金费用计提方法、计提标准和支付方式</w:t>
      </w:r>
    </w:p>
    <w:p w14:paraId="1CBC12A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1、与基金运作有关的费用</w:t>
      </w:r>
    </w:p>
    <w:p w14:paraId="7624036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（1）基金管理人的管理费</w:t>
      </w:r>
    </w:p>
    <w:p w14:paraId="67067AD8" w14:textId="77777777" w:rsidR="003300B8" w:rsidRPr="003E746D" w:rsidRDefault="003300B8" w:rsidP="003300B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本基金基金财产中持有的基金管理人自身管理的基金部分不收取管理费。本基金各类基金份额按照不同的年费率计提管理费，各类基金份额的管理费按前一日该类基金资产净值扣除该类基金财产中持有的基金管理人自身管理的基金部分所对应资产净值后剩余部分的（若为负数，则取0）年管理费率计提。</w:t>
      </w:r>
    </w:p>
    <w:p w14:paraId="7EA3AA13" w14:textId="77777777" w:rsidR="003300B8" w:rsidRPr="003E746D" w:rsidRDefault="003300B8" w:rsidP="003300B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本基金A类基金份额的年管理费率为0.6%；本基金Y类基金份额的年管理费率为0.3%。</w:t>
      </w:r>
    </w:p>
    <w:p w14:paraId="67C09389" w14:textId="77777777" w:rsidR="003300B8" w:rsidRPr="003E746D" w:rsidRDefault="003300B8" w:rsidP="003300B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管理费的计算方法如下：</w:t>
      </w:r>
    </w:p>
    <w:p w14:paraId="61E8D9B1" w14:textId="77777777" w:rsidR="003300B8" w:rsidRPr="003E746D" w:rsidRDefault="003300B8" w:rsidP="003300B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H＝E×年管理费率÷当年天数</w:t>
      </w:r>
    </w:p>
    <w:p w14:paraId="3CF43CDC" w14:textId="77777777" w:rsidR="003300B8" w:rsidRPr="003E746D" w:rsidRDefault="003300B8" w:rsidP="003300B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H为各类基金份额每日应计提的基金管理费</w:t>
      </w:r>
    </w:p>
    <w:p w14:paraId="3830C8E0" w14:textId="4F2826FB" w:rsidR="004D2F6C" w:rsidRPr="003E746D" w:rsidRDefault="003300B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E为各类基金份额前一日的该类基金资产净值扣除该类基金财产中持有的基金管理人自身管理的基金部分所对应资产净值后剩余部分，若为负数，则E取0。</w:t>
      </w:r>
    </w:p>
    <w:p w14:paraId="4297088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基金管理费每日计提，按月支付。由基金管理人向基金托管人发送基金管理费划付指令，经基金托管人复核后于次月首日起3个工作日内从基金资产中一次性支</w:t>
      </w:r>
      <w:r w:rsidRPr="003E746D">
        <w:rPr>
          <w:rFonts w:ascii="宋体" w:hAnsi="宋体"/>
          <w:sz w:val="24"/>
        </w:rPr>
        <w:lastRenderedPageBreak/>
        <w:t>付给基金管理人。</w:t>
      </w:r>
    </w:p>
    <w:p w14:paraId="372DE92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若遇法定节假日、休息日或不可抗力致使无法按时支付的，顺延至最近可支付日支付。</w:t>
      </w:r>
    </w:p>
    <w:p w14:paraId="775617B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（2）基金托管人的托管费</w:t>
      </w:r>
    </w:p>
    <w:p w14:paraId="2FBCA5CE" w14:textId="77777777" w:rsidR="003300B8" w:rsidRPr="003E746D" w:rsidRDefault="003300B8" w:rsidP="003300B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本基金基金财产中持有的基金托管人自身托管的基金部分不收取托管费。本基金各类基金份额按照不同的年费率计提托管费，各类基金份额的托管费按前一日该类基金资产净值扣除该类基金财产中持有的基金托管人自身托管的基金部分所对应资产净值后剩余部分（若为负数，则取0）的年托管费率计提。</w:t>
      </w:r>
    </w:p>
    <w:p w14:paraId="733190CC" w14:textId="77777777" w:rsidR="003300B8" w:rsidRPr="003E746D" w:rsidRDefault="003300B8" w:rsidP="003300B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本基金A类基金份额的年托管费率为0.2%；本基金Y类基金份额的年托管费率为0.1%。</w:t>
      </w:r>
    </w:p>
    <w:p w14:paraId="4F8CCE74" w14:textId="77777777" w:rsidR="003300B8" w:rsidRPr="003E746D" w:rsidRDefault="003300B8" w:rsidP="003300B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托管费的计算方法如下：</w:t>
      </w:r>
    </w:p>
    <w:p w14:paraId="67D92B27" w14:textId="77777777" w:rsidR="003300B8" w:rsidRPr="003E746D" w:rsidRDefault="003300B8" w:rsidP="003300B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H＝E×年托管费率÷当年天数</w:t>
      </w:r>
    </w:p>
    <w:p w14:paraId="11597068" w14:textId="77777777" w:rsidR="003300B8" w:rsidRPr="003E746D" w:rsidRDefault="003300B8" w:rsidP="003300B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hint="eastAsia"/>
          <w:sz w:val="24"/>
        </w:rPr>
        <w:t>H为各类基金份额每日应计提的基金托管费</w:t>
      </w:r>
    </w:p>
    <w:p w14:paraId="6972AC6B" w14:textId="2C44EE46" w:rsidR="004D2F6C" w:rsidRPr="003E746D" w:rsidRDefault="003300B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E为各类基金份额前一日的该类基金资产净值扣除该类基金财产中持有的基金托管人自身托管的基金部分所对应资产净值后剩余部分，若为负数，则E取0。</w:t>
      </w:r>
    </w:p>
    <w:p w14:paraId="6F4D721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基金托管费每日计提，按月支付。由基金管理人向基金托管人发送基金托管费划付指令，经基金托管人复核后于次月首日起3个工作日内从基金资产中一次性支付给基金托管人。</w:t>
      </w:r>
    </w:p>
    <w:p w14:paraId="091FBC4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若遇法定节假日、休息日或不可抗力致使无法按时支付的，顺延至最近可支付日支付。</w:t>
      </w:r>
    </w:p>
    <w:p w14:paraId="21876988" w14:textId="77777777" w:rsidR="000C3294" w:rsidRPr="003E746D" w:rsidRDefault="00435F28" w:rsidP="000C3294">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sz w:val="24"/>
        </w:rPr>
        <w:t>（3）</w:t>
      </w:r>
      <w:r w:rsidR="000C3294" w:rsidRPr="003E746D">
        <w:rPr>
          <w:rFonts w:ascii="宋体" w:hAnsi="宋体" w:hint="eastAsia"/>
          <w:sz w:val="24"/>
        </w:rPr>
        <w:t>本基金Y类基金份额可对基金管理费和基金托管费实施一定的费率优惠，具体优惠请参看相关公告。</w:t>
      </w:r>
    </w:p>
    <w:p w14:paraId="62E8498A" w14:textId="77777777" w:rsidR="004D2F6C" w:rsidRPr="003E746D" w:rsidRDefault="000C3294" w:rsidP="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（4）</w:t>
      </w:r>
      <w:r w:rsidR="00435F28" w:rsidRPr="003E746D">
        <w:rPr>
          <w:rFonts w:ascii="宋体" w:hAnsi="宋体"/>
          <w:sz w:val="24"/>
        </w:rPr>
        <w:t>上述“（一）基金费用的种类”中第3－10项费用，根据有关法规及相应协议规定，按费用实际支出金额列入当期费用，由基金托管人从基金财产中支付。</w:t>
      </w:r>
    </w:p>
    <w:p w14:paraId="045A29C0" w14:textId="6B75C519"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w:t>
      </w:r>
      <w:r w:rsidR="000C3294" w:rsidRPr="003E746D">
        <w:rPr>
          <w:rFonts w:ascii="宋体" w:hAnsi="宋体" w:hint="eastAsia"/>
          <w:sz w:val="24"/>
        </w:rPr>
        <w:t>5</w:t>
      </w:r>
      <w:r w:rsidRPr="003E746D">
        <w:rPr>
          <w:rFonts w:ascii="宋体" w:hAnsi="宋体"/>
          <w:sz w:val="24"/>
        </w:rPr>
        <w:t>）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w:t>
      </w:r>
    </w:p>
    <w:p w14:paraId="12004C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2、与基金销售有关的费用</w:t>
      </w:r>
    </w:p>
    <w:p w14:paraId="3082676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（1）申购费</w:t>
      </w:r>
    </w:p>
    <w:p w14:paraId="15C5525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本基金申购费的费率水平、计算公式和收取方式详见“基金份额的申购与赎回”一章。</w:t>
      </w:r>
    </w:p>
    <w:p w14:paraId="4DF422A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（2）赎回费</w:t>
      </w:r>
    </w:p>
    <w:p w14:paraId="29E32F99" w14:textId="20174FD6" w:rsidR="004D2F6C" w:rsidRPr="003E746D" w:rsidRDefault="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本基金赎回费的费率水平、计算公式和收取方式详见“基金份额的申购与赎回”一章。</w:t>
      </w:r>
    </w:p>
    <w:p w14:paraId="0BA5D7E1"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（三）不列入基金费用的项目</w:t>
      </w:r>
    </w:p>
    <w:p w14:paraId="7457774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下列费用不列入基金费用：</w:t>
      </w:r>
    </w:p>
    <w:p w14:paraId="5A88B76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1、基金管理人和基金托管人因未履行或未完全履行义务导致的费用支出或基金财产的损失；</w:t>
      </w:r>
    </w:p>
    <w:p w14:paraId="49F038E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2、基金管理人和基金托管人处理与基金运作无关的事项发生的费用；</w:t>
      </w:r>
    </w:p>
    <w:p w14:paraId="1FC35A3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3、《基金合同》生效前的相关费用；</w:t>
      </w:r>
    </w:p>
    <w:p w14:paraId="2468021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4、其他根据相关法律法规及中国证监会的有关规定不得列入基金费用的项目。</w:t>
      </w:r>
    </w:p>
    <w:p w14:paraId="4523E7BE"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（四）基金税收</w:t>
      </w:r>
    </w:p>
    <w:p w14:paraId="0D7E4C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本基金运作过程中涉及的各纳税主体，其纳税义务按国家税收法律、法规执行。</w:t>
      </w:r>
    </w:p>
    <w:p w14:paraId="41400020"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4F51B366" w14:textId="238A13C4" w:rsidR="004D2F6C" w:rsidRPr="003E746D" w:rsidRDefault="00435F28">
      <w:pPr>
        <w:pStyle w:val="1"/>
        <w:snapToGrid w:val="0"/>
        <w:spacing w:beforeLines="0" w:before="240" w:after="240"/>
        <w:rPr>
          <w:rFonts w:ascii="宋体" w:hAnsi="宋体"/>
          <w:szCs w:val="30"/>
        </w:rPr>
      </w:pPr>
      <w:bookmarkStart w:id="18" w:name="_Toc104410524"/>
      <w:r w:rsidRPr="003E746D">
        <w:rPr>
          <w:rFonts w:ascii="Times New Roman" w:hAnsi="Times New Roman"/>
          <w:sz w:val="30"/>
        </w:rPr>
        <w:lastRenderedPageBreak/>
        <w:t>十五、基金的会计与审计</w:t>
      </w:r>
      <w:bookmarkEnd w:id="18"/>
    </w:p>
    <w:p w14:paraId="0C5C3FDA"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（一）基金会计政策</w:t>
      </w:r>
    </w:p>
    <w:p w14:paraId="4A0A41F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1、基金管理人为本基金的基金会计责任方；</w:t>
      </w:r>
    </w:p>
    <w:p w14:paraId="0691B4A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2、基金的会计年度为公历年度的1月1日至12月31日；</w:t>
      </w:r>
    </w:p>
    <w:p w14:paraId="1ECBC07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3、基金核算以人民币为记账本位币，以人民币元为记账单位；</w:t>
      </w:r>
    </w:p>
    <w:p w14:paraId="09A424C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4、会计制度执行国家有关会计制度；</w:t>
      </w:r>
    </w:p>
    <w:p w14:paraId="79237D9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5、本基金独立建账、独立核算；</w:t>
      </w:r>
    </w:p>
    <w:p w14:paraId="61961CD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6、基金管理人及基金托管人各自保留完整的会计账目、凭证并进行日常的会计核算，按照有关规定编制基金会计报表；</w:t>
      </w:r>
    </w:p>
    <w:p w14:paraId="56DE32C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7、基金托管人每月与基金管理人就基金的会计核算、报表编制等进行核对并以书面方式确认。</w:t>
      </w:r>
    </w:p>
    <w:p w14:paraId="255017F3"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（二）基金的年度审计</w:t>
      </w:r>
    </w:p>
    <w:p w14:paraId="0CB39C9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1、基金管理人聘请与基金管理人、基金托管人相互独立的具有证券、期货相关从业资格的会计师事务所及其注册会计师对本基金的年度财务报表进行审计。</w:t>
      </w:r>
    </w:p>
    <w:p w14:paraId="618A57F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2、会计师事务所更换经办注册会计师，应事先征得基金管理人同意。</w:t>
      </w:r>
    </w:p>
    <w:p w14:paraId="135D912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3、基金管理人认为有充足理由更换会计师事务所，须通报基金托管人。更换会计师事务所需按照《信息披露办法》的有关规定在指定媒介公告。</w:t>
      </w:r>
    </w:p>
    <w:p w14:paraId="0796204C"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2561ADA5" w14:textId="030F855F" w:rsidR="004D2F6C" w:rsidRPr="003E746D" w:rsidRDefault="00435F28">
      <w:pPr>
        <w:pStyle w:val="1"/>
        <w:snapToGrid w:val="0"/>
        <w:spacing w:beforeLines="0" w:before="240" w:after="240"/>
        <w:rPr>
          <w:rFonts w:ascii="宋体" w:hAnsi="宋体"/>
          <w:szCs w:val="30"/>
        </w:rPr>
      </w:pPr>
      <w:bookmarkStart w:id="19" w:name="_Toc104410525"/>
      <w:r w:rsidRPr="003E746D">
        <w:rPr>
          <w:rFonts w:ascii="Times New Roman" w:hAnsi="Times New Roman"/>
          <w:sz w:val="30"/>
        </w:rPr>
        <w:lastRenderedPageBreak/>
        <w:t>十六、基金的信息披露</w:t>
      </w:r>
      <w:bookmarkEnd w:id="19"/>
    </w:p>
    <w:p w14:paraId="2F4F68F6"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（一）本基金的信息披露应符合《基金法》、《运作办法》、《信息披露办法》、《流动性规定》、《基金合同》及其他有关规定。</w:t>
      </w:r>
    </w:p>
    <w:p w14:paraId="147A6CED"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（二）信息披露义务人</w:t>
      </w:r>
    </w:p>
    <w:p w14:paraId="37B1857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本基金信息披露义务人包括基金管理人、基金托管人、召集基金份额持有人大会的基金份额持有人等法律法规和中国证监会规定的自然人、法人和非法人组织。</w:t>
      </w:r>
    </w:p>
    <w:p w14:paraId="305AA12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1FE5AE2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495735EF"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（三）本基金信息披露义务人承诺公开披露的基金信息，不得有下列行为：</w:t>
      </w:r>
    </w:p>
    <w:p w14:paraId="31BCDFE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1、虚假记载、误导性陈述或者重大遗漏；</w:t>
      </w:r>
    </w:p>
    <w:p w14:paraId="35E65EB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2、对证券投资业绩进行预测；</w:t>
      </w:r>
    </w:p>
    <w:p w14:paraId="61CD268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3、违规承诺收益或者承担损失；</w:t>
      </w:r>
    </w:p>
    <w:p w14:paraId="164B761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4、诋毁其他基金管理人、基金托管人或者基金销售机构；</w:t>
      </w:r>
    </w:p>
    <w:p w14:paraId="67FE058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5、登载任何自然人、法人和非法人组织的祝贺性、恭维性或推荐性的文字；</w:t>
      </w:r>
    </w:p>
    <w:p w14:paraId="1727F11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6、中国证监会禁止的其他行为。</w:t>
      </w:r>
    </w:p>
    <w:p w14:paraId="72585398"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418BEB6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本基金公开披露的信息采用阿拉伯数字；除特别说明外，货币单位为人民币元。</w:t>
      </w:r>
    </w:p>
    <w:p w14:paraId="2FD37C28"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（五）公开披露的基金信息</w:t>
      </w:r>
    </w:p>
    <w:p w14:paraId="5F4ECFE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公开披露的基金信息包括：</w:t>
      </w:r>
    </w:p>
    <w:p w14:paraId="6D8B257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1、基金招募说明书、《基金合同》、基金托管协议、基金产品资料概要</w:t>
      </w:r>
    </w:p>
    <w:p w14:paraId="0E2A125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7F0D621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F794D8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（3）基金托管协议是界定基金托管人和基金管理人在基金财产保管及基金运作监督等活动中的权利、义务关系的法律文件。</w:t>
      </w:r>
    </w:p>
    <w:p w14:paraId="2B9FCBA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C545B1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3B37A5F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2、基金份额发售公告</w:t>
      </w:r>
    </w:p>
    <w:p w14:paraId="60E71DC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基金管理人应当就基金份额发售的具体事宜编制基金份额发售公告，并在披露招募说明书的当日登载于指定媒介上。</w:t>
      </w:r>
    </w:p>
    <w:p w14:paraId="1D6DE00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3、《基金合同》生效公告</w:t>
      </w:r>
    </w:p>
    <w:p w14:paraId="1B37BD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基金管理人应当在收到中国证监会确认文件的次日在指定媒介上登载《基金合同》生效公告。</w:t>
      </w:r>
    </w:p>
    <w:p w14:paraId="447E7A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4、基金净值信息</w:t>
      </w:r>
    </w:p>
    <w:p w14:paraId="4338EEE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《基金合同》生效后，在开始办理基金份额申购或者赎回前，基金管理人应当至少每周在指定网站</w:t>
      </w:r>
      <w:r w:rsidR="000C3294" w:rsidRPr="003E746D">
        <w:rPr>
          <w:rFonts w:hint="eastAsia"/>
          <w:bCs/>
          <w:sz w:val="24"/>
        </w:rPr>
        <w:t>分别</w:t>
      </w:r>
      <w:r w:rsidRPr="003E746D">
        <w:rPr>
          <w:rFonts w:ascii="宋体" w:hAnsi="宋体"/>
          <w:sz w:val="24"/>
        </w:rPr>
        <w:t>披露一次</w:t>
      </w:r>
      <w:r w:rsidR="000C3294" w:rsidRPr="003E746D">
        <w:rPr>
          <w:rFonts w:hint="eastAsia"/>
          <w:bCs/>
          <w:sz w:val="24"/>
        </w:rPr>
        <w:t>A</w:t>
      </w:r>
      <w:r w:rsidR="000C3294" w:rsidRPr="003E746D">
        <w:rPr>
          <w:rFonts w:hint="eastAsia"/>
          <w:bCs/>
          <w:sz w:val="24"/>
        </w:rPr>
        <w:t>类基金份额和</w:t>
      </w:r>
      <w:r w:rsidR="000C3294" w:rsidRPr="003E746D">
        <w:rPr>
          <w:rFonts w:hint="eastAsia"/>
          <w:bCs/>
          <w:sz w:val="24"/>
        </w:rPr>
        <w:t>Y</w:t>
      </w:r>
      <w:r w:rsidR="000C3294" w:rsidRPr="003E746D">
        <w:rPr>
          <w:rFonts w:hint="eastAsia"/>
          <w:bCs/>
          <w:sz w:val="24"/>
        </w:rPr>
        <w:t>类基金份额所对应的</w:t>
      </w:r>
      <w:r w:rsidRPr="003E746D">
        <w:rPr>
          <w:rFonts w:ascii="宋体" w:hAnsi="宋体"/>
          <w:sz w:val="24"/>
        </w:rPr>
        <w:t>基金份额净值和基金份额累计净值。</w:t>
      </w:r>
    </w:p>
    <w:p w14:paraId="7A32AA4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在开始办理基金份额申购或者赎回后，基金管理人应当在不晚于每个开放日后的3个工作日内，通过指定网站、基金销售机构网站或者营业网点</w:t>
      </w:r>
      <w:r w:rsidR="000C3294" w:rsidRPr="003E746D">
        <w:rPr>
          <w:rFonts w:hint="eastAsia"/>
          <w:bCs/>
          <w:sz w:val="24"/>
        </w:rPr>
        <w:t>分别</w:t>
      </w:r>
      <w:r w:rsidRPr="003E746D">
        <w:rPr>
          <w:rFonts w:ascii="宋体" w:hAnsi="宋体"/>
          <w:sz w:val="24"/>
        </w:rPr>
        <w:t>披露开放日</w:t>
      </w:r>
      <w:r w:rsidR="000C3294" w:rsidRPr="003E746D">
        <w:rPr>
          <w:rFonts w:hint="eastAsia"/>
          <w:bCs/>
          <w:sz w:val="24"/>
        </w:rPr>
        <w:t>A</w:t>
      </w:r>
      <w:r w:rsidR="000C3294" w:rsidRPr="003E746D">
        <w:rPr>
          <w:rFonts w:hint="eastAsia"/>
          <w:bCs/>
          <w:sz w:val="24"/>
        </w:rPr>
        <w:t>类基金份额和</w:t>
      </w:r>
      <w:r w:rsidR="000C3294" w:rsidRPr="003E746D">
        <w:rPr>
          <w:rFonts w:hint="eastAsia"/>
          <w:bCs/>
          <w:sz w:val="24"/>
        </w:rPr>
        <w:t>Y</w:t>
      </w:r>
      <w:r w:rsidR="000C3294" w:rsidRPr="003E746D">
        <w:rPr>
          <w:rFonts w:hint="eastAsia"/>
          <w:bCs/>
          <w:sz w:val="24"/>
        </w:rPr>
        <w:t>类基金份额所对应</w:t>
      </w:r>
      <w:r w:rsidRPr="003E746D">
        <w:rPr>
          <w:rFonts w:ascii="宋体" w:hAnsi="宋体"/>
          <w:sz w:val="24"/>
        </w:rPr>
        <w:t>的基金份额净值和基金份额累计净值。</w:t>
      </w:r>
    </w:p>
    <w:p w14:paraId="04BB37C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基金管理人应当在不晚于半年度和年度最后一日后的3个工作日内，在指定网站披露半年度和年度最后一日</w:t>
      </w:r>
      <w:r w:rsidR="000C3294" w:rsidRPr="003E746D">
        <w:rPr>
          <w:rFonts w:hint="eastAsia"/>
          <w:bCs/>
          <w:sz w:val="24"/>
        </w:rPr>
        <w:t>A</w:t>
      </w:r>
      <w:r w:rsidR="000C3294" w:rsidRPr="003E746D">
        <w:rPr>
          <w:rFonts w:hint="eastAsia"/>
          <w:bCs/>
          <w:sz w:val="24"/>
        </w:rPr>
        <w:t>类基金份额和</w:t>
      </w:r>
      <w:r w:rsidR="000C3294" w:rsidRPr="003E746D">
        <w:rPr>
          <w:rFonts w:hint="eastAsia"/>
          <w:bCs/>
          <w:sz w:val="24"/>
        </w:rPr>
        <w:t>Y</w:t>
      </w:r>
      <w:r w:rsidR="000C3294" w:rsidRPr="003E746D">
        <w:rPr>
          <w:rFonts w:hint="eastAsia"/>
          <w:bCs/>
          <w:sz w:val="24"/>
        </w:rPr>
        <w:t>类基金份额所对应</w:t>
      </w:r>
      <w:r w:rsidRPr="003E746D">
        <w:rPr>
          <w:rFonts w:ascii="宋体" w:hAnsi="宋体"/>
          <w:sz w:val="24"/>
        </w:rPr>
        <w:t>的基金份额净值和基金份额累计净值。</w:t>
      </w:r>
    </w:p>
    <w:p w14:paraId="1D5729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5、基金份额申购、赎回价格</w:t>
      </w:r>
    </w:p>
    <w:p w14:paraId="33D66E4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451F8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6、基金定期报告，包括基金年度报告、基金中期报告和基金季度报告</w:t>
      </w:r>
    </w:p>
    <w:p w14:paraId="17ADBA9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EDD138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基金管理人应当在上半年结束之日起两个月内，编制完成基金中期报告，将中期报告登载在指定网站上，并将中期报告提示性公告登载在指定报刊上。</w:t>
      </w:r>
    </w:p>
    <w:p w14:paraId="024394A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基金管理人应当在季度结束之日起15个工作日内，编制完成基金季度报告，将季度报告登载在指定网站上，并将季度报告提示性公告登载在指定报刊上。</w:t>
      </w:r>
    </w:p>
    <w:p w14:paraId="75AAF73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《基金合同》生效不足2个月的，基金管理人可以不编制当期季度报告、中期报告或者年度报告。</w:t>
      </w:r>
    </w:p>
    <w:p w14:paraId="3ADB522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本基金持续运作过程中，应当在基金年度报告和中期报告中披露基金组合资产情况及其流动性风险分析等。</w:t>
      </w:r>
    </w:p>
    <w:p w14:paraId="0AEA6F5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运作期间，如报告期内出现单一投资者持有基金份额比例达到或超过基金总份额20%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EBD3A2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7、临时报告</w:t>
      </w:r>
    </w:p>
    <w:p w14:paraId="1C6D188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本基金发生重大事件，有关信息披露义务人应当在2日内编制临时报告书，并登载在指定报刊和指定网站上。</w:t>
      </w:r>
    </w:p>
    <w:p w14:paraId="2052C08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前款所称重大事件，是指可能对基金份额持有人权益或者基金份额的价格产生重大影响的下列事件：</w:t>
      </w:r>
    </w:p>
    <w:p w14:paraId="21B0811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（1）基金份额持有人大会的召开及决定的事项；</w:t>
      </w:r>
    </w:p>
    <w:p w14:paraId="0B56045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（2）《基金合同》终止、基金清算；</w:t>
      </w:r>
    </w:p>
    <w:p w14:paraId="7DF21A8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（3）转换基金运作方式、基金合并；</w:t>
      </w:r>
    </w:p>
    <w:p w14:paraId="4BF1B15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（4）更换基金管理人、基金托管人、基金份额登记机构，基金改聘会计师事务所；</w:t>
      </w:r>
    </w:p>
    <w:p w14:paraId="122C7AD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（5）基金管理人委托基金服务机构代为办理基金的份额登记、核算、估值等事项，基金托管人委托基金服务机构代为办理基金的核算、估值、复核等事项；</w:t>
      </w:r>
    </w:p>
    <w:p w14:paraId="4F70909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（6）基金管理人、基金托管人的法定名称、住所发生变更；</w:t>
      </w:r>
    </w:p>
    <w:p w14:paraId="2C67196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（7）基金管理人变更持有百分之五以上股权的股东、基金管理人的实际控制人变更；</w:t>
      </w:r>
    </w:p>
    <w:p w14:paraId="0A46D25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（8）基金募集期延长或提前结束募集；</w:t>
      </w:r>
    </w:p>
    <w:p w14:paraId="59FF735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（9）基金管理人的高级管理人员、基金经理和基金托管人专门基金托管部门负责人发生变动；</w:t>
      </w:r>
    </w:p>
    <w:p w14:paraId="37F8015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（10）基金管理人的董事在最近12个月内变更超过百分之五十，基金管理人、基金托管人专门基金托管部门的主要业务人员在最近12个月内变动超过百分之三十；</w:t>
      </w:r>
    </w:p>
    <w:p w14:paraId="4057ECF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（11）涉及基金财产、基金管理业务、基金托管业务的诉讼或仲裁；</w:t>
      </w:r>
    </w:p>
    <w:p w14:paraId="082AF72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7358862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6208BF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（14）基金收益分配事项；</w:t>
      </w:r>
    </w:p>
    <w:p w14:paraId="49A598D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（15）管理费、托管费、申购费、赎回费等费用计提标准、计提方式和费率发生变更；</w:t>
      </w:r>
    </w:p>
    <w:p w14:paraId="70E5F08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（16）</w:t>
      </w:r>
      <w:r w:rsidR="000C3294" w:rsidRPr="003E746D">
        <w:rPr>
          <w:rFonts w:hint="eastAsia"/>
          <w:bCs/>
          <w:sz w:val="24"/>
        </w:rPr>
        <w:t>任一类</w:t>
      </w:r>
      <w:r w:rsidRPr="003E746D">
        <w:rPr>
          <w:rFonts w:ascii="宋体" w:hAnsi="宋体"/>
          <w:sz w:val="24"/>
        </w:rPr>
        <w:t>基金份额净值计价错误达</w:t>
      </w:r>
      <w:r w:rsidR="000C3294" w:rsidRPr="003E746D">
        <w:rPr>
          <w:rFonts w:hint="eastAsia"/>
          <w:bCs/>
          <w:sz w:val="24"/>
        </w:rPr>
        <w:t>该类</w:t>
      </w:r>
      <w:r w:rsidRPr="003E746D">
        <w:rPr>
          <w:rFonts w:ascii="宋体" w:hAnsi="宋体"/>
          <w:sz w:val="24"/>
        </w:rPr>
        <w:t>基金份额净值百分之零点五；</w:t>
      </w:r>
    </w:p>
    <w:p w14:paraId="40489B1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（17）本基金开始办理申购、赎回；</w:t>
      </w:r>
    </w:p>
    <w:p w14:paraId="3C72C8E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（18）本基金发生巨额赎回并延期办理；</w:t>
      </w:r>
    </w:p>
    <w:p w14:paraId="1A920FF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（19）本基金连续发生巨额赎回并暂停接受赎回申请或延缓支付赎回款项；</w:t>
      </w:r>
    </w:p>
    <w:p w14:paraId="707AA26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（20）本基金暂停接受申购、赎回申请或重新接受申购、赎回申请；</w:t>
      </w:r>
    </w:p>
    <w:p w14:paraId="2BB66F4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（21）发生涉及基金申购、赎回事项调整或潜在影响投资者赎回等重大事项时；</w:t>
      </w:r>
    </w:p>
    <w:p w14:paraId="10D74FC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（22）本基金采用摆动定价机制进行估值；</w:t>
      </w:r>
    </w:p>
    <w:p w14:paraId="2F1B86F7" w14:textId="77777777" w:rsidR="000C3294" w:rsidRPr="003E746D" w:rsidRDefault="00435F28" w:rsidP="000C3294">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sz w:val="24"/>
        </w:rPr>
        <w:t>（23）</w:t>
      </w:r>
      <w:r w:rsidR="000C3294" w:rsidRPr="003E746D">
        <w:rPr>
          <w:rFonts w:ascii="宋体" w:hAnsi="宋体" w:hint="eastAsia"/>
          <w:sz w:val="24"/>
        </w:rPr>
        <w:t>本基金增加或调整基金份额类别；</w:t>
      </w:r>
    </w:p>
    <w:p w14:paraId="4E158221" w14:textId="77777777" w:rsidR="004D2F6C" w:rsidRPr="003E746D" w:rsidRDefault="000C3294" w:rsidP="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（2</w:t>
      </w:r>
      <w:r w:rsidRPr="003E746D">
        <w:rPr>
          <w:rFonts w:ascii="宋体" w:hAnsi="宋体"/>
          <w:sz w:val="24"/>
        </w:rPr>
        <w:t>4</w:t>
      </w:r>
      <w:r w:rsidRPr="003E746D">
        <w:rPr>
          <w:rFonts w:ascii="宋体" w:hAnsi="宋体" w:hint="eastAsia"/>
          <w:sz w:val="24"/>
        </w:rPr>
        <w:t>）</w:t>
      </w:r>
      <w:r w:rsidR="00435F28" w:rsidRPr="003E746D">
        <w:rPr>
          <w:rFonts w:ascii="宋体" w:hAnsi="宋体"/>
          <w:sz w:val="24"/>
        </w:rPr>
        <w:t>本基金连续40、50、55个工作日出现基金份额持有人数量不满200人或者基金资产净值低于5000万元情形；</w:t>
      </w:r>
    </w:p>
    <w:p w14:paraId="2A2E0202" w14:textId="395E930B" w:rsidR="004D2F6C" w:rsidRPr="003E746D" w:rsidRDefault="00435F28" w:rsidP="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w:t>
      </w:r>
      <w:r w:rsidR="000C3294" w:rsidRPr="003E746D">
        <w:rPr>
          <w:rFonts w:ascii="宋体" w:hAnsi="宋体"/>
          <w:sz w:val="24"/>
        </w:rPr>
        <w:t>5</w:t>
      </w:r>
      <w:r w:rsidRPr="003E746D">
        <w:rPr>
          <w:rFonts w:ascii="宋体" w:hAnsi="宋体"/>
          <w:sz w:val="24"/>
        </w:rPr>
        <w:t>）基金信息披露义务人认为可能对基金份额持有人权益或者基金份额的价格产生重大影响的其他事项或中国证监会规定和基金合同约定的其他事项。</w:t>
      </w:r>
    </w:p>
    <w:p w14:paraId="420FCE4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8、澄清公告</w:t>
      </w:r>
    </w:p>
    <w:p w14:paraId="73698BE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328FE6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9、基金份额持有人大会决议</w:t>
      </w:r>
    </w:p>
    <w:p w14:paraId="46B4750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基金份额持有人大会决定的事项，应当依法报中国证监会备案，并予以公告。</w:t>
      </w:r>
    </w:p>
    <w:p w14:paraId="13FA95E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0F55FBF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70AFF0E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8BA5E6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12、本基金在定期报告和招募说明书（更新）中应设立专门章节披露所持基金的相关情况并揭示相关风险：1、投资策略、持仓情况、损益情况、净值披露时间等；2、交易及持有基金产生的费用，包括申购费、赎回费、销售服务费、管理</w:t>
      </w:r>
      <w:r w:rsidRPr="003E746D">
        <w:rPr>
          <w:rFonts w:ascii="宋体" w:hAnsi="宋体"/>
          <w:sz w:val="24"/>
        </w:rPr>
        <w:lastRenderedPageBreak/>
        <w:t>费、托管费等，在招募说明书（更新）中列明计算方法并举例说明；3、持有的基金发生的重大影响事件，如转换运作方式、与其他基金合并、终止基金合同以及召开基金份额持有人大会等；4、本基金投资于基金管理人以及基金管理人关联方所管理基金的情况。</w:t>
      </w:r>
    </w:p>
    <w:p w14:paraId="10C593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13、中国证监会规定的其他信息。</w:t>
      </w:r>
    </w:p>
    <w:p w14:paraId="06C8CF81"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（六）信息披露事务管理</w:t>
      </w:r>
    </w:p>
    <w:p w14:paraId="60CD4A9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基金管理人、基金托管人应当建立健全信息披露管理制度，指定专门部门及高级管理人员负责管理信息披露事务。</w:t>
      </w:r>
    </w:p>
    <w:p w14:paraId="3EB4AFE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基金信息披露义务人公开披露基金信息，应当符合中国证监会相关基金信息披露内容与格式准则等法律法规的规定。</w:t>
      </w:r>
    </w:p>
    <w:p w14:paraId="34CCC0E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基金托管人应当按照相关法律法规、中国证监会的规定和《基金合同》的约定，对基金管理人编制的基金资产净值、</w:t>
      </w:r>
      <w:r w:rsidR="00406B93" w:rsidRPr="003E746D">
        <w:rPr>
          <w:rFonts w:ascii="宋体" w:hAnsi="宋体" w:hint="eastAsia"/>
          <w:bCs/>
          <w:sz w:val="24"/>
        </w:rPr>
        <w:t>各类</w:t>
      </w:r>
      <w:r w:rsidRPr="003E746D">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2E1045A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基金管理人、基金托管人应当在指定报刊中选择一家披露信息的报刊。基金管理人、基金托管人应当向中国证监会基金电子披露网站报送拟披露的基金信息，并保证相关报送信息的真实、准确、完整、及时。</w:t>
      </w:r>
    </w:p>
    <w:p w14:paraId="414D610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08F197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为基金信息披露义务人公开披露的基金信息出具审计报告、法律意见书的专业机构，应当制作工作底稿，并将相关档案至少保存到《基金合同》终止后十年。</w:t>
      </w:r>
    </w:p>
    <w:p w14:paraId="1CD0A3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B13B0DC"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（七）信息披露文件的存放与查阅</w:t>
      </w:r>
    </w:p>
    <w:p w14:paraId="0D749CE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依法必须披露的信息发布后，基金管理人、基金托管人应当按照相关法律法规规定将信息置备于各自住所，供社会公众查阅、复制。</w:t>
      </w:r>
    </w:p>
    <w:p w14:paraId="4DB3E724"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lastRenderedPageBreak/>
        <w:t>（八）本基金信息披露事项以法律法规规定及本章节约定的内容为准。</w:t>
      </w:r>
    </w:p>
    <w:p w14:paraId="09B723C7"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51E438A6" w14:textId="69746BC8" w:rsidR="004D2F6C" w:rsidRPr="003E746D" w:rsidRDefault="00435F28">
      <w:pPr>
        <w:pStyle w:val="1"/>
        <w:snapToGrid w:val="0"/>
        <w:spacing w:beforeLines="0" w:before="240" w:after="240"/>
        <w:rPr>
          <w:rFonts w:ascii="宋体" w:hAnsi="宋体"/>
          <w:szCs w:val="30"/>
        </w:rPr>
      </w:pPr>
      <w:bookmarkStart w:id="20" w:name="_Toc104410526"/>
      <w:r w:rsidRPr="003E746D">
        <w:rPr>
          <w:rFonts w:ascii="Times New Roman" w:hAnsi="Times New Roman"/>
          <w:sz w:val="30"/>
        </w:rPr>
        <w:lastRenderedPageBreak/>
        <w:t>十七、风险揭示</w:t>
      </w:r>
      <w:bookmarkEnd w:id="20"/>
    </w:p>
    <w:p w14:paraId="3B5E0A5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BFF49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前一开放日基金总份额的百分之十时，投资人将可能无法及时赎回持有的全部基金份额。</w:t>
      </w:r>
    </w:p>
    <w:p w14:paraId="5C16184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分为股票型基金、混合型基金、债券型基金、货币市场基金、基金中基金等不同类型，基金中基金进一步分为股票型基金中基金、混合型基金中基金、债券型基金中基金、货币型基金中基金等不同类型，投资人投资不同类型的基金将获得不同的收益预期，也将承担不同程度的风险。一般来说，基金的收益预期越高，投资人承担的风险也越大。</w:t>
      </w:r>
    </w:p>
    <w:p w14:paraId="56AEE93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0F36838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960BEF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4F8BCDC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基金管理人承诺以诚实信用、勤勉尽责的原则管理和运用基金资产，但不保证本基金一定盈利，也不保证最低收益。基金管理人管理的其他基金的业绩不构成对</w:t>
      </w:r>
      <w:r w:rsidRPr="003E746D">
        <w:rPr>
          <w:rFonts w:ascii="宋体" w:hAnsi="宋体"/>
          <w:sz w:val="24"/>
        </w:rPr>
        <w:lastRenderedPageBreak/>
        <w:t>本基金业绩表现的保证。基金管理人提醒投资人基金投资的“买者自负”原则，在做出投资决策后，基金运营状况与基金净值变化引致的投资风险，由投资人自行负担。</w:t>
      </w:r>
    </w:p>
    <w:p w14:paraId="4162D57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基金份额持有人须了解并承受以下风险：</w:t>
      </w:r>
    </w:p>
    <w:p w14:paraId="07A30AB9"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（一）本基金特有的风险</w:t>
      </w:r>
    </w:p>
    <w:p w14:paraId="14DF174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1、本基金为养老目标基金，致力于满足投资者的养老资金理财需求，但养老目标基金并不代表收益保障或其他任何形式的收益承诺。本基金非保本产品，存在投资者承担亏损的可能性。</w:t>
      </w:r>
    </w:p>
    <w:p w14:paraId="4D8DB260" w14:textId="3C2F9972"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2、本基金为混合型基金中基金，本基金投资于经中国证监会依法核准或注册的公开募集证券投资基金的基金份额的资产不低于本基金资产的80%，其中投资于股票</w:t>
      </w:r>
      <w:r w:rsidR="000110D9" w:rsidRPr="003E746D">
        <w:rPr>
          <w:rFonts w:ascii="宋体" w:hAnsi="宋体" w:hint="eastAsia"/>
          <w:sz w:val="24"/>
        </w:rPr>
        <w:t>（含存托凭证）</w:t>
      </w:r>
      <w:r w:rsidRPr="003E746D">
        <w:rPr>
          <w:rFonts w:ascii="宋体" w:hAnsi="宋体"/>
          <w:sz w:val="24"/>
        </w:rPr>
        <w:t>、股票型基金（包括股票指数基金）、混合型基金和商品基金（含商品期货基金和黄金ETF）等品种的比例合计占基金资产的0%-30%。因此本基金所持有的基金的业绩表现、持有基金的基金管理人水平等因素将影响到本基金的基金业绩表现。</w:t>
      </w:r>
    </w:p>
    <w:p w14:paraId="5000D8B4" w14:textId="091E7A9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3、本基金定位为稳健型目标风险策略基金，本基金投资于权益类资产（包括股票</w:t>
      </w:r>
      <w:r w:rsidR="000110D9" w:rsidRPr="003E746D">
        <w:rPr>
          <w:rFonts w:ascii="宋体" w:hAnsi="宋体" w:hint="eastAsia"/>
          <w:sz w:val="24"/>
        </w:rPr>
        <w:t>（含存托凭证）</w:t>
      </w:r>
      <w:r w:rsidRPr="003E746D">
        <w:rPr>
          <w:rFonts w:ascii="宋体" w:hAnsi="宋体"/>
          <w:sz w:val="24"/>
        </w:rPr>
        <w:t>、股票型基金、混合型基金）的战略配置目标比例为25%，投资比例为基金资产的15%-30%。其中混合型基金需符合下列两个条件之一：1、基金合同中明确约定股票投资占基金资产的比例为50%以上；2、最近4个季度披露的股票投资占基金资产的比例均在50%以上的混合型基金。本基金的预期风险与预期收益高于债券型基金、债券型基金中基金、货币市场基金和货币型基金中基金，低于股票型基金和股票型基金中基金。</w:t>
      </w:r>
    </w:p>
    <w:p w14:paraId="4B86445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通常T日提交的有效申购申请于T+3日确认）至一年后的年度对日的前一日。因此，对于基金份额持有人而言，存在投资本基金后一年内无法赎回的风险。</w:t>
      </w:r>
    </w:p>
    <w:p w14:paraId="78F8740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5、本基金为基金中基金，由于本基金所持有的相当比例的基金暂停估值，导致基金管理人无法计算当日本基金资产净值；或者由于本基金持有的相当比例的基</w:t>
      </w:r>
      <w:r w:rsidRPr="003E746D">
        <w:rPr>
          <w:rFonts w:ascii="宋体" w:hAnsi="宋体"/>
          <w:sz w:val="24"/>
        </w:rPr>
        <w:lastRenderedPageBreak/>
        <w:t>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14:paraId="6E871F4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14:paraId="50C6F92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本基金为基金中基金，本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14:paraId="7C51F0D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14:paraId="6E922CFE"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（二）市场风险</w:t>
      </w:r>
    </w:p>
    <w:p w14:paraId="78D4FCE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证券市场价格因受到经济因素、政治因素、投资心理和交易制度等各种因素的影响而引起的波动，将对基金收益水平产生潜在风险，主要包括：</w:t>
      </w:r>
    </w:p>
    <w:p w14:paraId="1DF690F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1、政策风险。因国家宏观政策（如货币政策、财政政策、行业政策、地区发展政策等）和证券市场监管政策发生变化，导致市场价格波动而产生风险。</w:t>
      </w:r>
    </w:p>
    <w:p w14:paraId="1724415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64EBE99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96C51A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4、上市公司经营风险。上市公司的经营状况受多种因素影响，如管理能力、</w:t>
      </w:r>
      <w:r w:rsidRPr="003E746D">
        <w:rPr>
          <w:rFonts w:ascii="宋体" w:hAnsi="宋体"/>
          <w:sz w:val="24"/>
        </w:rPr>
        <w:lastRenderedPageBreak/>
        <w:t>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5B84E4F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14515A50"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（三）管理风险</w:t>
      </w:r>
    </w:p>
    <w:p w14:paraId="10025C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5A24448"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（四）流动性风险</w:t>
      </w:r>
    </w:p>
    <w:p w14:paraId="7D224C1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属于开放式基金，在基金的所有开放日，基金份额持有人持有的每份基金份额最短持有期限为一年，对于满足持有期限的投资人，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7CD97E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1、本基金的申购、赎回安排</w:t>
      </w:r>
    </w:p>
    <w:p w14:paraId="1548228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采用开放方式运作，基金管理人在开放日办理基金份额的申购和赎回，但对于每份基金份额，基金份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业务，具体业务办理时间在申购开始公告中规定。基金管理人自基金合同生效之日起至一年后的年度对日（含该日）开始办理赎回，具体业务办理时间在赎回开始公告中规定。</w:t>
      </w:r>
    </w:p>
    <w:p w14:paraId="0B623B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若基金份额持有人多次认购或申购本基金导致持有多笔不同期限的本基金份额时，基金份额持有人在赎回时需特别关注申请赎回的基金份额数量，若申请赎回的</w:t>
      </w:r>
      <w:r w:rsidRPr="003E746D">
        <w:rPr>
          <w:rFonts w:ascii="宋体" w:hAnsi="宋体"/>
          <w:sz w:val="24"/>
        </w:rPr>
        <w:lastRenderedPageBreak/>
        <w:t>基金份额超过了该份额持有人持续持有超过一年的基金份额数量，则基金份额持有人的赎回申请将被予以拒绝。基金份额持有人需承担赎回申请失败的风险。</w:t>
      </w:r>
    </w:p>
    <w:p w14:paraId="5286651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2、投资市场、行业及资产的流动性风险评估</w:t>
      </w:r>
    </w:p>
    <w:p w14:paraId="08E1722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4BE54EF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3、巨额赎回情形下的流动性风险管理措施</w:t>
      </w:r>
    </w:p>
    <w:p w14:paraId="3712F2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6CEC4A1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当基金出现巨额赎回时，基金管理人可以根据基金当时的资产组合状况决定全额赎回或部分延期赎回。</w:t>
      </w:r>
    </w:p>
    <w:p w14:paraId="3FE3618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（1）全额赎回：当基金管理人认为有能力支付投资人的全部赎回申请时，按正常赎回程序执行。</w:t>
      </w:r>
    </w:p>
    <w:p w14:paraId="11210D4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0C3294" w:rsidRPr="003E746D">
        <w:rPr>
          <w:rFonts w:ascii="Times New Roman" w:hAnsi="Times New Roman"/>
          <w:sz w:val="24"/>
        </w:rPr>
        <w:t>该类</w:t>
      </w:r>
      <w:r w:rsidRPr="003E746D">
        <w:rPr>
          <w:rFonts w:ascii="宋体" w:hAnsi="宋体"/>
          <w:sz w:val="24"/>
        </w:rPr>
        <w:t>基金份额净值为基础计算赎回金额，以此类推，直到全部赎回为止。如投资人在提交赎回申请时未作明确选择，投资人未能赎回部分作自动延期赎回处理。</w:t>
      </w:r>
    </w:p>
    <w:p w14:paraId="3C06133D" w14:textId="15D17D5D"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w:t>
      </w:r>
      <w:r w:rsidRPr="003E746D">
        <w:rPr>
          <w:rFonts w:ascii="宋体" w:hAnsi="宋体"/>
          <w:sz w:val="24"/>
        </w:rPr>
        <w:lastRenderedPageBreak/>
        <w:t>方式与其他基金份额持有人的赎回申请一并办理。但是，如基金份额持有人在当日选择取消赎回，则其当日未获受理的部分赎回申请将被撤销。</w:t>
      </w:r>
    </w:p>
    <w:p w14:paraId="501CCD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7C036B4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4、实施备用的流动性风险管理工具的情形、程序及对投资者的潜在影响</w:t>
      </w:r>
    </w:p>
    <w:p w14:paraId="2A37783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本基金在面临大规模赎回的情况下有可能因为无法变现造成流动性风险。</w:t>
      </w:r>
    </w:p>
    <w:p w14:paraId="2D0B550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6C8F9B5"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（五）信用风险</w:t>
      </w:r>
    </w:p>
    <w:p w14:paraId="07204F4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基金在交易过程中发生交收违约，或者基金所投资债券之发行人出现违约、拒绝支付到期本息，都可能导致基金资产损失和收益变化，从而产生风险。</w:t>
      </w:r>
    </w:p>
    <w:p w14:paraId="7D8E04F2"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（六）投资资产支持证券的特定风险</w:t>
      </w:r>
    </w:p>
    <w:p w14:paraId="4C60B3E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34E32FE3"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（七）投资流通受限证券的特定风险</w:t>
      </w:r>
    </w:p>
    <w:p w14:paraId="0AB0F86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23722B9"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（八）投资科创板股票的特定风险</w:t>
      </w:r>
    </w:p>
    <w:p w14:paraId="583BE4B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0CC2A56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（1）市场风险</w:t>
      </w:r>
    </w:p>
    <w:p w14:paraId="224F9D6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6357765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科创板个股上市前五日无涨跌停限制，第六日开始涨跌幅限制在正负20%以内，个股波动幅度较其他股票加大，市场风险随之上升。</w:t>
      </w:r>
    </w:p>
    <w:p w14:paraId="2D63478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（2）流动性风险</w:t>
      </w:r>
    </w:p>
    <w:p w14:paraId="54BC368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53839D4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（3）退市风险</w:t>
      </w:r>
    </w:p>
    <w:p w14:paraId="7B3558E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48A1556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（4）集中度风险</w:t>
      </w:r>
    </w:p>
    <w:p w14:paraId="70568AC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科创板为新设板块，初期可投标的较少，投资者容易集中投资于少量个股，市场可能存在高集中度状况，整体存在集中度风险。</w:t>
      </w:r>
    </w:p>
    <w:p w14:paraId="4316511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（5）系统性风险</w:t>
      </w:r>
    </w:p>
    <w:p w14:paraId="4A31380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科创板企业均为市场认可度较高的科技创新企业，在企业经营及盈利模式上存在趋同，所以科创板个股相关性较高，市场表现不佳时，系统性风险将更为显著。</w:t>
      </w:r>
    </w:p>
    <w:p w14:paraId="5D3EE3C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（6）政策风险</w:t>
      </w:r>
    </w:p>
    <w:p w14:paraId="50B5C3A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国家对高新技术产业扶持力度及重视程度的变化会对科创板企业带来较大影响，国际经济形势变化对战略新兴产业及科创板个股也会带来政策影响。</w:t>
      </w:r>
    </w:p>
    <w:p w14:paraId="681ECC01"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（九）投资存托凭证的特定风险</w:t>
      </w:r>
    </w:p>
    <w:p w14:paraId="00853E6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12B68D9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062B3D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本基金可根据投资策略需要或市场环境的变化，选择将部分基金资产投资于存托凭证或选择不将基金资产投资于存托凭证，基金资产并非必然投资存托凭证。</w:t>
      </w:r>
    </w:p>
    <w:p w14:paraId="3B929488" w14:textId="3F234D37" w:rsidR="00C76A2C" w:rsidRPr="003E746D" w:rsidRDefault="00435F28" w:rsidP="00C76A2C">
      <w:pPr>
        <w:autoSpaceDE w:val="0"/>
        <w:autoSpaceDN w:val="0"/>
        <w:adjustRightInd w:val="0"/>
        <w:snapToGrid w:val="0"/>
        <w:spacing w:line="360" w:lineRule="auto"/>
        <w:ind w:firstLineChars="200" w:firstLine="422"/>
        <w:jc w:val="left"/>
        <w:rPr>
          <w:rFonts w:ascii="宋体" w:hAnsi="宋体"/>
          <w:sz w:val="24"/>
        </w:rPr>
      </w:pPr>
      <w:r w:rsidRPr="003E746D">
        <w:rPr>
          <w:rFonts w:ascii="宋体" w:hAnsi="宋体" w:hint="eastAsia"/>
          <w:b/>
          <w:szCs w:val="24"/>
        </w:rPr>
        <w:t>（十）</w:t>
      </w:r>
      <w:r w:rsidR="00C76A2C" w:rsidRPr="003E746D">
        <w:rPr>
          <w:rFonts w:ascii="宋体" w:hAnsi="宋体" w:hint="eastAsia"/>
          <w:sz w:val="24"/>
        </w:rPr>
        <w:t>本基金的Y类基金份额为针对个人养老金投资基金业务设立的单独的基金份额类别，投资</w:t>
      </w:r>
      <w:r w:rsidR="0014104A" w:rsidRPr="003E746D">
        <w:rPr>
          <w:rFonts w:ascii="宋体" w:hAnsi="宋体" w:hint="eastAsia"/>
          <w:sz w:val="24"/>
        </w:rPr>
        <w:t>者</w:t>
      </w:r>
      <w:r w:rsidR="00C76A2C" w:rsidRPr="003E746D">
        <w:rPr>
          <w:rFonts w:ascii="宋体" w:hAnsi="宋体" w:hint="eastAsia"/>
          <w:sz w:val="24"/>
        </w:rPr>
        <w:t>仅能通过个人养老金资金账户购买Y类基金份额参与个人养老金投资基金业务。根据个人养老金账户要求，个人养老金投资基金</w:t>
      </w:r>
      <w:r w:rsidR="00240920" w:rsidRPr="003E746D">
        <w:rPr>
          <w:rFonts w:ascii="宋体" w:hAnsi="宋体" w:hint="eastAsia"/>
          <w:sz w:val="24"/>
        </w:rPr>
        <w:t>的</w:t>
      </w:r>
      <w:r w:rsidR="00C76A2C" w:rsidRPr="003E746D">
        <w:rPr>
          <w:rFonts w:ascii="宋体" w:hAnsi="宋体" w:hint="eastAsia"/>
          <w:sz w:val="24"/>
        </w:rPr>
        <w:t>基金份额申购赎回等款项将在个人养老金账户内流转</w:t>
      </w:r>
      <w:r w:rsidR="00BA7076" w:rsidRPr="003E746D">
        <w:rPr>
          <w:rFonts w:ascii="宋体" w:hAnsi="宋体" w:hint="eastAsia"/>
          <w:sz w:val="24"/>
        </w:rPr>
        <w:t>，投资</w:t>
      </w:r>
      <w:r w:rsidR="0014104A" w:rsidRPr="003E746D">
        <w:rPr>
          <w:rFonts w:ascii="宋体" w:hAnsi="宋体" w:hint="eastAsia"/>
          <w:sz w:val="24"/>
        </w:rPr>
        <w:t>者</w:t>
      </w:r>
      <w:r w:rsidR="00BA7076" w:rsidRPr="003E746D">
        <w:rPr>
          <w:rFonts w:ascii="宋体" w:hAnsi="宋体" w:hint="eastAsia"/>
          <w:sz w:val="24"/>
        </w:rPr>
        <w:t>未达到领取基</w:t>
      </w:r>
      <w:r w:rsidR="00E50230" w:rsidRPr="003E746D">
        <w:rPr>
          <w:rFonts w:ascii="宋体" w:hAnsi="宋体" w:hint="eastAsia"/>
          <w:sz w:val="24"/>
        </w:rPr>
        <w:t>本</w:t>
      </w:r>
      <w:r w:rsidR="00BA7076" w:rsidRPr="003E746D">
        <w:rPr>
          <w:rFonts w:ascii="宋体" w:hAnsi="宋体" w:hint="eastAsia"/>
          <w:sz w:val="24"/>
        </w:rPr>
        <w:t>养老金年龄或者政策规定的其他领取条件时不可领取个人养老金</w:t>
      </w:r>
      <w:r w:rsidR="00C76A2C" w:rsidRPr="003E746D">
        <w:rPr>
          <w:rFonts w:ascii="宋体" w:hAnsi="宋体" w:hint="eastAsia"/>
          <w:sz w:val="24"/>
        </w:rPr>
        <w:t>。具体业务规则请关注基金管理人届时发布的相关公告。</w:t>
      </w:r>
    </w:p>
    <w:p w14:paraId="659A5094" w14:textId="3DAE789F" w:rsidR="004D2F6C" w:rsidRPr="003E746D" w:rsidRDefault="00C76A2C" w:rsidP="00C76A2C">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（十一）</w:t>
      </w:r>
      <w:r w:rsidR="00435F28" w:rsidRPr="003E746D">
        <w:rPr>
          <w:rFonts w:ascii="宋体" w:hAnsi="宋体" w:hint="eastAsia"/>
          <w:b/>
          <w:szCs w:val="24"/>
        </w:rPr>
        <w:t>其他风险</w:t>
      </w:r>
    </w:p>
    <w:p w14:paraId="6C121D8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1、因技术因素而产生的风险，如电脑系统不可靠产生的风险；</w:t>
      </w:r>
    </w:p>
    <w:p w14:paraId="0E04FB0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2、因基金业务快速发展，在制度建设、人员配备、内控制度建立等方面的不完善产生的风险；</w:t>
      </w:r>
    </w:p>
    <w:p w14:paraId="701FDE3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3、因人为因素而产生的风险、如内幕交易、欺诈行为等产生的风险；</w:t>
      </w:r>
    </w:p>
    <w:p w14:paraId="119BC7A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4、对主要业务人员如基金经理的依赖而可能产生的风险；</w:t>
      </w:r>
    </w:p>
    <w:p w14:paraId="20483BF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5、因业务竞争压力可能产生的风险；</w:t>
      </w:r>
    </w:p>
    <w:p w14:paraId="0E3095A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6、战争、自然灾害等不可抗力可能导致基金财产的损失，影响基金收益水平，从而带来风险；</w:t>
      </w:r>
    </w:p>
    <w:p w14:paraId="78EAAA6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7、其他意外导致的风险。</w:t>
      </w:r>
    </w:p>
    <w:p w14:paraId="5D97C665"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22A30B80" w14:textId="4EA15CEF" w:rsidR="004D2F6C" w:rsidRPr="003E746D" w:rsidRDefault="00435F28">
      <w:pPr>
        <w:pStyle w:val="1"/>
        <w:snapToGrid w:val="0"/>
        <w:spacing w:beforeLines="0" w:before="240" w:after="240"/>
        <w:rPr>
          <w:rFonts w:ascii="宋体" w:hAnsi="宋体"/>
          <w:szCs w:val="30"/>
        </w:rPr>
      </w:pPr>
      <w:bookmarkStart w:id="21" w:name="_Toc104410527"/>
      <w:r w:rsidRPr="003E746D">
        <w:rPr>
          <w:rFonts w:ascii="Times New Roman" w:hAnsi="Times New Roman"/>
          <w:sz w:val="30"/>
        </w:rPr>
        <w:lastRenderedPageBreak/>
        <w:t>十八、基金合同的变更、终止与基金财产的清算</w:t>
      </w:r>
      <w:bookmarkEnd w:id="21"/>
    </w:p>
    <w:p w14:paraId="63FCFC2C"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（一）《基金合同》的变更</w:t>
      </w:r>
    </w:p>
    <w:p w14:paraId="7B63198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3D7E97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2、关于《基金合同》变更的基金份额持有人大会决议生效后方可执行，并自表决通过之日起生效，生效后依照《信息披露办法》的规定在指定媒介公告。</w:t>
      </w:r>
    </w:p>
    <w:p w14:paraId="2D24AA17"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（二）《基金合同》的终止事由</w:t>
      </w:r>
    </w:p>
    <w:p w14:paraId="729DF3B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有下列情形之一的，《基金合同》应当终止：</w:t>
      </w:r>
    </w:p>
    <w:p w14:paraId="309CB37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1、基金份额持有人大会决定终止的；</w:t>
      </w:r>
    </w:p>
    <w:p w14:paraId="069E98C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2、基金管理人、基金托管人职责终止，在6个月内没有新基金管理人、新基金托管人承接的；</w:t>
      </w:r>
    </w:p>
    <w:p w14:paraId="0D58DAE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3、本基金作为被合并方与其他基金进行合并的；</w:t>
      </w:r>
    </w:p>
    <w:p w14:paraId="24D1742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4、《基金合同》约定的其他情形；</w:t>
      </w:r>
    </w:p>
    <w:p w14:paraId="1261DF8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5、相关法律法规和中国证监会规定的其他情况。</w:t>
      </w:r>
    </w:p>
    <w:p w14:paraId="4FC8EBF9"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（三）基金财产的清算</w:t>
      </w:r>
    </w:p>
    <w:p w14:paraId="6A11968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1、基金财产清算小组：自出现《基金合同》终止事由之日起30个工作日内成立清算小组，基金管理人组织基金财产清算小组并在中国证监会的监督下进行基金清算。</w:t>
      </w:r>
    </w:p>
    <w:p w14:paraId="3FC9C36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A59AC3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3、基金财产清算小组职责：基金财产清算小组负责基金财产的保管、清理、估价、变现和分配。基金财产清算小组可以依法进行必要的民事活动。</w:t>
      </w:r>
    </w:p>
    <w:p w14:paraId="1D2FBDF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4、基金财产清算程序：</w:t>
      </w:r>
    </w:p>
    <w:p w14:paraId="4B97E20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（1）《基金合同》终止情形出现时，由基金财产清算小组统一接管基金财产；</w:t>
      </w:r>
    </w:p>
    <w:p w14:paraId="1CC822C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（2）对基金财产和债权债务进行清理和确认；</w:t>
      </w:r>
    </w:p>
    <w:p w14:paraId="44EC0C0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（3）对基金财产进行估值和变现；</w:t>
      </w:r>
    </w:p>
    <w:p w14:paraId="2E95740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（4）制作清算报告；</w:t>
      </w:r>
    </w:p>
    <w:p w14:paraId="36911F7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（5）聘请会计师事务所对清算报告进行外部审计，聘请律师事务所对清算报告出具法律意见书；</w:t>
      </w:r>
    </w:p>
    <w:p w14:paraId="786FDE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（6）将清算报告报中国证监会备案并公告；</w:t>
      </w:r>
    </w:p>
    <w:p w14:paraId="76C8491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（7）对基金剩余财产进行分配。</w:t>
      </w:r>
    </w:p>
    <w:p w14:paraId="7CA908A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5、基金财产清算的期限为6个月。</w:t>
      </w:r>
    </w:p>
    <w:p w14:paraId="7BBD5D35"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（四）清算费用</w:t>
      </w:r>
    </w:p>
    <w:p w14:paraId="2AADAE2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清算费用是指基金财产清算小组在进行基金清算过程中发生的所有合理费用，清算费用由基金财产清算小组优先从基金财产中支付。</w:t>
      </w:r>
    </w:p>
    <w:p w14:paraId="63FF8175"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（五）基金财产清算剩余资产的分配</w:t>
      </w:r>
    </w:p>
    <w:p w14:paraId="5C165D8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10F5085"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（六）基金财产清算的公告</w:t>
      </w:r>
    </w:p>
    <w:p w14:paraId="2390F2E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AC37A0A"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（七）基金财产清算账册及文件的保存</w:t>
      </w:r>
    </w:p>
    <w:p w14:paraId="082D774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基金财产清算账册及有关文件由基金托管人保存15年以上。</w:t>
      </w:r>
    </w:p>
    <w:p w14:paraId="53448CC5"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07D93617" w14:textId="15E11087" w:rsidR="004D2F6C" w:rsidRPr="003E746D" w:rsidRDefault="00435F28">
      <w:pPr>
        <w:pStyle w:val="1"/>
        <w:snapToGrid w:val="0"/>
        <w:spacing w:beforeLines="0" w:before="240" w:after="240"/>
        <w:rPr>
          <w:rFonts w:ascii="宋体" w:hAnsi="宋体"/>
          <w:szCs w:val="30"/>
        </w:rPr>
      </w:pPr>
      <w:bookmarkStart w:id="22" w:name="_Toc104410528"/>
      <w:r w:rsidRPr="003E746D">
        <w:rPr>
          <w:rFonts w:ascii="Times New Roman" w:hAnsi="Times New Roman"/>
          <w:sz w:val="30"/>
        </w:rPr>
        <w:lastRenderedPageBreak/>
        <w:t>十九、基金合同内容摘要</w:t>
      </w:r>
      <w:bookmarkEnd w:id="22"/>
    </w:p>
    <w:p w14:paraId="32FCBFA3"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（一）基金份额持有人、基金管理人和基金托管人的权利与义务</w:t>
      </w:r>
    </w:p>
    <w:p w14:paraId="25509B4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1、基金管理人的权利与义务</w:t>
      </w:r>
    </w:p>
    <w:p w14:paraId="2062663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根据《基金法》、《运作办法》及其他有关规定，基金管理人的权利包括但不限于：</w:t>
      </w:r>
    </w:p>
    <w:p w14:paraId="79F8EB6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（1）依法募集资金；</w:t>
      </w:r>
    </w:p>
    <w:p w14:paraId="5D6BC5E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（2）自《基金合同》生效之日起，根据法律法规和《基金合同》独立运用并管理基金财产；</w:t>
      </w:r>
    </w:p>
    <w:p w14:paraId="0A950A8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（3）依照《基金合同》收取基金管理费以及法律法规规定或中国证监会批准的其他费用；</w:t>
      </w:r>
    </w:p>
    <w:p w14:paraId="12C10F4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（4）销售基金份额；</w:t>
      </w:r>
    </w:p>
    <w:p w14:paraId="13738F1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（5）按照规定召集基金份额持有人大会；</w:t>
      </w:r>
    </w:p>
    <w:p w14:paraId="5344B0E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D43886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（7）在基金托管人更换时，提名新的基金托管人；</w:t>
      </w:r>
    </w:p>
    <w:p w14:paraId="72D596C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（8）选择、更换基金销售机构，对基金销售机构的相关行为进行监督和处理；</w:t>
      </w:r>
    </w:p>
    <w:p w14:paraId="0705968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（9）担任或委托其他符合条件的机构担任基金登记机构办理基金登记业务并获得《基金合同》规定的费用；</w:t>
      </w:r>
    </w:p>
    <w:p w14:paraId="7C6C6AD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（10）依据《基金合同》及有关法律规定决定基金收益的分配方案；</w:t>
      </w:r>
    </w:p>
    <w:p w14:paraId="664CBED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（11）在《基金合同》约定的范围内，拒绝或暂停受理申购、赎回或转换申请；</w:t>
      </w:r>
    </w:p>
    <w:p w14:paraId="2941D8B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（12）依照法律法规为基金的利益对被投资公司行使股东权利，为基金的利益行使因基金财产投资所产生的权利；</w:t>
      </w:r>
    </w:p>
    <w:p w14:paraId="5E235DB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（13）在法律法规允许的前提下，为基金的利益依法为基金进行融资；</w:t>
      </w:r>
    </w:p>
    <w:p w14:paraId="0DCFE82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（14）以基金管理人的名义，代表基金份额持有人的利益行使诉讼权利或者实施其他法律行为；</w:t>
      </w:r>
    </w:p>
    <w:p w14:paraId="7C0A583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（15）选择、更换律师事务所、会计师事务所、证券经纪商或其他为基金提供</w:t>
      </w:r>
      <w:r w:rsidRPr="003E746D">
        <w:rPr>
          <w:rFonts w:ascii="宋体" w:hAnsi="宋体"/>
          <w:sz w:val="24"/>
        </w:rPr>
        <w:lastRenderedPageBreak/>
        <w:t>服务的外部机构；</w:t>
      </w:r>
    </w:p>
    <w:p w14:paraId="33E62DD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（16）在符合有关法律、法规的前提下，制定和调整有关基金认购、申购、赎回、转换等的业务规则；</w:t>
      </w:r>
    </w:p>
    <w:p w14:paraId="2079431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（17）以基金管理人的名义，参与本基金持有的基金所召开的基金份额持有人大会；</w:t>
      </w:r>
    </w:p>
    <w:p w14:paraId="670F5C6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（18）法律法规及中国证监会规定的和《基金合同》约定的其他权利。</w:t>
      </w:r>
    </w:p>
    <w:p w14:paraId="5358210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根据《基金法》、《运作办法》及其他有关规定，基金管理人的义务包括但不限于：</w:t>
      </w:r>
    </w:p>
    <w:p w14:paraId="76F8B67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（1）依法募集资金，办理或者委托经中国证监会认定的其他机构办理基金份额的发售、申购、赎回和登记事宜；</w:t>
      </w:r>
    </w:p>
    <w:p w14:paraId="3E7C6BF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（2）办理基金备案手续；</w:t>
      </w:r>
    </w:p>
    <w:p w14:paraId="4646A4E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（3）自《基金合同》生效之日起，以诚实信用、谨慎勤勉的原则管理和运用基金财产；</w:t>
      </w:r>
    </w:p>
    <w:p w14:paraId="1F30A79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（4）配备足够的具有专业资格的人员进行基金投资分析、决策，以专业化的经营方式管理和运作基金财产；</w:t>
      </w:r>
    </w:p>
    <w:p w14:paraId="2899B00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（5）建立健全内部风险控制、监察与稽核、财务管理及人事管理等制度，保证所管理的基金财产和基金管理人的财产相互独立，对所管理的不同基金分别管理，分别记账，进行证券、基金投资；</w:t>
      </w:r>
    </w:p>
    <w:p w14:paraId="2B03FA6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（6）除依据《基金法》、《基金合同》及其他有关规定外，不得利用基金财产为自己及任何第三人谋取利益，不得委托第三人运作基金财产；</w:t>
      </w:r>
    </w:p>
    <w:p w14:paraId="52A9274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（7）依法接受基金托管人的监督；</w:t>
      </w:r>
    </w:p>
    <w:p w14:paraId="3E5529B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642EE1B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（9）进行基金会计核算并编制基金财务会计报告；</w:t>
      </w:r>
    </w:p>
    <w:p w14:paraId="75953FA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（10）编制季度报告、中期报告和年度报告；</w:t>
      </w:r>
    </w:p>
    <w:p w14:paraId="79B8E42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（11）严格按照《基金法》、《基金合同》及其他有关规定，履行信息披露及报告义务；</w:t>
      </w:r>
    </w:p>
    <w:p w14:paraId="4514B1C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（12）保守基金商业秘密，不泄露基金投资计划、投资意向等。除《基金法》、《基金合同》及其他有关规定另有规定外，在基金信息公开披露前应予保密，</w:t>
      </w:r>
      <w:r w:rsidRPr="003E746D">
        <w:rPr>
          <w:rFonts w:ascii="宋体" w:hAnsi="宋体"/>
          <w:sz w:val="24"/>
        </w:rPr>
        <w:lastRenderedPageBreak/>
        <w:t>不向他人泄露；</w:t>
      </w:r>
    </w:p>
    <w:p w14:paraId="45F63AB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（13）按《基金合同》的约定确定基金收益分配方案，及时向基金份额持有人分配基金收益；</w:t>
      </w:r>
    </w:p>
    <w:p w14:paraId="1237B3F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（14）按规定受理申购与赎回申请，及时、足额支付赎回款项；</w:t>
      </w:r>
    </w:p>
    <w:p w14:paraId="7DFF954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（15）依据《基金法》、《基金合同》及其他有关规定召集基金份额持有人大会或配合基金托管人、基金份额持有人依法召集基金份额持有人大会；</w:t>
      </w:r>
    </w:p>
    <w:p w14:paraId="510F4F8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（16）按规定保存基金财产管理业务活动的会计账册、报表、记录和其他相关资料15年以上；</w:t>
      </w:r>
    </w:p>
    <w:p w14:paraId="536B2D2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1B14BE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（18）组织并参加基金财产清算小组，参与基金财产的保管、清理、估价、变现和分配；</w:t>
      </w:r>
    </w:p>
    <w:p w14:paraId="19BA938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（19）面临解散、依法被撤销或者被依法宣告破产时，及时报告中国证监会并通知基金托管人；</w:t>
      </w:r>
    </w:p>
    <w:p w14:paraId="25B9452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（20）因违反《基金合同》导致基金财产的损失或损害基金份额持有人合法权益时，应当承担赔偿责任，其赔偿责任不因其退任而免除；</w:t>
      </w:r>
    </w:p>
    <w:p w14:paraId="4F9ED71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1BAE52B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（22）当基金管理人将其义务委托第三方处理时，应当对第三方处理有关基金事务的行为承担责任；</w:t>
      </w:r>
    </w:p>
    <w:p w14:paraId="09A8FE2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（23）以基金管理人名义，代表基金份额持有人利益行使诉讼权利或实施其他法律行为；</w:t>
      </w:r>
    </w:p>
    <w:p w14:paraId="332A90F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0308C83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（25）执行生效的基金份额持有人大会的决议；</w:t>
      </w:r>
    </w:p>
    <w:p w14:paraId="02F600C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（26）建立并保存基金份额持有人名册；</w:t>
      </w:r>
    </w:p>
    <w:p w14:paraId="3288DCD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（27）法律法规及中国证监会规定的和《基金合同》约定的其他义务。</w:t>
      </w:r>
    </w:p>
    <w:p w14:paraId="478CE8F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2、基金托管人的权利与义务</w:t>
      </w:r>
    </w:p>
    <w:p w14:paraId="03D1F4C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根据《基金法》、《运作办法》及其他有关规定，基金托管人的权利包括但不限于：</w:t>
      </w:r>
    </w:p>
    <w:p w14:paraId="28A8D7E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（1）自《基金合同》生效之日起，依法律法规和《基金合同》的规定安全保管基金财产；</w:t>
      </w:r>
    </w:p>
    <w:p w14:paraId="706F8FA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（2）依《基金合同》约定获得基金托管费以及法律法规规定或监管部门批准的其他费用；</w:t>
      </w:r>
    </w:p>
    <w:p w14:paraId="02E8137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3F0BC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（4）根据相关市场规则，为基金开设资金账户、证券账户、基金账户等投资所需账户，为基金办理基金、证券交易资金清算；</w:t>
      </w:r>
    </w:p>
    <w:p w14:paraId="39B2B0F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（5）提议召开或召集基金份额持有人大会；</w:t>
      </w:r>
    </w:p>
    <w:p w14:paraId="173B2FD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（6）在基金管理人更换时，提名新的基金管理人；</w:t>
      </w:r>
    </w:p>
    <w:p w14:paraId="54A75B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（7）法律法规及中国证监会规定的和《基金合同》约定的其他权利。</w:t>
      </w:r>
    </w:p>
    <w:p w14:paraId="337F0AA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根据《基金法》、《运作办法》及其他有关规定，基金托管人的义务包括但不限于：</w:t>
      </w:r>
    </w:p>
    <w:p w14:paraId="2BC8D4A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（1）以诚实信用、勤勉尽责的原则持有并安全保管基金财产；</w:t>
      </w:r>
    </w:p>
    <w:p w14:paraId="5291F92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（2）设立专门的基金托管部门，具有符合要求的营业场所，配备足够的、合格的熟悉基金托管业务的专职人员，负责基金财产托管事宜；</w:t>
      </w:r>
    </w:p>
    <w:p w14:paraId="4510571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EAB66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（4）除依据《基金法》、《基金合同》及其他有关规定外，不得利用基金财产为自己及任何第三人谋取利益，不得委托第三人托管基金财产；</w:t>
      </w:r>
    </w:p>
    <w:p w14:paraId="2D63354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（5）保管由基金管理人代表基金签订的与基金有关的重大合同及有关凭证；</w:t>
      </w:r>
    </w:p>
    <w:p w14:paraId="51FEB0D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（6）按规定开设基金财产的资金账户、证券账户、基金账户等投资所需账户，按照《基金合同》的约定，根据基金管理人的投资指令，及时办理清算、交割事宜；</w:t>
      </w:r>
    </w:p>
    <w:p w14:paraId="32D2103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（7）保守基金商业秘密，除《基金法》、《基金合同》及其他有关规定另有规定外，在基金信息公开披露前予以保密，不得向他人泄露；</w:t>
      </w:r>
    </w:p>
    <w:p w14:paraId="3FC553C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（8）复核、审查基金管理人计算的基金资产净值、基金份额净值、基金份额申购、赎回价格；</w:t>
      </w:r>
    </w:p>
    <w:p w14:paraId="102C5A9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（9）办理与基金托管业务活动有关的信息披露事项；</w:t>
      </w:r>
    </w:p>
    <w:p w14:paraId="109CA73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4C746E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（11）保存基金托管业务活动的记录、账册、报表和其他相关资料15年以上；</w:t>
      </w:r>
    </w:p>
    <w:p w14:paraId="4BF759D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（12）从基金管理人或其委托的登记机构处接收并保存基金份额持有人名册；</w:t>
      </w:r>
    </w:p>
    <w:p w14:paraId="6B3F669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（13）按规定制作相关账册并与基金管理人核对；</w:t>
      </w:r>
    </w:p>
    <w:p w14:paraId="7A4FEA5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（14）依据基金管理人的指令或有关规定向基金份额持有人支付基金收益和赎回款项；</w:t>
      </w:r>
    </w:p>
    <w:p w14:paraId="66DD5DF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（15）依据《基金法》、《基金合同》及其他有关规定，召集基金份额持有人大会或配合基金管理人、基金份额持有人依法召集基金份额持有人大会；</w:t>
      </w:r>
    </w:p>
    <w:p w14:paraId="556B01F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（16）按照法律法规和《基金合同》的规定监督基金管理人的投资运作；</w:t>
      </w:r>
    </w:p>
    <w:p w14:paraId="0537E2F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（17）参加基金财产清算小组，参与基金财产的保管、清理、估价、变现和分配；</w:t>
      </w:r>
    </w:p>
    <w:p w14:paraId="4C09C21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（18）面临解散、依法被撤销或者被依法宣告破产时，及时报告中国证监会和银行业监督管理机构，并通知基金管理人；</w:t>
      </w:r>
    </w:p>
    <w:p w14:paraId="2D68C3D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（19）因违反《基金合同》导致基金财产损失时，应承担赔偿责任，其赔偿责任不因其退任而免除；</w:t>
      </w:r>
    </w:p>
    <w:p w14:paraId="272D681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13FE3C0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（21）执行生效的基金份额持有人大会的决议；</w:t>
      </w:r>
    </w:p>
    <w:p w14:paraId="1B51A8F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（22）法律法规及中国证监会规定的和《基金合同》约定的其他义务。</w:t>
      </w:r>
    </w:p>
    <w:p w14:paraId="26CAFB9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3、基金份额持有人的权利与义务</w:t>
      </w:r>
    </w:p>
    <w:p w14:paraId="5421D79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基金投资者持有本基金基金份额的行为即视为对《基金合同》的承认和接受，</w:t>
      </w:r>
      <w:r w:rsidRPr="003E746D">
        <w:rPr>
          <w:rFonts w:ascii="宋体" w:hAnsi="宋体"/>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158CDF8" w14:textId="77777777" w:rsidR="004D2F6C" w:rsidRPr="003E746D" w:rsidRDefault="000C3294">
      <w:pPr>
        <w:autoSpaceDE w:val="0"/>
        <w:autoSpaceDN w:val="0"/>
        <w:adjustRightInd w:val="0"/>
        <w:snapToGrid w:val="0"/>
        <w:spacing w:line="360" w:lineRule="auto"/>
        <w:ind w:firstLineChars="200" w:firstLine="480"/>
        <w:jc w:val="left"/>
        <w:rPr>
          <w:rFonts w:ascii="宋体" w:hAnsi="宋体"/>
          <w:szCs w:val="24"/>
        </w:rPr>
      </w:pPr>
      <w:r w:rsidRPr="003E746D">
        <w:rPr>
          <w:rFonts w:hint="eastAsia"/>
          <w:bCs/>
          <w:sz w:val="24"/>
        </w:rPr>
        <w:t>同一类别</w:t>
      </w:r>
      <w:r w:rsidR="00435F28" w:rsidRPr="003E746D">
        <w:rPr>
          <w:rFonts w:ascii="宋体" w:hAnsi="宋体"/>
          <w:sz w:val="24"/>
        </w:rPr>
        <w:t>每份基金份额具有同等的合法权益。</w:t>
      </w:r>
    </w:p>
    <w:p w14:paraId="36E25E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根据《基金法》、《运作办法》及其他有关规定，基金份额持有人的权利包括但不限于：</w:t>
      </w:r>
    </w:p>
    <w:p w14:paraId="2545238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（1）分享基金财产收益；</w:t>
      </w:r>
    </w:p>
    <w:p w14:paraId="6870805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（2）参与分配清算后的剩余基金财产；</w:t>
      </w:r>
    </w:p>
    <w:p w14:paraId="3EF8F12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（3）依法并按照基金合同和招募说明书的规定申请赎回或转让其持有的基金份额；</w:t>
      </w:r>
    </w:p>
    <w:p w14:paraId="6F47898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（4）按照规定要求召开基金份额持有人大会或者召集基金份额持有人大会；</w:t>
      </w:r>
    </w:p>
    <w:p w14:paraId="2673FAA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（5）出席或者委派代表出席基金份额持有人大会，对基金份额持有人大会审议事项行使表决权；</w:t>
      </w:r>
    </w:p>
    <w:p w14:paraId="4A62AC4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（6）查阅或者复制公开披露的基金信息资料；</w:t>
      </w:r>
    </w:p>
    <w:p w14:paraId="46773B8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（7）监督基金管理人的投资运作；</w:t>
      </w:r>
    </w:p>
    <w:p w14:paraId="6733F59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（8）对基金管理人、基金托管人、基金服务机构损害其合法权益的行为依法提起诉讼或仲裁；</w:t>
      </w:r>
    </w:p>
    <w:p w14:paraId="4F62C2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（9）法律法规及中国证监会规定的和《基金合同》约定的其他权利。</w:t>
      </w:r>
    </w:p>
    <w:p w14:paraId="1ACAD95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根据《基金法》、《运作办法》及其他有关规定，基金份额持有人的义务包括但不限于：</w:t>
      </w:r>
    </w:p>
    <w:p w14:paraId="7300F2D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（1）认真阅读并遵守《基金合同》、招募说明书等信息披露文件；</w:t>
      </w:r>
    </w:p>
    <w:p w14:paraId="066FFA5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（2）了解所投资基金产品，了解自身风险承受能力，自主判断基金的投资价值，自主做出投资决策，自行承担投资风险；</w:t>
      </w:r>
    </w:p>
    <w:p w14:paraId="10E3C14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（3）关注基金信息披露，及时行使权利和履行义务；</w:t>
      </w:r>
    </w:p>
    <w:p w14:paraId="0C7AD3A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（4）缴纳基金认购、申购款项及法律法规和《基金合同》所规定的费用；</w:t>
      </w:r>
    </w:p>
    <w:p w14:paraId="5F1688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（5）在其持有的基金份额范围内，承担基金亏损或者《基金合同》终止的有限责任；</w:t>
      </w:r>
    </w:p>
    <w:p w14:paraId="7E7056D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（6）不从事任何有损基金及其他《基金合同》当事人合法权益的活动；</w:t>
      </w:r>
    </w:p>
    <w:p w14:paraId="36C13B1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（7）执行生效的基金份额持有人大会的决议；</w:t>
      </w:r>
    </w:p>
    <w:p w14:paraId="2E03F2D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（8）返还在基金交易过程中因任何原因获得的不当得利；</w:t>
      </w:r>
    </w:p>
    <w:p w14:paraId="6887D8A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（9）遵守基金管理人、基金托管人、销售机构和登记机构的相关交易及业务规则；</w:t>
      </w:r>
    </w:p>
    <w:p w14:paraId="3E8F618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（10）提供基金管理人和监管机构依法要求提供的信息，以及不时的更新和补充，并保证其真实性；</w:t>
      </w:r>
    </w:p>
    <w:p w14:paraId="1D9C356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（11）法律法规及中国证监会规定的和《基金合同》约定的其他义务。</w:t>
      </w:r>
    </w:p>
    <w:p w14:paraId="0CB8A7D4"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（二）基金份额持有人大会召集、议事及表决的程序和规则</w:t>
      </w:r>
    </w:p>
    <w:p w14:paraId="230B1E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7C9CD3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本基金份额持有人大会不设日常机构。</w:t>
      </w:r>
    </w:p>
    <w:p w14:paraId="275BBA2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1、召开事由</w:t>
      </w:r>
    </w:p>
    <w:p w14:paraId="05005FA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（1）当出现或需要决定下列事由之一的，应当召开基金份额持有人大会，法律法规和中国证监会另有规定的除外：</w:t>
      </w:r>
    </w:p>
    <w:p w14:paraId="7A615C9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1）终止《基金合同》，基金合同另有约定的除外；</w:t>
      </w:r>
    </w:p>
    <w:p w14:paraId="0429A9B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2）更换基金管理人；</w:t>
      </w:r>
    </w:p>
    <w:p w14:paraId="4D6035A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3）更换基金托管人；</w:t>
      </w:r>
    </w:p>
    <w:p w14:paraId="7EF8458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4）转换基金运作方式；</w:t>
      </w:r>
    </w:p>
    <w:p w14:paraId="158F31E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5）调整基金管理人、基金托管人的报酬标准；</w:t>
      </w:r>
    </w:p>
    <w:p w14:paraId="317AC5E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6）变更基金类别；</w:t>
      </w:r>
    </w:p>
    <w:p w14:paraId="4E08393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7）本基金与其他基金的合并；</w:t>
      </w:r>
    </w:p>
    <w:p w14:paraId="2C86DEB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8）变更基金投资目标、范围或策略，基金合同另有约定的除外；</w:t>
      </w:r>
    </w:p>
    <w:p w14:paraId="4D1A40F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9）变更基金份额持有人大会程序，基金合同另有约定的除外；</w:t>
      </w:r>
    </w:p>
    <w:p w14:paraId="033ADF3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10）基金管理人或基金托管人要求召开基金份额持有人大会；</w:t>
      </w:r>
    </w:p>
    <w:p w14:paraId="0492A75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0929697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12）对基金合同当事人权利和义务产生重大影响的其他事项；</w:t>
      </w:r>
    </w:p>
    <w:p w14:paraId="14C04DB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13）法律法规、《基金合同》或中国证监会规定的其他应当召开基金份额持有人大会的事项。</w:t>
      </w:r>
    </w:p>
    <w:p w14:paraId="30735A3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（2）在符合法律法规和《基金合同》规定的范围内、并且对基金份额持有人</w:t>
      </w:r>
      <w:r w:rsidRPr="003E746D">
        <w:rPr>
          <w:rFonts w:ascii="宋体" w:hAnsi="宋体"/>
          <w:sz w:val="24"/>
        </w:rPr>
        <w:lastRenderedPageBreak/>
        <w:t>利益无实质不利影响的前提下，以下情况可由基金管理人和基金托管人协商后修改，不需召开基金份额持有人大会：</w:t>
      </w:r>
    </w:p>
    <w:p w14:paraId="54584A3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1）调低除基金管理费、基金托管费之外的其他应由本基金或基金份额持有人承担的费用；</w:t>
      </w:r>
    </w:p>
    <w:p w14:paraId="5A240B3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2）法律法规要求增加的基金费用的收取；</w:t>
      </w:r>
    </w:p>
    <w:p w14:paraId="33CEA0F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3）调整本基金的申购费率、调低赎回费率、变更或增加收费方式；</w:t>
      </w:r>
    </w:p>
    <w:p w14:paraId="1901B365" w14:textId="77777777" w:rsidR="000C3294" w:rsidRPr="003E746D" w:rsidRDefault="00435F28">
      <w:pPr>
        <w:autoSpaceDE w:val="0"/>
        <w:autoSpaceDN w:val="0"/>
        <w:adjustRightInd w:val="0"/>
        <w:snapToGrid w:val="0"/>
        <w:spacing w:line="360" w:lineRule="auto"/>
        <w:ind w:firstLineChars="200" w:firstLine="480"/>
        <w:jc w:val="left"/>
        <w:rPr>
          <w:rFonts w:ascii="宋体" w:hAnsi="宋体"/>
          <w:sz w:val="24"/>
        </w:rPr>
      </w:pPr>
      <w:r w:rsidRPr="003E746D">
        <w:rPr>
          <w:rFonts w:ascii="宋体" w:hAnsi="宋体"/>
          <w:sz w:val="24"/>
        </w:rPr>
        <w:t>4）</w:t>
      </w:r>
      <w:r w:rsidR="000C3294" w:rsidRPr="003E746D">
        <w:rPr>
          <w:rFonts w:ascii="宋体" w:hAnsi="宋体" w:hint="eastAsia"/>
          <w:sz w:val="24"/>
        </w:rPr>
        <w:t>在符合法律法规及本基金合同规定、并且对基金份额持有人利益无实质不利影响的前提下，调整基金份额类别设置、对基金份额分类办法及规则进行调整</w:t>
      </w:r>
      <w:r w:rsidR="00406B93" w:rsidRPr="003E746D">
        <w:rPr>
          <w:rFonts w:ascii="宋体" w:hAnsi="宋体" w:hint="eastAsia"/>
          <w:sz w:val="24"/>
        </w:rPr>
        <w:t>或者停止现有基金份额类别的销售</w:t>
      </w:r>
      <w:r w:rsidR="000C3294" w:rsidRPr="003E746D">
        <w:rPr>
          <w:rFonts w:ascii="宋体" w:hAnsi="宋体" w:hint="eastAsia"/>
          <w:sz w:val="24"/>
        </w:rPr>
        <w:t>；</w:t>
      </w:r>
    </w:p>
    <w:p w14:paraId="714BDBBE" w14:textId="77777777" w:rsidR="004D2F6C" w:rsidRPr="003E746D" w:rsidRDefault="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5）</w:t>
      </w:r>
      <w:r w:rsidR="00435F28" w:rsidRPr="003E746D">
        <w:rPr>
          <w:rFonts w:ascii="宋体" w:hAnsi="宋体"/>
          <w:sz w:val="24"/>
        </w:rPr>
        <w:t>因相应的法律法规、登记机构的相关业务规则发生变动而应当对《基金合同》进行修改；</w:t>
      </w:r>
    </w:p>
    <w:p w14:paraId="0639EEC1" w14:textId="4855FBD7" w:rsidR="004D2F6C" w:rsidRPr="003E746D" w:rsidRDefault="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w:t>
      </w:r>
      <w:r w:rsidR="00435F28" w:rsidRPr="003E746D">
        <w:rPr>
          <w:rFonts w:ascii="宋体" w:hAnsi="宋体"/>
          <w:sz w:val="24"/>
        </w:rPr>
        <w:t>）对《基金合同》的修改对基金份额持有人利益无实质性不利影响或修改不涉及《基金合同》当事人权利义务关系发生重大变化；</w:t>
      </w:r>
    </w:p>
    <w:p w14:paraId="778916C9" w14:textId="25AB3E2D" w:rsidR="004D2F6C" w:rsidRPr="003E746D" w:rsidRDefault="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w:t>
      </w:r>
      <w:r w:rsidR="00435F28" w:rsidRPr="003E746D">
        <w:rPr>
          <w:rFonts w:ascii="宋体" w:hAnsi="宋体"/>
          <w:sz w:val="24"/>
        </w:rPr>
        <w:t>）在法律法规允许的情况下，且在对现有基金份额持有人利益无实质性不利影响的前提下，基金推出新业务或服务；</w:t>
      </w:r>
    </w:p>
    <w:p w14:paraId="613C1175" w14:textId="357CFA5F" w:rsidR="004D2F6C" w:rsidRPr="003E746D" w:rsidRDefault="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w:t>
      </w:r>
      <w:r w:rsidR="00435F28" w:rsidRPr="003E746D">
        <w:rPr>
          <w:rFonts w:ascii="宋体" w:hAnsi="宋体"/>
          <w:sz w:val="24"/>
        </w:rPr>
        <w:t>）在符合法律法规及本基金合同规定、并且对基金份额持有人利益无实质性不利影响的前提下，增加基金份额类别或调整本基金份额类别的设置；</w:t>
      </w:r>
    </w:p>
    <w:p w14:paraId="587699D5" w14:textId="169DE6EE" w:rsidR="004D2F6C" w:rsidRPr="003E746D" w:rsidRDefault="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w:t>
      </w:r>
      <w:r w:rsidR="00435F28" w:rsidRPr="003E746D">
        <w:rPr>
          <w:rFonts w:ascii="宋体" w:hAnsi="宋体"/>
          <w:sz w:val="24"/>
        </w:rPr>
        <w:t>）在不违反法律法规及对基金份额持有人利益无实质性不利影响的前提下，基金管理人、登记机构、销售机构调整有关基金认购、申购、赎回、转换、定期定额投资、非交易过户、转托管等业务的规则；</w:t>
      </w:r>
    </w:p>
    <w:p w14:paraId="58F86289" w14:textId="42B0F8D3" w:rsidR="004D2F6C" w:rsidRPr="003E746D" w:rsidRDefault="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w:t>
      </w:r>
      <w:r w:rsidR="00435F28" w:rsidRPr="003E746D">
        <w:rPr>
          <w:rFonts w:ascii="宋体" w:hAnsi="宋体"/>
          <w:sz w:val="24"/>
        </w:rPr>
        <w:t>）按照法律法规和《基金合同》规定不需召开基金份额持有人大会的其他情形。</w:t>
      </w:r>
    </w:p>
    <w:p w14:paraId="4BE8F9A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合同生效后的存续期内，若基金份额持有人数量连续60个工作日出现基金份额持有人数量不满200人或者基金资产净值低于5000万元情形，本基金管理人提前终止本基金合同，不需召开基金份额持有人大会。</w:t>
      </w:r>
    </w:p>
    <w:p w14:paraId="43BEA4B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2、会议召集人及召集方式</w:t>
      </w:r>
    </w:p>
    <w:p w14:paraId="03C1853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（1）除法律法规规定或《基金合同》另有约定外，基金份额持有人大会由基金管理人召集；</w:t>
      </w:r>
    </w:p>
    <w:p w14:paraId="321FE06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（2）基金管理人未按规定召集或不能召集时，由基金托管人召集；</w:t>
      </w:r>
    </w:p>
    <w:p w14:paraId="0BEF9D7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（3）基金托管人认为有必要召开基金份额持有人大会的，应当向基金管理人</w:t>
      </w:r>
      <w:r w:rsidRPr="003E746D">
        <w:rPr>
          <w:rFonts w:ascii="宋体" w:hAnsi="宋体"/>
          <w:sz w:val="24"/>
        </w:rPr>
        <w:lastRenderedPageBreak/>
        <w:t>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278A8D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69F2D67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41A653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（6）基金份额持有人会议的召集人负责选择确定开会时间、地点、方式和权益登记日。</w:t>
      </w:r>
    </w:p>
    <w:p w14:paraId="23A961C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3、召开基金份额持有人大会的通知时间、通知内容、通知方式</w:t>
      </w:r>
    </w:p>
    <w:p w14:paraId="341983C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（1）召开基金份额持有人大会，召集人应于会议召开前30日，在指定媒介公告。基金份额持有人大会通知应至少载明以下内容：</w:t>
      </w:r>
    </w:p>
    <w:p w14:paraId="51E1841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1）会议召开的时间、地点和会议形式；</w:t>
      </w:r>
    </w:p>
    <w:p w14:paraId="539570E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2）会议拟审议的事项、议事程序和表决方式；</w:t>
      </w:r>
    </w:p>
    <w:p w14:paraId="2718FB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3）有权出席基金份额持有人大会的基金份额持有人的权益登记日；</w:t>
      </w:r>
    </w:p>
    <w:p w14:paraId="047FBB1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4）授权委托证明的内容要求（包括但不限于代理人身份，代理权限和代理有效期限等）、送达时间和地点；</w:t>
      </w:r>
    </w:p>
    <w:p w14:paraId="3338306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5）会务常设联系人姓名及联系电话；</w:t>
      </w:r>
    </w:p>
    <w:p w14:paraId="0DA4AB5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6）出席会议者必须准备的文件和必须履行的手续；</w:t>
      </w:r>
    </w:p>
    <w:p w14:paraId="014EFC7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7）召集人需要通知的其他事项。</w:t>
      </w:r>
    </w:p>
    <w:p w14:paraId="4E38D18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4CAEF8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853D7E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4、基金份额持有人出席会议的方式</w:t>
      </w:r>
    </w:p>
    <w:p w14:paraId="338F56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基金份额持有人大会可通过现场开会方式、通讯开会方式或法律法规和监管机构允许的其他方式召开，会议的召开方式由会议召集人确定。</w:t>
      </w:r>
    </w:p>
    <w:p w14:paraId="1CF51C5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24D6B9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25FB0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1F1B9CE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（2）通讯开会。通讯开会系指基金份额持有人将其对表决事项的投票以会议通知载明的形式在表决截止日以前送达至召集人指定的地址或系统。</w:t>
      </w:r>
    </w:p>
    <w:p w14:paraId="015F093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在同时符合以下条件时，通讯开会的方式视为有效：</w:t>
      </w:r>
    </w:p>
    <w:p w14:paraId="35F208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1）会议召集人按《基金合同》约定公布会议通知后，在2个工作日内连续公布相关提示性公告；</w:t>
      </w:r>
    </w:p>
    <w:p w14:paraId="214D6CE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257A21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F189A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B3B4BF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在法律法规和监管机构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CDF5E8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5、议事内容与程序</w:t>
      </w:r>
    </w:p>
    <w:p w14:paraId="703A92F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（1）议事内容及提案权</w:t>
      </w:r>
    </w:p>
    <w:p w14:paraId="122629B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w:t>
      </w:r>
      <w:r w:rsidRPr="003E746D">
        <w:rPr>
          <w:rFonts w:ascii="宋体" w:hAnsi="宋体"/>
          <w:sz w:val="24"/>
        </w:rPr>
        <w:lastRenderedPageBreak/>
        <w:t>规定的其他事项以及会议召集人认为需提交基金份额持有人大会讨论的其他事项。</w:t>
      </w:r>
    </w:p>
    <w:p w14:paraId="5D1A11E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基金份额持有人大会的召集人发出召集会议的通知后，对原有提案的修改应当在基金份额持有人大会召开前及时公告。</w:t>
      </w:r>
    </w:p>
    <w:p w14:paraId="4C2D203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基金份额持有人大会不得对未事先公告的议事内容进行表决。</w:t>
      </w:r>
    </w:p>
    <w:p w14:paraId="7A397CE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（2）议事程序</w:t>
      </w:r>
    </w:p>
    <w:p w14:paraId="0A7A6A9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1）现场开会</w:t>
      </w:r>
    </w:p>
    <w:p w14:paraId="1558CCB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0AB1A35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5BD39F1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2）通讯开会</w:t>
      </w:r>
    </w:p>
    <w:p w14:paraId="608BEDF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7334A25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6、表决</w:t>
      </w:r>
    </w:p>
    <w:p w14:paraId="4545221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基金份额持有人所持每份基金份额有一票表决权。</w:t>
      </w:r>
    </w:p>
    <w:p w14:paraId="0839028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基金份额持有人大会决议分为一般决议和特别决议：</w:t>
      </w:r>
    </w:p>
    <w:p w14:paraId="0E23B84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B6192E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就上述情</w:t>
      </w:r>
      <w:r w:rsidRPr="003E746D">
        <w:rPr>
          <w:rFonts w:ascii="宋体" w:hAnsi="宋体"/>
          <w:sz w:val="24"/>
        </w:rPr>
        <w:lastRenderedPageBreak/>
        <w:t>形，法律法规、《基金合同》和中国证监会另有规定的除外）以特别决议通过方为有效。</w:t>
      </w:r>
    </w:p>
    <w:p w14:paraId="394E4FB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基金份额持有人大会采取记名方式进行投票表决。</w:t>
      </w:r>
    </w:p>
    <w:p w14:paraId="0C55BDA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058BDA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基金份额持有人大会的各项提案或同一项提案内并列的各项议题应当分开审议、逐项表决。</w:t>
      </w:r>
    </w:p>
    <w:p w14:paraId="776F91C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7、计票</w:t>
      </w:r>
    </w:p>
    <w:p w14:paraId="0E38FD7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（1）现场开会</w:t>
      </w:r>
    </w:p>
    <w:p w14:paraId="3B60036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D6FBCC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2）监票人应当在基金份额持有人表决后立即进行清点并由大会主持人当场公布计票结果。</w:t>
      </w:r>
    </w:p>
    <w:p w14:paraId="72AA95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46B1B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4）计票过程应由公证机关予以公证，基金管理人或基金托管人拒不出席大会的，不影响计票的效力。</w:t>
      </w:r>
    </w:p>
    <w:p w14:paraId="541D774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（2）通讯开会</w:t>
      </w:r>
    </w:p>
    <w:p w14:paraId="0974B90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DEC09A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8、生效与公告</w:t>
      </w:r>
    </w:p>
    <w:p w14:paraId="433B350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基金份额持有人大会的决议，召集人应当自通过之日起5日内报中国证监会备案。基金份额持有人大会的决议自表决通过之日起生效。</w:t>
      </w:r>
    </w:p>
    <w:p w14:paraId="516DC32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7AE3994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087D611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4D03614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15B81FDD"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（三）基金合同解除和终止的事由、程序</w:t>
      </w:r>
    </w:p>
    <w:p w14:paraId="53AB1BC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1、《基金合同》的变更</w:t>
      </w:r>
    </w:p>
    <w:p w14:paraId="6656825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D3B2B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（2）关于《基金合同》变更的基金份额持有人大会决议生效后方可执行，并自表决通过之日起生效，生效后依照《信息披露办法》的规定在指定媒介公告。</w:t>
      </w:r>
    </w:p>
    <w:p w14:paraId="177B6E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2、《基金合同》的终止事由</w:t>
      </w:r>
    </w:p>
    <w:p w14:paraId="7549CB9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有下列情形之一的，《基金合同》应当终止：</w:t>
      </w:r>
    </w:p>
    <w:p w14:paraId="2B13F2B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（1）基金份额持有人大会决定终止的；</w:t>
      </w:r>
    </w:p>
    <w:p w14:paraId="37540DC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（2）基金管理人、基金托管人职责终止，在6个月内没有新基金管理人、新基</w:t>
      </w:r>
      <w:r w:rsidRPr="003E746D">
        <w:rPr>
          <w:rFonts w:ascii="宋体" w:hAnsi="宋体"/>
          <w:sz w:val="24"/>
        </w:rPr>
        <w:lastRenderedPageBreak/>
        <w:t>金托管人承接的；</w:t>
      </w:r>
    </w:p>
    <w:p w14:paraId="2EA28D2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（3）本基金作为被合并方与其他基金进行合并的；</w:t>
      </w:r>
    </w:p>
    <w:p w14:paraId="2D0EBC0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（4）《基金合同》约定的其他情形；</w:t>
      </w:r>
    </w:p>
    <w:p w14:paraId="2951549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（5）相关法律法规和中国证监会规定的其他情况。</w:t>
      </w:r>
    </w:p>
    <w:p w14:paraId="3026966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3、基金财产的清算</w:t>
      </w:r>
    </w:p>
    <w:p w14:paraId="5364785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（1）基金财产清算小组：自出现《基金合同》终止事由之日起30个工作日内成立清算小组，基金管理人组织基金财产清算小组并在中国证监会的监督下进行基金清算。</w:t>
      </w:r>
    </w:p>
    <w:p w14:paraId="506A28D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3AD2AD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（3）基金财产清算小组职责：基金财产清算小组负责基金财产的保管、清理、估价、变现和分配。基金财产清算小组可以依法进行必要的民事活动。</w:t>
      </w:r>
    </w:p>
    <w:p w14:paraId="7550CA6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（4）基金财产清算程序：</w:t>
      </w:r>
    </w:p>
    <w:p w14:paraId="3770AA0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1）《基金合同》终止情形出现时，由基金财产清算小组统一接管基金财产；</w:t>
      </w:r>
    </w:p>
    <w:p w14:paraId="7837B0C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2）对基金财产和债权债务进行清理和确认；</w:t>
      </w:r>
    </w:p>
    <w:p w14:paraId="0B857AC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3）对基金财产进行估值和变现；</w:t>
      </w:r>
    </w:p>
    <w:p w14:paraId="1AC46FB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4）制作清算报告；</w:t>
      </w:r>
    </w:p>
    <w:p w14:paraId="7CFEEBF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5）聘请会计师事务所对清算报告进行外部审计，聘请律师事务所对清算报告出具法律意见书；</w:t>
      </w:r>
    </w:p>
    <w:p w14:paraId="5AAF41D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6）将清算报告报中国证监会备案并公告；</w:t>
      </w:r>
    </w:p>
    <w:p w14:paraId="107CB5B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7）对基金剩余财产进行分配。</w:t>
      </w:r>
    </w:p>
    <w:p w14:paraId="1B54B9B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（5）基金财产清算的期限为6个月。</w:t>
      </w:r>
    </w:p>
    <w:p w14:paraId="1C65D28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4、清算费用</w:t>
      </w:r>
    </w:p>
    <w:p w14:paraId="094AB3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清算费用是指基金财产清算小组在进行基金清算过程中发生的所有合理费用，清算费用由基金财产清算小组优先从基金财产中支付。</w:t>
      </w:r>
    </w:p>
    <w:p w14:paraId="11E562F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5、基金财产清算剩余资产的分配</w:t>
      </w:r>
    </w:p>
    <w:p w14:paraId="2813603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A5F3C2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6、基金财产清算的公告</w:t>
      </w:r>
    </w:p>
    <w:p w14:paraId="02938F0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71E2670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7、基金财产清算账册及文件的保存</w:t>
      </w:r>
    </w:p>
    <w:p w14:paraId="1597DBA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基金财产清算账册及有关文件由基金托管人保存15年以上。</w:t>
      </w:r>
    </w:p>
    <w:p w14:paraId="7DD176BE"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（四）争议解决方式</w:t>
      </w:r>
    </w:p>
    <w:p w14:paraId="67C54D4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1731CF1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争议处理期间，基金管理人和基金托管人应恪守职责，各自继续忠实、勤勉、尽责地履行基金合同规定的义务，维护基金份额持有人的合法权益。</w:t>
      </w:r>
    </w:p>
    <w:p w14:paraId="6CE297B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《基金合同》受中国法律管辖。</w:t>
      </w:r>
    </w:p>
    <w:p w14:paraId="4BE2688C"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（五）基金合同存放地和投资者取得基金合同的方式</w:t>
      </w:r>
    </w:p>
    <w:p w14:paraId="47D1977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《基金合同》正本一式六份，除上报有关监管机构一式二份外，基金管理人、基金托管人各持有二份，每份具有同等的法律效力。</w:t>
      </w:r>
    </w:p>
    <w:p w14:paraId="4EAC19C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《基金合同》可印制成册，供投资者在基金管理人、基金托管人、销售机构的办公场所和营业场所查阅，但应以《基金合同》正本为准。</w:t>
      </w:r>
    </w:p>
    <w:p w14:paraId="3B64C812"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245C34E8" w14:textId="2D658A5B" w:rsidR="004D2F6C" w:rsidRPr="003E746D" w:rsidRDefault="00435F28">
      <w:pPr>
        <w:pStyle w:val="1"/>
        <w:snapToGrid w:val="0"/>
        <w:spacing w:beforeLines="0" w:before="240" w:after="240"/>
        <w:rPr>
          <w:rFonts w:ascii="宋体" w:hAnsi="宋体"/>
          <w:szCs w:val="30"/>
        </w:rPr>
      </w:pPr>
      <w:bookmarkStart w:id="23" w:name="_Toc104410529"/>
      <w:r w:rsidRPr="003E746D">
        <w:rPr>
          <w:rFonts w:ascii="Times New Roman" w:hAnsi="Times New Roman"/>
          <w:sz w:val="30"/>
        </w:rPr>
        <w:lastRenderedPageBreak/>
        <w:t>二十、托管协议的内容摘要</w:t>
      </w:r>
      <w:bookmarkEnd w:id="23"/>
    </w:p>
    <w:p w14:paraId="00665E02"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（一）托管协议当事人</w:t>
      </w:r>
    </w:p>
    <w:p w14:paraId="72312F4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1、基金管理人</w:t>
      </w:r>
    </w:p>
    <w:p w14:paraId="63EF3AE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名称：交银施罗德基金管理有限公司</w:t>
      </w:r>
    </w:p>
    <w:p w14:paraId="6BB40A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注册地址：中国（上海）自由贸易试验区银城中路188号交通银行大楼二层（裙）</w:t>
      </w:r>
    </w:p>
    <w:p w14:paraId="75144A3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办公地址：上海市浦东新区世纪大道8号国金中心二期21-22楼</w:t>
      </w:r>
    </w:p>
    <w:p w14:paraId="266F0BD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邮政编码：200120</w:t>
      </w:r>
    </w:p>
    <w:p w14:paraId="0D2659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法定代表人：阮红</w:t>
      </w:r>
    </w:p>
    <w:p w14:paraId="134EE7E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成立日期：2005年8月4日</w:t>
      </w:r>
    </w:p>
    <w:p w14:paraId="5522929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批准设立机关及批准设立文号：中国证监会证监基金字[2005]128号</w:t>
      </w:r>
    </w:p>
    <w:p w14:paraId="2A5F256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组织形式：有限责任公司</w:t>
      </w:r>
    </w:p>
    <w:p w14:paraId="1F2B3CE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注册资本：2亿元人民币</w:t>
      </w:r>
    </w:p>
    <w:p w14:paraId="58CD661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存续期间：持续经营</w:t>
      </w:r>
    </w:p>
    <w:p w14:paraId="5AD2E60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经营范围：基金募集、基金销售、资产管理和中国证监会许可的其它业务</w:t>
      </w:r>
    </w:p>
    <w:p w14:paraId="67CED08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2、基金托管人</w:t>
      </w:r>
    </w:p>
    <w:p w14:paraId="0422201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名称：中国农业银行股份有限公司</w:t>
      </w:r>
    </w:p>
    <w:p w14:paraId="2C36A8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注册地址：北京市东城区建国门内大街69号</w:t>
      </w:r>
    </w:p>
    <w:p w14:paraId="47FBE61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办公地址：北京市西城区复兴门内大街28号凯晨世贸中心东座九层</w:t>
      </w:r>
    </w:p>
    <w:p w14:paraId="25B5DCB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邮政编码：100031</w:t>
      </w:r>
    </w:p>
    <w:p w14:paraId="4CE1175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法定代表人：周慕冰</w:t>
      </w:r>
    </w:p>
    <w:p w14:paraId="7249740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成立时间：2009年1月15日</w:t>
      </w:r>
    </w:p>
    <w:p w14:paraId="06F4B09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基金托管资格批准文号：中国证监会证监基字[1998]23号</w:t>
      </w:r>
    </w:p>
    <w:p w14:paraId="74287E4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批准设立机关和批准设立文号：中国银监会银监复[2009]13号</w:t>
      </w:r>
    </w:p>
    <w:p w14:paraId="508164A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注册资本：32,479,411.7万元人民币</w:t>
      </w:r>
    </w:p>
    <w:p w14:paraId="0F00167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存续期间：持续经营</w:t>
      </w:r>
    </w:p>
    <w:p w14:paraId="116BAAD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w:t>
      </w:r>
      <w:r w:rsidRPr="003E746D">
        <w:rPr>
          <w:rFonts w:ascii="宋体" w:hAnsi="宋体"/>
          <w:sz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6A86472F"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（二）基金托管人对基金管理人的业务监督和核查</w:t>
      </w:r>
    </w:p>
    <w:p w14:paraId="3C65B5A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4F7CBB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的投资范围为具有良好流动性的金融工具，包括经中国证监会依法核准或注册的公开募集证券投资基金（含ETF和LOF、香港互认基金、不含QDII）、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w:t>
      </w:r>
    </w:p>
    <w:p w14:paraId="514F472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如法律法规或监管机构以后允许基金投资其他品种，基金管理人在履行适当程序后，可以将其纳入投资范围。</w:t>
      </w:r>
    </w:p>
    <w:p w14:paraId="696A9AC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的投资组合比例为：本基金投资于公开募集证券投资基金的基金份额的资产不低于本基金资产的80%，其中投资于股票（含存托凭证）、股票型基金（包括股票指数基金）、混合型基金和商品基金（含商品期货基金和黄金ETF）等品种的比例</w:t>
      </w:r>
      <w:r w:rsidRPr="003E746D">
        <w:rPr>
          <w:rFonts w:ascii="宋体" w:hAnsi="宋体"/>
          <w:sz w:val="24"/>
        </w:rPr>
        <w:lastRenderedPageBreak/>
        <w:t>合计占基金资产的0%-30%。本基金持有的现金或者到期日在一年以内的政府债券的比例合计不低于基金资产净值的5%，其中现金不包括结算备付金、存出保证金、应收申购款等。</w:t>
      </w:r>
    </w:p>
    <w:p w14:paraId="39C0DA2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本基金投资于权益类资产（包括股票（含存托凭证）、股票型基金、混合型基金）的战略配置目标比例为25%，投资比例为基金资产的15%-30%。其中混合型基金需符合下列两个条件之一：</w:t>
      </w:r>
    </w:p>
    <w:p w14:paraId="367DC86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1、基金合同中明确约定股票投资占基金资产的比例为50%以上；</w:t>
      </w:r>
    </w:p>
    <w:p w14:paraId="127F21F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2、最近4个季度披露的股票投资占基金资产的比例均在50%以上的混合型基金。</w:t>
      </w:r>
    </w:p>
    <w:p w14:paraId="3247D4A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如果法律法规或中国证监会变更投资品种的投资比例限制，基金管理人在履行适当程序后，可以调整上述投资品种的投资比例。</w:t>
      </w:r>
    </w:p>
    <w:p w14:paraId="08B6F50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2、基金托管人根据有关法律法规的规定及基金合同的约定，对基金投资、融资比例进行监督。基金托管人按下述比例和调整期限进行监督：</w:t>
      </w:r>
    </w:p>
    <w:p w14:paraId="6DE2AA8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本基金投资于经公开募集证券投资基金的基金份额的资产不低于本基金资产的80%，其中投资于股票（含存托凭证）、股票型基金（包括股票指数基金）、混合型基金和商品基金（含商品期货基金和黄金ETF）等品种的比例合计占基金资产的0%-30%；本基金投资权益类资产（包括股票（含存托凭证）、股票型基金、混合型基金）的战略配置目标比例为25%，投资比例为基金资产的15%-30%；</w:t>
      </w:r>
    </w:p>
    <w:p w14:paraId="2BB5554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2、本基金持有的现金或者到期日在一年以内的政府债券的比例合计不低于基金资产净值的5%，其中现金不包括结算备付金、存出保证金、应收申购款等；</w:t>
      </w:r>
    </w:p>
    <w:p w14:paraId="6695B3C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3、本基金持有单只基金的市值，不得高于本基金资产净值的20%，且不得持有其他基金中基金；</w:t>
      </w:r>
    </w:p>
    <w:p w14:paraId="181DAB9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4、本基金管理人管理并由本基金托管人托管的全部基金中基金（除ETF联接基金外）持有单只基金不得超过被投资基金净资产的20%，被投资基金净资产规模以最近定期报告披露的规模为准；</w:t>
      </w:r>
    </w:p>
    <w:p w14:paraId="454D57D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5、本基金不得持有具有复杂、衍生品性质的基金份额，包括分级基金和中国证监会认定的其他基金份额；</w:t>
      </w:r>
    </w:p>
    <w:p w14:paraId="43308B1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本基金投资其他基金时，被投资基金的运作期限不少于2年、最近两年平均季末基金净资产应当不低于2亿元；被投资基金为指数基金、ETF和商品基金等品种的，运作期限应当不少于1年,最近定期报告披露的季末基金净资产应当不低于1亿</w:t>
      </w:r>
      <w:r w:rsidRPr="003E746D">
        <w:rPr>
          <w:rFonts w:ascii="宋体" w:hAnsi="宋体"/>
          <w:sz w:val="24"/>
        </w:rPr>
        <w:lastRenderedPageBreak/>
        <w:t>元；</w:t>
      </w:r>
    </w:p>
    <w:p w14:paraId="3855722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7、本基金投资其他基金时，被投资基金的基金管理人及被投资基金的基金经理最近2年没有重大违法违纪行为；</w:t>
      </w:r>
    </w:p>
    <w:p w14:paraId="41086EB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8、本基金投资于封闭运作基金、定期开放基金等流通受限基金，其公允价值不得超过本基金资产净值的10%；</w:t>
      </w:r>
    </w:p>
    <w:p w14:paraId="7B8B958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9、基金管理人运用本基金财产投资于股票、债券等金融工具的，投资品种和比例应当符合本基金的投资目标和投资策略；</w:t>
      </w:r>
    </w:p>
    <w:p w14:paraId="34F4475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10、本基金持有一家公司发行的证券（不含本基金所投资的基金份额），其市值不超过基金资产净值的10%；</w:t>
      </w:r>
    </w:p>
    <w:p w14:paraId="1A61B2A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11、本基金管理人管理的且由本基金托管人托管的全部基金持有一家公司发行的证券（不含本基金所投资的基金份额），不超过该证券的10%；</w:t>
      </w:r>
    </w:p>
    <w:p w14:paraId="310F15D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12、本基金持有的全部权证，其市值不得超过基金资产净值的3%；</w:t>
      </w:r>
    </w:p>
    <w:p w14:paraId="2AC5D84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13、本基金管理人管理的且由本基金托管人托管的全部基金持有的同一权证，不得超过该权证的10%；</w:t>
      </w:r>
    </w:p>
    <w:p w14:paraId="03063F3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14、本基金在任何交易日买入权证的总金额，不得超过上一交易日基金资产净值的0.5%；</w:t>
      </w:r>
    </w:p>
    <w:p w14:paraId="21B2B46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15、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5FC0CF4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02DDD10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17、本基金与私募类证券资管产品及中国证监会认定的其他主体为交易对手开展逆回购交易的，可接受质押品的资质要求应当与基金合同约定的投资范围保持一致；</w:t>
      </w:r>
    </w:p>
    <w:p w14:paraId="12A8F6C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18、本基金投资于同一原始权益人的各类资产支持证券的比例，不得超过基金资产净值的10%；</w:t>
      </w:r>
    </w:p>
    <w:p w14:paraId="770EEB3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19、本基金持有的全部资产支持证券，其市值不得超过基金资产净值的20%；</w:t>
      </w:r>
    </w:p>
    <w:p w14:paraId="1263323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20、本基金持有的同一（指同一信用级别）资产支持证券的比例，不得超过该资产支持证券规模的10%；</w:t>
      </w:r>
    </w:p>
    <w:p w14:paraId="028A448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21、本基金管理人管理的且由本基金托管人托管的全部基金投资于同一原始权益人的各类资产支持证券，不得超过其各类资产支持证券合计规模的10%；</w:t>
      </w:r>
    </w:p>
    <w:p w14:paraId="0D73624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22、本基金应投资于信用级别评级为BBB以上(含BBB)的资产支持证券。基金持有资产支持证券期间，如果其信用等级下降、不再符合投资标准，应在评级报告发布之日起3个月内予以全部卖出；</w:t>
      </w:r>
    </w:p>
    <w:p w14:paraId="1E8F28D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23、基金财产参与股票发行申购，本基金所申报的金额不超过本基金的总资产，本基金所申报的股票数量不超过拟发行股票公司本次发行股票的总量；</w:t>
      </w:r>
    </w:p>
    <w:p w14:paraId="751DF30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24、本基金进入全国银行间同业市场进行债券回购的资金余额不得超过基金资产净值的40%，本基金在全国银行间同业市场中的债券回购最长期限为1年，债券回购到期后不得展期；</w:t>
      </w:r>
    </w:p>
    <w:p w14:paraId="19004AB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25、本基金的基金资产总值不得超过基金资产净值的140%；</w:t>
      </w:r>
    </w:p>
    <w:p w14:paraId="3B3F81A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26、本基金投资于商品基金（含商品期货基金和黄金ETF）的资产占基金资产的比例不高于10%；</w:t>
      </w:r>
    </w:p>
    <w:p w14:paraId="0E5D094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27、本基金投资于货币市场基金的比例不得超过基金资产的5%；</w:t>
      </w:r>
    </w:p>
    <w:p w14:paraId="223ACCE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28、本基金投资存托凭证的比例限制依照境内上市交易的股票执行；</w:t>
      </w:r>
    </w:p>
    <w:p w14:paraId="44D486E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29、法律法规及中国证监会规定的和《基金合同》约定的其他投资限制。</w:t>
      </w:r>
    </w:p>
    <w:p w14:paraId="2848077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16项、第17项及第22项以外的其他情形，基金管理人应当在10个交易日内进行调整，但中国证监会规定的特殊情形除外。法律法规另有规定的，从其规定。</w:t>
      </w:r>
    </w:p>
    <w:p w14:paraId="6E54096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28F9505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上述投资组合限制条款中，若属法律法规或监管部门的强制性规定，则当法律</w:t>
      </w:r>
      <w:r w:rsidRPr="003E746D">
        <w:rPr>
          <w:rFonts w:ascii="宋体" w:hAnsi="宋体"/>
          <w:sz w:val="24"/>
        </w:rPr>
        <w:lastRenderedPageBreak/>
        <w:t>法规或监管部门取消或修改上述限制，如适用于本基金，基金管理人在履行适当程序后，本基金投资所受限制相应调整或取消。</w:t>
      </w:r>
    </w:p>
    <w:p w14:paraId="7F8CF68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3、基金托管人根据有关法律法规的规定及基金合同的约定，对本协议第十五条第（十一）项基金投资禁止行为进行监督。</w:t>
      </w:r>
    </w:p>
    <w:p w14:paraId="5DDB2EE0"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3CA2354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5E369F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w:t>
      </w:r>
      <w:r w:rsidRPr="003E746D">
        <w:rPr>
          <w:rFonts w:ascii="宋体" w:hAnsi="宋体"/>
          <w:sz w:val="24"/>
        </w:rPr>
        <w:lastRenderedPageBreak/>
        <w:t>托管人事后发现基金管理人没有按照事先约定的交易对手进行交易时，基金托管人应及时提醒基金管理人，基金托管人不承担由此造成的任何损失和责任。</w:t>
      </w:r>
    </w:p>
    <w:p w14:paraId="706616C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5、基金托管人根据有关法律法规的规定及基金合同的约定，对基金管理人投资银行存款进行监督。</w:t>
      </w:r>
    </w:p>
    <w:p w14:paraId="1783D00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基金投资银行存款的，基金管理人应根据法律法规的规定及基金合同的约定，建立投资制度、审慎选择存款银行，做好风险控制；并按照基金托管人的要求配合基金托管人完成相关业务办理。</w:t>
      </w:r>
    </w:p>
    <w:p w14:paraId="36D0047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6、基金托管人根据有关法律法规的规定及基金合同的约定，对</w:t>
      </w:r>
      <w:r w:rsidR="00406B93" w:rsidRPr="003E746D">
        <w:rPr>
          <w:rFonts w:ascii="宋体" w:hAnsi="宋体" w:hint="eastAsia"/>
          <w:sz w:val="24"/>
        </w:rPr>
        <w:t>各类基金份额的</w:t>
      </w:r>
      <w:r w:rsidRPr="003E746D">
        <w:rPr>
          <w:rFonts w:ascii="宋体" w:hAnsi="宋体"/>
          <w:sz w:val="24"/>
        </w:rPr>
        <w:t>基金资产净值计算、基金份额净值计算、应收资金到账、基金费用开支及收入确定、基金收益分配、相关信息披露、基金宣传推介材料中登载基金业绩表现数据等进行监督和核查。</w:t>
      </w:r>
    </w:p>
    <w:p w14:paraId="654923D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如果基金管理人未经基金托管人的审核擅自将不实的业绩表现数据印制在宣传推介材料上，则基金托管人对此不承担任何责任，并将在发现后立即报告中国证监会。</w:t>
      </w:r>
    </w:p>
    <w:p w14:paraId="41F1200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7、基金托管人根据有关法律法规的规定及基金合同的约定，对基金投资流通受限证券进行监督。</w:t>
      </w:r>
    </w:p>
    <w:p w14:paraId="5A65E74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（1）基金投资流通受限证券，应遵守《关于基金投资非公开发行股票等流通受限证券有关问题的通知》等有关法律法规规定。</w:t>
      </w:r>
    </w:p>
    <w:p w14:paraId="1267A1D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CB843F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4134D0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（4）在投资流通受限证券之前，基金管理人应至少提前一个交易日向基金托</w:t>
      </w:r>
      <w:r w:rsidRPr="003E746D">
        <w:rPr>
          <w:rFonts w:ascii="宋体" w:hAnsi="宋体"/>
          <w:sz w:val="24"/>
        </w:rPr>
        <w:lastRenderedPageBreak/>
        <w:t>管人提供有关流通受限证券的相关信息，具体应当包括但不限于如下文件（如有）：</w:t>
      </w:r>
    </w:p>
    <w:p w14:paraId="637F665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9857B5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00DA3FE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4FD265B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如果基金管理人未按照本协议的约定向基金托管人报送相关数据或者报送了虚假的数据，导致基金托管人不能履行基金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5594434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33E578B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5541B3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6A4923B"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（三）基金管理人对基金托管人的业务核查</w:t>
      </w:r>
    </w:p>
    <w:p w14:paraId="728A89F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1、基金管理人对基金托管人履行托管职责情况进行核查，核查事项包括基金托管人安全保管基金财产、开设基金财产的资金账户、证券账户、基金账户等投资所需账户、复核基金管理人计算的</w:t>
      </w:r>
      <w:r w:rsidR="00F643EE" w:rsidRPr="003E746D">
        <w:rPr>
          <w:rFonts w:ascii="宋体" w:hAnsi="宋体" w:hint="eastAsia"/>
          <w:sz w:val="24"/>
        </w:rPr>
        <w:t>各类基金份额的</w:t>
      </w:r>
      <w:r w:rsidRPr="003E746D">
        <w:rPr>
          <w:rFonts w:ascii="宋体" w:hAnsi="宋体"/>
          <w:sz w:val="24"/>
        </w:rPr>
        <w:t>基金资产净值和基金份额净值、根据基金管理人指令办理清算交收、相关信息披露和监督基金投资运作等行为。</w:t>
      </w:r>
    </w:p>
    <w:p w14:paraId="47DBD33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74218C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DBD6E8D"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（四）基金财产保管</w:t>
      </w:r>
    </w:p>
    <w:p w14:paraId="0746CC0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1、基金财产保管的原则</w:t>
      </w:r>
    </w:p>
    <w:p w14:paraId="420EC45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（1）基金财产应独立于基金管理人、基金托管人的固有财产。</w:t>
      </w:r>
    </w:p>
    <w:p w14:paraId="4B904C7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（2）基金托管人应安全保管基金财产。未经基金管理人依据合法程序作出的合法合规指令，基金托管人不得自行运用、处分、分配基金的任何财产。</w:t>
      </w:r>
    </w:p>
    <w:p w14:paraId="79D1ACB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（3）基金托管人按照规定开设基金财产的资金账户、证券账户、基金账户等投资所需账户。</w:t>
      </w:r>
    </w:p>
    <w:p w14:paraId="7BDCF47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（4）基金托管人对所托管的不同基金财产分别设置账户，与基金托管人的其他业务和其他基金的托管业务实行严格的分账管理，确保基金财产的完整与独立。</w:t>
      </w:r>
    </w:p>
    <w:p w14:paraId="669BC51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（5）基金托管人根据基金管理人的指令，按照基金合同和本协议的约定保管基金财产，如有特殊情况双方可另行协商解决。</w:t>
      </w:r>
    </w:p>
    <w:p w14:paraId="00E5A6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052F7D7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（7）除依据法律法规和基金合同的规定外，基金托管人不得委托第三人托管基金财产。</w:t>
      </w:r>
    </w:p>
    <w:p w14:paraId="09ED29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2、基金募集期间及募集资金的验资</w:t>
      </w:r>
    </w:p>
    <w:p w14:paraId="6A5C29B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（1）基金募集期间的认购款项应存于专用账户。该账户由基金管理人或基金管理人委托的登记机构在具有托管资格的商业银行开立并管理。</w:t>
      </w:r>
    </w:p>
    <w:p w14:paraId="6CB8C1C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14:paraId="06EFB89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（3）若基金募集期限届满，未能达到基金备案的条件，由基金管理人按规定办理退款等事宜，基金托管人应提供充分协助。</w:t>
      </w:r>
    </w:p>
    <w:p w14:paraId="3589D1C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3、基金资金账户的开立和管理</w:t>
      </w:r>
    </w:p>
    <w:p w14:paraId="03416D0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（1）基金托管人应负责本基金的资金账户的开设和管理。</w:t>
      </w:r>
    </w:p>
    <w:p w14:paraId="7FFF6B3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（2）基金托管人应以本基金的名义在其营业机构开设本基金的资金账户，并</w:t>
      </w:r>
      <w:r w:rsidRPr="003E746D">
        <w:rPr>
          <w:rFonts w:ascii="宋体" w:hAnsi="宋体"/>
          <w:sz w:val="24"/>
        </w:rPr>
        <w:lastRenderedPageBreak/>
        <w:t>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4C040F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5E8958E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（4）基金托管资金账户的开立和管理应符合相关法律法规的有关规定。</w:t>
      </w:r>
    </w:p>
    <w:p w14:paraId="5624D54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（5）在符合法律法规规定的条件下，基金托管人可以通过基金托管人专用账户办理基金资产的支付。</w:t>
      </w:r>
    </w:p>
    <w:p w14:paraId="5E1727E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4、基金证券账户和结算备付金账户的开立和管理</w:t>
      </w:r>
    </w:p>
    <w:p w14:paraId="3963000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（1）基金托管人在中国证券登记结算有限责任公司上海分公司、深圳分公司为本基金开立基金托管人与基金联名的证券账户。</w:t>
      </w:r>
    </w:p>
    <w:p w14:paraId="26057D2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3B9E8B1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4C4A05D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（4）基金证券账户的开立和证券账户卡的保管由基金托管人负责，账户资产的管理和运用由基金管理人负责。</w:t>
      </w:r>
    </w:p>
    <w:p w14:paraId="4ECEA37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8627D1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5、债券托管专户的开设和管理</w:t>
      </w:r>
    </w:p>
    <w:p w14:paraId="25670D7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7D7D5E9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6、其他账户的开立和管理</w:t>
      </w:r>
    </w:p>
    <w:p w14:paraId="4DA262B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（1）因业务发展需要而开立的其他账户，可以根据法律法规和基金合同的规定，在基金管理人和基金托管人商议后开立。新账户按有关规则使用并管理。</w:t>
      </w:r>
    </w:p>
    <w:p w14:paraId="69B2694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（2）法律法规等有关规定对相关账户的开立和管理另有规定的，从其规定办理。</w:t>
      </w:r>
    </w:p>
    <w:p w14:paraId="7C7E0F0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7、基金财产投资的有关有价凭证等的保管</w:t>
      </w:r>
    </w:p>
    <w:p w14:paraId="0B14576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6695FE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8、与基金财产有关的重大合同的保管</w:t>
      </w:r>
    </w:p>
    <w:p w14:paraId="33922E0A"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09FD03C9"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（五）基金资产净值计算与复核</w:t>
      </w:r>
    </w:p>
    <w:p w14:paraId="4A86FAC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1、基金资产净值</w:t>
      </w:r>
    </w:p>
    <w:p w14:paraId="375080E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基金资产净值是指基金资产总值减去基金负债后的价值。</w:t>
      </w:r>
    </w:p>
    <w:p w14:paraId="266F3155" w14:textId="065A356B" w:rsidR="004D2F6C" w:rsidRPr="003E746D" w:rsidRDefault="000C3294">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各类基金份额的</w:t>
      </w:r>
      <w:r w:rsidR="00435F28" w:rsidRPr="003E746D">
        <w:rPr>
          <w:rFonts w:ascii="宋体" w:hAnsi="宋体"/>
          <w:sz w:val="24"/>
        </w:rPr>
        <w:t>基金份额净值是指估值日</w:t>
      </w:r>
      <w:r w:rsidR="00F643EE" w:rsidRPr="003E746D">
        <w:rPr>
          <w:rFonts w:ascii="宋体" w:hAnsi="宋体" w:hint="eastAsia"/>
          <w:sz w:val="24"/>
        </w:rPr>
        <w:t>，</w:t>
      </w:r>
      <w:r w:rsidR="00EA6042" w:rsidRPr="003E746D">
        <w:rPr>
          <w:rFonts w:hint="eastAsia"/>
          <w:bCs/>
          <w:sz w:val="24"/>
        </w:rPr>
        <w:t>该类基金份额的</w:t>
      </w:r>
      <w:r w:rsidR="00435F28" w:rsidRPr="003E746D">
        <w:rPr>
          <w:rFonts w:ascii="宋体" w:hAnsi="宋体"/>
          <w:sz w:val="24"/>
        </w:rPr>
        <w:t>基金资产净值除以估值日</w:t>
      </w:r>
      <w:r w:rsidR="00F643EE" w:rsidRPr="003E746D">
        <w:rPr>
          <w:rFonts w:ascii="宋体" w:hAnsi="宋体" w:hint="eastAsia"/>
          <w:sz w:val="24"/>
        </w:rPr>
        <w:t>该类</w:t>
      </w:r>
      <w:r w:rsidR="00435F28" w:rsidRPr="003E746D">
        <w:rPr>
          <w:rFonts w:ascii="宋体" w:hAnsi="宋体"/>
          <w:sz w:val="24"/>
        </w:rPr>
        <w:t>基金份额总数后得到的数值。</w:t>
      </w:r>
      <w:r w:rsidR="00F643EE" w:rsidRPr="003E746D">
        <w:rPr>
          <w:rFonts w:ascii="宋体" w:hAnsi="宋体" w:hint="eastAsia"/>
          <w:sz w:val="24"/>
        </w:rPr>
        <w:t>各类基金份额的</w:t>
      </w:r>
      <w:r w:rsidR="00435F28" w:rsidRPr="003E746D">
        <w:rPr>
          <w:rFonts w:ascii="宋体" w:hAnsi="宋体"/>
          <w:sz w:val="24"/>
        </w:rPr>
        <w:t>基金份额净值的计算，精确到0.0001元，小数点后第五位四舍五入，由此产生的收益或损失由基金财产承担。国家另有规定的，从其规定。T日的基金份额净值在所投资基金披露净值或万份收益当日（法定节假日顺延至第一个交易日）计算，并在T+3日内披露本基金T日</w:t>
      </w:r>
      <w:r w:rsidR="00F643EE" w:rsidRPr="003E746D">
        <w:rPr>
          <w:rFonts w:ascii="宋体" w:hAnsi="宋体" w:hint="eastAsia"/>
          <w:sz w:val="24"/>
        </w:rPr>
        <w:t>各类基金份额</w:t>
      </w:r>
      <w:r w:rsidR="00435F28" w:rsidRPr="003E746D">
        <w:rPr>
          <w:rFonts w:ascii="宋体" w:hAnsi="宋体"/>
          <w:sz w:val="24"/>
        </w:rPr>
        <w:t>的基金份额净值和基金份额累计净值。</w:t>
      </w:r>
    </w:p>
    <w:p w14:paraId="12C461E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基金管理人于每个工作日</w:t>
      </w:r>
      <w:r w:rsidR="00327122" w:rsidRPr="003E746D">
        <w:rPr>
          <w:rFonts w:ascii="宋体" w:hAnsi="宋体" w:hint="eastAsia"/>
          <w:sz w:val="24"/>
        </w:rPr>
        <w:t>分别</w:t>
      </w:r>
      <w:r w:rsidRPr="003E746D">
        <w:rPr>
          <w:rFonts w:ascii="宋体" w:hAnsi="宋体"/>
          <w:sz w:val="24"/>
        </w:rPr>
        <w:t>计算</w:t>
      </w:r>
      <w:r w:rsidR="00F643EE" w:rsidRPr="003E746D">
        <w:rPr>
          <w:rFonts w:ascii="宋体" w:hAnsi="宋体" w:hint="eastAsia"/>
          <w:sz w:val="24"/>
        </w:rPr>
        <w:t>各类基金份额的</w:t>
      </w:r>
      <w:r w:rsidRPr="003E746D">
        <w:rPr>
          <w:rFonts w:ascii="宋体" w:hAnsi="宋体"/>
          <w:sz w:val="24"/>
        </w:rPr>
        <w:t>基金资产净值及基金份额净值，并按规定公告。如遇特殊情况，经中国证监会同意，可以适当延迟计算或公告。</w:t>
      </w:r>
    </w:p>
    <w:p w14:paraId="12ED5E9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2、复核程序</w:t>
      </w:r>
    </w:p>
    <w:p w14:paraId="3753C2F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基金管理人每个工作日对基金资产进行估值后，将</w:t>
      </w:r>
      <w:r w:rsidR="00F643EE" w:rsidRPr="003E746D">
        <w:rPr>
          <w:rFonts w:ascii="宋体" w:hAnsi="宋体" w:hint="eastAsia"/>
          <w:sz w:val="24"/>
        </w:rPr>
        <w:t>各类</w:t>
      </w:r>
      <w:r w:rsidRPr="003E746D">
        <w:rPr>
          <w:rFonts w:ascii="宋体" w:hAnsi="宋体"/>
          <w:sz w:val="24"/>
        </w:rPr>
        <w:t>基金份额净值结果发送</w:t>
      </w:r>
      <w:r w:rsidRPr="003E746D">
        <w:rPr>
          <w:rFonts w:ascii="宋体" w:hAnsi="宋体"/>
          <w:sz w:val="24"/>
        </w:rPr>
        <w:lastRenderedPageBreak/>
        <w:t>基金托管人，经基金托管人复核无误后，由基金管理人依据基金合同的约定和相关法律法规的规定对外公布。月末、年中和年末估值复核与基金会计账目的核对同时进行。</w:t>
      </w:r>
    </w:p>
    <w:p w14:paraId="236B6954"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（六）基金份额持有人名册的登记与保管</w:t>
      </w:r>
    </w:p>
    <w:p w14:paraId="6AB48F0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基金份额持有人的名称和持有的基金份额。</w:t>
      </w:r>
    </w:p>
    <w:p w14:paraId="2BE1209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76AC418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应及时向基金托管人提交基金份额持有人名册。每年6月30日和12月31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4959ED5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19F32FFF"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（七）争议解决方式</w:t>
      </w:r>
    </w:p>
    <w:p w14:paraId="21851A1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0A47812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争议处理期间，基金管理人和基金托管人应恪守职责，各自继续忠实、勤勉、尽责地履行基金合同和本托管协议规定的义务，维护基金份额持有人的合法权益。</w:t>
      </w:r>
    </w:p>
    <w:p w14:paraId="7432C55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本协议适用中华人民共和国法律并从其解释。</w:t>
      </w:r>
    </w:p>
    <w:p w14:paraId="5AC913A3"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（八）托管协议的变更与终止</w:t>
      </w:r>
    </w:p>
    <w:p w14:paraId="6F03323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1、托管协议的变更程序</w:t>
      </w:r>
    </w:p>
    <w:p w14:paraId="68AB9983"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lastRenderedPageBreak/>
        <w:t>本协议双方当事人经协商一致，可以对协议进行修改。修改后的新协议，其内容不得与基金合同的规定有任何冲突。基金托管协议的变更应报中国证监会备案。</w:t>
      </w:r>
    </w:p>
    <w:p w14:paraId="1A2D35E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2、基金托管协议终止的情形</w:t>
      </w:r>
    </w:p>
    <w:p w14:paraId="53795CF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（1）基金合同终止；</w:t>
      </w:r>
    </w:p>
    <w:p w14:paraId="71F07A9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（2）基金托管人解散、依法被撤销、破产或由其他基金托管人接管基金资产；</w:t>
      </w:r>
    </w:p>
    <w:p w14:paraId="319B232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（3）基金管理人解散、依法被撤销、破产或由其他基金管理人接管基金管理权；</w:t>
      </w:r>
    </w:p>
    <w:p w14:paraId="279F9F0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（4）发生法律法规、中国证监会或基金合同规定的其他终止事项。</w:t>
      </w:r>
    </w:p>
    <w:p w14:paraId="31A3A010"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6D405037" w14:textId="58B43F0E" w:rsidR="004D2F6C" w:rsidRPr="003E746D" w:rsidRDefault="00435F28">
      <w:pPr>
        <w:pStyle w:val="1"/>
        <w:snapToGrid w:val="0"/>
        <w:spacing w:beforeLines="0" w:before="240" w:after="240"/>
        <w:rPr>
          <w:rFonts w:ascii="宋体" w:hAnsi="宋体"/>
          <w:szCs w:val="30"/>
        </w:rPr>
      </w:pPr>
      <w:bookmarkStart w:id="24" w:name="_Toc104410530"/>
      <w:r w:rsidRPr="003E746D">
        <w:rPr>
          <w:rFonts w:ascii="Times New Roman" w:hAnsi="Times New Roman"/>
          <w:sz w:val="30"/>
        </w:rPr>
        <w:lastRenderedPageBreak/>
        <w:t>二十一、对基金份额持有人的服务</w:t>
      </w:r>
      <w:bookmarkEnd w:id="24"/>
    </w:p>
    <w:p w14:paraId="575235F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基金管理人承诺为基金份额持有人提供一系列的服务。基金管理人根据基金份额持有人的需要和市场的变化，有权增加或变更服务项目。主要服务内容如下：</w:t>
      </w:r>
    </w:p>
    <w:p w14:paraId="07EDBC86"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（一）持有人交易资料的寄送服务</w:t>
      </w:r>
    </w:p>
    <w:p w14:paraId="4666081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1、基金合同生效后的每次交易结束后，投资人可在T+4个工作日后通过销售机构的网点查询和打印确认单；</w:t>
      </w:r>
    </w:p>
    <w:p w14:paraId="5351490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2、本基金管理人将向持有人提供电子或纸质对账单，需要订阅或取消的客户可与本基金管理人客户服务中心（400-700-5000，021-61055000）联系。</w:t>
      </w:r>
    </w:p>
    <w:p w14:paraId="706B4FE1"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（二）网上直销服务</w:t>
      </w:r>
    </w:p>
    <w:p w14:paraId="5FE46FB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管理人已开通基金网上直销业务，个人投资者可以直接通过本基金管理人网站的网上直销交易平台办理开户和本基金基金份额的申购、赎回、定期定额投资等业务。通过网上直销交易平台办理本基金申购和定期定额投资业务的个人投资者将享受前端申购费率的优惠，其他费率标准不变。具体优惠费率请参见公司网站列示的网上直销申购、定期定额投资费率表或相关公告。</w:t>
      </w:r>
    </w:p>
    <w:p w14:paraId="599F690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本公司基金网上直销业务已开通的银行卡及各银行卡交易金额限额请参阅本公司网站。</w:t>
      </w:r>
    </w:p>
    <w:p w14:paraId="538CC9F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在条件成熟的时候，本基金管理人将根据基金网上直销业务的发展状况，适时调整可用于网上直销交易平台的银行卡种类，敬请个人投资者留意相关公告。</w:t>
      </w:r>
    </w:p>
    <w:p w14:paraId="5B2D112C"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（三）信息咨询、查询服务</w:t>
      </w:r>
    </w:p>
    <w:p w14:paraId="6AF8BC4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14:paraId="635B837F"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48D096A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投资人可以拨打本基金管理人客户服务电话投诉直销机构的人员和服务。</w:t>
      </w:r>
    </w:p>
    <w:p w14:paraId="05302D48" w14:textId="1A46919E"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（四）</w:t>
      </w:r>
      <w:r w:rsidR="00BD5CCB" w:rsidRPr="003E746D">
        <w:rPr>
          <w:rFonts w:ascii="宋体" w:hAnsi="宋体" w:hint="eastAsia"/>
          <w:b/>
          <w:szCs w:val="24"/>
        </w:rPr>
        <w:t>基金红利再投资</w:t>
      </w:r>
    </w:p>
    <w:p w14:paraId="2445E7DE" w14:textId="204D2182" w:rsidR="004D2F6C" w:rsidRPr="003E746D" w:rsidRDefault="00BD5CCB">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hint="eastAsia"/>
          <w:sz w:val="24"/>
        </w:rPr>
        <w:t>本基金收益分配时，基金份额持有人持有的A类基金份额可选择现金红利或选择红利再投将现金红利自动转为相应类别的基金份额进行再投资，若投资人不选</w:t>
      </w:r>
      <w:r w:rsidRPr="003E746D">
        <w:rPr>
          <w:rFonts w:ascii="宋体" w:hAnsi="宋体" w:hint="eastAsia"/>
          <w:sz w:val="24"/>
        </w:rPr>
        <w:lastRenderedPageBreak/>
        <w:t>择，本基金A类基金份额默认的收益分配方式是现金分红。本基金Y类基金份额的收益分配方式为红利再投资。再投资红利按红利再投日（即除息日）除息后的基金份额净值自动转为相应类别的基金份额，并免收申购费用。</w:t>
      </w:r>
    </w:p>
    <w:p w14:paraId="28DCF8C8"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（五）定期定额投资计划</w:t>
      </w:r>
    </w:p>
    <w:p w14:paraId="4040CEEC"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本基金已开通定期定额投资业务，具体实施方法请参见相关公告。服务联系方式：</w:t>
      </w:r>
    </w:p>
    <w:p w14:paraId="114F0B67"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本基金管理人的互联网地址及电子信箱</w:t>
      </w:r>
    </w:p>
    <w:p w14:paraId="207535D4"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网址：www.fund001.com</w:t>
      </w:r>
    </w:p>
    <w:p w14:paraId="4B9EBD76"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电子信箱：services@jysld.com</w:t>
      </w:r>
    </w:p>
    <w:p w14:paraId="23D7419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投资者也可登录本基金管理人网站，直接提出有关本基金的问题和建议。</w:t>
      </w:r>
    </w:p>
    <w:p w14:paraId="13FC2303" w14:textId="77777777" w:rsidR="004D2F6C" w:rsidRPr="003E746D" w:rsidRDefault="00435F28">
      <w:pPr>
        <w:autoSpaceDE w:val="0"/>
        <w:autoSpaceDN w:val="0"/>
        <w:adjustRightInd w:val="0"/>
        <w:snapToGrid w:val="0"/>
        <w:spacing w:line="360" w:lineRule="auto"/>
        <w:ind w:firstLineChars="200" w:firstLine="422"/>
        <w:jc w:val="left"/>
        <w:rPr>
          <w:rFonts w:ascii="宋体" w:hAnsi="宋体"/>
          <w:szCs w:val="24"/>
        </w:rPr>
      </w:pPr>
      <w:r w:rsidRPr="003E746D">
        <w:rPr>
          <w:rFonts w:ascii="宋体" w:hAnsi="宋体" w:hint="eastAsia"/>
          <w:b/>
          <w:szCs w:val="24"/>
        </w:rPr>
        <w:t>（六）如本招募说明书存在任何您/贵机构无法理解的内容，请通过上述方式联系基金管理人。请确保投资前，您/贵机构已经全面理解了本招募说明书。</w:t>
      </w:r>
    </w:p>
    <w:p w14:paraId="4AD7E5CF"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5798071F" w14:textId="2455B2B6" w:rsidR="004D2F6C" w:rsidRPr="003E746D" w:rsidRDefault="00435F28">
      <w:pPr>
        <w:pStyle w:val="1"/>
        <w:snapToGrid w:val="0"/>
        <w:spacing w:beforeLines="0" w:before="240" w:after="240"/>
        <w:rPr>
          <w:rFonts w:ascii="宋体" w:hAnsi="宋体"/>
          <w:szCs w:val="30"/>
        </w:rPr>
      </w:pPr>
      <w:bookmarkStart w:id="25" w:name="_Toc104410531"/>
      <w:r w:rsidRPr="003E746D">
        <w:rPr>
          <w:rFonts w:ascii="Times New Roman" w:hAnsi="Times New Roman"/>
          <w:sz w:val="30"/>
        </w:rPr>
        <w:lastRenderedPageBreak/>
        <w:t>二十二、其他应披露事项</w:t>
      </w:r>
      <w:bookmarkEnd w:id="25"/>
    </w:p>
    <w:p w14:paraId="7E5610B1"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基金合同如有未尽事宜，由基金合同当事人各方按有关法律法规协商解决。</w:t>
      </w:r>
    </w:p>
    <w:p w14:paraId="46CB4DB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D2F6C" w:rsidRPr="003E746D" w14:paraId="400E1D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7213D2"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336F0FB2"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46B9E02E"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63DA12B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法定披露日期</w:t>
            </w:r>
          </w:p>
        </w:tc>
      </w:tr>
      <w:tr w:rsidR="004D2F6C" w:rsidRPr="003E746D" w14:paraId="02BF1A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840CD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CEE6F7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交银施罗德基金管理有限公司关于增聘交银施罗德安享稳健养老目标一年持有期混合型基金中基金（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）基金经理的公告</w:t>
            </w:r>
          </w:p>
        </w:tc>
        <w:tc>
          <w:tcPr>
            <w:tcW w:w="750" w:type="pct"/>
            <w:tcBorders>
              <w:top w:val="single" w:sz="4" w:space="0" w:color="auto"/>
              <w:left w:val="single" w:sz="4" w:space="0" w:color="auto"/>
              <w:bottom w:val="single" w:sz="4" w:space="0" w:color="auto"/>
              <w:right w:val="single" w:sz="4" w:space="0" w:color="auto"/>
            </w:tcBorders>
            <w:vAlign w:val="center"/>
          </w:tcPr>
          <w:p w14:paraId="6237521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F55342A"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2021-05-06</w:t>
            </w:r>
          </w:p>
        </w:tc>
      </w:tr>
      <w:tr w:rsidR="004D2F6C" w:rsidRPr="003E746D" w14:paraId="278A25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59588B"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6A6CB6E"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）基金产品资料概要更新</w:t>
            </w: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年第</w:t>
            </w:r>
            <w:r w:rsidRPr="003E746D">
              <w:rPr>
                <w:rFonts w:ascii="Times New Roman" w:hAnsi="Times New Roman"/>
                <w:color w:val="000000"/>
                <w:kern w:val="0"/>
                <w:sz w:val="25"/>
                <w:szCs w:val="24"/>
              </w:rPr>
              <w:t>1</w:t>
            </w:r>
            <w:r w:rsidRPr="003E746D">
              <w:rPr>
                <w:rFonts w:ascii="Times New Roman" w:hAnsi="Times New Roman"/>
                <w:color w:val="000000"/>
                <w:kern w:val="0"/>
                <w:sz w:val="25"/>
                <w:szCs w:val="24"/>
              </w:rPr>
              <w:t>号</w:t>
            </w:r>
            <w:r w:rsidRPr="003E746D">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7D6F9F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D40BC72"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2021-05-10</w:t>
            </w:r>
          </w:p>
        </w:tc>
      </w:tr>
      <w:tr w:rsidR="004D2F6C" w:rsidRPr="003E746D" w14:paraId="5FDABC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DFA30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37D96F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）（更新）招募说明书（</w:t>
            </w: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年第</w:t>
            </w:r>
            <w:r w:rsidRPr="003E746D">
              <w:rPr>
                <w:rFonts w:ascii="Times New Roman" w:hAnsi="Times New Roman"/>
                <w:color w:val="000000"/>
                <w:kern w:val="0"/>
                <w:sz w:val="25"/>
                <w:szCs w:val="24"/>
              </w:rPr>
              <w:t>1</w:t>
            </w:r>
            <w:r w:rsidRPr="003E746D">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5415325C"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39C8D7"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2021-05-10</w:t>
            </w:r>
          </w:p>
        </w:tc>
      </w:tr>
      <w:tr w:rsidR="004D2F6C" w:rsidRPr="003E746D" w14:paraId="3E453A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83C5EE"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B4D19F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交银施罗德基金管理有限公司关于增加宁波银行股份有限公司为旗下基金销售机构的公告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7E934A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894C48E"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2021-05-17</w:t>
            </w:r>
          </w:p>
        </w:tc>
      </w:tr>
      <w:tr w:rsidR="004D2F6C" w:rsidRPr="003E746D" w14:paraId="368055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E8D67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F776D7C"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）基金经理变更的公告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23B0365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219C92"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2021-05-22</w:t>
            </w:r>
          </w:p>
        </w:tc>
      </w:tr>
      <w:tr w:rsidR="004D2F6C" w:rsidRPr="003E746D" w14:paraId="1263D8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5415C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8D53C3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交银施罗德基金管理有限公司关于增加北京植信基金销售有限公司为旗下基金销售机构的公告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7746680"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78CDF6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2021-05-26</w:t>
            </w:r>
          </w:p>
        </w:tc>
      </w:tr>
      <w:tr w:rsidR="004D2F6C" w:rsidRPr="003E746D" w14:paraId="1F89B5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652054"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195FEA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更新</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招募说明书</w:t>
            </w: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年第</w:t>
            </w:r>
            <w:r w:rsidRPr="003E746D">
              <w:rPr>
                <w:rFonts w:ascii="Times New Roman" w:hAnsi="Times New Roman"/>
                <w:color w:val="000000"/>
                <w:kern w:val="0"/>
                <w:sz w:val="25"/>
                <w:szCs w:val="24"/>
              </w:rPr>
              <w:t>2</w:t>
            </w:r>
            <w:r w:rsidRPr="003E746D">
              <w:rPr>
                <w:rFonts w:ascii="Times New Roman" w:hAnsi="Times New Roman"/>
                <w:color w:val="000000"/>
                <w:kern w:val="0"/>
                <w:sz w:val="25"/>
                <w:szCs w:val="24"/>
              </w:rPr>
              <w:t>号</w:t>
            </w:r>
            <w:r w:rsidRPr="003E746D">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257E340"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B5F520"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2021-05-26</w:t>
            </w:r>
          </w:p>
        </w:tc>
      </w:tr>
      <w:tr w:rsidR="004D2F6C" w:rsidRPr="003E746D" w14:paraId="5BEEC9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05BAE9"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3E03F54"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）基金产品资料概要更新</w:t>
            </w: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年第</w:t>
            </w:r>
            <w:r w:rsidRPr="003E746D">
              <w:rPr>
                <w:rFonts w:ascii="Times New Roman" w:hAnsi="Times New Roman"/>
                <w:color w:val="000000"/>
                <w:kern w:val="0"/>
                <w:sz w:val="25"/>
                <w:szCs w:val="24"/>
              </w:rPr>
              <w:t>2</w:t>
            </w:r>
            <w:r w:rsidRPr="003E746D">
              <w:rPr>
                <w:rFonts w:ascii="Times New Roman" w:hAnsi="Times New Roman"/>
                <w:color w:val="000000"/>
                <w:kern w:val="0"/>
                <w:sz w:val="25"/>
                <w:szCs w:val="24"/>
              </w:rPr>
              <w:t>号</w:t>
            </w:r>
            <w:r w:rsidRPr="003E746D">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CEA6CAE"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8583B7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2021-05-26</w:t>
            </w:r>
          </w:p>
        </w:tc>
      </w:tr>
      <w:tr w:rsidR="004D2F6C" w:rsidRPr="003E746D" w14:paraId="100814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B8222E"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1D0442B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更新</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招募说明书</w:t>
            </w: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年第</w:t>
            </w:r>
            <w:r w:rsidRPr="003E746D">
              <w:rPr>
                <w:rFonts w:ascii="Times New Roman" w:hAnsi="Times New Roman"/>
                <w:color w:val="000000"/>
                <w:kern w:val="0"/>
                <w:sz w:val="25"/>
                <w:szCs w:val="24"/>
              </w:rPr>
              <w:t>3</w:t>
            </w:r>
            <w:r w:rsidRPr="003E746D">
              <w:rPr>
                <w:rFonts w:ascii="Times New Roman" w:hAnsi="Times New Roman"/>
                <w:color w:val="000000"/>
                <w:kern w:val="0"/>
                <w:sz w:val="25"/>
                <w:szCs w:val="24"/>
              </w:rPr>
              <w:t>号</w:t>
            </w:r>
            <w:r w:rsidRPr="003E746D">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781023C"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B3F8CC4"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2021-05-28</w:t>
            </w:r>
          </w:p>
        </w:tc>
      </w:tr>
      <w:tr w:rsidR="004D2F6C" w:rsidRPr="003E746D" w14:paraId="68CCA6D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FF59F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F2B0E9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）基金产品资料概要更新</w:t>
            </w: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年第</w:t>
            </w:r>
            <w:r w:rsidRPr="003E746D">
              <w:rPr>
                <w:rFonts w:ascii="Times New Roman" w:hAnsi="Times New Roman"/>
                <w:color w:val="000000"/>
                <w:kern w:val="0"/>
                <w:sz w:val="25"/>
                <w:szCs w:val="24"/>
              </w:rPr>
              <w:t>3</w:t>
            </w:r>
            <w:r w:rsidRPr="003E746D">
              <w:rPr>
                <w:rFonts w:ascii="Times New Roman" w:hAnsi="Times New Roman"/>
                <w:color w:val="000000"/>
                <w:kern w:val="0"/>
                <w:sz w:val="25"/>
                <w:szCs w:val="24"/>
              </w:rPr>
              <w:t>号</w:t>
            </w:r>
            <w:r w:rsidRPr="003E746D">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1DC1AC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FC802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2021-05-28</w:t>
            </w:r>
          </w:p>
        </w:tc>
      </w:tr>
      <w:tr w:rsidR="004D2F6C" w:rsidRPr="003E746D" w14:paraId="659D63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2A588F"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09942B7C"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年第</w:t>
            </w:r>
            <w:r w:rsidRPr="003E746D">
              <w:rPr>
                <w:rFonts w:ascii="Times New Roman" w:hAnsi="Times New Roman"/>
                <w:color w:val="000000"/>
                <w:kern w:val="0"/>
                <w:sz w:val="25"/>
                <w:szCs w:val="24"/>
              </w:rPr>
              <w:t>2</w:t>
            </w:r>
            <w:r w:rsidRPr="003E746D">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454FD1B"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7EAC1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2021-07-20</w:t>
            </w:r>
          </w:p>
        </w:tc>
      </w:tr>
      <w:tr w:rsidR="004D2F6C" w:rsidRPr="003E746D" w14:paraId="62FC0F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02AB9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1B7E875F"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交银施罗德基金管理有限公司关于警惕冒用公司名义进行诈骗活动的提示性公告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601BF91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C30B0D1"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2021-07-27</w:t>
            </w:r>
          </w:p>
        </w:tc>
      </w:tr>
      <w:tr w:rsidR="004D2F6C" w:rsidRPr="003E746D" w14:paraId="6A34C7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E1F57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992FA06"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268E94B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6EC16D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2021-08-30</w:t>
            </w:r>
          </w:p>
        </w:tc>
      </w:tr>
      <w:tr w:rsidR="004D2F6C" w:rsidRPr="003E746D" w14:paraId="606604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E44500"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2137D11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交银施罗德基金管理有限公司关于增加上海银行股份有限公司为旗下基金的销售机构的公告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55C384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DE7604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2021-09-01</w:t>
            </w:r>
          </w:p>
        </w:tc>
      </w:tr>
      <w:tr w:rsidR="004D2F6C" w:rsidRPr="003E746D" w14:paraId="404C2D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B9023C"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897A3FF"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交银施罗德基金管理有限公司关于增加嘉实财富管理有限公司为旗下基金销售机构的公告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C7B2C34"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5B9411"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2021-09-01</w:t>
            </w:r>
          </w:p>
        </w:tc>
      </w:tr>
      <w:tr w:rsidR="004D2F6C" w:rsidRPr="003E746D" w14:paraId="67D1D0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78E72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4A4984FC"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交银施罗德基金管理有限公司关于增加兴业银行股份有限公司为旗下基金销售机构的公告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17F9702"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D0EAF1"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2021-10-20</w:t>
            </w:r>
          </w:p>
        </w:tc>
      </w:tr>
      <w:tr w:rsidR="004D2F6C" w:rsidRPr="003E746D" w14:paraId="79006F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34F53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45B12A62"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年第</w:t>
            </w:r>
            <w:r w:rsidRPr="003E746D">
              <w:rPr>
                <w:rFonts w:ascii="Times New Roman" w:hAnsi="Times New Roman"/>
                <w:color w:val="000000"/>
                <w:kern w:val="0"/>
                <w:sz w:val="25"/>
                <w:szCs w:val="24"/>
              </w:rPr>
              <w:t>3</w:t>
            </w:r>
            <w:r w:rsidRPr="003E746D">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8B3C9F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457024F"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2021-10-26</w:t>
            </w:r>
          </w:p>
        </w:tc>
      </w:tr>
      <w:tr w:rsidR="004D2F6C" w:rsidRPr="003E746D" w14:paraId="70C3F9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CD38C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7C070992"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交银施罗德基金管理有限公司关于调整旗下部分开放式基金转换业务规则的公告</w:t>
            </w:r>
          </w:p>
        </w:tc>
        <w:tc>
          <w:tcPr>
            <w:tcW w:w="750" w:type="pct"/>
            <w:tcBorders>
              <w:top w:val="single" w:sz="4" w:space="0" w:color="auto"/>
              <w:left w:val="single" w:sz="4" w:space="0" w:color="auto"/>
              <w:bottom w:val="single" w:sz="4" w:space="0" w:color="auto"/>
              <w:right w:val="single" w:sz="4" w:space="0" w:color="auto"/>
            </w:tcBorders>
            <w:vAlign w:val="center"/>
          </w:tcPr>
          <w:p w14:paraId="35070E7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AC3B357"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2021-11-30</w:t>
            </w:r>
          </w:p>
        </w:tc>
      </w:tr>
      <w:tr w:rsidR="004D2F6C" w:rsidRPr="003E746D" w14:paraId="7C6022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58EE5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53BB69D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57D799AB"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2F230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2021-12-07</w:t>
            </w:r>
          </w:p>
        </w:tc>
      </w:tr>
      <w:tr w:rsidR="004D2F6C" w:rsidRPr="003E746D" w14:paraId="1466D7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13C4B9"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lastRenderedPageBreak/>
              <w:t>20</w:t>
            </w:r>
          </w:p>
        </w:tc>
        <w:tc>
          <w:tcPr>
            <w:tcW w:w="750" w:type="pct"/>
            <w:tcBorders>
              <w:top w:val="single" w:sz="4" w:space="0" w:color="auto"/>
              <w:left w:val="single" w:sz="4" w:space="0" w:color="auto"/>
              <w:bottom w:val="single" w:sz="4" w:space="0" w:color="auto"/>
              <w:right w:val="single" w:sz="4" w:space="0" w:color="auto"/>
            </w:tcBorders>
            <w:vAlign w:val="center"/>
          </w:tcPr>
          <w:p w14:paraId="046EACD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24E8D64C"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371EB91"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2021-12-11</w:t>
            </w:r>
          </w:p>
        </w:tc>
      </w:tr>
      <w:tr w:rsidR="004D2F6C" w:rsidRPr="003E746D" w14:paraId="07D1E5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743059"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2C6F91DC"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交银施罗德基金管理有限公司关于增加大同证券有限责任公司为旗下基金销售机构的公告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F3B825B"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904CA4E"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2021-12-28</w:t>
            </w:r>
          </w:p>
        </w:tc>
      </w:tr>
      <w:tr w:rsidR="004D2F6C" w:rsidRPr="003E746D" w14:paraId="6565EC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671725"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7FEFA29B"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交银施罗德基金管理有限公司关于旗下部分基金在交通银行股份有限公司手机银行恢复原前端申购（含定期定额投资）费率的公告</w:t>
            </w:r>
          </w:p>
        </w:tc>
        <w:tc>
          <w:tcPr>
            <w:tcW w:w="750" w:type="pct"/>
            <w:tcBorders>
              <w:top w:val="single" w:sz="4" w:space="0" w:color="auto"/>
              <w:left w:val="single" w:sz="4" w:space="0" w:color="auto"/>
              <w:bottom w:val="single" w:sz="4" w:space="0" w:color="auto"/>
              <w:right w:val="single" w:sz="4" w:space="0" w:color="auto"/>
            </w:tcBorders>
            <w:vAlign w:val="center"/>
          </w:tcPr>
          <w:p w14:paraId="273E0F0B"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2D3E0DB"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2021-12-31</w:t>
            </w:r>
          </w:p>
        </w:tc>
      </w:tr>
      <w:tr w:rsidR="004D2F6C" w:rsidRPr="003E746D" w14:paraId="058D7A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2CEF24"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60DEF91D"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年第</w:t>
            </w:r>
            <w:r w:rsidRPr="003E746D">
              <w:rPr>
                <w:rFonts w:ascii="Times New Roman" w:hAnsi="Times New Roman"/>
                <w:color w:val="000000"/>
                <w:kern w:val="0"/>
                <w:sz w:val="25"/>
                <w:szCs w:val="24"/>
              </w:rPr>
              <w:t>4</w:t>
            </w:r>
            <w:r w:rsidRPr="003E746D">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507C0D9"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57E3393"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2022-01-21</w:t>
            </w:r>
          </w:p>
        </w:tc>
      </w:tr>
      <w:tr w:rsidR="004D2F6C" w:rsidRPr="003E746D" w14:paraId="47AA098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91057E"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198C7D6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交银施罗德基金管理有限公司关于增加广发证券股份有限公司为旗下基金销售机构的公告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DB3AEF6"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14BE557"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2022-02-25</w:t>
            </w:r>
          </w:p>
        </w:tc>
      </w:tr>
      <w:tr w:rsidR="004D2F6C" w:rsidRPr="003E746D" w14:paraId="29FE72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3B7DF7"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425C605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交银施罗德基金管理有限公司关于增加上海钜派钰茂基金销售有限公司为旗下基金销售机构的公告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CE8F43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FEE09E5"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2022-03-18</w:t>
            </w:r>
          </w:p>
        </w:tc>
      </w:tr>
      <w:tr w:rsidR="004D2F6C" w:rsidRPr="003E746D" w14:paraId="419B63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72F0B3"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5188D3E0"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2021</w:t>
            </w:r>
            <w:r w:rsidRPr="003E746D">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093511D8"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3FA3A4C"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2022-03-30</w:t>
            </w:r>
          </w:p>
        </w:tc>
      </w:tr>
      <w:tr w:rsidR="004D2F6C" w:rsidRPr="003E746D" w14:paraId="70D3108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48FDAA"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683819C1"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交银施罗德安享稳健养老目标一年持有期混合型基金中基金（</w:t>
            </w:r>
            <w:r w:rsidRPr="003E746D">
              <w:rPr>
                <w:rFonts w:ascii="Times New Roman" w:hAnsi="Times New Roman"/>
                <w:color w:val="000000"/>
                <w:kern w:val="0"/>
                <w:sz w:val="25"/>
                <w:szCs w:val="24"/>
              </w:rPr>
              <w:t>FOF</w:t>
            </w:r>
            <w:r w:rsidRPr="003E746D">
              <w:rPr>
                <w:rFonts w:ascii="Times New Roman" w:hAnsi="Times New Roman"/>
                <w:color w:val="000000"/>
                <w:kern w:val="0"/>
                <w:sz w:val="25"/>
                <w:szCs w:val="24"/>
              </w:rPr>
              <w:t>）</w:t>
            </w:r>
            <w:r w:rsidRPr="003E746D">
              <w:rPr>
                <w:rFonts w:ascii="Times New Roman" w:hAnsi="Times New Roman"/>
                <w:color w:val="000000"/>
                <w:kern w:val="0"/>
                <w:sz w:val="25"/>
                <w:szCs w:val="24"/>
              </w:rPr>
              <w:t>2022</w:t>
            </w:r>
            <w:r w:rsidRPr="003E746D">
              <w:rPr>
                <w:rFonts w:ascii="Times New Roman" w:hAnsi="Times New Roman"/>
                <w:color w:val="000000"/>
                <w:kern w:val="0"/>
                <w:sz w:val="25"/>
                <w:szCs w:val="24"/>
              </w:rPr>
              <w:t>年第</w:t>
            </w:r>
            <w:r w:rsidRPr="003E746D">
              <w:rPr>
                <w:rFonts w:ascii="Times New Roman" w:hAnsi="Times New Roman"/>
                <w:color w:val="000000"/>
                <w:kern w:val="0"/>
                <w:sz w:val="25"/>
                <w:szCs w:val="24"/>
              </w:rPr>
              <w:t>1</w:t>
            </w:r>
            <w:r w:rsidRPr="003E746D">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B40E764" w14:textId="77777777" w:rsidR="004D2F6C" w:rsidRPr="003E746D" w:rsidRDefault="00435F28">
            <w:pPr>
              <w:widowControl/>
              <w:snapToGrid w:val="0"/>
              <w:jc w:val="left"/>
              <w:rPr>
                <w:rFonts w:ascii="宋体" w:hAnsi="宋体"/>
                <w:color w:val="000000"/>
                <w:kern w:val="0"/>
                <w:sz w:val="25"/>
                <w:szCs w:val="24"/>
              </w:rPr>
            </w:pPr>
            <w:r w:rsidRPr="003E746D">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3F9CA50" w14:textId="77777777" w:rsidR="004D2F6C" w:rsidRPr="003E746D" w:rsidRDefault="00435F28">
            <w:pPr>
              <w:widowControl/>
              <w:snapToGrid w:val="0"/>
              <w:jc w:val="center"/>
              <w:rPr>
                <w:rFonts w:ascii="宋体" w:hAnsi="宋体"/>
                <w:color w:val="000000"/>
                <w:kern w:val="0"/>
                <w:sz w:val="25"/>
                <w:szCs w:val="24"/>
              </w:rPr>
            </w:pPr>
            <w:r w:rsidRPr="003E746D">
              <w:rPr>
                <w:rFonts w:ascii="Times New Roman" w:hAnsi="Times New Roman"/>
                <w:color w:val="000000"/>
                <w:kern w:val="0"/>
                <w:sz w:val="25"/>
                <w:szCs w:val="24"/>
              </w:rPr>
              <w:t>2022-04-21</w:t>
            </w:r>
          </w:p>
        </w:tc>
      </w:tr>
    </w:tbl>
    <w:p w14:paraId="6C2D6D4B" w14:textId="77777777" w:rsidR="004D2F6C" w:rsidRPr="003E746D" w:rsidRDefault="004D2F6C">
      <w:pPr>
        <w:autoSpaceDE w:val="0"/>
        <w:autoSpaceDN w:val="0"/>
        <w:adjustRightInd w:val="0"/>
        <w:snapToGrid w:val="0"/>
        <w:spacing w:line="360" w:lineRule="auto"/>
        <w:ind w:firstLineChars="200" w:firstLine="420"/>
        <w:jc w:val="left"/>
        <w:rPr>
          <w:rFonts w:ascii="宋体" w:hAnsi="宋体"/>
          <w:szCs w:val="24"/>
        </w:rPr>
      </w:pPr>
    </w:p>
    <w:p w14:paraId="25C6D241"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577CD2C4" w14:textId="7A499207" w:rsidR="004D2F6C" w:rsidRPr="003E746D" w:rsidRDefault="00435F28">
      <w:pPr>
        <w:pStyle w:val="1"/>
        <w:snapToGrid w:val="0"/>
        <w:spacing w:beforeLines="0" w:before="240" w:after="240"/>
        <w:rPr>
          <w:rFonts w:ascii="宋体" w:hAnsi="宋体"/>
          <w:szCs w:val="30"/>
        </w:rPr>
      </w:pPr>
      <w:bookmarkStart w:id="26" w:name="_Toc104410532"/>
      <w:r w:rsidRPr="003E746D">
        <w:rPr>
          <w:rFonts w:ascii="Times New Roman" w:hAnsi="Times New Roman"/>
          <w:sz w:val="30"/>
        </w:rPr>
        <w:lastRenderedPageBreak/>
        <w:t>二十三、招募说明书的存放及查阅方式</w:t>
      </w:r>
      <w:bookmarkEnd w:id="26"/>
    </w:p>
    <w:p w14:paraId="6AAE8A2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44F72262"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投资人还可以直接登录基金管理人的网站（www.fund001.com）查阅和下载招募说明书。</w:t>
      </w:r>
    </w:p>
    <w:p w14:paraId="57EEDB1F" w14:textId="77777777" w:rsidR="00F3528E" w:rsidRPr="003E746D" w:rsidRDefault="00435F28" w:rsidP="00F3528E">
      <w:pPr>
        <w:autoSpaceDE w:val="0"/>
        <w:autoSpaceDN w:val="0"/>
        <w:adjustRightInd w:val="0"/>
        <w:spacing w:line="360" w:lineRule="auto"/>
        <w:ind w:firstLineChars="200" w:firstLine="480"/>
        <w:rPr>
          <w:rFonts w:ascii="宋体" w:hAnsi="宋体"/>
          <w:szCs w:val="24"/>
        </w:rPr>
      </w:pPr>
      <w:r w:rsidRPr="003E746D">
        <w:rPr>
          <w:rFonts w:ascii="宋体" w:hAnsi="宋体"/>
          <w:sz w:val="24"/>
        </w:rPr>
        <w:br w:type="page"/>
      </w:r>
    </w:p>
    <w:p w14:paraId="01592615" w14:textId="77777777" w:rsidR="004D2F6C" w:rsidRPr="003E746D" w:rsidRDefault="00435F28">
      <w:pPr>
        <w:pStyle w:val="1"/>
        <w:snapToGrid w:val="0"/>
        <w:spacing w:beforeLines="0" w:before="240" w:after="240"/>
        <w:rPr>
          <w:rFonts w:ascii="宋体" w:hAnsi="宋体"/>
          <w:szCs w:val="30"/>
        </w:rPr>
      </w:pPr>
      <w:bookmarkStart w:id="27" w:name="_Toc104410533"/>
      <w:r w:rsidRPr="003E746D">
        <w:rPr>
          <w:rFonts w:ascii="Times New Roman" w:hAnsi="Times New Roman"/>
          <w:sz w:val="30"/>
        </w:rPr>
        <w:lastRenderedPageBreak/>
        <w:t>二十四、备查文件</w:t>
      </w:r>
      <w:bookmarkEnd w:id="27"/>
    </w:p>
    <w:p w14:paraId="5416A3BB"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以下备查文件存放在基金管理人的办公场所，在办公时间可供免费查阅。</w:t>
      </w:r>
    </w:p>
    <w:p w14:paraId="03942E4E"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（一）中国证监会准予交银施罗德安享稳健养老目标一年持有期混合型基金中基金（FOF）募集注册的文件</w:t>
      </w:r>
    </w:p>
    <w:p w14:paraId="66C11E75"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（二）《交银施罗德安享稳健养老目标一年持有期混合型基金中基金（FOF）基金合同》</w:t>
      </w:r>
    </w:p>
    <w:p w14:paraId="19BA4A38"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（三）《交银施罗德安享稳健养老目标一年持有期混合型基金中基金（FOF）托管协议》</w:t>
      </w:r>
    </w:p>
    <w:p w14:paraId="1ABE0669"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（四）基金管理人业务资格批件、营业执照</w:t>
      </w:r>
    </w:p>
    <w:p w14:paraId="0708A93D" w14:textId="77777777" w:rsidR="004D2F6C" w:rsidRPr="003E746D"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（五）基金托管人业务资格批件、营业执照</w:t>
      </w:r>
    </w:p>
    <w:p w14:paraId="72513A63" w14:textId="77777777" w:rsidR="004D2F6C" w:rsidRDefault="00435F28">
      <w:pPr>
        <w:autoSpaceDE w:val="0"/>
        <w:autoSpaceDN w:val="0"/>
        <w:adjustRightInd w:val="0"/>
        <w:snapToGrid w:val="0"/>
        <w:spacing w:line="360" w:lineRule="auto"/>
        <w:ind w:firstLineChars="200" w:firstLine="480"/>
        <w:jc w:val="left"/>
        <w:rPr>
          <w:rFonts w:ascii="宋体" w:hAnsi="宋体"/>
          <w:szCs w:val="24"/>
        </w:rPr>
      </w:pPr>
      <w:r w:rsidRPr="003E746D">
        <w:rPr>
          <w:rFonts w:ascii="宋体" w:hAnsi="宋体"/>
          <w:sz w:val="24"/>
        </w:rPr>
        <w:t>（六）关于申请募集注册交银施罗德安享稳健养老目标一年持有期混合型基金中基金（FOF）的法律意见书</w:t>
      </w:r>
    </w:p>
    <w:sectPr w:rsidR="004D2F6C">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CA88D" w14:textId="77777777" w:rsidR="00C24255" w:rsidRDefault="00C24255">
      <w:r>
        <w:separator/>
      </w:r>
    </w:p>
  </w:endnote>
  <w:endnote w:type="continuationSeparator" w:id="0">
    <w:p w14:paraId="56D188B9" w14:textId="77777777" w:rsidR="00C24255" w:rsidRDefault="00C2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7C72" w14:textId="087C44CB" w:rsidR="00AA0C59" w:rsidRDefault="00AA0C59">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2A63AC93" wp14:editId="23CCF268">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D7AB" w14:textId="0775DC01" w:rsidR="00AA0C59" w:rsidRDefault="00AA0C5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E746D">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3AC93"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70E9D7AB" w14:textId="0775DC01" w:rsidR="00AA0C59" w:rsidRDefault="00AA0C5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E746D">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2EFE" w14:textId="2EB06931" w:rsidR="00AA0C59" w:rsidRDefault="00AA0C59">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1AA617C0" wp14:editId="2A62E322">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80762" w14:textId="57597267" w:rsidR="00AA0C59" w:rsidRDefault="00AA0C5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E746D">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17C0"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9080762" w14:textId="57597267" w:rsidR="00AA0C59" w:rsidRDefault="00AA0C5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E746D">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AE1F4" w14:textId="77777777" w:rsidR="00C24255" w:rsidRDefault="00C24255">
      <w:r>
        <w:separator/>
      </w:r>
    </w:p>
  </w:footnote>
  <w:footnote w:type="continuationSeparator" w:id="0">
    <w:p w14:paraId="02396A83" w14:textId="77777777" w:rsidR="00C24255" w:rsidRDefault="00C24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E568B" w14:textId="34510937" w:rsidR="00AA0C59" w:rsidRDefault="00AA0C59">
    <w:pPr>
      <w:pStyle w:val="a3"/>
      <w:jc w:val="right"/>
    </w:pPr>
    <w:r>
      <w:rPr>
        <w:noProof/>
      </w:rPr>
      <w:drawing>
        <wp:anchor distT="0" distB="0" distL="114300" distR="114300" simplePos="0" relativeHeight="251655680" behindDoc="0" locked="0" layoutInCell="1" allowOverlap="1" wp14:anchorId="195D466E" wp14:editId="4E9E91ED">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94B1971" w14:textId="77777777" w:rsidR="00AA0C59" w:rsidRDefault="00AA0C59">
    <w:pPr>
      <w:pStyle w:val="a3"/>
      <w:jc w:val="right"/>
      <w:rPr>
        <w:rFonts w:ascii="宋体" w:hAnsi="宋体"/>
      </w:rPr>
    </w:pPr>
    <w:r>
      <w:rPr>
        <w:rFonts w:ascii="宋体" w:hAnsi="宋体" w:hint="eastAsia"/>
      </w:rPr>
      <w:t>交银施罗德安享稳健养老目标一年持有期混合型基金中基金（FOF）(更新)招募说明书(2022年第1号)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C9F52" w14:textId="77777777" w:rsidR="00AA0C59" w:rsidRDefault="00AA0C59">
    <w:pPr>
      <w:pStyle w:val="10"/>
      <w:jc w:val="right"/>
    </w:pPr>
  </w:p>
  <w:p w14:paraId="2CD8F59E" w14:textId="77777777" w:rsidR="00AA0C59" w:rsidRDefault="00AA0C59">
    <w:pPr>
      <w:pStyle w:val="10"/>
      <w:jc w:val="right"/>
    </w:pPr>
  </w:p>
  <w:p w14:paraId="1A53665F" w14:textId="77777777" w:rsidR="00AA0C59" w:rsidRDefault="00AA0C59">
    <w:pPr>
      <w:pStyle w:val="a3"/>
      <w:jc w:val="right"/>
    </w:pPr>
  </w:p>
  <w:p w14:paraId="0C8B184A" w14:textId="72EFF2EE" w:rsidR="00AA0C59" w:rsidRDefault="00AA0C59">
    <w:pPr>
      <w:pStyle w:val="a3"/>
      <w:jc w:val="right"/>
    </w:pPr>
    <w:r>
      <w:rPr>
        <w:noProof/>
      </w:rPr>
      <w:drawing>
        <wp:anchor distT="0" distB="0" distL="114300" distR="114300" simplePos="0" relativeHeight="251656704" behindDoc="0" locked="0" layoutInCell="1" allowOverlap="1" wp14:anchorId="4CE0493C" wp14:editId="0B91C99B">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F2F9730" w14:textId="4A0B3A2A" w:rsidR="00AA0C59" w:rsidRDefault="00AA0C59">
    <w:pPr>
      <w:pStyle w:val="a3"/>
      <w:jc w:val="right"/>
      <w:rPr>
        <w:rFonts w:ascii="宋体" w:hAnsi="宋体"/>
      </w:rPr>
    </w:pPr>
    <w:r>
      <w:rPr>
        <w:rFonts w:ascii="宋体" w:hAnsi="宋体" w:hint="eastAsia"/>
      </w:rPr>
      <w:t>交银施罗德安享稳健养老目标一年持有期混合型基金中基金（FOF）(更新)招募说明书(2022年第2号)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D0B6" w14:textId="77777777" w:rsidR="00AA0C59" w:rsidRDefault="00AA0C59">
    <w:pPr>
      <w:pStyle w:val="a3"/>
      <w:jc w:val="right"/>
    </w:pPr>
  </w:p>
  <w:p w14:paraId="56A5BFD7" w14:textId="77777777" w:rsidR="00AA0C59" w:rsidRDefault="00AA0C59">
    <w:pPr>
      <w:pStyle w:val="a3"/>
      <w:jc w:val="right"/>
    </w:pPr>
  </w:p>
  <w:p w14:paraId="2FBD8043" w14:textId="77777777" w:rsidR="00AA0C59" w:rsidRDefault="00AA0C59">
    <w:pPr>
      <w:pStyle w:val="a3"/>
      <w:jc w:val="right"/>
    </w:pPr>
  </w:p>
  <w:p w14:paraId="13EE4610" w14:textId="143B535F" w:rsidR="00AA0C59" w:rsidRDefault="00AA0C59">
    <w:pPr>
      <w:pStyle w:val="a3"/>
      <w:jc w:val="right"/>
    </w:pPr>
    <w:r>
      <w:rPr>
        <w:noProof/>
      </w:rPr>
      <w:drawing>
        <wp:anchor distT="0" distB="0" distL="114300" distR="114300" simplePos="0" relativeHeight="251657728" behindDoc="0" locked="0" layoutInCell="1" allowOverlap="1" wp14:anchorId="536667B9" wp14:editId="0F4CE6B4">
          <wp:simplePos x="0" y="0"/>
          <wp:positionH relativeFrom="column">
            <wp:posOffset>19050</wp:posOffset>
          </wp:positionH>
          <wp:positionV relativeFrom="paragraph">
            <wp:posOffset>-152400</wp:posOffset>
          </wp:positionV>
          <wp:extent cx="1714500" cy="238125"/>
          <wp:effectExtent l="0" t="0" r="0" b="9525"/>
          <wp:wrapNone/>
          <wp:docPr id="5"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7027E5F" w14:textId="2BC3311B" w:rsidR="00AA0C59" w:rsidRDefault="00AA0C59">
    <w:pPr>
      <w:pStyle w:val="a3"/>
      <w:jc w:val="right"/>
      <w:rPr>
        <w:rFonts w:ascii="宋体" w:hAnsi="宋体"/>
      </w:rPr>
    </w:pPr>
    <w:r>
      <w:rPr>
        <w:rFonts w:ascii="宋体" w:hAnsi="宋体" w:hint="eastAsia"/>
      </w:rPr>
      <w:t>交银施罗德安享稳健养老目标一年持有期混合型基金中基金（FOF）(更新)招募说明书(2022年第2号)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10D9"/>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0E90"/>
    <w:rsid w:val="000543D5"/>
    <w:rsid w:val="000550ED"/>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A6F4E"/>
    <w:rsid w:val="000B0F8B"/>
    <w:rsid w:val="000B359E"/>
    <w:rsid w:val="000B3894"/>
    <w:rsid w:val="000B4E04"/>
    <w:rsid w:val="000C0ECF"/>
    <w:rsid w:val="000C1E1E"/>
    <w:rsid w:val="000C3294"/>
    <w:rsid w:val="000C38F1"/>
    <w:rsid w:val="000C5E77"/>
    <w:rsid w:val="000C68E9"/>
    <w:rsid w:val="000D0ADE"/>
    <w:rsid w:val="000D179E"/>
    <w:rsid w:val="000D1D61"/>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6389"/>
    <w:rsid w:val="00127053"/>
    <w:rsid w:val="0013182D"/>
    <w:rsid w:val="00131CEE"/>
    <w:rsid w:val="0013315B"/>
    <w:rsid w:val="00134FCF"/>
    <w:rsid w:val="00135AD8"/>
    <w:rsid w:val="0013630D"/>
    <w:rsid w:val="001367F2"/>
    <w:rsid w:val="0014104A"/>
    <w:rsid w:val="001412E8"/>
    <w:rsid w:val="0014250F"/>
    <w:rsid w:val="00143917"/>
    <w:rsid w:val="00144B52"/>
    <w:rsid w:val="00153D66"/>
    <w:rsid w:val="001556F5"/>
    <w:rsid w:val="0015725E"/>
    <w:rsid w:val="00162F69"/>
    <w:rsid w:val="00164946"/>
    <w:rsid w:val="00165756"/>
    <w:rsid w:val="001728E7"/>
    <w:rsid w:val="0017362C"/>
    <w:rsid w:val="0017392F"/>
    <w:rsid w:val="00174167"/>
    <w:rsid w:val="0018184C"/>
    <w:rsid w:val="0018198F"/>
    <w:rsid w:val="00181C62"/>
    <w:rsid w:val="00183642"/>
    <w:rsid w:val="001860C4"/>
    <w:rsid w:val="00186FAE"/>
    <w:rsid w:val="00190533"/>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920"/>
    <w:rsid w:val="00240BB6"/>
    <w:rsid w:val="002432CA"/>
    <w:rsid w:val="00243D40"/>
    <w:rsid w:val="00245250"/>
    <w:rsid w:val="002477CB"/>
    <w:rsid w:val="00247BF6"/>
    <w:rsid w:val="00250A33"/>
    <w:rsid w:val="00251126"/>
    <w:rsid w:val="00251259"/>
    <w:rsid w:val="002524D2"/>
    <w:rsid w:val="00252802"/>
    <w:rsid w:val="00254D53"/>
    <w:rsid w:val="002553D3"/>
    <w:rsid w:val="00255C0D"/>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E697E"/>
    <w:rsid w:val="002F00BB"/>
    <w:rsid w:val="002F1DE7"/>
    <w:rsid w:val="002F2627"/>
    <w:rsid w:val="002F2748"/>
    <w:rsid w:val="002F6445"/>
    <w:rsid w:val="002F6580"/>
    <w:rsid w:val="002F6DE8"/>
    <w:rsid w:val="002F74D8"/>
    <w:rsid w:val="002F799A"/>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27122"/>
    <w:rsid w:val="003300B8"/>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5BA7"/>
    <w:rsid w:val="00386153"/>
    <w:rsid w:val="00386BA7"/>
    <w:rsid w:val="00390550"/>
    <w:rsid w:val="00390B48"/>
    <w:rsid w:val="0039213A"/>
    <w:rsid w:val="00393BF6"/>
    <w:rsid w:val="00395133"/>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C70D4"/>
    <w:rsid w:val="003D0B3E"/>
    <w:rsid w:val="003D2352"/>
    <w:rsid w:val="003D3863"/>
    <w:rsid w:val="003D3D0A"/>
    <w:rsid w:val="003E0800"/>
    <w:rsid w:val="003E1584"/>
    <w:rsid w:val="003E20FE"/>
    <w:rsid w:val="003E33DE"/>
    <w:rsid w:val="003E3593"/>
    <w:rsid w:val="003E585F"/>
    <w:rsid w:val="003E6049"/>
    <w:rsid w:val="003E67F9"/>
    <w:rsid w:val="003E746D"/>
    <w:rsid w:val="003F0D27"/>
    <w:rsid w:val="003F1C98"/>
    <w:rsid w:val="003F317C"/>
    <w:rsid w:val="003F4813"/>
    <w:rsid w:val="00404828"/>
    <w:rsid w:val="00406295"/>
    <w:rsid w:val="00406654"/>
    <w:rsid w:val="00406B93"/>
    <w:rsid w:val="0041100B"/>
    <w:rsid w:val="004114F3"/>
    <w:rsid w:val="004118EE"/>
    <w:rsid w:val="00412894"/>
    <w:rsid w:val="004130C3"/>
    <w:rsid w:val="00413E71"/>
    <w:rsid w:val="00421363"/>
    <w:rsid w:val="00421921"/>
    <w:rsid w:val="00422100"/>
    <w:rsid w:val="004254D3"/>
    <w:rsid w:val="0042746B"/>
    <w:rsid w:val="00433B69"/>
    <w:rsid w:val="00435F28"/>
    <w:rsid w:val="004369AD"/>
    <w:rsid w:val="00436DD6"/>
    <w:rsid w:val="004438D9"/>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7586F"/>
    <w:rsid w:val="00480184"/>
    <w:rsid w:val="00480516"/>
    <w:rsid w:val="00480658"/>
    <w:rsid w:val="00480D3C"/>
    <w:rsid w:val="0048170B"/>
    <w:rsid w:val="00481BD4"/>
    <w:rsid w:val="00482AA2"/>
    <w:rsid w:val="0048579F"/>
    <w:rsid w:val="00487005"/>
    <w:rsid w:val="004901A7"/>
    <w:rsid w:val="0049651C"/>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2F6C"/>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31D"/>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37AD"/>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65F86"/>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026B"/>
    <w:rsid w:val="005B130C"/>
    <w:rsid w:val="005B14FF"/>
    <w:rsid w:val="005B3B71"/>
    <w:rsid w:val="005B4B1B"/>
    <w:rsid w:val="005B4F0F"/>
    <w:rsid w:val="005B58F0"/>
    <w:rsid w:val="005C0E62"/>
    <w:rsid w:val="005C0F12"/>
    <w:rsid w:val="005C0F5B"/>
    <w:rsid w:val="005C2E15"/>
    <w:rsid w:val="005C356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57A3"/>
    <w:rsid w:val="006067DC"/>
    <w:rsid w:val="00610629"/>
    <w:rsid w:val="00611BCD"/>
    <w:rsid w:val="0061258D"/>
    <w:rsid w:val="006142EC"/>
    <w:rsid w:val="006155A5"/>
    <w:rsid w:val="00617824"/>
    <w:rsid w:val="00624214"/>
    <w:rsid w:val="00625419"/>
    <w:rsid w:val="00625792"/>
    <w:rsid w:val="00626D1A"/>
    <w:rsid w:val="00627429"/>
    <w:rsid w:val="006307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0BF4"/>
    <w:rsid w:val="00661FC1"/>
    <w:rsid w:val="00663FED"/>
    <w:rsid w:val="00664B64"/>
    <w:rsid w:val="006678E3"/>
    <w:rsid w:val="00667A9C"/>
    <w:rsid w:val="006712E8"/>
    <w:rsid w:val="00676977"/>
    <w:rsid w:val="00677DA7"/>
    <w:rsid w:val="00680212"/>
    <w:rsid w:val="00680C90"/>
    <w:rsid w:val="00681036"/>
    <w:rsid w:val="006823AD"/>
    <w:rsid w:val="00682C29"/>
    <w:rsid w:val="00685872"/>
    <w:rsid w:val="00685AD7"/>
    <w:rsid w:val="00685E95"/>
    <w:rsid w:val="00691963"/>
    <w:rsid w:val="00692124"/>
    <w:rsid w:val="00692D96"/>
    <w:rsid w:val="00693C96"/>
    <w:rsid w:val="00695023"/>
    <w:rsid w:val="00695B14"/>
    <w:rsid w:val="00696339"/>
    <w:rsid w:val="00696982"/>
    <w:rsid w:val="006A3738"/>
    <w:rsid w:val="006A3F85"/>
    <w:rsid w:val="006A48FA"/>
    <w:rsid w:val="006A56F1"/>
    <w:rsid w:val="006A6E5C"/>
    <w:rsid w:val="006B0972"/>
    <w:rsid w:val="006B3153"/>
    <w:rsid w:val="006B4DD9"/>
    <w:rsid w:val="006B5871"/>
    <w:rsid w:val="006B6BB1"/>
    <w:rsid w:val="006B7212"/>
    <w:rsid w:val="006C14C3"/>
    <w:rsid w:val="006C4B6F"/>
    <w:rsid w:val="006C589D"/>
    <w:rsid w:val="006C5904"/>
    <w:rsid w:val="006C769C"/>
    <w:rsid w:val="006C7A95"/>
    <w:rsid w:val="006D11E8"/>
    <w:rsid w:val="006D1930"/>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3599"/>
    <w:rsid w:val="00734108"/>
    <w:rsid w:val="007343AD"/>
    <w:rsid w:val="0073448D"/>
    <w:rsid w:val="00735087"/>
    <w:rsid w:val="00736FA0"/>
    <w:rsid w:val="0074053E"/>
    <w:rsid w:val="00747D9C"/>
    <w:rsid w:val="0075000E"/>
    <w:rsid w:val="00752156"/>
    <w:rsid w:val="00753A7A"/>
    <w:rsid w:val="00756E77"/>
    <w:rsid w:val="007577C2"/>
    <w:rsid w:val="0076038F"/>
    <w:rsid w:val="00760D77"/>
    <w:rsid w:val="00761217"/>
    <w:rsid w:val="007617E5"/>
    <w:rsid w:val="00767C3C"/>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1B2"/>
    <w:rsid w:val="007A1F4C"/>
    <w:rsid w:val="007A53F8"/>
    <w:rsid w:val="007B05BD"/>
    <w:rsid w:val="007B31A5"/>
    <w:rsid w:val="007B3327"/>
    <w:rsid w:val="007B3533"/>
    <w:rsid w:val="007B4996"/>
    <w:rsid w:val="007B6926"/>
    <w:rsid w:val="007B6FA3"/>
    <w:rsid w:val="007B705D"/>
    <w:rsid w:val="007C4BB4"/>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7B3"/>
    <w:rsid w:val="00861FE5"/>
    <w:rsid w:val="0086376D"/>
    <w:rsid w:val="008703C2"/>
    <w:rsid w:val="0087209F"/>
    <w:rsid w:val="00876576"/>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2825"/>
    <w:rsid w:val="008C4D11"/>
    <w:rsid w:val="008C708D"/>
    <w:rsid w:val="008D54FA"/>
    <w:rsid w:val="008D5C05"/>
    <w:rsid w:val="008D6490"/>
    <w:rsid w:val="008D6FFD"/>
    <w:rsid w:val="008D7A26"/>
    <w:rsid w:val="008E1191"/>
    <w:rsid w:val="008E342E"/>
    <w:rsid w:val="008E4D9C"/>
    <w:rsid w:val="008E566D"/>
    <w:rsid w:val="008E588C"/>
    <w:rsid w:val="008F52D9"/>
    <w:rsid w:val="008F5362"/>
    <w:rsid w:val="008F6BC6"/>
    <w:rsid w:val="00902B4C"/>
    <w:rsid w:val="00903FC5"/>
    <w:rsid w:val="0090403F"/>
    <w:rsid w:val="009071FF"/>
    <w:rsid w:val="00907AEC"/>
    <w:rsid w:val="009108DB"/>
    <w:rsid w:val="009112EB"/>
    <w:rsid w:val="00913191"/>
    <w:rsid w:val="009131F2"/>
    <w:rsid w:val="00916431"/>
    <w:rsid w:val="00917DBE"/>
    <w:rsid w:val="0092586D"/>
    <w:rsid w:val="0092605A"/>
    <w:rsid w:val="0092689A"/>
    <w:rsid w:val="0093228E"/>
    <w:rsid w:val="009325E1"/>
    <w:rsid w:val="00933602"/>
    <w:rsid w:val="009338B2"/>
    <w:rsid w:val="009350FA"/>
    <w:rsid w:val="009351EF"/>
    <w:rsid w:val="0093698F"/>
    <w:rsid w:val="00940914"/>
    <w:rsid w:val="009409E8"/>
    <w:rsid w:val="00942250"/>
    <w:rsid w:val="00942706"/>
    <w:rsid w:val="00942E51"/>
    <w:rsid w:val="00946A6A"/>
    <w:rsid w:val="00947EB7"/>
    <w:rsid w:val="0095056B"/>
    <w:rsid w:val="0095162A"/>
    <w:rsid w:val="00951FC3"/>
    <w:rsid w:val="009520BD"/>
    <w:rsid w:val="00952B29"/>
    <w:rsid w:val="00953DBA"/>
    <w:rsid w:val="00954137"/>
    <w:rsid w:val="009549A5"/>
    <w:rsid w:val="00955882"/>
    <w:rsid w:val="00955ABF"/>
    <w:rsid w:val="00956F74"/>
    <w:rsid w:val="00956F84"/>
    <w:rsid w:val="009575A0"/>
    <w:rsid w:val="00957C6C"/>
    <w:rsid w:val="00960AA2"/>
    <w:rsid w:val="00960D5D"/>
    <w:rsid w:val="009649DC"/>
    <w:rsid w:val="00966EB2"/>
    <w:rsid w:val="00967009"/>
    <w:rsid w:val="00970C67"/>
    <w:rsid w:val="00974456"/>
    <w:rsid w:val="00975DF3"/>
    <w:rsid w:val="00991483"/>
    <w:rsid w:val="0099296D"/>
    <w:rsid w:val="009935AA"/>
    <w:rsid w:val="00993F94"/>
    <w:rsid w:val="00994587"/>
    <w:rsid w:val="009951B2"/>
    <w:rsid w:val="009A039C"/>
    <w:rsid w:val="009A2859"/>
    <w:rsid w:val="009A4E90"/>
    <w:rsid w:val="009A50B8"/>
    <w:rsid w:val="009A737B"/>
    <w:rsid w:val="009B1823"/>
    <w:rsid w:val="009B406F"/>
    <w:rsid w:val="009B443A"/>
    <w:rsid w:val="009B4D09"/>
    <w:rsid w:val="009B6DD1"/>
    <w:rsid w:val="009C1332"/>
    <w:rsid w:val="009C3753"/>
    <w:rsid w:val="009C4A4F"/>
    <w:rsid w:val="009C6D34"/>
    <w:rsid w:val="009D2610"/>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27B4"/>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159E7"/>
    <w:rsid w:val="00A200C3"/>
    <w:rsid w:val="00A21103"/>
    <w:rsid w:val="00A21E3C"/>
    <w:rsid w:val="00A23419"/>
    <w:rsid w:val="00A24BBD"/>
    <w:rsid w:val="00A26D62"/>
    <w:rsid w:val="00A27D2E"/>
    <w:rsid w:val="00A30D78"/>
    <w:rsid w:val="00A31032"/>
    <w:rsid w:val="00A31CCF"/>
    <w:rsid w:val="00A32598"/>
    <w:rsid w:val="00A33C2C"/>
    <w:rsid w:val="00A33EF8"/>
    <w:rsid w:val="00A3432E"/>
    <w:rsid w:val="00A40165"/>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1C4D"/>
    <w:rsid w:val="00A75807"/>
    <w:rsid w:val="00A764D6"/>
    <w:rsid w:val="00A77913"/>
    <w:rsid w:val="00A8186C"/>
    <w:rsid w:val="00A8209D"/>
    <w:rsid w:val="00A82740"/>
    <w:rsid w:val="00A860C9"/>
    <w:rsid w:val="00A9137F"/>
    <w:rsid w:val="00A9483B"/>
    <w:rsid w:val="00A94F2C"/>
    <w:rsid w:val="00A972E1"/>
    <w:rsid w:val="00AA0C59"/>
    <w:rsid w:val="00AA3F8C"/>
    <w:rsid w:val="00AA6E6B"/>
    <w:rsid w:val="00AA7623"/>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328"/>
    <w:rsid w:val="00B03711"/>
    <w:rsid w:val="00B03B6B"/>
    <w:rsid w:val="00B04CC3"/>
    <w:rsid w:val="00B17DE2"/>
    <w:rsid w:val="00B2096A"/>
    <w:rsid w:val="00B20E8D"/>
    <w:rsid w:val="00B32541"/>
    <w:rsid w:val="00B3267F"/>
    <w:rsid w:val="00B35F87"/>
    <w:rsid w:val="00B379DA"/>
    <w:rsid w:val="00B37A64"/>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1CC7"/>
    <w:rsid w:val="00B72FA0"/>
    <w:rsid w:val="00B73209"/>
    <w:rsid w:val="00B7708B"/>
    <w:rsid w:val="00B7721B"/>
    <w:rsid w:val="00B80E25"/>
    <w:rsid w:val="00B8347E"/>
    <w:rsid w:val="00B84B4A"/>
    <w:rsid w:val="00B852C8"/>
    <w:rsid w:val="00B8589C"/>
    <w:rsid w:val="00B86BAC"/>
    <w:rsid w:val="00B97B35"/>
    <w:rsid w:val="00BA218B"/>
    <w:rsid w:val="00BA3196"/>
    <w:rsid w:val="00BA3509"/>
    <w:rsid w:val="00BA5877"/>
    <w:rsid w:val="00BA7076"/>
    <w:rsid w:val="00BB124C"/>
    <w:rsid w:val="00BB17E3"/>
    <w:rsid w:val="00BB1CDB"/>
    <w:rsid w:val="00BB2110"/>
    <w:rsid w:val="00BB3645"/>
    <w:rsid w:val="00BB547E"/>
    <w:rsid w:val="00BB69B7"/>
    <w:rsid w:val="00BC2581"/>
    <w:rsid w:val="00BC3278"/>
    <w:rsid w:val="00BC3F55"/>
    <w:rsid w:val="00BC481A"/>
    <w:rsid w:val="00BC4D26"/>
    <w:rsid w:val="00BC555D"/>
    <w:rsid w:val="00BC658E"/>
    <w:rsid w:val="00BD0218"/>
    <w:rsid w:val="00BD1869"/>
    <w:rsid w:val="00BD200B"/>
    <w:rsid w:val="00BD5C9A"/>
    <w:rsid w:val="00BD5CC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0578"/>
    <w:rsid w:val="00C11B64"/>
    <w:rsid w:val="00C1218B"/>
    <w:rsid w:val="00C12B6B"/>
    <w:rsid w:val="00C135F1"/>
    <w:rsid w:val="00C140D0"/>
    <w:rsid w:val="00C14775"/>
    <w:rsid w:val="00C150A5"/>
    <w:rsid w:val="00C20524"/>
    <w:rsid w:val="00C22B21"/>
    <w:rsid w:val="00C23593"/>
    <w:rsid w:val="00C23845"/>
    <w:rsid w:val="00C24255"/>
    <w:rsid w:val="00C31846"/>
    <w:rsid w:val="00C32A33"/>
    <w:rsid w:val="00C32E8F"/>
    <w:rsid w:val="00C34A87"/>
    <w:rsid w:val="00C367FB"/>
    <w:rsid w:val="00C36ABA"/>
    <w:rsid w:val="00C36BFE"/>
    <w:rsid w:val="00C41389"/>
    <w:rsid w:val="00C41BB7"/>
    <w:rsid w:val="00C42379"/>
    <w:rsid w:val="00C44004"/>
    <w:rsid w:val="00C445F4"/>
    <w:rsid w:val="00C54DF3"/>
    <w:rsid w:val="00C572DD"/>
    <w:rsid w:val="00C57A1D"/>
    <w:rsid w:val="00C57A2C"/>
    <w:rsid w:val="00C60B2F"/>
    <w:rsid w:val="00C610B6"/>
    <w:rsid w:val="00C6257F"/>
    <w:rsid w:val="00C63117"/>
    <w:rsid w:val="00C640C7"/>
    <w:rsid w:val="00C65784"/>
    <w:rsid w:val="00C67BDD"/>
    <w:rsid w:val="00C70F24"/>
    <w:rsid w:val="00C717F6"/>
    <w:rsid w:val="00C71C64"/>
    <w:rsid w:val="00C72FD7"/>
    <w:rsid w:val="00C7540D"/>
    <w:rsid w:val="00C76A2C"/>
    <w:rsid w:val="00C8155C"/>
    <w:rsid w:val="00C907F0"/>
    <w:rsid w:val="00C932E1"/>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7E7"/>
    <w:rsid w:val="00D00CF9"/>
    <w:rsid w:val="00D012FF"/>
    <w:rsid w:val="00D013D4"/>
    <w:rsid w:val="00D04CD8"/>
    <w:rsid w:val="00D04DEC"/>
    <w:rsid w:val="00D114ED"/>
    <w:rsid w:val="00D1261E"/>
    <w:rsid w:val="00D13F32"/>
    <w:rsid w:val="00D14B5E"/>
    <w:rsid w:val="00D1574E"/>
    <w:rsid w:val="00D1685E"/>
    <w:rsid w:val="00D171BA"/>
    <w:rsid w:val="00D17738"/>
    <w:rsid w:val="00D25B74"/>
    <w:rsid w:val="00D25CA1"/>
    <w:rsid w:val="00D31474"/>
    <w:rsid w:val="00D32933"/>
    <w:rsid w:val="00D3579F"/>
    <w:rsid w:val="00D36B62"/>
    <w:rsid w:val="00D37BF5"/>
    <w:rsid w:val="00D40E3D"/>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0E70"/>
    <w:rsid w:val="00D816C8"/>
    <w:rsid w:val="00D81BC5"/>
    <w:rsid w:val="00D827CE"/>
    <w:rsid w:val="00D84DEB"/>
    <w:rsid w:val="00D877A6"/>
    <w:rsid w:val="00D904D9"/>
    <w:rsid w:val="00D9066D"/>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06F22"/>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230"/>
    <w:rsid w:val="00E50DB1"/>
    <w:rsid w:val="00E51053"/>
    <w:rsid w:val="00E51A6B"/>
    <w:rsid w:val="00E51A9F"/>
    <w:rsid w:val="00E52CA8"/>
    <w:rsid w:val="00E550CE"/>
    <w:rsid w:val="00E60167"/>
    <w:rsid w:val="00E60B86"/>
    <w:rsid w:val="00E62E45"/>
    <w:rsid w:val="00E62F7D"/>
    <w:rsid w:val="00E700B8"/>
    <w:rsid w:val="00E702B9"/>
    <w:rsid w:val="00E70588"/>
    <w:rsid w:val="00E75FA1"/>
    <w:rsid w:val="00E76419"/>
    <w:rsid w:val="00E77787"/>
    <w:rsid w:val="00E77CD7"/>
    <w:rsid w:val="00E80AC8"/>
    <w:rsid w:val="00E82017"/>
    <w:rsid w:val="00E82792"/>
    <w:rsid w:val="00E844D7"/>
    <w:rsid w:val="00E92E9D"/>
    <w:rsid w:val="00E93109"/>
    <w:rsid w:val="00E93B3C"/>
    <w:rsid w:val="00E96A7F"/>
    <w:rsid w:val="00EA031A"/>
    <w:rsid w:val="00EA0CE9"/>
    <w:rsid w:val="00EA1A40"/>
    <w:rsid w:val="00EA330D"/>
    <w:rsid w:val="00EA5190"/>
    <w:rsid w:val="00EA5F4C"/>
    <w:rsid w:val="00EA6042"/>
    <w:rsid w:val="00EA6109"/>
    <w:rsid w:val="00EB2688"/>
    <w:rsid w:val="00EB6181"/>
    <w:rsid w:val="00EB664F"/>
    <w:rsid w:val="00EB7E37"/>
    <w:rsid w:val="00EC12E8"/>
    <w:rsid w:val="00EC1357"/>
    <w:rsid w:val="00EC5ACF"/>
    <w:rsid w:val="00ED22A8"/>
    <w:rsid w:val="00ED2479"/>
    <w:rsid w:val="00ED4EB4"/>
    <w:rsid w:val="00ED5D09"/>
    <w:rsid w:val="00ED7107"/>
    <w:rsid w:val="00EE0727"/>
    <w:rsid w:val="00EE2221"/>
    <w:rsid w:val="00EE276F"/>
    <w:rsid w:val="00EE2982"/>
    <w:rsid w:val="00EE634F"/>
    <w:rsid w:val="00EF1DA1"/>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6453"/>
    <w:rsid w:val="00F276F1"/>
    <w:rsid w:val="00F32680"/>
    <w:rsid w:val="00F33421"/>
    <w:rsid w:val="00F33A66"/>
    <w:rsid w:val="00F34368"/>
    <w:rsid w:val="00F34E5A"/>
    <w:rsid w:val="00F3528E"/>
    <w:rsid w:val="00F35452"/>
    <w:rsid w:val="00F35907"/>
    <w:rsid w:val="00F4063A"/>
    <w:rsid w:val="00F45532"/>
    <w:rsid w:val="00F45ED2"/>
    <w:rsid w:val="00F53C4F"/>
    <w:rsid w:val="00F56A51"/>
    <w:rsid w:val="00F61899"/>
    <w:rsid w:val="00F643EE"/>
    <w:rsid w:val="00F66CD4"/>
    <w:rsid w:val="00F66E01"/>
    <w:rsid w:val="00F7129A"/>
    <w:rsid w:val="00F7180D"/>
    <w:rsid w:val="00F71C6D"/>
    <w:rsid w:val="00F727A7"/>
    <w:rsid w:val="00F729D7"/>
    <w:rsid w:val="00F774CD"/>
    <w:rsid w:val="00F80F59"/>
    <w:rsid w:val="00F82E69"/>
    <w:rsid w:val="00F8414D"/>
    <w:rsid w:val="00F84181"/>
    <w:rsid w:val="00F84C5D"/>
    <w:rsid w:val="00F86271"/>
    <w:rsid w:val="00F87176"/>
    <w:rsid w:val="00F87303"/>
    <w:rsid w:val="00F90784"/>
    <w:rsid w:val="00F91287"/>
    <w:rsid w:val="00F917FA"/>
    <w:rsid w:val="00F91B28"/>
    <w:rsid w:val="00F91DA0"/>
    <w:rsid w:val="00F9306F"/>
    <w:rsid w:val="00F9346A"/>
    <w:rsid w:val="00F94B4E"/>
    <w:rsid w:val="00F978B7"/>
    <w:rsid w:val="00FA2FCD"/>
    <w:rsid w:val="00FA3FA8"/>
    <w:rsid w:val="00FA4718"/>
    <w:rsid w:val="00FA6E64"/>
    <w:rsid w:val="00FB1DCD"/>
    <w:rsid w:val="00FB2F0E"/>
    <w:rsid w:val="00FB31CC"/>
    <w:rsid w:val="00FC05EE"/>
    <w:rsid w:val="00FC2EC6"/>
    <w:rsid w:val="00FC339A"/>
    <w:rsid w:val="00FC36E0"/>
    <w:rsid w:val="00FC4818"/>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AFA3C"/>
  <w15:docId w15:val="{A7B805B6-5ADB-4AE4-B296-B875C2C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iPriority w:val="99"/>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 w:type="paragraph" w:styleId="af">
    <w:name w:val="Revision"/>
    <w:hidden/>
    <w:uiPriority w:val="99"/>
    <w:semiHidden/>
    <w:rsid w:val="00B852C8"/>
    <w:rPr>
      <w:kern w:val="2"/>
      <w:sz w:val="21"/>
      <w:szCs w:val="22"/>
    </w:rPr>
  </w:style>
  <w:style w:type="paragraph" w:styleId="TOC">
    <w:name w:val="TOC Heading"/>
    <w:basedOn w:val="1"/>
    <w:next w:val="a"/>
    <w:uiPriority w:val="39"/>
    <w:unhideWhenUsed/>
    <w:qFormat/>
    <w:rsid w:val="000550ED"/>
    <w:pPr>
      <w:widowControl/>
      <w:spacing w:beforeLines="0" w:before="240" w:afterLines="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3">
    <w:name w:val="toc 3"/>
    <w:basedOn w:val="a"/>
    <w:next w:val="a"/>
    <w:autoRedefine/>
    <w:uiPriority w:val="39"/>
    <w:unhideWhenUsed/>
    <w:rsid w:val="000550ED"/>
    <w:pPr>
      <w:widowControl/>
      <w:spacing w:after="100" w:line="259" w:lineRule="auto"/>
      <w:ind w:left="440"/>
      <w:jc w:val="left"/>
    </w:pPr>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D95BE-CD25-47FC-9BF0-1B16FC04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135</Pages>
  <Words>14338</Words>
  <Characters>81727</Characters>
  <Application>Microsoft Office Word</Application>
  <DocSecurity>0</DocSecurity>
  <Lines>681</Lines>
  <Paragraphs>191</Paragraphs>
  <ScaleCrop>false</ScaleCrop>
  <Company>Microsoft</Company>
  <LinksUpToDate>false</LinksUpToDate>
  <CharactersWithSpaces>95874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刘晨晨</cp:lastModifiedBy>
  <cp:revision>66</cp:revision>
  <cp:lastPrinted>2013-02-18T03:10:00Z</cp:lastPrinted>
  <dcterms:created xsi:type="dcterms:W3CDTF">2022-09-24T12:26:00Z</dcterms:created>
  <dcterms:modified xsi:type="dcterms:W3CDTF">2022-11-12T14:05:00Z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