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41A84599" w:rsidR="00FC2918" w:rsidRPr="00335FE8" w:rsidRDefault="00165A30" w:rsidP="006A53E7">
      <w:pPr>
        <w:jc w:val="center"/>
        <w:rPr>
          <w:rFonts w:ascii="黑体" w:eastAsia="黑体" w:hAnsi="黑体"/>
          <w:b/>
          <w:sz w:val="36"/>
        </w:rPr>
      </w:pPr>
      <w:r w:rsidRPr="00BE4151">
        <w:rPr>
          <w:rFonts w:ascii="黑体" w:eastAsia="黑体" w:hAnsi="黑体" w:hint="eastAsia"/>
          <w:b/>
          <w:sz w:val="36"/>
        </w:rPr>
        <w:t>交银施罗德稳安30天滚动持有债券型证券投资基金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3ED80256"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E20119">
        <w:rPr>
          <w:rFonts w:ascii="仿宋_GB2312" w:eastAsia="仿宋_GB2312" w:hAnsi="宋体" w:cs="宋体"/>
          <w:kern w:val="0"/>
          <w:szCs w:val="21"/>
        </w:rPr>
        <w:t>11</w:t>
      </w:r>
      <w:r w:rsidR="006A53E7" w:rsidRPr="00335FE8">
        <w:rPr>
          <w:rFonts w:ascii="仿宋_GB2312" w:eastAsia="仿宋_GB2312" w:hAnsi="宋体" w:cs="宋体" w:hint="eastAsia"/>
          <w:kern w:val="0"/>
          <w:szCs w:val="21"/>
        </w:rPr>
        <w:t>-</w:t>
      </w:r>
      <w:r w:rsidR="00E20119">
        <w:rPr>
          <w:rFonts w:ascii="仿宋_GB2312" w:eastAsia="仿宋_GB2312" w:hAnsi="宋体" w:cs="宋体"/>
          <w:kern w:val="0"/>
          <w:szCs w:val="21"/>
        </w:rPr>
        <w:t>04</w:t>
      </w:r>
    </w:p>
    <w:p w14:paraId="7D15B036" w14:textId="2BDE6D01"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E20119">
        <w:rPr>
          <w:rFonts w:ascii="Times New Roman" w:hAnsi="Times New Roman" w:cs="Times New Roman"/>
        </w:rPr>
        <w:t>11</w:t>
      </w:r>
      <w:r w:rsidRPr="00DA7C34">
        <w:rPr>
          <w:rFonts w:ascii="Times New Roman" w:hAnsi="Times New Roman" w:cs="Times New Roman"/>
        </w:rPr>
        <w:t>-</w:t>
      </w:r>
      <w:r w:rsidR="00E20119">
        <w:rPr>
          <w:rFonts w:ascii="Times New Roman" w:hAnsi="Times New Roman" w:cs="Times New Roman"/>
        </w:rPr>
        <w:t>07</w:t>
      </w:r>
      <w:r w:rsidR="00E20119">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2259"/>
        <w:gridCol w:w="2976"/>
      </w:tblGrid>
      <w:tr w:rsidR="00AF7A1E" w:rsidRPr="00335FE8" w14:paraId="09F84DD9" w14:textId="77777777" w:rsidTr="009841DB">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490" w:type="dxa"/>
            <w:vAlign w:val="center"/>
          </w:tcPr>
          <w:p w14:paraId="5D6CBBC0" w14:textId="6E8E92EF" w:rsidR="00AF7A1E" w:rsidRPr="00335FE8" w:rsidRDefault="009841DB">
            <w:pPr>
              <w:rPr>
                <w:rFonts w:ascii="仿宋_GB2312" w:eastAsia="仿宋_GB2312"/>
                <w:szCs w:val="21"/>
              </w:rPr>
            </w:pPr>
            <w:r w:rsidRPr="009841DB">
              <w:rPr>
                <w:rFonts w:ascii="仿宋_GB2312" w:eastAsia="仿宋_GB2312" w:hint="eastAsia"/>
                <w:szCs w:val="21"/>
              </w:rPr>
              <w:t>交银稳安30天滚动持有债券</w:t>
            </w:r>
            <w:r w:rsidR="0078259F">
              <w:rPr>
                <w:rFonts w:ascii="仿宋_GB2312" w:eastAsia="仿宋_GB2312" w:hint="eastAsia"/>
                <w:szCs w:val="21"/>
              </w:rPr>
              <w:t>C</w:t>
            </w:r>
          </w:p>
        </w:tc>
        <w:tc>
          <w:tcPr>
            <w:tcW w:w="225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976" w:type="dxa"/>
            <w:vAlign w:val="center"/>
          </w:tcPr>
          <w:p w14:paraId="4E32B28B" w14:textId="0F087C5C" w:rsidR="00AF7A1E" w:rsidRPr="00335FE8" w:rsidRDefault="00E20119" w:rsidP="00AF7A1E">
            <w:pPr>
              <w:rPr>
                <w:rFonts w:ascii="仿宋_GB2312" w:eastAsia="仿宋_GB2312"/>
                <w:szCs w:val="21"/>
              </w:rPr>
            </w:pPr>
            <w:r>
              <w:rPr>
                <w:rFonts w:ascii="仿宋_GB2312" w:eastAsia="仿宋_GB2312"/>
                <w:szCs w:val="21"/>
              </w:rPr>
              <w:t>016</w:t>
            </w:r>
            <w:r w:rsidR="003A4E42">
              <w:rPr>
                <w:rFonts w:ascii="仿宋_GB2312" w:eastAsia="仿宋_GB2312"/>
                <w:szCs w:val="21"/>
              </w:rPr>
              <w:t>876</w:t>
            </w:r>
          </w:p>
        </w:tc>
      </w:tr>
      <w:tr w:rsidR="00AF7A1E" w:rsidRPr="00335FE8" w14:paraId="41AC4DB8" w14:textId="77777777" w:rsidTr="009841DB">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490"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25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976" w:type="dxa"/>
            <w:vAlign w:val="center"/>
          </w:tcPr>
          <w:p w14:paraId="55693F40" w14:textId="07B18016" w:rsidR="00AF7A1E" w:rsidRPr="00335FE8" w:rsidRDefault="00165A30" w:rsidP="00AF7A1E">
            <w:pPr>
              <w:rPr>
                <w:rFonts w:ascii="仿宋_GB2312" w:eastAsia="仿宋_GB2312"/>
                <w:szCs w:val="21"/>
              </w:rPr>
            </w:pPr>
            <w:r>
              <w:rPr>
                <w:rFonts w:ascii="仿宋_GB2312" w:eastAsia="仿宋_GB2312" w:hint="eastAsia"/>
                <w:szCs w:val="21"/>
              </w:rPr>
              <w:t>招商</w:t>
            </w:r>
            <w:r w:rsidR="002A4174" w:rsidRPr="002A4174">
              <w:rPr>
                <w:rFonts w:ascii="仿宋_GB2312" w:eastAsia="仿宋_GB2312" w:hint="eastAsia"/>
                <w:szCs w:val="21"/>
              </w:rPr>
              <w:t>银行股份有限公司</w:t>
            </w:r>
          </w:p>
        </w:tc>
      </w:tr>
      <w:tr w:rsidR="00AF7A1E" w:rsidRPr="00335FE8" w14:paraId="3ABF0FC0" w14:textId="77777777" w:rsidTr="009841DB">
        <w:trPr>
          <w:gridAfter w:val="2"/>
          <w:wAfter w:w="5235"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490"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841DB">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490"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259" w:type="dxa"/>
            <w:vAlign w:val="center"/>
          </w:tcPr>
          <w:p w14:paraId="222163FD" w14:textId="77777777" w:rsidR="00AF7A1E" w:rsidRPr="00335FE8" w:rsidRDefault="00AF7A1E" w:rsidP="00AF7A1E">
            <w:pPr>
              <w:rPr>
                <w:rFonts w:ascii="仿宋_GB2312" w:eastAsia="仿宋_GB2312" w:hAnsi="宋体" w:cs="宋体"/>
                <w:szCs w:val="21"/>
              </w:rPr>
            </w:pPr>
            <w:bookmarkStart w:id="0" w:name="_GoBack"/>
            <w:bookmarkEnd w:id="0"/>
            <w:r w:rsidRPr="00335FE8">
              <w:rPr>
                <w:rFonts w:ascii="仿宋_GB2312" w:eastAsia="仿宋_GB2312" w:hint="eastAsia"/>
                <w:szCs w:val="21"/>
              </w:rPr>
              <w:t>交易币种</w:t>
            </w:r>
          </w:p>
        </w:tc>
        <w:tc>
          <w:tcPr>
            <w:tcW w:w="2976"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841DB">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490" w:type="dxa"/>
            <w:vAlign w:val="center"/>
          </w:tcPr>
          <w:p w14:paraId="3F581E3E" w14:textId="3F8B865D" w:rsidR="00AF7A1E" w:rsidRPr="00335FE8" w:rsidRDefault="0027513A" w:rsidP="00AF7A1E">
            <w:pPr>
              <w:rPr>
                <w:rFonts w:ascii="仿宋_GB2312" w:eastAsia="仿宋_GB2312"/>
                <w:szCs w:val="21"/>
              </w:rPr>
            </w:pPr>
            <w:r>
              <w:rPr>
                <w:rFonts w:ascii="仿宋_GB2312" w:eastAsia="仿宋_GB2312" w:hint="eastAsia"/>
                <w:szCs w:val="21"/>
              </w:rPr>
              <w:t>其他</w:t>
            </w:r>
            <w:r w:rsidRPr="00335FE8">
              <w:rPr>
                <w:rFonts w:ascii="仿宋_GB2312" w:eastAsia="仿宋_GB2312" w:hint="eastAsia"/>
                <w:szCs w:val="21"/>
              </w:rPr>
              <w:t>开放式</w:t>
            </w:r>
          </w:p>
        </w:tc>
        <w:tc>
          <w:tcPr>
            <w:tcW w:w="225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976" w:type="dxa"/>
            <w:vAlign w:val="center"/>
          </w:tcPr>
          <w:p w14:paraId="69998F05" w14:textId="62C723CA"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r w:rsidR="00165A30">
              <w:rPr>
                <w:rFonts w:ascii="仿宋_GB2312" w:eastAsia="仿宋_GB2312" w:hint="eastAsia"/>
                <w:szCs w:val="21"/>
              </w:rPr>
              <w:t>开放申购，</w:t>
            </w:r>
            <w:r w:rsidR="00165A30" w:rsidRPr="00BE4151">
              <w:rPr>
                <w:rFonts w:ascii="仿宋_GB2312" w:eastAsia="仿宋_GB2312" w:hint="eastAsia"/>
                <w:szCs w:val="21"/>
              </w:rPr>
              <w:t>对于每份基金份额设置30</w:t>
            </w:r>
            <w:r w:rsidR="0027513A">
              <w:rPr>
                <w:rFonts w:ascii="仿宋_GB2312" w:eastAsia="仿宋_GB2312" w:hint="eastAsia"/>
                <w:szCs w:val="21"/>
              </w:rPr>
              <w:t>天</w:t>
            </w:r>
            <w:r w:rsidR="00165A30" w:rsidRPr="00BE4151">
              <w:rPr>
                <w:rFonts w:ascii="仿宋_GB2312" w:eastAsia="仿宋_GB2312" w:hint="eastAsia"/>
                <w:szCs w:val="21"/>
              </w:rPr>
              <w:t>滚动运作期</w:t>
            </w:r>
            <w:r w:rsidR="00165A30">
              <w:rPr>
                <w:rFonts w:ascii="仿宋_GB2312" w:eastAsia="仿宋_GB2312" w:hint="eastAsia"/>
                <w:szCs w:val="21"/>
              </w:rPr>
              <w:t>，</w:t>
            </w:r>
            <w:r w:rsidR="00BA1AA6">
              <w:rPr>
                <w:rFonts w:ascii="仿宋_GB2312" w:eastAsia="仿宋_GB2312" w:hint="eastAsia"/>
                <w:szCs w:val="21"/>
              </w:rPr>
              <w:t>每个</w:t>
            </w:r>
            <w:r w:rsidR="00165A30">
              <w:rPr>
                <w:rFonts w:ascii="仿宋_GB2312" w:eastAsia="仿宋_GB2312" w:hint="eastAsia"/>
                <w:szCs w:val="21"/>
              </w:rPr>
              <w:t>运作期到期日前</w:t>
            </w:r>
            <w:r w:rsidR="00165A30" w:rsidRPr="00BE4151">
              <w:rPr>
                <w:rFonts w:ascii="仿宋_GB2312" w:eastAsia="仿宋_GB2312" w:hint="eastAsia"/>
                <w:szCs w:val="21"/>
              </w:rPr>
              <w:t>不</w:t>
            </w:r>
            <w:r w:rsidR="00165A30">
              <w:rPr>
                <w:rFonts w:ascii="仿宋_GB2312" w:eastAsia="仿宋_GB2312" w:hint="eastAsia"/>
                <w:szCs w:val="21"/>
              </w:rPr>
              <w:t>可</w:t>
            </w:r>
            <w:r w:rsidR="00165A30" w:rsidRPr="00BE4151">
              <w:rPr>
                <w:rFonts w:ascii="仿宋_GB2312" w:eastAsia="仿宋_GB2312" w:hint="eastAsia"/>
                <w:szCs w:val="21"/>
              </w:rPr>
              <w:t>赎回</w:t>
            </w:r>
          </w:p>
        </w:tc>
      </w:tr>
      <w:tr w:rsidR="006A53E7" w:rsidRPr="00335FE8" w14:paraId="5B2ABDA5" w14:textId="77777777" w:rsidTr="009841DB">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490" w:type="dxa"/>
            <w:vMerge w:val="restart"/>
          </w:tcPr>
          <w:p w14:paraId="6E0A1BEC" w14:textId="30DFA22B" w:rsidR="006A53E7" w:rsidRPr="00335FE8" w:rsidRDefault="002A4174" w:rsidP="006A53E7">
            <w:pPr>
              <w:jc w:val="left"/>
              <w:rPr>
                <w:rFonts w:ascii="仿宋_GB2312" w:eastAsia="仿宋_GB2312"/>
                <w:szCs w:val="21"/>
              </w:rPr>
            </w:pPr>
            <w:r>
              <w:rPr>
                <w:rFonts w:ascii="仿宋_GB2312" w:eastAsia="仿宋_GB2312" w:hint="eastAsia"/>
                <w:szCs w:val="21"/>
              </w:rPr>
              <w:t>黄莹洁</w:t>
            </w:r>
          </w:p>
        </w:tc>
        <w:tc>
          <w:tcPr>
            <w:tcW w:w="2259"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976"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841DB">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490" w:type="dxa"/>
            <w:vMerge/>
          </w:tcPr>
          <w:p w14:paraId="3377F6C6" w14:textId="77777777" w:rsidR="006A53E7" w:rsidRPr="00335FE8" w:rsidRDefault="006A53E7" w:rsidP="006A53E7">
            <w:pPr>
              <w:jc w:val="left"/>
              <w:rPr>
                <w:rFonts w:ascii="仿宋_GB2312" w:eastAsia="仿宋_GB2312"/>
                <w:szCs w:val="21"/>
              </w:rPr>
            </w:pPr>
          </w:p>
        </w:tc>
        <w:tc>
          <w:tcPr>
            <w:tcW w:w="225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976" w:type="dxa"/>
          </w:tcPr>
          <w:p w14:paraId="4BE11CFB" w14:textId="0E5D216B" w:rsidR="006A53E7" w:rsidRPr="00335FE8" w:rsidRDefault="0078259F" w:rsidP="006A53E7">
            <w:pPr>
              <w:jc w:val="left"/>
              <w:rPr>
                <w:rFonts w:ascii="仿宋_GB2312" w:eastAsia="仿宋_GB2312"/>
                <w:szCs w:val="21"/>
              </w:rPr>
            </w:pPr>
            <w:r w:rsidRPr="0078259F">
              <w:rPr>
                <w:rFonts w:ascii="仿宋_GB2312" w:eastAsia="仿宋_GB2312"/>
                <w:szCs w:val="21"/>
              </w:rPr>
              <w:t>2008-02-01</w:t>
            </w:r>
          </w:p>
        </w:tc>
      </w:tr>
      <w:tr w:rsidR="006A53E7" w:rsidRPr="00335FE8" w14:paraId="523BA655" w14:textId="77777777" w:rsidTr="009841D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6ED14B99"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本基金的投资组合比例为：本基金投资于债券资产的比例不低于基金资产的80%。本基金持有的现金或到期日在一年以内的政府债券的比例合计不</w:t>
            </w:r>
            <w:r w:rsidRPr="002A4174">
              <w:rPr>
                <w:rFonts w:ascii="仿宋_GB2312" w:eastAsia="仿宋_GB2312" w:hint="eastAsia"/>
                <w:szCs w:val="21"/>
              </w:rPr>
              <w:lastRenderedPageBreak/>
              <w:t>低于基金资产净值的5%，其中现金不包括结算备付金、存出保证金、应收申购款等。</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0D30B557"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2EC505AE" w:rsidR="00F811C4" w:rsidRPr="00335FE8" w:rsidRDefault="003A4E42">
            <w:pPr>
              <w:ind w:firstLine="420"/>
              <w:jc w:val="left"/>
              <w:rPr>
                <w:rFonts w:ascii="仿宋_GB2312" w:eastAsia="仿宋_GB2312"/>
                <w:szCs w:val="21"/>
              </w:rPr>
            </w:pPr>
            <w:r w:rsidRPr="003A4E42">
              <w:rPr>
                <w:rFonts w:ascii="仿宋_GB2312" w:eastAsia="仿宋_GB2312" w:hint="eastAsia"/>
                <w:szCs w:val="21"/>
              </w:rPr>
              <w:t>中债综合全价指数收益率</w:t>
            </w:r>
            <w:r w:rsidR="00165A30" w:rsidRPr="00BE4151">
              <w:rPr>
                <w:rFonts w:ascii="仿宋_GB2312" w:eastAsia="仿宋_GB2312" w:hint="eastAsia"/>
                <w:szCs w:val="21"/>
              </w:rPr>
              <w:t>×80%+人民币活期存款利率(税后)×20%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7FBBDF8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65A30" w:rsidRPr="00BE4151">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58DD92D9" w:rsidR="00D373CC"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37DA5133" w14:textId="656EC570" w:rsidR="00D373CC" w:rsidRPr="00335FE8" w:rsidRDefault="00165A30" w:rsidP="009841DB">
      <w:pPr>
        <w:ind w:firstLineChars="200" w:firstLine="420"/>
        <w:jc w:val="left"/>
        <w:rPr>
          <w:rFonts w:ascii="仿宋_GB2312" w:eastAsia="仿宋_GB2312"/>
          <w:szCs w:val="21"/>
        </w:rPr>
      </w:pPr>
      <w:r w:rsidRPr="00C6655A">
        <w:rPr>
          <w:rFonts w:ascii="仿宋_GB2312" w:eastAsia="仿宋_GB2312" w:hint="eastAsia"/>
          <w:szCs w:val="21"/>
        </w:rPr>
        <w:t>本基金对于每份基金份额设置30天的滚动运作期。每个运作期到期日，基金份额持有人可提出赎回申请。基金份额持有人在每个运作期到期日申请赎回C类基金份额不收取赎回费。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5777A0C0" w:rsidR="00D373CC" w:rsidRPr="00335FE8" w:rsidRDefault="00D373CC" w:rsidP="003A4E42">
            <w:pPr>
              <w:rPr>
                <w:rFonts w:ascii="仿宋_GB2312" w:eastAsia="仿宋_GB2312"/>
                <w:szCs w:val="21"/>
              </w:rPr>
            </w:pPr>
            <w:r w:rsidRPr="00335FE8">
              <w:rPr>
                <w:rFonts w:ascii="仿宋_GB2312" w:eastAsia="仿宋_GB2312" w:hint="eastAsia"/>
                <w:szCs w:val="21"/>
              </w:rPr>
              <w:t>0.</w:t>
            </w:r>
            <w:r w:rsidR="003A4E42">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631BCE5C"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3CC88C85"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15</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4601A55C"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w:t>
      </w:r>
      <w:r>
        <w:rPr>
          <w:rFonts w:ascii="仿宋_GB2312" w:eastAsia="仿宋_GB2312" w:hint="eastAsia"/>
          <w:szCs w:val="21"/>
        </w:rPr>
        <w:lastRenderedPageBreak/>
        <w:t>定收益类资产市场的系统性风险和个券风险；</w:t>
      </w:r>
    </w:p>
    <w:p w14:paraId="48318A4C" w14:textId="2F935137" w:rsidR="00FB1BBF" w:rsidRDefault="00FB1BBF" w:rsidP="00800C96">
      <w:pPr>
        <w:ind w:firstLine="420"/>
        <w:jc w:val="left"/>
        <w:rPr>
          <w:rFonts w:ascii="仿宋_GB2312" w:eastAsia="仿宋_GB2312"/>
          <w:szCs w:val="21"/>
        </w:rPr>
      </w:pPr>
      <w:r>
        <w:rPr>
          <w:rFonts w:ascii="仿宋_GB2312" w:eastAsia="仿宋_GB2312" w:hint="eastAsia"/>
          <w:kern w:val="0"/>
          <w:szCs w:val="21"/>
        </w:rPr>
        <w:t>（2）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7905E52D" w14:textId="74C38FC6"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0D6F8762"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4</w:t>
      </w:r>
      <w:r>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1A28467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6、投资资产支持证券的特定风险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77777777" w:rsidR="00800C96" w:rsidRDefault="00800C96" w:rsidP="00800C96">
      <w:pPr>
        <w:ind w:firstLine="420"/>
        <w:jc w:val="left"/>
        <w:rPr>
          <w:rFonts w:ascii="仿宋_GB2312" w:eastAsia="仿宋_GB2312"/>
          <w:szCs w:val="21"/>
        </w:rPr>
      </w:pPr>
      <w:r>
        <w:rPr>
          <w:rFonts w:ascii="仿宋_GB2312" w:eastAsia="仿宋_GB2312" w:hint="eastAsia"/>
          <w:kern w:val="0"/>
          <w:szCs w:val="21"/>
        </w:rPr>
        <w:t>7、其他风险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19C9C77E"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165A30" w:rsidRPr="00165A30">
        <w:rPr>
          <w:rFonts w:ascii="仿宋_GB2312" w:eastAsia="仿宋_GB2312" w:hint="eastAsia"/>
          <w:b/>
          <w:szCs w:val="21"/>
        </w:rPr>
        <w:t>任何一方均有权将争议提交深圳国际仲裁院，按</w:t>
      </w:r>
      <w:r w:rsidR="00C600F7">
        <w:rPr>
          <w:rFonts w:ascii="仿宋_GB2312" w:eastAsia="仿宋_GB2312" w:hint="eastAsia"/>
          <w:b/>
          <w:szCs w:val="21"/>
        </w:rPr>
        <w:t>其</w:t>
      </w:r>
      <w:r w:rsidR="00165A30" w:rsidRPr="00165A30">
        <w:rPr>
          <w:rFonts w:ascii="仿宋_GB2312" w:eastAsia="仿宋_GB2312" w:hint="eastAsia"/>
          <w:b/>
          <w:szCs w:val="21"/>
        </w:rPr>
        <w:t>届时有效的仲裁规则进行仲裁。仲裁地点为深圳市</w:t>
      </w:r>
      <w:r w:rsidR="00165A30">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6CF6F8D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交银施罗德稳安30天滚动持有债券型证券投资基金</w:t>
      </w:r>
      <w:r w:rsidRPr="00335FE8">
        <w:rPr>
          <w:rFonts w:ascii="仿宋_GB2312" w:eastAsia="仿宋_GB2312" w:hint="eastAsia"/>
          <w:szCs w:val="21"/>
        </w:rPr>
        <w:t>基金合同》、</w:t>
      </w:r>
    </w:p>
    <w:p w14:paraId="09E8F937" w14:textId="59B49E8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交银施罗德稳安30天滚动持有债券型证券投资基金</w:t>
      </w:r>
      <w:r w:rsidRPr="00335FE8">
        <w:rPr>
          <w:rFonts w:ascii="仿宋_GB2312" w:eastAsia="仿宋_GB2312" w:hint="eastAsia"/>
          <w:szCs w:val="21"/>
        </w:rPr>
        <w:t>托管协议》、</w:t>
      </w:r>
    </w:p>
    <w:p w14:paraId="49AD74C4" w14:textId="01318B6A"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交银施罗德稳安30天滚动持有债券型证券投资基金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308CA" w14:textId="77777777" w:rsidR="00A415B6" w:rsidRDefault="00A415B6" w:rsidP="00880454">
      <w:r>
        <w:separator/>
      </w:r>
    </w:p>
  </w:endnote>
  <w:endnote w:type="continuationSeparator" w:id="0">
    <w:p w14:paraId="3AA84799" w14:textId="77777777" w:rsidR="00A415B6" w:rsidRDefault="00A415B6"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BC2F2" w14:textId="77777777" w:rsidR="00A415B6" w:rsidRDefault="00A415B6" w:rsidP="00880454">
      <w:r>
        <w:separator/>
      </w:r>
    </w:p>
  </w:footnote>
  <w:footnote w:type="continuationSeparator" w:id="0">
    <w:p w14:paraId="2584B5A5" w14:textId="77777777" w:rsidR="00A415B6" w:rsidRDefault="00A415B6"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1BF4"/>
    <w:rsid w:val="00076DDF"/>
    <w:rsid w:val="00094816"/>
    <w:rsid w:val="000C5B75"/>
    <w:rsid w:val="000F07AF"/>
    <w:rsid w:val="000F2329"/>
    <w:rsid w:val="000F29BF"/>
    <w:rsid w:val="00131F08"/>
    <w:rsid w:val="00146A49"/>
    <w:rsid w:val="00165A30"/>
    <w:rsid w:val="00191F76"/>
    <w:rsid w:val="0019752C"/>
    <w:rsid w:val="001A78BD"/>
    <w:rsid w:val="001C4C04"/>
    <w:rsid w:val="001E402A"/>
    <w:rsid w:val="00203836"/>
    <w:rsid w:val="00266E90"/>
    <w:rsid w:val="0027513A"/>
    <w:rsid w:val="00287210"/>
    <w:rsid w:val="002A4174"/>
    <w:rsid w:val="002F5DBC"/>
    <w:rsid w:val="00304198"/>
    <w:rsid w:val="00335FE8"/>
    <w:rsid w:val="00343729"/>
    <w:rsid w:val="003A35CE"/>
    <w:rsid w:val="003A4E42"/>
    <w:rsid w:val="003E751E"/>
    <w:rsid w:val="00401C56"/>
    <w:rsid w:val="00436CCE"/>
    <w:rsid w:val="00447692"/>
    <w:rsid w:val="00491227"/>
    <w:rsid w:val="004A275D"/>
    <w:rsid w:val="004A6802"/>
    <w:rsid w:val="006240B9"/>
    <w:rsid w:val="006A53E7"/>
    <w:rsid w:val="006A5546"/>
    <w:rsid w:val="006C56C6"/>
    <w:rsid w:val="006D1CFE"/>
    <w:rsid w:val="007434D5"/>
    <w:rsid w:val="00756A51"/>
    <w:rsid w:val="0078259F"/>
    <w:rsid w:val="007A64C5"/>
    <w:rsid w:val="007E6D71"/>
    <w:rsid w:val="00800C96"/>
    <w:rsid w:val="00846EFA"/>
    <w:rsid w:val="00854FEF"/>
    <w:rsid w:val="00880454"/>
    <w:rsid w:val="00896FD7"/>
    <w:rsid w:val="008A6BEE"/>
    <w:rsid w:val="008A6FA6"/>
    <w:rsid w:val="00902522"/>
    <w:rsid w:val="0090269C"/>
    <w:rsid w:val="00903B54"/>
    <w:rsid w:val="00967696"/>
    <w:rsid w:val="009728DC"/>
    <w:rsid w:val="009841DB"/>
    <w:rsid w:val="009A2E1D"/>
    <w:rsid w:val="009C04D0"/>
    <w:rsid w:val="009C0C41"/>
    <w:rsid w:val="009F4EAE"/>
    <w:rsid w:val="00A007DA"/>
    <w:rsid w:val="00A20486"/>
    <w:rsid w:val="00A415B6"/>
    <w:rsid w:val="00AB59CB"/>
    <w:rsid w:val="00AF7A1E"/>
    <w:rsid w:val="00BA1AA6"/>
    <w:rsid w:val="00C04141"/>
    <w:rsid w:val="00C0525C"/>
    <w:rsid w:val="00C600F7"/>
    <w:rsid w:val="00CB283A"/>
    <w:rsid w:val="00CD7637"/>
    <w:rsid w:val="00D04A15"/>
    <w:rsid w:val="00D06C8D"/>
    <w:rsid w:val="00D16918"/>
    <w:rsid w:val="00D21E6A"/>
    <w:rsid w:val="00D373CC"/>
    <w:rsid w:val="00D571CE"/>
    <w:rsid w:val="00DB319C"/>
    <w:rsid w:val="00DF5482"/>
    <w:rsid w:val="00E039A7"/>
    <w:rsid w:val="00E20119"/>
    <w:rsid w:val="00E51B6D"/>
    <w:rsid w:val="00E57C58"/>
    <w:rsid w:val="00EF2579"/>
    <w:rsid w:val="00F141B3"/>
    <w:rsid w:val="00F75715"/>
    <w:rsid w:val="00F811C4"/>
    <w:rsid w:val="00FA2DD4"/>
    <w:rsid w:val="00FB03D4"/>
    <w:rsid w:val="00FB1BBF"/>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2022-11-04T03:09:00Z</dcterms:created>
  <dcterms:modified xsi:type="dcterms:W3CDTF">2022-11-04T03:09:00Z</dcterms:modified>
</cp:coreProperties>
</file>