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color w:val="000000"/>
          <w:sz w:val="24"/>
          <w:szCs w:val="24"/>
        </w:rPr>
      </w:pPr>
      <w:r>
        <w:rPr>
          <w:rFonts w:hint="eastAsia" w:ascii="宋体" w:hAnsi="宋体"/>
          <w:sz w:val="24"/>
          <w:szCs w:val="24"/>
        </w:rPr>
        <w:t>合同编码:光银托管</w:t>
      </w:r>
      <w:r>
        <w:rPr>
          <w:rFonts w:ascii="宋体" w:hAnsi="宋体"/>
          <w:sz w:val="24"/>
          <w:szCs w:val="24"/>
        </w:rPr>
        <w:t xml:space="preserve"> </w:t>
      </w:r>
    </w:p>
    <w:p>
      <w:pPr>
        <w:spacing w:line="360" w:lineRule="auto"/>
        <w:jc w:val="center"/>
        <w:rPr>
          <w:rFonts w:ascii="仿宋" w:hAnsi="仿宋" w:eastAsia="仿宋"/>
          <w:b/>
          <w:color w:val="000000"/>
          <w:sz w:val="32"/>
        </w:rPr>
      </w:pPr>
    </w:p>
    <w:p>
      <w:pPr>
        <w:spacing w:line="360" w:lineRule="auto"/>
        <w:rPr>
          <w:rFonts w:ascii="仿宋" w:hAnsi="仿宋" w:eastAsia="仿宋"/>
          <w:b/>
          <w:color w:val="000000"/>
          <w:sz w:val="32"/>
        </w:rPr>
      </w:pPr>
    </w:p>
    <w:p>
      <w:pPr>
        <w:spacing w:line="360" w:lineRule="auto"/>
        <w:jc w:val="center"/>
        <w:rPr>
          <w:rFonts w:hint="eastAsia" w:ascii="宋体" w:hAnsi="宋体" w:cs="宋体"/>
          <w:b/>
          <w:color w:val="000000"/>
          <w:sz w:val="44"/>
          <w:szCs w:val="44"/>
        </w:rPr>
      </w:pPr>
      <w:r>
        <w:rPr>
          <w:rFonts w:hint="eastAsia" w:ascii="宋体" w:hAnsi="宋体" w:cs="宋体"/>
          <w:b/>
          <w:color w:val="000000"/>
          <w:sz w:val="44"/>
          <w:szCs w:val="44"/>
        </w:rPr>
        <w:t>交银施罗德智选星光混合型</w:t>
      </w:r>
    </w:p>
    <w:p>
      <w:pPr>
        <w:spacing w:line="360" w:lineRule="auto"/>
        <w:jc w:val="center"/>
        <w:rPr>
          <w:rFonts w:ascii="宋体" w:hAnsi="宋体" w:cs="宋体"/>
          <w:b/>
          <w:color w:val="000000"/>
          <w:sz w:val="44"/>
          <w:szCs w:val="44"/>
        </w:rPr>
      </w:pPr>
      <w:r>
        <w:rPr>
          <w:rFonts w:hint="eastAsia" w:ascii="宋体" w:hAnsi="宋体" w:cs="宋体"/>
          <w:b/>
          <w:color w:val="000000"/>
          <w:sz w:val="44"/>
          <w:szCs w:val="44"/>
        </w:rPr>
        <w:t>基金中基金（FOF-LOF）</w:t>
      </w:r>
    </w:p>
    <w:p>
      <w:pPr>
        <w:spacing w:line="360" w:lineRule="auto"/>
        <w:jc w:val="center"/>
        <w:rPr>
          <w:rFonts w:ascii="宋体" w:hAnsi="宋体" w:cs="宋体"/>
          <w:b/>
          <w:color w:val="000000"/>
          <w:sz w:val="44"/>
          <w:szCs w:val="44"/>
        </w:rPr>
      </w:pPr>
      <w:r>
        <w:rPr>
          <w:rFonts w:hint="eastAsia" w:ascii="宋体" w:hAnsi="宋体" w:cs="宋体"/>
          <w:b/>
          <w:color w:val="000000"/>
          <w:sz w:val="44"/>
          <w:szCs w:val="44"/>
        </w:rPr>
        <w:t>托管协议</w:t>
      </w:r>
    </w:p>
    <w:p>
      <w:pPr>
        <w:spacing w:line="360" w:lineRule="auto"/>
        <w:jc w:val="center"/>
        <w:rPr>
          <w:rFonts w:ascii="仿宋" w:hAnsi="仿宋" w:eastAsia="仿宋"/>
          <w:color w:val="000000"/>
          <w:sz w:val="30"/>
        </w:rPr>
      </w:pPr>
    </w:p>
    <w:p>
      <w:pPr>
        <w:spacing w:line="360" w:lineRule="auto"/>
        <w:jc w:val="center"/>
        <w:rPr>
          <w:rFonts w:ascii="仿宋" w:hAnsi="仿宋" w:eastAsia="仿宋"/>
          <w:color w:val="000000"/>
          <w:sz w:val="30"/>
        </w:rPr>
      </w:pPr>
    </w:p>
    <w:p>
      <w:pPr>
        <w:spacing w:line="360" w:lineRule="auto"/>
        <w:jc w:val="center"/>
        <w:rPr>
          <w:rFonts w:ascii="仿宋" w:hAnsi="仿宋" w:eastAsia="仿宋"/>
          <w:color w:val="000000"/>
          <w:sz w:val="30"/>
        </w:rPr>
      </w:pPr>
    </w:p>
    <w:p>
      <w:pPr>
        <w:spacing w:line="360" w:lineRule="auto"/>
        <w:jc w:val="center"/>
        <w:rPr>
          <w:rFonts w:ascii="仿宋" w:hAnsi="仿宋" w:eastAsia="仿宋"/>
          <w:color w:val="000000"/>
          <w:sz w:val="30"/>
        </w:rPr>
      </w:pPr>
    </w:p>
    <w:p>
      <w:pPr>
        <w:spacing w:line="360" w:lineRule="auto"/>
        <w:jc w:val="center"/>
        <w:rPr>
          <w:rFonts w:ascii="仿宋" w:hAnsi="仿宋" w:eastAsia="仿宋"/>
          <w:color w:val="000000"/>
          <w:sz w:val="30"/>
        </w:rPr>
      </w:pPr>
    </w:p>
    <w:p>
      <w:pPr>
        <w:spacing w:line="360" w:lineRule="auto"/>
        <w:jc w:val="center"/>
        <w:rPr>
          <w:rFonts w:ascii="仿宋" w:hAnsi="仿宋" w:eastAsia="仿宋"/>
          <w:color w:val="000000"/>
          <w:sz w:val="30"/>
        </w:rPr>
      </w:pPr>
    </w:p>
    <w:p>
      <w:pPr>
        <w:spacing w:line="360" w:lineRule="auto"/>
        <w:jc w:val="center"/>
        <w:rPr>
          <w:rFonts w:ascii="仿宋" w:hAnsi="仿宋" w:eastAsia="仿宋"/>
          <w:color w:val="000000"/>
          <w:sz w:val="30"/>
        </w:rPr>
      </w:pPr>
    </w:p>
    <w:p>
      <w:pPr>
        <w:spacing w:line="360" w:lineRule="auto"/>
        <w:jc w:val="center"/>
        <w:rPr>
          <w:rFonts w:ascii="仿宋" w:hAnsi="仿宋" w:eastAsia="仿宋"/>
          <w:color w:val="000000"/>
          <w:sz w:val="30"/>
        </w:rPr>
      </w:pPr>
    </w:p>
    <w:p>
      <w:pPr>
        <w:spacing w:line="360" w:lineRule="auto"/>
        <w:jc w:val="center"/>
        <w:rPr>
          <w:rFonts w:ascii="仿宋" w:hAnsi="仿宋" w:eastAsia="仿宋"/>
          <w:color w:val="000000"/>
          <w:sz w:val="30"/>
        </w:rPr>
      </w:pPr>
    </w:p>
    <w:p>
      <w:pPr>
        <w:spacing w:line="360" w:lineRule="auto"/>
        <w:jc w:val="center"/>
        <w:rPr>
          <w:rFonts w:ascii="宋体" w:hAnsi="宋体"/>
          <w:b/>
          <w:sz w:val="28"/>
          <w:szCs w:val="28"/>
        </w:rPr>
      </w:pPr>
      <w:bookmarkStart w:id="0" w:name="_Toc322632716"/>
      <w:r>
        <w:rPr>
          <w:rFonts w:hint="eastAsia" w:ascii="宋体" w:hAnsi="宋体"/>
          <w:b/>
          <w:sz w:val="28"/>
          <w:szCs w:val="28"/>
        </w:rPr>
        <w:t>基金管理人：</w:t>
      </w:r>
      <w:bookmarkEnd w:id="0"/>
      <w:bookmarkStart w:id="1" w:name="_Toc322632717"/>
      <w:r>
        <w:rPr>
          <w:rFonts w:hint="eastAsia" w:ascii="宋体" w:hAnsi="宋体"/>
          <w:b/>
          <w:sz w:val="28"/>
          <w:szCs w:val="28"/>
        </w:rPr>
        <w:t>交银施罗德基金管理有限公司</w:t>
      </w:r>
    </w:p>
    <w:p>
      <w:pPr>
        <w:spacing w:line="360" w:lineRule="auto"/>
        <w:jc w:val="center"/>
        <w:rPr>
          <w:rFonts w:ascii="宋体" w:hAnsi="宋体"/>
          <w:b/>
          <w:sz w:val="28"/>
          <w:szCs w:val="28"/>
        </w:rPr>
      </w:pPr>
      <w:r>
        <w:rPr>
          <w:rFonts w:hint="eastAsia" w:ascii="宋体" w:hAnsi="宋体"/>
          <w:b/>
          <w:sz w:val="28"/>
          <w:szCs w:val="28"/>
        </w:rPr>
        <w:t xml:space="preserve">   基金托管人：中国光大银行股份有限公司</w:t>
      </w:r>
      <w:bookmarkEnd w:id="1"/>
    </w:p>
    <w:p>
      <w:pPr>
        <w:spacing w:line="360" w:lineRule="auto"/>
        <w:ind w:left="2698" w:hanging="2698"/>
        <w:outlineLvl w:val="0"/>
        <w:rPr>
          <w:rFonts w:ascii="宋体" w:hAnsi="宋体"/>
          <w:b/>
          <w:color w:val="000000"/>
          <w:sz w:val="28"/>
          <w:szCs w:val="28"/>
        </w:rPr>
      </w:pPr>
    </w:p>
    <w:p>
      <w:pPr>
        <w:spacing w:line="360" w:lineRule="auto"/>
        <w:jc w:val="center"/>
        <w:rPr>
          <w:rFonts w:ascii="宋体" w:hAnsi="宋体"/>
          <w:b/>
          <w:sz w:val="30"/>
          <w:szCs w:val="30"/>
        </w:rPr>
        <w:sectPr>
          <w:pgSz w:w="11906" w:h="16838"/>
          <w:pgMar w:top="1440" w:right="1800" w:bottom="1440" w:left="1800" w:header="851" w:footer="992" w:gutter="0"/>
          <w:cols w:space="425" w:num="1"/>
          <w:titlePg/>
          <w:docGrid w:type="lines" w:linePitch="312" w:charSpace="0"/>
        </w:sectPr>
      </w:pPr>
      <w:r>
        <w:rPr>
          <w:rFonts w:hint="eastAsia" w:ascii="宋体" w:hAnsi="宋体"/>
          <w:b/>
          <w:sz w:val="28"/>
          <w:szCs w:val="28"/>
        </w:rPr>
        <w:t>二〇二</w:t>
      </w:r>
      <w:r>
        <w:rPr>
          <w:rFonts w:hint="eastAsia" w:ascii="宋体" w:hAnsi="宋体"/>
          <w:b/>
          <w:sz w:val="28"/>
          <w:szCs w:val="28"/>
          <w:lang w:val="en-US" w:eastAsia="zh-CN"/>
        </w:rPr>
        <w:t>二</w:t>
      </w:r>
      <w:r>
        <w:rPr>
          <w:rFonts w:hint="eastAsia" w:ascii="宋体" w:hAnsi="宋体"/>
          <w:b/>
          <w:sz w:val="28"/>
          <w:szCs w:val="28"/>
        </w:rPr>
        <w:t>年十一</w:t>
      </w:r>
      <w:bookmarkStart w:id="25" w:name="_GoBack"/>
      <w:bookmarkEnd w:id="25"/>
      <w:r>
        <w:rPr>
          <w:rFonts w:hint="eastAsia" w:ascii="宋体" w:hAnsi="宋体"/>
          <w:b/>
          <w:sz w:val="28"/>
          <w:szCs w:val="28"/>
        </w:rPr>
        <w:t>月</w:t>
      </w:r>
    </w:p>
    <w:p>
      <w:pPr>
        <w:spacing w:line="360" w:lineRule="auto"/>
        <w:jc w:val="center"/>
        <w:rPr>
          <w:rFonts w:ascii="宋体" w:hAnsi="宋体"/>
          <w:b/>
          <w:sz w:val="30"/>
          <w:szCs w:val="30"/>
        </w:rPr>
      </w:pPr>
      <w:r>
        <w:rPr>
          <w:rFonts w:hint="eastAsia" w:ascii="宋体" w:hAnsi="宋体"/>
          <w:b/>
          <w:sz w:val="30"/>
          <w:szCs w:val="30"/>
        </w:rPr>
        <w:t>目  录</w:t>
      </w:r>
    </w:p>
    <w:p>
      <w:pPr>
        <w:spacing w:line="360" w:lineRule="auto"/>
        <w:jc w:val="center"/>
        <w:rPr>
          <w:rFonts w:ascii="仿宋" w:hAnsi="仿宋" w:eastAsia="仿宋"/>
          <w:b/>
          <w:color w:val="000000"/>
          <w:sz w:val="28"/>
          <w:szCs w:val="28"/>
        </w:rPr>
      </w:pPr>
    </w:p>
    <w:p>
      <w:pPr>
        <w:pStyle w:val="10"/>
        <w:tabs>
          <w:tab w:val="right" w:leader="hyphen" w:pos="8296"/>
        </w:tabs>
        <w:spacing w:line="360" w:lineRule="auto"/>
        <w:rPr>
          <w:rFonts w:ascii="宋体" w:hAnsi="宋体"/>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TOC \o "1-1" \h \z \u </w:instrText>
      </w:r>
      <w:r>
        <w:rPr>
          <w:rFonts w:hint="eastAsia" w:ascii="宋体" w:hAnsi="宋体" w:cs="宋体"/>
          <w:color w:val="000000"/>
          <w:sz w:val="24"/>
          <w:szCs w:val="24"/>
        </w:rPr>
        <w:fldChar w:fldCharType="separate"/>
      </w:r>
      <w:r>
        <w:fldChar w:fldCharType="begin"/>
      </w:r>
      <w:r>
        <w:instrText xml:space="preserve"> HYPERLINK "file:///C:\\Users\\admin\\Desktop\\光大保德信磐稳收益一年定期开放混合型基金-初稿\\鑫元合享分级债券型证券投资基金-托管协议%2020140625.doc" \l "_Toc264617141" </w:instrText>
      </w:r>
      <w:r>
        <w:fldChar w:fldCharType="separate"/>
      </w:r>
      <w:r>
        <w:rPr>
          <w:rFonts w:ascii="宋体" w:hAnsi="宋体"/>
          <w:sz w:val="24"/>
          <w:szCs w:val="24"/>
        </w:rPr>
        <w:t>一、基金托管协议当事人</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_Toc264617141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"_Toc264617142" </w:instrText>
      </w:r>
      <w:r>
        <w:fldChar w:fldCharType="separate"/>
      </w:r>
      <w:r>
        <w:rPr>
          <w:rFonts w:ascii="宋体" w:hAnsi="宋体"/>
          <w:sz w:val="24"/>
          <w:szCs w:val="24"/>
        </w:rPr>
        <w:t>二、基金托管协议的依据、目的、原则和解释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_Toc264617142 \h </w:instrText>
      </w:r>
      <w:r>
        <w:rPr>
          <w:rFonts w:ascii="宋体" w:hAnsi="宋体"/>
          <w:sz w:val="24"/>
          <w:szCs w:val="24"/>
        </w:rPr>
        <w:fldChar w:fldCharType="separate"/>
      </w:r>
      <w:r>
        <w:rPr>
          <w:rFonts w:ascii="宋体" w:hAnsi="宋体"/>
          <w:sz w:val="24"/>
          <w:szCs w:val="24"/>
        </w:rPr>
        <w:t>2</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"_Toc264617143" </w:instrText>
      </w:r>
      <w:r>
        <w:fldChar w:fldCharType="separate"/>
      </w:r>
      <w:r>
        <w:rPr>
          <w:rFonts w:ascii="宋体" w:hAnsi="宋体"/>
          <w:sz w:val="24"/>
          <w:szCs w:val="24"/>
        </w:rPr>
        <w:t>三、基金托管人对基金管理人的业务监督和核查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_Toc264617143 \h </w:instrText>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"_Toc264617144" </w:instrText>
      </w:r>
      <w:r>
        <w:fldChar w:fldCharType="separate"/>
      </w:r>
      <w:r>
        <w:rPr>
          <w:rFonts w:ascii="宋体" w:hAnsi="宋体"/>
          <w:sz w:val="24"/>
          <w:szCs w:val="24"/>
        </w:rPr>
        <w:t>四、基金管理人对基金托管人的业务核查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_Toc264617144 \h </w:instrText>
      </w:r>
      <w:r>
        <w:rPr>
          <w:rFonts w:ascii="宋体" w:hAnsi="宋体"/>
          <w:sz w:val="24"/>
          <w:szCs w:val="24"/>
        </w:rPr>
        <w:fldChar w:fldCharType="separate"/>
      </w:r>
      <w:r>
        <w:rPr>
          <w:rFonts w:ascii="宋体" w:hAnsi="宋体"/>
          <w:sz w:val="24"/>
          <w:szCs w:val="24"/>
        </w:rPr>
        <w:t>11</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"_Toc264617145" </w:instrText>
      </w:r>
      <w:r>
        <w:fldChar w:fldCharType="separate"/>
      </w:r>
      <w:r>
        <w:rPr>
          <w:rFonts w:ascii="宋体" w:hAnsi="宋体"/>
          <w:sz w:val="24"/>
          <w:szCs w:val="24"/>
        </w:rPr>
        <w:t>五、基金财产的保管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_Toc264617145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"_Toc264617146" </w:instrText>
      </w:r>
      <w:r>
        <w:fldChar w:fldCharType="separate"/>
      </w:r>
      <w:r>
        <w:rPr>
          <w:rFonts w:ascii="宋体" w:hAnsi="宋体"/>
          <w:sz w:val="24"/>
          <w:szCs w:val="24"/>
        </w:rPr>
        <w:t>六、指令的发送、确认及执行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_Toc264617146 \h </w:instrText>
      </w:r>
      <w:r>
        <w:rPr>
          <w:rFonts w:ascii="宋体" w:hAnsi="宋体"/>
          <w:sz w:val="24"/>
          <w:szCs w:val="24"/>
        </w:rPr>
        <w:fldChar w:fldCharType="separate"/>
      </w:r>
      <w:r>
        <w:rPr>
          <w:rFonts w:ascii="宋体" w:hAnsi="宋体"/>
          <w:sz w:val="24"/>
          <w:szCs w:val="24"/>
        </w:rPr>
        <w:t>15</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"_Toc264617147" </w:instrText>
      </w:r>
      <w:r>
        <w:fldChar w:fldCharType="separate"/>
      </w:r>
      <w:r>
        <w:rPr>
          <w:rFonts w:ascii="宋体" w:hAnsi="宋体"/>
          <w:sz w:val="24"/>
          <w:szCs w:val="24"/>
        </w:rPr>
        <w:t>七、交易及清算交收安排</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_Toc264617147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"_Toc264617148" </w:instrText>
      </w:r>
      <w:r>
        <w:fldChar w:fldCharType="separate"/>
      </w:r>
      <w:r>
        <w:rPr>
          <w:rFonts w:ascii="宋体" w:hAnsi="宋体"/>
          <w:sz w:val="24"/>
          <w:szCs w:val="24"/>
        </w:rPr>
        <w:t>八、基金资产净值计算和会计核算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_Toc264617148 \h </w:instrText>
      </w:r>
      <w:r>
        <w:rPr>
          <w:rFonts w:ascii="宋体" w:hAnsi="宋体"/>
          <w:sz w:val="24"/>
          <w:szCs w:val="24"/>
        </w:rPr>
        <w:fldChar w:fldCharType="separate"/>
      </w:r>
      <w:r>
        <w:rPr>
          <w:rFonts w:ascii="宋体" w:hAnsi="宋体"/>
          <w:sz w:val="24"/>
          <w:szCs w:val="24"/>
        </w:rPr>
        <w:t>23</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"_Toc264617149" </w:instrText>
      </w:r>
      <w:r>
        <w:fldChar w:fldCharType="separate"/>
      </w:r>
      <w:r>
        <w:rPr>
          <w:rFonts w:ascii="宋体" w:hAnsi="宋体"/>
          <w:sz w:val="24"/>
          <w:szCs w:val="24"/>
        </w:rPr>
        <w:t>九、基金收益分配</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_Toc264617149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"_Toc264617150" </w:instrText>
      </w:r>
      <w:r>
        <w:fldChar w:fldCharType="separate"/>
      </w:r>
      <w:r>
        <w:rPr>
          <w:rFonts w:ascii="宋体" w:hAnsi="宋体"/>
          <w:sz w:val="24"/>
          <w:szCs w:val="24"/>
        </w:rPr>
        <w:t>十、基金信息披露</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_Toc264617150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"_Toc264617151" </w:instrText>
      </w:r>
      <w:r>
        <w:fldChar w:fldCharType="separate"/>
      </w:r>
      <w:r>
        <w:rPr>
          <w:rFonts w:ascii="宋体" w:hAnsi="宋体"/>
          <w:sz w:val="24"/>
          <w:szCs w:val="24"/>
        </w:rPr>
        <w:t>十一、基金费用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_Toc264617151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"_Toc264617152" </w:instrText>
      </w:r>
      <w:r>
        <w:fldChar w:fldCharType="separate"/>
      </w:r>
      <w:r>
        <w:rPr>
          <w:rFonts w:ascii="宋体" w:hAnsi="宋体"/>
          <w:sz w:val="24"/>
          <w:szCs w:val="24"/>
        </w:rPr>
        <w:t>十二、基金份额持有人名册的保管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_Toc264617152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"_Toc264617153" </w:instrText>
      </w:r>
      <w:r>
        <w:fldChar w:fldCharType="separate"/>
      </w:r>
      <w:r>
        <w:rPr>
          <w:rFonts w:ascii="宋体" w:hAnsi="宋体"/>
          <w:sz w:val="24"/>
          <w:szCs w:val="24"/>
        </w:rPr>
        <w:t>十三、基金有关文件档案的保存</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_Toc264617153 \h </w:instrText>
      </w:r>
      <w:r>
        <w:rPr>
          <w:rFonts w:ascii="宋体" w:hAnsi="宋体"/>
          <w:sz w:val="24"/>
          <w:szCs w:val="24"/>
        </w:rPr>
        <w:fldChar w:fldCharType="separate"/>
      </w:r>
      <w:r>
        <w:rPr>
          <w:rFonts w:ascii="宋体" w:hAnsi="宋体"/>
          <w:sz w:val="24"/>
          <w:szCs w:val="24"/>
        </w:rPr>
        <w:t>38</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"_Toc264617154" </w:instrText>
      </w:r>
      <w:r>
        <w:fldChar w:fldCharType="separate"/>
      </w:r>
      <w:r>
        <w:rPr>
          <w:rFonts w:ascii="宋体" w:hAnsi="宋体"/>
          <w:sz w:val="24"/>
          <w:szCs w:val="24"/>
        </w:rPr>
        <w:t>十四、基金管理人和基金托管人的更换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_Toc264617154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"_Toc264617155" </w:instrText>
      </w:r>
      <w:r>
        <w:fldChar w:fldCharType="separate"/>
      </w:r>
      <w:r>
        <w:rPr>
          <w:rFonts w:ascii="宋体" w:hAnsi="宋体"/>
          <w:sz w:val="24"/>
          <w:szCs w:val="24"/>
        </w:rPr>
        <w:t>十五、禁止行为</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_Toc264617155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"_Toc264617156" </w:instrText>
      </w:r>
      <w:r>
        <w:fldChar w:fldCharType="separate"/>
      </w:r>
      <w:r>
        <w:rPr>
          <w:rFonts w:ascii="宋体" w:hAnsi="宋体"/>
          <w:sz w:val="24"/>
          <w:szCs w:val="24"/>
        </w:rPr>
        <w:t>十六、托管协议的变更、终止与基金财产的清算</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_Toc264617156 \h </w:instrText>
      </w:r>
      <w:r>
        <w:rPr>
          <w:rFonts w:ascii="宋体" w:hAnsi="宋体"/>
          <w:sz w:val="24"/>
          <w:szCs w:val="24"/>
        </w:rPr>
        <w:fldChar w:fldCharType="separate"/>
      </w:r>
      <w:r>
        <w:rPr>
          <w:rFonts w:ascii="宋体" w:hAnsi="宋体"/>
          <w:sz w:val="24"/>
          <w:szCs w:val="24"/>
        </w:rPr>
        <w:t>44</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"_Toc264617157" </w:instrText>
      </w:r>
      <w:r>
        <w:fldChar w:fldCharType="separate"/>
      </w:r>
      <w:r>
        <w:rPr>
          <w:rFonts w:ascii="宋体" w:hAnsi="宋体"/>
          <w:sz w:val="24"/>
          <w:szCs w:val="24"/>
        </w:rPr>
        <w:t>十七、违约责任</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_Toc264617157 \h </w:instrText>
      </w:r>
      <w:r>
        <w:rPr>
          <w:rFonts w:ascii="宋体" w:hAnsi="宋体"/>
          <w:sz w:val="24"/>
          <w:szCs w:val="24"/>
        </w:rPr>
        <w:fldChar w:fldCharType="separate"/>
      </w:r>
      <w:r>
        <w:rPr>
          <w:rFonts w:ascii="宋体" w:hAnsi="宋体"/>
          <w:sz w:val="24"/>
          <w:szCs w:val="24"/>
        </w:rPr>
        <w:t>46</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"_Toc264617158" </w:instrText>
      </w:r>
      <w:r>
        <w:fldChar w:fldCharType="separate"/>
      </w:r>
      <w:r>
        <w:rPr>
          <w:rFonts w:ascii="宋体" w:hAnsi="宋体"/>
          <w:sz w:val="24"/>
          <w:szCs w:val="24"/>
        </w:rPr>
        <w:t>十八、争议解决方式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_Toc264617158 \h </w:instrText>
      </w:r>
      <w:r>
        <w:rPr>
          <w:rFonts w:ascii="宋体" w:hAnsi="宋体"/>
          <w:sz w:val="24"/>
          <w:szCs w:val="24"/>
        </w:rPr>
        <w:fldChar w:fldCharType="separate"/>
      </w:r>
      <w:r>
        <w:rPr>
          <w:rFonts w:ascii="宋体" w:hAnsi="宋体"/>
          <w:sz w:val="24"/>
          <w:szCs w:val="24"/>
        </w:rPr>
        <w:t>47</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"_Toc264617159" </w:instrText>
      </w:r>
      <w:r>
        <w:fldChar w:fldCharType="separate"/>
      </w:r>
      <w:r>
        <w:rPr>
          <w:rFonts w:ascii="宋体" w:hAnsi="宋体"/>
          <w:sz w:val="24"/>
          <w:szCs w:val="24"/>
        </w:rPr>
        <w:t>十九、托管协议的效力</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_Toc264617159 \h </w:instrText>
      </w:r>
      <w:r>
        <w:rPr>
          <w:rFonts w:ascii="宋体" w:hAnsi="宋体"/>
          <w:sz w:val="24"/>
          <w:szCs w:val="24"/>
        </w:rPr>
        <w:fldChar w:fldCharType="separate"/>
      </w:r>
      <w:r>
        <w:rPr>
          <w:rFonts w:ascii="宋体" w:hAnsi="宋体"/>
          <w:sz w:val="24"/>
          <w:szCs w:val="24"/>
        </w:rPr>
        <w:t>48</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"_Toc264617160" </w:instrText>
      </w:r>
      <w:r>
        <w:fldChar w:fldCharType="separate"/>
      </w:r>
      <w:r>
        <w:rPr>
          <w:rFonts w:ascii="宋体" w:hAnsi="宋体"/>
          <w:sz w:val="24"/>
          <w:szCs w:val="24"/>
        </w:rPr>
        <w:t>二十、其他事项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_Toc264617160 \h </w:instrText>
      </w:r>
      <w:r>
        <w:rPr>
          <w:rFonts w:ascii="宋体" w:hAnsi="宋体"/>
          <w:sz w:val="24"/>
          <w:szCs w:val="24"/>
        </w:rPr>
        <w:fldChar w:fldCharType="separate"/>
      </w:r>
      <w:r>
        <w:rPr>
          <w:rFonts w:ascii="宋体" w:hAnsi="宋体"/>
          <w:sz w:val="24"/>
          <w:szCs w:val="24"/>
        </w:rPr>
        <w:t>49</w:t>
      </w:r>
      <w:r>
        <w:rPr>
          <w:rFonts w:ascii="宋体" w:hAnsi="宋体"/>
          <w:sz w:val="24"/>
          <w:szCs w:val="24"/>
        </w:rPr>
        <w:fldChar w:fldCharType="end"/>
      </w:r>
      <w:r>
        <w:rPr>
          <w:rFonts w:ascii="宋体" w:hAnsi="宋体"/>
          <w:sz w:val="24"/>
          <w:szCs w:val="24"/>
        </w:rPr>
        <w:fldChar w:fldCharType="end"/>
      </w:r>
    </w:p>
    <w:p>
      <w:pPr>
        <w:pStyle w:val="10"/>
        <w:tabs>
          <w:tab w:val="right" w:leader="hyphen" w:pos="8296"/>
        </w:tabs>
        <w:spacing w:line="360" w:lineRule="auto"/>
        <w:rPr>
          <w:rFonts w:ascii="宋体" w:hAnsi="宋体" w:cs="宋体"/>
          <w:color w:val="000000"/>
          <w:kern w:val="2"/>
          <w:sz w:val="24"/>
          <w:szCs w:val="24"/>
        </w:rPr>
      </w:pPr>
      <w:r>
        <w:fldChar w:fldCharType="begin"/>
      </w:r>
      <w:r>
        <w:instrText xml:space="preserve"> HYPERLINK "file:///C:\\Users\\admin\\Desktop\\光大保德信磐稳收益一年定期开放混合型基金-初稿\\鑫元合享分级债券型证券投资基金-托管协议%2020140625.doc" \l "_Toc264617161" </w:instrText>
      </w:r>
      <w:r>
        <w:fldChar w:fldCharType="separate"/>
      </w:r>
      <w:r>
        <w:rPr>
          <w:rFonts w:ascii="宋体" w:hAnsi="宋体"/>
          <w:sz w:val="24"/>
          <w:szCs w:val="24"/>
        </w:rPr>
        <w:t>二十一、托管协议</w:t>
      </w:r>
      <w:bookmarkStart w:id="2" w:name="_Hlt322636245"/>
      <w:bookmarkStart w:id="3" w:name="_Hlt322636246"/>
      <w:r>
        <w:rPr>
          <w:rFonts w:ascii="宋体" w:hAnsi="宋体"/>
          <w:sz w:val="24"/>
          <w:szCs w:val="24"/>
        </w:rPr>
        <w:t>的</w:t>
      </w:r>
      <w:bookmarkEnd w:id="2"/>
      <w:bookmarkEnd w:id="3"/>
      <w:r>
        <w:rPr>
          <w:rFonts w:ascii="宋体" w:hAnsi="宋体"/>
          <w:sz w:val="24"/>
          <w:szCs w:val="24"/>
        </w:rPr>
        <w:t>签订</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_Toc264617161 \h </w:instrText>
      </w:r>
      <w:r>
        <w:rPr>
          <w:rFonts w:ascii="宋体" w:hAnsi="宋体"/>
          <w:sz w:val="24"/>
          <w:szCs w:val="24"/>
        </w:rPr>
        <w:fldChar w:fldCharType="separate"/>
      </w:r>
      <w:r>
        <w:rPr>
          <w:rFonts w:ascii="宋体" w:hAnsi="宋体"/>
          <w:sz w:val="24"/>
          <w:szCs w:val="24"/>
        </w:rPr>
        <w:t>50</w:t>
      </w:r>
      <w:r>
        <w:rPr>
          <w:rFonts w:ascii="宋体" w:hAnsi="宋体"/>
          <w:sz w:val="24"/>
          <w:szCs w:val="24"/>
        </w:rPr>
        <w:fldChar w:fldCharType="end"/>
      </w:r>
      <w:r>
        <w:rPr>
          <w:rFonts w:ascii="宋体" w:hAnsi="宋体"/>
          <w:sz w:val="24"/>
          <w:szCs w:val="24"/>
        </w:rPr>
        <w:fldChar w:fldCharType="end"/>
      </w:r>
    </w:p>
    <w:p>
      <w:pPr>
        <w:spacing w:line="360" w:lineRule="auto"/>
        <w:ind w:firstLine="480" w:firstLineChars="200"/>
        <w:rPr>
          <w:rFonts w:ascii="仿宋" w:hAnsi="仿宋" w:eastAsia="仿宋"/>
          <w:color w:val="000000"/>
          <w:sz w:val="24"/>
          <w:szCs w:val="24"/>
        </w:rPr>
      </w:pPr>
      <w:r>
        <w:rPr>
          <w:rFonts w:hint="eastAsia" w:ascii="宋体" w:hAnsi="宋体" w:cs="宋体"/>
          <w:color w:val="000000"/>
          <w:sz w:val="24"/>
          <w:szCs w:val="24"/>
        </w:rPr>
        <w:fldChar w:fldCharType="end"/>
      </w:r>
    </w:p>
    <w:p>
      <w:pPr>
        <w:spacing w:line="360" w:lineRule="auto"/>
        <w:ind w:firstLine="480" w:firstLineChars="200"/>
        <w:rPr>
          <w:rFonts w:ascii="仿宋" w:hAnsi="仿宋" w:eastAsia="仿宋"/>
          <w:color w:val="000000"/>
          <w:sz w:val="24"/>
          <w:szCs w:val="24"/>
        </w:rPr>
        <w:sectPr>
          <w:pgSz w:w="11906" w:h="16838"/>
          <w:pgMar w:top="1440" w:right="1800" w:bottom="1440" w:left="1800" w:header="851" w:footer="992" w:gutter="0"/>
          <w:cols w:space="425" w:num="1"/>
          <w:docGrid w:type="lines" w:linePitch="312" w:charSpace="0"/>
        </w:sectPr>
      </w:pPr>
    </w:p>
    <w:p>
      <w:pPr>
        <w:spacing w:line="360" w:lineRule="auto"/>
        <w:ind w:firstLine="480" w:firstLineChars="200"/>
        <w:rPr>
          <w:rFonts w:ascii="宋体" w:hAnsi="宋体"/>
          <w:sz w:val="24"/>
          <w:szCs w:val="24"/>
        </w:rPr>
      </w:pPr>
      <w:r>
        <w:rPr>
          <w:rFonts w:hint="eastAsia" w:ascii="宋体" w:hAnsi="宋体"/>
          <w:sz w:val="24"/>
          <w:szCs w:val="24"/>
        </w:rPr>
        <w:t>鉴于交银施罗德基金管理有限公司系一家依照中国法律合法成立并有效存续的有限责任公司，按照相关法律法规的规定具备担任基金管理人的资格和能力；</w:t>
      </w:r>
    </w:p>
    <w:p>
      <w:pPr>
        <w:spacing w:line="360" w:lineRule="auto"/>
        <w:ind w:firstLine="480" w:firstLineChars="200"/>
        <w:rPr>
          <w:rFonts w:ascii="宋体" w:hAnsi="宋体"/>
          <w:sz w:val="24"/>
          <w:szCs w:val="24"/>
        </w:rPr>
      </w:pPr>
      <w:r>
        <w:rPr>
          <w:rFonts w:hint="eastAsia" w:ascii="宋体" w:hAnsi="宋体"/>
          <w:sz w:val="24"/>
          <w:szCs w:val="24"/>
        </w:rPr>
        <w:t>鉴于中国光大银行股份有限公司系一家依照中国法律合法成立并有效存续的银行，按照相关法律法规的规定具备担任基金托管人的资格和能力；</w:t>
      </w:r>
    </w:p>
    <w:p>
      <w:pPr>
        <w:spacing w:line="360" w:lineRule="auto"/>
        <w:ind w:firstLine="480" w:firstLineChars="200"/>
        <w:rPr>
          <w:rFonts w:ascii="宋体" w:hAnsi="宋体"/>
          <w:sz w:val="24"/>
          <w:szCs w:val="24"/>
        </w:rPr>
      </w:pPr>
      <w:r>
        <w:rPr>
          <w:rFonts w:hint="eastAsia" w:ascii="宋体" w:hAnsi="宋体"/>
          <w:sz w:val="24"/>
          <w:szCs w:val="24"/>
        </w:rPr>
        <w:t>鉴于交银施罗德基金管理有限公司拟担任交银施罗德智选星光混合型基金中基金（FOF-LOF）的基金管理人，中国光大银行股份有限公司拟担任交银施罗德智选星光混合型基金中基金（FOF-LOF）的基金托管人；</w:t>
      </w:r>
    </w:p>
    <w:p>
      <w:pPr>
        <w:spacing w:line="360" w:lineRule="auto"/>
        <w:ind w:firstLine="480" w:firstLineChars="200"/>
        <w:rPr>
          <w:rFonts w:hint="eastAsia" w:ascii="宋体" w:hAnsi="宋体"/>
          <w:sz w:val="24"/>
          <w:szCs w:val="24"/>
        </w:rPr>
      </w:pPr>
      <w:r>
        <w:rPr>
          <w:rFonts w:hint="eastAsia" w:ascii="宋体" w:hAnsi="宋体"/>
          <w:sz w:val="24"/>
          <w:szCs w:val="24"/>
        </w:rPr>
        <w:t>为明确交银施罗德智选星光混合型基金中基金（FOF-LOF）的基金管理人和基金托管人之间的权利义务关系，特制订本托管协议；</w:t>
      </w:r>
    </w:p>
    <w:p>
      <w:pPr>
        <w:spacing w:line="360" w:lineRule="auto"/>
        <w:ind w:firstLine="480" w:firstLineChars="200"/>
        <w:rPr>
          <w:rFonts w:hint="eastAsia" w:ascii="宋体" w:hAnsi="宋体"/>
          <w:sz w:val="24"/>
          <w:szCs w:val="24"/>
        </w:rPr>
      </w:pPr>
      <w:r>
        <w:rPr>
          <w:rFonts w:hint="eastAsia" w:ascii="宋体" w:hAnsi="宋体"/>
          <w:sz w:val="24"/>
          <w:szCs w:val="24"/>
        </w:rPr>
        <w:t>交银施罗德智选星光混合型基金中基金（FOF-LOF）由交银施罗德智选星光一年封闭运作混合型基金中基金（FOF-LOF）封闭期届满后更名而来。根据《交银施罗德智选星光一年封闭运作混合型基金中基金（FOF-LOF）基金合同》的约定，《交银施罗德智选星光一年封闭运作混合型基金中基金（FOF-LOF）基金合同》生效后</w:t>
      </w:r>
      <w:r>
        <w:rPr>
          <w:rFonts w:hint="eastAsia" w:ascii="宋体" w:hAnsi="宋体"/>
          <w:sz w:val="24"/>
          <w:szCs w:val="24"/>
          <w:lang w:val="en-US" w:eastAsia="zh-CN"/>
        </w:rPr>
        <w:t>一年</w:t>
      </w:r>
      <w:r>
        <w:rPr>
          <w:rFonts w:hint="eastAsia" w:ascii="宋体" w:hAnsi="宋体"/>
          <w:sz w:val="24"/>
          <w:szCs w:val="24"/>
        </w:rPr>
        <w:t>封闭期已届满，交银施罗德智选星光一年封闭运作混合型基金中基金（FOF-LOF）的基金名称相应变更为“交银施罗德智选星光混合型基金中基金（FOF-LOF）”，且《交银施罗德智选星光混合型基金中基金（FOF-LOF）基金合同》中关于封闭期内运作的相关内容均不再适用。</w:t>
      </w:r>
    </w:p>
    <w:p>
      <w:pPr>
        <w:spacing w:line="360" w:lineRule="auto"/>
        <w:ind w:firstLine="480" w:firstLineChars="200"/>
        <w:rPr>
          <w:rFonts w:ascii="宋体" w:hAnsi="宋体"/>
          <w:sz w:val="24"/>
          <w:szCs w:val="24"/>
        </w:rPr>
      </w:pPr>
      <w:r>
        <w:rPr>
          <w:rFonts w:hint="eastAsia" w:ascii="宋体" w:hAnsi="宋体"/>
          <w:sz w:val="24"/>
          <w:szCs w:val="24"/>
        </w:rPr>
        <w:t>除非另有约定，《交银施罗德智选星光混合型基金中基金（FOF-LOF）基金合同》(以下简称“基金合同”)中定义的术语在用于本托管协议时应具有相同的含义；若有抵触应以基金合同为准，并依其条款解释。</w:t>
      </w:r>
    </w:p>
    <w:p>
      <w:pPr>
        <w:spacing w:line="360" w:lineRule="auto"/>
        <w:ind w:firstLine="480" w:firstLineChars="200"/>
        <w:rPr>
          <w:rFonts w:ascii="宋体" w:hAnsi="宋体"/>
          <w:sz w:val="24"/>
          <w:szCs w:val="24"/>
        </w:rPr>
      </w:pPr>
      <w:r>
        <w:rPr>
          <w:rFonts w:hint="eastAsia" w:ascii="宋体" w:hAnsi="宋体"/>
          <w:sz w:val="24"/>
          <w:szCs w:val="24"/>
        </w:rPr>
        <w:t>若本基金实施侧袋机制的，侧袋机制实施期间的相关安排见基金合同和招募说明书的规定。</w:t>
      </w:r>
    </w:p>
    <w:p>
      <w:pPr>
        <w:pStyle w:val="11"/>
        <w:jc w:val="both"/>
        <w:rPr>
          <w:b w:val="0"/>
          <w:bCs w:val="0"/>
          <w:sz w:val="24"/>
          <w:szCs w:val="24"/>
        </w:rPr>
        <w:sectPr>
          <w:pgSz w:w="11906" w:h="16838"/>
          <w:pgMar w:top="1440" w:right="1800" w:bottom="1440" w:left="1800" w:header="851" w:footer="992" w:gutter="0"/>
          <w:cols w:space="425" w:num="1"/>
          <w:titlePg/>
          <w:docGrid w:type="lines" w:linePitch="312" w:charSpace="0"/>
        </w:sectPr>
      </w:pPr>
      <w:bookmarkStart w:id="4" w:name="_Toc264617141"/>
    </w:p>
    <w:p>
      <w:pPr>
        <w:pStyle w:val="11"/>
        <w:rPr>
          <w:rFonts w:ascii="宋体" w:hAnsi="宋体" w:cs="宋体"/>
          <w:sz w:val="30"/>
          <w:szCs w:val="30"/>
        </w:rPr>
      </w:pPr>
      <w:r>
        <w:rPr>
          <w:rFonts w:hint="eastAsia" w:ascii="宋体" w:hAnsi="宋体" w:cs="宋体"/>
          <w:sz w:val="30"/>
          <w:szCs w:val="30"/>
        </w:rPr>
        <w:t>一、基金托管协议当事人</w:t>
      </w:r>
      <w:bookmarkEnd w:id="4"/>
    </w:p>
    <w:p>
      <w:pPr>
        <w:spacing w:line="360" w:lineRule="auto"/>
        <w:ind w:firstLine="480" w:firstLineChars="200"/>
        <w:rPr>
          <w:rFonts w:ascii="宋体" w:hAnsi="宋体"/>
          <w:sz w:val="24"/>
          <w:szCs w:val="24"/>
          <w:highlight w:val="yellow"/>
        </w:rPr>
      </w:pPr>
      <w:r>
        <w:rPr>
          <w:rFonts w:hint="eastAsia" w:ascii="宋体" w:hAnsi="宋体"/>
          <w:sz w:val="24"/>
          <w:szCs w:val="24"/>
        </w:rPr>
        <w:t>（一）基金管理人</w:t>
      </w:r>
    </w:p>
    <w:p>
      <w:pPr>
        <w:spacing w:line="360" w:lineRule="auto"/>
        <w:ind w:firstLine="480" w:firstLineChars="200"/>
        <w:rPr>
          <w:rFonts w:ascii="宋体" w:hAnsi="宋体"/>
          <w:sz w:val="24"/>
          <w:szCs w:val="24"/>
        </w:rPr>
      </w:pPr>
      <w:r>
        <w:rPr>
          <w:rFonts w:hint="eastAsia" w:ascii="宋体" w:hAnsi="宋体"/>
          <w:sz w:val="24"/>
          <w:szCs w:val="24"/>
        </w:rPr>
        <w:t>名称：交银施罗德基金管理有限公司</w:t>
      </w:r>
    </w:p>
    <w:p>
      <w:pPr>
        <w:spacing w:line="360" w:lineRule="auto"/>
        <w:ind w:firstLine="480" w:firstLineChars="200"/>
        <w:rPr>
          <w:rFonts w:ascii="宋体" w:hAnsi="宋体"/>
          <w:sz w:val="24"/>
          <w:szCs w:val="24"/>
        </w:rPr>
      </w:pPr>
      <w:r>
        <w:rPr>
          <w:rFonts w:hint="eastAsia" w:ascii="宋体" w:hAnsi="宋体"/>
          <w:sz w:val="24"/>
          <w:szCs w:val="24"/>
        </w:rPr>
        <w:t>住所：中国（上海）自由贸易试验区银城中路188号交通银行大楼二层（裙）</w:t>
      </w:r>
    </w:p>
    <w:p>
      <w:pPr>
        <w:spacing w:line="360" w:lineRule="auto"/>
        <w:ind w:firstLine="480" w:firstLineChars="200"/>
        <w:rPr>
          <w:rFonts w:ascii="宋体" w:hAnsi="宋体"/>
          <w:sz w:val="24"/>
          <w:szCs w:val="24"/>
        </w:rPr>
      </w:pPr>
      <w:r>
        <w:rPr>
          <w:rFonts w:hint="eastAsia" w:ascii="宋体" w:hAnsi="宋体"/>
          <w:sz w:val="24"/>
          <w:szCs w:val="24"/>
        </w:rPr>
        <w:t>办公地址：上海市浦东新区世纪大道8号国金中心二期21-22楼</w:t>
      </w:r>
    </w:p>
    <w:p>
      <w:pPr>
        <w:spacing w:line="360" w:lineRule="auto"/>
        <w:ind w:firstLine="480" w:firstLineChars="200"/>
        <w:rPr>
          <w:rFonts w:ascii="宋体" w:hAnsi="宋体"/>
          <w:sz w:val="24"/>
          <w:szCs w:val="24"/>
        </w:rPr>
      </w:pPr>
      <w:r>
        <w:rPr>
          <w:rFonts w:hint="eastAsia" w:ascii="宋体" w:hAnsi="宋体"/>
          <w:sz w:val="24"/>
          <w:szCs w:val="24"/>
        </w:rPr>
        <w:t>邮政编码：</w:t>
      </w:r>
      <w:r>
        <w:rPr>
          <w:rFonts w:ascii="宋体" w:hAnsi="宋体"/>
          <w:sz w:val="24"/>
          <w:szCs w:val="24"/>
        </w:rPr>
        <w:t>200120</w:t>
      </w:r>
    </w:p>
    <w:p>
      <w:pPr>
        <w:spacing w:line="360" w:lineRule="auto"/>
        <w:ind w:firstLine="480" w:firstLineChars="200"/>
        <w:rPr>
          <w:rFonts w:ascii="宋体" w:hAnsi="宋体"/>
          <w:sz w:val="24"/>
          <w:szCs w:val="24"/>
        </w:rPr>
      </w:pPr>
      <w:r>
        <w:rPr>
          <w:rFonts w:hint="eastAsia" w:ascii="宋体" w:hAnsi="宋体"/>
          <w:sz w:val="24"/>
          <w:szCs w:val="24"/>
        </w:rPr>
        <w:t>法定代表人：阮红</w:t>
      </w:r>
    </w:p>
    <w:p>
      <w:pPr>
        <w:spacing w:line="360" w:lineRule="auto"/>
        <w:ind w:firstLine="480" w:firstLineChars="200"/>
        <w:rPr>
          <w:rFonts w:ascii="宋体" w:hAnsi="宋体"/>
          <w:sz w:val="24"/>
          <w:szCs w:val="24"/>
        </w:rPr>
      </w:pPr>
      <w:r>
        <w:rPr>
          <w:rFonts w:hint="eastAsia" w:ascii="宋体" w:hAnsi="宋体"/>
          <w:sz w:val="24"/>
          <w:szCs w:val="24"/>
        </w:rPr>
        <w:t>成立日期：2005年8月4日</w:t>
      </w:r>
    </w:p>
    <w:p>
      <w:pPr>
        <w:spacing w:line="360" w:lineRule="auto"/>
        <w:ind w:firstLine="480" w:firstLineChars="200"/>
        <w:rPr>
          <w:rFonts w:ascii="宋体" w:hAnsi="宋体"/>
          <w:sz w:val="24"/>
          <w:szCs w:val="24"/>
        </w:rPr>
      </w:pPr>
      <w:r>
        <w:rPr>
          <w:rFonts w:hint="eastAsia" w:ascii="宋体" w:hAnsi="宋体"/>
          <w:sz w:val="24"/>
          <w:szCs w:val="24"/>
        </w:rPr>
        <w:t>批准设立机关及批准设立文号：中国证监会证监基金字</w:t>
      </w:r>
      <w:r>
        <w:rPr>
          <w:rFonts w:ascii="宋体" w:hAnsi="宋体"/>
          <w:sz w:val="24"/>
          <w:szCs w:val="24"/>
        </w:rPr>
        <w:t>[2005]128</w:t>
      </w:r>
      <w:r>
        <w:rPr>
          <w:rFonts w:hint="eastAsia" w:ascii="宋体" w:hAnsi="宋体"/>
          <w:sz w:val="24"/>
          <w:szCs w:val="24"/>
        </w:rPr>
        <w:t>号</w:t>
      </w:r>
    </w:p>
    <w:p>
      <w:pPr>
        <w:spacing w:line="360" w:lineRule="auto"/>
        <w:ind w:firstLine="480" w:firstLineChars="200"/>
        <w:rPr>
          <w:rFonts w:ascii="宋体" w:hAnsi="宋体"/>
          <w:sz w:val="24"/>
          <w:szCs w:val="24"/>
        </w:rPr>
      </w:pPr>
      <w:r>
        <w:rPr>
          <w:rFonts w:hint="eastAsia" w:ascii="宋体" w:hAnsi="宋体"/>
          <w:sz w:val="24"/>
          <w:szCs w:val="24"/>
        </w:rPr>
        <w:t>组织形式：有限责任公司</w:t>
      </w:r>
    </w:p>
    <w:p>
      <w:pPr>
        <w:spacing w:line="360" w:lineRule="auto"/>
        <w:ind w:firstLine="480" w:firstLineChars="200"/>
        <w:rPr>
          <w:rFonts w:ascii="宋体" w:hAnsi="宋体"/>
          <w:sz w:val="24"/>
          <w:szCs w:val="24"/>
        </w:rPr>
      </w:pPr>
      <w:r>
        <w:rPr>
          <w:rFonts w:hint="eastAsia" w:ascii="宋体" w:hAnsi="宋体"/>
          <w:sz w:val="24"/>
          <w:szCs w:val="24"/>
        </w:rPr>
        <w:t>注册资本：2亿元人民币</w:t>
      </w:r>
    </w:p>
    <w:p>
      <w:pPr>
        <w:spacing w:line="360" w:lineRule="auto"/>
        <w:ind w:firstLine="480" w:firstLineChars="200"/>
        <w:rPr>
          <w:rFonts w:ascii="宋体" w:hAnsi="宋体"/>
          <w:sz w:val="24"/>
          <w:szCs w:val="24"/>
        </w:rPr>
      </w:pPr>
      <w:r>
        <w:rPr>
          <w:rFonts w:hint="eastAsia" w:ascii="宋体" w:hAnsi="宋体"/>
          <w:sz w:val="24"/>
          <w:szCs w:val="24"/>
        </w:rPr>
        <w:t>存续期间：持续经营</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（二）基金托管人</w:t>
      </w:r>
    </w:p>
    <w:p>
      <w:pPr>
        <w:spacing w:line="360" w:lineRule="auto"/>
        <w:ind w:firstLine="480" w:firstLineChars="200"/>
        <w:rPr>
          <w:rFonts w:ascii="宋体" w:hAnsi="宋体"/>
          <w:sz w:val="24"/>
          <w:szCs w:val="24"/>
        </w:rPr>
      </w:pPr>
      <w:r>
        <w:rPr>
          <w:rFonts w:hint="eastAsia" w:ascii="宋体" w:hAnsi="宋体"/>
          <w:sz w:val="24"/>
          <w:szCs w:val="24"/>
        </w:rPr>
        <w:t>名称：中国光大银行股份有限公司</w:t>
      </w:r>
    </w:p>
    <w:p>
      <w:pPr>
        <w:spacing w:line="360" w:lineRule="auto"/>
        <w:ind w:firstLine="480" w:firstLineChars="200"/>
        <w:rPr>
          <w:rFonts w:ascii="宋体" w:hAnsi="宋体"/>
          <w:sz w:val="24"/>
          <w:szCs w:val="24"/>
        </w:rPr>
      </w:pPr>
      <w:r>
        <w:rPr>
          <w:rFonts w:hint="eastAsia" w:ascii="宋体" w:hAnsi="宋体"/>
          <w:sz w:val="24"/>
          <w:szCs w:val="24"/>
        </w:rPr>
        <w:t>住所：北京市西城区太平桥大街25号、甲25号中国光大中心</w:t>
      </w:r>
    </w:p>
    <w:p>
      <w:pPr>
        <w:spacing w:line="360" w:lineRule="auto"/>
        <w:ind w:firstLine="480" w:firstLineChars="200"/>
        <w:rPr>
          <w:rFonts w:ascii="宋体" w:hAnsi="宋体"/>
          <w:sz w:val="24"/>
          <w:szCs w:val="24"/>
        </w:rPr>
      </w:pPr>
      <w:r>
        <w:rPr>
          <w:rFonts w:hint="eastAsia" w:ascii="宋体" w:hAnsi="宋体"/>
          <w:sz w:val="24"/>
          <w:szCs w:val="24"/>
        </w:rPr>
        <w:t>邮政编码：100033</w:t>
      </w:r>
    </w:p>
    <w:p>
      <w:pPr>
        <w:spacing w:line="360" w:lineRule="auto"/>
        <w:ind w:firstLine="480" w:firstLineChars="200"/>
        <w:rPr>
          <w:rFonts w:ascii="宋体" w:hAnsi="宋体"/>
          <w:sz w:val="24"/>
          <w:szCs w:val="24"/>
        </w:rPr>
      </w:pPr>
      <w:r>
        <w:rPr>
          <w:rFonts w:hint="eastAsia" w:ascii="宋体" w:hAnsi="宋体"/>
          <w:sz w:val="24"/>
          <w:szCs w:val="24"/>
        </w:rPr>
        <w:t>法定代表人：李晓鹏</w:t>
      </w:r>
    </w:p>
    <w:p>
      <w:pPr>
        <w:spacing w:line="360" w:lineRule="auto"/>
        <w:ind w:firstLine="480" w:firstLineChars="200"/>
        <w:rPr>
          <w:rFonts w:ascii="宋体" w:hAnsi="宋体"/>
          <w:sz w:val="24"/>
          <w:szCs w:val="24"/>
        </w:rPr>
      </w:pPr>
      <w:r>
        <w:rPr>
          <w:rFonts w:hint="eastAsia" w:ascii="宋体" w:hAnsi="宋体"/>
          <w:sz w:val="24"/>
          <w:szCs w:val="24"/>
        </w:rPr>
        <w:t>成立日期：1992年6月18日</w:t>
      </w:r>
    </w:p>
    <w:p>
      <w:pPr>
        <w:spacing w:line="360" w:lineRule="auto"/>
        <w:ind w:firstLine="480" w:firstLineChars="200"/>
        <w:rPr>
          <w:rFonts w:ascii="宋体" w:hAnsi="宋体"/>
          <w:sz w:val="24"/>
          <w:szCs w:val="24"/>
        </w:rPr>
      </w:pPr>
      <w:r>
        <w:rPr>
          <w:rFonts w:hint="eastAsia" w:ascii="宋体" w:hAnsi="宋体"/>
          <w:sz w:val="24"/>
          <w:szCs w:val="24"/>
        </w:rPr>
        <w:t>批准设立机关和批准设立文号：国务院、国函[1992]7号</w:t>
      </w:r>
    </w:p>
    <w:p>
      <w:pPr>
        <w:spacing w:line="360" w:lineRule="auto"/>
        <w:ind w:firstLine="480" w:firstLineChars="200"/>
        <w:rPr>
          <w:rFonts w:ascii="宋体" w:hAnsi="宋体"/>
          <w:sz w:val="24"/>
          <w:szCs w:val="24"/>
        </w:rPr>
      </w:pPr>
      <w:r>
        <w:rPr>
          <w:rFonts w:hint="eastAsia" w:ascii="宋体" w:hAnsi="宋体"/>
          <w:sz w:val="24"/>
          <w:szCs w:val="24"/>
        </w:rPr>
        <w:t>组织形式：股份有限公司</w:t>
      </w:r>
    </w:p>
    <w:p>
      <w:pPr>
        <w:spacing w:line="360" w:lineRule="auto"/>
        <w:ind w:firstLine="480" w:firstLineChars="200"/>
        <w:rPr>
          <w:rFonts w:ascii="宋体" w:hAnsi="宋体"/>
          <w:sz w:val="24"/>
          <w:szCs w:val="24"/>
        </w:rPr>
      </w:pPr>
      <w:r>
        <w:rPr>
          <w:rFonts w:hint="eastAsia" w:ascii="宋体" w:hAnsi="宋体"/>
          <w:sz w:val="24"/>
          <w:szCs w:val="24"/>
        </w:rPr>
        <w:t>注册资本：466.79095亿元人民币</w:t>
      </w:r>
    </w:p>
    <w:p>
      <w:pPr>
        <w:spacing w:line="360" w:lineRule="auto"/>
        <w:ind w:firstLine="480" w:firstLineChars="200"/>
        <w:rPr>
          <w:rFonts w:ascii="宋体" w:hAnsi="宋体"/>
          <w:sz w:val="24"/>
          <w:szCs w:val="24"/>
        </w:rPr>
      </w:pPr>
      <w:r>
        <w:rPr>
          <w:rFonts w:hint="eastAsia" w:ascii="宋体" w:hAnsi="宋体"/>
          <w:sz w:val="24"/>
          <w:szCs w:val="24"/>
        </w:rPr>
        <w:t>存续期间：持续经营</w:t>
      </w:r>
    </w:p>
    <w:p>
      <w:pPr>
        <w:spacing w:line="360" w:lineRule="auto"/>
        <w:ind w:firstLine="480" w:firstLineChars="200"/>
        <w:rPr>
          <w:rFonts w:ascii="宋体" w:hAnsi="宋体"/>
          <w:sz w:val="24"/>
          <w:szCs w:val="24"/>
        </w:rPr>
      </w:pPr>
      <w:r>
        <w:rPr>
          <w:rFonts w:hint="eastAsia" w:ascii="宋体" w:hAnsi="宋体"/>
          <w:color w:val="000000"/>
          <w:sz w:val="24"/>
        </w:rPr>
        <w:t>基金托管资格批文及文号：中国证监会证监基金字[2002]75号</w:t>
      </w:r>
    </w:p>
    <w:p>
      <w:pPr>
        <w:spacing w:line="360" w:lineRule="auto"/>
        <w:ind w:firstLine="480" w:firstLineChars="200"/>
        <w:jc w:val="center"/>
        <w:rPr>
          <w:rFonts w:ascii="宋体" w:hAnsi="宋体" w:cs="宋体"/>
          <w:bCs/>
          <w:color w:val="000000"/>
          <w:sz w:val="30"/>
          <w:szCs w:val="30"/>
        </w:rPr>
      </w:pPr>
      <w:r>
        <w:rPr>
          <w:rFonts w:hint="eastAsia" w:ascii="仿宋" w:hAnsi="仿宋" w:eastAsia="仿宋"/>
          <w:color w:val="000000"/>
          <w:sz w:val="24"/>
          <w:szCs w:val="24"/>
        </w:rPr>
        <w:br w:type="page"/>
      </w:r>
      <w:bookmarkStart w:id="5" w:name="_Toc264617142"/>
      <w:r>
        <w:rPr>
          <w:rFonts w:hint="eastAsia" w:ascii="宋体" w:hAnsi="宋体" w:cs="宋体"/>
          <w:b/>
          <w:bCs/>
          <w:sz w:val="30"/>
          <w:szCs w:val="30"/>
        </w:rPr>
        <w:t>二、基金托管协议的依据、目的、原则和解释</w:t>
      </w:r>
      <w:bookmarkEnd w:id="5"/>
    </w:p>
    <w:p>
      <w:pPr>
        <w:spacing w:line="360" w:lineRule="auto"/>
        <w:ind w:firstLine="480" w:firstLineChars="200"/>
        <w:rPr>
          <w:rFonts w:ascii="仿宋" w:hAnsi="仿宋" w:eastAsia="仿宋"/>
          <w:color w:val="000000"/>
          <w:sz w:val="24"/>
          <w:szCs w:val="24"/>
        </w:rPr>
      </w:pP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（一）订立托管协议的依据</w:t>
      </w:r>
    </w:p>
    <w:p>
      <w:pPr>
        <w:spacing w:line="360" w:lineRule="auto"/>
        <w:ind w:firstLine="480" w:firstLineChars="200"/>
        <w:rPr>
          <w:rFonts w:ascii="宋体" w:hAnsi="宋体" w:cs="宋体"/>
          <w:color w:val="000000"/>
          <w:sz w:val="24"/>
          <w:szCs w:val="24"/>
          <w:shd w:val="pct10" w:color="auto" w:fill="FFFFFF"/>
        </w:rPr>
      </w:pPr>
      <w:r>
        <w:rPr>
          <w:rFonts w:hint="eastAsia" w:ascii="宋体" w:hAnsi="宋体" w:cs="宋体"/>
          <w:color w:val="000000"/>
          <w:sz w:val="24"/>
          <w:szCs w:val="24"/>
        </w:rPr>
        <w:t>本协议依据《中华人民共和国证券投资基金法》(以下简称“《基金法》”) 《公开募集证券投资基金运作管理办法》（以下称“《运作办法》”）、《公开募集证券投资基金销售机构监督管理办法》、《公开募集证券投资基金信息披露管理办法》（以下称“《信息披露办法》”）、《公开募集证券投资基金运作指引第2号——基金中基金指引》、《公开募集开放式证券投资基金流动性风险管理规定》（以下称“《流动性风险管理规定》”）等有关法律法规、《交银施罗德智选星光混合型基金中基金（FOF-LOF）基金合同》（ 以下称“基金合同”）及其他有关规定制订。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（二）订立托管协议的目的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（三）订立托管协议的原则</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基金管理人和基金托管人本着平等自愿、诚实信用、充分保护基金份额持有人合法权益的原则，经协商一致，签订本协议。</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（四）解释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除非文义另有所指，本托管协议的所有术语与基金合同的相应术语具有相同含义；若有抵触应以基金合同为准，并依其条款解释。</w:t>
      </w:r>
    </w:p>
    <w:p>
      <w:pPr>
        <w:spacing w:line="360" w:lineRule="auto"/>
        <w:ind w:firstLine="480" w:firstLineChars="200"/>
        <w:rPr>
          <w:rFonts w:ascii="仿宋" w:hAnsi="仿宋" w:eastAsia="仿宋"/>
          <w:color w:val="000000"/>
          <w:sz w:val="24"/>
          <w:szCs w:val="24"/>
        </w:rPr>
      </w:pPr>
    </w:p>
    <w:p>
      <w:pPr>
        <w:pStyle w:val="3"/>
        <w:spacing w:line="360" w:lineRule="auto"/>
        <w:jc w:val="center"/>
        <w:rPr>
          <w:rFonts w:ascii="宋体" w:hAnsi="宋体"/>
          <w:color w:val="000000"/>
        </w:rPr>
      </w:pPr>
      <w:r>
        <w:rPr>
          <w:rFonts w:hint="eastAsia" w:ascii="仿宋" w:hAnsi="仿宋" w:eastAsia="仿宋"/>
          <w:b w:val="0"/>
          <w:bCs w:val="0"/>
          <w:color w:val="000000"/>
        </w:rPr>
        <w:br w:type="page"/>
      </w:r>
      <w:bookmarkStart w:id="6" w:name="_Toc264617143"/>
      <w:r>
        <w:rPr>
          <w:rFonts w:hint="eastAsia" w:ascii="宋体" w:hAnsi="宋体"/>
          <w:sz w:val="30"/>
          <w:szCs w:val="30"/>
        </w:rPr>
        <w:t>三、基金托管人对基金管理人的业务监督和核查</w:t>
      </w:r>
      <w:bookmarkEnd w:id="6"/>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（一）基金托管人根据有关法律法规的规定及基金合同的约定，对基金投资范围、投资比例进行监督。</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基金的投资范围为具有良好流动性的金融工具，包括经中国证监会依法核准或注册的公开募集证券投资基金（含ETF和LOF、香港互认基金，不含QDII基金）、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管理人在首次投资港股通前，需通知托管人相关投资事宜。</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如法律法规或监管机构以后允许基金投资其他品种，基金管理人在履行适当程序后，可以将其纳入投资范围。</w:t>
      </w:r>
    </w:p>
    <w:p>
      <w:pPr>
        <w:spacing w:line="360" w:lineRule="auto"/>
        <w:ind w:firstLine="480"/>
        <w:rPr>
          <w:bCs/>
          <w:sz w:val="24"/>
        </w:rPr>
      </w:pPr>
      <w:r>
        <w:rPr>
          <w:rFonts w:hint="eastAsia"/>
          <w:bCs/>
          <w:sz w:val="24"/>
        </w:rPr>
        <w:t>本基金投资于经中国证监会依法核准或注册的公开募集证券投资基金的基金份额的资产不低于本基金资产的</w:t>
      </w:r>
      <w:r>
        <w:rPr>
          <w:rFonts w:hint="eastAsia" w:ascii="宋体" w:hAnsi="宋体" w:cs="宋体"/>
          <w:bCs/>
          <w:sz w:val="24"/>
        </w:rPr>
        <w:t>80%；本基金封闭期结束转为开放式运作后，投资于股票（含存托凭证）、股票型基金（包括股票指数基金）和混合型基金的资产合计占基金资产的比例为60%-95%（其中投资于港股通标的股票的比例占股票资产的0%-50%）；封闭期内，投资于股票（含存托凭证）、股票型基金（包括股票指数基金）和混合型基金的资产合计占基金资产的比例为60%-100%（其中投资于港股通标的股票的比例占股票资产的0%-50%）；本</w:t>
      </w:r>
      <w:r>
        <w:rPr>
          <w:rFonts w:hint="eastAsia"/>
          <w:bCs/>
          <w:sz w:val="24"/>
        </w:rPr>
        <w:t>基金封闭期结束转为开放式运作的前后各一个月内，基金投资不受前述下限比例限制。</w:t>
      </w:r>
    </w:p>
    <w:p>
      <w:pPr>
        <w:spacing w:line="360" w:lineRule="auto"/>
        <w:ind w:firstLine="480" w:firstLineChars="200"/>
        <w:rPr>
          <w:rFonts w:ascii="宋体" w:hAnsi="宋体" w:cs="宋体"/>
          <w:color w:val="000000"/>
          <w:sz w:val="24"/>
          <w:szCs w:val="24"/>
        </w:rPr>
      </w:pPr>
      <w:r>
        <w:rPr>
          <w:rFonts w:hint="eastAsia"/>
          <w:bCs/>
          <w:sz w:val="24"/>
        </w:rPr>
        <w:t>本基金</w:t>
      </w:r>
      <w:r>
        <w:rPr>
          <w:rFonts w:hint="eastAsia" w:ascii="宋体" w:hAnsi="宋体"/>
          <w:sz w:val="24"/>
        </w:rPr>
        <w:t>封闭期结束转为开放式运作后</w:t>
      </w:r>
      <w:r>
        <w:rPr>
          <w:rFonts w:hint="eastAsia"/>
          <w:bCs/>
          <w:sz w:val="24"/>
        </w:rPr>
        <w:t>，本基金</w:t>
      </w:r>
      <w:r>
        <w:rPr>
          <w:bCs/>
          <w:sz w:val="24"/>
        </w:rPr>
        <w:t>持有</w:t>
      </w:r>
      <w:r>
        <w:rPr>
          <w:rFonts w:hint="eastAsia"/>
          <w:bCs/>
          <w:sz w:val="24"/>
        </w:rPr>
        <w:t>的现金或者到期日在一年以内的政府债券的比例合计不低于基金资</w:t>
      </w:r>
      <w:r>
        <w:rPr>
          <w:rFonts w:hint="eastAsia" w:ascii="宋体" w:hAnsi="宋体" w:cs="宋体"/>
          <w:bCs/>
          <w:sz w:val="24"/>
        </w:rPr>
        <w:t>产净值的5%；</w:t>
      </w:r>
      <w:r>
        <w:rPr>
          <w:rFonts w:hint="eastAsia"/>
          <w:bCs/>
          <w:sz w:val="24"/>
        </w:rPr>
        <w:t>在封闭期内，本基金不受前</w:t>
      </w:r>
      <w:r>
        <w:rPr>
          <w:rFonts w:hint="eastAsia" w:ascii="宋体" w:hAnsi="宋体" w:cs="宋体"/>
          <w:bCs/>
          <w:sz w:val="24"/>
        </w:rPr>
        <w:t>述5%的限制</w:t>
      </w:r>
      <w:r>
        <w:rPr>
          <w:rFonts w:hint="eastAsia"/>
          <w:bCs/>
          <w:sz w:val="24"/>
        </w:rPr>
        <w:t>；其中现金不包括结算备付金、存出保证金、应收申购款等。</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如果法律法规或中国证监会变更投资品种的投资比例限制，基金管理人在履行适当程序后，可以调整上述投资品种的投资比例。</w:t>
      </w:r>
    </w:p>
    <w:p>
      <w:pPr>
        <w:spacing w:line="360" w:lineRule="auto"/>
        <w:ind w:firstLine="480" w:firstLineChars="200"/>
        <w:rPr>
          <w:rFonts w:ascii="宋体" w:hAnsi="宋体" w:cs="宋体"/>
          <w:bCs/>
          <w:sz w:val="24"/>
        </w:rPr>
      </w:pPr>
      <w:r>
        <w:rPr>
          <w:rFonts w:hint="eastAsia" w:ascii="宋体" w:hAnsi="宋体" w:cs="宋体"/>
          <w:bCs/>
          <w:sz w:val="24"/>
        </w:rPr>
        <w:t>（二）基金托管人根据有关法律法规的规定及基金合同的约定，对基金投资比例进行监督。基金托管人按下述比例和调整期限进行监督：</w:t>
      </w:r>
    </w:p>
    <w:p>
      <w:pPr>
        <w:spacing w:line="360" w:lineRule="auto"/>
        <w:ind w:firstLine="480" w:firstLineChars="200"/>
        <w:rPr>
          <w:rFonts w:ascii="宋体" w:hAnsi="宋体" w:cs="宋体"/>
          <w:bCs/>
          <w:sz w:val="24"/>
        </w:rPr>
      </w:pPr>
      <w:r>
        <w:rPr>
          <w:rFonts w:hint="eastAsia" w:ascii="宋体" w:hAnsi="宋体" w:cs="宋体"/>
          <w:bCs/>
          <w:sz w:val="24"/>
        </w:rPr>
        <w:t>1、本基金投资于经中国证监会依法核准或注册的公开募集证券投资基金的基金份额的资产不低于本基金资产的80%；本基金封闭期结束转为开放式运作后，投资于股票（含存托凭证）、股票型基金（包括股票指数基金）和混合型基金的资产合计占基金资产的比例为60%-95%（其中投资于港股通标的股票的比例占股票资产的0%-50%）；封闭期内，投资于股票（含存托凭证）、股票型基金（包括股票指数基金）和混合型基金的资产合计占基金资产的比例为60%-100%（其中投资于港股通标的股票的比例占股票资产的0%-50%）；本基金封闭期结束转为开放式运作的前后各一个月内，基金投资不受前述下限比例限制；</w:t>
      </w:r>
    </w:p>
    <w:p>
      <w:pPr>
        <w:spacing w:line="360" w:lineRule="auto"/>
        <w:ind w:firstLine="480" w:firstLineChars="200"/>
        <w:rPr>
          <w:rFonts w:ascii="宋体" w:hAnsi="宋体" w:cs="宋体"/>
          <w:bCs/>
          <w:sz w:val="24"/>
        </w:rPr>
      </w:pPr>
      <w:r>
        <w:rPr>
          <w:rFonts w:hint="eastAsia" w:ascii="宋体" w:hAnsi="宋体" w:cs="宋体"/>
          <w:bCs/>
          <w:sz w:val="24"/>
        </w:rPr>
        <w:t>2、本基金封闭期结束转为开放式运作后，本基金持有的现金或者到期日在一年以内的政府债券的比例合计不低于基金资产净值的5%；在封闭期内，本基金不受前述5%的限制；其中现金不包括结算备付金、存出保证金、应收申购款等；</w:t>
      </w:r>
    </w:p>
    <w:p>
      <w:pPr>
        <w:spacing w:line="360" w:lineRule="auto"/>
        <w:ind w:firstLine="480" w:firstLineChars="200"/>
        <w:rPr>
          <w:rFonts w:ascii="宋体" w:hAnsi="宋体" w:cs="宋体"/>
          <w:bCs/>
          <w:sz w:val="24"/>
        </w:rPr>
      </w:pPr>
      <w:r>
        <w:rPr>
          <w:rFonts w:hint="eastAsia" w:ascii="宋体" w:hAnsi="宋体" w:cs="宋体"/>
          <w:bCs/>
          <w:sz w:val="24"/>
        </w:rPr>
        <w:t>3、本基金持有单只基金的市值，不得高于本基金资产净值的20%，且不得持有其他基金中基金；</w:t>
      </w:r>
    </w:p>
    <w:p>
      <w:pPr>
        <w:spacing w:line="360" w:lineRule="auto"/>
        <w:ind w:firstLine="480" w:firstLineChars="200"/>
        <w:rPr>
          <w:rFonts w:ascii="宋体" w:hAnsi="宋体" w:cs="宋体"/>
          <w:bCs/>
          <w:sz w:val="24"/>
        </w:rPr>
      </w:pPr>
      <w:r>
        <w:rPr>
          <w:rFonts w:hint="eastAsia" w:ascii="宋体" w:hAnsi="宋体" w:cs="宋体"/>
          <w:bCs/>
          <w:sz w:val="24"/>
        </w:rPr>
        <w:t>4、本基金管理人管理的全部基金（除ETF联接基金外）持有单只基金不得超过被投资基金净资产的20%，被投资基金净资产规模以最近定期报告披露的规模为准；</w:t>
      </w:r>
    </w:p>
    <w:p>
      <w:pPr>
        <w:spacing w:line="360" w:lineRule="auto"/>
        <w:ind w:firstLine="480" w:firstLineChars="200"/>
        <w:rPr>
          <w:rFonts w:ascii="宋体" w:hAnsi="宋体" w:cs="宋体"/>
          <w:bCs/>
          <w:sz w:val="24"/>
        </w:rPr>
      </w:pPr>
      <w:r>
        <w:rPr>
          <w:rFonts w:hint="eastAsia" w:ascii="宋体" w:hAnsi="宋体" w:cs="宋体"/>
          <w:bCs/>
          <w:sz w:val="24"/>
        </w:rPr>
        <w:t>5、本基金不得持有具有复杂、衍生品性质的基金份额，包括分级基金和中国证监会认定的其他基金份额；</w:t>
      </w:r>
    </w:p>
    <w:p>
      <w:pPr>
        <w:spacing w:line="360" w:lineRule="auto"/>
        <w:ind w:firstLine="480" w:firstLineChars="200"/>
        <w:rPr>
          <w:rFonts w:ascii="宋体" w:hAnsi="宋体" w:cs="宋体"/>
          <w:bCs/>
          <w:sz w:val="24"/>
        </w:rPr>
      </w:pPr>
      <w:r>
        <w:rPr>
          <w:rFonts w:hint="eastAsia" w:ascii="宋体" w:hAnsi="宋体" w:cs="宋体"/>
          <w:bCs/>
          <w:sz w:val="24"/>
        </w:rPr>
        <w:t>6、本基金投资其他基金时，被投资基金的运作期限不少于1年、最近定期报告披露的基金净资产应当不低于1亿元；</w:t>
      </w:r>
    </w:p>
    <w:p>
      <w:pPr>
        <w:spacing w:line="360" w:lineRule="auto"/>
        <w:ind w:firstLine="480" w:firstLineChars="200"/>
        <w:rPr>
          <w:rFonts w:ascii="宋体" w:hAnsi="宋体" w:cs="宋体"/>
          <w:bCs/>
          <w:sz w:val="24"/>
        </w:rPr>
      </w:pPr>
      <w:r>
        <w:rPr>
          <w:rFonts w:hint="eastAsia" w:ascii="宋体" w:hAnsi="宋体" w:cs="宋体"/>
          <w:bCs/>
          <w:sz w:val="24"/>
        </w:rPr>
        <w:t>7、本基金封闭期结束转为开放式运作后，投资于封闭运作基金、定期开放基金等流通受限基金的，其公允价值不得超过本基金资产净值的10%；</w:t>
      </w:r>
    </w:p>
    <w:p>
      <w:pPr>
        <w:spacing w:line="360" w:lineRule="auto"/>
        <w:ind w:firstLine="480" w:firstLineChars="200"/>
        <w:rPr>
          <w:rFonts w:ascii="宋体" w:hAnsi="宋体" w:cs="宋体"/>
          <w:bCs/>
          <w:sz w:val="24"/>
        </w:rPr>
      </w:pPr>
      <w:r>
        <w:rPr>
          <w:rFonts w:hint="eastAsia" w:ascii="宋体" w:hAnsi="宋体" w:cs="宋体"/>
          <w:bCs/>
          <w:sz w:val="24"/>
        </w:rPr>
        <w:t>8、基金管理人运用本基金财产投资于股票、债券等金融工具的，投资品种和比例应当符合本基金的投资目标和投资策略；</w:t>
      </w:r>
    </w:p>
    <w:p>
      <w:pPr>
        <w:spacing w:line="360" w:lineRule="auto"/>
        <w:ind w:firstLine="480" w:firstLineChars="200"/>
        <w:rPr>
          <w:rFonts w:ascii="宋体" w:hAnsi="宋体" w:cs="宋体"/>
          <w:bCs/>
          <w:sz w:val="24"/>
        </w:rPr>
      </w:pPr>
      <w:r>
        <w:rPr>
          <w:rFonts w:hint="eastAsia" w:ascii="宋体" w:hAnsi="宋体" w:cs="宋体"/>
          <w:bCs/>
          <w:sz w:val="24"/>
        </w:rPr>
        <w:t>9、本基金持有一家公司发行的证券（同一家公司在内地和香港同时上市的A+H股合并计算，不含本基金所投资的基金份额），其市值不超过基金资产净值的10%；</w:t>
      </w:r>
    </w:p>
    <w:p>
      <w:pPr>
        <w:spacing w:line="360" w:lineRule="auto"/>
        <w:ind w:firstLine="480" w:firstLineChars="200"/>
        <w:rPr>
          <w:rFonts w:ascii="宋体" w:hAnsi="宋体" w:cs="宋体"/>
          <w:bCs/>
          <w:sz w:val="24"/>
        </w:rPr>
      </w:pPr>
      <w:r>
        <w:rPr>
          <w:rFonts w:hint="eastAsia" w:ascii="宋体" w:hAnsi="宋体" w:cs="宋体"/>
          <w:bCs/>
          <w:sz w:val="24"/>
        </w:rPr>
        <w:t>10、本基金管理人管理的全部基金持有一家公司发行的证券（同一家公司在内地和香港同时上市的A+H股合并计算，不含本基金所投资的基金份额），不超过该证券的10%，完全按照有关指数的构成比例进行证券投资的基金品种可以不受此条款规定的比例限制；</w:t>
      </w:r>
    </w:p>
    <w:p>
      <w:pPr>
        <w:spacing w:line="360" w:lineRule="auto"/>
        <w:ind w:firstLine="480" w:firstLineChars="200"/>
        <w:rPr>
          <w:rFonts w:ascii="宋体" w:hAnsi="宋体" w:cs="宋体"/>
          <w:bCs/>
          <w:sz w:val="24"/>
        </w:rPr>
      </w:pPr>
      <w:r>
        <w:rPr>
          <w:rFonts w:hint="eastAsia" w:ascii="宋体" w:hAnsi="宋体" w:cs="宋体"/>
          <w:bCs/>
          <w:sz w:val="24"/>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rFonts w:ascii="宋体" w:hAnsi="宋体" w:cs="宋体"/>
          <w:bCs/>
          <w:sz w:val="24"/>
        </w:rPr>
      </w:pPr>
      <w:r>
        <w:rPr>
          <w:rFonts w:hint="eastAsia" w:ascii="宋体" w:hAnsi="宋体" w:cs="宋体"/>
          <w:bCs/>
          <w:sz w:val="24"/>
        </w:rPr>
        <w:t>12、本基金封闭期结束转为开放式运作后，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rFonts w:ascii="宋体" w:hAnsi="宋体" w:cs="宋体"/>
          <w:bCs/>
          <w:sz w:val="24"/>
        </w:rPr>
      </w:pPr>
      <w:r>
        <w:rPr>
          <w:rFonts w:hint="eastAsia" w:ascii="宋体" w:hAnsi="宋体" w:cs="宋体"/>
          <w:bCs/>
          <w:sz w:val="24"/>
        </w:rPr>
        <w:t>13、本基金与私募类证券资管产品及中国证监会认定的其他主体为交易对手开展逆回购交易的，可接受质押品的资质要求应当与基金合同约定的投资范围保持一致；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rFonts w:ascii="宋体" w:hAnsi="宋体" w:cs="宋体"/>
          <w:bCs/>
          <w:sz w:val="24"/>
        </w:rPr>
      </w:pPr>
      <w:r>
        <w:rPr>
          <w:rFonts w:hint="eastAsia" w:ascii="宋体" w:hAnsi="宋体" w:cs="宋体"/>
          <w:bCs/>
          <w:sz w:val="24"/>
        </w:rPr>
        <w:t>14、本基金投资于同一原始权益人的各类资产支持证券的比例，不得超过基金资产净值的10%；</w:t>
      </w:r>
    </w:p>
    <w:p>
      <w:pPr>
        <w:spacing w:line="360" w:lineRule="auto"/>
        <w:ind w:firstLine="480" w:firstLineChars="200"/>
        <w:rPr>
          <w:rFonts w:ascii="宋体" w:hAnsi="宋体" w:cs="宋体"/>
          <w:bCs/>
          <w:sz w:val="24"/>
        </w:rPr>
      </w:pPr>
      <w:r>
        <w:rPr>
          <w:rFonts w:hint="eastAsia" w:ascii="宋体" w:hAnsi="宋体" w:cs="宋体"/>
          <w:bCs/>
          <w:sz w:val="24"/>
        </w:rPr>
        <w:t>15、本基金持有的全部资产支持证券，其市值不得超过基金资产净值的20%；</w:t>
      </w:r>
    </w:p>
    <w:p>
      <w:pPr>
        <w:spacing w:line="360" w:lineRule="auto"/>
        <w:ind w:firstLine="480" w:firstLineChars="200"/>
        <w:rPr>
          <w:rFonts w:ascii="宋体" w:hAnsi="宋体" w:cs="宋体"/>
          <w:bCs/>
          <w:sz w:val="24"/>
        </w:rPr>
      </w:pPr>
      <w:r>
        <w:rPr>
          <w:rFonts w:hint="eastAsia" w:ascii="宋体" w:hAnsi="宋体" w:cs="宋体"/>
          <w:bCs/>
          <w:sz w:val="24"/>
        </w:rPr>
        <w:t>16、本基金持有的同一（指同一信用级别）资产支持证券的比例，不得超过该资产支持证券规模的10%；</w:t>
      </w:r>
    </w:p>
    <w:p>
      <w:pPr>
        <w:spacing w:line="360" w:lineRule="auto"/>
        <w:ind w:firstLine="480" w:firstLineChars="200"/>
        <w:rPr>
          <w:rFonts w:ascii="宋体" w:hAnsi="宋体" w:cs="宋体"/>
          <w:bCs/>
          <w:sz w:val="24"/>
        </w:rPr>
      </w:pPr>
      <w:r>
        <w:rPr>
          <w:rFonts w:hint="eastAsia" w:ascii="宋体" w:hAnsi="宋体" w:cs="宋体"/>
          <w:bCs/>
          <w:sz w:val="24"/>
        </w:rPr>
        <w:t>17、本基金管理人管理的全部基金投资于同一原始权益人的各类资产支持证券，不得超过其各类资产支持证券合计规模的10%；</w:t>
      </w:r>
    </w:p>
    <w:p>
      <w:pPr>
        <w:spacing w:line="360" w:lineRule="auto"/>
        <w:ind w:firstLine="480" w:firstLineChars="200"/>
        <w:rPr>
          <w:rFonts w:ascii="宋体" w:hAnsi="宋体" w:cs="宋体"/>
          <w:bCs/>
          <w:sz w:val="24"/>
        </w:rPr>
      </w:pPr>
      <w:r>
        <w:rPr>
          <w:rFonts w:hint="eastAsia" w:ascii="宋体" w:hAnsi="宋体" w:cs="宋体"/>
          <w:bCs/>
          <w:sz w:val="24"/>
        </w:rPr>
        <w:t>18、本基金应投资于信用级别评级为BBB以上（含BBB）的资产支持证券。基金持有资产支持证券期间，如果其信用等级下降、不再符合投资标准，应在评级报告发布之日起3个月内予以全部卖出；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rFonts w:ascii="宋体" w:hAnsi="宋体" w:cs="宋体"/>
          <w:bCs/>
          <w:sz w:val="24"/>
        </w:rPr>
      </w:pPr>
      <w:r>
        <w:rPr>
          <w:rFonts w:hint="eastAsia" w:ascii="宋体" w:hAnsi="宋体" w:cs="宋体"/>
          <w:bCs/>
          <w:sz w:val="24"/>
        </w:rPr>
        <w:t>19、基金财产参与股票发行申购，本基金所申报的金额不超过本基金的总资产，本基金所申报的股票数量不超过拟发行股票公司本次发行股票的总量；</w:t>
      </w:r>
    </w:p>
    <w:p>
      <w:pPr>
        <w:spacing w:line="360" w:lineRule="auto"/>
        <w:ind w:firstLine="480" w:firstLineChars="200"/>
        <w:rPr>
          <w:rFonts w:ascii="宋体" w:hAnsi="宋体" w:cs="宋体"/>
          <w:bCs/>
          <w:sz w:val="24"/>
        </w:rPr>
      </w:pPr>
      <w:r>
        <w:rPr>
          <w:rFonts w:hint="eastAsia" w:ascii="宋体" w:hAnsi="宋体" w:cs="宋体"/>
          <w:bCs/>
          <w:sz w:val="24"/>
        </w:rPr>
        <w:t>20、封闭期内，本基金债券正回购资金余额或逆回购资金余额不得超过其上一日基金资产净值的100%；本基金封闭期结束转为开放式运作后，本基金债券正回购资金余额或逆回购资金余额不得超过其上一日基金资产净值的 40%。本基金进入全国银行间同业市场进行债券回购的最长期限为1年，债券回购到期后不得展期；</w:t>
      </w:r>
    </w:p>
    <w:p>
      <w:pPr>
        <w:spacing w:line="360" w:lineRule="auto"/>
        <w:ind w:firstLine="480" w:firstLineChars="200"/>
        <w:rPr>
          <w:rFonts w:ascii="宋体" w:hAnsi="宋体" w:cs="宋体"/>
          <w:bCs/>
          <w:sz w:val="24"/>
        </w:rPr>
      </w:pPr>
      <w:r>
        <w:rPr>
          <w:rFonts w:hint="eastAsia" w:ascii="宋体" w:hAnsi="宋体" w:cs="宋体"/>
          <w:bCs/>
          <w:sz w:val="24"/>
        </w:rPr>
        <w:t>21、封闭期内，本基金资产总值不得超过基金资产净值的200%；本基金封闭期结束转为开放式运作后，基金资产总值不得超过基金资产净值的140%；</w:t>
      </w:r>
    </w:p>
    <w:p>
      <w:pPr>
        <w:spacing w:line="360" w:lineRule="auto"/>
        <w:ind w:firstLine="480" w:firstLineChars="200"/>
        <w:rPr>
          <w:rFonts w:ascii="宋体" w:hAnsi="宋体" w:cs="宋体"/>
          <w:bCs/>
          <w:sz w:val="24"/>
        </w:rPr>
      </w:pPr>
      <w:r>
        <w:rPr>
          <w:rFonts w:hint="eastAsia" w:ascii="宋体" w:hAnsi="宋体" w:cs="宋体"/>
          <w:bCs/>
          <w:sz w:val="24"/>
        </w:rPr>
        <w:t>22、本基金投资存托凭证的比例限制依照境内上市交易的股票执行；</w:t>
      </w:r>
    </w:p>
    <w:p>
      <w:pPr>
        <w:spacing w:line="360" w:lineRule="auto"/>
        <w:ind w:firstLine="480" w:firstLineChars="200"/>
        <w:rPr>
          <w:rFonts w:ascii="宋体" w:hAnsi="宋体" w:cs="宋体"/>
          <w:bCs/>
          <w:sz w:val="24"/>
        </w:rPr>
      </w:pPr>
      <w:r>
        <w:rPr>
          <w:rFonts w:hint="eastAsia" w:ascii="宋体" w:hAnsi="宋体" w:cs="宋体"/>
          <w:bCs/>
          <w:sz w:val="24"/>
        </w:rPr>
        <w:t>23、本基金投资于货币市场基金的比例不得超过基金资产的15%；</w:t>
      </w:r>
    </w:p>
    <w:p>
      <w:pPr>
        <w:spacing w:line="360" w:lineRule="auto"/>
        <w:ind w:firstLine="480" w:firstLineChars="200"/>
        <w:rPr>
          <w:rFonts w:ascii="宋体" w:hAnsi="宋体" w:cs="宋体"/>
          <w:bCs/>
          <w:sz w:val="24"/>
        </w:rPr>
      </w:pPr>
      <w:r>
        <w:rPr>
          <w:rFonts w:hint="eastAsia" w:ascii="宋体" w:hAnsi="宋体" w:cs="宋体"/>
          <w:bCs/>
          <w:sz w:val="24"/>
        </w:rPr>
        <w:t>24、法律法规及中国证监会规定的和《基金合同》约定的其他投资限制。</w:t>
      </w:r>
    </w:p>
    <w:p>
      <w:pPr>
        <w:spacing w:line="360" w:lineRule="auto"/>
        <w:ind w:firstLine="480" w:firstLineChars="200"/>
        <w:rPr>
          <w:rFonts w:ascii="宋体" w:hAnsi="宋体" w:cs="宋体"/>
          <w:bCs/>
          <w:sz w:val="24"/>
        </w:rPr>
      </w:pPr>
      <w:r>
        <w:rPr>
          <w:rFonts w:hint="eastAsia" w:ascii="宋体" w:hAnsi="宋体" w:cs="宋体"/>
          <w:bCs/>
          <w:sz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12项、第13项及第18项以外的其他情形，基金管理人应当在10个交易日内进行调整，但中国证监会规定的特殊情形除外。法律法规另有规定的，从其规定。</w:t>
      </w:r>
    </w:p>
    <w:p>
      <w:pPr>
        <w:spacing w:line="360" w:lineRule="auto"/>
        <w:ind w:firstLine="480" w:firstLineChars="200"/>
        <w:rPr>
          <w:rFonts w:ascii="宋体" w:hAnsi="宋体" w:cs="宋体"/>
          <w:bCs/>
          <w:sz w:val="24"/>
        </w:rPr>
      </w:pPr>
      <w:r>
        <w:rPr>
          <w:rFonts w:hint="eastAsia" w:ascii="宋体" w:hAnsi="宋体" w:cs="宋体"/>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line="360" w:lineRule="auto"/>
        <w:ind w:firstLine="480" w:firstLineChars="200"/>
        <w:rPr>
          <w:rFonts w:ascii="宋体" w:hAnsi="宋体" w:cs="宋体"/>
          <w:bCs/>
          <w:sz w:val="24"/>
        </w:rPr>
      </w:pPr>
      <w:r>
        <w:rPr>
          <w:rFonts w:hint="eastAsia" w:ascii="宋体" w:hAnsi="宋体" w:cs="宋体"/>
          <w:bCs/>
          <w:sz w:val="24"/>
        </w:rPr>
        <w:t>法律法规对上述投资组合比例限制进行变更的，以变更后的规定为准。法律法规或监管部门取消上述限制，如适用于本基金，基金管理人在履行适当程序后，则本基金投资不再受相关限制。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（三）基金托管人根据有关法律法规的规定及基金合同的约定，对本托管协议第十五条第（十二）款基金投资禁止行为进行监督。</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如法律、行政法规或监管部门取消上述规定，如适用于本基金，基金管理人在履行适当程序后，本基金可不受上述规定的限制。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（四）基金托管人根据有关法律法规的规定及基金合同的约定，对基金管理人参与银行间债券市场进行监督。</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负责对交易对手的资信控制，按银行间债券市场的交易规则进行交易，基金托管人则根据银行间债券市场成交单对合同履行情况进行监督，不承担交易对手不履行合同造成的损失。如基金托管人事后发现基金管理人没有按照事先约定的交易对手进行交易时，基金托管人应及时提醒基金管理人，基金托管人不承担由此造成的任何损失和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（五）基金托管人根据有关法律法规的规定及基金合同的约定，对基金投资流通受限证券进行监督。</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1．基金投资流通受限证券，应遵守《关于基金投资非公开发行股票等流通受限证券有关问题的通知》等有关法律法规规定。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上述规章制度须经基金管理人董事会批准。上述规章制度经董事会通过之后，基金管理人应至少于首次投资流通受限证券之前两个工作日将上述资料书面发至基金托管人，保证基金托管人有足够的时间进行审核。</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 基金投资流通受限证券，基金管理人应根据本协议的规定与基金托管银行签订风险控制补充协议。协议应包括基金托管人对于基金管理人是否遵守相关制度、流动性风险处置预案以及相关投资额度和比例的情况进行监督等内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基金管理人应在基金投资非公开发行股票后两个交易日内，在中国证监会规定媒介披露所投资非公开发行股票的名称、数量、总成本、账面价值，以及总成本和账面价值占基金资产净值的比例、锁定期等信息。</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7．基金托管人</w:t>
      </w:r>
      <w:r>
        <w:rPr>
          <w:rFonts w:hint="eastAsia" w:ascii="宋体" w:hAnsi="宋体"/>
          <w:sz w:val="24"/>
          <w:szCs w:val="24"/>
        </w:rPr>
        <w:t>在力所能及的范围内</w:t>
      </w:r>
      <w:r>
        <w:rPr>
          <w:rFonts w:hint="eastAsia" w:ascii="宋体" w:hAnsi="宋体" w:cs="宋体"/>
          <w:color w:val="000000"/>
          <w:sz w:val="24"/>
          <w:szCs w:val="24"/>
        </w:rPr>
        <w:t>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pPr>
        <w:spacing w:line="360" w:lineRule="auto"/>
        <w:ind w:firstLine="480" w:firstLineChars="200"/>
        <w:rPr>
          <w:rFonts w:ascii="宋体" w:hAnsi="宋体"/>
          <w:sz w:val="24"/>
          <w:szCs w:val="24"/>
        </w:rPr>
      </w:pPr>
      <w:r>
        <w:rPr>
          <w:rFonts w:hint="eastAsia" w:ascii="宋体" w:hAnsi="宋体" w:cs="宋体"/>
          <w:color w:val="000000"/>
          <w:sz w:val="24"/>
          <w:szCs w:val="24"/>
        </w:rPr>
        <w:t>（六）</w:t>
      </w:r>
      <w:r>
        <w:rPr>
          <w:rFonts w:hint="eastAsia" w:ascii="宋体" w:hAnsi="宋体"/>
          <w:sz w:val="24"/>
          <w:szCs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对于跨行存款，基金管理人需提前与基金托管人就定期存款协议及存单交接流程进行沟通。在取得存款证实书后，基金托管人保管证实书正本。基金托管人不对跨行存款的利率政策风险、存款行的选择及存款协议承担责任，基金管理人指定专人在核实存款行授权人员身份信息后，负责印鉴卡与存款证实书等凭证的监交或交接，以确保与基金托管人所交接凭证的真实性、准确性和完整性。基金托管人对投资后处于基金托管人实际控制之外的资产不承担保管责任。跨行定期存款账户的预留印鉴为基金托管人托管业务专用章与托管业务授权人名章。</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如果基金管理人未经基金托管人的审核擅自将不实的业绩表现数据印制在宣传推介材料上，则基金托管人对此不承担任何责任，并将在发现后立即报告中国证监会。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（八）基金托管人发现基金管理人的上述事项及投资指令或实际投资运作违反法律法规、基金合同和本托管协议的规定，应及时以电话提醒或书面提示等方式通知基金管理人限期纠正。</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（九）基金管理人有义务配合和协助基金托管人依照法律法规、基金合同和本托管协议对基金业务执行核查。</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（十）若基金托管人发现基金管理人依据交易程序已经生效的指令违反法律、行政法规和其他有关规定，或者违反基金合同约定的，应当立即通知基金管理人。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（十一）基金托管人发现基金管理人有重大违规行为，应及时报告中国证监会，同时通知基金管理人限期纠正，并将纠正结果报告中国证监会。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基金管理人无正当理由，拒绝、阻挠对方根据本托管协议规定行使监督权，或采取拖延、欺诈等手段妨碍对方进行有效监督，情节严重或经基金托管人提出警告仍不改正的，基金托管人应报告中国证监会。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（十二）侧袋机制的实施和投资运作安排</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侧袋机制实施期间，本部分约定的投资组合比例、组合限制等约定仅适用于主袋账户。</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侧袋账户的实施条件、实施程序、运作安排、投资安排、特定资产的处置变现和支付等对投资者权益有重大影响的事项详见招募说明书的规定。</w:t>
      </w:r>
    </w:p>
    <w:p>
      <w:pPr>
        <w:pStyle w:val="3"/>
        <w:spacing w:line="360" w:lineRule="auto"/>
        <w:jc w:val="center"/>
        <w:rPr>
          <w:rFonts w:ascii="宋体" w:hAnsi="宋体"/>
          <w:color w:val="000000"/>
          <w:sz w:val="30"/>
          <w:szCs w:val="30"/>
        </w:rPr>
      </w:pPr>
      <w:r>
        <w:rPr>
          <w:rFonts w:hint="eastAsia" w:ascii="仿宋" w:hAnsi="仿宋" w:eastAsia="仿宋"/>
          <w:b w:val="0"/>
          <w:bCs w:val="0"/>
          <w:color w:val="000000"/>
        </w:rPr>
        <w:br w:type="page"/>
      </w:r>
      <w:bookmarkStart w:id="7" w:name="_Toc264617144"/>
      <w:r>
        <w:rPr>
          <w:rFonts w:hint="eastAsia" w:ascii="宋体" w:hAnsi="宋体"/>
          <w:sz w:val="30"/>
          <w:szCs w:val="30"/>
        </w:rPr>
        <w:t>四、基金管理人对基金托管人的业务核查</w:t>
      </w:r>
      <w:bookmarkEnd w:id="7"/>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基金管理人对基金托管人履行托管职责情况进行核查，核查事项包括基金托管人安全保管基金财产、开设基金财产的资金账户、证券账户、证券投资基金账户以及投资所需的其他专用账户、复核基金管理人计算的各类基金份额的基金资产净值和基金份额净值、根据基金管理人指令办理清算交收、相关信息披露和监督基金投资运作等行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（三）基金管理人发现基金托管人有重大违规行为，应及时报告中国证监会，同时通知基金托管人限期纠正，并将纠正结果报告中国证监会。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pPr>
        <w:spacing w:line="360" w:lineRule="auto"/>
        <w:ind w:firstLine="480" w:firstLineChars="200"/>
        <w:rPr>
          <w:rFonts w:ascii="仿宋" w:hAnsi="仿宋" w:eastAsia="仿宋"/>
          <w:color w:val="000000"/>
          <w:sz w:val="24"/>
          <w:szCs w:val="24"/>
        </w:rPr>
      </w:pPr>
    </w:p>
    <w:p>
      <w:pPr>
        <w:pStyle w:val="3"/>
        <w:spacing w:line="360" w:lineRule="auto"/>
        <w:jc w:val="center"/>
        <w:rPr>
          <w:rFonts w:ascii="宋体" w:hAnsi="宋体"/>
          <w:color w:val="000000"/>
          <w:sz w:val="30"/>
          <w:szCs w:val="30"/>
        </w:rPr>
      </w:pPr>
      <w:r>
        <w:rPr>
          <w:rFonts w:hint="eastAsia" w:ascii="仿宋" w:hAnsi="仿宋" w:eastAsia="仿宋"/>
          <w:b w:val="0"/>
          <w:bCs w:val="0"/>
          <w:color w:val="000000"/>
        </w:rPr>
        <w:br w:type="page"/>
      </w:r>
      <w:bookmarkStart w:id="8" w:name="_Toc264617145"/>
      <w:r>
        <w:rPr>
          <w:rFonts w:hint="eastAsia" w:ascii="宋体" w:hAnsi="宋体"/>
          <w:color w:val="000000"/>
          <w:sz w:val="30"/>
          <w:szCs w:val="30"/>
        </w:rPr>
        <w:t>五、基金财产的保管</w:t>
      </w:r>
      <w:bookmarkEnd w:id="8"/>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（一）基金财产保管的原则</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1．基金财产应独立于基金管理人、基金托管人的固有财产；</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2．基金托管人应安全保管基金财产；</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3．基金托管人按照规定开设基金财产的资金账户、证券账户、证券投资基金账户以及投资所需的其他专用账户；</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4．基金托管人对所托管的不同基金财产分别设置账户，确保基金财产的完整与独立；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5．基金托管人根据基金管理人的指令，按照基金合同和本协议的约定保管基金财产，如有特殊情况双方可另行协商解决；</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7．除依据法律法规和基金合同的规定外，基金托管人不得委托第三人托管基金财产。</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（二）基金募集期间及募集资金的验资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1．基金募集期间募集的资金应存于基金管理人开立的“基金募集专户”。该账户由基金管理人开立并管理。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2名或2名以上中国注册会计师签字方为有效。</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3．若基金募集期限届满或基金停止募集时，未能达到基金合同生效的条件，由基金管理人按规定办理退款等事宜，基金托管人应提供充分协助。</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（三）基金托管专户的开立和管理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1．基金托管人以基金的名义在其营业机构开设基金托管专户，保管基金的银行存款。本基金的一切货币收支活动，包括但不限于投资、支付赎回金额、支付基金收益、收取申购款，均需通过基金托管专户进行。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2．基金托管专户的开立和使用，限于满足开展本基金业务的需要。基金托管人和基金管理人不得假借本基金的名义开立任何其他银行账户；亦不得使用基金的任何账户进行本基金业务以外的活动。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3．基金托管专户的开立和管理应符合有关法律法规以及银行业监督管理机构的其他有关规定。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（四）基金证券账户和结算备付金账户的开立和管理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1．基金托管人在中国证券登记结算有限责任公司上海分公司、深圳分公司为基金开立基金托管人与基金联名的证券账户。</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3．基金证券账户的开立和证券账户卡的保管由基金托管人负责，账户资产的管理和运用由基金管理人负责。</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（五）银行间债券托管专户的开设和管理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合同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持有人账户和资金结算账户，并代表基金进行银行间市场债券的结算。基金管理人和基金托管人共同代表基金签订全国银行间债券市场债券回购主协议，基金托管人保管协议正本，基金管理人保存协议副本。</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（六）其他账户的开立和管理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法律法规等有关规定对相关账户的开立和管理另有规定的，从其规定办理。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（七）基金财产投资的有关有价凭证等的保管</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（八）与基金财产有关的重大合同的保管</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不低于法律法规规定的最低期限。</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 对于无法取得二份以上正本的，基金管理人应向基金托管人提供与合同原件核对一致的加盖公章的合同传真件或复印件，未经双方协商一致或未在合同约定范围内，合同原件不得转移。</w:t>
      </w:r>
    </w:p>
    <w:p>
      <w:pPr>
        <w:pStyle w:val="3"/>
        <w:spacing w:line="360" w:lineRule="auto"/>
        <w:jc w:val="center"/>
        <w:rPr>
          <w:rFonts w:ascii="宋体" w:hAnsi="宋体"/>
          <w:color w:val="000000"/>
          <w:sz w:val="30"/>
          <w:szCs w:val="30"/>
        </w:rPr>
      </w:pPr>
      <w:r>
        <w:rPr>
          <w:rFonts w:ascii="宋体" w:hAnsi="宋体"/>
          <w:color w:val="000000"/>
          <w:sz w:val="24"/>
          <w:szCs w:val="24"/>
        </w:rPr>
        <w:br w:type="page"/>
      </w:r>
      <w:bookmarkStart w:id="9" w:name="_Toc264617146"/>
      <w:r>
        <w:rPr>
          <w:rFonts w:hint="eastAsia" w:ascii="宋体" w:hAnsi="宋体"/>
          <w:color w:val="000000"/>
          <w:sz w:val="30"/>
          <w:szCs w:val="30"/>
        </w:rPr>
        <w:t>六、指令的发送、确认及执行</w:t>
      </w:r>
      <w:bookmarkEnd w:id="9"/>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基金管理人在运用基金财产时向基金托管人发送资金划拨及其他款项付款指令，基金托管人执行基金管理人的指令、办理基金名下的资金往来等有关事项。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（一）基金管理人对发送指令人员的书面授权</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1．基金管理人应指定专人向基金托管人发送指令。</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2．基金管理人应向基金托管人提供书面授权文件，内容包括被授权人名单、预留印鉴及被授权人签字样本，授权文件应注明被授权人相应的权限</w:t>
      </w:r>
      <w:r>
        <w:rPr>
          <w:rFonts w:hint="eastAsia" w:ascii="宋体" w:hAnsi="宋体"/>
          <w:sz w:val="24"/>
          <w:szCs w:val="24"/>
        </w:rPr>
        <w:t>及授权时间</w:t>
      </w:r>
      <w:r>
        <w:rPr>
          <w:rFonts w:hint="eastAsia" w:ascii="宋体" w:hAnsi="宋体" w:cs="宋体"/>
          <w:color w:val="000000"/>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基金托管人在收到授权文件原件并经基金管理人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4．基金管理人和基金托管人对授权文件负有保密义务，其内容不得向被授权人及相关操作人员以外的任何人泄漏。但法律法规规定或有权机关要求的除外。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（二）指令的内容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1．指令包括赎回、分红付款指令、回购到期付款指令、与投资有关的付款指令、实物债券出入库指令以及其他资金划拨指令等。</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2．基金管理人发给基金托管人的指令应写明款项事由、支付时间、到账时间、金额、账户等，加盖预留印鉴并由被授权人签字或盖章。</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（三）指令的发送、确认及执行的时间和程序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1．指令的发送</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基金管理人发送指令应采用传真、深证通、托管网银电子指令方式或双方协商一致的其他方式。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指令发出后，基金管理人应及时以电话方式或双方认可的其他方式向基金托管人确认。</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应在交易结束后将银行间同业市场债券交易成交单加盖预留印鉴后及时传真给基金托管人，并以电话或双方认可的其他方式确认。如果银行间簿记系统已经生成的交易需要取消或终止，基金管理人要书面通知基金托管人。</w:t>
      </w:r>
    </w:p>
    <w:p>
      <w:pPr>
        <w:spacing w:line="360" w:lineRule="auto"/>
        <w:ind w:firstLine="480" w:firstLineChars="200"/>
        <w:rPr>
          <w:rFonts w:ascii="宋体" w:hAnsi="宋体" w:cs="宋体"/>
          <w:color w:val="000000"/>
          <w:sz w:val="24"/>
          <w:szCs w:val="24"/>
          <w:shd w:val="pct10" w:color="auto" w:fill="FFFFFF"/>
        </w:rPr>
      </w:pPr>
      <w:r>
        <w:rPr>
          <w:rFonts w:hint="eastAsia" w:ascii="宋体" w:hAnsi="宋体" w:cs="宋体"/>
          <w:color w:val="000000"/>
          <w:sz w:val="24"/>
          <w:szCs w:val="24"/>
        </w:rPr>
        <w:t>基金管理人应于划款前一日向基金托管人发送投资划款指令并确认，如需在划款当日下达投资划款指令，在发送指令时，应为基金托管人留出执行指令所必需的时间</w:t>
      </w:r>
      <w:r>
        <w:rPr>
          <w:rFonts w:hint="eastAsia" w:ascii="宋体" w:hAnsi="宋体" w:cs="宋体"/>
          <w:color w:val="000000"/>
          <w:sz w:val="24"/>
        </w:rPr>
        <w:t>（该必需的时间不长于正常情况下基金托管人日常处理该指令所用的平均时间）</w:t>
      </w:r>
      <w:r>
        <w:rPr>
          <w:rFonts w:hint="eastAsia" w:ascii="宋体" w:hAnsi="宋体" w:cs="宋体"/>
          <w:color w:val="000000"/>
          <w:sz w:val="24"/>
          <w:szCs w:val="24"/>
        </w:rPr>
        <w:t>。基金管理人发送有效指令（包括原指令被撤销、变更后再次发送的新指令）的截止时间为当天的15:00。如基金管理人要求当天某一时点到账，则交易结算指令需提前2个工作小时发送，并进行电话确认。对于新股申购网下公开发行业务，基金管理人应在网下申购缴款日(T日)的前一日17:00前将新股申购指令发送给基金托管人，指令发送时间最迟不应晚于T日上午10:00时。由于基金管理人原因导致的指令传输不及时、未能留出足够的划款时间，致使资金未能及时到账所造成的损失由基金管理人承担。</w:t>
      </w:r>
      <w:r>
        <w:rPr>
          <w:rFonts w:hint="eastAsia" w:ascii="宋体" w:hAnsi="宋体" w:cs="宋体"/>
          <w:color w:val="000000"/>
          <w:sz w:val="24"/>
        </w:rPr>
        <w:t>由于基金托管人原因导致资金未能及时到账所造成的损失由基金托管人承担。</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2．指令的确认</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3．指令的时间和执行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基金托管人对指令验证</w:t>
      </w:r>
      <w:r>
        <w:rPr>
          <w:rFonts w:hint="eastAsia" w:ascii="宋体" w:hAnsi="宋体"/>
          <w:sz w:val="24"/>
          <w:szCs w:val="24"/>
        </w:rPr>
        <w:t>通过</w:t>
      </w:r>
      <w:r>
        <w:rPr>
          <w:rFonts w:hint="eastAsia" w:ascii="宋体" w:hAnsi="宋体" w:cs="宋体"/>
          <w:color w:val="000000"/>
          <w:sz w:val="24"/>
          <w:szCs w:val="24"/>
        </w:rPr>
        <w:t>后，应及时办理。指令执行完毕后，基金托管人应及时通知基金管理人。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向基金托管人下达指令时，应确保基金资金账户有足够的资金余额，对基金管理人在没有充足资金的情况下向基金托管人发出的投资指令、赎回、分红资金等的划拨指令，基金托管人可不予执行，但应立即通知基金管理人，由基金管理人审核、查明原因，出具书面文件确认此交易指令无效。基金托管人不承担因未执行该指令造成损失的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（四）基金管理人发送错误指令的情形和处理程序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基金管理人发送错误指令的情形包括指令违反法律法规和基金合同，指令发送人员无权或超越权限发送指令。</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基金托管人在履行监督职能时，发现基金管理人的指令错误时，有权拒绝执行，并及时通知基金管理人改正。如需撤销指令，基金管理人应出具书面说明，并加盖业务用章。</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（五）基金托管人依照法律法规暂缓、拒绝执行指令的情形和处理程序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若基金托管人发现基金管理人的指令违反法律法规，或者违反基金合同约定的，应当视情况暂缓或拒绝执行，并立即通知基金管理人。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（六）基金托管人未按照基金管理人指令执行的处理方法</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基金托管人由于自身原因，未按照基金管理人发送的</w:t>
      </w:r>
      <w:r>
        <w:rPr>
          <w:rFonts w:hint="eastAsia" w:ascii="宋体" w:hAnsi="宋体"/>
          <w:sz w:val="24"/>
          <w:szCs w:val="24"/>
        </w:rPr>
        <w:t>符合法律法规、基金合同、本协议的</w:t>
      </w:r>
      <w:r>
        <w:rPr>
          <w:rFonts w:hint="eastAsia" w:ascii="宋体" w:hAnsi="宋体" w:cs="宋体"/>
          <w:color w:val="000000"/>
          <w:sz w:val="24"/>
          <w:szCs w:val="24"/>
        </w:rPr>
        <w:t>指令执行并对基金管理人、基金财产或投资人造成的损失，由基金托管人承担相应的责任。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（七）更换被授权人员的程序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基金管理人更换被授权人、更改或终止对被授权人的授权，应当至少提前一个工作日</w:t>
      </w:r>
      <w:r>
        <w:rPr>
          <w:rFonts w:hint="eastAsia" w:ascii="宋体" w:hAnsi="宋体"/>
          <w:sz w:val="24"/>
          <w:szCs w:val="24"/>
        </w:rPr>
        <w:t>书面</w:t>
      </w:r>
      <w:r>
        <w:rPr>
          <w:rFonts w:hint="eastAsia" w:ascii="宋体" w:hAnsi="宋体" w:cs="宋体"/>
          <w:color w:val="000000"/>
          <w:sz w:val="24"/>
          <w:szCs w:val="24"/>
        </w:rPr>
        <w:t>通知基金托管人，同时基金管理人向基金托管人提供新的被授权人的姓名、权限、预留印鉴和签字样本。基金托管人在收到授权文件原件并经电话与基金管理人确认后，授权文件即生效。被授权人变更通知生效前，基金托管人仍应按原约定执行指令，基金管理人不得否认其效力。</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基金托管人更换接受基金管理人指令的人员，应提前书面通知基金管理人并电话确认。</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（八）其他事项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托管人在接收指令时，应对指令的要素是否齐全、印鉴与被授权人是否与预留的授权文件内容相符进行检查，如发现问题，应及时报告基金管理人。基金托管人对正确执行基金管理人的合法指令对基金财产造成的损失不承担赔偿责任；基金托管人</w:t>
      </w:r>
      <w:r>
        <w:rPr>
          <w:rFonts w:hint="eastAsia" w:ascii="宋体" w:hAnsi="宋体"/>
          <w:sz w:val="24"/>
          <w:szCs w:val="24"/>
        </w:rPr>
        <w:t>无正当理由</w:t>
      </w:r>
      <w:r>
        <w:rPr>
          <w:rFonts w:hint="eastAsia" w:ascii="宋体" w:hAnsi="宋体" w:cs="宋体"/>
          <w:color w:val="000000"/>
          <w:sz w:val="24"/>
          <w:szCs w:val="24"/>
        </w:rPr>
        <w:t>未执行或未及时执行基金管理人的合法指令，导致基金财产遭受损失的，由基金托管人赔偿由此造成的直接损失。</w:t>
      </w:r>
    </w:p>
    <w:p>
      <w:pPr>
        <w:spacing w:line="360" w:lineRule="auto"/>
        <w:ind w:firstLine="480" w:firstLineChars="200"/>
        <w:rPr>
          <w:rFonts w:ascii="仿宋" w:hAnsi="仿宋" w:eastAsia="仿宋"/>
          <w:color w:val="000000"/>
          <w:sz w:val="24"/>
          <w:szCs w:val="24"/>
        </w:rPr>
      </w:pPr>
    </w:p>
    <w:p>
      <w:pPr>
        <w:pStyle w:val="3"/>
        <w:spacing w:line="360" w:lineRule="auto"/>
        <w:jc w:val="center"/>
        <w:rPr>
          <w:rFonts w:ascii="宋体" w:hAnsi="宋体"/>
          <w:color w:val="000000"/>
          <w:sz w:val="30"/>
          <w:szCs w:val="30"/>
        </w:rPr>
      </w:pPr>
      <w:r>
        <w:rPr>
          <w:rFonts w:hint="eastAsia" w:ascii="仿宋" w:hAnsi="仿宋" w:eastAsia="仿宋"/>
          <w:b w:val="0"/>
          <w:bCs w:val="0"/>
          <w:color w:val="000000"/>
        </w:rPr>
        <w:br w:type="page"/>
      </w:r>
      <w:bookmarkStart w:id="10" w:name="_Toc264617147"/>
      <w:r>
        <w:rPr>
          <w:rFonts w:hint="eastAsia" w:ascii="宋体" w:hAnsi="宋体"/>
          <w:bCs w:val="0"/>
          <w:color w:val="000000"/>
          <w:sz w:val="30"/>
          <w:szCs w:val="30"/>
        </w:rPr>
        <w:t>七、交易及清算交收安排</w:t>
      </w:r>
      <w:bookmarkEnd w:id="10"/>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（一）选择代理证券买卖的证券经营机构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应设计选择代理证券买卖的证券经营机构的标准和程序。基金管理人负责选择证券经营机构，租用其交易单元作为基金的交易单元。基金管理人和被选中的证券经营机构签订委托协议，基金管理人应提前通知基金托管人，并将被选中证券经营机构提供的《基金用户交易单位变更申请书》及时送达基金托管人，确保基金托管人申请接收结算数据。交易单元保证金由被选中的证券经营机构交付。基金管理人应根据有关规定，在基金的</w:t>
      </w:r>
      <w:r>
        <w:rPr>
          <w:rFonts w:hint="eastAsia" w:ascii="宋体" w:hAnsi="宋体"/>
          <w:sz w:val="24"/>
          <w:szCs w:val="24"/>
        </w:rPr>
        <w:t>中期</w:t>
      </w:r>
      <w:r>
        <w:rPr>
          <w:rFonts w:hint="eastAsia" w:ascii="宋体" w:hAnsi="宋体" w:cs="宋体"/>
          <w:color w:val="000000"/>
          <w:sz w:val="24"/>
          <w:szCs w:val="24"/>
        </w:rPr>
        <w:t>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（二）基金投资证券后的清算交收安排</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1．清算与交割</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根据《中国证券登记结算有限责任公司结算备付金管理办法》，在每月前2个工作日内，中国证券登记结算有限责任公司对结算参与人的最低结算备付金限额进行重新核算、调整。基金托管人在中国证券登记结算有限责任公司调整最低结算备付金当日，在资金流量表中反映最低备付金调整的情况。基金管理人应预留最低备付金，并根据中国证券登记结算有限责任公司确定的实际下月最低备付金数据为依据安排资金运作，调整所需的现金头寸。</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根据《中国证券登记结算有限责任公司证券结算保证金管理办法》，在每月前2个营业日内，中国证券登记结算有限责任公司对结算参与人的结算保证金进行调整，基金托管人在调整当日，在资金流量表中反映结算保证金的调整情况，基金管理人应预留足够头寸。</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如果因为基金托管人自身原因在清算上造成基金财产的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等原因造成基金投资清算困难和风险的，基金托管人发现后应立即通知基金管理人，由基金管理人负责解决，并确保于交收日11点前完成融资，</w:t>
      </w:r>
      <w:r>
        <w:rPr>
          <w:rFonts w:ascii="Arial" w:hAnsi="Arial" w:cs="Arial"/>
          <w:sz w:val="24"/>
        </w:rPr>
        <w:t>并及时补足欠库券</w:t>
      </w:r>
      <w:r>
        <w:rPr>
          <w:rFonts w:hint="eastAsia" w:ascii="Arial" w:hAnsi="Arial" w:cs="Arial"/>
          <w:sz w:val="24"/>
        </w:rPr>
        <w:t>,</w:t>
      </w:r>
      <w:r>
        <w:rPr>
          <w:rFonts w:hint="eastAsia" w:ascii="宋体" w:hAnsi="宋体" w:cs="宋体"/>
          <w:color w:val="000000"/>
          <w:sz w:val="24"/>
          <w:szCs w:val="24"/>
        </w:rPr>
        <w:t>用以完成清算交收，基金托管人应给予必要的配合，由此给基金托管人、本基金造成的直接损失由基金管理人承担。</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基金管理人应采取合理措施，确保在T+1日上午1</w:t>
      </w:r>
      <w:r>
        <w:rPr>
          <w:rFonts w:ascii="宋体" w:hAnsi="宋体" w:cs="宋体"/>
          <w:color w:val="000000"/>
          <w:kern w:val="0"/>
          <w:sz w:val="24"/>
          <w:szCs w:val="24"/>
        </w:rPr>
        <w:t>2</w:t>
      </w:r>
      <w:r>
        <w:rPr>
          <w:rFonts w:hint="eastAsia" w:ascii="宋体" w:hAnsi="宋体" w:cs="宋体"/>
          <w:color w:val="000000"/>
          <w:kern w:val="0"/>
          <w:sz w:val="24"/>
          <w:szCs w:val="24"/>
        </w:rPr>
        <w:t>:00前有足够的资金头寸用于中国证券登记结算有限责任公司上海分公司和深圳分公司的资金结算。</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中国证券登记结算有限责任公司上海分公司目前实行</w:t>
      </w:r>
      <w:r>
        <w:rPr>
          <w:rFonts w:ascii="宋体" w:hAnsi="宋体" w:cs="宋体"/>
          <w:color w:val="000000"/>
          <w:kern w:val="0"/>
          <w:sz w:val="24"/>
          <w:szCs w:val="24"/>
        </w:rPr>
        <w:t>T</w:t>
      </w:r>
      <w:r>
        <w:rPr>
          <w:rFonts w:hint="eastAsia" w:ascii="宋体" w:hAnsi="宋体" w:cs="宋体"/>
          <w:color w:val="000000"/>
          <w:kern w:val="0"/>
          <w:sz w:val="24"/>
          <w:szCs w:val="24"/>
        </w:rPr>
        <w:t>＋</w:t>
      </w:r>
      <w:r>
        <w:rPr>
          <w:rFonts w:ascii="宋体" w:hAnsi="宋体" w:cs="宋体"/>
          <w:color w:val="000000"/>
          <w:kern w:val="0"/>
          <w:sz w:val="24"/>
          <w:szCs w:val="24"/>
        </w:rPr>
        <w:t>0</w:t>
      </w:r>
      <w:r>
        <w:rPr>
          <w:rFonts w:hint="eastAsia" w:ascii="宋体" w:hAnsi="宋体" w:cs="宋体"/>
          <w:color w:val="000000"/>
          <w:kern w:val="0"/>
          <w:sz w:val="24"/>
          <w:szCs w:val="24"/>
        </w:rPr>
        <w:t>预交收制度，因此基金管理人须于</w:t>
      </w:r>
      <w:r>
        <w:rPr>
          <w:rFonts w:ascii="宋体" w:hAnsi="宋体" w:cs="宋体"/>
          <w:color w:val="000000"/>
          <w:kern w:val="0"/>
          <w:sz w:val="24"/>
          <w:szCs w:val="24"/>
        </w:rPr>
        <w:t>T</w:t>
      </w:r>
      <w:r>
        <w:rPr>
          <w:rFonts w:hint="eastAsia" w:ascii="宋体" w:hAnsi="宋体" w:cs="宋体"/>
          <w:color w:val="000000"/>
          <w:kern w:val="0"/>
          <w:sz w:val="24"/>
          <w:szCs w:val="24"/>
        </w:rPr>
        <w:t>日</w:t>
      </w:r>
      <w:r>
        <w:rPr>
          <w:rFonts w:ascii="宋体" w:hAnsi="宋体" w:cs="宋体"/>
          <w:color w:val="000000"/>
          <w:kern w:val="0"/>
          <w:sz w:val="24"/>
          <w:szCs w:val="24"/>
        </w:rPr>
        <w:t>15</w:t>
      </w:r>
      <w:r>
        <w:rPr>
          <w:rFonts w:hint="eastAsia" w:ascii="宋体" w:hAnsi="宋体" w:cs="宋体"/>
          <w:color w:val="000000"/>
          <w:kern w:val="0"/>
          <w:sz w:val="24"/>
          <w:szCs w:val="24"/>
        </w:rPr>
        <w:t>：</w:t>
      </w:r>
      <w:r>
        <w:rPr>
          <w:rFonts w:ascii="宋体" w:hAnsi="宋体" w:cs="宋体"/>
          <w:color w:val="000000"/>
          <w:kern w:val="0"/>
          <w:sz w:val="24"/>
          <w:szCs w:val="24"/>
        </w:rPr>
        <w:t>30</w:t>
      </w:r>
      <w:r>
        <w:rPr>
          <w:rFonts w:hint="eastAsia" w:ascii="宋体" w:hAnsi="宋体" w:cs="宋体"/>
          <w:color w:val="000000"/>
          <w:kern w:val="0"/>
          <w:sz w:val="24"/>
          <w:szCs w:val="24"/>
        </w:rPr>
        <w:t>之前备足当日上海市场交易担保交收需支付的资金头寸，以便基金托管人履行</w:t>
      </w:r>
      <w:r>
        <w:rPr>
          <w:rFonts w:ascii="宋体" w:hAnsi="宋体" w:cs="宋体"/>
          <w:color w:val="000000"/>
          <w:kern w:val="0"/>
          <w:sz w:val="24"/>
          <w:szCs w:val="24"/>
        </w:rPr>
        <w:t>T</w:t>
      </w:r>
      <w:r>
        <w:rPr>
          <w:rFonts w:hint="eastAsia" w:ascii="宋体" w:hAnsi="宋体" w:cs="宋体"/>
          <w:color w:val="000000"/>
          <w:kern w:val="0"/>
          <w:sz w:val="24"/>
          <w:szCs w:val="24"/>
        </w:rPr>
        <w:t>＋</w:t>
      </w:r>
      <w:r>
        <w:rPr>
          <w:rFonts w:ascii="宋体" w:hAnsi="宋体" w:cs="宋体"/>
          <w:color w:val="000000"/>
          <w:kern w:val="0"/>
          <w:sz w:val="24"/>
          <w:szCs w:val="24"/>
        </w:rPr>
        <w:t>0</w:t>
      </w:r>
      <w:r>
        <w:rPr>
          <w:rFonts w:hint="eastAsia" w:ascii="宋体" w:hAnsi="宋体" w:cs="宋体"/>
          <w:color w:val="000000"/>
          <w:kern w:val="0"/>
          <w:sz w:val="24"/>
          <w:szCs w:val="24"/>
        </w:rPr>
        <w:t>预交收职责；若有大宗交易，基金管理人还需于</w:t>
      </w:r>
      <w:r>
        <w:rPr>
          <w:rFonts w:ascii="宋体" w:hAnsi="宋体" w:cs="宋体"/>
          <w:color w:val="000000"/>
          <w:kern w:val="0"/>
          <w:sz w:val="24"/>
          <w:szCs w:val="24"/>
        </w:rPr>
        <w:t>T</w:t>
      </w:r>
      <w:r>
        <w:rPr>
          <w:rFonts w:hint="eastAsia" w:ascii="宋体" w:hAnsi="宋体" w:cs="宋体"/>
          <w:color w:val="000000"/>
          <w:kern w:val="0"/>
          <w:sz w:val="24"/>
          <w:szCs w:val="24"/>
        </w:rPr>
        <w:t>日</w:t>
      </w:r>
      <w:r>
        <w:rPr>
          <w:rFonts w:ascii="宋体" w:hAnsi="宋体" w:cs="宋体"/>
          <w:color w:val="000000"/>
          <w:kern w:val="0"/>
          <w:sz w:val="24"/>
          <w:szCs w:val="24"/>
        </w:rPr>
        <w:t>15</w:t>
      </w:r>
      <w:r>
        <w:rPr>
          <w:rFonts w:hint="eastAsia" w:ascii="宋体" w:hAnsi="宋体" w:cs="宋体"/>
          <w:color w:val="000000"/>
          <w:kern w:val="0"/>
          <w:sz w:val="24"/>
          <w:szCs w:val="24"/>
        </w:rPr>
        <w:t>：</w:t>
      </w:r>
      <w:r>
        <w:rPr>
          <w:rFonts w:ascii="宋体" w:hAnsi="宋体" w:cs="宋体"/>
          <w:color w:val="000000"/>
          <w:kern w:val="0"/>
          <w:sz w:val="24"/>
          <w:szCs w:val="24"/>
        </w:rPr>
        <w:t>30</w:t>
      </w:r>
      <w:r>
        <w:rPr>
          <w:rFonts w:hint="eastAsia" w:ascii="宋体" w:hAnsi="宋体" w:cs="宋体"/>
          <w:color w:val="000000"/>
          <w:kern w:val="0"/>
          <w:sz w:val="24"/>
          <w:szCs w:val="24"/>
        </w:rPr>
        <w:t>之前通知基金托管人交易金额。若由于基金管理人的原因导致预交收失败，由此引起的后果由基金管理人承担。基金管理人应采取合理措施，确保在</w:t>
      </w:r>
      <w:r>
        <w:rPr>
          <w:rFonts w:ascii="宋体" w:hAnsi="宋体" w:cs="宋体"/>
          <w:color w:val="000000"/>
          <w:kern w:val="0"/>
          <w:sz w:val="24"/>
          <w:szCs w:val="24"/>
        </w:rPr>
        <w:t>T</w:t>
      </w:r>
      <w:r>
        <w:rPr>
          <w:rFonts w:hint="eastAsia" w:ascii="宋体" w:hAnsi="宋体" w:cs="宋体"/>
          <w:color w:val="000000"/>
          <w:kern w:val="0"/>
          <w:sz w:val="24"/>
          <w:szCs w:val="24"/>
        </w:rPr>
        <w:t>日日终有足够的资金头寸用于</w:t>
      </w:r>
      <w:r>
        <w:rPr>
          <w:rFonts w:ascii="宋体" w:hAnsi="宋体" w:cs="宋体"/>
          <w:color w:val="000000"/>
          <w:kern w:val="0"/>
          <w:sz w:val="24"/>
          <w:szCs w:val="24"/>
        </w:rPr>
        <w:t>T</w:t>
      </w:r>
      <w:r>
        <w:rPr>
          <w:rFonts w:hint="eastAsia" w:ascii="宋体" w:hAnsi="宋体" w:cs="宋体"/>
          <w:color w:val="000000"/>
          <w:kern w:val="0"/>
          <w:sz w:val="24"/>
          <w:szCs w:val="24"/>
        </w:rPr>
        <w:t>＋</w:t>
      </w:r>
      <w:r>
        <w:rPr>
          <w:rFonts w:ascii="宋体" w:hAnsi="宋体" w:cs="宋体"/>
          <w:color w:val="000000"/>
          <w:kern w:val="0"/>
          <w:sz w:val="24"/>
          <w:szCs w:val="24"/>
        </w:rPr>
        <w:t>1</w:t>
      </w:r>
      <w:r>
        <w:rPr>
          <w:rFonts w:hint="eastAsia" w:ascii="宋体" w:hAnsi="宋体" w:cs="宋体"/>
          <w:color w:val="000000"/>
          <w:kern w:val="0"/>
          <w:sz w:val="24"/>
          <w:szCs w:val="24"/>
        </w:rPr>
        <w:t>日中国证券登记结算有限责任公司上海分公司和深圳分公司的资金结算。若由于基金管理人的原因导致基金托管人交收失败，由此引起的后果由基金管理人承担。若结算机构的交收规则发生变化，基金托管人和基金管理人应根据新的交收规则作出相应变动，基金管理人应配合基金托管人为完成交收提供必要的帮助。</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非担保交收业务的交易告知。非担保交收业务是指中国结算上海分公司组织交易双方根据业务规则规定或双方约定的结算模式完成交收，中国结算不作为双方的共同对手方，不提供交收担保。为确保非担保交收业务的正常交收，投资管理人务必高度重视此类业务交易告知的重要性，即于发生国债买断式回购到期购回、大宗专场、专项资产管理计划转让以及部分发行类业务（股配债、老股东配售的增发、公司债场内分销）以及通过上交所固定收益证券综合电子平台达成的私募债券转让和通过深圳综合协议平台的公司债、私募债转让等非担保交收业务，管理人应于交易当日及时将该交易书面告知托管人并进行电话确认。其中通过上交所固收平台达成的私募债转让交易告知截止时点为申报当日15：00；通过深圳综合协议平台达成的公司债、私募债转让交易告知时间为申报当日15:30；其余产品非担保交易告知截止时点为交易当日17:00。</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通过上交所固定收益证券综合电子平台达成的私募债券转让，中国证券登记结算公司上海分公司根据证券交易所发送的转让成交结果办理实时逐笔全额结算（RTGS）。RTGS的最终交收时点为T日的15:30分，为保证RTGS交易成功，管理人应于交易T日的15:00之前，将买入私募债券的指令传真至托管人。</w:t>
      </w:r>
    </w:p>
    <w:p>
      <w:pPr>
        <w:spacing w:line="360" w:lineRule="auto"/>
        <w:ind w:firstLine="480" w:firstLineChars="200"/>
        <w:rPr>
          <w:rFonts w:ascii="宋体" w:hAnsi="宋体" w:cs="宋体"/>
          <w:kern w:val="0"/>
          <w:sz w:val="24"/>
          <w:szCs w:val="24"/>
        </w:rPr>
      </w:pPr>
      <w:r>
        <w:rPr>
          <w:rFonts w:hint="eastAsia" w:ascii="宋体" w:hAnsi="宋体" w:cs="宋体"/>
          <w:color w:val="000000"/>
          <w:kern w:val="0"/>
          <w:sz w:val="24"/>
          <w:szCs w:val="24"/>
        </w:rPr>
        <w:t>通过深圳综合协议平台的公司债、私募债，结算方式为逐笔全额非担保交收，最终交收时点为T日16:00，因此管理人应于T日15:30分之前向托管人发送非担保交收债券的买入指令。</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应保证基金托管人在执行基金管理人发送的划款指令时，基金托管专户或资金交收账户（除登记公司收保或冻结资金外）上有充足的资金。基金的资金头寸不足时，基金托管人有权拒绝基金管理人发送的划款指令，但应及时通知基金管理人。基金管理人在发送划款指令时应充分考虑基金托管人的划款处理时间（该必需的时间不长于正常情况下基金托管人日常处理该指令所用的平均时间）。在基金资金头寸充足的情况下，基金托管人对基金管理人符合法律法规、基金合同、本协议的指令不得拖延或拒绝执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若由于结算机构的交收规则发生变化，基金托管人和基金管理人应根据新的交收规则作出相应变动，基金管理人应配合基金托管人为完成交收提供必要的帮助。</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2．交易记录、资金和证券账目核对的时间和方式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（1）交易记录的核对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与基金托管人按日进行交易记录的核对。对外披露净值之前，基金管理人必须保证当天所有实际交易记录与基金会计账簿上的交易记录完全一致。如果实际交易记录与会计账簿记录不一致，造成基金会计核算不完整或不真实，由此导致的损失由责任方承担。</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（2）资金账目的核对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资金账目按日核实。</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（3）证券账目的核对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基金管理人和基金托管人每交易日结束后核对基金证券账目，确保双方账目相符。基金管理人和基金托管人每月月末核对实物证券账目。</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（三）基金申购和赎回业务处理的基本规定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1．基金份额申购、赎回的确认、清算由基金管理人或其委托的登记机构负责。</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3．基金管理人应保证本基金的登记机构在工作日15:00前向基金托管人发送前一开放日上述有关数据，并保证相关数据的准确、完整。</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基金管理人或其委托登记机构应通过与基金托管人建立的数据传输系统发送有关数据（包括电子数据和盖章生效的纸制清算汇总表），如因各种原因，该系统无法正常发送，双方可协商解决处理方式。基金管理人向基金托管人发送的数据，双方各自按有关规定保存。</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5．关于清算专用账户的设立和管理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为满足申购、赎回及分红资金汇划的需要，由基金管理人开立资金清算的专用账户，该账户由登记机构管理。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在合理范围内予以必要的协助与配合。</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7．赎回和分红资金划拨规定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拨付赎回款或进行基金分红时，如基金资金账户有足够的资金，基金托管人应按时拨付；因基金资金账户没有足够的资金，导致基金托管人不能按时拨付，基金托管人不承担垫款义务。</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8．资金指令</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除申购款项到达基金资金账户需双方按约定方式对账外，回购到期付款和与投资有关的付款、赎回和分红资金划拨时，基金管理人需向基金托管人下达指令。</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资金指令的格式、内容、发送、接收和确认方式等与投资指令相同。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（四）开放式基金申购、赎回和基金转换的资金清算</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托管账户与基金管理人开立的“基金清算账户”间的资金结算遵循“全额清算、净额交收”的原则，每个开放日按照托管账户应收资金与应付资金的差额来确定托管账户净应收额或净应付额，以此确定资金交收额。当存在托管账户净应收额时，基金管理人应在交收日15:00之前从基金清算账户划到基金托管账户，基金托管人在资金到账后应立即通知基金管理人，并将有关书面凭证传真给基金管理人进行账务管理；当存在托管账户净应付额时，基金管理人应提前一个工作日将划款指令发送给基金托管人，基金托管人按基金管理人的划款指令将托管账户净应付额在交收日12:00之前划往基金清算账户，基金托管人在资金划出后立即通知基金管理人，并将有关书面凭证交给基金管理人进行账务管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当存在托管账户净应付额时，如基金托管专户有足够的资金，基金托管人应按时拨付；因基金托管专户没有足够的资金，导致基金托管人不能按时拨付，基金托管人应及时通知基金管理人，基金托管人不承担垫款义务。</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（五）基金转换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1．在本基金与基金管理人管理的其它基金开展转换业务之前，基金管理人应函告基金托管人并就相关事宜进行协商。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2．基金托管人将根据基金管理人传送的基金转换数据进行账务处理，具体资金清算和数据传递的时间、程序及托管协议当事人承担的权责按基金管理人届时的公告执行。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3．本基金开展基金转换业务应按相关法律法规规定及基金合同的约定进行公告。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（六）基金现金分红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1．基金管理人确定分红方案通知基金托管人，双方核定后，</w:t>
      </w:r>
      <w:r>
        <w:rPr>
          <w:rFonts w:ascii="宋体" w:hAnsi="宋体"/>
          <w:sz w:val="24"/>
          <w:szCs w:val="24"/>
        </w:rPr>
        <w:t>基金管理人</w:t>
      </w:r>
      <w:r>
        <w:rPr>
          <w:rFonts w:hint="eastAsia" w:ascii="宋体" w:hAnsi="宋体" w:cs="宋体"/>
          <w:color w:val="000000"/>
          <w:sz w:val="24"/>
          <w:szCs w:val="24"/>
        </w:rPr>
        <w:t>依照《信息披露办法》的有关规定在中国证监会规定媒介上公告。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2．基金托管人和基金管理人对基金分红进行账务处理并核对后，基金管理人向基金托管人发送现金红利的划款指令，基金托管人应在交收日12:00之前将资金划入专用账户。</w:t>
      </w:r>
    </w:p>
    <w:p>
      <w:pPr>
        <w:spacing w:line="360" w:lineRule="auto"/>
        <w:ind w:firstLine="480" w:firstLineChars="200"/>
        <w:rPr>
          <w:rFonts w:ascii="仿宋" w:hAnsi="仿宋" w:eastAsia="仿宋"/>
          <w:color w:val="000000"/>
          <w:sz w:val="24"/>
          <w:szCs w:val="24"/>
        </w:rPr>
      </w:pPr>
      <w:r>
        <w:rPr>
          <w:rFonts w:hint="eastAsia" w:ascii="宋体" w:hAnsi="宋体" w:cs="宋体"/>
          <w:color w:val="000000"/>
          <w:sz w:val="24"/>
          <w:szCs w:val="24"/>
        </w:rPr>
        <w:t>3．基金管理人在下达指令时，应给基金托管人留出必需的划款时间。</w:t>
      </w:r>
    </w:p>
    <w:p>
      <w:pPr>
        <w:spacing w:line="360" w:lineRule="auto"/>
        <w:ind w:firstLine="480" w:firstLineChars="200"/>
        <w:rPr>
          <w:rFonts w:ascii="仿宋" w:hAnsi="仿宋" w:eastAsia="仿宋"/>
          <w:color w:val="000000"/>
          <w:sz w:val="24"/>
          <w:szCs w:val="24"/>
        </w:rPr>
      </w:pPr>
    </w:p>
    <w:p>
      <w:pPr>
        <w:pStyle w:val="3"/>
        <w:spacing w:line="360" w:lineRule="auto"/>
        <w:jc w:val="center"/>
        <w:rPr>
          <w:rFonts w:ascii="宋体" w:hAnsi="宋体"/>
          <w:color w:val="000000"/>
          <w:sz w:val="30"/>
          <w:szCs w:val="30"/>
        </w:rPr>
      </w:pPr>
      <w:r>
        <w:rPr>
          <w:rFonts w:hint="eastAsia" w:ascii="仿宋" w:hAnsi="仿宋" w:eastAsia="仿宋"/>
          <w:b w:val="0"/>
          <w:bCs w:val="0"/>
          <w:color w:val="000000"/>
        </w:rPr>
        <w:br w:type="page"/>
      </w:r>
      <w:bookmarkStart w:id="11" w:name="_Toc264617148"/>
      <w:r>
        <w:rPr>
          <w:rFonts w:hint="eastAsia" w:ascii="宋体" w:hAnsi="宋体"/>
          <w:bCs w:val="0"/>
          <w:color w:val="000000"/>
          <w:sz w:val="30"/>
          <w:szCs w:val="30"/>
        </w:rPr>
        <w:t>八、基金资产净值计算和会计核算</w:t>
      </w:r>
      <w:bookmarkEnd w:id="11"/>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（一）基金资产净值的计算、复核与完成的时间及程序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1．基金资产净值</w:t>
      </w:r>
    </w:p>
    <w:p>
      <w:pPr>
        <w:widowControl/>
        <w:adjustRightInd w:val="0"/>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rPr>
        <w:t>基金资产净值是指基金资产总值减去负债后的价值。各类基金份额净值是指计算日该类基金资产净值除以计算日该类基金份额总数后的数值。</w:t>
      </w:r>
    </w:p>
    <w:p>
      <w:pPr>
        <w:widowControl/>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各类基金份额的基金份额净值是按照每个估值日，基金资产净值除以当日该类估值日基金份额的余额数量计算，精确到0.0001元，小数点后第5位四舍五入。基金管理人可以设立大额赎回情形下的净值精度应急调整机制，具体可参见相关公告。国家另有规定的，从其规定。</w:t>
      </w:r>
    </w:p>
    <w:p>
      <w:pPr>
        <w:widowControl/>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基金管理人于每个工作日分别计算A类基金份额、C类基金份额的基金资产净值及基金份额净值，并按规定公告。如遇特殊情况，经履行适当程序，可以适当延迟计算或公告。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2．复核程序</w:t>
      </w:r>
    </w:p>
    <w:p>
      <w:pPr>
        <w:widowControl/>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w:t>
      </w:r>
      <w:r>
        <w:rPr>
          <w:rFonts w:hint="eastAsia" w:ascii="宋体" w:hAnsi="宋体" w:cs="宋体"/>
          <w:bCs/>
          <w:color w:val="000000"/>
          <w:sz w:val="24"/>
          <w:szCs w:val="24"/>
        </w:rPr>
        <w:t>净值信息</w:t>
      </w:r>
      <w:r>
        <w:rPr>
          <w:rFonts w:hint="eastAsia" w:ascii="宋体" w:hAnsi="宋体" w:cs="宋体"/>
          <w:color w:val="000000"/>
          <w:sz w:val="24"/>
          <w:szCs w:val="24"/>
        </w:rPr>
        <w:t>的计算结果对外予以公布。</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（二）基金资产估值方法和特殊情形的处理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1．估值对象</w:t>
      </w:r>
    </w:p>
    <w:p>
      <w:pPr>
        <w:spacing w:line="360" w:lineRule="auto"/>
        <w:ind w:firstLine="480" w:firstLineChars="200"/>
        <w:rPr>
          <w:rFonts w:ascii="宋体" w:hAnsi="宋体" w:cs="宋体"/>
          <w:color w:val="000000"/>
          <w:sz w:val="24"/>
          <w:szCs w:val="24"/>
          <w:shd w:val="pct10" w:color="auto" w:fill="FFFFFF"/>
        </w:rPr>
      </w:pPr>
      <w:r>
        <w:rPr>
          <w:rFonts w:hint="eastAsia" w:ascii="宋体" w:hAnsi="宋体" w:cs="宋体"/>
          <w:color w:val="000000"/>
          <w:sz w:val="24"/>
          <w:szCs w:val="24"/>
        </w:rPr>
        <w:t>基金所拥有的证券投资基金份额、股票、债券、资产支持证券和其他投资等持续以公允价值计量的金融资产及负债。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2．估值方法</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（1）证券投资基金的估值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1）本基金投资于非上市的非货币市场基金，按所投资基金估值日的份额净值进行估值；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2）本基金投资于非上市的货币市场基金，按所投资基金前一估值日后至估值日期间（含节假日）的万份收益计提估值日基金收益；如所投资基金披露份额净值，则按所投资基金估值日的份额净值估值；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3）本基金投资的ETF基金，按所投资ETF基金估值日的收盘价进行估值；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4）本基金投资的上市开放式基金（LOF），按所投资基金估值日的份额净值估值；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5）本基金投资的上市定期开放式基金、封闭式基金，按所投资基金估值日的收盘价估值；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7）如遇所投资基金不公布基金份额净值、进行折算或拆分、估值日无交易等特殊情况，基金管理人根据以下原则进行估值：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以所投资基金的基金份额净值估值的，若所投资基金与本基金估值频率一致但未公布估值日基金份额净值，以其最近公布的基金份额净值估值；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如果所投资基金前一估值日至估值日期间发生分红除权、折算或拆分，基金管理人应根据基金份额净值或收盘价、单位基金份额分红金额、折算拆分比例、持仓份额等因素合理确定公允价值；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8）当基金管理人认为所投资基金按上述第（1）至第（7）条进行估值存在不公允时，应与基金托管人协商一致采用合理的估值技术或估值标准确定其公允价值。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（2）证券交易所上市的有价证券的估值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2）交易所上市交易或挂牌转让的固定收益品种（另有规定的除外），选取估值日第三方估值机构提供的相应品种当日的估值净价进行估值；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4）交易所上市实行全价交易的债券（可转债除外），选取第三方估值机构提供的估值全价减去估值全价中所含的债券（税后）应收利息得到的净价进行估值；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5）交易所上市不存在活跃市场的有价证券，采用估值技术确定公允价值。交易所市场挂牌转让的资产支持证券，采用估值技术确定公允价值；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（3）处于未上市期间的有价证券应区分如下情况处理：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1）送股、转增股、配股和公开增发的新股，按估值日在证券交易所挂牌的同一股票的估值方法估值；该日无交易的，以最近一日的市价（收盘价）估值；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2）首次公开发行未上市的股票和债券，采用估值技术确定公允价值，在估值技术难以可靠计量公允价值的情况下，按成本估值；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（6）估值计算中涉及港币对人民币汇率的，将依据下列信息提供机构所提供的汇率为基准：当日中国人民银行公布的人民币与港币的中间价。</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（7）当发生大额申购或赎回情形时，基金管理人可以采用摆动定价机制，以确保基金估值的公平性。</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（8）本基金投资存托凭证的估值核算依照境内上市交易的股票执行。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（9）相关法律法规以及监管部门有强制规定的，从其规定。如有新增事项，按国家最新规定估值。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3．特殊情形的处理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（1）基金管理人或基金托管人按估值方法的第（5）项进行估值时，所造成的误差不作为基金资产估值错误处理。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（2）对于因税收规定调整或其他原因导致基金实际交纳税金与基金按照权责发生制进行估值的应交税金有差异的，相关估值调整不作为基金资产估值错误处理。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由于不可抗力原因，或由于证券交易所、证券经纪机构、登记结算公司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（三）基金份额净值错误的处理方式</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基金管理人和基金托管人将采取必要、适当、合理的措施确保基金资产估值的准确性、及时性。当基金份额净值小数点后4位以内(含第4位)发生估值错误时，视为基金份额净值错误。</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基金合同的当事人应按照以下约定处理：</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1、估值错误类型</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上述估值错误的主要类型包括但不限于：资料申报差错、数据传输差错、数据计算差错、系统故障差错、下达指令差错等。</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对于因技术原因引起的差错，若系同行业现有技术水平无法预见、无法避免、无法抗拒，则属不可抗力，按照下述规定执行。</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2、估值错误处理原则</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（2）估值错误的责任方对有关当事人的直接损失负责，不对间接损失负责，并且仅对估值错误的有关直接当事人负责，不对第三方负责。</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（4）估值错误调整采用尽量恢复至假设未发生估值错误的正确情形的方式。</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（5）按法律法规规定的其他原则处理估值错误。</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3、估值错误处理程序</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估值错误被发现后，有关的当事人应当及时进行处理，处理的程序如下：</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（1）查明估值错误发生的原因，列明所有的当事人，并根据估值错误发生的原因确定估值错误的责任方；</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（2）根据估值错误处理原则或当事人协商的方法对因估值错误造成的损失进行评估；</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（3）根据估值错误处理原则或当事人协商的方法由估值错误的责任方进行更正和赔偿损失；</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（4）根据估值错误处理的方法，需要修改基金登记机构交易数据的，由基金登记机构进行更正，并就估值错误的更正向有关当事人进行确认。</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4、基金份额净值估值错误处理的方法如下：</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（1）基金份额净值计算出现错误时，基金管理人应当立即予以纠正，通报基金托管人，并采取合理的措施防止损失进一步扩大；</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（2）错误偏差达到该类基金份额净值的0.25%时，基金管理人应当通报基金托管人并报中国证监会备案；错误偏差达到该类基金份额净值的0.5%时，基金管理人应当公告</w:t>
      </w:r>
      <w:r>
        <w:rPr>
          <w:rFonts w:ascii="宋体" w:hAnsi="宋体" w:cs="宋体"/>
          <w:bCs/>
          <w:color w:val="000000"/>
          <w:sz w:val="24"/>
          <w:szCs w:val="24"/>
        </w:rPr>
        <w:t>，并报中国证监会备案</w:t>
      </w:r>
      <w:r>
        <w:rPr>
          <w:rFonts w:hint="eastAsia" w:ascii="宋体" w:hAnsi="宋体" w:cs="宋体"/>
          <w:bCs/>
          <w:color w:val="000000"/>
          <w:sz w:val="24"/>
          <w:szCs w:val="24"/>
        </w:rPr>
        <w:t>；</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（3）前述内容如法律法规或者监管部门另有规定的，从其规定。</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（四）暂停估值的情形</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1、基金投资所涉及的证券交易市场遇法定节假日或因其他原因暂停营业时；</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2、因不可抗力致使基金管理人、基金托管人无法准确评估基金资产价值时；</w:t>
      </w:r>
    </w:p>
    <w:p>
      <w:pPr>
        <w:spacing w:line="360" w:lineRule="auto"/>
        <w:ind w:firstLine="480" w:firstLineChars="200"/>
        <w:rPr>
          <w:rFonts w:ascii="宋体" w:hAnsi="宋体" w:cs="宋体"/>
          <w:bCs/>
          <w:color w:val="000000"/>
          <w:sz w:val="24"/>
        </w:rPr>
      </w:pPr>
      <w:r>
        <w:rPr>
          <w:rFonts w:ascii="宋体" w:hAnsi="宋体" w:cs="宋体"/>
          <w:bCs/>
          <w:color w:val="000000"/>
          <w:sz w:val="24"/>
        </w:rPr>
        <w:t>3</w:t>
      </w:r>
      <w:r>
        <w:rPr>
          <w:rFonts w:hint="eastAsia" w:ascii="宋体" w:hAnsi="宋体" w:cs="宋体"/>
          <w:bCs/>
          <w:color w:val="000000"/>
          <w:sz w:val="24"/>
        </w:rPr>
        <w:t>、由于本基金持有的相当比例的基金暂停估值，导致基金管理人无法计算当日基金资产净值；</w:t>
      </w:r>
    </w:p>
    <w:p>
      <w:pPr>
        <w:spacing w:line="360" w:lineRule="auto"/>
        <w:ind w:firstLine="480" w:firstLineChars="200"/>
        <w:rPr>
          <w:sz w:val="24"/>
        </w:rPr>
      </w:pPr>
      <w:r>
        <w:rPr>
          <w:rFonts w:ascii="宋体" w:hAnsi="宋体" w:cs="宋体"/>
          <w:bCs/>
          <w:color w:val="000000"/>
          <w:sz w:val="24"/>
        </w:rPr>
        <w:t>4</w:t>
      </w:r>
      <w:r>
        <w:rPr>
          <w:rFonts w:hint="eastAsia" w:ascii="宋体" w:hAnsi="宋体" w:cs="宋体"/>
          <w:bCs/>
          <w:color w:val="000000"/>
          <w:sz w:val="24"/>
        </w:rPr>
        <w:t>、</w:t>
      </w:r>
      <w:r>
        <w:rPr>
          <w:rFonts w:hint="eastAsia"/>
          <w:sz w:val="24"/>
        </w:rPr>
        <w:t>当特定资产占前一估值日基金资产净值</w:t>
      </w:r>
      <w:r>
        <w:rPr>
          <w:rFonts w:ascii="宋体" w:hAnsi="宋体" w:cs="宋体"/>
          <w:bCs/>
          <w:color w:val="000000"/>
          <w:sz w:val="24"/>
          <w:szCs w:val="24"/>
        </w:rPr>
        <w:t>50%</w:t>
      </w:r>
      <w:r>
        <w:rPr>
          <w:rFonts w:hint="eastAsia"/>
          <w:sz w:val="24"/>
        </w:rPr>
        <w:t>以上的，经与基金托管人协商确认后，基金管理人应当暂停估值；</w:t>
      </w:r>
    </w:p>
    <w:p>
      <w:pPr>
        <w:spacing w:line="360" w:lineRule="auto"/>
        <w:ind w:firstLine="480" w:firstLineChars="200"/>
        <w:rPr>
          <w:rFonts w:ascii="宋体" w:hAnsi="宋体" w:cs="宋体"/>
          <w:bCs/>
          <w:color w:val="000000"/>
          <w:sz w:val="24"/>
        </w:rPr>
      </w:pPr>
      <w:r>
        <w:rPr>
          <w:rFonts w:ascii="宋体" w:hAnsi="宋体" w:cs="宋体"/>
          <w:bCs/>
          <w:color w:val="000000"/>
          <w:sz w:val="24"/>
        </w:rPr>
        <w:t>5</w:t>
      </w:r>
      <w:r>
        <w:rPr>
          <w:rFonts w:hint="eastAsia" w:ascii="宋体" w:hAnsi="宋体" w:cs="宋体"/>
          <w:bCs/>
          <w:color w:val="000000"/>
          <w:sz w:val="24"/>
        </w:rPr>
        <w:t>、法律法规、中国证监会和基金合同认定的其他情形。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（五）基金会计制度</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按国家有关部门规定的会计制度执行。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（六）基金账册的建立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（七）基金财务报表与报告的编制和复核</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1．财务报表的编制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基金财务报表由基金管理人编制，基金托管人复核。</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2．报表复核</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基金托管人在收到基金管理人编制的基金财务报表后，进行独立的复核。核对不符时，应及时通知基金管理人共同查出原因，进行调整，直至双方数据完全一致。</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3．财务报表的编制与复核时间安排</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（1）报表的编制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基金管理人应当在每月结束后5个工作日内完成月度报表的编制；</w:t>
      </w:r>
      <w:r>
        <w:rPr>
          <w:rFonts w:ascii="宋体" w:hAnsi="宋体" w:cs="宋体"/>
          <w:color w:val="000000"/>
          <w:sz w:val="24"/>
          <w:szCs w:val="24"/>
        </w:rPr>
        <w:t>在季度结束之日起15个工作日内完成基金季度报告的编制并公告；在上半年结束之日起两个月内完成基金</w:t>
      </w:r>
      <w:r>
        <w:rPr>
          <w:rFonts w:hint="eastAsia" w:ascii="宋体" w:hAnsi="宋体" w:cs="宋体"/>
          <w:color w:val="000000"/>
          <w:sz w:val="24"/>
          <w:szCs w:val="24"/>
        </w:rPr>
        <w:t>中期</w:t>
      </w:r>
      <w:r>
        <w:rPr>
          <w:rFonts w:ascii="宋体" w:hAnsi="宋体" w:cs="宋体"/>
          <w:color w:val="000000"/>
          <w:sz w:val="24"/>
          <w:szCs w:val="24"/>
        </w:rPr>
        <w:t>报告的编制并公告；在每年结束之日起</w:t>
      </w:r>
      <w:r>
        <w:rPr>
          <w:rFonts w:hint="eastAsia" w:ascii="宋体" w:hAnsi="宋体" w:cs="宋体"/>
          <w:color w:val="000000"/>
          <w:sz w:val="24"/>
          <w:szCs w:val="24"/>
        </w:rPr>
        <w:t>三个月</w:t>
      </w:r>
      <w:r>
        <w:rPr>
          <w:rFonts w:ascii="宋体" w:hAnsi="宋体" w:cs="宋体"/>
          <w:color w:val="000000"/>
          <w:sz w:val="24"/>
          <w:szCs w:val="24"/>
        </w:rPr>
        <w:t>内完成基金年度报告的编制并公告。</w:t>
      </w:r>
      <w:r>
        <w:rPr>
          <w:rFonts w:hint="eastAsia" w:ascii="宋体" w:hAnsi="宋体" w:cs="宋体"/>
          <w:color w:val="000000"/>
          <w:sz w:val="24"/>
          <w:szCs w:val="24"/>
        </w:rPr>
        <w:t>基金年度报告中的财务会计报告应当经过</w:t>
      </w:r>
      <w:r>
        <w:rPr>
          <w:rFonts w:hint="eastAsia" w:ascii="宋体" w:hAnsi="宋体" w:cs="宋体"/>
          <w:bCs/>
          <w:color w:val="000000"/>
          <w:sz w:val="24"/>
          <w:szCs w:val="24"/>
        </w:rPr>
        <w:t>符合《中华人民共和国证券法》规定的会计师事务所</w:t>
      </w:r>
      <w:r>
        <w:rPr>
          <w:rFonts w:hint="eastAsia" w:ascii="宋体" w:hAnsi="宋体" w:cs="宋体"/>
          <w:color w:val="000000"/>
          <w:sz w:val="24"/>
          <w:szCs w:val="24"/>
        </w:rPr>
        <w:t>审计。基金合同生效不足两个月的，基金管理人可以不编制当期季度报告、中期报告或者年度报告。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（2）报表的复核</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基金管理人应留足充分的时间，便于基金托管人复核相关报表及报告。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（八）实施侧袋机制期间的基金资产估值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本基金实施侧袋机制的，应根据基金合同的约定对主袋账户资产进行估值并披露主袋账户的基金净值信息，暂停披露侧袋账户份额净值。</w:t>
      </w:r>
    </w:p>
    <w:p>
      <w:pPr>
        <w:spacing w:line="360" w:lineRule="auto"/>
        <w:ind w:firstLine="480" w:firstLineChars="200"/>
        <w:rPr>
          <w:rFonts w:ascii="宋体" w:hAnsi="宋体" w:cs="宋体"/>
          <w:color w:val="000000"/>
          <w:sz w:val="24"/>
          <w:szCs w:val="24"/>
        </w:rPr>
      </w:pPr>
    </w:p>
    <w:p>
      <w:pPr>
        <w:pStyle w:val="3"/>
        <w:spacing w:line="360" w:lineRule="auto"/>
        <w:jc w:val="center"/>
        <w:rPr>
          <w:rFonts w:ascii="宋体" w:hAnsi="宋体"/>
          <w:bCs w:val="0"/>
          <w:color w:val="000000"/>
          <w:sz w:val="30"/>
          <w:szCs w:val="30"/>
        </w:rPr>
      </w:pPr>
      <w:r>
        <w:rPr>
          <w:rFonts w:hint="eastAsia" w:ascii="仿宋" w:hAnsi="仿宋" w:eastAsia="仿宋"/>
          <w:b w:val="0"/>
          <w:color w:val="000000"/>
          <w:sz w:val="30"/>
          <w:szCs w:val="30"/>
        </w:rPr>
        <w:br w:type="page"/>
      </w:r>
      <w:bookmarkStart w:id="12" w:name="_Toc264617149"/>
      <w:r>
        <w:rPr>
          <w:rFonts w:hint="eastAsia" w:ascii="宋体" w:hAnsi="宋体"/>
          <w:bCs w:val="0"/>
          <w:color w:val="000000"/>
          <w:sz w:val="30"/>
          <w:szCs w:val="30"/>
        </w:rPr>
        <w:t>九、基金收益分配</w:t>
      </w:r>
      <w:bookmarkEnd w:id="12"/>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基金收益分配是指按规定将基金的可分配收益按基金份额进行比例分配。</w:t>
      </w:r>
    </w:p>
    <w:p>
      <w:pPr>
        <w:spacing w:line="360" w:lineRule="auto"/>
        <w:ind w:firstLine="480" w:firstLineChars="200"/>
        <w:rPr>
          <w:rFonts w:ascii="宋体" w:hAnsi="宋体" w:cs="宋体"/>
          <w:sz w:val="24"/>
          <w:szCs w:val="24"/>
        </w:rPr>
      </w:pPr>
      <w:r>
        <w:rPr>
          <w:rFonts w:hint="eastAsia" w:ascii="宋体" w:hAnsi="宋体" w:cs="宋体"/>
          <w:sz w:val="24"/>
          <w:szCs w:val="24"/>
        </w:rPr>
        <w:t>（一）基金收益分配的原则</w:t>
      </w:r>
    </w:p>
    <w:p>
      <w:pPr>
        <w:spacing w:line="360" w:lineRule="auto"/>
        <w:ind w:firstLine="480" w:firstLineChars="200"/>
        <w:rPr>
          <w:rFonts w:ascii="宋体" w:hAnsi="宋体" w:cs="宋体"/>
          <w:sz w:val="24"/>
          <w:szCs w:val="24"/>
        </w:rPr>
      </w:pPr>
      <w:r>
        <w:rPr>
          <w:rFonts w:hint="eastAsia" w:ascii="宋体" w:hAnsi="宋体" w:cs="宋体"/>
          <w:sz w:val="24"/>
          <w:szCs w:val="24"/>
        </w:rPr>
        <w:t>1、在符合有关基金分红条件的前提下，本基金管理人可以根据实际情况进行收益分配，具体分配方案以公告为准，若《基金合同》生效不满3个月可不进行收益分配；</w:t>
      </w:r>
    </w:p>
    <w:p>
      <w:pPr>
        <w:spacing w:line="360" w:lineRule="auto"/>
        <w:ind w:firstLine="480" w:firstLineChars="200"/>
        <w:rPr>
          <w:rFonts w:ascii="宋体" w:hAnsi="宋体" w:cs="宋体"/>
          <w:sz w:val="24"/>
          <w:szCs w:val="24"/>
        </w:rPr>
      </w:pPr>
      <w:r>
        <w:rPr>
          <w:rFonts w:hint="eastAsia" w:ascii="宋体" w:hAnsi="宋体" w:cs="宋体"/>
          <w:sz w:val="24"/>
          <w:szCs w:val="24"/>
        </w:rPr>
        <w:t>2、本基金收益分配方式分两种：现金分红与红利再投资，投资者可选择现金红利或将现金红利自动转为相应类别的基金份额进行再投资；若投资者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pPr>
        <w:spacing w:line="360" w:lineRule="auto"/>
        <w:ind w:firstLine="480" w:firstLineChars="200"/>
        <w:rPr>
          <w:rFonts w:ascii="宋体" w:hAnsi="宋体" w:cs="宋体"/>
          <w:sz w:val="24"/>
          <w:szCs w:val="24"/>
        </w:rPr>
      </w:pPr>
      <w:r>
        <w:rPr>
          <w:rFonts w:hint="eastAsia" w:ascii="宋体" w:hAnsi="宋体" w:cs="宋体"/>
          <w:sz w:val="24"/>
          <w:szCs w:val="24"/>
        </w:rPr>
        <w:t>3、基金收益分配后各类基金份额净值不能低于面值；即基金收益分配基准日的各类基金份额净值减去每单位该类基金份额收益分配金额后不能低于面值；</w:t>
      </w:r>
    </w:p>
    <w:p>
      <w:pPr>
        <w:spacing w:line="360" w:lineRule="auto"/>
        <w:ind w:firstLine="480" w:firstLineChars="200"/>
        <w:rPr>
          <w:rFonts w:ascii="宋体" w:hAnsi="宋体" w:cs="宋体"/>
          <w:sz w:val="24"/>
          <w:szCs w:val="24"/>
        </w:rPr>
      </w:pPr>
      <w:r>
        <w:rPr>
          <w:rFonts w:hint="eastAsia" w:ascii="宋体" w:hAnsi="宋体" w:cs="宋体"/>
          <w:sz w:val="24"/>
          <w:szCs w:val="24"/>
        </w:rPr>
        <w:t>4、由于本基金A类基金份额不收取销售服务费，C类基金份额收取销售服务费，各基金份额类别对应的可供分配利润将有所不同；本基金同一类别的每份基金份额享有同等分配权；</w:t>
      </w:r>
    </w:p>
    <w:p>
      <w:pPr>
        <w:spacing w:line="360" w:lineRule="auto"/>
        <w:ind w:firstLine="480" w:firstLineChars="200"/>
        <w:rPr>
          <w:rFonts w:ascii="宋体" w:hAnsi="宋体" w:cs="宋体"/>
          <w:sz w:val="24"/>
          <w:szCs w:val="24"/>
        </w:rPr>
      </w:pPr>
      <w:r>
        <w:rPr>
          <w:rFonts w:hint="eastAsia" w:ascii="宋体" w:hAnsi="宋体" w:cs="宋体"/>
          <w:sz w:val="24"/>
          <w:szCs w:val="24"/>
        </w:rPr>
        <w:t>5、法律法规或监管机关另有规定的，从其规定。</w:t>
      </w:r>
    </w:p>
    <w:p>
      <w:pPr>
        <w:spacing w:line="360" w:lineRule="auto"/>
        <w:ind w:firstLine="480" w:firstLineChars="200"/>
        <w:rPr>
          <w:rFonts w:ascii="宋体" w:hAnsi="宋体" w:cs="宋体"/>
          <w:sz w:val="24"/>
          <w:szCs w:val="24"/>
        </w:rPr>
      </w:pPr>
      <w:r>
        <w:rPr>
          <w:rFonts w:hint="eastAsia" w:ascii="宋体" w:hAnsi="宋体" w:cs="宋体"/>
          <w:sz w:val="24"/>
          <w:szCs w:val="24"/>
        </w:rPr>
        <w:t>（二）基金收益分配方案的制定和实施程序</w:t>
      </w:r>
    </w:p>
    <w:p>
      <w:pPr>
        <w:spacing w:line="360" w:lineRule="auto"/>
        <w:ind w:firstLine="480" w:firstLineChars="200"/>
        <w:rPr>
          <w:rFonts w:ascii="宋体" w:hAnsi="宋体" w:cs="宋体"/>
          <w:sz w:val="24"/>
          <w:szCs w:val="24"/>
        </w:rPr>
      </w:pPr>
      <w:r>
        <w:rPr>
          <w:rFonts w:hint="eastAsia" w:ascii="宋体" w:hAnsi="宋体" w:cs="宋体"/>
          <w:sz w:val="24"/>
          <w:szCs w:val="24"/>
        </w:rPr>
        <w:t>本基金收益分配方案由基金管理人拟定，并由基金托管人复核，依照《信息披露办法》的规定在规定媒介公告。</w:t>
      </w:r>
    </w:p>
    <w:p>
      <w:pPr>
        <w:spacing w:line="360" w:lineRule="auto"/>
        <w:ind w:firstLine="480" w:firstLineChars="200"/>
        <w:rPr>
          <w:rFonts w:ascii="宋体" w:hAnsi="宋体" w:cs="宋体"/>
          <w:sz w:val="24"/>
          <w:szCs w:val="24"/>
        </w:rPr>
      </w:pPr>
      <w:r>
        <w:rPr>
          <w:rFonts w:hint="eastAsia" w:ascii="宋体" w:hAnsi="宋体" w:cs="宋体"/>
          <w:sz w:val="24"/>
          <w:szCs w:val="24"/>
        </w:rPr>
        <w:t>基金管理人向基金托管人下达收益分配的付款指令，基金托管人按指令将收益分配的全部资金划入基金管理人的指定账户。</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三）</w:t>
      </w:r>
      <w:r>
        <w:rPr>
          <w:rFonts w:hint="eastAsia" w:ascii="宋体" w:hAnsi="宋体" w:cs="宋体"/>
          <w:color w:val="000000"/>
          <w:sz w:val="24"/>
          <w:szCs w:val="24"/>
        </w:rPr>
        <w:t>实施侧袋机制期间的收益分配</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本基金实施侧袋机制的，侧袋账户不进行收益分配，详见招募说明书的规定。</w:t>
      </w:r>
    </w:p>
    <w:p>
      <w:pPr>
        <w:spacing w:line="360" w:lineRule="auto"/>
        <w:ind w:firstLine="480" w:firstLineChars="200"/>
        <w:rPr>
          <w:rFonts w:ascii="宋体" w:hAnsi="宋体" w:cs="宋体"/>
          <w:color w:val="000000"/>
          <w:sz w:val="24"/>
          <w:szCs w:val="24"/>
        </w:rPr>
      </w:pPr>
    </w:p>
    <w:p>
      <w:pPr>
        <w:pStyle w:val="3"/>
        <w:spacing w:line="360" w:lineRule="auto"/>
        <w:jc w:val="center"/>
        <w:rPr>
          <w:rFonts w:ascii="宋体" w:hAnsi="宋体"/>
          <w:color w:val="000000"/>
          <w:sz w:val="30"/>
          <w:szCs w:val="30"/>
        </w:rPr>
      </w:pPr>
      <w:r>
        <w:rPr>
          <w:rFonts w:hint="eastAsia" w:ascii="仿宋" w:hAnsi="仿宋" w:eastAsia="仿宋"/>
          <w:b w:val="0"/>
          <w:bCs w:val="0"/>
          <w:color w:val="000000"/>
        </w:rPr>
        <w:br w:type="page"/>
      </w:r>
      <w:bookmarkStart w:id="13" w:name="_Toc264617150"/>
      <w:r>
        <w:rPr>
          <w:rFonts w:hint="eastAsia" w:ascii="宋体" w:hAnsi="宋体"/>
          <w:bCs w:val="0"/>
          <w:color w:val="000000"/>
          <w:sz w:val="30"/>
          <w:szCs w:val="30"/>
        </w:rPr>
        <w:t>十、基金信息披露</w:t>
      </w:r>
      <w:bookmarkEnd w:id="13"/>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（一）保密义务</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1．非因基金管理人和基金托管人的原因导致保密信息被披露、泄露或公开；</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2．基金管理人和基金托管人为遵守和服从法院判决或裁定、仲裁裁决或中国证监会等监管机构的命令、决定所做出的信息披露或公开。</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（二）信息披露的内容</w:t>
      </w:r>
    </w:p>
    <w:p>
      <w:pPr>
        <w:spacing w:line="360" w:lineRule="auto"/>
        <w:ind w:firstLine="480" w:firstLineChars="200"/>
        <w:rPr>
          <w:rFonts w:ascii="宋体" w:hAnsi="宋体" w:cs="宋体"/>
          <w:color w:val="000000"/>
          <w:sz w:val="24"/>
          <w:szCs w:val="24"/>
        </w:rPr>
      </w:pPr>
      <w:r>
        <w:rPr>
          <w:rFonts w:hint="eastAsia" w:ascii="宋体" w:hAnsi="宋体"/>
          <w:sz w:val="24"/>
          <w:szCs w:val="24"/>
        </w:rPr>
        <w:t>基金的信息披露内容主要包括基金招募说明书、基金合同、托管协议、基金产品资料概要、基金份额发售公告、基金合同生效公告、上市交易公告书、基金净值信息、基金份额申购、赎回价格、基金定期报告（包括基金年度报告、基金中期报告和基金季度报告）、临时报告、澄清公告、基金份额持有人大会决议、实施侧袋机制期间的信息披露、清算报告、基金投资资产支持证券情况、基金投资证券投资基金情况、基金投资港股通标的股票情况、</w:t>
      </w:r>
      <w:r>
        <w:rPr>
          <w:rFonts w:hint="eastAsia"/>
          <w:bCs/>
          <w:sz w:val="24"/>
        </w:rPr>
        <w:t>参与所持有基金的份额持有人大会表决意见的信息披露</w:t>
      </w:r>
      <w:r>
        <w:rPr>
          <w:rFonts w:hint="eastAsia" w:ascii="宋体" w:hAnsi="宋体"/>
          <w:sz w:val="24"/>
          <w:szCs w:val="24"/>
        </w:rPr>
        <w:t>及中国证监会规定的其他信息。基金年度报告中</w:t>
      </w:r>
      <w:r>
        <w:rPr>
          <w:rFonts w:ascii="宋体" w:hAnsi="宋体"/>
          <w:sz w:val="24"/>
          <w:szCs w:val="24"/>
        </w:rPr>
        <w:t>的财务会计报告</w:t>
      </w:r>
      <w:r>
        <w:rPr>
          <w:rFonts w:hint="eastAsia" w:ascii="宋体" w:hAnsi="宋体"/>
          <w:sz w:val="24"/>
          <w:szCs w:val="24"/>
        </w:rPr>
        <w:t>需经符合《中华人民共和国证券法》规定的会计师事务所审计后，方可披露。</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（三）基金托管人和基金管理人在信息披露中的职责和信息披露程序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1．职责</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基金管理人和基金托管人应积极配合、互相监督，保证按照法定方式和时限履行信息披露义务。</w:t>
      </w:r>
    </w:p>
    <w:p>
      <w:pPr>
        <w:spacing w:line="360" w:lineRule="auto"/>
        <w:ind w:firstLine="480" w:firstLineChars="200"/>
        <w:rPr>
          <w:rFonts w:ascii="宋体" w:hAnsi="宋体" w:cs="宋体"/>
          <w:color w:val="000000"/>
          <w:sz w:val="24"/>
          <w:szCs w:val="24"/>
        </w:rPr>
      </w:pPr>
      <w:r>
        <w:rPr>
          <w:rFonts w:hint="eastAsia" w:ascii="宋体" w:hAnsi="宋体"/>
          <w:sz w:val="24"/>
          <w:szCs w:val="24"/>
        </w:rPr>
        <w:t>基金管理人应当在中国证监会规定的时间内，将应予披露的基金信息通过中国</w:t>
      </w:r>
      <w:r>
        <w:rPr>
          <w:rFonts w:ascii="宋体" w:hAnsi="宋体"/>
          <w:sz w:val="24"/>
          <w:szCs w:val="24"/>
        </w:rPr>
        <w:t>证监会</w:t>
      </w:r>
      <w:r>
        <w:rPr>
          <w:rFonts w:hint="eastAsia" w:ascii="宋体" w:hAnsi="宋体"/>
          <w:sz w:val="24"/>
          <w:szCs w:val="24"/>
        </w:rPr>
        <w:t>规定媒介披露。根据法律法规应由基金托管人公开披露的信息，基金托管人将根据</w:t>
      </w:r>
      <w:r>
        <w:rPr>
          <w:rFonts w:ascii="宋体" w:hAnsi="宋体"/>
          <w:sz w:val="24"/>
          <w:szCs w:val="24"/>
        </w:rPr>
        <w:t>《</w:t>
      </w:r>
      <w:r>
        <w:rPr>
          <w:rFonts w:hint="eastAsia" w:ascii="宋体" w:hAnsi="宋体"/>
          <w:sz w:val="24"/>
          <w:szCs w:val="24"/>
        </w:rPr>
        <w:t>信息</w:t>
      </w:r>
      <w:r>
        <w:rPr>
          <w:rFonts w:ascii="宋体" w:hAnsi="宋体"/>
          <w:sz w:val="24"/>
          <w:szCs w:val="24"/>
        </w:rPr>
        <w:t>披露办法》</w:t>
      </w:r>
      <w:r>
        <w:rPr>
          <w:rFonts w:hint="eastAsia" w:ascii="宋体" w:hAnsi="宋体"/>
          <w:sz w:val="24"/>
          <w:szCs w:val="24"/>
        </w:rPr>
        <w:t>的</w:t>
      </w:r>
      <w:r>
        <w:rPr>
          <w:rFonts w:ascii="宋体" w:hAnsi="宋体"/>
          <w:sz w:val="24"/>
          <w:szCs w:val="24"/>
        </w:rPr>
        <w:t>规定进行</w:t>
      </w:r>
      <w:r>
        <w:rPr>
          <w:rFonts w:hint="eastAsia" w:ascii="宋体" w:hAnsi="宋体"/>
          <w:sz w:val="24"/>
          <w:szCs w:val="24"/>
        </w:rPr>
        <w:t>公开披露。</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当出现下述情况时，基金管理人和基金托管人可暂停或延迟披露基金相关信息：</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（1）不可抗力；</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（2）基金投资所涉及的证券交易市场遇法定节假日或因其他原因暂停营业时；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（3）法律法规、基金合同或中国证监会规定的其他情况。</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2．程序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按有关规定须经基金托管人复核的信息披露文件，由基金管理人起草、并经基金托管人复核后由基金管理人公告。发生基金合同中规定需要披露的事项时，按基金合同规定公布。</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3．信息文本的存放</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依法必须披露的信息发布后，基金管理人、基金托管人应当按照相关法律法规规定将信息置备于各自办公场所，供社会公众查阅、复制。基金管理人和基金托管人应保证文本的内容与所公告的内容完全一致。</w:t>
      </w:r>
    </w:p>
    <w:p>
      <w:pPr>
        <w:spacing w:line="360" w:lineRule="auto"/>
        <w:ind w:firstLine="480" w:firstLineChars="200"/>
        <w:rPr>
          <w:rFonts w:ascii="仿宋" w:hAnsi="仿宋" w:eastAsia="仿宋"/>
          <w:color w:val="000000"/>
          <w:sz w:val="24"/>
          <w:szCs w:val="24"/>
        </w:rPr>
      </w:pPr>
    </w:p>
    <w:p>
      <w:pPr>
        <w:pStyle w:val="3"/>
        <w:spacing w:line="360" w:lineRule="auto"/>
        <w:jc w:val="center"/>
        <w:rPr>
          <w:rFonts w:ascii="宋体" w:hAnsi="宋体"/>
          <w:color w:val="000000"/>
          <w:sz w:val="30"/>
          <w:szCs w:val="30"/>
        </w:rPr>
      </w:pPr>
      <w:r>
        <w:rPr>
          <w:rFonts w:hint="eastAsia" w:ascii="仿宋" w:hAnsi="仿宋" w:eastAsia="仿宋"/>
          <w:b w:val="0"/>
          <w:bCs w:val="0"/>
          <w:color w:val="000000"/>
        </w:rPr>
        <w:br w:type="page"/>
      </w:r>
      <w:bookmarkStart w:id="14" w:name="_Toc264617151"/>
      <w:r>
        <w:rPr>
          <w:rFonts w:hint="eastAsia" w:ascii="宋体" w:hAnsi="宋体"/>
          <w:bCs w:val="0"/>
          <w:color w:val="000000"/>
          <w:sz w:val="30"/>
          <w:szCs w:val="30"/>
        </w:rPr>
        <w:t>十一、基金费用</w:t>
      </w:r>
      <w:bookmarkEnd w:id="14"/>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（一）基金管理费的计提比例和计提方法</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基金基金财产中持有的基金管理人自身管理的基金部分不收取管理费。本基金的管理费按前一日基金资产净值扣除基金财产中持有的基金管理人自身管理的基金部分所对应资产后剩余部分的1%年费率计提。管理费的计算方法如下：</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H＝E×1%÷当年天数</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H为每日应计提的基金管理费</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E为前一日的基金资产净值扣除基金财产中持有的基金管理人自身管理的基金部分所对应资产后剩余部分，若为负数，则E取0。</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基金管理费每日计提，按月支付，经管理人授权后，由基金托管人根据与基金管理人核对一致的财务数据，自动在月初5个工作日内、按照指定的账户路径进行资金支付，基金管理人无需再出具资金划拨指令。若遇法定节假日、休息日等，支付日期顺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（二）基金托管费的计提比例和计提方法</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基金基金财产中持有的基金托管人自身托管的基金部分不收取托管费。本基金的托管费按前一日基金资产净值扣除基金财产中持有的基金托管人自身托管的基金部分所对应资产后剩余部分的0.2%的年费率计提。托管费的计算方法如下：</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H＝E×0.2%÷当年天数</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H为每日应计提的基金托管费</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E为前一日的基金资产净值扣除基金财产中持有的基金托管人自身托管的基金部分所对应资产后剩余部分，若为负数，则E取0。</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基金托管费每日计提，按月支付，经管理人授权后，由基金托管人根据与基金管理人核对一致的财务数据，自动在月初5个工作日内、按照指定的账户路径进行资金支付，基金管理人无需再出具资金划拨指令。若遇法定节假日、休息日等，支付日期顺延。</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托管费收入账户：</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户    名：基金托管费收入</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 xml:space="preserve">账    号：10010117380000001 </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开户银行：中国光大银行（系统支付号303100000006）</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 C类基金份额的销售服务费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本基金A类基金份额不收取销售服务费，C类基金份额的销售服务费按前一日C类基金资产净值的0.6%年费率计提。计算方法如下：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H＝E×0.6%÷当年天数</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H为C类基金份额每日应计提的销售服务费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E为C类基金份额前一日基金资产净值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C类基金份额的销售服务费每日计提，按月支付，</w:t>
      </w:r>
      <w:r>
        <w:rPr>
          <w:rFonts w:hint="eastAsia" w:ascii="宋体" w:hAnsi="宋体" w:cs="宋体"/>
          <w:bCs/>
          <w:color w:val="000000"/>
          <w:sz w:val="24"/>
        </w:rPr>
        <w:t>经管理人授权后，</w:t>
      </w:r>
      <w:r>
        <w:rPr>
          <w:rFonts w:hint="eastAsia" w:ascii="宋体" w:hAnsi="宋体" w:cs="宋体"/>
          <w:color w:val="000000"/>
          <w:sz w:val="24"/>
          <w:szCs w:val="24"/>
        </w:rPr>
        <w:t>由基金托管人根据与基金管理人核对一致的财务数据，自动在月初5个工作日内、按照指定的账户路径进行资金支付，基金管理人无需再出具资金划拨指令。若遇法定节假日、休息日等，支付日期顺延。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C类基金份额的销售服务费将专门用于本基金的推广、销售与基金份额持有人服务。</w:t>
      </w:r>
    </w:p>
    <w:p>
      <w:pPr>
        <w:spacing w:line="360" w:lineRule="auto"/>
        <w:ind w:firstLine="480" w:firstLineChars="200"/>
        <w:rPr>
          <w:rFonts w:ascii="宋体" w:hAnsi="宋体" w:cs="宋体"/>
          <w:color w:val="000000"/>
          <w:sz w:val="24"/>
          <w:szCs w:val="24"/>
          <w:shd w:val="pct10" w:color="auto" w:fill="FFFFFF"/>
        </w:rPr>
      </w:pPr>
      <w:r>
        <w:rPr>
          <w:rFonts w:hint="eastAsia" w:ascii="宋体" w:hAnsi="宋体" w:cs="宋体"/>
          <w:color w:val="000000"/>
          <w:sz w:val="24"/>
          <w:szCs w:val="24"/>
        </w:rPr>
        <w:t>（四）证券、</w:t>
      </w:r>
      <w:r>
        <w:rPr>
          <w:rFonts w:ascii="宋体" w:hAnsi="宋体" w:cs="宋体"/>
          <w:color w:val="000000"/>
          <w:sz w:val="24"/>
          <w:szCs w:val="24"/>
        </w:rPr>
        <w:t>基金</w:t>
      </w:r>
      <w:r>
        <w:rPr>
          <w:rFonts w:hint="eastAsia" w:ascii="宋体" w:hAnsi="宋体" w:cs="宋体"/>
          <w:color w:val="000000"/>
          <w:sz w:val="24"/>
          <w:szCs w:val="24"/>
        </w:rPr>
        <w:t>交易或结算费用、基金财产划拨支付的银行费用、证券账户开户费用及账户维护费用、基金合同生效后与基金相关的信息披露费用、基金份额持有人大会费用、基金合同生效后与基金有关的会计师费、律师费、仲裁费和诉讼费、</w:t>
      </w:r>
      <w:r>
        <w:rPr>
          <w:rFonts w:hint="eastAsia" w:ascii="宋体" w:hAnsi="宋体" w:cs="宋体"/>
          <w:bCs/>
          <w:color w:val="000000"/>
          <w:sz w:val="24"/>
          <w:szCs w:val="24"/>
        </w:rPr>
        <w:t>因投资港股通标的股票而产生的各项合理费用、从A类基金份额的基金财产中计提的基金上市费用、本基金投资其他基金产生的其他基金的销售费用（如申购费、赎回费、销售服务费等，但法律法规禁止从基金财产中列支的除外）</w:t>
      </w:r>
      <w:r>
        <w:rPr>
          <w:rFonts w:hint="eastAsia" w:ascii="宋体" w:hAnsi="宋体" w:cs="宋体"/>
          <w:color w:val="000000"/>
          <w:sz w:val="24"/>
          <w:szCs w:val="24"/>
        </w:rPr>
        <w:t>等根据有关法律法规、基金合同及相应协议的规定，列入当期基金费用。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（五）不列入基金费用的项目</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合同生效前的律师费、会计师费、信息披露费用以及其他费用不得从基金财产中列支。基金管理人与基金托管人因未履行或未完全履行义务导致的费用支出或基金财产的损失，以及处理与基金运作无关的事项发生的费用等不列入基金费用。其他根据相关法律法规及中国证监会的有关规定不得列入基金费用的项目不列入基金费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（六）基金管理费、基金托管费、销售服务费的调整</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在遵守相关的法律法规并履行了必要的程序的前提下，基金管理人和基金托管人协商一致后可酌情调整基金管理费、基金托管费和销售服务费。基金管理人必须于新的费率实施日前按照《信息披露办法》的规定在规定媒介上刊登公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（七）基金管理费、基金托管费和销售服务费的复核程序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基金托管人对基金管理人计提的基金管理费、基金托管费和销售服务费等，根据本托管协议和基金合同的有关规定进行复核。</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（八）违规处理方式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（九）实施侧袋机制期间的基金费用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本基金实施侧袋机制的，与侧袋账户有关的费用可以从侧袋账户中列支，但应待侧袋账户资产变现后方可列支，有关费用可酌情收取或减免，但不得收取管理费，详见招募说明书的规定。</w:t>
      </w:r>
    </w:p>
    <w:p>
      <w:pPr>
        <w:pStyle w:val="3"/>
        <w:spacing w:line="360" w:lineRule="auto"/>
        <w:jc w:val="center"/>
        <w:rPr>
          <w:rFonts w:ascii="宋体" w:hAnsi="宋体"/>
          <w:color w:val="000000"/>
          <w:sz w:val="30"/>
          <w:szCs w:val="30"/>
        </w:rPr>
      </w:pPr>
      <w:r>
        <w:rPr>
          <w:rFonts w:hint="eastAsia" w:ascii="仿宋" w:hAnsi="仿宋" w:eastAsia="仿宋"/>
          <w:b w:val="0"/>
          <w:bCs w:val="0"/>
          <w:color w:val="000000"/>
        </w:rPr>
        <w:br w:type="page"/>
      </w:r>
      <w:bookmarkStart w:id="15" w:name="_Toc264617152"/>
      <w:r>
        <w:rPr>
          <w:rFonts w:hint="eastAsia" w:ascii="宋体" w:hAnsi="宋体"/>
          <w:bCs w:val="0"/>
          <w:color w:val="000000"/>
          <w:sz w:val="30"/>
          <w:szCs w:val="30"/>
        </w:rPr>
        <w:t>十二、基金份额持有人名册的保管</w:t>
      </w:r>
      <w:bookmarkEnd w:id="15"/>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低于法律法规规定的最低期限。如不能妥善保管，则按相关法规承担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pPr>
        <w:spacing w:line="360" w:lineRule="auto"/>
        <w:ind w:firstLine="480" w:firstLineChars="200"/>
        <w:rPr>
          <w:rFonts w:ascii="仿宋" w:hAnsi="仿宋" w:eastAsia="仿宋"/>
          <w:color w:val="000000"/>
          <w:sz w:val="24"/>
          <w:szCs w:val="24"/>
        </w:rPr>
      </w:pPr>
    </w:p>
    <w:p>
      <w:pPr>
        <w:pStyle w:val="3"/>
        <w:spacing w:line="360" w:lineRule="auto"/>
        <w:jc w:val="center"/>
        <w:rPr>
          <w:rFonts w:ascii="宋体" w:hAnsi="宋体"/>
          <w:color w:val="000000"/>
          <w:sz w:val="30"/>
          <w:szCs w:val="30"/>
        </w:rPr>
      </w:pPr>
      <w:r>
        <w:rPr>
          <w:rFonts w:hint="eastAsia" w:ascii="仿宋" w:hAnsi="仿宋" w:eastAsia="仿宋"/>
          <w:b w:val="0"/>
          <w:bCs w:val="0"/>
          <w:color w:val="000000"/>
        </w:rPr>
        <w:br w:type="page"/>
      </w:r>
      <w:bookmarkStart w:id="16" w:name="_Toc264617153"/>
      <w:r>
        <w:rPr>
          <w:rFonts w:hint="eastAsia" w:ascii="宋体" w:hAnsi="宋体"/>
          <w:bCs w:val="0"/>
          <w:color w:val="000000"/>
          <w:sz w:val="30"/>
          <w:szCs w:val="30"/>
        </w:rPr>
        <w:t>十三、基金有关文件档案的保存</w:t>
      </w:r>
      <w:bookmarkEnd w:id="16"/>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（一）档案保存</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（二）合同档案的建立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1．基金管理人签署重大合同文本后，应及时将合同文本正本送达基金托管人处。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2．基金管理人应及时将与本基金账务处理、资金划拨等有关的合同、协议传真基金托管人。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（三）变更与协助</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若基金管理人/基金托管人发生变更，未变更的一方有义务协助变更后的接任人接收相应文件。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（四）基金管理人和基金托管人应按各自职责完整保存原始凭证、记账凭证、基金账册、交易记录和重要合同等，承担保密义务并保存不低于法律法规规定的最低期限。</w:t>
      </w:r>
    </w:p>
    <w:p>
      <w:pPr>
        <w:spacing w:line="360" w:lineRule="auto"/>
        <w:ind w:firstLine="480" w:firstLineChars="200"/>
        <w:rPr>
          <w:rFonts w:ascii="仿宋" w:hAnsi="仿宋" w:eastAsia="仿宋"/>
          <w:color w:val="000000"/>
          <w:sz w:val="24"/>
          <w:szCs w:val="24"/>
        </w:rPr>
      </w:pPr>
    </w:p>
    <w:p>
      <w:pPr>
        <w:pStyle w:val="3"/>
        <w:spacing w:line="360" w:lineRule="auto"/>
        <w:jc w:val="center"/>
        <w:rPr>
          <w:rFonts w:ascii="宋体" w:hAnsi="宋体"/>
          <w:color w:val="000000"/>
          <w:sz w:val="30"/>
          <w:szCs w:val="30"/>
        </w:rPr>
      </w:pPr>
      <w:r>
        <w:rPr>
          <w:rFonts w:hint="eastAsia" w:ascii="仿宋" w:hAnsi="仿宋" w:eastAsia="仿宋"/>
          <w:b w:val="0"/>
          <w:bCs w:val="0"/>
          <w:color w:val="000000"/>
        </w:rPr>
        <w:br w:type="page"/>
      </w:r>
      <w:bookmarkStart w:id="17" w:name="_Toc264617154"/>
      <w:r>
        <w:rPr>
          <w:rFonts w:hint="eastAsia" w:ascii="宋体" w:hAnsi="宋体"/>
          <w:bCs w:val="0"/>
          <w:color w:val="000000"/>
          <w:sz w:val="30"/>
          <w:szCs w:val="30"/>
        </w:rPr>
        <w:t>十四、基金管理人和基金托管人的更换</w:t>
      </w:r>
      <w:bookmarkEnd w:id="17"/>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（一）基金管理人的更换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1、基金管理人职责终止的情形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有下列情形之一的，基金管理人职责终止：</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w:t>
      </w:r>
      <w:r>
        <w:rPr>
          <w:rFonts w:hint="eastAsia" w:ascii="宋体" w:hAnsi="宋体" w:cs="宋体"/>
          <w:color w:val="000000"/>
          <w:sz w:val="24"/>
          <w:szCs w:val="24"/>
        </w:rPr>
        <w:t>1)被依法取消基金管理资格；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(2)被基金份额持有人大会解任；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(3)依法解散、被依法撤销或被依法宣告破产；</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(4)法律法规及中国证监会规定的和基金合同约定的其他情形。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2、更换基金管理人的程序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(1)提名：新任基金管理人由基金托管人或由单独或合计持有10%以上（含10%）基金份额的基金份额持有人提名；</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(3)临时基金管理人：新任基金管理人产生之前，由中国证监会指定临时基金管理人；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(4)备案：基金份额持有人大会更换基金管理人的决议须报中国证监会备案；</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(5)公告：基金管理人更换后，由基金托管人在更换基金管理人的基金份额持有人大会决议生效后依照《信息披露办法》的规定在规定媒介公告；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w:t>
      </w:r>
      <w:r>
        <w:rPr>
          <w:rFonts w:hint="eastAsia" w:ascii="宋体" w:hAnsi="宋体" w:cs="宋体"/>
          <w:bCs/>
          <w:color w:val="000000"/>
          <w:sz w:val="24"/>
          <w:szCs w:val="24"/>
        </w:rPr>
        <w:t>者</w:t>
      </w:r>
      <w:r>
        <w:rPr>
          <w:rFonts w:hint="eastAsia" w:ascii="宋体" w:hAnsi="宋体" w:cs="宋体"/>
          <w:color w:val="000000"/>
          <w:sz w:val="24"/>
          <w:szCs w:val="24"/>
        </w:rPr>
        <w:t>临时基金管理人应与基金托管人核对基金资产总值和净值；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审计：基金管理人职责终止的，应当按照法律法规规定聘请符合《中华人民共和国证券法》规定的会计师事务所对基金财产进行审计，并将审计结果予以公告，同时报中国证监会备案，审计费用从基金财产中列支；</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(8)基金名称变更：基金管理人更换后，如果原任或新任基金管理人要求，应按其要求替换或删除基金名称中与原任基金管理人有关的名称字样。</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（二）基金托管人的更换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1、基金托管人职责终止的情形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有下列情形之一的，基金托管人职责终止：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(1)被依法取消基金托管资格；</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(2)被基金份额持有人大会解任；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(3)依法解散、被依法撤销或被依法宣告破产；</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(4)法律法规及中国证监会规定的和基金合同约定的其他情形。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2、更换基金托管人的程序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(1)提名：新任基金托管人由基金管理人或由单独或合计持有10%以上（含10%）基金份额的基金份额持有人提名；</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(2)决议：基金份额持有人大会在基金托管人职责终止后6个月内对被提名的新任基金托管人形成决议，该决议需经参加大会的基金份额持有人所持表决权的三分之二以上（含三分之二）表决通过，</w:t>
      </w:r>
      <w:r>
        <w:rPr>
          <w:rFonts w:hint="eastAsia"/>
          <w:bCs/>
          <w:sz w:val="24"/>
        </w:rPr>
        <w:t>决议</w:t>
      </w:r>
      <w:r>
        <w:rPr>
          <w:rFonts w:hint="eastAsia" w:ascii="宋体" w:hAnsi="宋体" w:cs="宋体"/>
          <w:color w:val="000000"/>
          <w:sz w:val="24"/>
          <w:szCs w:val="24"/>
        </w:rPr>
        <w:t>自表决通过之日起生效，新任基金托管人应当符合法律法规及中国证监会规定的资格条件；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(3)临时基金托管人：新任基金托管人产生之前，由中国证监会指定临时基金托管人；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(4)备案：基金份额持有人大会更换基金托管人的决议须报中国证监会备案；</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(5)公告：基金托管人更换后，由基金管理人在更换基金托管人的基金份额持有人大会决议生效后依照《信息披露办法》的规定在规定媒介公告；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(6)交接：基金托管人职责终止的，应当妥善保管基金财产和基金托管业务资料，及时办理基金财产和基金托管业务的移交手续，新任基金托管人或者临时基金托管人应当及时接收。新任基金托管人或</w:t>
      </w:r>
      <w:r>
        <w:rPr>
          <w:rFonts w:hint="eastAsia" w:ascii="宋体" w:hAnsi="宋体" w:cs="宋体"/>
          <w:bCs/>
          <w:color w:val="000000"/>
          <w:sz w:val="24"/>
          <w:szCs w:val="24"/>
        </w:rPr>
        <w:t>者</w:t>
      </w:r>
      <w:r>
        <w:rPr>
          <w:rFonts w:hint="eastAsia" w:ascii="宋体" w:hAnsi="宋体" w:cs="宋体"/>
          <w:color w:val="000000"/>
          <w:sz w:val="24"/>
          <w:szCs w:val="24"/>
        </w:rPr>
        <w:t xml:space="preserve">临时基金托管人应与基金管理人核对基金资产总值和净值；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审计：基金托管人职责终止的，应当按照法律法规规定聘请符合《中华人民共和国证券法》规定的会计师事务所对基金财产进行审计，并将审计结果予以公告，同时报中国证监会备案，审计费用从基金财产中列支。</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w:t>
      </w:r>
      <w:r>
        <w:rPr>
          <w:rFonts w:hint="eastAsia" w:ascii="宋体" w:hAnsi="宋体" w:cs="宋体"/>
          <w:color w:val="000000"/>
          <w:sz w:val="24"/>
          <w:szCs w:val="24"/>
        </w:rPr>
        <w:tab/>
      </w:r>
      <w:r>
        <w:rPr>
          <w:rFonts w:hint="eastAsia" w:ascii="宋体" w:hAnsi="宋体" w:cs="宋体"/>
          <w:color w:val="000000"/>
          <w:sz w:val="24"/>
          <w:szCs w:val="24"/>
        </w:rPr>
        <w:t>基金管理人和基金托管人的同时更换程序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1、提名：如果基金管理人和基金托管人同时更换，由单独或合计持有基金总份额</w:t>
      </w:r>
      <w:r>
        <w:rPr>
          <w:rFonts w:ascii="宋体" w:hAnsi="宋体" w:cs="宋体"/>
          <w:color w:val="000000"/>
          <w:sz w:val="24"/>
          <w:szCs w:val="24"/>
        </w:rPr>
        <w:t>10%</w:t>
      </w:r>
      <w:r>
        <w:rPr>
          <w:rFonts w:hint="eastAsia" w:ascii="宋体" w:hAnsi="宋体" w:cs="宋体"/>
          <w:color w:val="000000"/>
          <w:sz w:val="24"/>
          <w:szCs w:val="24"/>
        </w:rPr>
        <w:t>以上（含</w:t>
      </w:r>
      <w:r>
        <w:rPr>
          <w:rFonts w:ascii="宋体" w:hAnsi="宋体" w:cs="宋体"/>
          <w:color w:val="000000"/>
          <w:sz w:val="24"/>
          <w:szCs w:val="24"/>
        </w:rPr>
        <w:t>10%</w:t>
      </w:r>
      <w:r>
        <w:rPr>
          <w:rFonts w:hint="eastAsia" w:ascii="宋体" w:hAnsi="宋体" w:cs="宋体"/>
          <w:color w:val="000000"/>
          <w:sz w:val="24"/>
          <w:szCs w:val="24"/>
        </w:rPr>
        <w:t>）的基金份额持有人提名新的基金管理人和基金托管人；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2、基金管理人和基金托管人的更换分别按上述程序进行；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3、公告：新任基金管理人和新任基金托管人应在更换基金管理人和基金托管人的基金份额持有人大会决议生效后依照《信息披露办法》的规定在规定媒介上联合公告。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新任基金管理人或临时基金管理人接收基金管理业务或新任基金托管人或临时基金托管人接收基金财产和基金托管业务前，原任基金管理人或基金托管人应继续履行相关职责，并保证不做出对基金份额持有人的利益造成损害的行为。原任基金管理人或基金托管人在继续履行相关职责期间，仍有权按照基金合同的约定收取基金管理费或基金托管费。</w:t>
      </w:r>
    </w:p>
    <w:p>
      <w:pPr>
        <w:spacing w:line="360" w:lineRule="auto"/>
        <w:ind w:firstLine="480" w:firstLineChars="200"/>
        <w:rPr>
          <w:rFonts w:ascii="仿宋" w:hAnsi="仿宋" w:eastAsia="仿宋"/>
          <w:color w:val="000000"/>
          <w:sz w:val="24"/>
          <w:szCs w:val="24"/>
        </w:rPr>
      </w:pPr>
      <w:r>
        <w:rPr>
          <w:rFonts w:hint="eastAsia" w:ascii="宋体" w:hAnsi="宋体" w:cs="宋体"/>
          <w:color w:val="000000"/>
          <w:sz w:val="24"/>
          <w:szCs w:val="24"/>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spacing w:line="360" w:lineRule="auto"/>
        <w:ind w:firstLine="480" w:firstLineChars="200"/>
        <w:rPr>
          <w:rFonts w:ascii="仿宋" w:hAnsi="仿宋" w:eastAsia="仿宋"/>
          <w:color w:val="000000"/>
          <w:sz w:val="24"/>
          <w:szCs w:val="24"/>
        </w:rPr>
      </w:pPr>
    </w:p>
    <w:p>
      <w:pPr>
        <w:pStyle w:val="3"/>
        <w:spacing w:line="360" w:lineRule="auto"/>
        <w:jc w:val="center"/>
        <w:rPr>
          <w:rFonts w:ascii="宋体" w:hAnsi="宋体"/>
          <w:color w:val="000000"/>
          <w:sz w:val="30"/>
          <w:szCs w:val="30"/>
        </w:rPr>
      </w:pPr>
      <w:r>
        <w:rPr>
          <w:rFonts w:hint="eastAsia" w:ascii="仿宋" w:hAnsi="仿宋" w:eastAsia="仿宋"/>
          <w:b w:val="0"/>
          <w:bCs w:val="0"/>
          <w:color w:val="000000"/>
        </w:rPr>
        <w:br w:type="page"/>
      </w:r>
      <w:bookmarkStart w:id="18" w:name="_Toc264617155"/>
      <w:r>
        <w:rPr>
          <w:rFonts w:hint="eastAsia" w:ascii="宋体" w:hAnsi="宋体"/>
          <w:bCs w:val="0"/>
          <w:color w:val="000000"/>
          <w:sz w:val="30"/>
          <w:szCs w:val="30"/>
        </w:rPr>
        <w:t>十五、禁止行为</w:t>
      </w:r>
      <w:bookmarkEnd w:id="18"/>
    </w:p>
    <w:p>
      <w:pPr>
        <w:spacing w:line="360" w:lineRule="auto"/>
        <w:ind w:firstLine="480" w:firstLineChars="200"/>
        <w:rPr>
          <w:rFonts w:ascii="宋体" w:hAnsi="宋体" w:cs="宋体"/>
          <w:color w:val="000000"/>
          <w:sz w:val="24"/>
          <w:szCs w:val="24"/>
          <w:shd w:val="pct10" w:color="auto" w:fill="FFFFFF"/>
        </w:rPr>
      </w:pPr>
      <w:r>
        <w:rPr>
          <w:rFonts w:hint="eastAsia" w:ascii="宋体" w:hAnsi="宋体" w:cs="宋体"/>
          <w:color w:val="000000"/>
          <w:sz w:val="24"/>
          <w:szCs w:val="24"/>
        </w:rPr>
        <w:t>本协议当事人禁止从事的行为，包括但不限于：</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（一）基金管理人、基金托管人将其固有财产或者他人财产混同于基金财产从事证券投资。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（二）基金管理人不公平地对待其管理的不同基金财产，基金托管人不公平地对待其托管的不同基金财产。</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（三）基金管理人、基金托管人利用基金财产或职务之便为基金份额持有人以外的第三人牟取利益。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（四）基金管理人、基金托管人向基金份额持有人违规承诺收益或者承担损失。</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（五）基金管理人、基金托管人对他人泄漏基金运作和管理过程中任何尚未按法律法规规定的方式公开披露的信息。</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（六）基金管理人在没有充足资金的情况下向基金托管人发出投资指令和赎回、分红资金的划拨指令，或违规向基金托管人发出指令。</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（七）基金管理人、基金托管人高级管理人员和其他从业人员相互兼职。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（八）基金托管人私自动用或处分基金财产，根据基金管理人的合法指令、基金合同或托管协议的规定进行处分的除外。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（九）基金管理人、基金托管人侵占、挪用基金财产。</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（十）基金管理人、基金托管人泄露因职务便利获取的未公开信息、利用该信息从事或者明示、暗示他人从事相关的交易活动。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（十一）基金管理人、基金托管人玩忽职守，不按照规定履行职责。</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（十二）基金财产用于下列投资或者活动：</w:t>
      </w:r>
    </w:p>
    <w:p>
      <w:pPr>
        <w:spacing w:line="360" w:lineRule="auto"/>
        <w:ind w:firstLine="480" w:firstLineChars="200"/>
        <w:rPr>
          <w:rFonts w:ascii="宋体" w:hAnsi="宋体" w:cs="宋体"/>
          <w:color w:val="000000"/>
          <w:sz w:val="24"/>
          <w:szCs w:val="21"/>
        </w:rPr>
      </w:pPr>
      <w:r>
        <w:rPr>
          <w:rFonts w:hint="eastAsia" w:ascii="宋体" w:hAnsi="宋体" w:cs="宋体"/>
          <w:color w:val="000000"/>
          <w:sz w:val="24"/>
          <w:szCs w:val="21"/>
        </w:rPr>
        <w:t>（1）承销证券；</w:t>
      </w:r>
    </w:p>
    <w:p>
      <w:pPr>
        <w:spacing w:line="360" w:lineRule="auto"/>
        <w:ind w:firstLine="480" w:firstLineChars="200"/>
        <w:rPr>
          <w:rFonts w:ascii="宋体" w:hAnsi="宋体" w:cs="宋体"/>
          <w:color w:val="000000"/>
          <w:sz w:val="24"/>
          <w:szCs w:val="21"/>
        </w:rPr>
      </w:pPr>
      <w:r>
        <w:rPr>
          <w:rFonts w:hint="eastAsia" w:ascii="宋体" w:hAnsi="宋体" w:cs="宋体"/>
          <w:color w:val="000000"/>
          <w:sz w:val="24"/>
          <w:szCs w:val="21"/>
        </w:rPr>
        <w:t>（2）违反规定向他人贷款或者提供担保；</w:t>
      </w:r>
    </w:p>
    <w:p>
      <w:pPr>
        <w:spacing w:line="360" w:lineRule="auto"/>
        <w:ind w:firstLine="480" w:firstLineChars="200"/>
        <w:rPr>
          <w:rFonts w:ascii="宋体" w:hAnsi="宋体" w:cs="宋体"/>
          <w:color w:val="000000"/>
          <w:sz w:val="24"/>
          <w:szCs w:val="21"/>
        </w:rPr>
      </w:pPr>
      <w:r>
        <w:rPr>
          <w:rFonts w:hint="eastAsia" w:ascii="宋体" w:hAnsi="宋体" w:cs="宋体"/>
          <w:color w:val="000000"/>
          <w:sz w:val="24"/>
          <w:szCs w:val="21"/>
        </w:rPr>
        <w:t>（3）从事承担无限责任的投资；</w:t>
      </w:r>
    </w:p>
    <w:p>
      <w:pPr>
        <w:spacing w:line="360" w:lineRule="auto"/>
        <w:ind w:firstLine="480" w:firstLineChars="200"/>
        <w:rPr>
          <w:rFonts w:ascii="宋体" w:hAnsi="宋体" w:cs="宋体"/>
          <w:color w:val="000000"/>
          <w:sz w:val="24"/>
          <w:szCs w:val="21"/>
        </w:rPr>
      </w:pPr>
      <w:r>
        <w:rPr>
          <w:rFonts w:hint="eastAsia" w:ascii="宋体" w:hAnsi="宋体" w:cs="宋体"/>
          <w:color w:val="000000"/>
          <w:sz w:val="24"/>
          <w:szCs w:val="21"/>
        </w:rPr>
        <w:t>（4）向其基金管理人、基金托管人出资；</w:t>
      </w:r>
    </w:p>
    <w:p>
      <w:pPr>
        <w:spacing w:line="360" w:lineRule="auto"/>
        <w:ind w:firstLine="480" w:firstLineChars="200"/>
        <w:rPr>
          <w:rFonts w:ascii="宋体" w:hAnsi="宋体" w:cs="宋体"/>
          <w:color w:val="000000"/>
          <w:sz w:val="24"/>
          <w:szCs w:val="21"/>
        </w:rPr>
      </w:pPr>
      <w:r>
        <w:rPr>
          <w:rFonts w:hint="eastAsia" w:ascii="宋体" w:hAnsi="宋体" w:cs="宋体"/>
          <w:color w:val="000000"/>
          <w:sz w:val="24"/>
          <w:szCs w:val="21"/>
        </w:rPr>
        <w:t>（</w:t>
      </w:r>
      <w:r>
        <w:rPr>
          <w:rFonts w:ascii="宋体" w:hAnsi="宋体" w:cs="宋体"/>
          <w:color w:val="000000"/>
          <w:sz w:val="24"/>
          <w:szCs w:val="21"/>
        </w:rPr>
        <w:t>5</w:t>
      </w:r>
      <w:r>
        <w:rPr>
          <w:rFonts w:hint="eastAsia" w:ascii="宋体" w:hAnsi="宋体" w:cs="宋体"/>
          <w:color w:val="000000"/>
          <w:sz w:val="24"/>
          <w:szCs w:val="21"/>
        </w:rPr>
        <w:t>）从事内幕交易、操纵证券交易价格及其他不正当的证券交易活动；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1"/>
        </w:rPr>
        <w:t>（</w:t>
      </w:r>
      <w:r>
        <w:rPr>
          <w:rFonts w:ascii="宋体" w:hAnsi="宋体" w:cs="宋体"/>
          <w:color w:val="000000"/>
          <w:sz w:val="24"/>
          <w:szCs w:val="21"/>
        </w:rPr>
        <w:t>6</w:t>
      </w:r>
      <w:r>
        <w:rPr>
          <w:rFonts w:hint="eastAsia" w:ascii="宋体" w:hAnsi="宋体" w:cs="宋体"/>
          <w:color w:val="000000"/>
          <w:sz w:val="24"/>
          <w:szCs w:val="21"/>
        </w:rPr>
        <w:t>）法律、行政法规和中国证监会规定禁止的其他活动。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（十三）法律法规和基金合同禁止的其他行为，以及法律、行政法规和中国证监会规定禁止基金管理人、基金托管人从事的其他行为。</w:t>
      </w:r>
    </w:p>
    <w:p>
      <w:pPr>
        <w:spacing w:line="360" w:lineRule="auto"/>
        <w:ind w:firstLine="480" w:firstLineChars="200"/>
        <w:rPr>
          <w:rFonts w:ascii="仿宋" w:hAnsi="仿宋" w:eastAsia="仿宋"/>
          <w:color w:val="000000"/>
          <w:sz w:val="24"/>
          <w:szCs w:val="24"/>
        </w:rPr>
      </w:pPr>
      <w:r>
        <w:rPr>
          <w:rFonts w:hint="eastAsia" w:ascii="宋体" w:hAnsi="宋体" w:cs="宋体"/>
          <w:color w:val="000000"/>
          <w:sz w:val="24"/>
          <w:szCs w:val="24"/>
        </w:rPr>
        <w:t>如法律、行政法规或监管部门取消上述规定，如适用于本基金，基金管理人在履行适当程序后，本基金可不受上述规定的限制。</w:t>
      </w:r>
    </w:p>
    <w:p>
      <w:pPr>
        <w:pStyle w:val="3"/>
        <w:spacing w:line="360" w:lineRule="auto"/>
        <w:jc w:val="center"/>
        <w:rPr>
          <w:rFonts w:ascii="宋体" w:hAnsi="宋体"/>
          <w:bCs w:val="0"/>
          <w:color w:val="000000"/>
          <w:sz w:val="30"/>
          <w:szCs w:val="30"/>
        </w:rPr>
      </w:pPr>
      <w:r>
        <w:rPr>
          <w:rFonts w:hint="eastAsia" w:ascii="仿宋" w:hAnsi="仿宋" w:eastAsia="仿宋"/>
          <w:b w:val="0"/>
          <w:bCs w:val="0"/>
          <w:color w:val="000000"/>
          <w:sz w:val="24"/>
          <w:szCs w:val="24"/>
        </w:rPr>
        <w:br w:type="page"/>
      </w:r>
      <w:bookmarkStart w:id="19" w:name="_Toc264617156"/>
      <w:r>
        <w:rPr>
          <w:rFonts w:hint="eastAsia" w:ascii="宋体" w:hAnsi="宋体"/>
          <w:bCs w:val="0"/>
          <w:color w:val="000000"/>
          <w:sz w:val="30"/>
          <w:szCs w:val="30"/>
        </w:rPr>
        <w:t>十六、托管协议的变更、终止与基金财产的清算</w:t>
      </w:r>
      <w:bookmarkEnd w:id="19"/>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（一）托管协议的变更程序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本协议双方当事人经协商一致，可以对协议进行修改。修改后的新协议，其内容不得与基金合同的规定有任何冲突。基金托管协议的变更报中国证监会</w:t>
      </w:r>
      <w:r>
        <w:rPr>
          <w:rFonts w:hint="eastAsia" w:ascii="宋体" w:hAnsi="宋体" w:cs="宋体"/>
          <w:color w:val="000000"/>
          <w:spacing w:val="6"/>
          <w:sz w:val="24"/>
        </w:rPr>
        <w:t>备案</w:t>
      </w:r>
      <w:r>
        <w:rPr>
          <w:rFonts w:hint="eastAsia" w:ascii="宋体" w:hAnsi="宋体" w:cs="宋体"/>
          <w:color w:val="000000"/>
          <w:sz w:val="24"/>
          <w:szCs w:val="24"/>
        </w:rPr>
        <w:t>。</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（二）基金托管协议终止出现的情形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1．基金合同终止；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2．基金托管人解散、依法被撤销、破产或由其他基金托管人接管基金资产；</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3．基金管理人解散、依法被撤销、破产或由其他基金管理人接管基金管理权；</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4．发生法律法规或基金合同规定的终止事项。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（三）基金财产的清算</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1．基金财产清算小组</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（1）自出现基金合同终止事由之日起30个工作日内成立清算小组，基金管理人组织基金财产清算小组并在中国证监会的监督下进行基金清算。</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（3）在基金财产清算过程中，基金管理人和基金托管人应各自履行职责，继续忠实、勤勉、尽责地履行基金合同和本托管协议规定的义务，维护基金份额持有人的合法权益。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（4）基金财产清算小组负责基金财产的保管、清理、估价、变现和分配。基金财产清算小组可以依法进行必要的民事活动。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2．基金财产清算程序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基金合同终止，应当按法律法规和基金合同的有关规定对基金财产进行清算。基金财产清算程序主要包括：</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（1）基金合同终止情形出现时，由基金财产清算小组统一接管基金；</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（2）对基金财产和债权债务进行清理和确认；</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（3）对基金财产进行估值和变现；</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（4）制作清算报告；</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（5）聘请会计师事务所对清算报告进行外部审计，聘请律师事务所对清算报告出具法律意见书；</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（6）将清算报告报中国证监会备案并公告；</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（7）对基金剩余财产进行分配。</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3.基金财产清算的期限为6个月，但因本基金所持证券的流动性受到限制而不能及时变现的，清算期限相应顺延。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4．清算费用</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清算费用是指基金财产清算小组在进行基金清算过程中发生的所有合理费用，清算费用由基金财产清算小组优先从基金财产中支付。</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5．基金财产按下列顺序清偿：</w:t>
      </w:r>
    </w:p>
    <w:p>
      <w:pPr>
        <w:spacing w:line="360" w:lineRule="auto"/>
        <w:ind w:firstLine="480" w:firstLineChars="200"/>
        <w:rPr>
          <w:rFonts w:ascii="宋体" w:hAnsi="宋体" w:cs="宋体"/>
          <w:bCs/>
          <w:sz w:val="24"/>
        </w:rPr>
      </w:pPr>
      <w:r>
        <w:rPr>
          <w:rFonts w:hint="eastAsia" w:ascii="宋体" w:hAnsi="宋体" w:cs="宋体"/>
          <w:bCs/>
          <w:sz w:val="24"/>
        </w:rPr>
        <w:t>(1)支付清算费用；</w:t>
      </w:r>
    </w:p>
    <w:p>
      <w:pPr>
        <w:spacing w:line="360" w:lineRule="auto"/>
        <w:ind w:firstLine="480" w:firstLineChars="200"/>
        <w:rPr>
          <w:rFonts w:ascii="宋体" w:hAnsi="宋体" w:cs="宋体"/>
          <w:bCs/>
          <w:sz w:val="24"/>
        </w:rPr>
      </w:pPr>
      <w:r>
        <w:rPr>
          <w:rFonts w:hint="eastAsia" w:ascii="宋体" w:hAnsi="宋体" w:cs="宋体"/>
          <w:bCs/>
          <w:sz w:val="24"/>
        </w:rPr>
        <w:t>(2)交纳所欠税款；</w:t>
      </w:r>
    </w:p>
    <w:p>
      <w:pPr>
        <w:spacing w:line="360" w:lineRule="auto"/>
        <w:ind w:firstLine="480" w:firstLineChars="200"/>
        <w:rPr>
          <w:rFonts w:ascii="宋体" w:hAnsi="宋体" w:cs="宋体"/>
          <w:bCs/>
          <w:sz w:val="24"/>
        </w:rPr>
      </w:pPr>
      <w:r>
        <w:rPr>
          <w:rFonts w:hint="eastAsia" w:ascii="宋体" w:hAnsi="宋体" w:cs="宋体"/>
          <w:bCs/>
          <w:sz w:val="24"/>
        </w:rPr>
        <w:t>(3)清偿基金债务；</w:t>
      </w:r>
    </w:p>
    <w:p>
      <w:pPr>
        <w:spacing w:line="360" w:lineRule="auto"/>
        <w:ind w:firstLine="480" w:firstLineChars="200"/>
        <w:rPr>
          <w:rFonts w:ascii="宋体" w:hAnsi="宋体" w:cs="宋体"/>
          <w:bCs/>
          <w:sz w:val="24"/>
        </w:rPr>
      </w:pPr>
      <w:r>
        <w:rPr>
          <w:rFonts w:hint="eastAsia" w:ascii="宋体" w:hAnsi="宋体" w:cs="宋体"/>
          <w:bCs/>
          <w:sz w:val="24"/>
        </w:rPr>
        <w:t>(4)按基金份额持有人持有的基金份额比例进行分配。</w:t>
      </w:r>
    </w:p>
    <w:p>
      <w:pPr>
        <w:spacing w:line="360" w:lineRule="auto"/>
        <w:ind w:firstLine="480" w:firstLineChars="200"/>
        <w:rPr>
          <w:rFonts w:ascii="宋体" w:hAnsi="宋体" w:cs="宋体"/>
          <w:bCs/>
          <w:sz w:val="24"/>
        </w:rPr>
      </w:pPr>
      <w:r>
        <w:rPr>
          <w:rFonts w:hint="eastAsia" w:ascii="宋体" w:hAnsi="宋体" w:cs="宋体"/>
          <w:bCs/>
          <w:sz w:val="24"/>
        </w:rPr>
        <w:t>基金财产未按前款(1)－(3)项规定清偿前，不分配给基金份额持有人。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6．基金财产清算的公告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清算过程中的有关重大事项须及时公告；基金财产清算报告经</w:t>
      </w:r>
      <w:r>
        <w:rPr>
          <w:rFonts w:hint="eastAsia"/>
          <w:bCs/>
          <w:sz w:val="24"/>
        </w:rPr>
        <w:t>符合《中华人民共和国证券法》规定的</w:t>
      </w:r>
      <w:r>
        <w:rPr>
          <w:rFonts w:hint="eastAsia" w:ascii="宋体" w:hAnsi="宋体" w:cs="宋体"/>
          <w:color w:val="000000"/>
          <w:sz w:val="24"/>
          <w:szCs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7．基金财产清算账册及文件的保存</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基金财产清算账册及有关文件由基金托管人保存不低于法律法规规定的最低期限。</w:t>
      </w:r>
    </w:p>
    <w:p>
      <w:pPr>
        <w:spacing w:line="360" w:lineRule="auto"/>
        <w:ind w:firstLine="480" w:firstLineChars="200"/>
        <w:rPr>
          <w:rFonts w:ascii="宋体" w:hAnsi="宋体" w:cs="宋体"/>
          <w:color w:val="000000"/>
          <w:sz w:val="24"/>
          <w:szCs w:val="24"/>
        </w:rPr>
      </w:pPr>
    </w:p>
    <w:p>
      <w:pPr>
        <w:pStyle w:val="3"/>
        <w:spacing w:line="360" w:lineRule="auto"/>
        <w:jc w:val="center"/>
        <w:rPr>
          <w:rFonts w:ascii="宋体" w:hAnsi="宋体"/>
          <w:color w:val="000000"/>
          <w:sz w:val="30"/>
          <w:szCs w:val="30"/>
        </w:rPr>
      </w:pPr>
      <w:r>
        <w:rPr>
          <w:rFonts w:hint="eastAsia" w:ascii="仿宋" w:hAnsi="仿宋" w:eastAsia="仿宋"/>
          <w:b w:val="0"/>
          <w:bCs w:val="0"/>
          <w:color w:val="000000"/>
        </w:rPr>
        <w:br w:type="page"/>
      </w:r>
      <w:bookmarkStart w:id="20" w:name="_Toc264617157"/>
      <w:r>
        <w:rPr>
          <w:rFonts w:hint="eastAsia" w:ascii="宋体" w:hAnsi="宋体"/>
          <w:bCs w:val="0"/>
          <w:color w:val="000000"/>
          <w:sz w:val="30"/>
          <w:szCs w:val="30"/>
        </w:rPr>
        <w:t>十七、违约责任</w:t>
      </w:r>
      <w:bookmarkEnd w:id="20"/>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（一）基金管理人、基金托管人不履行本协议或履行本协议不符合约定的，应当承担违约责任。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（三）一方当事人违约，给另一方当事人造成损失的，应就损失进行赔偿；给基金财产造成损失的，应就损失进行赔偿，另一方当事人有权利及义务代表基金向违约方追偿。但是如发生下列情况，当事人免责：</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1、不可抗力；</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2、基金管理人和/或基金托管人按照当时有效的法律法规或中国证监会的规定作为或不作为而造成的损失等；</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3、基金管理人由于按照基金合同规定的投资原则行使或不行使其投资权而造成的损失等。</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一方当事人违约，另一方当事人在职责范围内有义务及时采取必要的措施，尽力防止损失的扩大；没有采取适当措施致使损失扩大的，不得就扩大的损失要求赔偿。非违约方因防止损失扩大而支出的合理费用由违约方承担。</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pPr>
        <w:pStyle w:val="3"/>
        <w:spacing w:line="360" w:lineRule="auto"/>
        <w:jc w:val="center"/>
        <w:rPr>
          <w:rFonts w:ascii="宋体" w:hAnsi="宋体"/>
          <w:color w:val="000000"/>
          <w:sz w:val="30"/>
          <w:szCs w:val="30"/>
        </w:rPr>
      </w:pPr>
      <w:bookmarkStart w:id="21" w:name="_Toc264617158"/>
      <w:r>
        <w:rPr>
          <w:rFonts w:hint="eastAsia" w:ascii="宋体" w:hAnsi="宋体"/>
          <w:bCs w:val="0"/>
          <w:color w:val="000000"/>
          <w:sz w:val="30"/>
          <w:szCs w:val="30"/>
        </w:rPr>
        <w:t>十八、争议解决方式</w:t>
      </w:r>
      <w:bookmarkEnd w:id="21"/>
    </w:p>
    <w:p>
      <w:pPr>
        <w:spacing w:line="360" w:lineRule="auto"/>
        <w:ind w:firstLine="480" w:firstLineChars="200"/>
        <w:rPr>
          <w:rFonts w:ascii="宋体" w:hAnsi="宋体" w:cs="宋体"/>
          <w:color w:val="000000"/>
          <w:sz w:val="24"/>
          <w:szCs w:val="24"/>
        </w:rPr>
      </w:pPr>
      <w:r>
        <w:rPr>
          <w:rFonts w:hint="eastAsia" w:ascii="宋体" w:hAnsi="宋体" w:cs="宋体"/>
          <w:bCs/>
          <w:color w:val="000000"/>
          <w:sz w:val="24"/>
        </w:rPr>
        <w:t>双方当事人同意，因基金合同及本协议而产生的或与基金合同或本协议有关的一切争议，如经友好协商未能解决的，任何一方均有权将争议提交中国国际经济贸易仲裁委员会，按照该会届时有效的仲裁规则进行仲裁。仲裁地点为北京市。仲裁裁决是终局的，对双方当事人均有约束力，仲裁费用由败诉方承担，除非仲裁裁决另有规定</w:t>
      </w:r>
      <w:r>
        <w:rPr>
          <w:rFonts w:hint="eastAsia" w:ascii="宋体" w:hAnsi="宋体" w:cs="宋体"/>
          <w:color w:val="000000"/>
          <w:sz w:val="24"/>
          <w:szCs w:val="24"/>
        </w:rPr>
        <w:t>。</w:t>
      </w:r>
    </w:p>
    <w:p>
      <w:pPr>
        <w:spacing w:line="360" w:lineRule="auto"/>
        <w:ind w:firstLine="480" w:firstLineChars="200"/>
        <w:rPr>
          <w:rFonts w:ascii="宋体" w:hAnsi="宋体" w:cs="宋体"/>
          <w:color w:val="000000"/>
          <w:sz w:val="24"/>
          <w:szCs w:val="24"/>
        </w:rPr>
      </w:pPr>
      <w:r>
        <w:rPr>
          <w:rFonts w:hint="eastAsia" w:ascii="宋体" w:hAnsi="宋体"/>
          <w:sz w:val="24"/>
          <w:szCs w:val="24"/>
        </w:rPr>
        <w:t>争议处理期间，双方当事人应恪守基金管理人和基金托管人职责，各自继续忠实、勤勉、尽责地履行基金合同和本托管协议规定的义务，维护基金份额持有人的合法权益。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本协议受中国法律</w:t>
      </w:r>
      <w:r>
        <w:rPr>
          <w:rFonts w:hint="eastAsia"/>
          <w:bCs/>
          <w:sz w:val="24"/>
        </w:rPr>
        <w:t>（不含</w:t>
      </w:r>
      <w:r>
        <w:rPr>
          <w:bCs/>
          <w:sz w:val="24"/>
        </w:rPr>
        <w:t>港澳台地区法律）</w:t>
      </w:r>
      <w:r>
        <w:rPr>
          <w:rFonts w:hint="eastAsia" w:ascii="宋体" w:hAnsi="宋体" w:cs="宋体"/>
          <w:color w:val="000000"/>
          <w:sz w:val="24"/>
          <w:szCs w:val="24"/>
        </w:rPr>
        <w:t>管辖</w:t>
      </w:r>
      <w:r>
        <w:rPr>
          <w:rFonts w:hint="eastAsia"/>
          <w:bCs/>
          <w:sz w:val="24"/>
        </w:rPr>
        <w:t>并从其解释</w:t>
      </w:r>
      <w:r>
        <w:rPr>
          <w:rFonts w:hint="eastAsia" w:ascii="宋体" w:hAnsi="宋体" w:cs="宋体"/>
          <w:color w:val="000000"/>
          <w:sz w:val="24"/>
          <w:szCs w:val="24"/>
        </w:rPr>
        <w:t>。</w:t>
      </w:r>
    </w:p>
    <w:p>
      <w:pPr>
        <w:spacing w:line="360" w:lineRule="auto"/>
        <w:ind w:firstLine="480" w:firstLineChars="200"/>
        <w:rPr>
          <w:rFonts w:ascii="宋体" w:hAnsi="宋体" w:cs="宋体"/>
          <w:color w:val="000000"/>
          <w:sz w:val="24"/>
          <w:szCs w:val="24"/>
        </w:rPr>
      </w:pPr>
    </w:p>
    <w:p>
      <w:pPr>
        <w:pStyle w:val="3"/>
        <w:spacing w:line="360" w:lineRule="auto"/>
        <w:jc w:val="center"/>
        <w:rPr>
          <w:rFonts w:ascii="宋体" w:hAnsi="宋体"/>
          <w:color w:val="000000"/>
          <w:sz w:val="30"/>
          <w:szCs w:val="30"/>
        </w:rPr>
      </w:pPr>
      <w:r>
        <w:rPr>
          <w:rFonts w:hint="eastAsia" w:ascii="仿宋" w:hAnsi="仿宋" w:eastAsia="仿宋"/>
          <w:b w:val="0"/>
          <w:bCs w:val="0"/>
          <w:color w:val="000000"/>
        </w:rPr>
        <w:br w:type="page"/>
      </w:r>
      <w:bookmarkStart w:id="22" w:name="_Toc264617159"/>
      <w:r>
        <w:rPr>
          <w:rFonts w:hint="eastAsia" w:ascii="宋体" w:hAnsi="宋体"/>
          <w:bCs w:val="0"/>
          <w:color w:val="000000"/>
          <w:sz w:val="30"/>
          <w:szCs w:val="30"/>
        </w:rPr>
        <w:t>十九、托管协议的效力</w:t>
      </w:r>
      <w:bookmarkEnd w:id="22"/>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双方对托管协议的效力约定如下：</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基金管理人在向中国证监会申请基金募集注册时提交的托管协议草案，应经托管协议当事人双方盖章以及双方法定代表人或授权代表签章，协议当事人双方根据中国证监会的意见修改托管协议草案。托管协议以中国证监会注册的文本为正式文本。</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（二）托管协议自基金合同生效之日起生效。托管协议的有效期自其生效之日起至基金财产清算结果报中国证监会备案并公告之日止。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（三）托管协议自生效之日起对托管协议当事人具有同等的法律约束力。</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w:t>
      </w:r>
      <w:r>
        <w:rPr>
          <w:rFonts w:hint="eastAsia" w:ascii="宋体" w:hAnsi="宋体"/>
          <w:color w:val="000000"/>
          <w:sz w:val="24"/>
          <w:szCs w:val="24"/>
        </w:rPr>
        <w:t>本协议一式三份，协议双方各持一份，上报中国证监会一份，每份具有同等法律效力。</w:t>
      </w:r>
    </w:p>
    <w:p>
      <w:pPr>
        <w:spacing w:line="360" w:lineRule="auto"/>
        <w:ind w:firstLine="480" w:firstLineChars="200"/>
        <w:rPr>
          <w:rFonts w:ascii="仿宋" w:hAnsi="仿宋" w:eastAsia="仿宋"/>
          <w:color w:val="000000"/>
          <w:sz w:val="24"/>
          <w:szCs w:val="24"/>
        </w:rPr>
      </w:pPr>
    </w:p>
    <w:p>
      <w:pPr>
        <w:pStyle w:val="3"/>
        <w:spacing w:line="360" w:lineRule="auto"/>
        <w:jc w:val="center"/>
        <w:rPr>
          <w:rFonts w:ascii="宋体" w:hAnsi="宋体"/>
          <w:color w:val="000000"/>
          <w:sz w:val="30"/>
          <w:szCs w:val="30"/>
        </w:rPr>
      </w:pPr>
      <w:r>
        <w:rPr>
          <w:rFonts w:hint="eastAsia" w:ascii="仿宋" w:hAnsi="仿宋" w:eastAsia="仿宋"/>
          <w:b w:val="0"/>
          <w:bCs w:val="0"/>
          <w:color w:val="000000"/>
        </w:rPr>
        <w:br w:type="page"/>
      </w:r>
      <w:bookmarkStart w:id="23" w:name="_Toc264617160"/>
      <w:r>
        <w:rPr>
          <w:rFonts w:hint="eastAsia" w:ascii="宋体" w:hAnsi="宋体"/>
          <w:bCs w:val="0"/>
          <w:color w:val="000000"/>
          <w:sz w:val="30"/>
          <w:szCs w:val="30"/>
        </w:rPr>
        <w:t>二十、其他事项</w:t>
      </w:r>
      <w:bookmarkEnd w:id="23"/>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如发生有权司法机关依法冻结基金份额持有人的基金份额时，基金管理人应予以配合，承担司法协助义务。</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除本协议有明确定义外，本协议的用语定义适用基金合同的约定。本协议未尽事宜，当事人依据基金合同、有关法律法规等规定协商办理。</w:t>
      </w:r>
    </w:p>
    <w:p>
      <w:pPr>
        <w:spacing w:line="360" w:lineRule="auto"/>
        <w:ind w:firstLine="480" w:firstLineChars="200"/>
        <w:rPr>
          <w:rFonts w:ascii="宋体" w:hAnsi="宋体" w:cs="宋体"/>
          <w:color w:val="000000"/>
          <w:sz w:val="24"/>
          <w:szCs w:val="24"/>
        </w:rPr>
      </w:pPr>
    </w:p>
    <w:p>
      <w:pPr>
        <w:pStyle w:val="3"/>
        <w:spacing w:line="360" w:lineRule="auto"/>
        <w:jc w:val="center"/>
        <w:rPr>
          <w:rFonts w:ascii="宋体" w:hAnsi="宋体"/>
          <w:color w:val="000000"/>
          <w:sz w:val="30"/>
          <w:szCs w:val="30"/>
        </w:rPr>
      </w:pPr>
      <w:r>
        <w:rPr>
          <w:rFonts w:hint="eastAsia" w:ascii="仿宋" w:hAnsi="仿宋" w:eastAsia="仿宋"/>
          <w:b w:val="0"/>
          <w:bCs w:val="0"/>
          <w:color w:val="000000"/>
        </w:rPr>
        <w:br w:type="page"/>
      </w:r>
      <w:bookmarkStart w:id="24" w:name="_Toc264617161"/>
      <w:r>
        <w:rPr>
          <w:rFonts w:hint="eastAsia" w:ascii="宋体" w:hAnsi="宋体"/>
          <w:bCs w:val="0"/>
          <w:color w:val="000000"/>
          <w:sz w:val="30"/>
          <w:szCs w:val="30"/>
        </w:rPr>
        <w:t>二十一、托管协议的签订</w:t>
      </w:r>
      <w:bookmarkEnd w:id="24"/>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本托管协议经基金管理人和基金托管人认可后，由该双方当事人在基金托管协议上盖章，并由各自的法定代表人或授权代表签署，并注明基金托管协议的签订地点和签订日期。</w:t>
      </w: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p>
    <w:p>
      <w:pPr>
        <w:spacing w:line="360" w:lineRule="auto"/>
        <w:ind w:firstLine="480" w:firstLineChars="200"/>
        <w:rPr>
          <w:rFonts w:ascii="仿宋" w:hAnsi="仿宋" w:eastAsia="仿宋"/>
          <w:color w:val="000000"/>
          <w:sz w:val="24"/>
          <w:szCs w:val="24"/>
        </w:rPr>
      </w:pPr>
    </w:p>
    <w:p>
      <w:pPr>
        <w:spacing w:line="360" w:lineRule="auto"/>
        <w:ind w:firstLine="480" w:firstLineChars="200"/>
        <w:rPr>
          <w:rFonts w:ascii="仿宋" w:hAnsi="仿宋" w:eastAsia="仿宋"/>
          <w:color w:val="000000"/>
          <w:sz w:val="24"/>
          <w:szCs w:val="24"/>
        </w:rPr>
      </w:pPr>
    </w:p>
    <w:p>
      <w:pPr>
        <w:spacing w:line="360" w:lineRule="auto"/>
        <w:ind w:firstLine="480" w:firstLineChars="200"/>
        <w:rPr>
          <w:rFonts w:ascii="仿宋" w:hAnsi="仿宋" w:eastAsia="仿宋"/>
          <w:color w:val="000000"/>
          <w:sz w:val="24"/>
          <w:szCs w:val="24"/>
        </w:rPr>
      </w:pPr>
    </w:p>
    <w:p>
      <w:pPr>
        <w:spacing w:line="360" w:lineRule="auto"/>
        <w:ind w:firstLine="480" w:firstLineChars="200"/>
        <w:rPr>
          <w:rFonts w:ascii="仿宋" w:hAnsi="仿宋" w:eastAsia="仿宋"/>
          <w:color w:val="000000"/>
          <w:sz w:val="24"/>
          <w:szCs w:val="24"/>
        </w:rPr>
      </w:pPr>
    </w:p>
    <w:p>
      <w:pPr>
        <w:spacing w:line="360" w:lineRule="auto"/>
        <w:rPr>
          <w:rFonts w:ascii="宋体" w:hAnsi="宋体" w:cs="宋体"/>
          <w:color w:val="000000"/>
          <w:sz w:val="24"/>
        </w:rPr>
      </w:pPr>
      <w:r>
        <w:rPr>
          <w:rFonts w:hint="eastAsia" w:ascii="宋体" w:hAnsi="宋体" w:cs="宋体"/>
          <w:color w:val="000000"/>
          <w:sz w:val="24"/>
        </w:rPr>
        <w:t>（本页为《交银施罗德</w:t>
      </w:r>
      <w:r>
        <w:rPr>
          <w:rFonts w:ascii="宋体" w:hAnsi="宋体" w:cs="宋体"/>
          <w:color w:val="000000"/>
          <w:sz w:val="24"/>
        </w:rPr>
        <w:t>智选星光混合型基金中基金（FOF-LOF）</w:t>
      </w:r>
      <w:r>
        <w:rPr>
          <w:rFonts w:hint="eastAsia" w:ascii="宋体" w:hAnsi="宋体" w:cs="宋体"/>
          <w:color w:val="000000"/>
          <w:sz w:val="24"/>
        </w:rPr>
        <w:t>托管协议》签署页，无正文）</w:t>
      </w:r>
    </w:p>
    <w:p>
      <w:pPr>
        <w:autoSpaceDE w:val="0"/>
        <w:autoSpaceDN w:val="0"/>
        <w:spacing w:line="360" w:lineRule="auto"/>
        <w:textAlignment w:val="bottom"/>
        <w:rPr>
          <w:rFonts w:ascii="仿宋" w:hAnsi="仿宋" w:eastAsia="仿宋"/>
          <w:color w:val="000000"/>
          <w:sz w:val="24"/>
        </w:rPr>
      </w:pPr>
    </w:p>
    <w:p>
      <w:pPr>
        <w:spacing w:line="360" w:lineRule="auto"/>
        <w:ind w:right="26"/>
        <w:rPr>
          <w:rFonts w:ascii="仿宋" w:hAnsi="仿宋" w:eastAsia="仿宋"/>
          <w:color w:val="000000"/>
          <w:sz w:val="24"/>
        </w:rPr>
      </w:pPr>
    </w:p>
    <w:p>
      <w:pPr>
        <w:spacing w:before="100" w:beforeAutospacing="1" w:after="100" w:afterAutospacing="1" w:line="400" w:lineRule="exact"/>
        <w:ind w:firstLine="403"/>
        <w:rPr>
          <w:rFonts w:ascii="宋体" w:hAnsi="宋体"/>
          <w:bCs/>
          <w:sz w:val="24"/>
        </w:rPr>
      </w:pPr>
      <w:r>
        <w:rPr>
          <w:rFonts w:ascii="宋体" w:hAnsi="宋体"/>
          <w:bCs/>
          <w:sz w:val="24"/>
        </w:rPr>
        <w:t>基金管理人：</w:t>
      </w:r>
      <w:r>
        <w:rPr>
          <w:rFonts w:hint="eastAsia" w:ascii="宋体" w:hAnsi="宋体"/>
          <w:bCs/>
          <w:sz w:val="24"/>
        </w:rPr>
        <w:t>交银施罗德基金管理有限公司（公章）</w:t>
      </w:r>
    </w:p>
    <w:p>
      <w:pPr>
        <w:pStyle w:val="32"/>
        <w:spacing w:line="400" w:lineRule="exact"/>
        <w:rPr>
          <w:bCs/>
        </w:rPr>
      </w:pPr>
    </w:p>
    <w:p>
      <w:pPr>
        <w:pStyle w:val="32"/>
        <w:spacing w:line="400" w:lineRule="exact"/>
        <w:ind w:firstLine="403"/>
        <w:rPr>
          <w:bCs/>
        </w:rPr>
      </w:pPr>
      <w:r>
        <w:rPr>
          <w:bCs/>
        </w:rPr>
        <w:t>法定代表人</w:t>
      </w:r>
      <w:r>
        <w:rPr>
          <w:rFonts w:hint="eastAsia"/>
          <w:bCs/>
        </w:rPr>
        <w:t xml:space="preserve">或授权代表： </w:t>
      </w:r>
    </w:p>
    <w:p>
      <w:pPr>
        <w:pStyle w:val="32"/>
        <w:spacing w:line="400" w:lineRule="exact"/>
        <w:ind w:firstLine="420"/>
        <w:rPr>
          <w:bCs/>
        </w:rPr>
      </w:pPr>
    </w:p>
    <w:p>
      <w:pPr>
        <w:pStyle w:val="32"/>
        <w:spacing w:line="400" w:lineRule="exact"/>
        <w:ind w:firstLine="420"/>
        <w:rPr>
          <w:bCs/>
        </w:rPr>
      </w:pPr>
    </w:p>
    <w:p>
      <w:pPr>
        <w:pStyle w:val="32"/>
        <w:spacing w:line="400" w:lineRule="exact"/>
        <w:ind w:firstLine="420"/>
        <w:rPr>
          <w:bCs/>
        </w:rPr>
      </w:pPr>
      <w:r>
        <w:rPr>
          <w:bCs/>
        </w:rPr>
        <w:t>签订日：</w:t>
      </w:r>
      <w:r>
        <w:rPr>
          <w:rFonts w:hint="eastAsia"/>
          <w:bCs/>
        </w:rPr>
        <w:t xml:space="preserve">     年   月   日 </w:t>
      </w:r>
    </w:p>
    <w:p>
      <w:pPr>
        <w:pStyle w:val="32"/>
        <w:spacing w:line="400" w:lineRule="exact"/>
        <w:ind w:firstLine="403"/>
        <w:rPr>
          <w:bCs/>
        </w:rPr>
      </w:pPr>
      <w:r>
        <w:rPr>
          <w:bCs/>
        </w:rPr>
        <w:t>签订地</w:t>
      </w:r>
      <w:r>
        <w:rPr>
          <w:rFonts w:hint="eastAsia"/>
          <w:bCs/>
        </w:rPr>
        <w:t>：</w:t>
      </w:r>
    </w:p>
    <w:p>
      <w:pPr>
        <w:spacing w:line="360" w:lineRule="auto"/>
        <w:ind w:firstLine="482"/>
        <w:rPr>
          <w:rFonts w:ascii="宋体" w:hAnsi="宋体"/>
          <w:bCs/>
          <w:sz w:val="24"/>
          <w:szCs w:val="24"/>
        </w:rPr>
      </w:pPr>
    </w:p>
    <w:p>
      <w:pPr>
        <w:pStyle w:val="32"/>
        <w:spacing w:line="400" w:lineRule="exact"/>
        <w:rPr>
          <w:bCs/>
          <w:kern w:val="2"/>
          <w:sz w:val="21"/>
          <w:szCs w:val="21"/>
        </w:rPr>
      </w:pPr>
    </w:p>
    <w:p>
      <w:pPr>
        <w:pStyle w:val="32"/>
        <w:spacing w:line="400" w:lineRule="exact"/>
        <w:ind w:firstLine="403"/>
        <w:rPr>
          <w:bCs/>
        </w:rPr>
      </w:pPr>
      <w:r>
        <w:rPr>
          <w:bCs/>
        </w:rPr>
        <w:t>基金托管人</w:t>
      </w:r>
      <w:r>
        <w:rPr>
          <w:rFonts w:hint="eastAsia"/>
          <w:bCs/>
        </w:rPr>
        <w:t>:中国光大银行股份有限公司（公章）</w:t>
      </w:r>
    </w:p>
    <w:p>
      <w:pPr>
        <w:pStyle w:val="32"/>
        <w:spacing w:line="400" w:lineRule="exact"/>
        <w:ind w:firstLine="403"/>
        <w:rPr>
          <w:bCs/>
        </w:rPr>
      </w:pPr>
    </w:p>
    <w:p>
      <w:pPr>
        <w:pStyle w:val="32"/>
        <w:spacing w:line="400" w:lineRule="exact"/>
        <w:ind w:firstLine="403"/>
        <w:rPr>
          <w:bCs/>
        </w:rPr>
      </w:pPr>
      <w:r>
        <w:rPr>
          <w:bCs/>
        </w:rPr>
        <w:t>法定代表人</w:t>
      </w:r>
      <w:r>
        <w:rPr>
          <w:rFonts w:hint="eastAsia"/>
          <w:bCs/>
        </w:rPr>
        <w:t>或授权代表：</w:t>
      </w:r>
    </w:p>
    <w:p>
      <w:pPr>
        <w:pStyle w:val="32"/>
        <w:spacing w:line="400" w:lineRule="exact"/>
        <w:ind w:firstLine="420"/>
        <w:rPr>
          <w:bCs/>
        </w:rPr>
      </w:pPr>
    </w:p>
    <w:p>
      <w:pPr>
        <w:pStyle w:val="32"/>
        <w:spacing w:line="400" w:lineRule="exact"/>
        <w:ind w:firstLine="420"/>
        <w:rPr>
          <w:bCs/>
        </w:rPr>
      </w:pPr>
    </w:p>
    <w:p>
      <w:pPr>
        <w:pStyle w:val="32"/>
        <w:spacing w:line="400" w:lineRule="exact"/>
        <w:ind w:firstLine="403"/>
        <w:rPr>
          <w:bCs/>
        </w:rPr>
      </w:pPr>
      <w:r>
        <w:rPr>
          <w:bCs/>
        </w:rPr>
        <w:t>签订日</w:t>
      </w:r>
      <w:r>
        <w:rPr>
          <w:rFonts w:hint="eastAsia"/>
          <w:bCs/>
        </w:rPr>
        <w:t>：     年   月   日</w:t>
      </w:r>
    </w:p>
    <w:p>
      <w:pPr>
        <w:pStyle w:val="32"/>
        <w:spacing w:line="400" w:lineRule="exact"/>
        <w:ind w:firstLine="420"/>
        <w:rPr>
          <w:bCs/>
        </w:rPr>
      </w:pPr>
      <w:r>
        <w:rPr>
          <w:bCs/>
        </w:rPr>
        <w:t>签订地：</w:t>
      </w:r>
      <w:r>
        <w:rPr>
          <w:rFonts w:hint="eastAsia"/>
          <w:bCs/>
        </w:rPr>
        <w:t>北京</w:t>
      </w:r>
    </w:p>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4031824"/>
    </w:sdtPr>
    <w:sdtContent>
      <w:p>
        <w:pPr>
          <w:pStyle w:val="8"/>
          <w:jc w:val="center"/>
        </w:pPr>
        <w:r>
          <w:fldChar w:fldCharType="begin"/>
        </w:r>
        <w:r>
          <w:instrText xml:space="preserve">PAGE   \* MERGEFORMAT</w:instrText>
        </w:r>
        <w:r>
          <w:fldChar w:fldCharType="separate"/>
        </w:r>
        <w:r>
          <w:rPr>
            <w:lang w:val="zh-CN"/>
          </w:rPr>
          <w:t>49</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D5"/>
    <w:rsid w:val="00002764"/>
    <w:rsid w:val="000042E2"/>
    <w:rsid w:val="0001055F"/>
    <w:rsid w:val="0001232A"/>
    <w:rsid w:val="00017AF0"/>
    <w:rsid w:val="00017F17"/>
    <w:rsid w:val="00021CD4"/>
    <w:rsid w:val="00026A52"/>
    <w:rsid w:val="0003524C"/>
    <w:rsid w:val="00044CE7"/>
    <w:rsid w:val="000577C8"/>
    <w:rsid w:val="0006387D"/>
    <w:rsid w:val="00077953"/>
    <w:rsid w:val="00083C4D"/>
    <w:rsid w:val="000915ED"/>
    <w:rsid w:val="00093A7E"/>
    <w:rsid w:val="000A669D"/>
    <w:rsid w:val="000A767E"/>
    <w:rsid w:val="000B3D17"/>
    <w:rsid w:val="000B7FBB"/>
    <w:rsid w:val="000C74BA"/>
    <w:rsid w:val="000D16AC"/>
    <w:rsid w:val="000D4BF6"/>
    <w:rsid w:val="000D55A2"/>
    <w:rsid w:val="000E334F"/>
    <w:rsid w:val="000F7911"/>
    <w:rsid w:val="00141474"/>
    <w:rsid w:val="001537BE"/>
    <w:rsid w:val="00161DD7"/>
    <w:rsid w:val="00167074"/>
    <w:rsid w:val="00170960"/>
    <w:rsid w:val="001728DB"/>
    <w:rsid w:val="0017608E"/>
    <w:rsid w:val="001770B7"/>
    <w:rsid w:val="0018544E"/>
    <w:rsid w:val="00187A57"/>
    <w:rsid w:val="00190C12"/>
    <w:rsid w:val="00197CE1"/>
    <w:rsid w:val="00197F44"/>
    <w:rsid w:val="001B1D83"/>
    <w:rsid w:val="001B23D6"/>
    <w:rsid w:val="001B35DF"/>
    <w:rsid w:val="001B45A2"/>
    <w:rsid w:val="001E1DC1"/>
    <w:rsid w:val="002075C2"/>
    <w:rsid w:val="00211328"/>
    <w:rsid w:val="002178A9"/>
    <w:rsid w:val="0022078A"/>
    <w:rsid w:val="00224B88"/>
    <w:rsid w:val="002259B4"/>
    <w:rsid w:val="002347D3"/>
    <w:rsid w:val="002369EF"/>
    <w:rsid w:val="00246213"/>
    <w:rsid w:val="00246362"/>
    <w:rsid w:val="00246F5B"/>
    <w:rsid w:val="00251503"/>
    <w:rsid w:val="0025169C"/>
    <w:rsid w:val="00262153"/>
    <w:rsid w:val="00263966"/>
    <w:rsid w:val="002643DB"/>
    <w:rsid w:val="002717FB"/>
    <w:rsid w:val="00277A50"/>
    <w:rsid w:val="0029311A"/>
    <w:rsid w:val="002961BD"/>
    <w:rsid w:val="00297A7E"/>
    <w:rsid w:val="002B1687"/>
    <w:rsid w:val="002B2429"/>
    <w:rsid w:val="002B78DF"/>
    <w:rsid w:val="002C6742"/>
    <w:rsid w:val="002D15C0"/>
    <w:rsid w:val="002F71F6"/>
    <w:rsid w:val="002F7686"/>
    <w:rsid w:val="00300CCE"/>
    <w:rsid w:val="00306201"/>
    <w:rsid w:val="0031326F"/>
    <w:rsid w:val="0032061E"/>
    <w:rsid w:val="00320F2C"/>
    <w:rsid w:val="00326125"/>
    <w:rsid w:val="003329DD"/>
    <w:rsid w:val="00337FBD"/>
    <w:rsid w:val="00344E1E"/>
    <w:rsid w:val="003638FE"/>
    <w:rsid w:val="00373E45"/>
    <w:rsid w:val="003769CC"/>
    <w:rsid w:val="00381616"/>
    <w:rsid w:val="00392C6A"/>
    <w:rsid w:val="00392EBE"/>
    <w:rsid w:val="00394ADE"/>
    <w:rsid w:val="003B1043"/>
    <w:rsid w:val="003B3181"/>
    <w:rsid w:val="003B35AB"/>
    <w:rsid w:val="003C1929"/>
    <w:rsid w:val="003F52EC"/>
    <w:rsid w:val="00404617"/>
    <w:rsid w:val="00405E46"/>
    <w:rsid w:val="00407176"/>
    <w:rsid w:val="00407EB3"/>
    <w:rsid w:val="00415F7C"/>
    <w:rsid w:val="004174E6"/>
    <w:rsid w:val="0043402A"/>
    <w:rsid w:val="00437C0B"/>
    <w:rsid w:val="00440AB4"/>
    <w:rsid w:val="00444220"/>
    <w:rsid w:val="00444CE3"/>
    <w:rsid w:val="00447817"/>
    <w:rsid w:val="00452D12"/>
    <w:rsid w:val="004636A8"/>
    <w:rsid w:val="0046616C"/>
    <w:rsid w:val="00467D02"/>
    <w:rsid w:val="00483D9C"/>
    <w:rsid w:val="00487499"/>
    <w:rsid w:val="00493B78"/>
    <w:rsid w:val="00493FB4"/>
    <w:rsid w:val="00497B42"/>
    <w:rsid w:val="004A74A9"/>
    <w:rsid w:val="004A7B3D"/>
    <w:rsid w:val="004B66F5"/>
    <w:rsid w:val="004C61B0"/>
    <w:rsid w:val="004D2080"/>
    <w:rsid w:val="004D209A"/>
    <w:rsid w:val="004D4636"/>
    <w:rsid w:val="004D499A"/>
    <w:rsid w:val="004D7B87"/>
    <w:rsid w:val="004E661D"/>
    <w:rsid w:val="004F0C4C"/>
    <w:rsid w:val="004F7163"/>
    <w:rsid w:val="00506B4E"/>
    <w:rsid w:val="00523A9D"/>
    <w:rsid w:val="0053051A"/>
    <w:rsid w:val="00531320"/>
    <w:rsid w:val="00532AE3"/>
    <w:rsid w:val="005339F7"/>
    <w:rsid w:val="0054214A"/>
    <w:rsid w:val="005473EE"/>
    <w:rsid w:val="00550908"/>
    <w:rsid w:val="00552E79"/>
    <w:rsid w:val="005620E2"/>
    <w:rsid w:val="00562298"/>
    <w:rsid w:val="00565AC4"/>
    <w:rsid w:val="00565D75"/>
    <w:rsid w:val="00570284"/>
    <w:rsid w:val="005715E4"/>
    <w:rsid w:val="00573F37"/>
    <w:rsid w:val="005825C8"/>
    <w:rsid w:val="00586283"/>
    <w:rsid w:val="005970C4"/>
    <w:rsid w:val="005A1770"/>
    <w:rsid w:val="005B0CB2"/>
    <w:rsid w:val="005B155E"/>
    <w:rsid w:val="005B3934"/>
    <w:rsid w:val="005B79E5"/>
    <w:rsid w:val="005C4727"/>
    <w:rsid w:val="005D30DF"/>
    <w:rsid w:val="005E3FDE"/>
    <w:rsid w:val="005E6D9D"/>
    <w:rsid w:val="005F2E21"/>
    <w:rsid w:val="005F5D25"/>
    <w:rsid w:val="005F6C10"/>
    <w:rsid w:val="005F7319"/>
    <w:rsid w:val="005F7B13"/>
    <w:rsid w:val="005F7F52"/>
    <w:rsid w:val="00601CFF"/>
    <w:rsid w:val="00604039"/>
    <w:rsid w:val="0060613D"/>
    <w:rsid w:val="00612310"/>
    <w:rsid w:val="00613A42"/>
    <w:rsid w:val="0061440E"/>
    <w:rsid w:val="00631B4C"/>
    <w:rsid w:val="00636466"/>
    <w:rsid w:val="00661FA0"/>
    <w:rsid w:val="00666AFB"/>
    <w:rsid w:val="00666D00"/>
    <w:rsid w:val="0067042E"/>
    <w:rsid w:val="00687DEA"/>
    <w:rsid w:val="00690FAB"/>
    <w:rsid w:val="00696EC0"/>
    <w:rsid w:val="006A77F5"/>
    <w:rsid w:val="006B23D9"/>
    <w:rsid w:val="006C05D7"/>
    <w:rsid w:val="006C4A26"/>
    <w:rsid w:val="006C4EBC"/>
    <w:rsid w:val="006D3E92"/>
    <w:rsid w:val="006D52EA"/>
    <w:rsid w:val="006E7595"/>
    <w:rsid w:val="006F10CB"/>
    <w:rsid w:val="006F145F"/>
    <w:rsid w:val="006F4A71"/>
    <w:rsid w:val="007005E0"/>
    <w:rsid w:val="00701646"/>
    <w:rsid w:val="0070619E"/>
    <w:rsid w:val="007065A2"/>
    <w:rsid w:val="007127CD"/>
    <w:rsid w:val="00712BF6"/>
    <w:rsid w:val="007229DC"/>
    <w:rsid w:val="00723BA3"/>
    <w:rsid w:val="00731CC3"/>
    <w:rsid w:val="0073376A"/>
    <w:rsid w:val="0074016F"/>
    <w:rsid w:val="00742D22"/>
    <w:rsid w:val="0074561C"/>
    <w:rsid w:val="0075107D"/>
    <w:rsid w:val="00755353"/>
    <w:rsid w:val="00763F41"/>
    <w:rsid w:val="00775D38"/>
    <w:rsid w:val="00776BDF"/>
    <w:rsid w:val="00791DE6"/>
    <w:rsid w:val="00791E1A"/>
    <w:rsid w:val="00793E4E"/>
    <w:rsid w:val="00794543"/>
    <w:rsid w:val="007B4DBD"/>
    <w:rsid w:val="007C61E8"/>
    <w:rsid w:val="007C78FD"/>
    <w:rsid w:val="007D0DE9"/>
    <w:rsid w:val="007D22FA"/>
    <w:rsid w:val="007E3D0A"/>
    <w:rsid w:val="007E40D3"/>
    <w:rsid w:val="007F15D8"/>
    <w:rsid w:val="007F67C6"/>
    <w:rsid w:val="008014B2"/>
    <w:rsid w:val="00802B49"/>
    <w:rsid w:val="008066C2"/>
    <w:rsid w:val="00816889"/>
    <w:rsid w:val="00821F7A"/>
    <w:rsid w:val="008431A9"/>
    <w:rsid w:val="00843938"/>
    <w:rsid w:val="00855EFD"/>
    <w:rsid w:val="008629D8"/>
    <w:rsid w:val="0087183D"/>
    <w:rsid w:val="00872F0C"/>
    <w:rsid w:val="00874DA4"/>
    <w:rsid w:val="008801F8"/>
    <w:rsid w:val="008821D5"/>
    <w:rsid w:val="00885E43"/>
    <w:rsid w:val="00897424"/>
    <w:rsid w:val="008A4855"/>
    <w:rsid w:val="008A6176"/>
    <w:rsid w:val="008A6FA3"/>
    <w:rsid w:val="008C6D25"/>
    <w:rsid w:val="008D31E2"/>
    <w:rsid w:val="008D72AC"/>
    <w:rsid w:val="008D7CE4"/>
    <w:rsid w:val="008E00EF"/>
    <w:rsid w:val="008E4ADD"/>
    <w:rsid w:val="008F7EE5"/>
    <w:rsid w:val="00902B1F"/>
    <w:rsid w:val="00921CC5"/>
    <w:rsid w:val="0092414C"/>
    <w:rsid w:val="009268EB"/>
    <w:rsid w:val="009273B1"/>
    <w:rsid w:val="009307FB"/>
    <w:rsid w:val="009353A6"/>
    <w:rsid w:val="009355D1"/>
    <w:rsid w:val="00936D47"/>
    <w:rsid w:val="00941FBB"/>
    <w:rsid w:val="00943E2E"/>
    <w:rsid w:val="00950557"/>
    <w:rsid w:val="00951058"/>
    <w:rsid w:val="00951ADF"/>
    <w:rsid w:val="00956646"/>
    <w:rsid w:val="00961152"/>
    <w:rsid w:val="00962E99"/>
    <w:rsid w:val="00964875"/>
    <w:rsid w:val="0097147E"/>
    <w:rsid w:val="00972B05"/>
    <w:rsid w:val="00980A65"/>
    <w:rsid w:val="00982727"/>
    <w:rsid w:val="00982A92"/>
    <w:rsid w:val="009832B7"/>
    <w:rsid w:val="00987DF4"/>
    <w:rsid w:val="00990C3F"/>
    <w:rsid w:val="009941DE"/>
    <w:rsid w:val="009A293D"/>
    <w:rsid w:val="009A6174"/>
    <w:rsid w:val="009A686C"/>
    <w:rsid w:val="009A74C7"/>
    <w:rsid w:val="009B3CCB"/>
    <w:rsid w:val="009B3EA3"/>
    <w:rsid w:val="009C2B60"/>
    <w:rsid w:val="009D1FE1"/>
    <w:rsid w:val="009E653E"/>
    <w:rsid w:val="009F14C9"/>
    <w:rsid w:val="009F38BC"/>
    <w:rsid w:val="00A02E62"/>
    <w:rsid w:val="00A056A2"/>
    <w:rsid w:val="00A1469E"/>
    <w:rsid w:val="00A166F2"/>
    <w:rsid w:val="00A221FF"/>
    <w:rsid w:val="00A2344B"/>
    <w:rsid w:val="00A2411B"/>
    <w:rsid w:val="00A2434A"/>
    <w:rsid w:val="00A3171A"/>
    <w:rsid w:val="00A3697C"/>
    <w:rsid w:val="00A45597"/>
    <w:rsid w:val="00A54205"/>
    <w:rsid w:val="00A548BD"/>
    <w:rsid w:val="00A5554E"/>
    <w:rsid w:val="00A71EA1"/>
    <w:rsid w:val="00A83966"/>
    <w:rsid w:val="00A84B62"/>
    <w:rsid w:val="00A84E97"/>
    <w:rsid w:val="00A90BEB"/>
    <w:rsid w:val="00A977F1"/>
    <w:rsid w:val="00AA620B"/>
    <w:rsid w:val="00AA7E08"/>
    <w:rsid w:val="00AB4698"/>
    <w:rsid w:val="00AB6B25"/>
    <w:rsid w:val="00AC33ED"/>
    <w:rsid w:val="00AC3767"/>
    <w:rsid w:val="00AC7672"/>
    <w:rsid w:val="00AD280B"/>
    <w:rsid w:val="00AD3D22"/>
    <w:rsid w:val="00AE22F5"/>
    <w:rsid w:val="00AE5999"/>
    <w:rsid w:val="00B027D6"/>
    <w:rsid w:val="00B03824"/>
    <w:rsid w:val="00B06ED1"/>
    <w:rsid w:val="00B12392"/>
    <w:rsid w:val="00B160FD"/>
    <w:rsid w:val="00B21635"/>
    <w:rsid w:val="00B3748C"/>
    <w:rsid w:val="00B43E49"/>
    <w:rsid w:val="00B4620E"/>
    <w:rsid w:val="00B4772B"/>
    <w:rsid w:val="00B54466"/>
    <w:rsid w:val="00B60CD7"/>
    <w:rsid w:val="00B756A8"/>
    <w:rsid w:val="00B76C33"/>
    <w:rsid w:val="00B8195C"/>
    <w:rsid w:val="00B833CF"/>
    <w:rsid w:val="00B8348B"/>
    <w:rsid w:val="00B83B94"/>
    <w:rsid w:val="00B84106"/>
    <w:rsid w:val="00B944A0"/>
    <w:rsid w:val="00BA49DF"/>
    <w:rsid w:val="00BA5D4B"/>
    <w:rsid w:val="00BA5F87"/>
    <w:rsid w:val="00BA6EC0"/>
    <w:rsid w:val="00BC1C13"/>
    <w:rsid w:val="00BC2C7A"/>
    <w:rsid w:val="00BD0181"/>
    <w:rsid w:val="00BD2DD7"/>
    <w:rsid w:val="00BD53D6"/>
    <w:rsid w:val="00BE66BC"/>
    <w:rsid w:val="00BF0895"/>
    <w:rsid w:val="00BF3CE7"/>
    <w:rsid w:val="00C043E5"/>
    <w:rsid w:val="00C04544"/>
    <w:rsid w:val="00C07528"/>
    <w:rsid w:val="00C10F59"/>
    <w:rsid w:val="00C26525"/>
    <w:rsid w:val="00C2703D"/>
    <w:rsid w:val="00C34E72"/>
    <w:rsid w:val="00C3536D"/>
    <w:rsid w:val="00C36538"/>
    <w:rsid w:val="00C36B99"/>
    <w:rsid w:val="00C45BA0"/>
    <w:rsid w:val="00C47895"/>
    <w:rsid w:val="00C52E28"/>
    <w:rsid w:val="00C562A2"/>
    <w:rsid w:val="00C64F4E"/>
    <w:rsid w:val="00C75763"/>
    <w:rsid w:val="00C75C97"/>
    <w:rsid w:val="00C7797E"/>
    <w:rsid w:val="00C8243C"/>
    <w:rsid w:val="00CA299A"/>
    <w:rsid w:val="00CA76EE"/>
    <w:rsid w:val="00CB0A97"/>
    <w:rsid w:val="00CC28B6"/>
    <w:rsid w:val="00CC3C42"/>
    <w:rsid w:val="00CC5AD6"/>
    <w:rsid w:val="00CC71E5"/>
    <w:rsid w:val="00CD7CD0"/>
    <w:rsid w:val="00CE1D50"/>
    <w:rsid w:val="00CE7DCB"/>
    <w:rsid w:val="00D01746"/>
    <w:rsid w:val="00D05883"/>
    <w:rsid w:val="00D10FD5"/>
    <w:rsid w:val="00D176D6"/>
    <w:rsid w:val="00D212F8"/>
    <w:rsid w:val="00D41EC5"/>
    <w:rsid w:val="00D4287E"/>
    <w:rsid w:val="00D45BDA"/>
    <w:rsid w:val="00D528B7"/>
    <w:rsid w:val="00D60692"/>
    <w:rsid w:val="00D60A1B"/>
    <w:rsid w:val="00D61EBF"/>
    <w:rsid w:val="00D63F2F"/>
    <w:rsid w:val="00D64380"/>
    <w:rsid w:val="00D82AF8"/>
    <w:rsid w:val="00D864A7"/>
    <w:rsid w:val="00D939E1"/>
    <w:rsid w:val="00D97174"/>
    <w:rsid w:val="00DB53B0"/>
    <w:rsid w:val="00DB5886"/>
    <w:rsid w:val="00DB6A5D"/>
    <w:rsid w:val="00DB7C53"/>
    <w:rsid w:val="00DF0713"/>
    <w:rsid w:val="00E005BF"/>
    <w:rsid w:val="00E028F8"/>
    <w:rsid w:val="00E02956"/>
    <w:rsid w:val="00E03768"/>
    <w:rsid w:val="00E03F12"/>
    <w:rsid w:val="00E04BC5"/>
    <w:rsid w:val="00E11051"/>
    <w:rsid w:val="00E12210"/>
    <w:rsid w:val="00E125AF"/>
    <w:rsid w:val="00E17002"/>
    <w:rsid w:val="00E2094B"/>
    <w:rsid w:val="00E24DF0"/>
    <w:rsid w:val="00E26A1B"/>
    <w:rsid w:val="00E320B6"/>
    <w:rsid w:val="00E34EF3"/>
    <w:rsid w:val="00E35491"/>
    <w:rsid w:val="00E40093"/>
    <w:rsid w:val="00E414A2"/>
    <w:rsid w:val="00E43787"/>
    <w:rsid w:val="00E52EFA"/>
    <w:rsid w:val="00E62BB1"/>
    <w:rsid w:val="00E64B15"/>
    <w:rsid w:val="00E74C35"/>
    <w:rsid w:val="00E75732"/>
    <w:rsid w:val="00E75CA7"/>
    <w:rsid w:val="00E76921"/>
    <w:rsid w:val="00E809CC"/>
    <w:rsid w:val="00E836C6"/>
    <w:rsid w:val="00E934D8"/>
    <w:rsid w:val="00E96279"/>
    <w:rsid w:val="00E97C47"/>
    <w:rsid w:val="00EA2EBE"/>
    <w:rsid w:val="00EB6474"/>
    <w:rsid w:val="00EC2202"/>
    <w:rsid w:val="00EC734E"/>
    <w:rsid w:val="00EC75D8"/>
    <w:rsid w:val="00ED6143"/>
    <w:rsid w:val="00ED7D8E"/>
    <w:rsid w:val="00EF1DAC"/>
    <w:rsid w:val="00EF44FB"/>
    <w:rsid w:val="00EF64D3"/>
    <w:rsid w:val="00F0278E"/>
    <w:rsid w:val="00F03FBD"/>
    <w:rsid w:val="00F05456"/>
    <w:rsid w:val="00F05668"/>
    <w:rsid w:val="00F07D70"/>
    <w:rsid w:val="00F112FB"/>
    <w:rsid w:val="00F1484A"/>
    <w:rsid w:val="00F1538D"/>
    <w:rsid w:val="00F17CBC"/>
    <w:rsid w:val="00F2012F"/>
    <w:rsid w:val="00F202E5"/>
    <w:rsid w:val="00F20E24"/>
    <w:rsid w:val="00F2193E"/>
    <w:rsid w:val="00F23F40"/>
    <w:rsid w:val="00F31509"/>
    <w:rsid w:val="00F47FC2"/>
    <w:rsid w:val="00F56960"/>
    <w:rsid w:val="00F60AD3"/>
    <w:rsid w:val="00F6395B"/>
    <w:rsid w:val="00F81FAF"/>
    <w:rsid w:val="00F82318"/>
    <w:rsid w:val="00F8541D"/>
    <w:rsid w:val="00F9085B"/>
    <w:rsid w:val="00FA5662"/>
    <w:rsid w:val="00FB5A4F"/>
    <w:rsid w:val="00FC0BE1"/>
    <w:rsid w:val="00FC160A"/>
    <w:rsid w:val="00FC3BE1"/>
    <w:rsid w:val="00FC6A6F"/>
    <w:rsid w:val="00FC70B4"/>
    <w:rsid w:val="00FD1E81"/>
    <w:rsid w:val="00FE007E"/>
    <w:rsid w:val="00FE0827"/>
    <w:rsid w:val="00FE4DE4"/>
    <w:rsid w:val="00FE703F"/>
    <w:rsid w:val="00FF1F5A"/>
    <w:rsid w:val="01FD7485"/>
    <w:rsid w:val="03512C23"/>
    <w:rsid w:val="07595459"/>
    <w:rsid w:val="084722E8"/>
    <w:rsid w:val="0BB16EFB"/>
    <w:rsid w:val="0D0A42CB"/>
    <w:rsid w:val="1E514369"/>
    <w:rsid w:val="20C03479"/>
    <w:rsid w:val="216B086F"/>
    <w:rsid w:val="24710BE6"/>
    <w:rsid w:val="267D3E96"/>
    <w:rsid w:val="33AB1449"/>
    <w:rsid w:val="45F759FC"/>
    <w:rsid w:val="464F0016"/>
    <w:rsid w:val="4EE73CC9"/>
    <w:rsid w:val="4F513994"/>
    <w:rsid w:val="4FCA4964"/>
    <w:rsid w:val="50194802"/>
    <w:rsid w:val="53D525D1"/>
    <w:rsid w:val="57E3262C"/>
    <w:rsid w:val="5D9E04D2"/>
    <w:rsid w:val="60682383"/>
    <w:rsid w:val="652732E5"/>
    <w:rsid w:val="6B8023CF"/>
    <w:rsid w:val="6F7A40B7"/>
    <w:rsid w:val="75251970"/>
    <w:rsid w:val="76901C1C"/>
    <w:rsid w:val="793D5442"/>
    <w:rsid w:val="79F309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0"/>
    <w:qFormat/>
    <w:uiPriority w:val="0"/>
    <w:pPr>
      <w:keepNext/>
      <w:keepLines/>
      <w:spacing w:before="260" w:after="260" w:line="415" w:lineRule="auto"/>
      <w:outlineLvl w:val="1"/>
    </w:pPr>
    <w:rPr>
      <w:rFonts w:ascii="Cambria" w:hAnsi="Cambria" w:cs="宋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4"/>
    <w:unhideWhenUsed/>
    <w:qFormat/>
    <w:uiPriority w:val="99"/>
    <w:rPr>
      <w:rFonts w:ascii="宋体"/>
      <w:sz w:val="18"/>
      <w:szCs w:val="18"/>
    </w:rPr>
  </w:style>
  <w:style w:type="paragraph" w:styleId="5">
    <w:name w:val="annotation text"/>
    <w:basedOn w:val="1"/>
    <w:link w:val="26"/>
    <w:unhideWhenUsed/>
    <w:qFormat/>
    <w:uiPriority w:val="99"/>
    <w:pPr>
      <w:jc w:val="left"/>
    </w:pPr>
  </w:style>
  <w:style w:type="paragraph" w:styleId="6">
    <w:name w:val="Date"/>
    <w:basedOn w:val="1"/>
    <w:next w:val="1"/>
    <w:link w:val="29"/>
    <w:unhideWhenUsed/>
    <w:qFormat/>
    <w:uiPriority w:val="99"/>
    <w:pPr>
      <w:ind w:left="100" w:leftChars="2500"/>
    </w:pPr>
  </w:style>
  <w:style w:type="paragraph" w:styleId="7">
    <w:name w:val="Balloon Text"/>
    <w:basedOn w:val="1"/>
    <w:link w:val="23"/>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jc w:val="left"/>
    </w:pPr>
    <w:rPr>
      <w:kern w:val="0"/>
      <w:sz w:val="22"/>
    </w:rPr>
  </w:style>
  <w:style w:type="paragraph" w:styleId="11">
    <w:name w:val="Title"/>
    <w:basedOn w:val="1"/>
    <w:next w:val="1"/>
    <w:link w:val="21"/>
    <w:qFormat/>
    <w:uiPriority w:val="10"/>
    <w:pPr>
      <w:spacing w:before="240" w:after="60"/>
      <w:jc w:val="center"/>
      <w:outlineLvl w:val="0"/>
    </w:pPr>
    <w:rPr>
      <w:rFonts w:ascii="Cambria" w:hAnsi="Cambria"/>
      <w:b/>
      <w:bCs/>
      <w:sz w:val="32"/>
      <w:szCs w:val="32"/>
    </w:rPr>
  </w:style>
  <w:style w:type="paragraph" w:styleId="12">
    <w:name w:val="annotation subject"/>
    <w:basedOn w:val="5"/>
    <w:next w:val="5"/>
    <w:link w:val="27"/>
    <w:unhideWhenUsed/>
    <w:qFormat/>
    <w:uiPriority w:val="99"/>
    <w:rPr>
      <w:b/>
      <w:bCs/>
    </w:rPr>
  </w:style>
  <w:style w:type="character" w:styleId="15">
    <w:name w:val="Hyperlink"/>
    <w:unhideWhenUsed/>
    <w:qFormat/>
    <w:uiPriority w:val="99"/>
    <w:rPr>
      <w:color w:val="0000FF"/>
      <w:u w:val="single"/>
    </w:rPr>
  </w:style>
  <w:style w:type="character" w:styleId="16">
    <w:name w:val="annotation reference"/>
    <w:basedOn w:val="14"/>
    <w:unhideWhenUsed/>
    <w:qFormat/>
    <w:uiPriority w:val="0"/>
    <w:rPr>
      <w:sz w:val="21"/>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标题 1 Char"/>
    <w:basedOn w:val="14"/>
    <w:link w:val="2"/>
    <w:qFormat/>
    <w:uiPriority w:val="0"/>
    <w:rPr>
      <w:rFonts w:ascii="Times New Roman" w:hAnsi="Times New Roman" w:eastAsia="宋体" w:cs="Times New Roman"/>
      <w:b/>
      <w:bCs/>
      <w:kern w:val="44"/>
      <w:sz w:val="44"/>
      <w:szCs w:val="44"/>
    </w:rPr>
  </w:style>
  <w:style w:type="character" w:customStyle="1" w:styleId="20">
    <w:name w:val="标题 2 Char"/>
    <w:basedOn w:val="14"/>
    <w:link w:val="3"/>
    <w:qFormat/>
    <w:uiPriority w:val="0"/>
    <w:rPr>
      <w:rFonts w:ascii="Cambria" w:hAnsi="Cambria" w:eastAsia="宋体" w:cs="宋体"/>
      <w:b/>
      <w:bCs/>
      <w:sz w:val="32"/>
      <w:szCs w:val="32"/>
    </w:rPr>
  </w:style>
  <w:style w:type="character" w:customStyle="1" w:styleId="21">
    <w:name w:val="标题 Char"/>
    <w:basedOn w:val="14"/>
    <w:link w:val="11"/>
    <w:qFormat/>
    <w:uiPriority w:val="10"/>
    <w:rPr>
      <w:rFonts w:ascii="Cambria" w:hAnsi="Cambria" w:eastAsia="宋体" w:cs="Times New Roman"/>
      <w:b/>
      <w:bCs/>
      <w:sz w:val="32"/>
      <w:szCs w:val="32"/>
    </w:rPr>
  </w:style>
  <w:style w:type="paragraph" w:customStyle="1" w:styleId="22">
    <w:name w:val="正文文本缩进 31"/>
    <w:basedOn w:val="1"/>
    <w:qFormat/>
    <w:uiPriority w:val="0"/>
    <w:pPr>
      <w:autoSpaceDE w:val="0"/>
      <w:autoSpaceDN w:val="0"/>
      <w:adjustRightInd w:val="0"/>
      <w:spacing w:line="360" w:lineRule="auto"/>
      <w:ind w:left="420" w:firstLine="435"/>
    </w:pPr>
    <w:rPr>
      <w:rFonts w:ascii="Times New Roman" w:hAnsi="Times New Roman"/>
      <w:color w:val="0000FF"/>
      <w:szCs w:val="20"/>
    </w:rPr>
  </w:style>
  <w:style w:type="character" w:customStyle="1" w:styleId="23">
    <w:name w:val="批注框文本 Char"/>
    <w:basedOn w:val="14"/>
    <w:link w:val="7"/>
    <w:semiHidden/>
    <w:qFormat/>
    <w:uiPriority w:val="99"/>
    <w:rPr>
      <w:rFonts w:ascii="Calibri" w:hAnsi="Calibri" w:eastAsia="宋体" w:cs="Times New Roman"/>
      <w:sz w:val="18"/>
      <w:szCs w:val="18"/>
    </w:rPr>
  </w:style>
  <w:style w:type="paragraph" w:customStyle="1" w:styleId="24">
    <w:name w:val="修订1"/>
    <w:hidden/>
    <w:semiHidden/>
    <w:qFormat/>
    <w:uiPriority w:val="99"/>
    <w:rPr>
      <w:rFonts w:ascii="Calibri" w:hAnsi="Calibri" w:eastAsia="宋体" w:cs="Times New Roman"/>
      <w:kern w:val="2"/>
      <w:sz w:val="21"/>
      <w:szCs w:val="22"/>
      <w:lang w:val="en-US" w:eastAsia="zh-CN" w:bidi="ar-SA"/>
    </w:rPr>
  </w:style>
  <w:style w:type="paragraph" w:customStyle="1" w:styleId="25">
    <w:name w:val="列出段落1"/>
    <w:basedOn w:val="1"/>
    <w:qFormat/>
    <w:uiPriority w:val="34"/>
    <w:pPr>
      <w:ind w:firstLine="420" w:firstLineChars="200"/>
    </w:pPr>
    <w:rPr>
      <w:rFonts w:ascii="Times New Roman" w:hAnsi="Times New Roman"/>
      <w:szCs w:val="24"/>
    </w:rPr>
  </w:style>
  <w:style w:type="character" w:customStyle="1" w:styleId="26">
    <w:name w:val="批注文字 Char"/>
    <w:basedOn w:val="14"/>
    <w:link w:val="5"/>
    <w:qFormat/>
    <w:uiPriority w:val="0"/>
    <w:rPr>
      <w:rFonts w:ascii="Calibri" w:hAnsi="Calibri" w:eastAsia="宋体" w:cs="Times New Roman"/>
    </w:rPr>
  </w:style>
  <w:style w:type="character" w:customStyle="1" w:styleId="27">
    <w:name w:val="批注主题 Char"/>
    <w:basedOn w:val="26"/>
    <w:link w:val="12"/>
    <w:semiHidden/>
    <w:qFormat/>
    <w:uiPriority w:val="99"/>
    <w:rPr>
      <w:rFonts w:ascii="Calibri" w:hAnsi="Calibri" w:eastAsia="宋体" w:cs="Times New Roman"/>
      <w:b/>
      <w:bCs/>
    </w:rPr>
  </w:style>
  <w:style w:type="paragraph" w:customStyle="1" w:styleId="28">
    <w:name w:val="！正文缩进2字符"/>
    <w:basedOn w:val="1"/>
    <w:qFormat/>
    <w:uiPriority w:val="0"/>
    <w:pPr>
      <w:widowControl/>
      <w:spacing w:line="360" w:lineRule="auto"/>
      <w:ind w:firstLine="200" w:firstLineChars="200"/>
    </w:pPr>
    <w:rPr>
      <w:rFonts w:ascii="Times New Roman" w:hAnsi="Times New Roman"/>
      <w:sz w:val="24"/>
      <w:szCs w:val="24"/>
    </w:rPr>
  </w:style>
  <w:style w:type="character" w:customStyle="1" w:styleId="29">
    <w:name w:val="日期 Char"/>
    <w:basedOn w:val="14"/>
    <w:link w:val="6"/>
    <w:semiHidden/>
    <w:qFormat/>
    <w:uiPriority w:val="99"/>
    <w:rPr>
      <w:rFonts w:ascii="Calibri" w:hAnsi="Calibri" w:eastAsia="宋体" w:cs="Times New Roman"/>
    </w:rPr>
  </w:style>
  <w:style w:type="paragraph" w:customStyle="1" w:styleId="30">
    <w:name w:val="列出段落2"/>
    <w:basedOn w:val="1"/>
    <w:unhideWhenUsed/>
    <w:qFormat/>
    <w:uiPriority w:val="99"/>
    <w:pPr>
      <w:ind w:firstLine="420" w:firstLineChars="200"/>
    </w:pPr>
  </w:style>
  <w:style w:type="paragraph" w:customStyle="1" w:styleId="31">
    <w:name w:val="修订2"/>
    <w:hidden/>
    <w:unhideWhenUsed/>
    <w:qFormat/>
    <w:uiPriority w:val="99"/>
    <w:rPr>
      <w:rFonts w:ascii="Calibri" w:hAnsi="Calibri" w:eastAsia="宋体" w:cs="Times New Roman"/>
      <w:kern w:val="2"/>
      <w:sz w:val="21"/>
      <w:szCs w:val="22"/>
      <w:lang w:val="en-US" w:eastAsia="zh-CN" w:bidi="ar-SA"/>
    </w:rPr>
  </w:style>
  <w:style w:type="paragraph" w:customStyle="1" w:styleId="32">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3">
    <w:name w:val="修订3"/>
    <w:hidden/>
    <w:semiHidden/>
    <w:qFormat/>
    <w:uiPriority w:val="99"/>
    <w:rPr>
      <w:rFonts w:ascii="Calibri" w:hAnsi="Calibri" w:eastAsia="宋体" w:cs="Times New Roman"/>
      <w:kern w:val="2"/>
      <w:sz w:val="21"/>
      <w:szCs w:val="22"/>
      <w:lang w:val="en-US" w:eastAsia="zh-CN" w:bidi="ar-SA"/>
    </w:rPr>
  </w:style>
  <w:style w:type="character" w:customStyle="1" w:styleId="34">
    <w:name w:val="文档结构图 Char"/>
    <w:basedOn w:val="14"/>
    <w:link w:val="4"/>
    <w:semiHidden/>
    <w:qFormat/>
    <w:uiPriority w:val="99"/>
    <w:rPr>
      <w:rFonts w:ascii="宋体"/>
      <w:kern w:val="2"/>
      <w:sz w:val="18"/>
      <w:szCs w:val="18"/>
    </w:rPr>
  </w:style>
  <w:style w:type="character" w:customStyle="1" w:styleId="35">
    <w:name w:val="批注文字 Char1"/>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8033F7-66D0-4358-8178-18F09CB02E16}">
  <ds:schemaRefs/>
</ds:datastoreItem>
</file>

<file path=customXml/itemProps3.xml><?xml version="1.0" encoding="utf-8"?>
<ds:datastoreItem xmlns:ds="http://schemas.openxmlformats.org/officeDocument/2006/customXml" ds:itemID="{D228D8C6-371D-49E2-876D-DED17FE17DA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5623</Words>
  <Characters>32057</Characters>
  <Lines>267</Lines>
  <Paragraphs>75</Paragraphs>
  <TotalTime>106</TotalTime>
  <ScaleCrop>false</ScaleCrop>
  <LinksUpToDate>false</LinksUpToDate>
  <CharactersWithSpaces>37605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2021-07-31T03:26:00Z</dcterms:created>
  <dc:creator>李宁</dc:creator>
  <cp:lastModifiedBy>喻秋燕</cp:lastModifiedBy>
  <cp:lastPrinted>2017-02-10T08:00:00Z</cp:lastPrinted>
  <dcterms:modified xsi:type="dcterms:W3CDTF">2022-10-25T03:14:58Z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670E7B247C4A46E79AAF1E7657C14122</vt:lpwstr>
  </property>
</Properties>
</file>