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2E42" w14:textId="7F151985" w:rsidR="00866BFB" w:rsidRDefault="000800C1" w:rsidP="0027109F">
      <w:pPr>
        <w:spacing w:before="50" w:after="50" w:line="360" w:lineRule="auto"/>
        <w:jc w:val="center"/>
        <w:rPr>
          <w:rFonts w:ascii="宋体" w:hAnsi="宋体" w:cs="宋体"/>
          <w:b/>
          <w:bCs/>
          <w:sz w:val="28"/>
          <w:szCs w:val="28"/>
        </w:rPr>
      </w:pPr>
      <w:proofErr w:type="gramStart"/>
      <w:r>
        <w:rPr>
          <w:rFonts w:ascii="宋体" w:hAnsi="宋体" w:cs="宋体" w:hint="eastAsia"/>
          <w:b/>
          <w:bCs/>
          <w:sz w:val="28"/>
          <w:szCs w:val="28"/>
        </w:rPr>
        <w:t>交银施罗德稳安30天</w:t>
      </w:r>
      <w:proofErr w:type="gramEnd"/>
      <w:r>
        <w:rPr>
          <w:rFonts w:ascii="宋体" w:hAnsi="宋体" w:cs="宋体" w:hint="eastAsia"/>
          <w:b/>
          <w:bCs/>
          <w:sz w:val="28"/>
          <w:szCs w:val="28"/>
        </w:rPr>
        <w:t>滚动持有债券型证券投资基金</w:t>
      </w:r>
    </w:p>
    <w:p w14:paraId="04302DCD" w14:textId="26D560F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基金份额发售公告</w:t>
      </w:r>
    </w:p>
    <w:p w14:paraId="4759B849" w14:textId="77777777" w:rsidR="00E460C7" w:rsidRPr="00881CB4"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5865DA09" w:rsidR="0027109F" w:rsidRPr="00781410" w:rsidRDefault="0027109F" w:rsidP="00866BFB">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proofErr w:type="gramStart"/>
      <w:r w:rsidR="000800C1">
        <w:rPr>
          <w:rFonts w:hAnsi="宋体" w:hint="eastAsia"/>
          <w:sz w:val="24"/>
        </w:rPr>
        <w:t>交银施罗德稳安</w:t>
      </w:r>
      <w:r w:rsidR="000800C1">
        <w:rPr>
          <w:rFonts w:hAnsi="宋体" w:hint="eastAsia"/>
          <w:sz w:val="24"/>
        </w:rPr>
        <w:t>30</w:t>
      </w:r>
      <w:r w:rsidR="000800C1">
        <w:rPr>
          <w:rFonts w:hAnsi="宋体" w:hint="eastAsia"/>
          <w:sz w:val="24"/>
        </w:rPr>
        <w:t>天</w:t>
      </w:r>
      <w:proofErr w:type="gramEnd"/>
      <w:r w:rsidR="000800C1">
        <w:rPr>
          <w:rFonts w:hAnsi="宋体" w:hint="eastAsia"/>
          <w:sz w:val="24"/>
        </w:rPr>
        <w:t>滚动持有债券型证券投资基金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881CB4">
        <w:rPr>
          <w:rFonts w:hAnsi="宋体"/>
          <w:sz w:val="24"/>
        </w:rPr>
        <w:t>2022</w:t>
      </w:r>
      <w:r w:rsidR="003505F8" w:rsidRPr="00781410">
        <w:rPr>
          <w:rFonts w:hAnsi="宋体"/>
          <w:sz w:val="24"/>
        </w:rPr>
        <w:t>】</w:t>
      </w:r>
      <w:r w:rsidR="000800C1">
        <w:rPr>
          <w:rFonts w:hAnsi="宋体"/>
          <w:sz w:val="24"/>
        </w:rPr>
        <w:t>1914</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5917515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866BFB" w:rsidRPr="00947DF6">
        <w:rPr>
          <w:rFonts w:hAnsi="宋体" w:hint="eastAsia"/>
          <w:sz w:val="24"/>
        </w:rPr>
        <w:t>本基金是契约型开放式债券型证券投资基金</w:t>
      </w:r>
      <w:r w:rsidRPr="00781410">
        <w:rPr>
          <w:rFonts w:hAnsi="宋体"/>
          <w:sz w:val="24"/>
        </w:rPr>
        <w:t>。</w:t>
      </w:r>
    </w:p>
    <w:p w14:paraId="7E8DB0B9" w14:textId="566A68EE"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0800C1" w:rsidRPr="000800C1">
        <w:rPr>
          <w:rFonts w:hint="eastAsia"/>
          <w:kern w:val="0"/>
          <w:sz w:val="24"/>
          <w:szCs w:val="24"/>
        </w:rPr>
        <w:t>招商银行股份有限公司</w:t>
      </w:r>
      <w:r w:rsidRPr="00781410">
        <w:rPr>
          <w:rFonts w:hAnsi="宋体"/>
          <w:sz w:val="24"/>
        </w:rPr>
        <w:t>，登记机构为</w:t>
      </w:r>
      <w:r w:rsidR="00866BFB">
        <w:rPr>
          <w:rFonts w:hAnsi="宋体" w:hint="eastAsia"/>
          <w:sz w:val="24"/>
        </w:rPr>
        <w:t>本公司</w:t>
      </w:r>
      <w:r w:rsidRPr="00781410">
        <w:rPr>
          <w:rFonts w:hAnsi="宋体"/>
          <w:sz w:val="24"/>
        </w:rPr>
        <w:t>。</w:t>
      </w:r>
    </w:p>
    <w:p w14:paraId="54129B9A" w14:textId="2FEEB449" w:rsidR="00866BFB" w:rsidRDefault="00866BFB" w:rsidP="00866BFB">
      <w:pPr>
        <w:adjustRightInd w:val="0"/>
        <w:snapToGrid w:val="0"/>
        <w:spacing w:line="360" w:lineRule="auto"/>
        <w:ind w:firstLineChars="200" w:firstLine="480"/>
        <w:rPr>
          <w:rFonts w:hAnsi="宋体"/>
          <w:sz w:val="24"/>
        </w:rPr>
      </w:pPr>
      <w:r w:rsidRPr="00866BFB">
        <w:rPr>
          <w:rFonts w:hAnsi="宋体" w:hint="eastAsia"/>
          <w:sz w:val="24"/>
        </w:rPr>
        <w:t>4</w:t>
      </w:r>
      <w:r w:rsidRPr="00866BFB">
        <w:rPr>
          <w:rFonts w:hAnsi="宋体" w:hint="eastAsia"/>
          <w:sz w:val="24"/>
        </w:rPr>
        <w:t>、本基金根据认购</w:t>
      </w:r>
      <w:r w:rsidRPr="00866BFB">
        <w:rPr>
          <w:rFonts w:hAnsi="宋体" w:hint="eastAsia"/>
          <w:sz w:val="24"/>
        </w:rPr>
        <w:t>/</w:t>
      </w:r>
      <w:r w:rsidRPr="00866BFB">
        <w:rPr>
          <w:rFonts w:hAnsi="宋体" w:hint="eastAsia"/>
          <w:sz w:val="24"/>
        </w:rPr>
        <w:t>申购费用、销售服务费收取方式的不同，将基金份额分为不同的类别。在投资人认购</w:t>
      </w:r>
      <w:r w:rsidRPr="00866BFB">
        <w:rPr>
          <w:rFonts w:hAnsi="宋体" w:hint="eastAsia"/>
          <w:sz w:val="24"/>
        </w:rPr>
        <w:t>/</w:t>
      </w:r>
      <w:r w:rsidRPr="00866BFB">
        <w:rPr>
          <w:rFonts w:hAnsi="宋体" w:hint="eastAsia"/>
          <w:sz w:val="24"/>
        </w:rPr>
        <w:t>申购时收取认购</w:t>
      </w:r>
      <w:r w:rsidRPr="00866BFB">
        <w:rPr>
          <w:rFonts w:hAnsi="宋体" w:hint="eastAsia"/>
          <w:sz w:val="24"/>
        </w:rPr>
        <w:t>/</w:t>
      </w:r>
      <w:r w:rsidRPr="00866BFB">
        <w:rPr>
          <w:rFonts w:hAnsi="宋体" w:hint="eastAsia"/>
          <w:sz w:val="24"/>
        </w:rPr>
        <w:t>申购费用且不从本类别基金资产中计</w:t>
      </w:r>
      <w:proofErr w:type="gramStart"/>
      <w:r w:rsidRPr="00866BFB">
        <w:rPr>
          <w:rFonts w:hAnsi="宋体" w:hint="eastAsia"/>
          <w:sz w:val="24"/>
        </w:rPr>
        <w:t>提销售</w:t>
      </w:r>
      <w:proofErr w:type="gramEnd"/>
      <w:r w:rsidRPr="00866BFB">
        <w:rPr>
          <w:rFonts w:hAnsi="宋体" w:hint="eastAsia"/>
          <w:sz w:val="24"/>
        </w:rPr>
        <w:t>服务费的，称为</w:t>
      </w:r>
      <w:r w:rsidRPr="00866BFB">
        <w:rPr>
          <w:rFonts w:hAnsi="宋体" w:hint="eastAsia"/>
          <w:sz w:val="24"/>
        </w:rPr>
        <w:t>A</w:t>
      </w:r>
      <w:r w:rsidRPr="00866BFB">
        <w:rPr>
          <w:rFonts w:hAnsi="宋体" w:hint="eastAsia"/>
          <w:sz w:val="24"/>
        </w:rPr>
        <w:t>类基金份额；在投资人认购</w:t>
      </w:r>
      <w:r w:rsidRPr="00866BFB">
        <w:rPr>
          <w:rFonts w:hAnsi="宋体" w:hint="eastAsia"/>
          <w:sz w:val="24"/>
        </w:rPr>
        <w:t>/</w:t>
      </w:r>
      <w:r w:rsidRPr="00866BFB">
        <w:rPr>
          <w:rFonts w:hAnsi="宋体" w:hint="eastAsia"/>
          <w:sz w:val="24"/>
        </w:rPr>
        <w:t>申购时不收取认购</w:t>
      </w:r>
      <w:r w:rsidRPr="00866BFB">
        <w:rPr>
          <w:rFonts w:hAnsi="宋体" w:hint="eastAsia"/>
          <w:sz w:val="24"/>
        </w:rPr>
        <w:t>/</w:t>
      </w:r>
      <w:r w:rsidRPr="00866BFB">
        <w:rPr>
          <w:rFonts w:hAnsi="宋体" w:hint="eastAsia"/>
          <w:sz w:val="24"/>
        </w:rPr>
        <w:t>申购费用，并从本类别基金资产中计</w:t>
      </w:r>
      <w:proofErr w:type="gramStart"/>
      <w:r w:rsidRPr="00866BFB">
        <w:rPr>
          <w:rFonts w:hAnsi="宋体" w:hint="eastAsia"/>
          <w:sz w:val="24"/>
        </w:rPr>
        <w:t>提销售</w:t>
      </w:r>
      <w:proofErr w:type="gramEnd"/>
      <w:r w:rsidRPr="00866BFB">
        <w:rPr>
          <w:rFonts w:hAnsi="宋体" w:hint="eastAsia"/>
          <w:sz w:val="24"/>
        </w:rPr>
        <w:t>服务费的，称为</w:t>
      </w:r>
      <w:r w:rsidRPr="00866BFB">
        <w:rPr>
          <w:rFonts w:hAnsi="宋体" w:hint="eastAsia"/>
          <w:sz w:val="24"/>
        </w:rPr>
        <w:t>C</w:t>
      </w:r>
      <w:r w:rsidRPr="00866BFB">
        <w:rPr>
          <w:rFonts w:hAnsi="宋体" w:hint="eastAsia"/>
          <w:sz w:val="24"/>
        </w:rPr>
        <w:t>类基金份额。本基金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类基金份额分别设置基金代码。由于基金费用的不同，本基金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类基金份额将分别计算基金份额净值并单独公告。投资者可自行选择认购</w:t>
      </w:r>
      <w:r w:rsidRPr="00866BFB">
        <w:rPr>
          <w:rFonts w:hAnsi="宋体" w:hint="eastAsia"/>
          <w:sz w:val="24"/>
        </w:rPr>
        <w:t>/</w:t>
      </w:r>
      <w:r w:rsidRPr="00866BFB">
        <w:rPr>
          <w:rFonts w:hAnsi="宋体" w:hint="eastAsia"/>
          <w:sz w:val="24"/>
        </w:rPr>
        <w:t>申购的基金份额类别。</w:t>
      </w:r>
      <w:r w:rsidR="00EB41CD" w:rsidRPr="000671F3">
        <w:rPr>
          <w:rFonts w:hint="eastAsia"/>
          <w:bCs/>
          <w:sz w:val="24"/>
        </w:rPr>
        <w:t>本基金不同基金份额类别之间</w:t>
      </w:r>
      <w:r w:rsidR="00EB41CD">
        <w:rPr>
          <w:rFonts w:hint="eastAsia"/>
          <w:bCs/>
          <w:sz w:val="24"/>
        </w:rPr>
        <w:t>暂不开通</w:t>
      </w:r>
      <w:r w:rsidR="00EB41CD" w:rsidRPr="00EF3BF7">
        <w:rPr>
          <w:rFonts w:hint="eastAsia"/>
          <w:bCs/>
          <w:sz w:val="24"/>
        </w:rPr>
        <w:t>互相转换</w:t>
      </w:r>
      <w:r w:rsidR="00EB41CD">
        <w:rPr>
          <w:rFonts w:hint="eastAsia"/>
          <w:bCs/>
          <w:sz w:val="24"/>
        </w:rPr>
        <w:t>业务。如后续开通此项业务的，无需召开基金份</w:t>
      </w:r>
      <w:r w:rsidR="000B5E45">
        <w:rPr>
          <w:rFonts w:hint="eastAsia"/>
          <w:bCs/>
          <w:sz w:val="24"/>
        </w:rPr>
        <w:t>额</w:t>
      </w:r>
      <w:r w:rsidR="00EB41CD">
        <w:rPr>
          <w:rFonts w:hint="eastAsia"/>
          <w:bCs/>
          <w:sz w:val="24"/>
        </w:rPr>
        <w:t>持有人大会审议，但调整</w:t>
      </w:r>
      <w:proofErr w:type="gramStart"/>
      <w:r w:rsidR="00EB41CD">
        <w:rPr>
          <w:rFonts w:hint="eastAsia"/>
          <w:bCs/>
          <w:sz w:val="24"/>
        </w:rPr>
        <w:t>前基金</w:t>
      </w:r>
      <w:proofErr w:type="gramEnd"/>
      <w:r w:rsidR="00EB41CD">
        <w:rPr>
          <w:rFonts w:hint="eastAsia"/>
          <w:bCs/>
          <w:sz w:val="24"/>
        </w:rPr>
        <w:t>管理人需及时公告</w:t>
      </w:r>
      <w:r w:rsidR="00EB41CD" w:rsidRPr="00EF3BF7">
        <w:rPr>
          <w:rFonts w:hint="eastAsia"/>
          <w:bCs/>
          <w:sz w:val="24"/>
        </w:rPr>
        <w:t>。</w:t>
      </w:r>
    </w:p>
    <w:p w14:paraId="0D0DA406" w14:textId="2E212BD7" w:rsidR="00846D2F" w:rsidRDefault="00866BFB" w:rsidP="007F1857">
      <w:pPr>
        <w:adjustRightInd w:val="0"/>
        <w:snapToGrid w:val="0"/>
        <w:spacing w:line="360" w:lineRule="auto"/>
        <w:ind w:firstLineChars="200" w:firstLine="480"/>
        <w:rPr>
          <w:rFonts w:ascii="宋体" w:hAnsi="宋体"/>
          <w:sz w:val="24"/>
        </w:rPr>
      </w:pPr>
      <w:r w:rsidRPr="008A1FB9">
        <w:rPr>
          <w:rFonts w:hAnsi="宋体"/>
          <w:sz w:val="24"/>
        </w:rPr>
        <w:t>5</w:t>
      </w:r>
      <w:r w:rsidR="00E02891" w:rsidRPr="008A1FB9">
        <w:rPr>
          <w:rFonts w:hAnsi="宋体" w:hint="eastAsia"/>
          <w:sz w:val="24"/>
        </w:rPr>
        <w:t>、</w:t>
      </w:r>
      <w:r w:rsidR="008A1FB9" w:rsidRPr="008A1FB9">
        <w:rPr>
          <w:rFonts w:hAnsi="宋体" w:hint="eastAsia"/>
          <w:sz w:val="24"/>
        </w:rPr>
        <w:t>投资者可以通过基金管理人的直销机构即基金管理人直销柜台以及基金管理人的网上直销交易平台（网站及手机</w:t>
      </w:r>
      <w:r w:rsidR="008A1FB9" w:rsidRPr="008A1FB9">
        <w:rPr>
          <w:rFonts w:hAnsi="宋体"/>
          <w:sz w:val="24"/>
        </w:rPr>
        <w:t>APP</w:t>
      </w:r>
      <w:r w:rsidR="008A1FB9" w:rsidRPr="008A1FB9">
        <w:rPr>
          <w:rFonts w:hAnsi="宋体" w:hint="eastAsia"/>
          <w:sz w:val="24"/>
        </w:rPr>
        <w:t>，下同）</w:t>
      </w:r>
      <w:r w:rsidR="00FD492E">
        <w:rPr>
          <w:rFonts w:ascii="宋体" w:hAnsi="宋体" w:hint="eastAsia"/>
          <w:sz w:val="24"/>
        </w:rPr>
        <w:t>和除基金管理人之外的其他销售机构（以下或称“其他销售机构”）</w:t>
      </w:r>
      <w:r w:rsidR="008A1FB9" w:rsidRPr="008A1FB9">
        <w:rPr>
          <w:rFonts w:hAnsi="宋体" w:hint="eastAsia"/>
          <w:sz w:val="24"/>
        </w:rPr>
        <w:t>认购本基金。</w:t>
      </w:r>
      <w:r w:rsidR="006759E7">
        <w:rPr>
          <w:rFonts w:hAnsi="宋体" w:hint="eastAsia"/>
          <w:sz w:val="24"/>
        </w:rPr>
        <w:t>机构投资者（</w:t>
      </w:r>
      <w:proofErr w:type="gramStart"/>
      <w:r w:rsidR="009079AF">
        <w:rPr>
          <w:rFonts w:hAnsi="宋体" w:hint="eastAsia"/>
          <w:sz w:val="24"/>
        </w:rPr>
        <w:t>含</w:t>
      </w:r>
      <w:bookmarkStart w:id="0" w:name="_GoBack"/>
      <w:r w:rsidR="009079AF">
        <w:rPr>
          <w:rFonts w:hAnsi="宋体" w:hint="eastAsia"/>
          <w:sz w:val="24"/>
        </w:rPr>
        <w:t>公募资产</w:t>
      </w:r>
      <w:proofErr w:type="gramEnd"/>
      <w:r w:rsidR="009079AF">
        <w:rPr>
          <w:rFonts w:hAnsi="宋体" w:hint="eastAsia"/>
          <w:sz w:val="24"/>
        </w:rPr>
        <w:t>管理产品</w:t>
      </w:r>
      <w:bookmarkEnd w:id="0"/>
      <w:r w:rsidR="006759E7">
        <w:rPr>
          <w:rFonts w:hAnsi="宋体" w:hint="eastAsia"/>
          <w:sz w:val="24"/>
        </w:rPr>
        <w:t>）仅可通过基金管理人直销柜台认购本基金。</w:t>
      </w:r>
      <w:r w:rsidR="008A1FB9" w:rsidRPr="008A1FB9">
        <w:rPr>
          <w:rFonts w:hAnsi="宋体" w:hint="eastAsia"/>
          <w:sz w:val="24"/>
        </w:rPr>
        <w:t>基金管理人可根据有关法律法规的要求，选择其它符合要求的机构销售本基金。本公告中如无特别说明，销售机构即指直销机构和其他销售机构。</w:t>
      </w:r>
      <w:r w:rsidR="00E96DFA" w:rsidRPr="008A1FB9">
        <w:rPr>
          <w:rFonts w:ascii="宋体" w:hAnsi="宋体"/>
          <w:sz w:val="24"/>
        </w:rPr>
        <w:t>具体销售机构名单详见本公告“</w:t>
      </w:r>
      <w:r w:rsidR="00E96DFA" w:rsidRPr="008A1FB9">
        <w:rPr>
          <w:rFonts w:ascii="宋体" w:hAnsi="宋体" w:hint="eastAsia"/>
          <w:sz w:val="24"/>
        </w:rPr>
        <w:t>九、本次募集当事人或中介机构”项下“（三）销售机构”</w:t>
      </w:r>
      <w:r w:rsidR="00E96DFA" w:rsidRPr="008A1FB9">
        <w:rPr>
          <w:rFonts w:ascii="宋体" w:hAnsi="宋体"/>
          <w:sz w:val="24"/>
        </w:rPr>
        <w:t>章节</w:t>
      </w:r>
      <w:r w:rsidR="00E37F0C" w:rsidRPr="008A1FB9">
        <w:rPr>
          <w:rFonts w:ascii="宋体" w:hAnsi="宋体" w:hint="eastAsia"/>
          <w:sz w:val="24"/>
        </w:rPr>
        <w:t>。</w:t>
      </w:r>
    </w:p>
    <w:p w14:paraId="61402806" w14:textId="7998843F"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lastRenderedPageBreak/>
        <w:t>除法律法规另有规定外，任何与基金份额发售有关的当事人不得提前发售基金份额。</w:t>
      </w:r>
    </w:p>
    <w:p w14:paraId="3F3E0A35" w14:textId="009DB4F3" w:rsidR="0027109F" w:rsidRPr="00781410" w:rsidRDefault="00866BFB"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0800C1">
        <w:rPr>
          <w:sz w:val="24"/>
        </w:rPr>
        <w:t>2022</w:t>
      </w:r>
      <w:r w:rsidR="000800C1">
        <w:rPr>
          <w:sz w:val="24"/>
        </w:rPr>
        <w:t>年</w:t>
      </w:r>
      <w:r w:rsidR="000800C1">
        <w:rPr>
          <w:sz w:val="24"/>
        </w:rPr>
        <w:t>11</w:t>
      </w:r>
      <w:r w:rsidR="00681400">
        <w:rPr>
          <w:rFonts w:hint="eastAsia"/>
          <w:sz w:val="24"/>
        </w:rPr>
        <w:t>月</w:t>
      </w:r>
      <w:r w:rsidR="000800C1">
        <w:rPr>
          <w:sz w:val="24"/>
        </w:rPr>
        <w:t>14</w:t>
      </w:r>
      <w:r w:rsidR="00681400">
        <w:rPr>
          <w:sz w:val="24"/>
        </w:rPr>
        <w:t>日</w:t>
      </w:r>
      <w:r w:rsidR="00DA34CA" w:rsidRPr="00DA34CA">
        <w:rPr>
          <w:rFonts w:hint="eastAsia"/>
          <w:sz w:val="24"/>
        </w:rPr>
        <w:t>起至</w:t>
      </w:r>
      <w:r w:rsidR="000800C1" w:rsidRPr="0008248B">
        <w:rPr>
          <w:sz w:val="24"/>
        </w:rPr>
        <w:t>202</w:t>
      </w:r>
      <w:r w:rsidR="000800C1">
        <w:rPr>
          <w:sz w:val="24"/>
        </w:rPr>
        <w:t>2</w:t>
      </w:r>
      <w:r w:rsidR="000800C1" w:rsidRPr="0008248B">
        <w:rPr>
          <w:rFonts w:hint="eastAsia"/>
          <w:sz w:val="24"/>
        </w:rPr>
        <w:t>年</w:t>
      </w:r>
      <w:r w:rsidR="000800C1">
        <w:rPr>
          <w:sz w:val="24"/>
        </w:rPr>
        <w:t>11</w:t>
      </w:r>
      <w:r w:rsidR="00681400">
        <w:rPr>
          <w:rFonts w:hint="eastAsia"/>
          <w:sz w:val="24"/>
        </w:rPr>
        <w:t>月</w:t>
      </w:r>
      <w:r w:rsidR="000800C1">
        <w:rPr>
          <w:sz w:val="24"/>
        </w:rPr>
        <w:t>25</w:t>
      </w:r>
      <w:r w:rsidR="00681400">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515582C" w14:textId="37191063" w:rsidR="000800C1" w:rsidRPr="00FB6C1D" w:rsidRDefault="00866BFB" w:rsidP="000800C1">
      <w:pPr>
        <w:autoSpaceDE w:val="0"/>
        <w:autoSpaceDN w:val="0"/>
        <w:adjustRightInd w:val="0"/>
        <w:snapToGrid w:val="0"/>
        <w:spacing w:line="360" w:lineRule="auto"/>
        <w:ind w:firstLineChars="200" w:firstLine="480"/>
        <w:rPr>
          <w:rFonts w:hAnsi="宋体"/>
          <w:sz w:val="24"/>
        </w:rPr>
      </w:pPr>
      <w:r w:rsidRPr="00FB6C1D">
        <w:rPr>
          <w:sz w:val="24"/>
        </w:rPr>
        <w:t>7</w:t>
      </w:r>
      <w:r w:rsidR="0027109F" w:rsidRPr="00FB6C1D">
        <w:rPr>
          <w:rFonts w:hAnsi="宋体"/>
          <w:sz w:val="24"/>
        </w:rPr>
        <w:t>、本基金募集对象为</w:t>
      </w:r>
      <w:r w:rsidR="00FD492E" w:rsidRPr="00FB6C1D">
        <w:rPr>
          <w:rFonts w:hAnsi="宋体" w:hint="eastAsia"/>
          <w:sz w:val="24"/>
        </w:rPr>
        <w:t>符合法律法规规定的可投资于证券投资基金的个人投资者、机构投资者、合格境外投资者以及法律法规或中国证监会允许购买证券投资基金的其他投资人</w:t>
      </w:r>
      <w:r w:rsidR="00FD492E" w:rsidRPr="00FB6C1D">
        <w:rPr>
          <w:rFonts w:hint="eastAsia"/>
          <w:color w:val="000000"/>
          <w:kern w:val="0"/>
          <w:sz w:val="24"/>
        </w:rPr>
        <w:t>（以下合称“投资人”或“投资者”）</w:t>
      </w:r>
      <w:r w:rsidR="00FD492E" w:rsidRPr="00FB6C1D">
        <w:rPr>
          <w:rFonts w:hAnsi="宋体"/>
          <w:sz w:val="24"/>
        </w:rPr>
        <w:t>。</w:t>
      </w:r>
    </w:p>
    <w:p w14:paraId="5EE46A1F" w14:textId="77777777" w:rsidR="000800C1" w:rsidRPr="00FB6C1D" w:rsidRDefault="000800C1" w:rsidP="000800C1">
      <w:pPr>
        <w:autoSpaceDE w:val="0"/>
        <w:autoSpaceDN w:val="0"/>
        <w:adjustRightInd w:val="0"/>
        <w:snapToGrid w:val="0"/>
        <w:spacing w:line="360" w:lineRule="auto"/>
        <w:ind w:firstLineChars="200" w:firstLine="480"/>
        <w:rPr>
          <w:rFonts w:hAnsi="宋体"/>
          <w:sz w:val="24"/>
        </w:rPr>
      </w:pPr>
      <w:r w:rsidRPr="00FB6C1D">
        <w:rPr>
          <w:rFonts w:hAnsi="宋体" w:hint="eastAsia"/>
          <w:sz w:val="24"/>
        </w:rPr>
        <w:t>本基金暂不向金融机构自营账户销售，如未来本基金开放向金融机构自营账户公开发售或对发售对象的范围予以进一步限定，基金管理人将另行公告。</w:t>
      </w:r>
    </w:p>
    <w:p w14:paraId="7A19C43F" w14:textId="3BB0A30B" w:rsidR="000800C1" w:rsidRPr="00FB6C1D" w:rsidRDefault="000800C1" w:rsidP="004120D5">
      <w:pPr>
        <w:autoSpaceDE w:val="0"/>
        <w:autoSpaceDN w:val="0"/>
        <w:adjustRightInd w:val="0"/>
        <w:snapToGrid w:val="0"/>
        <w:spacing w:line="360" w:lineRule="auto"/>
        <w:ind w:firstLineChars="200" w:firstLine="480"/>
        <w:rPr>
          <w:rFonts w:hAnsi="宋体"/>
          <w:sz w:val="24"/>
        </w:rPr>
      </w:pPr>
      <w:r w:rsidRPr="00FB6C1D">
        <w:rPr>
          <w:rFonts w:hAnsi="宋体" w:hint="eastAsia"/>
          <w:sz w:val="24"/>
        </w:rPr>
        <w:t>本基金单一投资者单日认购金额不超过</w:t>
      </w:r>
      <w:r w:rsidRPr="00FB6C1D">
        <w:rPr>
          <w:rFonts w:hAnsi="宋体"/>
          <w:sz w:val="24"/>
        </w:rPr>
        <w:t>1000</w:t>
      </w:r>
      <w:r w:rsidRPr="00FB6C1D">
        <w:rPr>
          <w:rFonts w:hAnsi="宋体" w:hint="eastAsia"/>
          <w:sz w:val="24"/>
        </w:rPr>
        <w:t>万元（个人和公</w:t>
      </w:r>
      <w:proofErr w:type="gramStart"/>
      <w:r w:rsidRPr="00FB6C1D">
        <w:rPr>
          <w:rFonts w:hAnsi="宋体" w:hint="eastAsia"/>
          <w:sz w:val="24"/>
        </w:rPr>
        <w:t>募资产</w:t>
      </w:r>
      <w:proofErr w:type="gramEnd"/>
      <w:r w:rsidRPr="00FB6C1D">
        <w:rPr>
          <w:rFonts w:hAnsi="宋体" w:hint="eastAsia"/>
          <w:sz w:val="24"/>
        </w:rPr>
        <w:t>管理产品除外）。基金管理人可以调整单一投资者单日认购金额上限，具体规定请参见更新的招募说明书或相关公告。</w:t>
      </w:r>
    </w:p>
    <w:p w14:paraId="5355DFFF" w14:textId="13D14AA1" w:rsidR="000D04BA" w:rsidRPr="00FB6C1D" w:rsidRDefault="000D04BA" w:rsidP="000D04BA">
      <w:pPr>
        <w:autoSpaceDE w:val="0"/>
        <w:autoSpaceDN w:val="0"/>
        <w:adjustRightInd w:val="0"/>
        <w:snapToGrid w:val="0"/>
        <w:spacing w:line="360" w:lineRule="auto"/>
        <w:ind w:firstLineChars="200" w:firstLine="480"/>
        <w:rPr>
          <w:rFonts w:hAnsi="宋体"/>
          <w:sz w:val="24"/>
        </w:rPr>
      </w:pPr>
      <w:r w:rsidRPr="00FB6C1D">
        <w:rPr>
          <w:rFonts w:hAnsi="宋体" w:hint="eastAsia"/>
          <w:sz w:val="24"/>
        </w:rPr>
        <w:t>基金管理人有权对某类或某</w:t>
      </w:r>
      <w:proofErr w:type="gramStart"/>
      <w:r w:rsidRPr="00FB6C1D">
        <w:rPr>
          <w:rFonts w:hAnsi="宋体" w:hint="eastAsia"/>
          <w:sz w:val="24"/>
        </w:rPr>
        <w:t>只资产</w:t>
      </w:r>
      <w:proofErr w:type="gramEnd"/>
      <w:r w:rsidRPr="00FB6C1D">
        <w:rPr>
          <w:rFonts w:hAnsi="宋体" w:hint="eastAsia"/>
          <w:sz w:val="24"/>
        </w:rPr>
        <w:t>管理产品持有本基金的金额或份额数量进行限制并有权拒绝其全部或部分认购申请，具体以基金管理人认定为准。</w:t>
      </w:r>
    </w:p>
    <w:p w14:paraId="64695874" w14:textId="3DDEF3EB" w:rsidR="006759E7" w:rsidRDefault="006759E7" w:rsidP="000D04BA">
      <w:pPr>
        <w:autoSpaceDE w:val="0"/>
        <w:autoSpaceDN w:val="0"/>
        <w:adjustRightInd w:val="0"/>
        <w:snapToGrid w:val="0"/>
        <w:spacing w:line="360" w:lineRule="auto"/>
        <w:ind w:firstLineChars="200" w:firstLine="480"/>
        <w:rPr>
          <w:rFonts w:hAnsi="宋体"/>
          <w:sz w:val="24"/>
        </w:rPr>
      </w:pPr>
      <w:r>
        <w:rPr>
          <w:rFonts w:hAnsi="宋体" w:hint="eastAsia"/>
          <w:sz w:val="24"/>
        </w:rPr>
        <w:t>机构投资者（</w:t>
      </w:r>
      <w:proofErr w:type="gramStart"/>
      <w:r>
        <w:rPr>
          <w:rFonts w:hAnsi="宋体" w:hint="eastAsia"/>
          <w:sz w:val="24"/>
        </w:rPr>
        <w:t>含</w:t>
      </w:r>
      <w:r w:rsidR="003F1F96">
        <w:rPr>
          <w:rFonts w:hAnsi="宋体" w:hint="eastAsia"/>
          <w:sz w:val="24"/>
        </w:rPr>
        <w:t>公募资产</w:t>
      </w:r>
      <w:proofErr w:type="gramEnd"/>
      <w:r w:rsidR="003F1F96">
        <w:rPr>
          <w:rFonts w:hAnsi="宋体" w:hint="eastAsia"/>
          <w:sz w:val="24"/>
        </w:rPr>
        <w:t>管理产品</w:t>
      </w:r>
      <w:r>
        <w:rPr>
          <w:rFonts w:hAnsi="宋体" w:hint="eastAsia"/>
          <w:sz w:val="24"/>
        </w:rPr>
        <w:t>）仅</w:t>
      </w:r>
      <w:r w:rsidRPr="006759E7">
        <w:rPr>
          <w:rFonts w:hAnsi="宋体" w:hint="eastAsia"/>
          <w:sz w:val="24"/>
        </w:rPr>
        <w:t>可通过本基金管理人直销柜台认购本基金，</w:t>
      </w:r>
      <w:proofErr w:type="gramStart"/>
      <w:r w:rsidRPr="006759E7">
        <w:rPr>
          <w:rFonts w:hAnsi="宋体" w:hint="eastAsia"/>
          <w:sz w:val="24"/>
        </w:rPr>
        <w:t>若</w:t>
      </w:r>
      <w:r>
        <w:rPr>
          <w:rFonts w:hAnsi="宋体" w:hint="eastAsia"/>
          <w:sz w:val="24"/>
        </w:rPr>
        <w:t>机构</w:t>
      </w:r>
      <w:proofErr w:type="gramEnd"/>
      <w:r>
        <w:rPr>
          <w:rFonts w:hAnsi="宋体" w:hint="eastAsia"/>
          <w:sz w:val="24"/>
        </w:rPr>
        <w:t>投资者</w:t>
      </w:r>
      <w:r w:rsidRPr="006759E7">
        <w:rPr>
          <w:rFonts w:hAnsi="宋体" w:hint="eastAsia"/>
          <w:sz w:val="24"/>
        </w:rPr>
        <w:t>通过非本基金管理人直销柜台认购本基金，则本基金管理人有权拒绝该笔申请。未来本基金可根据实际情况在非本基金管理人直销柜台向</w:t>
      </w:r>
      <w:r>
        <w:rPr>
          <w:rFonts w:hAnsi="宋体" w:hint="eastAsia"/>
          <w:sz w:val="24"/>
        </w:rPr>
        <w:t>机构投资者</w:t>
      </w:r>
      <w:r w:rsidRPr="006759E7">
        <w:rPr>
          <w:rFonts w:hAnsi="宋体" w:hint="eastAsia"/>
          <w:sz w:val="24"/>
        </w:rPr>
        <w:t>销售。</w:t>
      </w:r>
    </w:p>
    <w:p w14:paraId="35DA1D0D" w14:textId="094E1B97" w:rsidR="00515C35" w:rsidRPr="007F5DC1" w:rsidRDefault="000D04BA" w:rsidP="009A270F">
      <w:pPr>
        <w:autoSpaceDE w:val="0"/>
        <w:autoSpaceDN w:val="0"/>
        <w:adjustRightInd w:val="0"/>
        <w:snapToGrid w:val="0"/>
        <w:spacing w:line="360" w:lineRule="auto"/>
        <w:ind w:firstLineChars="200" w:firstLine="480"/>
        <w:rPr>
          <w:rFonts w:hAnsi="宋体"/>
          <w:sz w:val="24"/>
        </w:rPr>
      </w:pPr>
      <w:r w:rsidRPr="00FB6C1D">
        <w:rPr>
          <w:rFonts w:hAnsi="宋体" w:hint="eastAsia"/>
          <w:sz w:val="24"/>
        </w:rPr>
        <w:t>公</w:t>
      </w:r>
      <w:proofErr w:type="gramStart"/>
      <w:r w:rsidRPr="00FB6C1D">
        <w:rPr>
          <w:rFonts w:hAnsi="宋体" w:hint="eastAsia"/>
          <w:sz w:val="24"/>
        </w:rPr>
        <w:t>募资产</w:t>
      </w:r>
      <w:proofErr w:type="gramEnd"/>
      <w:r w:rsidRPr="00FB6C1D">
        <w:rPr>
          <w:rFonts w:hAnsi="宋体" w:hint="eastAsia"/>
          <w:sz w:val="24"/>
        </w:rPr>
        <w:t>管理产品及金融机构自营账户的具体范围以基金管理人认定为准。</w:t>
      </w:r>
    </w:p>
    <w:p w14:paraId="75D95158" w14:textId="14852C67" w:rsidR="00396550" w:rsidRPr="00396550" w:rsidRDefault="000D04BA" w:rsidP="00396550">
      <w:pPr>
        <w:adjustRightInd w:val="0"/>
        <w:snapToGrid w:val="0"/>
        <w:spacing w:line="360" w:lineRule="auto"/>
        <w:ind w:firstLineChars="200" w:firstLine="480"/>
        <w:rPr>
          <w:rFonts w:hAnsi="宋体"/>
          <w:kern w:val="0"/>
          <w:sz w:val="24"/>
        </w:rPr>
      </w:pPr>
      <w:r>
        <w:rPr>
          <w:sz w:val="24"/>
        </w:rPr>
        <w:t>8</w:t>
      </w:r>
      <w:r w:rsidR="00A64C4B" w:rsidRPr="00781410">
        <w:rPr>
          <w:rFonts w:hAnsi="宋体"/>
          <w:sz w:val="24"/>
        </w:rPr>
        <w:t>、</w:t>
      </w:r>
      <w:r w:rsidR="00396550" w:rsidRPr="00396550">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w:t>
      </w:r>
      <w:r w:rsidR="00396550" w:rsidRPr="00396550">
        <w:rPr>
          <w:rFonts w:hAnsi="宋体" w:hint="eastAsia"/>
          <w:kern w:val="0"/>
          <w:sz w:val="24"/>
        </w:rPr>
        <w:lastRenderedPageBreak/>
        <w:t>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6A823CCB" w:rsidR="0027109F" w:rsidRPr="00781410" w:rsidRDefault="000D04BA" w:rsidP="00396550">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w:t>
      </w:r>
      <w:r w:rsidR="000800C1">
        <w:rPr>
          <w:color w:val="000000"/>
          <w:kern w:val="0"/>
          <w:sz w:val="24"/>
        </w:rPr>
        <w:t>0</w:t>
      </w:r>
      <w:r w:rsidR="000800C1">
        <w:rPr>
          <w:rFonts w:hint="eastAsia"/>
          <w:color w:val="000000"/>
          <w:kern w:val="0"/>
          <w:sz w:val="24"/>
        </w:rPr>
        <w:t>万</w:t>
      </w:r>
      <w:r w:rsidR="00527E36" w:rsidRPr="00781410">
        <w:rPr>
          <w:rFonts w:hint="eastAsia"/>
          <w:color w:val="000000"/>
          <w:kern w:val="0"/>
          <w:sz w:val="24"/>
        </w:rPr>
        <w:t>元，追加认购的最低金额为单笔</w:t>
      </w:r>
      <w:r w:rsidR="00527E36" w:rsidRPr="00781410">
        <w:rPr>
          <w:color w:val="000000"/>
          <w:kern w:val="0"/>
          <w:sz w:val="24"/>
        </w:rPr>
        <w:t>10</w:t>
      </w:r>
      <w:r w:rsidR="000800C1">
        <w:rPr>
          <w:rFonts w:hint="eastAsia"/>
          <w:color w:val="000000"/>
          <w:kern w:val="0"/>
          <w:sz w:val="24"/>
        </w:rPr>
        <w:t>万</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216325BE" w:rsidR="0027109F" w:rsidRPr="00781410" w:rsidRDefault="000D04BA" w:rsidP="0027109F">
      <w:pPr>
        <w:adjustRightInd w:val="0"/>
        <w:snapToGrid w:val="0"/>
        <w:spacing w:line="360" w:lineRule="auto"/>
        <w:ind w:firstLineChars="200" w:firstLine="480"/>
        <w:rPr>
          <w:sz w:val="24"/>
        </w:rPr>
      </w:pPr>
      <w:r>
        <w:rPr>
          <w:sz w:val="24"/>
        </w:rPr>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67384BC3" w:rsidR="0027109F" w:rsidRPr="00781410" w:rsidRDefault="000D04BA" w:rsidP="0027109F">
      <w:pPr>
        <w:adjustRightInd w:val="0"/>
        <w:snapToGrid w:val="0"/>
        <w:spacing w:line="360" w:lineRule="auto"/>
        <w:ind w:firstLineChars="200" w:firstLine="480"/>
        <w:rPr>
          <w:sz w:val="24"/>
        </w:rPr>
      </w:pPr>
      <w:r>
        <w:rPr>
          <w:sz w:val="24"/>
        </w:rPr>
        <w:t>11</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0800C1" w:rsidRPr="00A70CE9">
        <w:rPr>
          <w:rFonts w:hAnsi="宋体"/>
          <w:sz w:val="24"/>
        </w:rPr>
        <w:t>202</w:t>
      </w:r>
      <w:r w:rsidR="000800C1">
        <w:rPr>
          <w:rFonts w:hAnsi="宋体"/>
          <w:sz w:val="24"/>
        </w:rPr>
        <w:t>2</w:t>
      </w:r>
      <w:r w:rsidR="000800C1" w:rsidRPr="00A70CE9">
        <w:rPr>
          <w:rFonts w:hAnsi="宋体"/>
          <w:sz w:val="24"/>
        </w:rPr>
        <w:t>年</w:t>
      </w:r>
      <w:r w:rsidR="000800C1">
        <w:rPr>
          <w:rFonts w:hAnsi="宋体"/>
          <w:sz w:val="24"/>
        </w:rPr>
        <w:t>11</w:t>
      </w:r>
      <w:r w:rsidR="00681400">
        <w:rPr>
          <w:rFonts w:hAnsi="宋体" w:hint="eastAsia"/>
          <w:sz w:val="24"/>
        </w:rPr>
        <w:t>月</w:t>
      </w:r>
      <w:r w:rsidR="000800C1">
        <w:rPr>
          <w:rFonts w:hAnsi="宋体"/>
          <w:sz w:val="24"/>
        </w:rPr>
        <w:t>7</w:t>
      </w:r>
      <w:r w:rsidR="00681400">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0800C1">
        <w:rPr>
          <w:rFonts w:hAnsi="宋体" w:hint="eastAsia"/>
          <w:sz w:val="24"/>
        </w:rPr>
        <w:t>交银</w:t>
      </w:r>
      <w:proofErr w:type="gramStart"/>
      <w:r w:rsidR="000800C1">
        <w:rPr>
          <w:rFonts w:hAnsi="宋体" w:hint="eastAsia"/>
          <w:sz w:val="24"/>
        </w:rPr>
        <w:t>施罗德稳安</w:t>
      </w:r>
      <w:r w:rsidR="000800C1">
        <w:rPr>
          <w:rFonts w:hAnsi="宋体" w:hint="eastAsia"/>
          <w:sz w:val="24"/>
        </w:rPr>
        <w:t>30</w:t>
      </w:r>
      <w:r w:rsidR="000800C1">
        <w:rPr>
          <w:rFonts w:hAnsi="宋体" w:hint="eastAsia"/>
          <w:sz w:val="24"/>
        </w:rPr>
        <w:t>天</w:t>
      </w:r>
      <w:proofErr w:type="gramEnd"/>
      <w:r w:rsidR="000800C1">
        <w:rPr>
          <w:rFonts w:hAnsi="宋体" w:hint="eastAsia"/>
          <w:sz w:val="24"/>
        </w:rPr>
        <w:t>滚动持有债券型证券投资</w:t>
      </w:r>
      <w:proofErr w:type="gramStart"/>
      <w:r w:rsidR="000800C1">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75BF6CCD" w:rsidR="0027109F" w:rsidRPr="00781410" w:rsidRDefault="000D04BA" w:rsidP="0027109F">
      <w:pPr>
        <w:adjustRightInd w:val="0"/>
        <w:snapToGrid w:val="0"/>
        <w:spacing w:line="360" w:lineRule="auto"/>
        <w:ind w:firstLineChars="200" w:firstLine="480"/>
        <w:rPr>
          <w:sz w:val="24"/>
        </w:rPr>
      </w:pPr>
      <w:r>
        <w:rPr>
          <w:sz w:val="24"/>
        </w:rPr>
        <w:t>12</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4BBDE311" w:rsidR="0027109F" w:rsidRPr="00781410" w:rsidRDefault="000D04BA" w:rsidP="0027109F">
      <w:pPr>
        <w:adjustRightInd w:val="0"/>
        <w:snapToGrid w:val="0"/>
        <w:spacing w:line="360" w:lineRule="auto"/>
        <w:ind w:firstLineChars="200" w:firstLine="480"/>
        <w:rPr>
          <w:sz w:val="24"/>
        </w:rPr>
      </w:pPr>
      <w:r>
        <w:rPr>
          <w:sz w:val="24"/>
        </w:rPr>
        <w:t>13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w:t>
      </w:r>
      <w:r w:rsidR="0027109F" w:rsidRPr="00781410">
        <w:rPr>
          <w:rFonts w:hAnsi="宋体"/>
          <w:sz w:val="24"/>
        </w:rPr>
        <w:lastRenderedPageBreak/>
        <w:t>询。</w:t>
      </w:r>
    </w:p>
    <w:p w14:paraId="054AC466" w14:textId="4EBCE0E9" w:rsidR="0027109F" w:rsidRPr="00781410" w:rsidRDefault="000D04BA" w:rsidP="0027109F">
      <w:pPr>
        <w:adjustRightInd w:val="0"/>
        <w:snapToGrid w:val="0"/>
        <w:spacing w:line="360" w:lineRule="auto"/>
        <w:ind w:firstLineChars="200" w:firstLine="480"/>
        <w:rPr>
          <w:sz w:val="24"/>
        </w:rPr>
      </w:pPr>
      <w:r>
        <w:rPr>
          <w:sz w:val="24"/>
        </w:rPr>
        <w:t>14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3F0D2D67" w:rsidR="0027109F" w:rsidRPr="00781410" w:rsidRDefault="000D04BA" w:rsidP="0027109F">
      <w:pPr>
        <w:widowControl/>
        <w:adjustRightInd w:val="0"/>
        <w:snapToGrid w:val="0"/>
        <w:spacing w:line="360" w:lineRule="auto"/>
        <w:ind w:firstLineChars="200" w:firstLine="480"/>
        <w:rPr>
          <w:kern w:val="0"/>
          <w:sz w:val="24"/>
        </w:rPr>
      </w:pPr>
      <w:r>
        <w:rPr>
          <w:sz w:val="24"/>
        </w:rPr>
        <w:t>15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7938B53" w:rsidR="0027109F" w:rsidRDefault="000D04BA" w:rsidP="0027109F">
      <w:pPr>
        <w:adjustRightInd w:val="0"/>
        <w:snapToGrid w:val="0"/>
        <w:spacing w:line="360" w:lineRule="auto"/>
        <w:ind w:firstLineChars="200" w:firstLine="480"/>
        <w:rPr>
          <w:rFonts w:hAnsi="宋体"/>
          <w:sz w:val="24"/>
        </w:rPr>
      </w:pPr>
      <w:r>
        <w:rPr>
          <w:sz w:val="24"/>
        </w:rPr>
        <w:t>16</w:t>
      </w:r>
      <w:r w:rsidR="0027109F" w:rsidRPr="00781410">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2614623E" w14:textId="7254F738" w:rsidR="0027109F" w:rsidRPr="00781410" w:rsidRDefault="000D04BA" w:rsidP="00527E36">
      <w:pPr>
        <w:adjustRightInd w:val="0"/>
        <w:snapToGrid w:val="0"/>
        <w:spacing w:line="360" w:lineRule="auto"/>
        <w:ind w:firstLineChars="200" w:firstLine="480"/>
        <w:rPr>
          <w:sz w:val="24"/>
        </w:rPr>
      </w:pPr>
      <w:r>
        <w:rPr>
          <w:sz w:val="24"/>
        </w:rPr>
        <w:t>17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53444B9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44EBD14" w14:textId="2A7ADBD6" w:rsidR="00A70CE9" w:rsidRDefault="00524B92" w:rsidP="00D17C4E">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本基金是一只债券型基金，其预期风险与预期收益</w:t>
      </w:r>
      <w:r w:rsidR="00E43CB6">
        <w:rPr>
          <w:rFonts w:hAnsi="宋体" w:hint="eastAsia"/>
          <w:kern w:val="0"/>
          <w:sz w:val="24"/>
        </w:rPr>
        <w:t>理论上</w:t>
      </w:r>
      <w:r w:rsidRPr="00524B92">
        <w:rPr>
          <w:rFonts w:hAnsi="宋体" w:hint="eastAsia"/>
          <w:kern w:val="0"/>
          <w:sz w:val="24"/>
        </w:rPr>
        <w:t>高于货币市场基金，低于混合型基金和股票型基金。</w:t>
      </w:r>
    </w:p>
    <w:p w14:paraId="2C3015CF" w14:textId="05D883EF" w:rsidR="00EB41CD" w:rsidRDefault="00EB41CD" w:rsidP="00D17C4E">
      <w:pPr>
        <w:widowControl/>
        <w:adjustRightInd w:val="0"/>
        <w:snapToGrid w:val="0"/>
        <w:spacing w:line="360" w:lineRule="auto"/>
        <w:ind w:firstLineChars="200" w:firstLine="480"/>
        <w:rPr>
          <w:rFonts w:hAnsi="宋体"/>
          <w:kern w:val="0"/>
          <w:sz w:val="24"/>
        </w:rPr>
      </w:pPr>
      <w:r w:rsidRPr="00FC1A50">
        <w:rPr>
          <w:rFonts w:hAnsi="宋体" w:hint="eastAsia"/>
          <w:kern w:val="0"/>
          <w:sz w:val="24"/>
        </w:rPr>
        <w:t>本基金为债券型基金，投资于债券资产的比例不低于基金资产的</w:t>
      </w:r>
      <w:r w:rsidRPr="00FC1A50">
        <w:rPr>
          <w:rFonts w:hAnsi="宋体"/>
          <w:kern w:val="0"/>
          <w:sz w:val="24"/>
        </w:rPr>
        <w:t>80%</w:t>
      </w:r>
      <w:r w:rsidRPr="00FC1A50">
        <w:rPr>
          <w:rFonts w:hAnsi="宋体" w:hint="eastAsia"/>
          <w:kern w:val="0"/>
          <w:sz w:val="24"/>
        </w:rPr>
        <w:t>，因投资固定收益类资产而面临固定收益类资产市场的系统性风险和个</w:t>
      </w:r>
      <w:proofErr w:type="gramStart"/>
      <w:r w:rsidRPr="00FC1A50">
        <w:rPr>
          <w:rFonts w:hAnsi="宋体" w:hint="eastAsia"/>
          <w:kern w:val="0"/>
          <w:sz w:val="24"/>
        </w:rPr>
        <w:t>券</w:t>
      </w:r>
      <w:proofErr w:type="gramEnd"/>
      <w:r w:rsidRPr="00FC1A50">
        <w:rPr>
          <w:rFonts w:hAnsi="宋体" w:hint="eastAsia"/>
          <w:kern w:val="0"/>
          <w:sz w:val="24"/>
        </w:rPr>
        <w:t>风险。</w:t>
      </w:r>
    </w:p>
    <w:p w14:paraId="5CBA3362" w14:textId="4C447ECB" w:rsidR="000800C1" w:rsidRDefault="000800C1" w:rsidP="00D17C4E">
      <w:pPr>
        <w:widowControl/>
        <w:adjustRightInd w:val="0"/>
        <w:snapToGrid w:val="0"/>
        <w:spacing w:line="360" w:lineRule="auto"/>
        <w:ind w:firstLineChars="200" w:firstLine="480"/>
        <w:rPr>
          <w:rFonts w:hAnsi="宋体"/>
          <w:kern w:val="0"/>
          <w:sz w:val="24"/>
        </w:rPr>
      </w:pPr>
      <w:r w:rsidRPr="000800C1">
        <w:rPr>
          <w:rFonts w:hAnsi="宋体" w:hint="eastAsia"/>
          <w:kern w:val="0"/>
          <w:sz w:val="24"/>
        </w:rPr>
        <w:t>本基金对每份基金份额设置</w:t>
      </w:r>
      <w:r w:rsidRPr="000800C1">
        <w:rPr>
          <w:rFonts w:hAnsi="宋体" w:hint="eastAsia"/>
          <w:kern w:val="0"/>
          <w:sz w:val="24"/>
        </w:rPr>
        <w:t>30</w:t>
      </w:r>
      <w:r w:rsidRPr="000800C1">
        <w:rPr>
          <w:rFonts w:hAnsi="宋体" w:hint="eastAsia"/>
          <w:kern w:val="0"/>
          <w:sz w:val="24"/>
        </w:rPr>
        <w:t>天的滚动运作期。对于每份基金份额，基金管理人仅在该基金份额的每个运作期到期日为基金份额持有人办理赎回。如果基金份额持有人在当期运作期到期日未申请赎回或赎回被确认失败，则该基金份额</w:t>
      </w:r>
      <w:r w:rsidRPr="000800C1">
        <w:rPr>
          <w:rFonts w:hAnsi="宋体" w:hint="eastAsia"/>
          <w:kern w:val="0"/>
          <w:sz w:val="24"/>
        </w:rPr>
        <w:lastRenderedPageBreak/>
        <w:t>将在</w:t>
      </w:r>
      <w:proofErr w:type="gramStart"/>
      <w:r w:rsidRPr="000800C1">
        <w:rPr>
          <w:rFonts w:hAnsi="宋体" w:hint="eastAsia"/>
          <w:kern w:val="0"/>
          <w:sz w:val="24"/>
        </w:rPr>
        <w:t>该运作</w:t>
      </w:r>
      <w:proofErr w:type="gramEnd"/>
      <w:r w:rsidRPr="000800C1">
        <w:rPr>
          <w:rFonts w:hAnsi="宋体" w:hint="eastAsia"/>
          <w:kern w:val="0"/>
          <w:sz w:val="24"/>
        </w:rPr>
        <w:t>期到期日下一日起自动进入下一个运作期；在下一个运作期到期日前，基金份额持有人不能赎回该基金份额。因此基金份额持有人面临在滚动运作期内不能赎回基金份额的风险。</w:t>
      </w:r>
    </w:p>
    <w:p w14:paraId="5E4A26D6" w14:textId="66B8DB19" w:rsidR="00EB41CD" w:rsidRDefault="00EB41CD" w:rsidP="00D17C4E">
      <w:pPr>
        <w:widowControl/>
        <w:adjustRightInd w:val="0"/>
        <w:snapToGrid w:val="0"/>
        <w:spacing w:line="360" w:lineRule="auto"/>
        <w:ind w:firstLineChars="200" w:firstLine="480"/>
        <w:rPr>
          <w:rFonts w:hAnsi="宋体"/>
          <w:kern w:val="0"/>
          <w:sz w:val="24"/>
        </w:rPr>
      </w:pPr>
      <w:r w:rsidRPr="00EB41CD">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EB41CD">
        <w:rPr>
          <w:rFonts w:hAnsi="宋体" w:hint="eastAsia"/>
          <w:kern w:val="0"/>
          <w:sz w:val="24"/>
        </w:rPr>
        <w:t>请基金</w:t>
      </w:r>
      <w:proofErr w:type="gramEnd"/>
      <w:r w:rsidRPr="00EB41CD">
        <w:rPr>
          <w:rFonts w:hAnsi="宋体" w:hint="eastAsia"/>
          <w:kern w:val="0"/>
          <w:sz w:val="24"/>
        </w:rPr>
        <w:t>份额持有人关注包括投资资产支持证券可能导致的基金净值波动在内的各项风险。</w:t>
      </w:r>
    </w:p>
    <w:p w14:paraId="01687082" w14:textId="24C89B7D" w:rsidR="006F5F4B" w:rsidRDefault="002A4586" w:rsidP="00FC1A50">
      <w:pPr>
        <w:widowControl/>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Pr>
          <w:rFonts w:hAnsi="宋体" w:hint="eastAsia"/>
          <w:kern w:val="0"/>
          <w:sz w:val="24"/>
        </w:rPr>
        <w:t>基金合同</w:t>
      </w:r>
      <w:r w:rsidR="000A7A91">
        <w:rPr>
          <w:rFonts w:hAnsi="宋体" w:hint="eastAsia"/>
          <w:kern w:val="0"/>
          <w:sz w:val="24"/>
        </w:rPr>
        <w:t>终止</w:t>
      </w:r>
      <w:r w:rsidR="004671A8">
        <w:rPr>
          <w:rFonts w:hAnsi="宋体" w:hint="eastAsia"/>
          <w:kern w:val="0"/>
          <w:sz w:val="24"/>
        </w:rPr>
        <w:t>，不需召开基金份额持有人大会</w:t>
      </w:r>
      <w:r w:rsidR="006F5F4B" w:rsidRPr="006F5F4B">
        <w:rPr>
          <w:rFonts w:hAnsi="宋体" w:hint="eastAsia"/>
          <w:kern w:val="0"/>
          <w:sz w:val="24"/>
        </w:rPr>
        <w:t>。</w:t>
      </w:r>
    </w:p>
    <w:p w14:paraId="4246ACE5" w14:textId="7946CA79"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BD6A00">
        <w:rPr>
          <w:rFonts w:hAnsi="宋体" w:hint="eastAsia"/>
          <w:kern w:val="0"/>
          <w:sz w:val="24"/>
        </w:rPr>
        <w:t>、《基金产品资料概要》</w:t>
      </w:r>
      <w:r w:rsidRPr="002A4586">
        <w:rPr>
          <w:rFonts w:hAnsi="宋体" w:hint="eastAsia"/>
          <w:kern w:val="0"/>
          <w:sz w:val="24"/>
        </w:rPr>
        <w:t>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lastRenderedPageBreak/>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409D1A27" w:rsidR="0027109F" w:rsidRPr="00781410" w:rsidRDefault="000800C1" w:rsidP="0027109F">
      <w:pPr>
        <w:adjustRightInd w:val="0"/>
        <w:snapToGrid w:val="0"/>
        <w:spacing w:line="360" w:lineRule="auto"/>
        <w:ind w:firstLineChars="200" w:firstLine="480"/>
        <w:rPr>
          <w:sz w:val="24"/>
        </w:rPr>
      </w:pPr>
      <w:r>
        <w:rPr>
          <w:rFonts w:ascii="宋体" w:hAnsi="宋体"/>
          <w:sz w:val="24"/>
        </w:rPr>
        <w:t>交银</w:t>
      </w:r>
      <w:proofErr w:type="gramStart"/>
      <w:r>
        <w:rPr>
          <w:rFonts w:ascii="宋体" w:hAnsi="宋体"/>
          <w:sz w:val="24"/>
        </w:rPr>
        <w:t>施罗德稳安30天</w:t>
      </w:r>
      <w:proofErr w:type="gramEnd"/>
      <w:r>
        <w:rPr>
          <w:rFonts w:ascii="宋体" w:hAnsi="宋体"/>
          <w:sz w:val="24"/>
        </w:rPr>
        <w:t>滚动持有债券型证券投资基金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4DB016F" w:rsidR="0027109F" w:rsidRPr="00781410" w:rsidRDefault="000A1E6C" w:rsidP="0027109F">
      <w:pPr>
        <w:adjustRightInd w:val="0"/>
        <w:snapToGrid w:val="0"/>
        <w:spacing w:line="360" w:lineRule="auto"/>
        <w:ind w:firstLineChars="200" w:firstLine="480"/>
        <w:rPr>
          <w:sz w:val="24"/>
        </w:rPr>
      </w:pPr>
      <w:r w:rsidRPr="008D3E39">
        <w:rPr>
          <w:rFonts w:hAnsi="宋体" w:hint="eastAsia"/>
          <w:sz w:val="24"/>
        </w:rPr>
        <w:t>债券</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2D9705A5" w:rsidR="0027109F" w:rsidRDefault="0027109F" w:rsidP="0027109F">
      <w:pPr>
        <w:adjustRightInd w:val="0"/>
        <w:snapToGrid w:val="0"/>
        <w:spacing w:line="360" w:lineRule="auto"/>
        <w:ind w:firstLineChars="200" w:firstLine="480"/>
        <w:rPr>
          <w:rFonts w:hAnsi="宋体"/>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66E60893"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3F40EC6E" w14:textId="77777777" w:rsidR="000A1E6C" w:rsidRDefault="000A1E6C" w:rsidP="000A1E6C">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21E3E7D0" w14:textId="5325C58A" w:rsidR="000A1E6C" w:rsidRPr="000A1E6C" w:rsidRDefault="000A1E6C" w:rsidP="000A1E6C">
      <w:pPr>
        <w:adjustRightInd w:val="0"/>
        <w:snapToGrid w:val="0"/>
        <w:spacing w:line="360" w:lineRule="auto"/>
        <w:ind w:firstLineChars="200" w:firstLine="480"/>
        <w:rPr>
          <w:sz w:val="24"/>
        </w:rPr>
      </w:pPr>
      <w:r w:rsidRPr="000A1E6C">
        <w:rPr>
          <w:rFonts w:hint="eastAsia"/>
          <w:sz w:val="24"/>
        </w:rPr>
        <w:t>本基金根据认购</w:t>
      </w:r>
      <w:r w:rsidRPr="000A1E6C">
        <w:rPr>
          <w:rFonts w:hint="eastAsia"/>
          <w:sz w:val="24"/>
        </w:rPr>
        <w:t>/</w:t>
      </w:r>
      <w:r w:rsidRPr="000A1E6C">
        <w:rPr>
          <w:rFonts w:hint="eastAsia"/>
          <w:sz w:val="24"/>
        </w:rPr>
        <w:t>申购费用、销售服务费收取方式的不同，将基金份额分为不同的类别。在投资人认购</w:t>
      </w:r>
      <w:r w:rsidRPr="000A1E6C">
        <w:rPr>
          <w:rFonts w:hint="eastAsia"/>
          <w:sz w:val="24"/>
        </w:rPr>
        <w:t>/</w:t>
      </w:r>
      <w:r w:rsidRPr="000A1E6C">
        <w:rPr>
          <w:rFonts w:hint="eastAsia"/>
          <w:sz w:val="24"/>
        </w:rPr>
        <w:t>申购时收取认购</w:t>
      </w:r>
      <w:r w:rsidRPr="000A1E6C">
        <w:rPr>
          <w:rFonts w:hint="eastAsia"/>
          <w:sz w:val="24"/>
        </w:rPr>
        <w:t>/</w:t>
      </w:r>
      <w:r w:rsidRPr="000A1E6C">
        <w:rPr>
          <w:rFonts w:hint="eastAsia"/>
          <w:sz w:val="24"/>
        </w:rPr>
        <w:t>申购费用且不从本类别基金资产中计</w:t>
      </w:r>
      <w:proofErr w:type="gramStart"/>
      <w:r w:rsidRPr="000A1E6C">
        <w:rPr>
          <w:rFonts w:hint="eastAsia"/>
          <w:sz w:val="24"/>
        </w:rPr>
        <w:t>提销售</w:t>
      </w:r>
      <w:proofErr w:type="gramEnd"/>
      <w:r w:rsidRPr="000A1E6C">
        <w:rPr>
          <w:rFonts w:hint="eastAsia"/>
          <w:sz w:val="24"/>
        </w:rPr>
        <w:t>服务费的，称为</w:t>
      </w:r>
      <w:r w:rsidRPr="000A1E6C">
        <w:rPr>
          <w:rFonts w:hint="eastAsia"/>
          <w:sz w:val="24"/>
        </w:rPr>
        <w:t>A</w:t>
      </w:r>
      <w:r w:rsidRPr="000A1E6C">
        <w:rPr>
          <w:rFonts w:hint="eastAsia"/>
          <w:sz w:val="24"/>
        </w:rPr>
        <w:t>类基金份额；在投资人认购</w:t>
      </w:r>
      <w:r w:rsidRPr="000A1E6C">
        <w:rPr>
          <w:rFonts w:hint="eastAsia"/>
          <w:sz w:val="24"/>
        </w:rPr>
        <w:t>/</w:t>
      </w:r>
      <w:r w:rsidRPr="000A1E6C">
        <w:rPr>
          <w:rFonts w:hint="eastAsia"/>
          <w:sz w:val="24"/>
        </w:rPr>
        <w:t>申购时不收取认购</w:t>
      </w:r>
      <w:r w:rsidRPr="000A1E6C">
        <w:rPr>
          <w:rFonts w:hint="eastAsia"/>
          <w:sz w:val="24"/>
        </w:rPr>
        <w:t>/</w:t>
      </w:r>
      <w:r w:rsidRPr="000A1E6C">
        <w:rPr>
          <w:rFonts w:hint="eastAsia"/>
          <w:sz w:val="24"/>
        </w:rPr>
        <w:t>申购费用，并从本类别基金资产中计</w:t>
      </w:r>
      <w:proofErr w:type="gramStart"/>
      <w:r w:rsidRPr="000A1E6C">
        <w:rPr>
          <w:rFonts w:hint="eastAsia"/>
          <w:sz w:val="24"/>
        </w:rPr>
        <w:t>提销售</w:t>
      </w:r>
      <w:proofErr w:type="gramEnd"/>
      <w:r w:rsidRPr="000A1E6C">
        <w:rPr>
          <w:rFonts w:hint="eastAsia"/>
          <w:sz w:val="24"/>
        </w:rPr>
        <w:t>服务费的，称为</w:t>
      </w:r>
      <w:r w:rsidRPr="000A1E6C">
        <w:rPr>
          <w:rFonts w:hint="eastAsia"/>
          <w:sz w:val="24"/>
        </w:rPr>
        <w:t>C</w:t>
      </w:r>
      <w:r w:rsidRPr="000A1E6C">
        <w:rPr>
          <w:rFonts w:hint="eastAsia"/>
          <w:sz w:val="24"/>
        </w:rPr>
        <w:t>类基金份额。本基金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类基金份额分别设置基金代码。由于基金费用的不同，本基金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类基金份额将分别计算基金份额净值并单独公告。投资者可自行选择认购</w:t>
      </w:r>
      <w:r w:rsidRPr="000A1E6C">
        <w:rPr>
          <w:rFonts w:hint="eastAsia"/>
          <w:sz w:val="24"/>
        </w:rPr>
        <w:t>/</w:t>
      </w:r>
      <w:r w:rsidRPr="000A1E6C">
        <w:rPr>
          <w:rFonts w:hint="eastAsia"/>
          <w:sz w:val="24"/>
        </w:rPr>
        <w:t>申购的基金份额类别。</w:t>
      </w:r>
      <w:r w:rsidR="00971361" w:rsidRPr="00971361">
        <w:rPr>
          <w:rFonts w:hint="eastAsia"/>
          <w:sz w:val="24"/>
        </w:rPr>
        <w:t>本基金不同基金份额类别之间暂不开通互相转换业务。如后续开通此项业务的，无需召开基金份</w:t>
      </w:r>
      <w:r w:rsidR="00F96488">
        <w:rPr>
          <w:rFonts w:hint="eastAsia"/>
          <w:sz w:val="24"/>
        </w:rPr>
        <w:t>额</w:t>
      </w:r>
      <w:r w:rsidR="00971361" w:rsidRPr="00971361">
        <w:rPr>
          <w:rFonts w:hint="eastAsia"/>
          <w:sz w:val="24"/>
        </w:rPr>
        <w:t>持有人大会审议，但调整</w:t>
      </w:r>
      <w:proofErr w:type="gramStart"/>
      <w:r w:rsidR="00971361" w:rsidRPr="00971361">
        <w:rPr>
          <w:rFonts w:hint="eastAsia"/>
          <w:sz w:val="24"/>
        </w:rPr>
        <w:t>前基金</w:t>
      </w:r>
      <w:proofErr w:type="gramEnd"/>
      <w:r w:rsidR="00971361" w:rsidRPr="00971361">
        <w:rPr>
          <w:rFonts w:hint="eastAsia"/>
          <w:sz w:val="24"/>
        </w:rPr>
        <w:t>管理人需及时公告。</w:t>
      </w:r>
    </w:p>
    <w:p w14:paraId="3CF7B573" w14:textId="10D2E561" w:rsidR="007F1857" w:rsidRPr="00781410" w:rsidRDefault="000A1E6C" w:rsidP="007F1857">
      <w:pPr>
        <w:adjustRightInd w:val="0"/>
        <w:snapToGrid w:val="0"/>
        <w:spacing w:line="360" w:lineRule="auto"/>
        <w:ind w:firstLineChars="200" w:firstLine="480"/>
        <w:rPr>
          <w:sz w:val="24"/>
        </w:rPr>
      </w:pPr>
      <w:r>
        <w:rPr>
          <w:sz w:val="24"/>
        </w:rPr>
        <w:t>7</w:t>
      </w:r>
      <w:r w:rsidR="007F1857" w:rsidRPr="00F419F0">
        <w:rPr>
          <w:rFonts w:hint="eastAsia"/>
          <w:sz w:val="24"/>
        </w:rPr>
        <w:t>、</w:t>
      </w:r>
      <w:r w:rsidR="007F1857" w:rsidRPr="00F419F0">
        <w:rPr>
          <w:sz w:val="24"/>
        </w:rPr>
        <w:t>基金代码及基金简称</w:t>
      </w:r>
    </w:p>
    <w:p w14:paraId="34D9770A" w14:textId="15DC21A2" w:rsidR="000A1E6C" w:rsidRPr="000A1E6C" w:rsidRDefault="000A1E6C" w:rsidP="000A1E6C">
      <w:pPr>
        <w:adjustRightInd w:val="0"/>
        <w:snapToGrid w:val="0"/>
        <w:spacing w:line="360" w:lineRule="auto"/>
        <w:ind w:firstLineChars="200" w:firstLine="480"/>
        <w:rPr>
          <w:sz w:val="24"/>
        </w:rPr>
      </w:pPr>
      <w:r w:rsidRPr="000A1E6C">
        <w:rPr>
          <w:rFonts w:hint="eastAsia"/>
          <w:sz w:val="24"/>
        </w:rPr>
        <w:t>（</w:t>
      </w:r>
      <w:r w:rsidRPr="000A1E6C">
        <w:rPr>
          <w:rFonts w:hint="eastAsia"/>
          <w:sz w:val="24"/>
        </w:rPr>
        <w:t>1</w:t>
      </w:r>
      <w:r w:rsidRPr="000A1E6C">
        <w:rPr>
          <w:rFonts w:hint="eastAsia"/>
          <w:sz w:val="24"/>
        </w:rPr>
        <w:t>）</w:t>
      </w:r>
      <w:r w:rsidRPr="000A1E6C">
        <w:rPr>
          <w:rFonts w:hint="eastAsia"/>
          <w:sz w:val="24"/>
        </w:rPr>
        <w:t>A</w:t>
      </w:r>
      <w:r w:rsidRPr="000A1E6C">
        <w:rPr>
          <w:rFonts w:hint="eastAsia"/>
          <w:sz w:val="24"/>
        </w:rPr>
        <w:t>类基金份额基金代码：</w:t>
      </w:r>
      <w:r w:rsidR="00DA253B" w:rsidRPr="00971361">
        <w:rPr>
          <w:sz w:val="24"/>
        </w:rPr>
        <w:t>016</w:t>
      </w:r>
      <w:r w:rsidR="00DA253B">
        <w:rPr>
          <w:sz w:val="24"/>
        </w:rPr>
        <w:t>875</w:t>
      </w:r>
      <w:r w:rsidRPr="000A1E6C">
        <w:rPr>
          <w:rFonts w:hint="eastAsia"/>
          <w:sz w:val="24"/>
        </w:rPr>
        <w:t>；基金简称：</w:t>
      </w:r>
      <w:r w:rsidR="00DA253B">
        <w:rPr>
          <w:rFonts w:hint="eastAsia"/>
          <w:sz w:val="24"/>
        </w:rPr>
        <w:t>交</w:t>
      </w:r>
      <w:proofErr w:type="gramStart"/>
      <w:r w:rsidR="00DA253B">
        <w:rPr>
          <w:rFonts w:hint="eastAsia"/>
          <w:sz w:val="24"/>
        </w:rPr>
        <w:t>银稳安</w:t>
      </w:r>
      <w:proofErr w:type="gramEnd"/>
      <w:r w:rsidR="00DA253B">
        <w:rPr>
          <w:rFonts w:hint="eastAsia"/>
          <w:sz w:val="24"/>
        </w:rPr>
        <w:t>3</w:t>
      </w:r>
      <w:r w:rsidR="00DA253B">
        <w:rPr>
          <w:sz w:val="24"/>
        </w:rPr>
        <w:t>0</w:t>
      </w:r>
      <w:r w:rsidR="00DA253B">
        <w:rPr>
          <w:rFonts w:hint="eastAsia"/>
          <w:sz w:val="24"/>
        </w:rPr>
        <w:t>天滚动持有债券</w:t>
      </w:r>
      <w:r w:rsidR="00971361" w:rsidRPr="00971361">
        <w:rPr>
          <w:rFonts w:hint="eastAsia"/>
          <w:sz w:val="24"/>
        </w:rPr>
        <w:t>A</w:t>
      </w:r>
    </w:p>
    <w:p w14:paraId="1E723D27" w14:textId="431914B4" w:rsidR="007F1857" w:rsidRPr="00F419F0" w:rsidRDefault="007F5DC1" w:rsidP="00801BA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0A1E6C" w:rsidRPr="000A1E6C">
        <w:rPr>
          <w:rFonts w:hint="eastAsia"/>
          <w:sz w:val="24"/>
        </w:rPr>
        <w:t>C</w:t>
      </w:r>
      <w:r w:rsidR="000A1E6C" w:rsidRPr="000A1E6C">
        <w:rPr>
          <w:rFonts w:hint="eastAsia"/>
          <w:sz w:val="24"/>
        </w:rPr>
        <w:t>类基金份额基金代码：</w:t>
      </w:r>
      <w:r w:rsidR="00DA253B" w:rsidRPr="00971361">
        <w:rPr>
          <w:sz w:val="24"/>
        </w:rPr>
        <w:t>016</w:t>
      </w:r>
      <w:r w:rsidR="00DA253B">
        <w:rPr>
          <w:sz w:val="24"/>
        </w:rPr>
        <w:t>87</w:t>
      </w:r>
      <w:r w:rsidR="002C059E">
        <w:rPr>
          <w:sz w:val="24"/>
        </w:rPr>
        <w:t>6</w:t>
      </w:r>
      <w:r w:rsidR="000A1E6C" w:rsidRPr="000A1E6C">
        <w:rPr>
          <w:rFonts w:hint="eastAsia"/>
          <w:sz w:val="24"/>
        </w:rPr>
        <w:t>；基金简称：</w:t>
      </w:r>
      <w:r w:rsidR="00DA253B">
        <w:rPr>
          <w:rFonts w:hint="eastAsia"/>
          <w:sz w:val="24"/>
        </w:rPr>
        <w:t>交</w:t>
      </w:r>
      <w:proofErr w:type="gramStart"/>
      <w:r w:rsidR="00DA253B">
        <w:rPr>
          <w:rFonts w:hint="eastAsia"/>
          <w:sz w:val="24"/>
        </w:rPr>
        <w:t>银稳安</w:t>
      </w:r>
      <w:proofErr w:type="gramEnd"/>
      <w:r w:rsidR="00DA253B">
        <w:rPr>
          <w:rFonts w:hint="eastAsia"/>
          <w:sz w:val="24"/>
        </w:rPr>
        <w:t>3</w:t>
      </w:r>
      <w:r w:rsidR="00DA253B">
        <w:rPr>
          <w:sz w:val="24"/>
        </w:rPr>
        <w:t>0</w:t>
      </w:r>
      <w:r w:rsidR="00DA253B">
        <w:rPr>
          <w:rFonts w:hint="eastAsia"/>
          <w:sz w:val="24"/>
        </w:rPr>
        <w:t>天滚动持有</w:t>
      </w:r>
      <w:r w:rsidR="00DA253B">
        <w:rPr>
          <w:rFonts w:hint="eastAsia"/>
          <w:sz w:val="24"/>
        </w:rPr>
        <w:lastRenderedPageBreak/>
        <w:t>债券</w:t>
      </w:r>
      <w:r w:rsidR="00971361" w:rsidRPr="00971361">
        <w:rPr>
          <w:rFonts w:hint="eastAsia"/>
          <w:sz w:val="24"/>
        </w:rPr>
        <w:t>C</w:t>
      </w:r>
    </w:p>
    <w:p w14:paraId="7AD42F15" w14:textId="112DED27" w:rsidR="0027109F" w:rsidRPr="00781410" w:rsidRDefault="000A1E6C" w:rsidP="00801BAC">
      <w:pPr>
        <w:adjustRightInd w:val="0"/>
        <w:snapToGrid w:val="0"/>
        <w:spacing w:line="360" w:lineRule="auto"/>
        <w:ind w:firstLineChars="200" w:firstLine="480"/>
        <w:rPr>
          <w:sz w:val="24"/>
        </w:rPr>
      </w:pPr>
      <w:r>
        <w:rPr>
          <w:rFonts w:hAnsi="宋体"/>
          <w:sz w:val="24"/>
        </w:rPr>
        <w:t>8</w:t>
      </w:r>
      <w:r w:rsidR="0027109F" w:rsidRPr="00781410">
        <w:rPr>
          <w:rFonts w:hAnsi="宋体"/>
          <w:sz w:val="24"/>
        </w:rPr>
        <w:t>、发售对象</w:t>
      </w:r>
    </w:p>
    <w:p w14:paraId="391F3CBA" w14:textId="1C39424E" w:rsidR="00F9302E" w:rsidRDefault="00515C35" w:rsidP="00F9302E">
      <w:pPr>
        <w:widowControl/>
        <w:adjustRightInd w:val="0"/>
        <w:snapToGrid w:val="0"/>
        <w:spacing w:line="360" w:lineRule="auto"/>
        <w:ind w:firstLineChars="200" w:firstLine="480"/>
        <w:rPr>
          <w:color w:val="000000"/>
          <w:kern w:val="0"/>
          <w:sz w:val="24"/>
        </w:rPr>
      </w:pPr>
      <w:r w:rsidRPr="00515C35">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730F1D1D" w14:textId="343C1595" w:rsidR="000D04BA" w:rsidRDefault="00DA253B" w:rsidP="000D04BA">
      <w:pPr>
        <w:widowControl/>
        <w:adjustRightInd w:val="0"/>
        <w:snapToGrid w:val="0"/>
        <w:spacing w:line="360" w:lineRule="auto"/>
        <w:ind w:firstLineChars="200" w:firstLine="480"/>
        <w:rPr>
          <w:color w:val="000000"/>
          <w:kern w:val="0"/>
          <w:sz w:val="24"/>
        </w:rPr>
      </w:pPr>
      <w:r w:rsidRPr="00DA253B">
        <w:rPr>
          <w:rFonts w:hint="eastAsia"/>
          <w:color w:val="000000"/>
          <w:kern w:val="0"/>
          <w:sz w:val="24"/>
        </w:rPr>
        <w:t>本基金暂不向金融机构自营账户销售，如未来本基金开放向金融机构自营账户公开发售或对发售对象的范围予以进一步限定，基金管理人将另行公告。</w:t>
      </w:r>
      <w:r w:rsidR="000D04BA" w:rsidRPr="000800C1">
        <w:rPr>
          <w:rFonts w:hAnsi="宋体" w:hint="eastAsia"/>
          <w:sz w:val="24"/>
        </w:rPr>
        <w:t>本基金单一投资者单日认购金额不超过</w:t>
      </w:r>
      <w:r w:rsidR="000D04BA" w:rsidRPr="000800C1">
        <w:rPr>
          <w:rFonts w:hAnsi="宋体" w:hint="eastAsia"/>
          <w:sz w:val="24"/>
        </w:rPr>
        <w:t>1000</w:t>
      </w:r>
      <w:r w:rsidR="000D04BA" w:rsidRPr="000800C1">
        <w:rPr>
          <w:rFonts w:hAnsi="宋体" w:hint="eastAsia"/>
          <w:sz w:val="24"/>
        </w:rPr>
        <w:t>万元（个人和公</w:t>
      </w:r>
      <w:proofErr w:type="gramStart"/>
      <w:r w:rsidR="000D04BA" w:rsidRPr="000800C1">
        <w:rPr>
          <w:rFonts w:hAnsi="宋体" w:hint="eastAsia"/>
          <w:sz w:val="24"/>
        </w:rPr>
        <w:t>募资产</w:t>
      </w:r>
      <w:proofErr w:type="gramEnd"/>
      <w:r w:rsidR="000D04BA" w:rsidRPr="000800C1">
        <w:rPr>
          <w:rFonts w:hAnsi="宋体" w:hint="eastAsia"/>
          <w:sz w:val="24"/>
        </w:rPr>
        <w:t>管理产品除外）。基金管理人可以调整单一投资者单日认购金额上限，具体规定请参见更新的招募说明书或相关公告。</w:t>
      </w:r>
    </w:p>
    <w:p w14:paraId="4EE5444C" w14:textId="4E403B09" w:rsidR="000D04BA" w:rsidRDefault="000D04BA" w:rsidP="000D04BA">
      <w:pPr>
        <w:autoSpaceDE w:val="0"/>
        <w:autoSpaceDN w:val="0"/>
        <w:adjustRightInd w:val="0"/>
        <w:snapToGrid w:val="0"/>
        <w:spacing w:line="360" w:lineRule="auto"/>
        <w:ind w:firstLineChars="200" w:firstLine="480"/>
        <w:rPr>
          <w:rFonts w:hAnsi="宋体"/>
          <w:sz w:val="24"/>
        </w:rPr>
      </w:pPr>
      <w:r w:rsidRPr="000D04BA">
        <w:rPr>
          <w:rFonts w:hAnsi="宋体" w:hint="eastAsia"/>
          <w:sz w:val="24"/>
        </w:rPr>
        <w:t>基金管理人有权对某类或某</w:t>
      </w:r>
      <w:proofErr w:type="gramStart"/>
      <w:r w:rsidRPr="000D04BA">
        <w:rPr>
          <w:rFonts w:hAnsi="宋体" w:hint="eastAsia"/>
          <w:sz w:val="24"/>
        </w:rPr>
        <w:t>只资产</w:t>
      </w:r>
      <w:proofErr w:type="gramEnd"/>
      <w:r w:rsidRPr="000D04BA">
        <w:rPr>
          <w:rFonts w:hAnsi="宋体" w:hint="eastAsia"/>
          <w:sz w:val="24"/>
        </w:rPr>
        <w:t>管理产品持有本基金的金额或份额数量进行限制并有权拒绝其全部或部分认购申请，具体以基金管理人认定为准。</w:t>
      </w:r>
    </w:p>
    <w:p w14:paraId="1125A69C" w14:textId="16B8F5FC" w:rsidR="006759E7" w:rsidRPr="006759E7" w:rsidRDefault="006759E7" w:rsidP="000D04BA">
      <w:pPr>
        <w:autoSpaceDE w:val="0"/>
        <w:autoSpaceDN w:val="0"/>
        <w:adjustRightInd w:val="0"/>
        <w:snapToGrid w:val="0"/>
        <w:spacing w:line="360" w:lineRule="auto"/>
        <w:ind w:firstLineChars="200" w:firstLine="480"/>
        <w:rPr>
          <w:rFonts w:hAnsi="宋体"/>
          <w:sz w:val="24"/>
        </w:rPr>
      </w:pPr>
      <w:r>
        <w:rPr>
          <w:rFonts w:hAnsi="宋体" w:hint="eastAsia"/>
          <w:sz w:val="24"/>
        </w:rPr>
        <w:t>机构投资者（</w:t>
      </w:r>
      <w:proofErr w:type="gramStart"/>
      <w:r>
        <w:rPr>
          <w:rFonts w:hAnsi="宋体" w:hint="eastAsia"/>
          <w:sz w:val="24"/>
        </w:rPr>
        <w:t>含</w:t>
      </w:r>
      <w:r w:rsidR="003F1F96">
        <w:rPr>
          <w:rFonts w:hAnsi="宋体" w:hint="eastAsia"/>
          <w:sz w:val="24"/>
        </w:rPr>
        <w:t>公募资产</w:t>
      </w:r>
      <w:proofErr w:type="gramEnd"/>
      <w:r w:rsidR="003F1F96">
        <w:rPr>
          <w:rFonts w:hAnsi="宋体" w:hint="eastAsia"/>
          <w:sz w:val="24"/>
        </w:rPr>
        <w:t>管理产品</w:t>
      </w:r>
      <w:r>
        <w:rPr>
          <w:rFonts w:hAnsi="宋体" w:hint="eastAsia"/>
          <w:sz w:val="24"/>
        </w:rPr>
        <w:t>）仅</w:t>
      </w:r>
      <w:r w:rsidRPr="006759E7">
        <w:rPr>
          <w:rFonts w:hAnsi="宋体" w:hint="eastAsia"/>
          <w:sz w:val="24"/>
        </w:rPr>
        <w:t>可通过本基金管理人直销柜台认购本基金，</w:t>
      </w:r>
      <w:proofErr w:type="gramStart"/>
      <w:r w:rsidRPr="006759E7">
        <w:rPr>
          <w:rFonts w:hAnsi="宋体" w:hint="eastAsia"/>
          <w:sz w:val="24"/>
        </w:rPr>
        <w:t>若</w:t>
      </w:r>
      <w:r>
        <w:rPr>
          <w:rFonts w:hAnsi="宋体" w:hint="eastAsia"/>
          <w:sz w:val="24"/>
        </w:rPr>
        <w:t>机构</w:t>
      </w:r>
      <w:proofErr w:type="gramEnd"/>
      <w:r>
        <w:rPr>
          <w:rFonts w:hAnsi="宋体" w:hint="eastAsia"/>
          <w:sz w:val="24"/>
        </w:rPr>
        <w:t>投资者</w:t>
      </w:r>
      <w:r w:rsidRPr="006759E7">
        <w:rPr>
          <w:rFonts w:hAnsi="宋体" w:hint="eastAsia"/>
          <w:sz w:val="24"/>
        </w:rPr>
        <w:t>通过非本基金管理人直销柜台认购本基金，则本基金管理人有权拒绝该笔申请。未来本基金可根据实际情况在非本基金管理人直销柜台向</w:t>
      </w:r>
      <w:r>
        <w:rPr>
          <w:rFonts w:hAnsi="宋体" w:hint="eastAsia"/>
          <w:sz w:val="24"/>
        </w:rPr>
        <w:t>机构投资者</w:t>
      </w:r>
      <w:r w:rsidRPr="006759E7">
        <w:rPr>
          <w:rFonts w:hAnsi="宋体" w:hint="eastAsia"/>
          <w:sz w:val="24"/>
        </w:rPr>
        <w:t>销售。</w:t>
      </w:r>
    </w:p>
    <w:p w14:paraId="2D361CD4" w14:textId="4C79EC6E" w:rsidR="000D04BA" w:rsidRPr="00781410" w:rsidRDefault="000D04BA" w:rsidP="000D04BA">
      <w:pPr>
        <w:widowControl/>
        <w:adjustRightInd w:val="0"/>
        <w:snapToGrid w:val="0"/>
        <w:spacing w:line="360" w:lineRule="auto"/>
        <w:ind w:firstLineChars="200" w:firstLine="480"/>
        <w:rPr>
          <w:color w:val="000000"/>
          <w:kern w:val="0"/>
          <w:sz w:val="24"/>
        </w:rPr>
      </w:pPr>
      <w:r>
        <w:rPr>
          <w:rFonts w:hAnsi="宋体" w:hint="eastAsia"/>
          <w:sz w:val="24"/>
        </w:rPr>
        <w:t>公</w:t>
      </w:r>
      <w:proofErr w:type="gramStart"/>
      <w:r>
        <w:rPr>
          <w:rFonts w:hAnsi="宋体" w:hint="eastAsia"/>
          <w:sz w:val="24"/>
        </w:rPr>
        <w:t>募资产</w:t>
      </w:r>
      <w:proofErr w:type="gramEnd"/>
      <w:r>
        <w:rPr>
          <w:rFonts w:hAnsi="宋体" w:hint="eastAsia"/>
          <w:sz w:val="24"/>
        </w:rPr>
        <w:t>管理产品及金融机构自营账户的具体范围</w:t>
      </w:r>
      <w:r w:rsidRPr="000D04BA">
        <w:rPr>
          <w:rFonts w:hAnsi="宋体" w:hint="eastAsia"/>
          <w:sz w:val="24"/>
        </w:rPr>
        <w:t>以基金管理人认定为准。</w:t>
      </w:r>
    </w:p>
    <w:p w14:paraId="7E698E66" w14:textId="29EFA086" w:rsidR="0027109F" w:rsidRPr="00781410" w:rsidRDefault="000A1E6C"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4382FC3F" w:rsidR="0027109F" w:rsidRDefault="0027109F" w:rsidP="0027109F">
      <w:pPr>
        <w:adjustRightInd w:val="0"/>
        <w:snapToGrid w:val="0"/>
        <w:spacing w:line="360" w:lineRule="auto"/>
        <w:ind w:firstLineChars="200" w:firstLine="480"/>
        <w:rPr>
          <w:rFonts w:hAnsi="宋体"/>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1313DE39" w14:textId="2A290437" w:rsidR="006759E7" w:rsidRPr="006759E7" w:rsidRDefault="006759E7" w:rsidP="0027109F">
      <w:pPr>
        <w:adjustRightInd w:val="0"/>
        <w:snapToGrid w:val="0"/>
        <w:spacing w:line="360" w:lineRule="auto"/>
        <w:ind w:firstLineChars="200" w:firstLine="480"/>
        <w:rPr>
          <w:sz w:val="24"/>
        </w:rPr>
      </w:pPr>
      <w:r>
        <w:rPr>
          <w:rFonts w:hAnsi="宋体" w:hint="eastAsia"/>
          <w:sz w:val="24"/>
        </w:rPr>
        <w:t>机构投资者（</w:t>
      </w:r>
      <w:proofErr w:type="gramStart"/>
      <w:r>
        <w:rPr>
          <w:rFonts w:hAnsi="宋体" w:hint="eastAsia"/>
          <w:sz w:val="24"/>
        </w:rPr>
        <w:t>含</w:t>
      </w:r>
      <w:r w:rsidR="003F1F96">
        <w:rPr>
          <w:rFonts w:hAnsi="宋体" w:hint="eastAsia"/>
          <w:sz w:val="24"/>
        </w:rPr>
        <w:t>公募资产</w:t>
      </w:r>
      <w:proofErr w:type="gramEnd"/>
      <w:r w:rsidR="003F1F96">
        <w:rPr>
          <w:rFonts w:hAnsi="宋体" w:hint="eastAsia"/>
          <w:sz w:val="24"/>
        </w:rPr>
        <w:t>管理产品</w:t>
      </w:r>
      <w:r>
        <w:rPr>
          <w:rFonts w:hAnsi="宋体" w:hint="eastAsia"/>
          <w:sz w:val="24"/>
        </w:rPr>
        <w:t>）仅可通过基金管理人直销柜台认购本基金。</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0081E1A9" w:rsidR="00F169C1" w:rsidRPr="00781410" w:rsidRDefault="002C059E" w:rsidP="00213257">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7C8643A" w:rsidR="0027109F" w:rsidRPr="00781410" w:rsidRDefault="000A1E6C"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190D5FE0"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lastRenderedPageBreak/>
        <w:t>根据有关法律法规的规定，基金的募集期为自基金份额发售之日起不超过</w:t>
      </w:r>
      <w:r w:rsidRPr="00781410">
        <w:rPr>
          <w:sz w:val="24"/>
        </w:rPr>
        <w:t>3</w:t>
      </w:r>
      <w:r w:rsidRPr="00781410">
        <w:rPr>
          <w:rFonts w:hAnsi="宋体"/>
          <w:sz w:val="24"/>
        </w:rPr>
        <w:t>个月。本基金募集期自</w:t>
      </w:r>
      <w:r w:rsidR="00DA253B">
        <w:rPr>
          <w:rFonts w:hAnsi="宋体"/>
          <w:sz w:val="24"/>
        </w:rPr>
        <w:t>2022</w:t>
      </w:r>
      <w:r w:rsidR="00DA253B">
        <w:rPr>
          <w:rFonts w:hAnsi="宋体"/>
          <w:sz w:val="24"/>
        </w:rPr>
        <w:t>年</w:t>
      </w:r>
      <w:r w:rsidR="00DA253B">
        <w:rPr>
          <w:rFonts w:hAnsi="宋体"/>
          <w:sz w:val="24"/>
        </w:rPr>
        <w:t>11</w:t>
      </w:r>
      <w:r w:rsidR="00E90FB4">
        <w:rPr>
          <w:rFonts w:hAnsi="宋体" w:hint="eastAsia"/>
          <w:sz w:val="24"/>
        </w:rPr>
        <w:t>月</w:t>
      </w:r>
      <w:r w:rsidR="00DA253B">
        <w:rPr>
          <w:rFonts w:hAnsi="宋体"/>
          <w:sz w:val="24"/>
        </w:rPr>
        <w:t>14</w:t>
      </w:r>
      <w:r w:rsidR="00E90FB4">
        <w:rPr>
          <w:rFonts w:hAnsi="宋体"/>
          <w:sz w:val="24"/>
        </w:rPr>
        <w:t>日</w:t>
      </w:r>
      <w:r w:rsidR="00C15689" w:rsidRPr="00C15689">
        <w:rPr>
          <w:rFonts w:hAnsi="宋体" w:hint="eastAsia"/>
          <w:sz w:val="24"/>
        </w:rPr>
        <w:t>起至</w:t>
      </w:r>
      <w:r w:rsidR="00DA253B" w:rsidRPr="0008248B">
        <w:rPr>
          <w:rFonts w:hAnsi="宋体"/>
          <w:sz w:val="24"/>
        </w:rPr>
        <w:t>202</w:t>
      </w:r>
      <w:r w:rsidR="00DA253B">
        <w:rPr>
          <w:rFonts w:hAnsi="宋体"/>
          <w:sz w:val="24"/>
        </w:rPr>
        <w:t>2</w:t>
      </w:r>
      <w:r w:rsidR="00DA253B" w:rsidRPr="0008248B">
        <w:rPr>
          <w:rFonts w:hAnsi="宋体"/>
          <w:sz w:val="24"/>
        </w:rPr>
        <w:t>年</w:t>
      </w:r>
      <w:r w:rsidR="00DA253B">
        <w:rPr>
          <w:rFonts w:hAnsi="宋体"/>
          <w:sz w:val="24"/>
        </w:rPr>
        <w:t>11</w:t>
      </w:r>
      <w:r w:rsidR="00E90FB4">
        <w:rPr>
          <w:rFonts w:hAnsi="宋体" w:hint="eastAsia"/>
          <w:sz w:val="24"/>
        </w:rPr>
        <w:t>月</w:t>
      </w:r>
      <w:r w:rsidR="00DA253B">
        <w:rPr>
          <w:rFonts w:hAnsi="宋体"/>
          <w:sz w:val="24"/>
        </w:rPr>
        <w:t>25</w:t>
      </w:r>
      <w:r w:rsidR="00E90FB4">
        <w:rPr>
          <w:rFonts w:hAnsi="宋体"/>
          <w:sz w:val="24"/>
        </w:rPr>
        <w:t>日</w:t>
      </w:r>
      <w:r w:rsidRPr="00781410">
        <w:rPr>
          <w:rFonts w:hAnsi="宋体"/>
          <w:sz w:val="24"/>
        </w:rPr>
        <w:t>止，基金管理人根据认购的情况可适当延长发行时间，但最长不超过法定募集期限；同时也可根据认购和市场情况提前结束发行。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4F688D2" w:rsidR="0027109F" w:rsidRPr="00781410" w:rsidRDefault="000A1E6C"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50EBAEAA" w:rsidR="0027109F" w:rsidRPr="00781410" w:rsidRDefault="000A1E6C"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5CE4C7E2"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）认购价格：本基金份额的认购价</w:t>
      </w:r>
      <w:r w:rsidRPr="003073D4">
        <w:rPr>
          <w:rFonts w:hint="eastAsia"/>
          <w:color w:val="000000"/>
          <w:sz w:val="24"/>
        </w:rPr>
        <w:t>格为</w:t>
      </w:r>
      <w:r w:rsidRPr="003073D4">
        <w:rPr>
          <w:color w:val="000000"/>
          <w:sz w:val="24"/>
        </w:rPr>
        <w:t>1.00</w:t>
      </w:r>
      <w:r w:rsidRPr="003073D4">
        <w:rPr>
          <w:rFonts w:hint="eastAsia"/>
          <w:color w:val="000000"/>
          <w:sz w:val="24"/>
        </w:rPr>
        <w:t>元</w:t>
      </w:r>
      <w:r w:rsidRPr="003073D4">
        <w:rPr>
          <w:color w:val="000000"/>
          <w:sz w:val="24"/>
        </w:rPr>
        <w:t>/</w:t>
      </w:r>
      <w:r w:rsidRPr="003073D4">
        <w:rPr>
          <w:rFonts w:hint="eastAsia"/>
          <w:color w:val="000000"/>
          <w:kern w:val="0"/>
          <w:sz w:val="24"/>
        </w:rPr>
        <w:t>份。</w:t>
      </w:r>
    </w:p>
    <w:p w14:paraId="4FD50171"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2</w:t>
      </w:r>
      <w:r w:rsidRPr="003073D4">
        <w:rPr>
          <w:rFonts w:hint="eastAsia"/>
          <w:color w:val="000000"/>
          <w:kern w:val="0"/>
          <w:sz w:val="24"/>
        </w:rPr>
        <w:t>）认购费率</w:t>
      </w:r>
    </w:p>
    <w:p w14:paraId="68573435"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募集期</w:t>
      </w:r>
      <w:r>
        <w:rPr>
          <w:rFonts w:hint="eastAsia"/>
          <w:color w:val="000000"/>
          <w:kern w:val="0"/>
          <w:sz w:val="24"/>
        </w:rPr>
        <w:t>内</w:t>
      </w:r>
      <w:r w:rsidRPr="003073D4">
        <w:rPr>
          <w:rFonts w:hint="eastAsia"/>
          <w:color w:val="000000"/>
          <w:kern w:val="0"/>
          <w:sz w:val="24"/>
        </w:rPr>
        <w:t>投资人可以多次认购本基金，认购费用按每笔认购申请单独计算。基金投资者认购</w:t>
      </w:r>
      <w:r w:rsidRPr="003073D4">
        <w:rPr>
          <w:color w:val="000000"/>
          <w:kern w:val="0"/>
          <w:sz w:val="24"/>
        </w:rPr>
        <w:t>A</w:t>
      </w:r>
      <w:r w:rsidRPr="003073D4">
        <w:rPr>
          <w:rFonts w:hint="eastAsia"/>
          <w:color w:val="000000"/>
          <w:kern w:val="0"/>
          <w:sz w:val="24"/>
        </w:rPr>
        <w:t>类基金份额收取认购费用，即在认购时支付认购费用。基金投资者认购</w:t>
      </w:r>
      <w:r w:rsidRPr="003073D4">
        <w:rPr>
          <w:color w:val="000000"/>
          <w:kern w:val="0"/>
          <w:sz w:val="24"/>
        </w:rPr>
        <w:t>C</w:t>
      </w:r>
      <w:r w:rsidRPr="003073D4">
        <w:rPr>
          <w:rFonts w:hint="eastAsia"/>
          <w:color w:val="000000"/>
          <w:kern w:val="0"/>
          <w:sz w:val="24"/>
        </w:rPr>
        <w:t>类基金份额不收取认购费用，而是从该类别基金资产中计</w:t>
      </w:r>
      <w:proofErr w:type="gramStart"/>
      <w:r w:rsidRPr="003073D4">
        <w:rPr>
          <w:rFonts w:hint="eastAsia"/>
          <w:color w:val="000000"/>
          <w:kern w:val="0"/>
          <w:sz w:val="24"/>
        </w:rPr>
        <w:t>提销售</w:t>
      </w:r>
      <w:proofErr w:type="gramEnd"/>
      <w:r w:rsidRPr="003073D4">
        <w:rPr>
          <w:rFonts w:hint="eastAsia"/>
          <w:color w:val="000000"/>
          <w:kern w:val="0"/>
          <w:sz w:val="24"/>
        </w:rPr>
        <w:t>服务费。</w:t>
      </w:r>
    </w:p>
    <w:p w14:paraId="747AC169"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864358" w:rsidRPr="00425687" w14:paraId="1564CBB4" w14:textId="77777777" w:rsidTr="00874845">
        <w:trPr>
          <w:cantSplit/>
          <w:trHeight w:val="481"/>
        </w:trPr>
        <w:tc>
          <w:tcPr>
            <w:tcW w:w="4106" w:type="dxa"/>
            <w:shd w:val="clear" w:color="auto" w:fill="FFFFFF"/>
            <w:vAlign w:val="center"/>
          </w:tcPr>
          <w:p w14:paraId="245ACDBC" w14:textId="77777777" w:rsidR="00864358" w:rsidRPr="003073D4" w:rsidRDefault="00864358" w:rsidP="00874845">
            <w:pPr>
              <w:widowControl/>
              <w:adjustRightInd w:val="0"/>
              <w:snapToGrid w:val="0"/>
              <w:ind w:firstLineChars="200" w:firstLine="482"/>
              <w:rPr>
                <w:b/>
                <w:color w:val="000000"/>
                <w:kern w:val="0"/>
                <w:sz w:val="24"/>
              </w:rPr>
            </w:pPr>
            <w:r w:rsidRPr="003073D4">
              <w:rPr>
                <w:rFonts w:hint="eastAsia"/>
                <w:b/>
                <w:color w:val="000000"/>
                <w:kern w:val="0"/>
                <w:sz w:val="24"/>
              </w:rPr>
              <w:t>认购金额（含认购费）</w:t>
            </w:r>
          </w:p>
        </w:tc>
        <w:tc>
          <w:tcPr>
            <w:tcW w:w="3544" w:type="dxa"/>
            <w:shd w:val="clear" w:color="auto" w:fill="FFFFFF"/>
            <w:vAlign w:val="center"/>
          </w:tcPr>
          <w:p w14:paraId="4A93710D" w14:textId="77777777" w:rsidR="00864358" w:rsidRPr="003073D4" w:rsidRDefault="00864358" w:rsidP="00874845">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类基金份额认购费率</w:t>
            </w:r>
          </w:p>
        </w:tc>
      </w:tr>
      <w:tr w:rsidR="00864358" w:rsidRPr="00425687" w14:paraId="3AA805E7" w14:textId="77777777" w:rsidTr="00874845">
        <w:trPr>
          <w:cantSplit/>
          <w:trHeight w:val="275"/>
        </w:trPr>
        <w:tc>
          <w:tcPr>
            <w:tcW w:w="4106" w:type="dxa"/>
            <w:vAlign w:val="center"/>
          </w:tcPr>
          <w:p w14:paraId="56E772E9" w14:textId="77777777" w:rsidR="00864358" w:rsidRPr="003073D4" w:rsidRDefault="00864358" w:rsidP="00874845">
            <w:pPr>
              <w:widowControl/>
              <w:adjustRightInd w:val="0"/>
              <w:snapToGrid w:val="0"/>
              <w:ind w:firstLineChars="200" w:firstLine="480"/>
              <w:rPr>
                <w:color w:val="000000"/>
                <w:kern w:val="0"/>
                <w:sz w:val="24"/>
              </w:rPr>
            </w:pPr>
            <w:r w:rsidRPr="003073D4">
              <w:rPr>
                <w:kern w:val="0"/>
                <w:sz w:val="24"/>
                <w:szCs w:val="24"/>
              </w:rPr>
              <w:t>100</w:t>
            </w:r>
            <w:r>
              <w:rPr>
                <w:kern w:val="0"/>
                <w:sz w:val="24"/>
                <w:szCs w:val="24"/>
              </w:rPr>
              <w:t>0</w:t>
            </w:r>
            <w:r w:rsidRPr="003073D4">
              <w:rPr>
                <w:rFonts w:hint="eastAsia"/>
                <w:kern w:val="0"/>
                <w:sz w:val="24"/>
                <w:szCs w:val="24"/>
              </w:rPr>
              <w:t>万元以下</w:t>
            </w:r>
          </w:p>
        </w:tc>
        <w:tc>
          <w:tcPr>
            <w:tcW w:w="3544" w:type="dxa"/>
            <w:vAlign w:val="center"/>
          </w:tcPr>
          <w:p w14:paraId="0830292B"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kern w:val="0"/>
                <w:sz w:val="24"/>
                <w:szCs w:val="24"/>
              </w:rPr>
              <w:t>0.</w:t>
            </w:r>
            <w:r>
              <w:rPr>
                <w:kern w:val="0"/>
                <w:sz w:val="24"/>
                <w:szCs w:val="24"/>
              </w:rPr>
              <w:t>2</w:t>
            </w:r>
            <w:r w:rsidRPr="003073D4">
              <w:rPr>
                <w:kern w:val="0"/>
                <w:sz w:val="24"/>
                <w:szCs w:val="24"/>
              </w:rPr>
              <w:t>%</w:t>
            </w:r>
          </w:p>
        </w:tc>
      </w:tr>
      <w:tr w:rsidR="00864358" w:rsidRPr="00425687" w14:paraId="09426ABD" w14:textId="77777777" w:rsidTr="00874845">
        <w:trPr>
          <w:cantSplit/>
          <w:trHeight w:val="317"/>
        </w:trPr>
        <w:tc>
          <w:tcPr>
            <w:tcW w:w="4106" w:type="dxa"/>
            <w:vAlign w:val="center"/>
          </w:tcPr>
          <w:p w14:paraId="5AF739FF" w14:textId="77777777" w:rsidR="00864358" w:rsidRPr="003073D4" w:rsidRDefault="00864358" w:rsidP="00874845">
            <w:pPr>
              <w:widowControl/>
              <w:adjustRightInd w:val="0"/>
              <w:snapToGrid w:val="0"/>
              <w:ind w:firstLineChars="200" w:firstLine="480"/>
              <w:rPr>
                <w:color w:val="000000"/>
                <w:kern w:val="0"/>
                <w:sz w:val="24"/>
              </w:rPr>
            </w:pPr>
            <w:r>
              <w:rPr>
                <w:kern w:val="0"/>
                <w:sz w:val="24"/>
                <w:szCs w:val="24"/>
              </w:rPr>
              <w:lastRenderedPageBreak/>
              <w:t>10</w:t>
            </w:r>
            <w:r w:rsidRPr="003073D4">
              <w:rPr>
                <w:kern w:val="0"/>
                <w:sz w:val="24"/>
                <w:szCs w:val="24"/>
              </w:rPr>
              <w:t>00</w:t>
            </w:r>
            <w:r w:rsidRPr="003073D4">
              <w:rPr>
                <w:rFonts w:hint="eastAsia"/>
                <w:kern w:val="0"/>
                <w:sz w:val="24"/>
                <w:szCs w:val="24"/>
              </w:rPr>
              <w:t>万元以上（含</w:t>
            </w:r>
            <w:r>
              <w:rPr>
                <w:kern w:val="0"/>
                <w:sz w:val="24"/>
                <w:szCs w:val="24"/>
              </w:rPr>
              <w:t>10</w:t>
            </w:r>
            <w:r w:rsidRPr="003073D4">
              <w:rPr>
                <w:kern w:val="0"/>
                <w:sz w:val="24"/>
                <w:szCs w:val="24"/>
              </w:rPr>
              <w:t>00</w:t>
            </w:r>
            <w:r w:rsidRPr="003073D4">
              <w:rPr>
                <w:rFonts w:hint="eastAsia"/>
                <w:kern w:val="0"/>
                <w:sz w:val="24"/>
                <w:szCs w:val="24"/>
              </w:rPr>
              <w:t>万元）</w:t>
            </w:r>
          </w:p>
        </w:tc>
        <w:tc>
          <w:tcPr>
            <w:tcW w:w="3544" w:type="dxa"/>
            <w:vAlign w:val="center"/>
          </w:tcPr>
          <w:p w14:paraId="5978C5A0"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rFonts w:hint="eastAsia"/>
                <w:kern w:val="0"/>
                <w:sz w:val="24"/>
                <w:szCs w:val="24"/>
              </w:rPr>
              <w:t>每笔交易</w:t>
            </w:r>
            <w:r w:rsidRPr="003073D4">
              <w:rPr>
                <w:kern w:val="0"/>
                <w:sz w:val="24"/>
                <w:szCs w:val="24"/>
              </w:rPr>
              <w:t>1000</w:t>
            </w:r>
            <w:r w:rsidRPr="003073D4">
              <w:rPr>
                <w:rFonts w:hint="eastAsia"/>
                <w:kern w:val="0"/>
                <w:sz w:val="24"/>
                <w:szCs w:val="24"/>
              </w:rPr>
              <w:t>元</w:t>
            </w:r>
          </w:p>
        </w:tc>
      </w:tr>
    </w:tbl>
    <w:p w14:paraId="54057F71" w14:textId="77777777" w:rsidR="00864358" w:rsidRPr="003073D4" w:rsidRDefault="00864358" w:rsidP="00864358">
      <w:pPr>
        <w:widowControl/>
        <w:adjustRightInd w:val="0"/>
        <w:snapToGrid w:val="0"/>
        <w:spacing w:beforeLines="50" w:before="156" w:line="360" w:lineRule="auto"/>
        <w:ind w:firstLineChars="200" w:firstLine="480"/>
        <w:rPr>
          <w:kern w:val="0"/>
          <w:sz w:val="24"/>
          <w:szCs w:val="24"/>
        </w:rPr>
      </w:pPr>
      <w:r w:rsidRPr="003073D4">
        <w:rPr>
          <w:kern w:val="0"/>
          <w:sz w:val="24"/>
          <w:szCs w:val="24"/>
        </w:rPr>
        <w:t>本基金对通过基金管理人直销柜台</w:t>
      </w:r>
      <w:r w:rsidRPr="003073D4">
        <w:rPr>
          <w:rFonts w:hint="eastAsia"/>
          <w:kern w:val="0"/>
          <w:sz w:val="24"/>
          <w:szCs w:val="24"/>
        </w:rPr>
        <w:t>认</w:t>
      </w:r>
      <w:r w:rsidRPr="003073D4">
        <w:rPr>
          <w:kern w:val="0"/>
          <w:sz w:val="24"/>
          <w:szCs w:val="24"/>
        </w:rPr>
        <w:t>购</w:t>
      </w:r>
      <w:r w:rsidRPr="003073D4">
        <w:rPr>
          <w:kern w:val="0"/>
          <w:sz w:val="24"/>
          <w:szCs w:val="24"/>
        </w:rPr>
        <w:t>A</w:t>
      </w:r>
      <w:r w:rsidRPr="003073D4">
        <w:rPr>
          <w:rFonts w:hint="eastAsia"/>
          <w:kern w:val="0"/>
          <w:sz w:val="24"/>
          <w:szCs w:val="24"/>
        </w:rPr>
        <w:t>类基金份额</w:t>
      </w:r>
      <w:r w:rsidRPr="003073D4">
        <w:rPr>
          <w:kern w:val="0"/>
          <w:sz w:val="24"/>
          <w:szCs w:val="24"/>
        </w:rPr>
        <w:t>的养老金客户</w:t>
      </w:r>
      <w:r w:rsidRPr="003073D4">
        <w:rPr>
          <w:rFonts w:hint="eastAsia"/>
          <w:kern w:val="0"/>
          <w:sz w:val="24"/>
          <w:szCs w:val="24"/>
        </w:rPr>
        <w:t>与除此之外的其他投资者</w:t>
      </w:r>
      <w:r w:rsidRPr="003073D4">
        <w:rPr>
          <w:kern w:val="0"/>
          <w:sz w:val="24"/>
          <w:szCs w:val="24"/>
        </w:rPr>
        <w:t>实施</w:t>
      </w:r>
      <w:r w:rsidRPr="003073D4">
        <w:rPr>
          <w:rFonts w:hint="eastAsia"/>
          <w:kern w:val="0"/>
          <w:sz w:val="24"/>
          <w:szCs w:val="24"/>
        </w:rPr>
        <w:t>差别的认购费率</w:t>
      </w:r>
      <w:r w:rsidRPr="003073D4">
        <w:rPr>
          <w:rFonts w:hint="eastAsia"/>
        </w:rPr>
        <w:t>。</w:t>
      </w:r>
      <w:r w:rsidRPr="003073D4">
        <w:rPr>
          <w:kern w:val="0"/>
          <w:sz w:val="24"/>
          <w:szCs w:val="24"/>
        </w:rPr>
        <w:t>养老金客户包括基本养老基金与依法成立的养老计划筹集的资金及其投资运营收益形成的补充养老基金等，具体包括：</w:t>
      </w:r>
    </w:p>
    <w:p w14:paraId="71F70763"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1</w:t>
      </w:r>
      <w:r w:rsidRPr="003073D4">
        <w:rPr>
          <w:rFonts w:hint="eastAsia"/>
          <w:kern w:val="0"/>
          <w:sz w:val="24"/>
          <w:szCs w:val="24"/>
        </w:rPr>
        <w:t>）</w:t>
      </w:r>
      <w:r w:rsidRPr="003073D4">
        <w:rPr>
          <w:kern w:val="0"/>
          <w:sz w:val="24"/>
          <w:szCs w:val="24"/>
        </w:rPr>
        <w:t>全国社会保障基金；</w:t>
      </w:r>
    </w:p>
    <w:p w14:paraId="2CE34C0A"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2</w:t>
      </w:r>
      <w:r w:rsidRPr="003073D4">
        <w:rPr>
          <w:rFonts w:hint="eastAsia"/>
          <w:kern w:val="0"/>
          <w:sz w:val="24"/>
          <w:szCs w:val="24"/>
        </w:rPr>
        <w:t>）</w:t>
      </w:r>
      <w:r w:rsidRPr="003073D4">
        <w:rPr>
          <w:kern w:val="0"/>
          <w:sz w:val="24"/>
          <w:szCs w:val="24"/>
        </w:rPr>
        <w:t>可以投资基金的地方社会保障基金；</w:t>
      </w:r>
    </w:p>
    <w:p w14:paraId="26E8E4D7"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rPr>
        <w:t>3</w:t>
      </w:r>
      <w:r w:rsidRPr="003073D4">
        <w:rPr>
          <w:rFonts w:hint="eastAsia"/>
          <w:kern w:val="0"/>
          <w:sz w:val="24"/>
        </w:rPr>
        <w:t>）</w:t>
      </w:r>
      <w:r w:rsidRPr="003073D4">
        <w:rPr>
          <w:kern w:val="0"/>
          <w:sz w:val="24"/>
          <w:szCs w:val="24"/>
        </w:rPr>
        <w:t>企业年金单一计划以及集合计划</w:t>
      </w:r>
      <w:r w:rsidRPr="003073D4">
        <w:rPr>
          <w:rFonts w:hint="eastAsia"/>
          <w:kern w:val="0"/>
          <w:sz w:val="24"/>
          <w:szCs w:val="24"/>
        </w:rPr>
        <w:t>；</w:t>
      </w:r>
    </w:p>
    <w:p w14:paraId="4F9FD157"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4</w:t>
      </w:r>
      <w:r w:rsidRPr="003073D4">
        <w:rPr>
          <w:rFonts w:hint="eastAsia"/>
          <w:kern w:val="0"/>
          <w:sz w:val="24"/>
          <w:szCs w:val="24"/>
        </w:rPr>
        <w:t>）企业年金理事会委托的特定客户资产管理计划；</w:t>
      </w:r>
    </w:p>
    <w:p w14:paraId="412ECA27"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5</w:t>
      </w:r>
      <w:r w:rsidRPr="003073D4">
        <w:rPr>
          <w:rFonts w:hint="eastAsia"/>
          <w:kern w:val="0"/>
          <w:sz w:val="24"/>
          <w:szCs w:val="24"/>
        </w:rPr>
        <w:t>）企业年金养老金产品。</w:t>
      </w:r>
    </w:p>
    <w:p w14:paraId="3B0E01F3" w14:textId="77777777" w:rsidR="00864358" w:rsidRPr="003073D4" w:rsidRDefault="00864358" w:rsidP="00864358">
      <w:pPr>
        <w:widowControl/>
        <w:adjustRightInd w:val="0"/>
        <w:snapToGrid w:val="0"/>
        <w:spacing w:line="360" w:lineRule="auto"/>
        <w:ind w:firstLineChars="200" w:firstLine="480"/>
        <w:rPr>
          <w:kern w:val="0"/>
          <w:sz w:val="24"/>
          <w:szCs w:val="24"/>
        </w:rPr>
      </w:pPr>
      <w:r w:rsidRPr="003073D4">
        <w:rPr>
          <w:kern w:val="0"/>
          <w:sz w:val="24"/>
          <w:szCs w:val="24"/>
        </w:rPr>
        <w:t>如将来出现经养老基金监管部门认可的新的养老基金类型，</w:t>
      </w:r>
      <w:r w:rsidRPr="003073D4">
        <w:rPr>
          <w:rFonts w:hint="eastAsia"/>
          <w:kern w:val="0"/>
          <w:sz w:val="24"/>
          <w:szCs w:val="24"/>
        </w:rPr>
        <w:t>基金管理人可在招募说明书更新或</w:t>
      </w:r>
      <w:r w:rsidRPr="003073D4">
        <w:rPr>
          <w:kern w:val="0"/>
          <w:sz w:val="24"/>
          <w:szCs w:val="24"/>
        </w:rPr>
        <w:t>发布临时公告将其纳入养老金客户范围。</w:t>
      </w:r>
    </w:p>
    <w:p w14:paraId="236DA191"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通过基金管理人直销柜台认购本基金</w:t>
      </w:r>
      <w:r w:rsidRPr="003073D4">
        <w:rPr>
          <w:color w:val="000000"/>
          <w:kern w:val="0"/>
          <w:sz w:val="24"/>
        </w:rPr>
        <w:t>A</w:t>
      </w:r>
      <w:r w:rsidRPr="003073D4">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864358" w:rsidRPr="00425687" w14:paraId="74B4B266" w14:textId="77777777" w:rsidTr="00874845">
        <w:trPr>
          <w:cantSplit/>
          <w:trHeight w:val="614"/>
          <w:jc w:val="center"/>
        </w:trPr>
        <w:tc>
          <w:tcPr>
            <w:tcW w:w="3641" w:type="dxa"/>
            <w:shd w:val="clear" w:color="auto" w:fill="FFFFFF"/>
            <w:vAlign w:val="center"/>
          </w:tcPr>
          <w:p w14:paraId="3FDC0CCB" w14:textId="77777777" w:rsidR="00864358" w:rsidRPr="003073D4" w:rsidRDefault="00864358" w:rsidP="00874845">
            <w:pPr>
              <w:widowControl/>
              <w:adjustRightInd w:val="0"/>
              <w:snapToGrid w:val="0"/>
              <w:ind w:firstLineChars="200" w:firstLine="482"/>
              <w:jc w:val="left"/>
              <w:rPr>
                <w:b/>
                <w:color w:val="000000"/>
                <w:kern w:val="0"/>
                <w:sz w:val="24"/>
              </w:rPr>
            </w:pPr>
            <w:r w:rsidRPr="003073D4">
              <w:rPr>
                <w:rFonts w:hint="eastAsia"/>
                <w:b/>
                <w:color w:val="000000"/>
                <w:kern w:val="0"/>
                <w:sz w:val="24"/>
              </w:rPr>
              <w:t>认购金额（含认购费）</w:t>
            </w:r>
          </w:p>
        </w:tc>
        <w:tc>
          <w:tcPr>
            <w:tcW w:w="4111" w:type="dxa"/>
            <w:shd w:val="clear" w:color="auto" w:fill="FFFFFF"/>
            <w:vAlign w:val="center"/>
          </w:tcPr>
          <w:p w14:paraId="77E3AEC5" w14:textId="77777777" w:rsidR="00864358" w:rsidRPr="003073D4" w:rsidRDefault="00864358" w:rsidP="00874845">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类基金份额特定认购费率</w:t>
            </w:r>
          </w:p>
        </w:tc>
      </w:tr>
      <w:tr w:rsidR="00864358" w:rsidRPr="00425687" w14:paraId="101258C2" w14:textId="77777777" w:rsidTr="00874845">
        <w:trPr>
          <w:cantSplit/>
          <w:trHeight w:val="131"/>
          <w:jc w:val="center"/>
        </w:trPr>
        <w:tc>
          <w:tcPr>
            <w:tcW w:w="3641" w:type="dxa"/>
            <w:vAlign w:val="center"/>
          </w:tcPr>
          <w:p w14:paraId="532CF68E" w14:textId="77777777" w:rsidR="00864358" w:rsidRPr="003073D4" w:rsidRDefault="00864358" w:rsidP="00874845">
            <w:pPr>
              <w:widowControl/>
              <w:adjustRightInd w:val="0"/>
              <w:snapToGrid w:val="0"/>
              <w:ind w:firstLineChars="200" w:firstLine="480"/>
              <w:jc w:val="left"/>
              <w:rPr>
                <w:color w:val="000000"/>
                <w:kern w:val="0"/>
                <w:sz w:val="24"/>
              </w:rPr>
            </w:pPr>
            <w:r>
              <w:rPr>
                <w:color w:val="000000"/>
                <w:kern w:val="0"/>
                <w:sz w:val="24"/>
              </w:rPr>
              <w:t>10</w:t>
            </w:r>
            <w:r w:rsidRPr="003073D4">
              <w:rPr>
                <w:color w:val="000000"/>
                <w:kern w:val="0"/>
                <w:sz w:val="24"/>
              </w:rPr>
              <w:t>00</w:t>
            </w:r>
            <w:r w:rsidRPr="003073D4">
              <w:rPr>
                <w:rFonts w:hint="eastAsia"/>
                <w:color w:val="000000"/>
                <w:kern w:val="0"/>
                <w:sz w:val="24"/>
              </w:rPr>
              <w:t>万元以下</w:t>
            </w:r>
          </w:p>
        </w:tc>
        <w:tc>
          <w:tcPr>
            <w:tcW w:w="4111" w:type="dxa"/>
            <w:vAlign w:val="center"/>
          </w:tcPr>
          <w:p w14:paraId="7EFB7708"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color w:val="000000"/>
                <w:kern w:val="0"/>
                <w:sz w:val="24"/>
              </w:rPr>
              <w:t>0.</w:t>
            </w:r>
            <w:r>
              <w:rPr>
                <w:color w:val="000000"/>
                <w:kern w:val="0"/>
                <w:sz w:val="24"/>
              </w:rPr>
              <w:t>08</w:t>
            </w:r>
            <w:r w:rsidRPr="003073D4">
              <w:rPr>
                <w:color w:val="000000"/>
                <w:kern w:val="0"/>
                <w:sz w:val="24"/>
              </w:rPr>
              <w:t>%</w:t>
            </w:r>
          </w:p>
        </w:tc>
      </w:tr>
      <w:tr w:rsidR="00864358" w:rsidRPr="00425687" w14:paraId="4E3ACC24" w14:textId="77777777" w:rsidTr="00874845">
        <w:trPr>
          <w:cantSplit/>
          <w:trHeight w:val="187"/>
          <w:jc w:val="center"/>
        </w:trPr>
        <w:tc>
          <w:tcPr>
            <w:tcW w:w="3641" w:type="dxa"/>
            <w:vAlign w:val="center"/>
          </w:tcPr>
          <w:p w14:paraId="2AE3BEDA" w14:textId="77777777" w:rsidR="00864358" w:rsidRPr="003073D4" w:rsidRDefault="00864358" w:rsidP="00874845">
            <w:pPr>
              <w:widowControl/>
              <w:adjustRightInd w:val="0"/>
              <w:snapToGrid w:val="0"/>
              <w:ind w:firstLineChars="200" w:firstLine="480"/>
              <w:jc w:val="left"/>
              <w:rPr>
                <w:color w:val="000000"/>
                <w:kern w:val="0"/>
                <w:sz w:val="24"/>
              </w:rPr>
            </w:pPr>
            <w:r>
              <w:rPr>
                <w:color w:val="000000"/>
                <w:kern w:val="0"/>
                <w:sz w:val="24"/>
              </w:rPr>
              <w:t>10</w:t>
            </w:r>
            <w:r w:rsidRPr="003073D4">
              <w:rPr>
                <w:color w:val="000000"/>
                <w:kern w:val="0"/>
                <w:sz w:val="24"/>
              </w:rPr>
              <w:t>00</w:t>
            </w:r>
            <w:r w:rsidRPr="003073D4">
              <w:rPr>
                <w:rFonts w:hint="eastAsia"/>
                <w:color w:val="000000"/>
                <w:kern w:val="0"/>
                <w:sz w:val="24"/>
              </w:rPr>
              <w:t>万元以上（含</w:t>
            </w:r>
            <w:r>
              <w:rPr>
                <w:color w:val="000000"/>
                <w:kern w:val="0"/>
                <w:sz w:val="24"/>
              </w:rPr>
              <w:t>10</w:t>
            </w:r>
            <w:r w:rsidRPr="003073D4">
              <w:rPr>
                <w:color w:val="000000"/>
                <w:kern w:val="0"/>
                <w:sz w:val="24"/>
              </w:rPr>
              <w:t>00</w:t>
            </w:r>
            <w:r w:rsidRPr="003073D4">
              <w:rPr>
                <w:rFonts w:hint="eastAsia"/>
                <w:color w:val="000000"/>
                <w:kern w:val="0"/>
                <w:sz w:val="24"/>
              </w:rPr>
              <w:t>万元）</w:t>
            </w:r>
          </w:p>
        </w:tc>
        <w:tc>
          <w:tcPr>
            <w:tcW w:w="4111" w:type="dxa"/>
            <w:vAlign w:val="center"/>
          </w:tcPr>
          <w:p w14:paraId="7E1D89C2" w14:textId="77777777" w:rsidR="00864358" w:rsidRPr="003073D4" w:rsidRDefault="00864358" w:rsidP="00874845">
            <w:pPr>
              <w:widowControl/>
              <w:adjustRightInd w:val="0"/>
              <w:snapToGrid w:val="0"/>
              <w:ind w:firstLineChars="200" w:firstLine="480"/>
              <w:jc w:val="center"/>
              <w:rPr>
                <w:color w:val="000000"/>
                <w:kern w:val="0"/>
                <w:sz w:val="24"/>
              </w:rPr>
            </w:pPr>
            <w:r w:rsidRPr="003073D4">
              <w:rPr>
                <w:rFonts w:hint="eastAsia"/>
                <w:color w:val="000000"/>
                <w:kern w:val="0"/>
                <w:sz w:val="24"/>
              </w:rPr>
              <w:t>每笔交易</w:t>
            </w:r>
            <w:r w:rsidRPr="003073D4">
              <w:rPr>
                <w:color w:val="000000"/>
                <w:kern w:val="0"/>
                <w:sz w:val="24"/>
              </w:rPr>
              <w:t>1000</w:t>
            </w:r>
            <w:r w:rsidRPr="003073D4">
              <w:rPr>
                <w:rFonts w:hint="eastAsia"/>
                <w:color w:val="000000"/>
                <w:kern w:val="0"/>
                <w:sz w:val="24"/>
              </w:rPr>
              <w:t>元</w:t>
            </w:r>
          </w:p>
        </w:tc>
      </w:tr>
    </w:tbl>
    <w:p w14:paraId="40B653E0"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类基金份额的认购费用由认购</w:t>
      </w:r>
      <w:r w:rsidRPr="003073D4">
        <w:rPr>
          <w:color w:val="000000"/>
          <w:kern w:val="0"/>
          <w:sz w:val="24"/>
        </w:rPr>
        <w:t>A</w:t>
      </w:r>
      <w:r w:rsidRPr="003073D4">
        <w:rPr>
          <w:rFonts w:hint="eastAsia"/>
          <w:color w:val="000000"/>
          <w:kern w:val="0"/>
          <w:sz w:val="24"/>
        </w:rPr>
        <w:t>类基金份额的投资人承担，认购费用不列入基金财产，主要用于基金的市场推广、销售、登记等募集期间发生的各项费用。</w:t>
      </w:r>
    </w:p>
    <w:p w14:paraId="2DBC8733" w14:textId="77777777" w:rsidR="00864358" w:rsidRPr="003073D4" w:rsidRDefault="00864358" w:rsidP="00864358">
      <w:pPr>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3</w:t>
      </w:r>
      <w:r w:rsidRPr="003073D4">
        <w:rPr>
          <w:rFonts w:hint="eastAsia"/>
          <w:color w:val="000000"/>
          <w:kern w:val="0"/>
          <w:sz w:val="24"/>
        </w:rPr>
        <w:t>）认购份额的计算</w:t>
      </w:r>
    </w:p>
    <w:p w14:paraId="349B8CAA"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color w:val="000000"/>
          <w:kern w:val="0"/>
          <w:sz w:val="24"/>
        </w:rPr>
        <w:t>1</w:t>
      </w:r>
      <w:r w:rsidRPr="003073D4">
        <w:rPr>
          <w:rFonts w:hint="eastAsia"/>
          <w:color w:val="000000"/>
          <w:kern w:val="0"/>
          <w:sz w:val="24"/>
        </w:rPr>
        <w:t>）</w:t>
      </w:r>
      <w:r w:rsidRPr="003073D4">
        <w:rPr>
          <w:color w:val="000000"/>
          <w:kern w:val="0"/>
          <w:sz w:val="24"/>
        </w:rPr>
        <w:t>A</w:t>
      </w:r>
      <w:r w:rsidRPr="003073D4">
        <w:rPr>
          <w:rFonts w:hint="eastAsia"/>
          <w:color w:val="000000"/>
          <w:kern w:val="0"/>
          <w:sz w:val="24"/>
        </w:rPr>
        <w:t>类基金份额的认购</w:t>
      </w:r>
    </w:p>
    <w:p w14:paraId="4E702721"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基金认购采用金额认购的方式。基金的认购金额包括认购费用和净认购金额。计算公式为：</w:t>
      </w:r>
    </w:p>
    <w:p w14:paraId="3F9A00DE" w14:textId="77777777" w:rsidR="00864358" w:rsidRPr="003073D4" w:rsidRDefault="00864358" w:rsidP="00864358">
      <w:pPr>
        <w:widowControl/>
        <w:adjustRightInd w:val="0"/>
        <w:snapToGrid w:val="0"/>
        <w:spacing w:line="360" w:lineRule="auto"/>
        <w:ind w:firstLineChars="200" w:firstLine="480"/>
        <w:rPr>
          <w:color w:val="000000"/>
          <w:kern w:val="0"/>
          <w:sz w:val="24"/>
        </w:rPr>
      </w:pPr>
      <w:proofErr w:type="gramStart"/>
      <w:r w:rsidRPr="003073D4">
        <w:rPr>
          <w:rFonts w:hint="eastAsia"/>
          <w:color w:val="000000"/>
          <w:kern w:val="0"/>
          <w:sz w:val="24"/>
        </w:rPr>
        <w:t>认购总</w:t>
      </w:r>
      <w:proofErr w:type="gramEnd"/>
      <w:r w:rsidRPr="003073D4">
        <w:rPr>
          <w:rFonts w:hint="eastAsia"/>
          <w:color w:val="000000"/>
          <w:kern w:val="0"/>
          <w:sz w:val="24"/>
        </w:rPr>
        <w:t>金额</w:t>
      </w:r>
      <w:r w:rsidRPr="003073D4">
        <w:rPr>
          <w:color w:val="000000"/>
          <w:kern w:val="0"/>
          <w:sz w:val="24"/>
        </w:rPr>
        <w:t>=</w:t>
      </w:r>
      <w:proofErr w:type="gramStart"/>
      <w:r w:rsidRPr="003073D4">
        <w:rPr>
          <w:rFonts w:hint="eastAsia"/>
          <w:color w:val="000000"/>
          <w:kern w:val="0"/>
          <w:sz w:val="24"/>
        </w:rPr>
        <w:t>申请总</w:t>
      </w:r>
      <w:proofErr w:type="gramEnd"/>
      <w:r w:rsidRPr="003073D4">
        <w:rPr>
          <w:rFonts w:hint="eastAsia"/>
          <w:color w:val="000000"/>
          <w:kern w:val="0"/>
          <w:sz w:val="24"/>
        </w:rPr>
        <w:t>金额；</w:t>
      </w:r>
    </w:p>
    <w:p w14:paraId="1220235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w:t>
      </w:r>
      <w:proofErr w:type="gramStart"/>
      <w:r w:rsidRPr="003073D4">
        <w:rPr>
          <w:rFonts w:hint="eastAsia"/>
          <w:color w:val="000000"/>
          <w:kern w:val="0"/>
          <w:sz w:val="24"/>
        </w:rPr>
        <w:t>认购总</w:t>
      </w:r>
      <w:proofErr w:type="gramEnd"/>
      <w:r w:rsidRPr="003073D4">
        <w:rPr>
          <w:rFonts w:hint="eastAsia"/>
          <w:color w:val="000000"/>
          <w:kern w:val="0"/>
          <w:sz w:val="24"/>
        </w:rPr>
        <w:t>金额</w:t>
      </w:r>
      <w:r w:rsidRPr="003073D4">
        <w:rPr>
          <w:color w:val="000000"/>
          <w:kern w:val="0"/>
          <w:sz w:val="24"/>
        </w:rPr>
        <w:t>/</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＋认购费率）；</w:t>
      </w:r>
    </w:p>
    <w:p w14:paraId="75F94AA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（注：对于适用固定金额认购费用的认购，净认购金额＝</w:t>
      </w:r>
      <w:proofErr w:type="gramStart"/>
      <w:r w:rsidRPr="003073D4">
        <w:rPr>
          <w:rFonts w:hint="eastAsia"/>
          <w:color w:val="000000"/>
          <w:kern w:val="0"/>
          <w:sz w:val="24"/>
        </w:rPr>
        <w:t>认购总</w:t>
      </w:r>
      <w:proofErr w:type="gramEnd"/>
      <w:r w:rsidRPr="003073D4">
        <w:rPr>
          <w:rFonts w:hint="eastAsia"/>
          <w:color w:val="000000"/>
          <w:kern w:val="0"/>
          <w:sz w:val="24"/>
        </w:rPr>
        <w:t>金额－固定认购费用金额）</w:t>
      </w:r>
    </w:p>
    <w:p w14:paraId="77B2A8E9"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w:t>
      </w:r>
      <w:proofErr w:type="gramStart"/>
      <w:r w:rsidRPr="003073D4">
        <w:rPr>
          <w:rFonts w:hint="eastAsia"/>
          <w:color w:val="000000"/>
          <w:kern w:val="0"/>
          <w:sz w:val="24"/>
        </w:rPr>
        <w:t>认购总</w:t>
      </w:r>
      <w:proofErr w:type="gramEnd"/>
      <w:r w:rsidRPr="003073D4">
        <w:rPr>
          <w:rFonts w:hint="eastAsia"/>
          <w:color w:val="000000"/>
          <w:kern w:val="0"/>
          <w:sz w:val="24"/>
        </w:rPr>
        <w:t>金额</w:t>
      </w:r>
      <w:r w:rsidRPr="003073D4">
        <w:rPr>
          <w:color w:val="000000"/>
          <w:kern w:val="0"/>
          <w:sz w:val="24"/>
        </w:rPr>
        <w:t>-</w:t>
      </w:r>
      <w:r w:rsidRPr="003073D4">
        <w:rPr>
          <w:rFonts w:hint="eastAsia"/>
          <w:color w:val="000000"/>
          <w:kern w:val="0"/>
          <w:sz w:val="24"/>
        </w:rPr>
        <w:t>净认购金额；</w:t>
      </w:r>
    </w:p>
    <w:p w14:paraId="1C06D960"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lastRenderedPageBreak/>
        <w:t>（注：对于适用固定金额认购费用的认购，认购费用＝固定认购费用金额）</w:t>
      </w:r>
    </w:p>
    <w:p w14:paraId="4DCDEC8D"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6FF8AB4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认购份额计算结果保留到小数点后</w:t>
      </w:r>
      <w:r w:rsidRPr="003073D4">
        <w:rPr>
          <w:color w:val="000000"/>
          <w:kern w:val="0"/>
          <w:sz w:val="24"/>
        </w:rPr>
        <w:t>2</w:t>
      </w:r>
      <w:r w:rsidRPr="003073D4">
        <w:rPr>
          <w:rFonts w:hint="eastAsia"/>
          <w:color w:val="000000"/>
          <w:kern w:val="0"/>
          <w:sz w:val="24"/>
        </w:rPr>
        <w:t>位，小数点后</w:t>
      </w:r>
      <w:r w:rsidRPr="003073D4">
        <w:rPr>
          <w:color w:val="000000"/>
          <w:kern w:val="0"/>
          <w:sz w:val="24"/>
        </w:rPr>
        <w:t>2</w:t>
      </w:r>
      <w:r w:rsidRPr="003073D4">
        <w:rPr>
          <w:rFonts w:hint="eastAsia"/>
          <w:color w:val="000000"/>
          <w:kern w:val="0"/>
          <w:sz w:val="24"/>
        </w:rPr>
        <w:t>位以后的部分四舍五入，由此误差产生的损失由基金财产承担，产生的收益</w:t>
      </w:r>
      <w:proofErr w:type="gramStart"/>
      <w:r w:rsidRPr="003073D4">
        <w:rPr>
          <w:rFonts w:hint="eastAsia"/>
          <w:color w:val="000000"/>
          <w:kern w:val="0"/>
          <w:sz w:val="24"/>
        </w:rPr>
        <w:t>归基金</w:t>
      </w:r>
      <w:proofErr w:type="gramEnd"/>
      <w:r w:rsidRPr="003073D4">
        <w:rPr>
          <w:rFonts w:hint="eastAsia"/>
          <w:color w:val="000000"/>
          <w:kern w:val="0"/>
          <w:sz w:val="24"/>
        </w:rPr>
        <w:t>财产所有。</w:t>
      </w:r>
    </w:p>
    <w:p w14:paraId="31D066CA"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w:t>
      </w:r>
      <w:proofErr w:type="gramStart"/>
      <w:r w:rsidRPr="003073D4">
        <w:rPr>
          <w:rFonts w:hint="eastAsia"/>
          <w:color w:val="000000"/>
          <w:kern w:val="0"/>
          <w:sz w:val="24"/>
        </w:rPr>
        <w:t>一</w:t>
      </w:r>
      <w:proofErr w:type="gramEnd"/>
      <w:r w:rsidRPr="003073D4">
        <w:rPr>
          <w:rFonts w:hint="eastAsia"/>
          <w:color w:val="000000"/>
          <w:kern w:val="0"/>
          <w:sz w:val="24"/>
        </w:rPr>
        <w:t>：某投资者（非养老金客户）认购本基金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100,000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2</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230427AE" w14:textId="77777777" w:rsidR="00864358" w:rsidRPr="003073D4" w:rsidRDefault="00864358" w:rsidP="00864358">
      <w:pPr>
        <w:widowControl/>
        <w:adjustRightInd w:val="0"/>
        <w:snapToGrid w:val="0"/>
        <w:spacing w:line="360" w:lineRule="auto"/>
        <w:ind w:firstLineChars="200" w:firstLine="480"/>
        <w:rPr>
          <w:color w:val="000000"/>
          <w:kern w:val="0"/>
          <w:sz w:val="24"/>
        </w:rPr>
      </w:pPr>
      <w:proofErr w:type="gramStart"/>
      <w:r w:rsidRPr="003073D4">
        <w:rPr>
          <w:rFonts w:hint="eastAsia"/>
          <w:color w:val="000000"/>
          <w:kern w:val="0"/>
          <w:sz w:val="24"/>
        </w:rPr>
        <w:t>认购总</w:t>
      </w:r>
      <w:proofErr w:type="gramEnd"/>
      <w:r w:rsidRPr="003073D4">
        <w:rPr>
          <w:rFonts w:hint="eastAsia"/>
          <w:color w:val="000000"/>
          <w:kern w:val="0"/>
          <w:sz w:val="24"/>
        </w:rPr>
        <w:t>金额＝</w:t>
      </w:r>
      <w:r w:rsidRPr="003073D4">
        <w:rPr>
          <w:color w:val="000000"/>
          <w:kern w:val="0"/>
          <w:sz w:val="24"/>
        </w:rPr>
        <w:t>100,000</w:t>
      </w:r>
      <w:r w:rsidRPr="003073D4">
        <w:rPr>
          <w:rFonts w:hint="eastAsia"/>
          <w:color w:val="000000"/>
          <w:kern w:val="0"/>
          <w:sz w:val="24"/>
        </w:rPr>
        <w:t>元</w:t>
      </w:r>
    </w:p>
    <w:p w14:paraId="7172FEF2"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2</w:t>
      </w:r>
      <w:r w:rsidRPr="003073D4">
        <w:rPr>
          <w:color w:val="000000"/>
          <w:kern w:val="0"/>
          <w:sz w:val="24"/>
        </w:rPr>
        <w:t>%</w:t>
      </w:r>
      <w:r w:rsidRPr="003073D4">
        <w:rPr>
          <w:rFonts w:hint="eastAsia"/>
          <w:color w:val="000000"/>
          <w:kern w:val="0"/>
          <w:sz w:val="24"/>
        </w:rPr>
        <w:t>）＝</w:t>
      </w:r>
      <w:r w:rsidRPr="00DC23CC">
        <w:rPr>
          <w:color w:val="000000"/>
          <w:kern w:val="0"/>
          <w:sz w:val="24"/>
        </w:rPr>
        <w:t>99</w:t>
      </w:r>
      <w:r>
        <w:rPr>
          <w:rFonts w:hint="eastAsia"/>
          <w:color w:val="000000"/>
          <w:kern w:val="0"/>
          <w:sz w:val="24"/>
        </w:rPr>
        <w:t>,</w:t>
      </w:r>
      <w:r w:rsidRPr="00DC23CC">
        <w:rPr>
          <w:color w:val="000000"/>
          <w:kern w:val="0"/>
          <w:sz w:val="24"/>
        </w:rPr>
        <w:t>800.40</w:t>
      </w:r>
      <w:r w:rsidRPr="003073D4">
        <w:rPr>
          <w:rFonts w:hint="eastAsia"/>
          <w:color w:val="000000"/>
          <w:kern w:val="0"/>
          <w:sz w:val="24"/>
        </w:rPr>
        <w:t>元</w:t>
      </w:r>
    </w:p>
    <w:p w14:paraId="63AB87B8"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100,000</w:t>
      </w:r>
      <w:r w:rsidRPr="003073D4">
        <w:rPr>
          <w:rFonts w:hint="eastAsia"/>
          <w:color w:val="000000"/>
          <w:kern w:val="0"/>
          <w:sz w:val="24"/>
        </w:rPr>
        <w:t>－</w:t>
      </w:r>
      <w:r w:rsidRPr="00DC23CC">
        <w:rPr>
          <w:color w:val="000000"/>
          <w:kern w:val="0"/>
          <w:sz w:val="24"/>
        </w:rPr>
        <w:t>99</w:t>
      </w:r>
      <w:r>
        <w:rPr>
          <w:rFonts w:hint="eastAsia"/>
          <w:color w:val="000000"/>
          <w:kern w:val="0"/>
          <w:sz w:val="24"/>
        </w:rPr>
        <w:t>,</w:t>
      </w:r>
      <w:r w:rsidRPr="00DC23CC">
        <w:rPr>
          <w:color w:val="000000"/>
          <w:kern w:val="0"/>
          <w:sz w:val="24"/>
        </w:rPr>
        <w:t>800.40</w:t>
      </w:r>
      <w:r w:rsidRPr="003073D4">
        <w:rPr>
          <w:rFonts w:hint="eastAsia"/>
          <w:color w:val="000000"/>
          <w:kern w:val="0"/>
          <w:sz w:val="24"/>
        </w:rPr>
        <w:t>＝</w:t>
      </w:r>
      <w:r>
        <w:rPr>
          <w:color w:val="000000"/>
          <w:kern w:val="0"/>
          <w:sz w:val="24"/>
        </w:rPr>
        <w:t>1</w:t>
      </w:r>
      <w:r w:rsidRPr="003073D4">
        <w:rPr>
          <w:color w:val="000000"/>
          <w:kern w:val="0"/>
          <w:sz w:val="24"/>
        </w:rPr>
        <w:t>99.</w:t>
      </w:r>
      <w:r>
        <w:rPr>
          <w:color w:val="000000"/>
          <w:kern w:val="0"/>
          <w:sz w:val="24"/>
        </w:rPr>
        <w:t>60</w:t>
      </w:r>
      <w:r w:rsidRPr="003073D4">
        <w:rPr>
          <w:rFonts w:hint="eastAsia"/>
          <w:color w:val="000000"/>
          <w:kern w:val="0"/>
          <w:sz w:val="24"/>
        </w:rPr>
        <w:t>元</w:t>
      </w:r>
    </w:p>
    <w:p w14:paraId="468276C9"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DC23CC">
        <w:rPr>
          <w:color w:val="000000"/>
          <w:kern w:val="0"/>
          <w:sz w:val="24"/>
        </w:rPr>
        <w:t>99</w:t>
      </w:r>
      <w:r>
        <w:rPr>
          <w:rFonts w:hint="eastAsia"/>
          <w:color w:val="000000"/>
          <w:kern w:val="0"/>
          <w:sz w:val="24"/>
        </w:rPr>
        <w:t>,</w:t>
      </w:r>
      <w:r w:rsidRPr="00DC23CC">
        <w:rPr>
          <w:color w:val="000000"/>
          <w:kern w:val="0"/>
          <w:sz w:val="24"/>
        </w:rPr>
        <w:t>800.40</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3073D4">
        <w:rPr>
          <w:color w:val="000000"/>
          <w:kern w:val="0"/>
          <w:sz w:val="24"/>
        </w:rPr>
        <w:t>99,</w:t>
      </w:r>
      <w:r>
        <w:rPr>
          <w:color w:val="000000"/>
          <w:kern w:val="0"/>
          <w:sz w:val="24"/>
        </w:rPr>
        <w:t>8</w:t>
      </w:r>
      <w:r w:rsidRPr="003073D4">
        <w:rPr>
          <w:color w:val="000000"/>
          <w:kern w:val="0"/>
          <w:sz w:val="24"/>
        </w:rPr>
        <w:t>50.</w:t>
      </w:r>
      <w:r>
        <w:rPr>
          <w:color w:val="000000"/>
          <w:kern w:val="0"/>
          <w:sz w:val="24"/>
        </w:rPr>
        <w:t>4</w:t>
      </w:r>
      <w:r w:rsidRPr="003073D4">
        <w:rPr>
          <w:color w:val="000000"/>
          <w:kern w:val="0"/>
          <w:sz w:val="24"/>
        </w:rPr>
        <w:t>0</w:t>
      </w:r>
      <w:r w:rsidRPr="003073D4">
        <w:rPr>
          <w:rFonts w:hint="eastAsia"/>
          <w:color w:val="000000"/>
          <w:kern w:val="0"/>
          <w:sz w:val="24"/>
        </w:rPr>
        <w:t>份</w:t>
      </w:r>
    </w:p>
    <w:p w14:paraId="1613C7CD"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即：若该投资者（非养老金客户）选择投资</w:t>
      </w:r>
      <w:r w:rsidRPr="003073D4">
        <w:rPr>
          <w:color w:val="000000"/>
          <w:kern w:val="0"/>
          <w:sz w:val="24"/>
        </w:rPr>
        <w:t>100,000</w:t>
      </w:r>
      <w:r w:rsidRPr="003073D4">
        <w:rPr>
          <w:rFonts w:hint="eastAsia"/>
          <w:color w:val="000000"/>
          <w:kern w:val="0"/>
          <w:sz w:val="24"/>
        </w:rPr>
        <w:t>元认购</w:t>
      </w:r>
      <w:r w:rsidRPr="003073D4">
        <w:rPr>
          <w:color w:val="000000"/>
          <w:kern w:val="0"/>
          <w:sz w:val="24"/>
        </w:rPr>
        <w:t>A</w:t>
      </w:r>
      <w:r w:rsidRPr="003073D4">
        <w:rPr>
          <w:rFonts w:hint="eastAsia"/>
          <w:color w:val="000000"/>
          <w:kern w:val="0"/>
          <w:sz w:val="24"/>
        </w:rPr>
        <w:t>类基金份额，假定该笔认购金额产生利息</w:t>
      </w:r>
      <w:r w:rsidRPr="003073D4">
        <w:rPr>
          <w:color w:val="000000"/>
          <w:kern w:val="0"/>
          <w:sz w:val="24"/>
        </w:rPr>
        <w:t>50.00</w:t>
      </w:r>
      <w:r w:rsidRPr="003073D4">
        <w:rPr>
          <w:rFonts w:hint="eastAsia"/>
          <w:color w:val="000000"/>
          <w:kern w:val="0"/>
          <w:sz w:val="24"/>
        </w:rPr>
        <w:t>元，可得到</w:t>
      </w:r>
      <w:r>
        <w:rPr>
          <w:color w:val="000000"/>
          <w:kern w:val="0"/>
          <w:sz w:val="24"/>
        </w:rPr>
        <w:t>99,850.40</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0FE4C197"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例二：某养老金客户通过基金管理人的直销柜台认购本基金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w:t>
      </w:r>
      <w:r>
        <w:rPr>
          <w:color w:val="000000"/>
          <w:kern w:val="0"/>
          <w:sz w:val="24"/>
        </w:rPr>
        <w:t>,</w:t>
      </w:r>
      <w:r>
        <w:rPr>
          <w:rFonts w:hint="eastAsia"/>
          <w:color w:val="000000"/>
          <w:kern w:val="0"/>
          <w:sz w:val="24"/>
        </w:rPr>
        <w:t>0</w:t>
      </w:r>
      <w:r w:rsidRPr="003073D4">
        <w:rPr>
          <w:color w:val="000000"/>
          <w:kern w:val="0"/>
          <w:sz w:val="24"/>
        </w:rPr>
        <w:t>00,000</w:t>
      </w:r>
      <w:r w:rsidRPr="003073D4">
        <w:rPr>
          <w:rFonts w:hint="eastAsia"/>
          <w:color w:val="000000"/>
          <w:kern w:val="0"/>
          <w:sz w:val="24"/>
        </w:rPr>
        <w:t>元，且该认购申请被全额确认，所对应的认购费率为</w:t>
      </w:r>
      <w:r w:rsidRPr="003073D4">
        <w:rPr>
          <w:color w:val="000000"/>
          <w:kern w:val="0"/>
          <w:sz w:val="24"/>
        </w:rPr>
        <w:t>0.</w:t>
      </w:r>
      <w:r>
        <w:rPr>
          <w:color w:val="000000"/>
          <w:kern w:val="0"/>
          <w:sz w:val="24"/>
        </w:rPr>
        <w:t>08</w:t>
      </w:r>
      <w:r w:rsidRPr="003073D4">
        <w:rPr>
          <w:color w:val="000000"/>
          <w:kern w:val="0"/>
          <w:sz w:val="24"/>
        </w:rPr>
        <w:t>%</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55E38795" w14:textId="77777777" w:rsidR="00864358" w:rsidRPr="003073D4" w:rsidRDefault="00864358" w:rsidP="00864358">
      <w:pPr>
        <w:widowControl/>
        <w:adjustRightInd w:val="0"/>
        <w:snapToGrid w:val="0"/>
        <w:spacing w:line="360" w:lineRule="auto"/>
        <w:ind w:firstLineChars="200" w:firstLine="480"/>
        <w:rPr>
          <w:color w:val="000000"/>
          <w:kern w:val="0"/>
          <w:sz w:val="24"/>
        </w:rPr>
      </w:pPr>
      <w:proofErr w:type="gramStart"/>
      <w:r w:rsidRPr="003073D4">
        <w:rPr>
          <w:rFonts w:hint="eastAsia"/>
          <w:color w:val="000000"/>
          <w:kern w:val="0"/>
          <w:sz w:val="24"/>
        </w:rPr>
        <w:t>认购总</w:t>
      </w:r>
      <w:proofErr w:type="gramEnd"/>
      <w:r w:rsidRPr="003073D4">
        <w:rPr>
          <w:rFonts w:hint="eastAsia"/>
          <w:color w:val="000000"/>
          <w:kern w:val="0"/>
          <w:sz w:val="24"/>
        </w:rPr>
        <w:t>金额＝</w:t>
      </w:r>
      <w:r w:rsidRPr="003073D4">
        <w:rPr>
          <w:color w:val="000000"/>
          <w:kern w:val="0"/>
          <w:sz w:val="24"/>
        </w:rPr>
        <w:t>1</w:t>
      </w:r>
      <w:r>
        <w:rPr>
          <w:rFonts w:hint="eastAsia"/>
          <w:color w:val="000000"/>
          <w:kern w:val="0"/>
          <w:sz w:val="24"/>
        </w:rPr>
        <w:t>,</w:t>
      </w:r>
      <w:r>
        <w:rPr>
          <w:color w:val="000000"/>
          <w:kern w:val="0"/>
          <w:sz w:val="24"/>
        </w:rPr>
        <w:t>0</w:t>
      </w:r>
      <w:r w:rsidRPr="003073D4">
        <w:rPr>
          <w:color w:val="000000"/>
          <w:kern w:val="0"/>
          <w:sz w:val="24"/>
        </w:rPr>
        <w:t>00,000</w:t>
      </w:r>
      <w:r w:rsidRPr="003073D4">
        <w:rPr>
          <w:rFonts w:hint="eastAsia"/>
          <w:color w:val="000000"/>
          <w:kern w:val="0"/>
          <w:sz w:val="24"/>
        </w:rPr>
        <w:t>元</w:t>
      </w:r>
    </w:p>
    <w:p w14:paraId="14D55525"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w:t>
      </w:r>
      <w:r>
        <w:rPr>
          <w:color w:val="000000"/>
          <w:kern w:val="0"/>
          <w:sz w:val="24"/>
        </w:rPr>
        <w:t>08</w:t>
      </w:r>
      <w:r w:rsidRPr="003073D4">
        <w:rPr>
          <w:color w:val="000000"/>
          <w:kern w:val="0"/>
          <w:sz w:val="24"/>
        </w:rPr>
        <w:t>%</w:t>
      </w:r>
      <w:r w:rsidRPr="003073D4">
        <w:rPr>
          <w:rFonts w:hint="eastAsia"/>
          <w:color w:val="000000"/>
          <w:kern w:val="0"/>
          <w:sz w:val="24"/>
        </w:rPr>
        <w:t>）＝</w:t>
      </w:r>
      <w:r w:rsidRPr="00DC23CC">
        <w:rPr>
          <w:color w:val="000000"/>
          <w:kern w:val="0"/>
          <w:sz w:val="24"/>
        </w:rPr>
        <w:t>999</w:t>
      </w:r>
      <w:r>
        <w:rPr>
          <w:color w:val="000000"/>
          <w:kern w:val="0"/>
          <w:sz w:val="24"/>
        </w:rPr>
        <w:t>,</w:t>
      </w:r>
      <w:r w:rsidRPr="00DC23CC">
        <w:rPr>
          <w:color w:val="000000"/>
          <w:kern w:val="0"/>
          <w:sz w:val="24"/>
        </w:rPr>
        <w:t>20</w:t>
      </w:r>
      <w:r>
        <w:rPr>
          <w:color w:val="000000"/>
          <w:kern w:val="0"/>
          <w:sz w:val="24"/>
        </w:rPr>
        <w:t>0</w:t>
      </w:r>
      <w:r w:rsidRPr="00DC23CC">
        <w:rPr>
          <w:color w:val="000000"/>
          <w:kern w:val="0"/>
          <w:sz w:val="24"/>
        </w:rPr>
        <w:t>.6</w:t>
      </w:r>
      <w:r>
        <w:rPr>
          <w:color w:val="000000"/>
          <w:kern w:val="0"/>
          <w:sz w:val="24"/>
        </w:rPr>
        <w:t>4</w:t>
      </w:r>
      <w:r w:rsidRPr="003073D4">
        <w:rPr>
          <w:rFonts w:hint="eastAsia"/>
          <w:color w:val="000000"/>
          <w:kern w:val="0"/>
          <w:sz w:val="24"/>
        </w:rPr>
        <w:t>元</w:t>
      </w:r>
    </w:p>
    <w:p w14:paraId="57302323"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w:t>
      </w:r>
      <w:r w:rsidRPr="00DC23CC">
        <w:rPr>
          <w:color w:val="000000"/>
          <w:kern w:val="0"/>
          <w:sz w:val="24"/>
        </w:rPr>
        <w:t>99</w:t>
      </w:r>
      <w:r>
        <w:rPr>
          <w:color w:val="000000"/>
          <w:kern w:val="0"/>
          <w:sz w:val="24"/>
        </w:rPr>
        <w:t>9,</w:t>
      </w:r>
      <w:r w:rsidRPr="00DC23CC">
        <w:rPr>
          <w:color w:val="000000"/>
          <w:kern w:val="0"/>
          <w:sz w:val="24"/>
        </w:rPr>
        <w:t>20</w:t>
      </w:r>
      <w:r>
        <w:rPr>
          <w:color w:val="000000"/>
          <w:kern w:val="0"/>
          <w:sz w:val="24"/>
        </w:rPr>
        <w:t>0</w:t>
      </w:r>
      <w:r w:rsidRPr="00DC23CC">
        <w:rPr>
          <w:color w:val="000000"/>
          <w:kern w:val="0"/>
          <w:sz w:val="24"/>
        </w:rPr>
        <w:t>.6</w:t>
      </w:r>
      <w:r>
        <w:rPr>
          <w:color w:val="000000"/>
          <w:kern w:val="0"/>
          <w:sz w:val="24"/>
        </w:rPr>
        <w:t>4</w:t>
      </w:r>
      <w:r w:rsidRPr="003073D4">
        <w:rPr>
          <w:rFonts w:hint="eastAsia"/>
          <w:color w:val="000000"/>
          <w:kern w:val="0"/>
          <w:sz w:val="24"/>
        </w:rPr>
        <w:t>＝</w:t>
      </w:r>
      <w:r>
        <w:rPr>
          <w:color w:val="000000"/>
          <w:kern w:val="0"/>
          <w:sz w:val="24"/>
        </w:rPr>
        <w:t>799.36</w:t>
      </w:r>
      <w:r w:rsidRPr="003073D4">
        <w:rPr>
          <w:rFonts w:hint="eastAsia"/>
          <w:color w:val="000000"/>
          <w:kern w:val="0"/>
          <w:sz w:val="24"/>
        </w:rPr>
        <w:t>元</w:t>
      </w:r>
    </w:p>
    <w:p w14:paraId="6CC0E67B"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DC23CC">
        <w:rPr>
          <w:color w:val="000000"/>
          <w:kern w:val="0"/>
          <w:sz w:val="24"/>
        </w:rPr>
        <w:t>99</w:t>
      </w:r>
      <w:r>
        <w:rPr>
          <w:color w:val="000000"/>
          <w:kern w:val="0"/>
          <w:sz w:val="24"/>
        </w:rPr>
        <w:t>9,</w:t>
      </w:r>
      <w:r w:rsidRPr="00DC23CC">
        <w:rPr>
          <w:color w:val="000000"/>
          <w:kern w:val="0"/>
          <w:sz w:val="24"/>
        </w:rPr>
        <w:t>20</w:t>
      </w:r>
      <w:r>
        <w:rPr>
          <w:color w:val="000000"/>
          <w:kern w:val="0"/>
          <w:sz w:val="24"/>
        </w:rPr>
        <w:t>0</w:t>
      </w:r>
      <w:r w:rsidRPr="00DC23CC">
        <w:rPr>
          <w:color w:val="000000"/>
          <w:kern w:val="0"/>
          <w:sz w:val="24"/>
        </w:rPr>
        <w:t>.6</w:t>
      </w:r>
      <w:r>
        <w:rPr>
          <w:color w:val="000000"/>
          <w:kern w:val="0"/>
          <w:sz w:val="24"/>
        </w:rPr>
        <w:t>4</w:t>
      </w:r>
      <w:r w:rsidRPr="003073D4">
        <w:rPr>
          <w:color w:val="000000"/>
          <w:kern w:val="0"/>
          <w:sz w:val="24"/>
        </w:rPr>
        <w:t>/1.00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DC23CC">
        <w:rPr>
          <w:color w:val="000000"/>
          <w:kern w:val="0"/>
          <w:sz w:val="24"/>
        </w:rPr>
        <w:t>99</w:t>
      </w:r>
      <w:r>
        <w:rPr>
          <w:color w:val="000000"/>
          <w:kern w:val="0"/>
          <w:sz w:val="24"/>
        </w:rPr>
        <w:t>9,250</w:t>
      </w:r>
      <w:r w:rsidRPr="00DC23CC">
        <w:rPr>
          <w:color w:val="000000"/>
          <w:kern w:val="0"/>
          <w:sz w:val="24"/>
        </w:rPr>
        <w:t>.6</w:t>
      </w:r>
      <w:r>
        <w:rPr>
          <w:color w:val="000000"/>
          <w:kern w:val="0"/>
          <w:sz w:val="24"/>
        </w:rPr>
        <w:t>4</w:t>
      </w:r>
      <w:r w:rsidRPr="003073D4">
        <w:rPr>
          <w:rFonts w:hint="eastAsia"/>
          <w:color w:val="000000"/>
          <w:kern w:val="0"/>
          <w:sz w:val="24"/>
        </w:rPr>
        <w:t>份</w:t>
      </w:r>
    </w:p>
    <w:p w14:paraId="3F56E4AF"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即：若该养老金客户投资</w:t>
      </w:r>
      <w:r w:rsidRPr="003073D4">
        <w:rPr>
          <w:color w:val="000000"/>
          <w:kern w:val="0"/>
          <w:sz w:val="24"/>
        </w:rPr>
        <w:t>1</w:t>
      </w:r>
      <w:r>
        <w:rPr>
          <w:color w:val="000000"/>
          <w:kern w:val="0"/>
          <w:sz w:val="24"/>
        </w:rPr>
        <w:t>,0</w:t>
      </w:r>
      <w:r w:rsidRPr="003073D4">
        <w:rPr>
          <w:color w:val="000000"/>
          <w:kern w:val="0"/>
          <w:sz w:val="24"/>
        </w:rPr>
        <w:t>00,000</w:t>
      </w:r>
      <w:r w:rsidRPr="003073D4">
        <w:rPr>
          <w:rFonts w:hint="eastAsia"/>
          <w:color w:val="000000"/>
          <w:kern w:val="0"/>
          <w:sz w:val="24"/>
        </w:rPr>
        <w:t>元通过基金管理人的直销柜台认购</w:t>
      </w:r>
      <w:r w:rsidRPr="003073D4">
        <w:rPr>
          <w:color w:val="000000"/>
          <w:kern w:val="0"/>
          <w:sz w:val="24"/>
        </w:rPr>
        <w:t>A</w:t>
      </w:r>
      <w:r w:rsidRPr="003073D4">
        <w:rPr>
          <w:rFonts w:hint="eastAsia"/>
          <w:color w:val="000000"/>
          <w:kern w:val="0"/>
          <w:sz w:val="24"/>
        </w:rPr>
        <w:t>类基金份额，假定该笔认购金额产生的利息为</w:t>
      </w:r>
      <w:r w:rsidRPr="003073D4">
        <w:rPr>
          <w:color w:val="000000"/>
          <w:kern w:val="0"/>
          <w:sz w:val="24"/>
        </w:rPr>
        <w:t>50.00</w:t>
      </w:r>
      <w:r w:rsidRPr="003073D4">
        <w:rPr>
          <w:rFonts w:hint="eastAsia"/>
          <w:color w:val="000000"/>
          <w:kern w:val="0"/>
          <w:sz w:val="24"/>
        </w:rPr>
        <w:t>元，可得到</w:t>
      </w:r>
      <w:r w:rsidRPr="00DC23CC">
        <w:rPr>
          <w:color w:val="000000"/>
          <w:kern w:val="0"/>
          <w:sz w:val="24"/>
        </w:rPr>
        <w:t>99</w:t>
      </w:r>
      <w:r>
        <w:rPr>
          <w:color w:val="000000"/>
          <w:kern w:val="0"/>
          <w:sz w:val="24"/>
        </w:rPr>
        <w:t>9,250</w:t>
      </w:r>
      <w:r w:rsidRPr="00DC23CC">
        <w:rPr>
          <w:color w:val="000000"/>
          <w:kern w:val="0"/>
          <w:sz w:val="24"/>
        </w:rPr>
        <w:t>.6</w:t>
      </w:r>
      <w:r>
        <w:rPr>
          <w:color w:val="000000"/>
          <w:kern w:val="0"/>
          <w:sz w:val="24"/>
        </w:rPr>
        <w:t>4</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038FEBEA"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color w:val="000000"/>
          <w:kern w:val="0"/>
          <w:sz w:val="24"/>
        </w:rPr>
        <w:t>2</w:t>
      </w:r>
      <w:r w:rsidRPr="003073D4">
        <w:rPr>
          <w:rFonts w:hint="eastAsia"/>
          <w:color w:val="000000"/>
          <w:kern w:val="0"/>
          <w:sz w:val="24"/>
        </w:rPr>
        <w:t>）</w:t>
      </w:r>
      <w:r w:rsidRPr="003073D4">
        <w:rPr>
          <w:color w:val="000000"/>
          <w:kern w:val="0"/>
          <w:sz w:val="24"/>
        </w:rPr>
        <w:t>C</w:t>
      </w:r>
      <w:r w:rsidRPr="003073D4">
        <w:rPr>
          <w:rFonts w:hint="eastAsia"/>
          <w:color w:val="000000"/>
          <w:kern w:val="0"/>
          <w:sz w:val="24"/>
        </w:rPr>
        <w:t>类基金份额的认购</w:t>
      </w:r>
    </w:p>
    <w:p w14:paraId="435A176C"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如果投资者选择认购本基金的</w:t>
      </w:r>
      <w:r w:rsidRPr="003073D4">
        <w:rPr>
          <w:color w:val="000000"/>
          <w:kern w:val="0"/>
          <w:sz w:val="24"/>
        </w:rPr>
        <w:t>C</w:t>
      </w:r>
      <w:r w:rsidRPr="003073D4">
        <w:rPr>
          <w:rFonts w:hint="eastAsia"/>
          <w:color w:val="000000"/>
          <w:kern w:val="0"/>
          <w:sz w:val="24"/>
        </w:rPr>
        <w:t>类基金份额，则认购份额的计算方式如下：</w:t>
      </w:r>
    </w:p>
    <w:p w14:paraId="7241528A" w14:textId="77777777" w:rsidR="00864358" w:rsidRPr="003073D4" w:rsidRDefault="00864358" w:rsidP="00864358">
      <w:pPr>
        <w:widowControl/>
        <w:adjustRightInd w:val="0"/>
        <w:snapToGrid w:val="0"/>
        <w:spacing w:line="360" w:lineRule="auto"/>
        <w:ind w:firstLineChars="200" w:firstLine="480"/>
        <w:rPr>
          <w:color w:val="000000"/>
          <w:kern w:val="0"/>
          <w:sz w:val="24"/>
        </w:rPr>
      </w:pPr>
      <w:proofErr w:type="gramStart"/>
      <w:r w:rsidRPr="003073D4">
        <w:rPr>
          <w:rFonts w:hint="eastAsia"/>
          <w:color w:val="000000"/>
          <w:kern w:val="0"/>
          <w:sz w:val="24"/>
        </w:rPr>
        <w:t>认购总</w:t>
      </w:r>
      <w:proofErr w:type="gramEnd"/>
      <w:r w:rsidRPr="003073D4">
        <w:rPr>
          <w:rFonts w:hint="eastAsia"/>
          <w:color w:val="000000"/>
          <w:kern w:val="0"/>
          <w:sz w:val="24"/>
        </w:rPr>
        <w:t>金额</w:t>
      </w:r>
      <w:r w:rsidRPr="003073D4">
        <w:rPr>
          <w:color w:val="000000"/>
          <w:kern w:val="0"/>
          <w:sz w:val="24"/>
        </w:rPr>
        <w:t>=</w:t>
      </w:r>
      <w:proofErr w:type="gramStart"/>
      <w:r w:rsidRPr="003073D4">
        <w:rPr>
          <w:rFonts w:hint="eastAsia"/>
          <w:color w:val="000000"/>
          <w:kern w:val="0"/>
          <w:sz w:val="24"/>
        </w:rPr>
        <w:t>申请总</w:t>
      </w:r>
      <w:proofErr w:type="gramEnd"/>
      <w:r w:rsidRPr="003073D4">
        <w:rPr>
          <w:rFonts w:hint="eastAsia"/>
          <w:color w:val="000000"/>
          <w:kern w:val="0"/>
          <w:sz w:val="24"/>
        </w:rPr>
        <w:t>金额</w:t>
      </w:r>
    </w:p>
    <w:p w14:paraId="4F085CD6" w14:textId="77777777" w:rsidR="00864358" w:rsidRPr="003073D4" w:rsidRDefault="00864358" w:rsidP="00864358">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proofErr w:type="gramStart"/>
      <w:r w:rsidRPr="003073D4">
        <w:rPr>
          <w:rFonts w:hint="eastAsia"/>
          <w:color w:val="000000"/>
          <w:kern w:val="0"/>
          <w:sz w:val="24"/>
        </w:rPr>
        <w:t>认购总</w:t>
      </w:r>
      <w:proofErr w:type="gramEnd"/>
      <w:r w:rsidRPr="003073D4">
        <w:rPr>
          <w:rFonts w:hint="eastAsia"/>
          <w:color w:val="000000"/>
          <w:kern w:val="0"/>
          <w:sz w:val="24"/>
        </w:rPr>
        <w:t>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0EDE5C61" w14:textId="77777777" w:rsidR="00864358" w:rsidRPr="003073D4" w:rsidRDefault="00864358" w:rsidP="00864358">
      <w:pPr>
        <w:widowControl/>
        <w:adjustRightInd w:val="0"/>
        <w:snapToGrid w:val="0"/>
        <w:spacing w:line="360" w:lineRule="auto"/>
        <w:ind w:firstLineChars="200" w:firstLine="480"/>
        <w:rPr>
          <w:sz w:val="24"/>
        </w:rPr>
      </w:pPr>
      <w:r w:rsidRPr="003073D4">
        <w:rPr>
          <w:rFonts w:hint="eastAsia"/>
          <w:sz w:val="24"/>
        </w:rPr>
        <w:lastRenderedPageBreak/>
        <w:t>认购份额计算结果保留到小数点后</w:t>
      </w:r>
      <w:r w:rsidRPr="003073D4">
        <w:rPr>
          <w:sz w:val="24"/>
        </w:rPr>
        <w:t>2</w:t>
      </w:r>
      <w:r w:rsidRPr="003073D4">
        <w:rPr>
          <w:rFonts w:hint="eastAsia"/>
          <w:sz w:val="24"/>
        </w:rPr>
        <w:t>位，小数点后</w:t>
      </w:r>
      <w:r w:rsidRPr="003073D4">
        <w:rPr>
          <w:sz w:val="24"/>
        </w:rPr>
        <w:t>2</w:t>
      </w:r>
      <w:r w:rsidRPr="003073D4">
        <w:rPr>
          <w:rFonts w:hint="eastAsia"/>
          <w:sz w:val="24"/>
        </w:rPr>
        <w:t>位以后的部分四舍五入，由此误差产生的损失由基金财产承担，产生的收益</w:t>
      </w:r>
      <w:proofErr w:type="gramStart"/>
      <w:r w:rsidRPr="003073D4">
        <w:rPr>
          <w:rFonts w:hint="eastAsia"/>
          <w:sz w:val="24"/>
        </w:rPr>
        <w:t>归基金</w:t>
      </w:r>
      <w:proofErr w:type="gramEnd"/>
      <w:r w:rsidRPr="003073D4">
        <w:rPr>
          <w:rFonts w:hint="eastAsia"/>
          <w:sz w:val="24"/>
        </w:rPr>
        <w:t>财产所有。</w:t>
      </w:r>
    </w:p>
    <w:p w14:paraId="038AB887" w14:textId="77777777" w:rsidR="00864358" w:rsidRPr="003073D4" w:rsidRDefault="00864358" w:rsidP="00864358">
      <w:pPr>
        <w:widowControl/>
        <w:adjustRightInd w:val="0"/>
        <w:snapToGrid w:val="0"/>
        <w:spacing w:line="360" w:lineRule="auto"/>
        <w:ind w:firstLineChars="200" w:firstLine="480"/>
        <w:rPr>
          <w:sz w:val="24"/>
        </w:rPr>
      </w:pPr>
      <w:r w:rsidRPr="003073D4">
        <w:rPr>
          <w:rFonts w:hint="eastAsia"/>
          <w:sz w:val="24"/>
        </w:rPr>
        <w:t>例三：某投资者认购本基金</w:t>
      </w:r>
      <w:r w:rsidRPr="003073D4">
        <w:rPr>
          <w:sz w:val="24"/>
        </w:rPr>
        <w:t>C</w:t>
      </w:r>
      <w:r w:rsidRPr="003073D4">
        <w:rPr>
          <w:rFonts w:hint="eastAsia"/>
          <w:sz w:val="24"/>
        </w:rPr>
        <w:t>类基金份额</w:t>
      </w:r>
      <w:r w:rsidRPr="003073D4">
        <w:rPr>
          <w:sz w:val="24"/>
        </w:rPr>
        <w:t>100,000</w:t>
      </w:r>
      <w:r w:rsidRPr="003073D4">
        <w:rPr>
          <w:rFonts w:hint="eastAsia"/>
          <w:sz w:val="24"/>
        </w:rPr>
        <w:t>元，且该认购申请被全额确认。假定该笔认购金额产生利息</w:t>
      </w:r>
      <w:r w:rsidRPr="003073D4">
        <w:rPr>
          <w:sz w:val="24"/>
        </w:rPr>
        <w:t>50.00</w:t>
      </w:r>
      <w:r w:rsidRPr="003073D4">
        <w:rPr>
          <w:rFonts w:hint="eastAsia"/>
          <w:sz w:val="24"/>
        </w:rPr>
        <w:t>元。则认购份额为：</w:t>
      </w:r>
    </w:p>
    <w:p w14:paraId="7BD5CADC" w14:textId="77777777" w:rsidR="00864358" w:rsidRPr="003073D4" w:rsidRDefault="00864358" w:rsidP="00864358">
      <w:pPr>
        <w:widowControl/>
        <w:adjustRightInd w:val="0"/>
        <w:snapToGrid w:val="0"/>
        <w:spacing w:line="360" w:lineRule="auto"/>
        <w:ind w:firstLineChars="200" w:firstLine="480"/>
        <w:rPr>
          <w:sz w:val="24"/>
        </w:rPr>
      </w:pPr>
      <w:r w:rsidRPr="003073D4">
        <w:rPr>
          <w:rFonts w:hint="eastAsia"/>
          <w:sz w:val="24"/>
        </w:rPr>
        <w:t>认购份额＝</w:t>
      </w:r>
      <w:r w:rsidRPr="003073D4">
        <w:rPr>
          <w:sz w:val="24"/>
        </w:rPr>
        <w:t>100,000/1.00</w:t>
      </w:r>
      <w:r w:rsidRPr="003073D4">
        <w:rPr>
          <w:rFonts w:hint="eastAsia"/>
          <w:sz w:val="24"/>
        </w:rPr>
        <w:t>＋</w:t>
      </w:r>
      <w:r w:rsidRPr="003073D4">
        <w:rPr>
          <w:sz w:val="24"/>
        </w:rPr>
        <w:t>50.00/1.00</w:t>
      </w:r>
      <w:r w:rsidRPr="003073D4">
        <w:rPr>
          <w:rFonts w:hint="eastAsia"/>
          <w:sz w:val="24"/>
        </w:rPr>
        <w:t>＝</w:t>
      </w:r>
      <w:r w:rsidRPr="003073D4">
        <w:rPr>
          <w:sz w:val="24"/>
        </w:rPr>
        <w:t>100,050.00</w:t>
      </w:r>
      <w:r w:rsidRPr="003073D4">
        <w:rPr>
          <w:rFonts w:hint="eastAsia"/>
          <w:sz w:val="24"/>
        </w:rPr>
        <w:t>份</w:t>
      </w:r>
    </w:p>
    <w:p w14:paraId="62821BDF" w14:textId="53D4667D" w:rsidR="00DA253B" w:rsidRPr="003073D4" w:rsidRDefault="00864358" w:rsidP="00864358">
      <w:pPr>
        <w:widowControl/>
        <w:adjustRightInd w:val="0"/>
        <w:snapToGrid w:val="0"/>
        <w:spacing w:line="360" w:lineRule="auto"/>
        <w:ind w:firstLineChars="200" w:firstLine="480"/>
        <w:rPr>
          <w:sz w:val="24"/>
        </w:rPr>
      </w:pPr>
      <w:r w:rsidRPr="003073D4">
        <w:rPr>
          <w:rFonts w:hint="eastAsia"/>
          <w:sz w:val="24"/>
        </w:rPr>
        <w:t>即：若该投资者选择投资</w:t>
      </w:r>
      <w:r w:rsidRPr="003073D4">
        <w:rPr>
          <w:sz w:val="24"/>
        </w:rPr>
        <w:t>100,000</w:t>
      </w:r>
      <w:r w:rsidRPr="003073D4">
        <w:rPr>
          <w:rFonts w:hint="eastAsia"/>
          <w:sz w:val="24"/>
        </w:rPr>
        <w:t>元认购</w:t>
      </w:r>
      <w:r w:rsidRPr="003073D4">
        <w:rPr>
          <w:sz w:val="24"/>
        </w:rPr>
        <w:t>C</w:t>
      </w:r>
      <w:r w:rsidRPr="003073D4">
        <w:rPr>
          <w:rFonts w:hint="eastAsia"/>
          <w:sz w:val="24"/>
        </w:rPr>
        <w:t>类基金份额，假定该笔认购金额产生利息</w:t>
      </w:r>
      <w:r w:rsidRPr="003073D4">
        <w:rPr>
          <w:sz w:val="24"/>
        </w:rPr>
        <w:t>50.00</w:t>
      </w:r>
      <w:r w:rsidRPr="003073D4">
        <w:rPr>
          <w:rFonts w:hint="eastAsia"/>
          <w:sz w:val="24"/>
        </w:rPr>
        <w:t>元，可得到</w:t>
      </w:r>
      <w:r w:rsidRPr="003073D4">
        <w:rPr>
          <w:sz w:val="24"/>
        </w:rPr>
        <w:t>100,050.00</w:t>
      </w:r>
      <w:r w:rsidRPr="003073D4">
        <w:rPr>
          <w:rFonts w:hint="eastAsia"/>
          <w:sz w:val="24"/>
        </w:rPr>
        <w:t>份</w:t>
      </w:r>
      <w:r w:rsidRPr="003073D4">
        <w:rPr>
          <w:sz w:val="24"/>
        </w:rPr>
        <w:t>C</w:t>
      </w:r>
      <w:r w:rsidRPr="003073D4">
        <w:rPr>
          <w:rFonts w:hint="eastAsia"/>
          <w:sz w:val="24"/>
        </w:rPr>
        <w:t>类基金份额。</w:t>
      </w:r>
    </w:p>
    <w:p w14:paraId="4ECDE884" w14:textId="7D0D5C66"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154054B7"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w:t>
      </w:r>
      <w:r w:rsidR="00DA253B">
        <w:rPr>
          <w:kern w:val="0"/>
          <w:sz w:val="24"/>
        </w:rPr>
        <w:t>0</w:t>
      </w:r>
      <w:r w:rsidR="00DA253B">
        <w:rPr>
          <w:rFonts w:hint="eastAsia"/>
          <w:kern w:val="0"/>
          <w:sz w:val="24"/>
        </w:rPr>
        <w:t>万</w:t>
      </w:r>
      <w:r w:rsidR="002448B3" w:rsidRPr="00781410">
        <w:rPr>
          <w:rFonts w:hint="eastAsia"/>
          <w:kern w:val="0"/>
          <w:sz w:val="24"/>
        </w:rPr>
        <w:t>元（含</w:t>
      </w:r>
      <w:r w:rsidR="002448B3" w:rsidRPr="00781410">
        <w:rPr>
          <w:kern w:val="0"/>
          <w:sz w:val="24"/>
        </w:rPr>
        <w:t>100</w:t>
      </w:r>
      <w:r w:rsidR="00DA253B">
        <w:rPr>
          <w:rFonts w:hint="eastAsia"/>
          <w:kern w:val="0"/>
          <w:sz w:val="24"/>
        </w:rPr>
        <w:t>万</w:t>
      </w:r>
      <w:r w:rsidR="002448B3" w:rsidRPr="00781410">
        <w:rPr>
          <w:rFonts w:hint="eastAsia"/>
          <w:kern w:val="0"/>
          <w:sz w:val="24"/>
        </w:rPr>
        <w:t>元），追加认购的最低金额为单笔</w:t>
      </w:r>
      <w:r w:rsidR="002448B3" w:rsidRPr="00781410">
        <w:rPr>
          <w:kern w:val="0"/>
          <w:sz w:val="24"/>
        </w:rPr>
        <w:t>1</w:t>
      </w:r>
      <w:r w:rsidR="00DA253B">
        <w:rPr>
          <w:kern w:val="0"/>
          <w:sz w:val="24"/>
        </w:rPr>
        <w:t>0</w:t>
      </w:r>
      <w:r w:rsidR="00DA253B">
        <w:rPr>
          <w:rFonts w:hint="eastAsia"/>
          <w:kern w:val="0"/>
          <w:sz w:val="24"/>
        </w:rPr>
        <w:t>万</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4653ECB3" w14:textId="538B2CCB" w:rsidR="000D04BA" w:rsidRDefault="00736785" w:rsidP="006F3AA4">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05CBDCDD"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0CB5F0B3" w14:textId="2F139255" w:rsidR="00D1636D" w:rsidRPr="00D1636D" w:rsidRDefault="006F3AA4" w:rsidP="002448B3">
      <w:pPr>
        <w:adjustRightInd w:val="0"/>
        <w:snapToGrid w:val="0"/>
        <w:spacing w:line="360" w:lineRule="auto"/>
        <w:ind w:firstLineChars="200" w:firstLine="480"/>
        <w:rPr>
          <w:rFonts w:hAnsi="宋体"/>
          <w:kern w:val="0"/>
          <w:sz w:val="24"/>
        </w:rPr>
      </w:pPr>
      <w:r>
        <w:rPr>
          <w:kern w:val="0"/>
          <w:sz w:val="24"/>
        </w:rPr>
        <w:t>5</w:t>
      </w:r>
      <w:r w:rsidR="002C059E">
        <w:rPr>
          <w:rFonts w:hAnsi="宋体"/>
          <w:kern w:val="0"/>
          <w:sz w:val="24"/>
        </w:rPr>
        <w:t>、本基金销售渠道为基金管理人</w:t>
      </w:r>
      <w:r w:rsidR="002C059E">
        <w:rPr>
          <w:rFonts w:hAnsi="宋体" w:hint="eastAsia"/>
          <w:kern w:val="0"/>
          <w:sz w:val="24"/>
        </w:rPr>
        <w:t>直销</w:t>
      </w:r>
      <w:r w:rsidR="002C059E">
        <w:rPr>
          <w:rFonts w:hAnsi="宋体"/>
          <w:kern w:val="0"/>
          <w:sz w:val="24"/>
        </w:rPr>
        <w:t>柜台及其网上</w:t>
      </w:r>
      <w:r w:rsidR="002C059E">
        <w:rPr>
          <w:rFonts w:hAnsi="宋体" w:hint="eastAsia"/>
          <w:kern w:val="0"/>
          <w:sz w:val="24"/>
        </w:rPr>
        <w:t>直销</w:t>
      </w:r>
      <w:r w:rsidR="002C059E">
        <w:rPr>
          <w:rFonts w:hAnsi="宋体"/>
          <w:kern w:val="0"/>
          <w:sz w:val="24"/>
        </w:rPr>
        <w:t>交易平台和</w:t>
      </w:r>
      <w:r w:rsidR="002C059E">
        <w:rPr>
          <w:rFonts w:hAnsi="宋体" w:hint="eastAsia"/>
          <w:kern w:val="0"/>
          <w:sz w:val="24"/>
        </w:rPr>
        <w:t>除基金管理人之外的其他</w:t>
      </w:r>
      <w:r w:rsidR="002C059E">
        <w:rPr>
          <w:rFonts w:hAnsi="宋体"/>
          <w:kern w:val="0"/>
          <w:sz w:val="24"/>
        </w:rPr>
        <w:t>销售机构。</w:t>
      </w:r>
      <w:r w:rsidR="006759E7">
        <w:rPr>
          <w:rFonts w:hAnsi="宋体" w:hint="eastAsia"/>
          <w:sz w:val="24"/>
        </w:rPr>
        <w:t>机构投资者</w:t>
      </w:r>
      <w:r w:rsidR="00F96488" w:rsidRPr="00F96488">
        <w:rPr>
          <w:rFonts w:hAnsi="宋体" w:hint="eastAsia"/>
          <w:sz w:val="24"/>
        </w:rPr>
        <w:t>（</w:t>
      </w:r>
      <w:proofErr w:type="gramStart"/>
      <w:r w:rsidR="00F96488" w:rsidRPr="00F96488">
        <w:rPr>
          <w:rFonts w:hAnsi="宋体" w:hint="eastAsia"/>
          <w:sz w:val="24"/>
        </w:rPr>
        <w:t>含</w:t>
      </w:r>
      <w:r w:rsidR="003F1F96">
        <w:rPr>
          <w:rFonts w:hAnsi="宋体" w:hint="eastAsia"/>
          <w:sz w:val="24"/>
        </w:rPr>
        <w:t>公募资产</w:t>
      </w:r>
      <w:proofErr w:type="gramEnd"/>
      <w:r w:rsidR="003F1F96">
        <w:rPr>
          <w:rFonts w:hAnsi="宋体" w:hint="eastAsia"/>
          <w:sz w:val="24"/>
        </w:rPr>
        <w:t>管理产品</w:t>
      </w:r>
      <w:r w:rsidR="00F96488" w:rsidRPr="00F96488">
        <w:rPr>
          <w:rFonts w:hAnsi="宋体" w:hint="eastAsia"/>
          <w:sz w:val="24"/>
        </w:rPr>
        <w:t>）</w:t>
      </w:r>
      <w:r w:rsidR="006759E7">
        <w:rPr>
          <w:rFonts w:hAnsi="宋体" w:hint="eastAsia"/>
          <w:sz w:val="24"/>
        </w:rPr>
        <w:t>仅可通过基金管理人直销柜台认购本基金。</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3DF10F52"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w:t>
      </w:r>
      <w:r w:rsidR="00870928">
        <w:rPr>
          <w:rFonts w:hint="eastAsia"/>
          <w:b/>
          <w:sz w:val="24"/>
        </w:rPr>
        <w:t>柜台</w:t>
      </w:r>
    </w:p>
    <w:p w14:paraId="5BA90E86" w14:textId="15B771D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w:t>
      </w:r>
      <w:r w:rsidR="00170B6D">
        <w:rPr>
          <w:rFonts w:hint="eastAsia"/>
          <w:sz w:val="24"/>
        </w:rPr>
        <w:t>万</w:t>
      </w:r>
      <w:r w:rsidRPr="00781410">
        <w:rPr>
          <w:rFonts w:hint="eastAsia"/>
          <w:sz w:val="24"/>
        </w:rPr>
        <w:t>元（含</w:t>
      </w:r>
      <w:r w:rsidRPr="00781410">
        <w:rPr>
          <w:sz w:val="24"/>
        </w:rPr>
        <w:t>10</w:t>
      </w:r>
      <w:r w:rsidR="000800C6">
        <w:rPr>
          <w:sz w:val="24"/>
        </w:rPr>
        <w:t>0</w:t>
      </w:r>
      <w:r w:rsidR="00170B6D">
        <w:rPr>
          <w:rFonts w:hint="eastAsia"/>
          <w:sz w:val="24"/>
        </w:rPr>
        <w:t>万</w:t>
      </w:r>
      <w:r w:rsidRPr="00781410">
        <w:rPr>
          <w:rFonts w:hint="eastAsia"/>
          <w:sz w:val="24"/>
        </w:rPr>
        <w:t>元）以上，可以选择到</w:t>
      </w:r>
      <w:r w:rsidRPr="00781410">
        <w:rPr>
          <w:rFonts w:hint="eastAsia"/>
          <w:sz w:val="24"/>
        </w:rPr>
        <w:lastRenderedPageBreak/>
        <w:t>本公司直销</w:t>
      </w:r>
      <w:r w:rsidR="00870928">
        <w:rPr>
          <w:rFonts w:hint="eastAsia"/>
          <w:sz w:val="24"/>
        </w:rPr>
        <w:t>柜台</w:t>
      </w:r>
      <w:r w:rsidRPr="00781410">
        <w:rPr>
          <w:rFonts w:hint="eastAsia"/>
          <w:sz w:val="24"/>
        </w:rPr>
        <w:t>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3996FA9B"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36055">
        <w:rPr>
          <w:rFonts w:hint="eastAsia"/>
          <w:sz w:val="24"/>
        </w:rPr>
        <w:t>交银稳安</w:t>
      </w:r>
      <w:r w:rsidR="00F36055">
        <w:rPr>
          <w:rFonts w:hint="eastAsia"/>
          <w:sz w:val="24"/>
        </w:rPr>
        <w:t>3</w:t>
      </w:r>
      <w:r w:rsidR="00F36055">
        <w:rPr>
          <w:sz w:val="24"/>
        </w:rPr>
        <w:t>0</w:t>
      </w:r>
      <w:r w:rsidR="00F36055">
        <w:rPr>
          <w:rFonts w:hint="eastAsia"/>
          <w:sz w:val="24"/>
        </w:rPr>
        <w:t>天滚动持有债券</w:t>
      </w:r>
      <w:r w:rsidRPr="00781410">
        <w:rPr>
          <w:sz w:val="24"/>
        </w:rPr>
        <w:t>”</w:t>
      </w:r>
      <w:r w:rsidRPr="00781410">
        <w:rPr>
          <w:rFonts w:hint="eastAsia"/>
          <w:sz w:val="24"/>
        </w:rPr>
        <w:t>；</w:t>
      </w:r>
    </w:p>
    <w:p w14:paraId="1BC51B65" w14:textId="600C2875"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四、机构投资者的开户与认购程序</w:t>
      </w:r>
    </w:p>
    <w:p w14:paraId="59AFBBD5" w14:textId="4D78EBD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w:t>
      </w:r>
      <w:r w:rsidR="00870928">
        <w:rPr>
          <w:rFonts w:hint="eastAsia"/>
          <w:b/>
          <w:sz w:val="24"/>
        </w:rPr>
        <w:t>柜台</w:t>
      </w:r>
    </w:p>
    <w:p w14:paraId="45C5B558" w14:textId="047BE5EA"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w:t>
      </w:r>
      <w:r w:rsidR="00170B6D">
        <w:rPr>
          <w:rFonts w:hint="eastAsia"/>
          <w:sz w:val="24"/>
        </w:rPr>
        <w:t>万</w:t>
      </w:r>
      <w:r w:rsidRPr="00781410">
        <w:rPr>
          <w:rFonts w:hint="eastAsia"/>
          <w:sz w:val="24"/>
        </w:rPr>
        <w:t>元（含</w:t>
      </w:r>
      <w:r w:rsidRPr="00781410">
        <w:rPr>
          <w:sz w:val="24"/>
        </w:rPr>
        <w:t>10</w:t>
      </w:r>
      <w:r w:rsidR="000800C6">
        <w:rPr>
          <w:sz w:val="24"/>
        </w:rPr>
        <w:t>0</w:t>
      </w:r>
      <w:r w:rsidR="00170B6D">
        <w:rPr>
          <w:rFonts w:hint="eastAsia"/>
          <w:sz w:val="24"/>
        </w:rPr>
        <w:t>万</w:t>
      </w:r>
      <w:r w:rsidRPr="00781410">
        <w:rPr>
          <w:rFonts w:hint="eastAsia"/>
          <w:sz w:val="24"/>
        </w:rPr>
        <w:t>元）以上，可以选择到本公司直销</w:t>
      </w:r>
      <w:r w:rsidR="00870928">
        <w:rPr>
          <w:rFonts w:hint="eastAsia"/>
          <w:sz w:val="24"/>
        </w:rPr>
        <w:t>柜台</w:t>
      </w:r>
      <w:r w:rsidRPr="00781410">
        <w:rPr>
          <w:rFonts w:hint="eastAsia"/>
          <w:sz w:val="24"/>
        </w:rPr>
        <w:t>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1BEFC9C9"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w:t>
      </w:r>
      <w:r w:rsidR="00870928">
        <w:rPr>
          <w:rFonts w:hint="eastAsia"/>
          <w:sz w:val="24"/>
        </w:rPr>
        <w:t>柜台</w:t>
      </w:r>
      <w:r w:rsidRPr="001F6178">
        <w:rPr>
          <w:rFonts w:hint="eastAsia"/>
          <w:sz w:val="24"/>
        </w:rPr>
        <w:t>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202FF3FD"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170B6D">
        <w:rPr>
          <w:rFonts w:hint="eastAsia"/>
          <w:sz w:val="24"/>
        </w:rPr>
        <w:t>交银稳安</w:t>
      </w:r>
      <w:r w:rsidR="00170B6D">
        <w:rPr>
          <w:rFonts w:hint="eastAsia"/>
          <w:sz w:val="24"/>
        </w:rPr>
        <w:t>3</w:t>
      </w:r>
      <w:r w:rsidR="00170B6D">
        <w:rPr>
          <w:sz w:val="24"/>
        </w:rPr>
        <w:t>0</w:t>
      </w:r>
      <w:r w:rsidR="00170B6D">
        <w:rPr>
          <w:rFonts w:hint="eastAsia"/>
          <w:sz w:val="24"/>
        </w:rPr>
        <w:t>天滚动持有债券</w:t>
      </w:r>
      <w:r w:rsidRPr="00781410">
        <w:rPr>
          <w:sz w:val="24"/>
        </w:rPr>
        <w:t>”</w:t>
      </w:r>
      <w:r w:rsidRPr="00781410">
        <w:rPr>
          <w:rFonts w:hint="eastAsia"/>
          <w:sz w:val="24"/>
        </w:rPr>
        <w:t>；</w:t>
      </w:r>
    </w:p>
    <w:p w14:paraId="4EB29AE4" w14:textId="41E5DBEC"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w:t>
      </w:r>
      <w:r w:rsidRPr="00781410">
        <w:rPr>
          <w:rFonts w:hint="eastAsia"/>
          <w:kern w:val="0"/>
          <w:sz w:val="24"/>
        </w:rPr>
        <w:lastRenderedPageBreak/>
        <w:t>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1F324735"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w:t>
      </w:r>
    </w:p>
    <w:p w14:paraId="66E28754"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1B6EA1DF"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7E44A141"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29EB3220"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Pr="003569DE">
        <w:rPr>
          <w:rFonts w:ascii="宋体" w:hAnsi="宋体" w:hint="eastAsia"/>
          <w:sz w:val="24"/>
        </w:rPr>
        <w:t>人民币</w:t>
      </w:r>
      <w:r>
        <w:rPr>
          <w:rFonts w:ascii="宋体" w:hAnsi="宋体"/>
          <w:sz w:val="24"/>
        </w:rPr>
        <w:t>252.20亿元</w:t>
      </w:r>
    </w:p>
    <w:p w14:paraId="3EEEC4AD"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8FBEC86"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w:t>
      </w:r>
      <w:r w:rsidRPr="00DB117C">
        <w:rPr>
          <w:rFonts w:ascii="宋体" w:hAnsi="宋体" w:hint="eastAsia"/>
          <w:sz w:val="24"/>
        </w:rPr>
        <w:t>王良</w:t>
      </w:r>
    </w:p>
    <w:p w14:paraId="23ADBC0E"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5B1423BA"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2EAB6AB7" w14:textId="77777777" w:rsidR="00F36055" w:rsidRDefault="00F36055" w:rsidP="00F360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2A638AE8" w14:textId="4ACF6D7E" w:rsidR="00717CA2" w:rsidRDefault="00F36055" w:rsidP="003744DA">
      <w:pPr>
        <w:widowControl/>
        <w:adjustRightInd w:val="0"/>
        <w:snapToGrid w:val="0"/>
        <w:spacing w:line="360" w:lineRule="auto"/>
        <w:ind w:firstLineChars="200" w:firstLine="480"/>
        <w:rPr>
          <w:rFonts w:ascii="宋体" w:hAnsi="宋体"/>
          <w:color w:val="000000"/>
          <w:sz w:val="24"/>
        </w:rPr>
      </w:pPr>
      <w:r>
        <w:rPr>
          <w:rFonts w:ascii="宋体" w:hAnsi="宋体"/>
          <w:sz w:val="24"/>
        </w:rPr>
        <w:t>资产托管部信息披露负责人：张燕</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4C75A89" w14:textId="1CFAEEE1" w:rsidR="00F36055" w:rsidRPr="00897386" w:rsidRDefault="00C1074D" w:rsidP="00F36055">
      <w:pPr>
        <w:widowControl/>
        <w:adjustRightInd w:val="0"/>
        <w:snapToGrid w:val="0"/>
        <w:spacing w:line="360" w:lineRule="auto"/>
        <w:ind w:firstLineChars="200" w:firstLine="480"/>
        <w:rPr>
          <w:kern w:val="0"/>
          <w:sz w:val="24"/>
        </w:rPr>
      </w:pPr>
      <w:r>
        <w:rPr>
          <w:rFonts w:hint="eastAsia"/>
          <w:kern w:val="0"/>
          <w:sz w:val="24"/>
        </w:rPr>
        <w:t>名称：</w:t>
      </w:r>
      <w:r w:rsidR="00F36055" w:rsidRPr="00897386">
        <w:rPr>
          <w:rFonts w:hint="eastAsia"/>
          <w:kern w:val="0"/>
          <w:sz w:val="24"/>
        </w:rPr>
        <w:t>招商银行股份有限公司</w:t>
      </w:r>
    </w:p>
    <w:p w14:paraId="3EE90539"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住所：深圳市福田区深南大道</w:t>
      </w:r>
      <w:r w:rsidRPr="00897386">
        <w:rPr>
          <w:rFonts w:hint="eastAsia"/>
          <w:kern w:val="0"/>
          <w:sz w:val="24"/>
        </w:rPr>
        <w:t>7088</w:t>
      </w:r>
      <w:r w:rsidRPr="00897386">
        <w:rPr>
          <w:rFonts w:hint="eastAsia"/>
          <w:kern w:val="0"/>
          <w:sz w:val="24"/>
        </w:rPr>
        <w:t>号</w:t>
      </w:r>
    </w:p>
    <w:p w14:paraId="0C7A322E"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办公地址：深圳市福田区深南大道</w:t>
      </w:r>
      <w:r w:rsidRPr="00897386">
        <w:rPr>
          <w:rFonts w:hint="eastAsia"/>
          <w:kern w:val="0"/>
          <w:sz w:val="24"/>
        </w:rPr>
        <w:t>7088</w:t>
      </w:r>
      <w:r w:rsidRPr="00897386">
        <w:rPr>
          <w:rFonts w:hint="eastAsia"/>
          <w:kern w:val="0"/>
          <w:sz w:val="24"/>
        </w:rPr>
        <w:t>号</w:t>
      </w:r>
    </w:p>
    <w:p w14:paraId="46E3B35A"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法定代表人：</w:t>
      </w:r>
      <w:r w:rsidRPr="00240B58">
        <w:rPr>
          <w:rFonts w:ascii="宋体" w:hAnsi="宋体" w:hint="eastAsia"/>
          <w:sz w:val="24"/>
        </w:rPr>
        <w:t>缪建民</w:t>
      </w:r>
    </w:p>
    <w:p w14:paraId="286456B8"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电话：（</w:t>
      </w:r>
      <w:r w:rsidRPr="00897386">
        <w:rPr>
          <w:rFonts w:hint="eastAsia"/>
          <w:kern w:val="0"/>
          <w:sz w:val="24"/>
        </w:rPr>
        <w:t>0755</w:t>
      </w:r>
      <w:r w:rsidRPr="00897386">
        <w:rPr>
          <w:rFonts w:hint="eastAsia"/>
          <w:kern w:val="0"/>
          <w:sz w:val="24"/>
        </w:rPr>
        <w:t>）</w:t>
      </w:r>
      <w:r w:rsidRPr="00897386">
        <w:rPr>
          <w:rFonts w:hint="eastAsia"/>
          <w:kern w:val="0"/>
          <w:sz w:val="24"/>
        </w:rPr>
        <w:t>83198888</w:t>
      </w:r>
    </w:p>
    <w:p w14:paraId="2C5F8E36"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传真：（</w:t>
      </w:r>
      <w:r w:rsidRPr="00897386">
        <w:rPr>
          <w:rFonts w:hint="eastAsia"/>
          <w:kern w:val="0"/>
          <w:sz w:val="24"/>
        </w:rPr>
        <w:t>0755</w:t>
      </w:r>
      <w:r w:rsidRPr="00897386">
        <w:rPr>
          <w:rFonts w:hint="eastAsia"/>
          <w:kern w:val="0"/>
          <w:sz w:val="24"/>
        </w:rPr>
        <w:t>）</w:t>
      </w:r>
      <w:r w:rsidRPr="00897386">
        <w:rPr>
          <w:rFonts w:hint="eastAsia"/>
          <w:kern w:val="0"/>
          <w:sz w:val="24"/>
        </w:rPr>
        <w:t>83195109</w:t>
      </w:r>
    </w:p>
    <w:p w14:paraId="68DF7E63"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联系人：</w:t>
      </w:r>
      <w:r w:rsidRPr="00240B58">
        <w:rPr>
          <w:rFonts w:ascii="宋体" w:hAnsi="宋体" w:hint="eastAsia"/>
          <w:sz w:val="24"/>
        </w:rPr>
        <w:t>季平伟</w:t>
      </w:r>
    </w:p>
    <w:p w14:paraId="610094D3" w14:textId="77777777" w:rsidR="00F36055" w:rsidRPr="00897386"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客户服务电话：</w:t>
      </w:r>
      <w:r w:rsidRPr="00897386">
        <w:rPr>
          <w:rFonts w:hint="eastAsia"/>
          <w:kern w:val="0"/>
          <w:sz w:val="24"/>
        </w:rPr>
        <w:t>95555</w:t>
      </w:r>
    </w:p>
    <w:p w14:paraId="6E5A3BF7" w14:textId="77777777" w:rsidR="00F36055" w:rsidRPr="004C1488" w:rsidRDefault="00F36055" w:rsidP="00F36055">
      <w:pPr>
        <w:widowControl/>
        <w:adjustRightInd w:val="0"/>
        <w:snapToGrid w:val="0"/>
        <w:spacing w:line="360" w:lineRule="auto"/>
        <w:ind w:firstLineChars="200" w:firstLine="480"/>
        <w:rPr>
          <w:kern w:val="0"/>
          <w:sz w:val="24"/>
        </w:rPr>
      </w:pPr>
      <w:r w:rsidRPr="00897386">
        <w:rPr>
          <w:rFonts w:hint="eastAsia"/>
          <w:kern w:val="0"/>
          <w:sz w:val="24"/>
        </w:rPr>
        <w:t>网址：</w:t>
      </w:r>
      <w:r w:rsidRPr="00897386">
        <w:rPr>
          <w:rFonts w:hint="eastAsia"/>
          <w:kern w:val="0"/>
          <w:sz w:val="24"/>
        </w:rPr>
        <w:t>www.cmbchina.com</w:t>
      </w:r>
    </w:p>
    <w:p w14:paraId="1FA06563" w14:textId="35DC24B6" w:rsidR="00AA27A8" w:rsidRDefault="00F36055" w:rsidP="0035012C">
      <w:pPr>
        <w:adjustRightInd w:val="0"/>
        <w:snapToGrid w:val="0"/>
        <w:spacing w:line="360" w:lineRule="auto"/>
        <w:ind w:firstLineChars="200" w:firstLine="480"/>
        <w:rPr>
          <w:rFonts w:asciiTheme="minorEastAsia" w:hAnsiTheme="minorEastAsia"/>
          <w:sz w:val="24"/>
          <w:szCs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2677E58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名称：交银施罗德基金管理有限公司</w:t>
      </w:r>
      <w:r w:rsidRPr="00C03069">
        <w:rPr>
          <w:rFonts w:hint="eastAsia"/>
          <w:kern w:val="0"/>
          <w:sz w:val="24"/>
        </w:rPr>
        <w:t xml:space="preserve"> </w:t>
      </w:r>
    </w:p>
    <w:p w14:paraId="60AD5158" w14:textId="031F9322"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住所：</w:t>
      </w:r>
      <w:r w:rsidR="009C0BAE" w:rsidRPr="00C05482">
        <w:rPr>
          <w:rFonts w:hint="eastAsia"/>
          <w:kern w:val="0"/>
          <w:sz w:val="24"/>
        </w:rPr>
        <w:t>中国</w:t>
      </w:r>
      <w:r w:rsidR="009C0BAE">
        <w:rPr>
          <w:rFonts w:hint="eastAsia"/>
          <w:kern w:val="0"/>
          <w:sz w:val="24"/>
        </w:rPr>
        <w:t>（</w:t>
      </w:r>
      <w:r w:rsidR="009C0BAE" w:rsidRPr="00C05482">
        <w:rPr>
          <w:rFonts w:hint="eastAsia"/>
          <w:kern w:val="0"/>
          <w:sz w:val="24"/>
        </w:rPr>
        <w:t>上海</w:t>
      </w:r>
      <w:r w:rsidR="009C0BAE">
        <w:rPr>
          <w:rFonts w:hint="eastAsia"/>
          <w:kern w:val="0"/>
          <w:sz w:val="24"/>
        </w:rPr>
        <w:t>）</w:t>
      </w:r>
      <w:r w:rsidR="009C0BAE" w:rsidRPr="00C05482">
        <w:rPr>
          <w:rFonts w:hint="eastAsia"/>
          <w:kern w:val="0"/>
          <w:sz w:val="24"/>
        </w:rPr>
        <w:t>自由贸易试验区</w:t>
      </w:r>
      <w:r w:rsidRPr="00C03069">
        <w:rPr>
          <w:rFonts w:hint="eastAsia"/>
          <w:kern w:val="0"/>
          <w:sz w:val="24"/>
        </w:rPr>
        <w:t>银城中路</w:t>
      </w:r>
      <w:r w:rsidRPr="00C03069">
        <w:rPr>
          <w:rFonts w:hint="eastAsia"/>
          <w:kern w:val="0"/>
          <w:sz w:val="24"/>
        </w:rPr>
        <w:t>188</w:t>
      </w:r>
      <w:r w:rsidRPr="00C03069">
        <w:rPr>
          <w:rFonts w:hint="eastAsia"/>
          <w:kern w:val="0"/>
          <w:sz w:val="24"/>
        </w:rPr>
        <w:t>号交通银行大楼二层（裙）</w:t>
      </w:r>
    </w:p>
    <w:p w14:paraId="74168CFC"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办公地址：上海市浦东新区世纪大道</w:t>
      </w:r>
      <w:r w:rsidRPr="00C03069">
        <w:rPr>
          <w:rFonts w:hint="eastAsia"/>
          <w:kern w:val="0"/>
          <w:sz w:val="24"/>
        </w:rPr>
        <w:t>8</w:t>
      </w:r>
      <w:r w:rsidRPr="00C03069">
        <w:rPr>
          <w:rFonts w:hint="eastAsia"/>
          <w:kern w:val="0"/>
          <w:sz w:val="24"/>
        </w:rPr>
        <w:t>号国金中心二期</w:t>
      </w:r>
      <w:r w:rsidRPr="00C03069">
        <w:rPr>
          <w:rFonts w:hint="eastAsia"/>
          <w:kern w:val="0"/>
          <w:sz w:val="24"/>
        </w:rPr>
        <w:t>21-22</w:t>
      </w:r>
      <w:r w:rsidRPr="00C03069">
        <w:rPr>
          <w:rFonts w:hint="eastAsia"/>
          <w:kern w:val="0"/>
          <w:sz w:val="24"/>
        </w:rPr>
        <w:t>楼</w:t>
      </w:r>
    </w:p>
    <w:p w14:paraId="202B8E98" w14:textId="67188DEF"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法定代表人：</w:t>
      </w:r>
      <w:r>
        <w:rPr>
          <w:rFonts w:hint="eastAsia"/>
          <w:sz w:val="24"/>
        </w:rPr>
        <w:t>阮红</w:t>
      </w:r>
    </w:p>
    <w:p w14:paraId="420A1830"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电话：（</w:t>
      </w:r>
      <w:r w:rsidRPr="00C03069">
        <w:rPr>
          <w:rFonts w:hint="eastAsia"/>
          <w:kern w:val="0"/>
          <w:sz w:val="24"/>
        </w:rPr>
        <w:t>021</w:t>
      </w:r>
      <w:r w:rsidRPr="00C03069">
        <w:rPr>
          <w:rFonts w:hint="eastAsia"/>
          <w:kern w:val="0"/>
          <w:sz w:val="24"/>
        </w:rPr>
        <w:t>）</w:t>
      </w:r>
      <w:r w:rsidRPr="00C03069">
        <w:rPr>
          <w:rFonts w:hint="eastAsia"/>
          <w:kern w:val="0"/>
          <w:sz w:val="24"/>
        </w:rPr>
        <w:t>61055097</w:t>
      </w:r>
    </w:p>
    <w:p w14:paraId="184EC16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传真：（</w:t>
      </w:r>
      <w:r w:rsidRPr="00C03069">
        <w:rPr>
          <w:rFonts w:hint="eastAsia"/>
          <w:kern w:val="0"/>
          <w:sz w:val="24"/>
        </w:rPr>
        <w:t>021</w:t>
      </w:r>
      <w:r w:rsidRPr="00C03069">
        <w:rPr>
          <w:rFonts w:hint="eastAsia"/>
          <w:kern w:val="0"/>
          <w:sz w:val="24"/>
        </w:rPr>
        <w:t>）</w:t>
      </w:r>
      <w:r w:rsidRPr="00C03069">
        <w:rPr>
          <w:rFonts w:hint="eastAsia"/>
          <w:kern w:val="0"/>
          <w:sz w:val="24"/>
        </w:rPr>
        <w:t>61055064</w:t>
      </w:r>
    </w:p>
    <w:p w14:paraId="4EF2DA98" w14:textId="0D3F6C99" w:rsidR="00EE627C" w:rsidRDefault="00C03069" w:rsidP="0027109F">
      <w:pPr>
        <w:adjustRightInd w:val="0"/>
        <w:snapToGrid w:val="0"/>
        <w:spacing w:line="360" w:lineRule="auto"/>
        <w:ind w:firstLineChars="200" w:firstLine="480"/>
        <w:rPr>
          <w:kern w:val="0"/>
          <w:sz w:val="24"/>
        </w:rPr>
      </w:pPr>
      <w:r w:rsidRPr="00C03069">
        <w:rPr>
          <w:rFonts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0531990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AC75DD4"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D677D23"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6386980"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负责人：韩炯</w:t>
      </w:r>
    </w:p>
    <w:p w14:paraId="6D343FC5"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87F548B"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7DB023C"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7F171F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7A1C85A"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名称：普华永道中天会计师事务所（特殊普通合伙）</w:t>
      </w:r>
    </w:p>
    <w:p w14:paraId="1490171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住所：中国</w:t>
      </w:r>
      <w:r w:rsidRPr="003A38B0">
        <w:rPr>
          <w:rFonts w:hint="eastAsia"/>
          <w:kern w:val="0"/>
          <w:sz w:val="24"/>
        </w:rPr>
        <w:t>(</w:t>
      </w:r>
      <w:r w:rsidRPr="003A38B0">
        <w:rPr>
          <w:rFonts w:hint="eastAsia"/>
          <w:kern w:val="0"/>
          <w:sz w:val="24"/>
        </w:rPr>
        <w:t>上海</w:t>
      </w:r>
      <w:r w:rsidRPr="003A38B0">
        <w:rPr>
          <w:rFonts w:hint="eastAsia"/>
          <w:kern w:val="0"/>
          <w:sz w:val="24"/>
        </w:rPr>
        <w:t>)</w:t>
      </w:r>
      <w:r w:rsidRPr="003A38B0">
        <w:rPr>
          <w:rFonts w:hint="eastAsia"/>
          <w:kern w:val="0"/>
          <w:sz w:val="24"/>
        </w:rPr>
        <w:t>自由贸易试验区陆家嘴环路</w:t>
      </w:r>
      <w:r w:rsidRPr="003A38B0">
        <w:rPr>
          <w:rFonts w:hint="eastAsia"/>
          <w:kern w:val="0"/>
          <w:sz w:val="24"/>
        </w:rPr>
        <w:t>1318</w:t>
      </w:r>
      <w:r w:rsidRPr="003A38B0">
        <w:rPr>
          <w:rFonts w:hint="eastAsia"/>
          <w:kern w:val="0"/>
          <w:sz w:val="24"/>
        </w:rPr>
        <w:t>号星展银行大厦</w:t>
      </w:r>
      <w:r w:rsidRPr="003A38B0">
        <w:rPr>
          <w:rFonts w:hint="eastAsia"/>
          <w:kern w:val="0"/>
          <w:sz w:val="24"/>
        </w:rPr>
        <w:t>507</w:t>
      </w:r>
      <w:r w:rsidRPr="003A38B0">
        <w:rPr>
          <w:rFonts w:hint="eastAsia"/>
          <w:kern w:val="0"/>
          <w:sz w:val="24"/>
        </w:rPr>
        <w:t>单元</w:t>
      </w:r>
      <w:r w:rsidRPr="003A38B0">
        <w:rPr>
          <w:rFonts w:hint="eastAsia"/>
          <w:kern w:val="0"/>
          <w:sz w:val="24"/>
        </w:rPr>
        <w:t>01</w:t>
      </w:r>
      <w:r w:rsidRPr="003A38B0">
        <w:rPr>
          <w:rFonts w:hint="eastAsia"/>
          <w:kern w:val="0"/>
          <w:sz w:val="24"/>
        </w:rPr>
        <w:t>室</w:t>
      </w:r>
    </w:p>
    <w:p w14:paraId="76D37518"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办公地址：中国上海市浦东新区东育路</w:t>
      </w:r>
      <w:r w:rsidRPr="003A38B0">
        <w:rPr>
          <w:rFonts w:hint="eastAsia"/>
          <w:kern w:val="0"/>
          <w:sz w:val="24"/>
        </w:rPr>
        <w:t>588</w:t>
      </w:r>
      <w:r w:rsidRPr="003A38B0">
        <w:rPr>
          <w:rFonts w:hint="eastAsia"/>
          <w:kern w:val="0"/>
          <w:sz w:val="24"/>
        </w:rPr>
        <w:t>号前滩中心</w:t>
      </w:r>
      <w:r w:rsidRPr="003A38B0">
        <w:rPr>
          <w:rFonts w:hint="eastAsia"/>
          <w:kern w:val="0"/>
          <w:sz w:val="24"/>
        </w:rPr>
        <w:t>42</w:t>
      </w:r>
      <w:r w:rsidRPr="003A38B0">
        <w:rPr>
          <w:rFonts w:hint="eastAsia"/>
          <w:kern w:val="0"/>
          <w:sz w:val="24"/>
        </w:rPr>
        <w:t>楼</w:t>
      </w:r>
    </w:p>
    <w:p w14:paraId="29401773"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执行事务合伙人：李丹</w:t>
      </w:r>
    </w:p>
    <w:p w14:paraId="1AD068D4"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电话：（</w:t>
      </w:r>
      <w:r w:rsidRPr="003A38B0">
        <w:rPr>
          <w:rFonts w:hint="eastAsia"/>
          <w:kern w:val="0"/>
          <w:sz w:val="24"/>
        </w:rPr>
        <w:t>021</w:t>
      </w:r>
      <w:r w:rsidRPr="003A38B0">
        <w:rPr>
          <w:rFonts w:hint="eastAsia"/>
          <w:kern w:val="0"/>
          <w:sz w:val="24"/>
        </w:rPr>
        <w:t>）</w:t>
      </w:r>
      <w:r w:rsidRPr="003A38B0">
        <w:rPr>
          <w:rFonts w:hint="eastAsia"/>
          <w:kern w:val="0"/>
          <w:sz w:val="24"/>
        </w:rPr>
        <w:t>23238888</w:t>
      </w:r>
    </w:p>
    <w:p w14:paraId="48523C85"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传真：（</w:t>
      </w:r>
      <w:r w:rsidRPr="003A38B0">
        <w:rPr>
          <w:rFonts w:hint="eastAsia"/>
          <w:kern w:val="0"/>
          <w:sz w:val="24"/>
        </w:rPr>
        <w:t>021</w:t>
      </w:r>
      <w:r w:rsidRPr="003A38B0">
        <w:rPr>
          <w:rFonts w:hint="eastAsia"/>
          <w:kern w:val="0"/>
          <w:sz w:val="24"/>
        </w:rPr>
        <w:t>）</w:t>
      </w:r>
      <w:r w:rsidRPr="003A38B0">
        <w:rPr>
          <w:rFonts w:hint="eastAsia"/>
          <w:kern w:val="0"/>
          <w:sz w:val="24"/>
        </w:rPr>
        <w:t>23238800</w:t>
      </w:r>
    </w:p>
    <w:p w14:paraId="15E89A4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联系人：金诗涛</w:t>
      </w:r>
    </w:p>
    <w:p w14:paraId="63D26DDC" w14:textId="77777777" w:rsidR="003A38B0" w:rsidRDefault="003A38B0" w:rsidP="007F5DC1">
      <w:pPr>
        <w:widowControl/>
        <w:adjustRightInd w:val="0"/>
        <w:snapToGrid w:val="0"/>
        <w:spacing w:line="360" w:lineRule="auto"/>
        <w:ind w:firstLineChars="200" w:firstLine="480"/>
        <w:jc w:val="left"/>
        <w:rPr>
          <w:kern w:val="0"/>
          <w:sz w:val="24"/>
        </w:rPr>
      </w:pPr>
      <w:r w:rsidRPr="003A38B0">
        <w:rPr>
          <w:rFonts w:hint="eastAsia"/>
          <w:kern w:val="0"/>
          <w:sz w:val="24"/>
        </w:rPr>
        <w:t>经办注册会计师：童咏静、金诗涛</w:t>
      </w:r>
    </w:p>
    <w:p w14:paraId="6699ECD6" w14:textId="77777777" w:rsidR="003A38B0" w:rsidRDefault="003A38B0" w:rsidP="00781410">
      <w:pPr>
        <w:widowControl/>
        <w:adjustRightInd w:val="0"/>
        <w:snapToGrid w:val="0"/>
        <w:spacing w:line="360" w:lineRule="auto"/>
        <w:ind w:firstLineChars="200" w:firstLine="480"/>
        <w:jc w:val="right"/>
        <w:rPr>
          <w:kern w:val="0"/>
          <w:sz w:val="24"/>
        </w:rPr>
      </w:pPr>
    </w:p>
    <w:p w14:paraId="6F812B83" w14:textId="77777777" w:rsidR="003A38B0" w:rsidRDefault="003A38B0" w:rsidP="00781410">
      <w:pPr>
        <w:widowControl/>
        <w:adjustRightInd w:val="0"/>
        <w:snapToGrid w:val="0"/>
        <w:spacing w:line="360" w:lineRule="auto"/>
        <w:ind w:firstLineChars="200" w:firstLine="480"/>
        <w:jc w:val="right"/>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2A2A2328"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sidR="003A38B0">
        <w:rPr>
          <w:rFonts w:hint="eastAsia"/>
          <w:kern w:val="0"/>
          <w:sz w:val="24"/>
        </w:rPr>
        <w:t>二</w:t>
      </w:r>
      <w:r w:rsidRPr="007E2DBB">
        <w:rPr>
          <w:rFonts w:hint="eastAsia"/>
          <w:kern w:val="0"/>
          <w:sz w:val="24"/>
        </w:rPr>
        <w:t>年</w:t>
      </w:r>
      <w:r w:rsidR="00E2634F">
        <w:rPr>
          <w:rFonts w:hint="eastAsia"/>
          <w:kern w:val="0"/>
          <w:sz w:val="24"/>
        </w:rPr>
        <w:t>十一</w:t>
      </w:r>
      <w:r w:rsidRPr="007E2DBB">
        <w:rPr>
          <w:rFonts w:hint="eastAsia"/>
          <w:kern w:val="0"/>
          <w:sz w:val="24"/>
        </w:rPr>
        <w:t>月</w:t>
      </w:r>
      <w:r w:rsidR="00E2634F">
        <w:rPr>
          <w:rFonts w:hint="eastAsia"/>
          <w:kern w:val="0"/>
          <w:sz w:val="24"/>
        </w:rPr>
        <w:t>七</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37C8" w14:textId="77777777" w:rsidR="008935BA" w:rsidRDefault="008935BA">
      <w:r>
        <w:separator/>
      </w:r>
    </w:p>
  </w:endnote>
  <w:endnote w:type="continuationSeparator" w:id="0">
    <w:p w14:paraId="675653D7" w14:textId="77777777" w:rsidR="008935BA" w:rsidRDefault="0089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7896B67B" w:rsidR="005C735E" w:rsidRDefault="005C735E">
    <w:pPr>
      <w:pStyle w:val="ab"/>
      <w:jc w:val="center"/>
    </w:pPr>
    <w:r>
      <w:fldChar w:fldCharType="begin"/>
    </w:r>
    <w:r>
      <w:instrText xml:space="preserve"> PAGE   \* MERGEFORMAT </w:instrText>
    </w:r>
    <w:r>
      <w:fldChar w:fldCharType="separate"/>
    </w:r>
    <w:r w:rsidR="000228C1" w:rsidRPr="000228C1">
      <w:rPr>
        <w:noProof/>
        <w:lang w:val="zh-CN"/>
      </w:rPr>
      <w:t>20</w:t>
    </w:r>
    <w:r>
      <w:rPr>
        <w:noProof/>
        <w:lang w:val="zh-CN"/>
      </w:rPr>
      <w:fldChar w:fldCharType="end"/>
    </w:r>
  </w:p>
  <w:p w14:paraId="04AB73E7" w14:textId="77777777" w:rsidR="005C735E" w:rsidRDefault="005C73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3E445" w14:textId="77777777" w:rsidR="008935BA" w:rsidRDefault="008935BA">
      <w:r>
        <w:separator/>
      </w:r>
    </w:p>
  </w:footnote>
  <w:footnote w:type="continuationSeparator" w:id="0">
    <w:p w14:paraId="1861C7A1" w14:textId="77777777" w:rsidR="008935BA" w:rsidRDefault="008935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12D" w14:textId="196DB2CD" w:rsidR="005C735E" w:rsidRDefault="005C735E">
    <w:pPr>
      <w:pStyle w:val="a8"/>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59264" behindDoc="0" locked="0" layoutInCell="1" allowOverlap="1" wp14:anchorId="0D37040C" wp14:editId="64C80CFE">
          <wp:simplePos x="0" y="0"/>
          <wp:positionH relativeFrom="column">
            <wp:posOffset>-310101</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14:paraId="4436707D" w14:textId="19C79A0D" w:rsidR="005C735E" w:rsidRDefault="005C735E">
    <w:pPr>
      <w:pStyle w:val="a8"/>
      <w:pBdr>
        <w:bottom w:val="none" w:sz="0" w:space="0" w:color="auto"/>
      </w:pBdr>
      <w:tabs>
        <w:tab w:val="right" w:pos="8280"/>
      </w:tabs>
      <w:jc w:val="right"/>
    </w:pPr>
  </w:p>
  <w:p w14:paraId="7786447F" w14:textId="2D938149" w:rsidR="005C735E" w:rsidRDefault="000800C1">
    <w:pPr>
      <w:pStyle w:val="a8"/>
      <w:pBdr>
        <w:bottom w:val="none" w:sz="0" w:space="0" w:color="auto"/>
      </w:pBdr>
      <w:tabs>
        <w:tab w:val="right" w:pos="8280"/>
      </w:tabs>
      <w:jc w:val="right"/>
      <w:rPr>
        <w:rFonts w:ascii="宋体"/>
      </w:rPr>
    </w:pPr>
    <w:r>
      <w:rPr>
        <w:rFonts w:cs="宋体" w:hint="eastAsia"/>
      </w:rPr>
      <w:t>交银</w:t>
    </w:r>
    <w:proofErr w:type="gramStart"/>
    <w:r>
      <w:rPr>
        <w:rFonts w:cs="宋体" w:hint="eastAsia"/>
      </w:rPr>
      <w:t>施罗德稳安</w:t>
    </w:r>
    <w:r>
      <w:rPr>
        <w:rFonts w:cs="宋体" w:hint="eastAsia"/>
      </w:rPr>
      <w:t>30</w:t>
    </w:r>
    <w:r>
      <w:rPr>
        <w:rFonts w:cs="宋体" w:hint="eastAsia"/>
      </w:rPr>
      <w:t>天</w:t>
    </w:r>
    <w:proofErr w:type="gramEnd"/>
    <w:r>
      <w:rPr>
        <w:rFonts w:cs="宋体" w:hint="eastAsia"/>
      </w:rPr>
      <w:t>滚动持有债券型证券投资</w:t>
    </w:r>
    <w:proofErr w:type="gramStart"/>
    <w:r>
      <w:rPr>
        <w:rFonts w:cs="宋体" w:hint="eastAsia"/>
      </w:rPr>
      <w:t>基金</w:t>
    </w:r>
    <w:r w:rsidR="005C735E">
      <w:rPr>
        <w:rFonts w:cs="宋体" w:hint="eastAsia"/>
      </w:rPr>
      <w:t>基金</w:t>
    </w:r>
    <w:proofErr w:type="gramEnd"/>
    <w:r w:rsidR="005C735E">
      <w:rPr>
        <w:rFonts w:cs="宋体" w:hint="eastAsia"/>
      </w:rPr>
      <w:t>份额发售公告</w:t>
    </w:r>
    <w:r w:rsidR="005C735E">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B15"/>
    <w:rsid w:val="00002D8B"/>
    <w:rsid w:val="00004239"/>
    <w:rsid w:val="00006222"/>
    <w:rsid w:val="000062C8"/>
    <w:rsid w:val="00007337"/>
    <w:rsid w:val="00011AC2"/>
    <w:rsid w:val="000135DE"/>
    <w:rsid w:val="00013CC7"/>
    <w:rsid w:val="0001427D"/>
    <w:rsid w:val="00014946"/>
    <w:rsid w:val="00015066"/>
    <w:rsid w:val="000163D3"/>
    <w:rsid w:val="00016AB7"/>
    <w:rsid w:val="0001786B"/>
    <w:rsid w:val="00020471"/>
    <w:rsid w:val="00021B9C"/>
    <w:rsid w:val="0002209F"/>
    <w:rsid w:val="0002239D"/>
    <w:rsid w:val="000228C1"/>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0C1"/>
    <w:rsid w:val="000800C6"/>
    <w:rsid w:val="000807AC"/>
    <w:rsid w:val="00080B8E"/>
    <w:rsid w:val="00080FA6"/>
    <w:rsid w:val="0008138C"/>
    <w:rsid w:val="00081518"/>
    <w:rsid w:val="00081E36"/>
    <w:rsid w:val="0008248B"/>
    <w:rsid w:val="00082CC7"/>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A7A91"/>
    <w:rsid w:val="000B003C"/>
    <w:rsid w:val="000B140E"/>
    <w:rsid w:val="000B1756"/>
    <w:rsid w:val="000B1CA1"/>
    <w:rsid w:val="000B4419"/>
    <w:rsid w:val="000B5E45"/>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4BA"/>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5EB"/>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6895"/>
    <w:rsid w:val="00126F01"/>
    <w:rsid w:val="00127CD7"/>
    <w:rsid w:val="00131CEF"/>
    <w:rsid w:val="00132488"/>
    <w:rsid w:val="00136B1B"/>
    <w:rsid w:val="00136B50"/>
    <w:rsid w:val="001400D2"/>
    <w:rsid w:val="00143964"/>
    <w:rsid w:val="00144B92"/>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B6D"/>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60C"/>
    <w:rsid w:val="001C5B7C"/>
    <w:rsid w:val="001C62BB"/>
    <w:rsid w:val="001C646F"/>
    <w:rsid w:val="001C65D8"/>
    <w:rsid w:val="001C7D22"/>
    <w:rsid w:val="001D15CD"/>
    <w:rsid w:val="001D1C69"/>
    <w:rsid w:val="001D2A72"/>
    <w:rsid w:val="001D2E28"/>
    <w:rsid w:val="001D41BE"/>
    <w:rsid w:val="001D45E2"/>
    <w:rsid w:val="001D5D14"/>
    <w:rsid w:val="001D6DA9"/>
    <w:rsid w:val="001E0504"/>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0DD2"/>
    <w:rsid w:val="0027109F"/>
    <w:rsid w:val="002721DA"/>
    <w:rsid w:val="00272204"/>
    <w:rsid w:val="00272481"/>
    <w:rsid w:val="002738D4"/>
    <w:rsid w:val="0027504C"/>
    <w:rsid w:val="002750EA"/>
    <w:rsid w:val="0027570E"/>
    <w:rsid w:val="00276B29"/>
    <w:rsid w:val="00277D4F"/>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462F"/>
    <w:rsid w:val="002B0AD8"/>
    <w:rsid w:val="002B29DB"/>
    <w:rsid w:val="002B2DFB"/>
    <w:rsid w:val="002B2EBC"/>
    <w:rsid w:val="002B4704"/>
    <w:rsid w:val="002B48F5"/>
    <w:rsid w:val="002B4F20"/>
    <w:rsid w:val="002B5747"/>
    <w:rsid w:val="002B5C65"/>
    <w:rsid w:val="002B6822"/>
    <w:rsid w:val="002B6E87"/>
    <w:rsid w:val="002B6EE3"/>
    <w:rsid w:val="002B7776"/>
    <w:rsid w:val="002C059E"/>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304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2FA"/>
    <w:rsid w:val="0035458A"/>
    <w:rsid w:val="003545A6"/>
    <w:rsid w:val="003560F9"/>
    <w:rsid w:val="00357BAA"/>
    <w:rsid w:val="003601FD"/>
    <w:rsid w:val="00361745"/>
    <w:rsid w:val="00361FB0"/>
    <w:rsid w:val="00362D75"/>
    <w:rsid w:val="00363D14"/>
    <w:rsid w:val="00364B78"/>
    <w:rsid w:val="00364D4F"/>
    <w:rsid w:val="00364DD0"/>
    <w:rsid w:val="00364E65"/>
    <w:rsid w:val="003662BD"/>
    <w:rsid w:val="00370274"/>
    <w:rsid w:val="00370AB0"/>
    <w:rsid w:val="00371C7E"/>
    <w:rsid w:val="0037204A"/>
    <w:rsid w:val="003725E1"/>
    <w:rsid w:val="003736A5"/>
    <w:rsid w:val="003744DA"/>
    <w:rsid w:val="003754CD"/>
    <w:rsid w:val="00375985"/>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8B0"/>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182D"/>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1F96"/>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0D5"/>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F57"/>
    <w:rsid w:val="004B0BED"/>
    <w:rsid w:val="004B1754"/>
    <w:rsid w:val="004B1F92"/>
    <w:rsid w:val="004B31AF"/>
    <w:rsid w:val="004B3564"/>
    <w:rsid w:val="004B3FF1"/>
    <w:rsid w:val="004B4F69"/>
    <w:rsid w:val="004B52F5"/>
    <w:rsid w:val="004B580A"/>
    <w:rsid w:val="004B595E"/>
    <w:rsid w:val="004B5D58"/>
    <w:rsid w:val="004B7990"/>
    <w:rsid w:val="004C0BB6"/>
    <w:rsid w:val="004C0EBC"/>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559A"/>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0664C"/>
    <w:rsid w:val="0051035D"/>
    <w:rsid w:val="00510E21"/>
    <w:rsid w:val="0051378F"/>
    <w:rsid w:val="005147C8"/>
    <w:rsid w:val="00515C35"/>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3B46"/>
    <w:rsid w:val="00594130"/>
    <w:rsid w:val="00594565"/>
    <w:rsid w:val="005954D8"/>
    <w:rsid w:val="0059555A"/>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35E"/>
    <w:rsid w:val="005C7655"/>
    <w:rsid w:val="005D08C3"/>
    <w:rsid w:val="005D0A4E"/>
    <w:rsid w:val="005D1307"/>
    <w:rsid w:val="005D1A32"/>
    <w:rsid w:val="005D3B2F"/>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59E7"/>
    <w:rsid w:val="006764DD"/>
    <w:rsid w:val="0067774E"/>
    <w:rsid w:val="00677E72"/>
    <w:rsid w:val="00680486"/>
    <w:rsid w:val="00680E12"/>
    <w:rsid w:val="00681400"/>
    <w:rsid w:val="0068736D"/>
    <w:rsid w:val="006905A1"/>
    <w:rsid w:val="00691C24"/>
    <w:rsid w:val="00694709"/>
    <w:rsid w:val="00695E49"/>
    <w:rsid w:val="00697FE7"/>
    <w:rsid w:val="006A0641"/>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A4"/>
    <w:rsid w:val="006F3AFB"/>
    <w:rsid w:val="006F409C"/>
    <w:rsid w:val="006F4A45"/>
    <w:rsid w:val="006F4B15"/>
    <w:rsid w:val="006F5A8C"/>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04D"/>
    <w:rsid w:val="007145DE"/>
    <w:rsid w:val="00714935"/>
    <w:rsid w:val="007160B6"/>
    <w:rsid w:val="007160E4"/>
    <w:rsid w:val="00716433"/>
    <w:rsid w:val="00717CA2"/>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3E5"/>
    <w:rsid w:val="007A19B0"/>
    <w:rsid w:val="007A3E87"/>
    <w:rsid w:val="007A431F"/>
    <w:rsid w:val="007A670E"/>
    <w:rsid w:val="007A741E"/>
    <w:rsid w:val="007A7745"/>
    <w:rsid w:val="007A77E7"/>
    <w:rsid w:val="007A7A2A"/>
    <w:rsid w:val="007A7C07"/>
    <w:rsid w:val="007B0FA4"/>
    <w:rsid w:val="007B0FF2"/>
    <w:rsid w:val="007B292C"/>
    <w:rsid w:val="007B2F8A"/>
    <w:rsid w:val="007B4EBE"/>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5DC1"/>
    <w:rsid w:val="007F621A"/>
    <w:rsid w:val="007F6C0E"/>
    <w:rsid w:val="007F7117"/>
    <w:rsid w:val="007F7F38"/>
    <w:rsid w:val="0080021A"/>
    <w:rsid w:val="00801BAC"/>
    <w:rsid w:val="00804288"/>
    <w:rsid w:val="0080428C"/>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358"/>
    <w:rsid w:val="00864DD3"/>
    <w:rsid w:val="00866BFB"/>
    <w:rsid w:val="008679A9"/>
    <w:rsid w:val="00870928"/>
    <w:rsid w:val="00870FBB"/>
    <w:rsid w:val="00871D11"/>
    <w:rsid w:val="008724BA"/>
    <w:rsid w:val="0087313B"/>
    <w:rsid w:val="0087336B"/>
    <w:rsid w:val="00873774"/>
    <w:rsid w:val="00876BD2"/>
    <w:rsid w:val="00877840"/>
    <w:rsid w:val="00877D23"/>
    <w:rsid w:val="00881CB4"/>
    <w:rsid w:val="00881DC1"/>
    <w:rsid w:val="00882692"/>
    <w:rsid w:val="00882D31"/>
    <w:rsid w:val="00882D51"/>
    <w:rsid w:val="0088418B"/>
    <w:rsid w:val="00886123"/>
    <w:rsid w:val="0088614E"/>
    <w:rsid w:val="008862CA"/>
    <w:rsid w:val="00887B34"/>
    <w:rsid w:val="008900BD"/>
    <w:rsid w:val="008935BA"/>
    <w:rsid w:val="00893900"/>
    <w:rsid w:val="008943F3"/>
    <w:rsid w:val="00895D0A"/>
    <w:rsid w:val="00896608"/>
    <w:rsid w:val="00896FBC"/>
    <w:rsid w:val="008A1FB9"/>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BE2"/>
    <w:rsid w:val="008F0C63"/>
    <w:rsid w:val="008F133C"/>
    <w:rsid w:val="008F1B5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079AF"/>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57BC3"/>
    <w:rsid w:val="0096050A"/>
    <w:rsid w:val="00960E7E"/>
    <w:rsid w:val="009610B0"/>
    <w:rsid w:val="00961246"/>
    <w:rsid w:val="0096498F"/>
    <w:rsid w:val="009652B3"/>
    <w:rsid w:val="00965C98"/>
    <w:rsid w:val="00965F7E"/>
    <w:rsid w:val="00966678"/>
    <w:rsid w:val="009709FA"/>
    <w:rsid w:val="009711B0"/>
    <w:rsid w:val="00971361"/>
    <w:rsid w:val="00975A1F"/>
    <w:rsid w:val="00976479"/>
    <w:rsid w:val="00981752"/>
    <w:rsid w:val="0098182B"/>
    <w:rsid w:val="00981CCA"/>
    <w:rsid w:val="00982840"/>
    <w:rsid w:val="00982F9A"/>
    <w:rsid w:val="00984266"/>
    <w:rsid w:val="00985C5F"/>
    <w:rsid w:val="00985FAC"/>
    <w:rsid w:val="009874D0"/>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270F"/>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03AD"/>
    <w:rsid w:val="00A226DE"/>
    <w:rsid w:val="00A228D2"/>
    <w:rsid w:val="00A22C81"/>
    <w:rsid w:val="00A23683"/>
    <w:rsid w:val="00A23B1E"/>
    <w:rsid w:val="00A26FDB"/>
    <w:rsid w:val="00A27188"/>
    <w:rsid w:val="00A2773B"/>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1A5F"/>
    <w:rsid w:val="00A63874"/>
    <w:rsid w:val="00A645BA"/>
    <w:rsid w:val="00A64C4B"/>
    <w:rsid w:val="00A65F5C"/>
    <w:rsid w:val="00A669F1"/>
    <w:rsid w:val="00A67175"/>
    <w:rsid w:val="00A67830"/>
    <w:rsid w:val="00A70102"/>
    <w:rsid w:val="00A705B0"/>
    <w:rsid w:val="00A70CE9"/>
    <w:rsid w:val="00A71025"/>
    <w:rsid w:val="00A71344"/>
    <w:rsid w:val="00A71A4B"/>
    <w:rsid w:val="00A74FB4"/>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3BC6"/>
    <w:rsid w:val="00A94699"/>
    <w:rsid w:val="00A9530B"/>
    <w:rsid w:val="00A97263"/>
    <w:rsid w:val="00A97962"/>
    <w:rsid w:val="00A97AC1"/>
    <w:rsid w:val="00AA04F3"/>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5972"/>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38BB"/>
    <w:rsid w:val="00B24221"/>
    <w:rsid w:val="00B2454D"/>
    <w:rsid w:val="00B2515A"/>
    <w:rsid w:val="00B25A9E"/>
    <w:rsid w:val="00B25B0B"/>
    <w:rsid w:val="00B27709"/>
    <w:rsid w:val="00B307D2"/>
    <w:rsid w:val="00B3089B"/>
    <w:rsid w:val="00B312EE"/>
    <w:rsid w:val="00B31846"/>
    <w:rsid w:val="00B323D3"/>
    <w:rsid w:val="00B32D79"/>
    <w:rsid w:val="00B331BB"/>
    <w:rsid w:val="00B3337A"/>
    <w:rsid w:val="00B35840"/>
    <w:rsid w:val="00B3620B"/>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1A2"/>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49A4"/>
    <w:rsid w:val="00BD5F17"/>
    <w:rsid w:val="00BD6496"/>
    <w:rsid w:val="00BD64CC"/>
    <w:rsid w:val="00BD6A00"/>
    <w:rsid w:val="00BD7337"/>
    <w:rsid w:val="00BD7895"/>
    <w:rsid w:val="00BE0159"/>
    <w:rsid w:val="00BE209A"/>
    <w:rsid w:val="00BE3051"/>
    <w:rsid w:val="00BE3F39"/>
    <w:rsid w:val="00BE445F"/>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074D"/>
    <w:rsid w:val="00C121F5"/>
    <w:rsid w:val="00C14804"/>
    <w:rsid w:val="00C150CE"/>
    <w:rsid w:val="00C15689"/>
    <w:rsid w:val="00C1650A"/>
    <w:rsid w:val="00C177E9"/>
    <w:rsid w:val="00C20557"/>
    <w:rsid w:val="00C21AFC"/>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1353"/>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9D1"/>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C75"/>
    <w:rsid w:val="00D15243"/>
    <w:rsid w:val="00D1636D"/>
    <w:rsid w:val="00D1656E"/>
    <w:rsid w:val="00D16C5F"/>
    <w:rsid w:val="00D173CA"/>
    <w:rsid w:val="00D17B0A"/>
    <w:rsid w:val="00D17C4E"/>
    <w:rsid w:val="00D17DDF"/>
    <w:rsid w:val="00D22C0A"/>
    <w:rsid w:val="00D23BBE"/>
    <w:rsid w:val="00D2448A"/>
    <w:rsid w:val="00D24584"/>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74F"/>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573"/>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253B"/>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2FF7"/>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34F"/>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BFD"/>
    <w:rsid w:val="00E41880"/>
    <w:rsid w:val="00E43CB6"/>
    <w:rsid w:val="00E43E62"/>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5BBE"/>
    <w:rsid w:val="00EA6460"/>
    <w:rsid w:val="00EA6724"/>
    <w:rsid w:val="00EA6E10"/>
    <w:rsid w:val="00EA70B2"/>
    <w:rsid w:val="00EA7369"/>
    <w:rsid w:val="00EB188D"/>
    <w:rsid w:val="00EB19AC"/>
    <w:rsid w:val="00EB2A7E"/>
    <w:rsid w:val="00EB3B96"/>
    <w:rsid w:val="00EB41CD"/>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0DD0"/>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F00549"/>
    <w:rsid w:val="00F00D70"/>
    <w:rsid w:val="00F015B3"/>
    <w:rsid w:val="00F02997"/>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36055"/>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93C"/>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488"/>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1D"/>
    <w:rsid w:val="00FB7AE9"/>
    <w:rsid w:val="00FC0AC9"/>
    <w:rsid w:val="00FC12B8"/>
    <w:rsid w:val="00FC1A50"/>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492E"/>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qFormat/>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C0D0-5344-45C1-B670-F19EF718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2018</Words>
  <Characters>11507</Characters>
  <Application>Microsoft Office Word</Application>
  <DocSecurity>0</DocSecurity>
  <Lines>95</Lines>
  <Paragraphs>26</Paragraphs>
  <ScaleCrop>false</ScaleCrop>
  <Company>Microsoft</Company>
  <LinksUpToDate>false</LinksUpToDate>
  <CharactersWithSpaces>13499</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9</cp:revision>
  <cp:lastPrinted>2007-06-27T06:13:00Z</cp:lastPrinted>
  <dcterms:created xsi:type="dcterms:W3CDTF">2022-11-04T03:10:00Z</dcterms:created>
  <dcterms:modified xsi:type="dcterms:W3CDTF">2022-11-04T03:31:00Z</dcterms:modified>
</cp:coreProperties>
</file>