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62CD1336" w:rsidR="00FC2918" w:rsidRPr="00135725" w:rsidRDefault="00880454" w:rsidP="006A53E7">
      <w:pPr>
        <w:jc w:val="center"/>
        <w:rPr>
          <w:rFonts w:ascii="黑体" w:eastAsia="黑体" w:hAnsi="黑体"/>
          <w:b/>
          <w:sz w:val="36"/>
        </w:rPr>
      </w:pPr>
      <w:r w:rsidRPr="00335FE8">
        <w:rPr>
          <w:rFonts w:ascii="黑体" w:eastAsia="黑体" w:hAnsi="黑体" w:hint="eastAsia"/>
          <w:b/>
          <w:sz w:val="36"/>
        </w:rPr>
        <w:t>交银施罗德先进制造混合型证券投资基金</w:t>
      </w:r>
      <w:r w:rsidR="00135725" w:rsidRPr="00135725">
        <w:rPr>
          <w:rFonts w:ascii="黑体" w:eastAsia="黑体" w:hAnsi="黑体" w:hint="eastAsia"/>
          <w:b/>
          <w:sz w:val="36"/>
        </w:rPr>
        <w:t>（A类份额）</w:t>
      </w:r>
    </w:p>
    <w:p w14:paraId="3A7CFB81" w14:textId="4673FF13"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r w:rsidR="0014405D" w:rsidRPr="00335FE8">
        <w:rPr>
          <w:rFonts w:ascii="黑体" w:eastAsia="黑体" w:hAnsi="黑体" w:hint="eastAsia"/>
          <w:b/>
          <w:sz w:val="36"/>
        </w:rPr>
        <w:t>202</w:t>
      </w:r>
      <w:r w:rsidR="00C07C18">
        <w:rPr>
          <w:rFonts w:ascii="黑体" w:eastAsia="黑体" w:hAnsi="黑体"/>
          <w:b/>
          <w:sz w:val="36"/>
        </w:rPr>
        <w:t>2</w:t>
      </w:r>
      <w:r w:rsidRPr="00335FE8">
        <w:rPr>
          <w:rFonts w:ascii="黑体" w:eastAsia="黑体" w:hAnsi="黑体" w:hint="eastAsia"/>
          <w:b/>
          <w:sz w:val="36"/>
        </w:rPr>
        <w:t>年</w:t>
      </w:r>
      <w:r w:rsidR="0014405D" w:rsidRPr="00335FE8">
        <w:rPr>
          <w:rFonts w:ascii="黑体" w:eastAsia="黑体" w:hAnsi="黑体" w:hint="eastAsia"/>
          <w:b/>
          <w:sz w:val="36"/>
        </w:rPr>
        <w:t>第</w:t>
      </w:r>
      <w:r w:rsidR="00C07C18">
        <w:rPr>
          <w:rFonts w:ascii="黑体" w:eastAsia="黑体" w:hAnsi="黑体"/>
          <w:b/>
          <w:sz w:val="36"/>
        </w:rPr>
        <w:t>1</w:t>
      </w:r>
      <w:r w:rsidRPr="00335FE8">
        <w:rPr>
          <w:rFonts w:ascii="黑体" w:eastAsia="黑体" w:hAnsi="黑体" w:hint="eastAsia"/>
          <w:b/>
          <w:sz w:val="36"/>
        </w:rPr>
        <w:t>号)</w:t>
      </w:r>
    </w:p>
    <w:p w14:paraId="417166FD" w14:textId="665022B6"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14405D" w:rsidRPr="00335FE8">
        <w:rPr>
          <w:rFonts w:ascii="仿宋_GB2312" w:eastAsia="仿宋_GB2312" w:hAnsi="宋体" w:cs="宋体" w:hint="eastAsia"/>
          <w:kern w:val="0"/>
          <w:szCs w:val="21"/>
        </w:rPr>
        <w:t>20</w:t>
      </w:r>
      <w:r w:rsidR="0014405D">
        <w:rPr>
          <w:rFonts w:ascii="仿宋_GB2312" w:eastAsia="仿宋_GB2312" w:hAnsi="宋体" w:cs="宋体"/>
          <w:kern w:val="0"/>
          <w:szCs w:val="21"/>
        </w:rPr>
        <w:t>2</w:t>
      </w:r>
      <w:r w:rsidR="00C07C18">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C07C18">
        <w:rPr>
          <w:rFonts w:ascii="仿宋_GB2312" w:eastAsia="仿宋_GB2312" w:hAnsi="宋体" w:cs="宋体"/>
          <w:kern w:val="0"/>
          <w:szCs w:val="21"/>
        </w:rPr>
        <w:t>01</w:t>
      </w:r>
      <w:r w:rsidR="006A53E7" w:rsidRPr="00335FE8">
        <w:rPr>
          <w:rFonts w:ascii="仿宋_GB2312" w:eastAsia="仿宋_GB2312" w:hAnsi="宋体" w:cs="宋体" w:hint="eastAsia"/>
          <w:kern w:val="0"/>
          <w:szCs w:val="21"/>
        </w:rPr>
        <w:t>-</w:t>
      </w:r>
      <w:r w:rsidR="00C07C18">
        <w:rPr>
          <w:rFonts w:ascii="仿宋_GB2312" w:eastAsia="仿宋_GB2312" w:hAnsi="宋体" w:cs="宋体"/>
          <w:kern w:val="0"/>
          <w:szCs w:val="21"/>
        </w:rPr>
        <w:t>21</w:t>
      </w:r>
    </w:p>
    <w:p w14:paraId="7D15B036" w14:textId="4F80A0F6" w:rsidR="00264C81" w:rsidRDefault="0065170A"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w:t>
      </w:r>
      <w:r w:rsidR="00C07C18">
        <w:rPr>
          <w:rFonts w:ascii="Times New Roman" w:hAnsi="Times New Roman" w:cs="Times New Roman"/>
        </w:rPr>
        <w:t>2</w:t>
      </w:r>
      <w:r w:rsidRPr="00DA7C34">
        <w:rPr>
          <w:rFonts w:ascii="Times New Roman" w:hAnsi="Times New Roman" w:cs="Times New Roman"/>
        </w:rPr>
        <w:t>-</w:t>
      </w:r>
      <w:r w:rsidR="00C07C18">
        <w:rPr>
          <w:rFonts w:ascii="Times New Roman" w:hAnsi="Times New Roman" w:cs="Times New Roman"/>
        </w:rPr>
        <w:t>01</w:t>
      </w:r>
      <w:r w:rsidRPr="00DA7C34">
        <w:rPr>
          <w:rFonts w:ascii="Times New Roman" w:hAnsi="Times New Roman" w:cs="Times New Roman"/>
        </w:rPr>
        <w:t>-</w:t>
      </w:r>
      <w:r w:rsidR="00E42AA4">
        <w:rPr>
          <w:rFonts w:ascii="Times New Roman" w:hAnsi="Times New Roman" w:cs="Times New Roman"/>
        </w:rPr>
        <w:t>24</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361D059C" w:rsidR="00AF7A1E" w:rsidRPr="00335FE8" w:rsidRDefault="00AF7A1E" w:rsidP="00AF7A1E">
            <w:pPr>
              <w:rPr>
                <w:rFonts w:ascii="仿宋_GB2312" w:eastAsia="仿宋_GB2312"/>
                <w:szCs w:val="21"/>
              </w:rPr>
            </w:pPr>
            <w:r w:rsidRPr="00335FE8">
              <w:rPr>
                <w:rFonts w:ascii="仿宋_GB2312" w:eastAsia="仿宋_GB2312" w:hint="eastAsia"/>
                <w:szCs w:val="21"/>
              </w:rPr>
              <w:t>交银先进制造混合</w:t>
            </w:r>
            <w:r w:rsidR="001F45A7">
              <w:rPr>
                <w:rFonts w:ascii="仿宋_GB2312" w:eastAsia="仿宋_GB2312" w:hint="eastAsia"/>
                <w:szCs w:val="21"/>
              </w:rPr>
              <w:t>A</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519704</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中国农业银行股份有限公司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2011-06-22</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刘鹏</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2018-05-29</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2014-06-30</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687000BF" w:rsidR="002E7E5E" w:rsidRPr="00335FE8" w:rsidRDefault="0065170A" w:rsidP="0014405D">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w:t>
            </w:r>
            <w:r w:rsidR="0014405D">
              <w:rPr>
                <w:rFonts w:ascii="仿宋_GB2312" w:eastAsia="仿宋_GB2312"/>
                <w:szCs w:val="21"/>
              </w:rPr>
              <w:t>50</w:t>
            </w:r>
            <w:r>
              <w:rPr>
                <w:rFonts w:ascii="仿宋_GB2312" w:eastAsia="仿宋_GB2312"/>
                <w:szCs w:val="21"/>
              </w:rPr>
              <w:t>个工作日出现前述情形的，</w:t>
            </w:r>
            <w:r w:rsidR="0014405D" w:rsidRPr="0014405D">
              <w:rPr>
                <w:rFonts w:ascii="仿宋_GB2312" w:eastAsia="仿宋_GB2312" w:hint="eastAsia"/>
                <w:szCs w:val="21"/>
              </w:rPr>
              <w:t>基金合同终止，不需召开基金份额持有人大会。</w:t>
            </w:r>
          </w:p>
        </w:tc>
      </w:tr>
    </w:tbl>
    <w:p w14:paraId="5568E65E" w14:textId="09DE36E5" w:rsidR="006A53E7" w:rsidRPr="00335FE8" w:rsidRDefault="00D373CC" w:rsidP="006A53E7">
      <w:pPr>
        <w:jc w:val="left"/>
        <w:rPr>
          <w:rFonts w:ascii="仿宋_GB2312" w:eastAsia="仿宋_GB2312"/>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519704（前端），519705（后端）</w:t>
      </w:r>
    </w:p>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本基金通过重点投资于与先进制造主题相关的优质企业，把握中国产业结构升级的投资机会，在控制风险并保持基金资产良好的流动性的前提下，力争实现基金资产的长期稳定增值。</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67C95D1A" w14:textId="5896790F"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本基金的投资范围为具有良好流动性的金融工具，包括国内依法发行上市的股票(含创业板</w:t>
            </w:r>
            <w:r w:rsidR="00097274">
              <w:rPr>
                <w:rFonts w:ascii="仿宋_GB2312" w:eastAsia="仿宋_GB2312" w:hint="eastAsia"/>
                <w:szCs w:val="21"/>
              </w:rPr>
              <w:t>、科创板</w:t>
            </w:r>
            <w:r w:rsidRPr="00335FE8">
              <w:rPr>
                <w:rFonts w:ascii="仿宋_GB2312" w:eastAsia="仿宋_GB2312" w:hint="eastAsia"/>
                <w:szCs w:val="21"/>
              </w:rPr>
              <w:t>以及其他经中国证监会核准</w:t>
            </w:r>
            <w:r w:rsidR="0014405D">
              <w:rPr>
                <w:rFonts w:ascii="仿宋_GB2312" w:eastAsia="仿宋_GB2312" w:hint="eastAsia"/>
                <w:szCs w:val="21"/>
              </w:rPr>
              <w:t>或注册</w:t>
            </w:r>
            <w:r w:rsidRPr="00335FE8">
              <w:rPr>
                <w:rFonts w:ascii="仿宋_GB2312" w:eastAsia="仿宋_GB2312" w:hint="eastAsia"/>
                <w:szCs w:val="21"/>
              </w:rPr>
              <w:t>上市的股票、存托凭证)、</w:t>
            </w:r>
            <w:r w:rsidR="0014405D" w:rsidRPr="0014405D">
              <w:rPr>
                <w:rFonts w:ascii="仿宋_GB2312" w:eastAsia="仿宋_GB2312" w:hint="eastAsia"/>
                <w:szCs w:val="21"/>
              </w:rPr>
              <w:t>港股通标的股票、</w:t>
            </w:r>
            <w:r w:rsidRPr="00335FE8">
              <w:rPr>
                <w:rFonts w:ascii="仿宋_GB2312" w:eastAsia="仿宋_GB2312" w:hint="eastAsia"/>
                <w:szCs w:val="21"/>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如法律法规或监管机构以后允许本基金投资其他品种，基金管理人在履行适当程序后，可以将其纳入投资范围。基金的投资组合比例为：股票资产（含存托凭证）占基金资产的 50%-95%</w:t>
            </w:r>
            <w:r w:rsidR="0014405D" w:rsidRPr="0014405D">
              <w:rPr>
                <w:rFonts w:ascii="仿宋_GB2312" w:eastAsia="仿宋_GB2312" w:hint="eastAsia"/>
                <w:szCs w:val="21"/>
              </w:rPr>
              <w:t>（其中投资于港股通标的股票的比例占股票资产的0%-50%）</w:t>
            </w:r>
            <w:r w:rsidRPr="00335FE8">
              <w:rPr>
                <w:rFonts w:ascii="仿宋_GB2312" w:eastAsia="仿宋_GB2312" w:hint="eastAsia"/>
                <w:szCs w:val="21"/>
              </w:rPr>
              <w:t>，投资于先进制造主题相关证券的比例不低于非现金基金资产的 80%；每个交易日日终在扣除股指期货合约需缴纳的交易保证金后，本基金保留的现金或者投资于到期日在一年以内的政府债券的比例合计不低于基金资产净值的5%，其中现金不包括结算备</w:t>
            </w:r>
            <w:r w:rsidRPr="00335FE8">
              <w:rPr>
                <w:rFonts w:ascii="仿宋_GB2312" w:eastAsia="仿宋_GB2312" w:hint="eastAsia"/>
                <w:szCs w:val="21"/>
              </w:rPr>
              <w:lastRenderedPageBreak/>
              <w:t>付金、存出保证金、应收申购款等。如果法律法规或中国证监会变更投资品种的投资比例限制，基金管理人在履行适当程序后，可以调整上述投资品种的投资比例。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3305951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本基金充分发挥基金管理人的研究优势，将严谨、规范化的选股方法与积极主动的投资风格相结合，自下而上挖掘与先进制造主题相关的上市公司投资机会，以谋求良好收益。</w:t>
            </w:r>
          </w:p>
          <w:p w14:paraId="7835B413" w14:textId="20624105" w:rsidR="00F811C4" w:rsidRPr="00335FE8" w:rsidRDefault="00F811C4" w:rsidP="0014405D">
            <w:pPr>
              <w:ind w:firstLine="420"/>
              <w:jc w:val="left"/>
              <w:rPr>
                <w:rFonts w:ascii="仿宋_GB2312" w:eastAsia="仿宋_GB2312"/>
                <w:szCs w:val="21"/>
              </w:rPr>
            </w:pPr>
            <w:r w:rsidRPr="00335FE8">
              <w:rPr>
                <w:rFonts w:ascii="仿宋_GB2312" w:eastAsia="仿宋_GB2312" w:hint="eastAsia"/>
                <w:szCs w:val="21"/>
              </w:rPr>
              <w:t>1、资产配置；2、股票投资；3、债券投资；</w:t>
            </w:r>
            <w:r w:rsidR="0014405D">
              <w:rPr>
                <w:rFonts w:ascii="仿宋_GB2312" w:eastAsia="仿宋_GB2312"/>
                <w:szCs w:val="21"/>
              </w:rPr>
              <w:t>4</w:t>
            </w:r>
            <w:r w:rsidRPr="00335FE8">
              <w:rPr>
                <w:rFonts w:ascii="仿宋_GB2312" w:eastAsia="仿宋_GB2312" w:hint="eastAsia"/>
                <w:szCs w:val="21"/>
              </w:rPr>
              <w:t>、资产支持证券投资；</w:t>
            </w:r>
            <w:r w:rsidR="0014405D">
              <w:rPr>
                <w:rFonts w:ascii="仿宋_GB2312" w:eastAsia="仿宋_GB2312"/>
                <w:szCs w:val="21"/>
              </w:rPr>
              <w:t>5</w:t>
            </w:r>
            <w:r w:rsidRPr="00335FE8">
              <w:rPr>
                <w:rFonts w:ascii="仿宋_GB2312" w:eastAsia="仿宋_GB2312" w:hint="eastAsia"/>
                <w:szCs w:val="21"/>
              </w:rPr>
              <w:t>、股指期货投资。</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3F4A2E7E" w14:textId="353F19B7" w:rsidR="00F811C4" w:rsidRPr="00335FE8" w:rsidRDefault="0014405D" w:rsidP="00F811C4">
            <w:pPr>
              <w:ind w:firstLine="420"/>
              <w:jc w:val="left"/>
              <w:rPr>
                <w:rFonts w:ascii="仿宋_GB2312" w:eastAsia="仿宋_GB2312"/>
                <w:szCs w:val="21"/>
              </w:rPr>
            </w:pPr>
            <w:r w:rsidRPr="0014405D">
              <w:rPr>
                <w:rFonts w:ascii="仿宋_GB2312" w:eastAsia="仿宋_GB2312" w:hint="eastAsia"/>
                <w:szCs w:val="21"/>
              </w:rPr>
              <w:t>沪深300指数收益率×55%+恒生指数收益率×5%+中证综合债券指数收益率×40%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1BE67FB4" w14:textId="4E531C2F"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本基金是一只混合型基金，其预期风险和预期收益高于债券型基金和货币市场基金，低于股票型基金。</w:t>
            </w:r>
            <w:r w:rsidR="00F5022F" w:rsidRPr="00A41E0F">
              <w:rPr>
                <w:rFonts w:ascii="仿宋_GB2312" w:eastAsia="仿宋_GB2312" w:hint="eastAsia"/>
                <w:szCs w:val="21"/>
              </w:rPr>
              <w:t>本基金可投资港股通标的股票，会面临港股通机制下因投资环境、投资标的、市场制度以及交易规则等差异带来的特有风险。</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详见《交银施罗德先进制造混合型证券投资基金招募说明书》第十部分“基金的投资”。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64282829" w:rsidR="00D373CC" w:rsidRPr="00335FE8" w:rsidRDefault="00C07C18" w:rsidP="00D373CC">
      <w:pPr>
        <w:jc w:val="center"/>
        <w:rPr>
          <w:rFonts w:ascii="仿宋_GB2312" w:eastAsia="仿宋_GB2312"/>
          <w:b/>
          <w:szCs w:val="21"/>
        </w:rPr>
      </w:pPr>
      <w:r>
        <w:rPr>
          <w:rFonts w:ascii="宋体" w:hAnsi="宋体"/>
          <w:noProof/>
          <w:kern w:val="0"/>
        </w:rPr>
        <w:drawing>
          <wp:inline distT="0" distB="0" distL="0" distR="0" wp14:anchorId="6AAC6869" wp14:editId="3B59476C">
            <wp:extent cx="4183380" cy="3200400"/>
            <wp:effectExtent l="0" t="0" r="0" b="0"/>
            <wp:docPr id="1"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380" cy="3200400"/>
                    </a:xfrm>
                    <a:prstGeom prst="rect">
                      <a:avLst/>
                    </a:prstGeom>
                    <a:noFill/>
                    <a:ln>
                      <a:noFill/>
                    </a:ln>
                  </pic:spPr>
                </pic:pic>
              </a:graphicData>
            </a:graphic>
          </wp:inline>
        </w:drawing>
      </w:r>
    </w:p>
    <w:p w14:paraId="2C461EB7" w14:textId="58055F49"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bookmarkStart w:id="0" w:name="_GoBack"/>
      <w:bookmarkEnd w:id="0"/>
    </w:p>
    <w:p w14:paraId="1C37FBA8" w14:textId="1D3923FD" w:rsidR="00D373CC" w:rsidRPr="00335FE8" w:rsidRDefault="00C07C18" w:rsidP="00D373CC">
      <w:pPr>
        <w:jc w:val="center"/>
        <w:rPr>
          <w:rFonts w:ascii="仿宋_GB2312" w:eastAsia="仿宋_GB2312"/>
          <w:b/>
          <w:szCs w:val="21"/>
        </w:rPr>
      </w:pPr>
      <w:r>
        <w:rPr>
          <w:rFonts w:ascii="宋体" w:hAnsi="宋体"/>
          <w:noProof/>
          <w:kern w:val="0"/>
        </w:rPr>
        <w:drawing>
          <wp:inline distT="0" distB="0" distL="0" distR="0" wp14:anchorId="6845092B" wp14:editId="6414030E">
            <wp:extent cx="6332220" cy="2026920"/>
            <wp:effectExtent l="0" t="0" r="0" b="0"/>
            <wp:docPr id="2"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212566102420208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2026920"/>
                    </a:xfrm>
                    <a:prstGeom prst="rect">
                      <a:avLst/>
                    </a:prstGeom>
                    <a:noFill/>
                    <a:ln>
                      <a:noFill/>
                    </a:ln>
                  </pic:spPr>
                </pic:pic>
              </a:graphicData>
            </a:graphic>
          </wp:inline>
        </w:drawing>
      </w:r>
    </w:p>
    <w:p w14:paraId="7E16EFDD" w14:textId="34266F1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w:t>
      </w:r>
      <w:r w:rsidR="00C07C18">
        <w:rPr>
          <w:rFonts w:ascii="仿宋_GB2312" w:eastAsia="仿宋_GB2312"/>
          <w:szCs w:val="21"/>
        </w:rPr>
        <w:t>20</w:t>
      </w:r>
      <w:r w:rsidRPr="00335FE8">
        <w:rPr>
          <w:rFonts w:ascii="仿宋_GB2312" w:eastAsia="仿宋_GB2312" w:hint="eastAsia"/>
          <w:szCs w:val="21"/>
        </w:rPr>
        <w:t>年12月31日。</w:t>
      </w:r>
    </w:p>
    <w:p w14:paraId="50FCF54F" w14:textId="5AA23C55"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2、本基金合同于2011年6月22日生效，合同生效当年净值增长率按实际存续期计算。</w:t>
      </w:r>
    </w:p>
    <w:p w14:paraId="135BB3A4" w14:textId="6680CB9A" w:rsidR="00F811C4" w:rsidRPr="002D7EBF"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3、本基金业绩比较基准自2015年10月1日起，由“75%×申银万国装备制造指数收益率+25%×中信标</w:t>
      </w:r>
      <w:r w:rsidRPr="00335FE8">
        <w:rPr>
          <w:rFonts w:ascii="仿宋_GB2312" w:eastAsia="仿宋_GB2312" w:hint="eastAsia"/>
          <w:szCs w:val="21"/>
        </w:rPr>
        <w:lastRenderedPageBreak/>
        <w:t>普全债指数收益率”变更为“75%×申银万国装备制造指数收益率+25%×中证综合债券指数收益率”；本基金业绩比较基准自2018年3月21日起，由“75%×申银万国装备制造指数收益率+25%×中证综合债券指数收益率”变更为“60%×沪深300指数收益率+40%×中证综合债券指数收益率”。</w:t>
      </w:r>
    </w:p>
    <w:p w14:paraId="78EB238E" w14:textId="50CA47D6" w:rsidR="00D84515"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4、基金的过往业绩不代表未来表现。</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8"/>
        <w:gridCol w:w="2819"/>
        <w:gridCol w:w="1750"/>
        <w:gridCol w:w="2001"/>
      </w:tblGrid>
      <w:tr w:rsidR="00D373CC" w:rsidRPr="00335FE8" w14:paraId="2A054CB7" w14:textId="77777777" w:rsidTr="00DD1E2D">
        <w:trPr>
          <w:jc w:val="center"/>
        </w:trPr>
        <w:tc>
          <w:tcPr>
            <w:tcW w:w="2738"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1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50"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01"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DD1E2D">
        <w:trPr>
          <w:jc w:val="center"/>
        </w:trPr>
        <w:tc>
          <w:tcPr>
            <w:tcW w:w="2738" w:type="dxa"/>
            <w:vMerge w:val="restart"/>
            <w:vAlign w:val="center"/>
          </w:tcPr>
          <w:p w14:paraId="285CD1C3" w14:textId="76131CEF"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81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750"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01"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DD1E2D">
        <w:trPr>
          <w:jc w:val="center"/>
        </w:trPr>
        <w:tc>
          <w:tcPr>
            <w:tcW w:w="2738"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750"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1.2%</w:t>
            </w:r>
          </w:p>
        </w:tc>
        <w:tc>
          <w:tcPr>
            <w:tcW w:w="2001" w:type="dxa"/>
            <w:vAlign w:val="center"/>
          </w:tcPr>
          <w:p w14:paraId="728F6929"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546B95BD" w14:textId="77777777" w:rsidTr="00DD1E2D">
        <w:trPr>
          <w:jc w:val="center"/>
        </w:trPr>
        <w:tc>
          <w:tcPr>
            <w:tcW w:w="2738" w:type="dxa"/>
            <w:vMerge/>
            <w:vAlign w:val="center"/>
          </w:tcPr>
          <w:p w14:paraId="02C248FA"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727654B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750" w:type="dxa"/>
            <w:vAlign w:val="center"/>
          </w:tcPr>
          <w:p w14:paraId="409BFB2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001" w:type="dxa"/>
            <w:vAlign w:val="center"/>
          </w:tcPr>
          <w:p w14:paraId="3AFE9A20" w14:textId="59B5E0D6" w:rsidR="009C0C41" w:rsidRPr="00335FE8" w:rsidRDefault="009C0C41" w:rsidP="00D373CC">
            <w:pPr>
              <w:widowControl/>
              <w:jc w:val="left"/>
              <w:rPr>
                <w:rFonts w:ascii="仿宋_GB2312" w:eastAsia="仿宋_GB2312" w:hAnsi="宋体" w:cs="宋体"/>
                <w:kern w:val="0"/>
                <w:szCs w:val="21"/>
              </w:rPr>
            </w:pPr>
          </w:p>
        </w:tc>
      </w:tr>
      <w:tr w:rsidR="009C0C41" w:rsidRPr="00335FE8" w14:paraId="30E76F32" w14:textId="77777777" w:rsidTr="00DD1E2D">
        <w:trPr>
          <w:jc w:val="center"/>
        </w:trPr>
        <w:tc>
          <w:tcPr>
            <w:tcW w:w="2738" w:type="dxa"/>
            <w:vMerge/>
            <w:vAlign w:val="center"/>
          </w:tcPr>
          <w:p w14:paraId="3E5C64E1"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7996D0D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750" w:type="dxa"/>
            <w:vAlign w:val="center"/>
          </w:tcPr>
          <w:p w14:paraId="29D5F44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001" w:type="dxa"/>
            <w:vAlign w:val="center"/>
          </w:tcPr>
          <w:p w14:paraId="10087E71"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12AA20A9" w14:textId="77777777" w:rsidTr="00DD1E2D">
        <w:trPr>
          <w:jc w:val="center"/>
        </w:trPr>
        <w:tc>
          <w:tcPr>
            <w:tcW w:w="2738" w:type="dxa"/>
            <w:vMerge/>
            <w:vAlign w:val="center"/>
          </w:tcPr>
          <w:p w14:paraId="39A1A935"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09E51A2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750" w:type="dxa"/>
            <w:vAlign w:val="center"/>
          </w:tcPr>
          <w:p w14:paraId="3528A04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01" w:type="dxa"/>
            <w:vAlign w:val="center"/>
          </w:tcPr>
          <w:p w14:paraId="7299D5C0"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C68181F" w14:textId="77777777" w:rsidTr="00DD1E2D">
        <w:trPr>
          <w:jc w:val="center"/>
        </w:trPr>
        <w:tc>
          <w:tcPr>
            <w:tcW w:w="2738" w:type="dxa"/>
            <w:vMerge w:val="restart"/>
            <w:vAlign w:val="center"/>
          </w:tcPr>
          <w:p w14:paraId="23B3BB41" w14:textId="6E7A12ED"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申购费（后收费）</w:t>
            </w:r>
          </w:p>
        </w:tc>
        <w:tc>
          <w:tcPr>
            <w:tcW w:w="2819" w:type="dxa"/>
          </w:tcPr>
          <w:p w14:paraId="4123678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N≤1年</w:t>
            </w:r>
          </w:p>
        </w:tc>
        <w:tc>
          <w:tcPr>
            <w:tcW w:w="1750" w:type="dxa"/>
            <w:vAlign w:val="center"/>
          </w:tcPr>
          <w:p w14:paraId="0646B73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1.8%</w:t>
            </w:r>
          </w:p>
        </w:tc>
        <w:tc>
          <w:tcPr>
            <w:tcW w:w="2001" w:type="dxa"/>
            <w:vAlign w:val="center"/>
          </w:tcPr>
          <w:p w14:paraId="61EFED1B" w14:textId="77777777" w:rsidR="009C0C41" w:rsidRPr="00335FE8" w:rsidRDefault="009C0C41" w:rsidP="00D373CC">
            <w:pPr>
              <w:rPr>
                <w:rFonts w:ascii="仿宋_GB2312" w:eastAsia="仿宋_GB2312"/>
                <w:szCs w:val="21"/>
              </w:rPr>
            </w:pPr>
          </w:p>
        </w:tc>
      </w:tr>
      <w:tr w:rsidR="009C0C41" w:rsidRPr="00335FE8" w14:paraId="5B4978DF" w14:textId="77777777" w:rsidTr="00DD1E2D">
        <w:trPr>
          <w:jc w:val="center"/>
        </w:trPr>
        <w:tc>
          <w:tcPr>
            <w:tcW w:w="2738" w:type="dxa"/>
            <w:vMerge/>
            <w:vAlign w:val="center"/>
          </w:tcPr>
          <w:p w14:paraId="50724C01"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4BDAAE0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1年＜N≤3年</w:t>
            </w:r>
          </w:p>
        </w:tc>
        <w:tc>
          <w:tcPr>
            <w:tcW w:w="1750" w:type="dxa"/>
            <w:vAlign w:val="center"/>
          </w:tcPr>
          <w:p w14:paraId="1F5369C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1.2%</w:t>
            </w:r>
          </w:p>
        </w:tc>
        <w:tc>
          <w:tcPr>
            <w:tcW w:w="2001" w:type="dxa"/>
            <w:vAlign w:val="center"/>
          </w:tcPr>
          <w:p w14:paraId="5E0E07AE" w14:textId="77777777" w:rsidR="009C0C41" w:rsidRPr="00335FE8" w:rsidRDefault="009C0C41" w:rsidP="00D373CC">
            <w:pPr>
              <w:rPr>
                <w:rFonts w:ascii="仿宋_GB2312" w:eastAsia="仿宋_GB2312"/>
                <w:szCs w:val="21"/>
              </w:rPr>
            </w:pPr>
          </w:p>
        </w:tc>
      </w:tr>
      <w:tr w:rsidR="009C0C41" w:rsidRPr="00335FE8" w14:paraId="56C48502" w14:textId="77777777" w:rsidTr="00DD1E2D">
        <w:trPr>
          <w:jc w:val="center"/>
        </w:trPr>
        <w:tc>
          <w:tcPr>
            <w:tcW w:w="2738" w:type="dxa"/>
            <w:vMerge/>
            <w:vAlign w:val="center"/>
          </w:tcPr>
          <w:p w14:paraId="2CAEFAF9"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4FDEF4E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3年＜N≤5年</w:t>
            </w:r>
          </w:p>
        </w:tc>
        <w:tc>
          <w:tcPr>
            <w:tcW w:w="1750" w:type="dxa"/>
            <w:vAlign w:val="center"/>
          </w:tcPr>
          <w:p w14:paraId="37652E1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001" w:type="dxa"/>
            <w:vAlign w:val="center"/>
          </w:tcPr>
          <w:p w14:paraId="3FA5CD5F" w14:textId="77777777" w:rsidR="009C0C41" w:rsidRPr="00335FE8" w:rsidRDefault="009C0C41" w:rsidP="00D373CC">
            <w:pPr>
              <w:rPr>
                <w:rFonts w:ascii="仿宋_GB2312" w:eastAsia="仿宋_GB2312"/>
                <w:szCs w:val="21"/>
              </w:rPr>
            </w:pPr>
          </w:p>
        </w:tc>
      </w:tr>
      <w:tr w:rsidR="009C0C41" w:rsidRPr="00335FE8" w14:paraId="4CA6B23C" w14:textId="77777777" w:rsidTr="00DD1E2D">
        <w:trPr>
          <w:jc w:val="center"/>
        </w:trPr>
        <w:tc>
          <w:tcPr>
            <w:tcW w:w="2738" w:type="dxa"/>
            <w:vMerge/>
            <w:vAlign w:val="center"/>
          </w:tcPr>
          <w:p w14:paraId="4C2F9337"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582F77A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5年＜N</w:t>
            </w:r>
          </w:p>
        </w:tc>
        <w:tc>
          <w:tcPr>
            <w:tcW w:w="1750" w:type="dxa"/>
            <w:vAlign w:val="center"/>
          </w:tcPr>
          <w:p w14:paraId="300D1C6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01" w:type="dxa"/>
            <w:vAlign w:val="center"/>
          </w:tcPr>
          <w:p w14:paraId="02067442" w14:textId="77777777" w:rsidR="009C0C41" w:rsidRPr="00335FE8" w:rsidRDefault="009C0C41" w:rsidP="00D373CC">
            <w:pPr>
              <w:rPr>
                <w:rFonts w:ascii="仿宋_GB2312" w:eastAsia="仿宋_GB2312"/>
                <w:szCs w:val="21"/>
              </w:rPr>
            </w:pPr>
          </w:p>
        </w:tc>
      </w:tr>
      <w:tr w:rsidR="009C0C41" w:rsidRPr="00335FE8" w14:paraId="4D9AB83A" w14:textId="77777777" w:rsidTr="00DD1E2D">
        <w:trPr>
          <w:jc w:val="center"/>
        </w:trPr>
        <w:tc>
          <w:tcPr>
            <w:tcW w:w="2738" w:type="dxa"/>
            <w:vMerge w:val="restart"/>
            <w:vAlign w:val="center"/>
          </w:tcPr>
          <w:p w14:paraId="321092B9" w14:textId="7C60BAD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19" w:type="dxa"/>
          </w:tcPr>
          <w:p w14:paraId="40D9956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50" w:type="dxa"/>
            <w:vAlign w:val="center"/>
          </w:tcPr>
          <w:p w14:paraId="7645743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01" w:type="dxa"/>
            <w:vAlign w:val="center"/>
          </w:tcPr>
          <w:p w14:paraId="61888672" w14:textId="77777777" w:rsidR="009C0C41" w:rsidRPr="00335FE8" w:rsidRDefault="009C0C41" w:rsidP="00D373CC">
            <w:pPr>
              <w:rPr>
                <w:rFonts w:ascii="仿宋_GB2312" w:eastAsia="仿宋_GB2312"/>
                <w:szCs w:val="21"/>
              </w:rPr>
            </w:pPr>
          </w:p>
        </w:tc>
      </w:tr>
      <w:tr w:rsidR="009C0C41" w:rsidRPr="00335FE8" w14:paraId="73F75C92" w14:textId="77777777" w:rsidTr="00DD1E2D">
        <w:trPr>
          <w:jc w:val="center"/>
        </w:trPr>
        <w:tc>
          <w:tcPr>
            <w:tcW w:w="2738" w:type="dxa"/>
            <w:vMerge/>
            <w:vAlign w:val="center"/>
          </w:tcPr>
          <w:p w14:paraId="439A69BA"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15D6EA8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750" w:type="dxa"/>
            <w:vAlign w:val="center"/>
          </w:tcPr>
          <w:p w14:paraId="70F0DED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0.75%</w:t>
            </w:r>
          </w:p>
        </w:tc>
        <w:tc>
          <w:tcPr>
            <w:tcW w:w="2001" w:type="dxa"/>
            <w:vAlign w:val="center"/>
          </w:tcPr>
          <w:p w14:paraId="63A2B49A" w14:textId="77777777" w:rsidR="009C0C41" w:rsidRPr="00335FE8" w:rsidRDefault="009C0C41" w:rsidP="00D373CC">
            <w:pPr>
              <w:rPr>
                <w:rFonts w:ascii="仿宋_GB2312" w:eastAsia="仿宋_GB2312"/>
                <w:szCs w:val="21"/>
              </w:rPr>
            </w:pPr>
          </w:p>
        </w:tc>
      </w:tr>
      <w:tr w:rsidR="009C0C41" w:rsidRPr="00335FE8" w14:paraId="2767D4C9" w14:textId="77777777" w:rsidTr="00DD1E2D">
        <w:trPr>
          <w:jc w:val="center"/>
        </w:trPr>
        <w:tc>
          <w:tcPr>
            <w:tcW w:w="2738" w:type="dxa"/>
            <w:vMerge/>
            <w:vAlign w:val="center"/>
          </w:tcPr>
          <w:p w14:paraId="73A74B11"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73F7B918" w14:textId="7B32CC15" w:rsidR="009C0C41" w:rsidRPr="00335FE8" w:rsidRDefault="009C0C41" w:rsidP="00DD1E2D">
            <w:pPr>
              <w:rPr>
                <w:rFonts w:ascii="仿宋_GB2312" w:eastAsia="仿宋_GB2312"/>
                <w:szCs w:val="21"/>
              </w:rPr>
            </w:pPr>
            <w:r w:rsidRPr="00335FE8">
              <w:rPr>
                <w:rFonts w:ascii="仿宋_GB2312" w:eastAsia="仿宋_GB2312" w:hint="eastAsia"/>
                <w:szCs w:val="21"/>
              </w:rPr>
              <w:t>30天≤N＜</w:t>
            </w:r>
            <w:r w:rsidR="00DD1E2D">
              <w:rPr>
                <w:rFonts w:ascii="仿宋_GB2312" w:eastAsia="仿宋_GB2312"/>
                <w:szCs w:val="21"/>
              </w:rPr>
              <w:t>180</w:t>
            </w:r>
            <w:r w:rsidRPr="00335FE8">
              <w:rPr>
                <w:rFonts w:ascii="仿宋_GB2312" w:eastAsia="仿宋_GB2312" w:hint="eastAsia"/>
                <w:szCs w:val="21"/>
              </w:rPr>
              <w:t>天</w:t>
            </w:r>
          </w:p>
        </w:tc>
        <w:tc>
          <w:tcPr>
            <w:tcW w:w="1750" w:type="dxa"/>
            <w:vAlign w:val="center"/>
          </w:tcPr>
          <w:p w14:paraId="0184B98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001" w:type="dxa"/>
            <w:vAlign w:val="center"/>
          </w:tcPr>
          <w:p w14:paraId="5BCECBA8" w14:textId="77777777" w:rsidR="009C0C41" w:rsidRPr="00335FE8" w:rsidRDefault="009C0C41" w:rsidP="00D373CC">
            <w:pPr>
              <w:rPr>
                <w:rFonts w:ascii="仿宋_GB2312" w:eastAsia="仿宋_GB2312"/>
                <w:szCs w:val="21"/>
              </w:rPr>
            </w:pPr>
          </w:p>
        </w:tc>
      </w:tr>
      <w:tr w:rsidR="009C0C41" w:rsidRPr="00335FE8" w14:paraId="53B58543" w14:textId="77777777" w:rsidTr="00DD1E2D">
        <w:trPr>
          <w:jc w:val="center"/>
        </w:trPr>
        <w:tc>
          <w:tcPr>
            <w:tcW w:w="2738" w:type="dxa"/>
            <w:vMerge/>
            <w:vAlign w:val="center"/>
          </w:tcPr>
          <w:p w14:paraId="48D4E672"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2A997D08" w14:textId="66CC3EAF" w:rsidR="009C0C41" w:rsidRPr="00335FE8" w:rsidRDefault="00DD1E2D" w:rsidP="00D373CC">
            <w:pPr>
              <w:rPr>
                <w:rFonts w:ascii="仿宋_GB2312" w:eastAsia="仿宋_GB2312"/>
                <w:szCs w:val="21"/>
              </w:rPr>
            </w:pPr>
            <w:r>
              <w:rPr>
                <w:rFonts w:ascii="仿宋_GB2312" w:eastAsia="仿宋_GB2312"/>
                <w:szCs w:val="21"/>
              </w:rPr>
              <w:t>180</w:t>
            </w:r>
            <w:r w:rsidR="009C0C41" w:rsidRPr="00335FE8">
              <w:rPr>
                <w:rFonts w:ascii="仿宋_GB2312" w:eastAsia="仿宋_GB2312" w:hint="eastAsia"/>
                <w:szCs w:val="21"/>
              </w:rPr>
              <w:t>天≤N</w:t>
            </w:r>
          </w:p>
        </w:tc>
        <w:tc>
          <w:tcPr>
            <w:tcW w:w="1750" w:type="dxa"/>
            <w:vAlign w:val="center"/>
          </w:tcPr>
          <w:p w14:paraId="5D5E58A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01" w:type="dxa"/>
            <w:vAlign w:val="center"/>
          </w:tcPr>
          <w:p w14:paraId="077CA43E" w14:textId="77777777" w:rsidR="009C0C41" w:rsidRPr="00335FE8" w:rsidRDefault="009C0C41" w:rsidP="00D373CC">
            <w:pPr>
              <w:rPr>
                <w:rFonts w:ascii="仿宋_GB2312" w:eastAsia="仿宋_GB2312"/>
                <w:szCs w:val="21"/>
              </w:rPr>
            </w:pPr>
          </w:p>
        </w:tc>
      </w:tr>
    </w:tbl>
    <w:p w14:paraId="75C631A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1.50%</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0.25%</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0E84B7DC"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r w:rsidR="00D373CC" w:rsidRPr="00335FE8" w14:paraId="5E825BD6" w14:textId="77777777" w:rsidTr="009F4EAE">
        <w:trPr>
          <w:jc w:val="center"/>
        </w:trPr>
        <w:tc>
          <w:tcPr>
            <w:tcW w:w="2547" w:type="dxa"/>
          </w:tcPr>
          <w:p w14:paraId="4F6BDD7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81BD33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A0A1AF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00B8BFF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4AA7FDA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29B9E01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（1）政策风险、（2）经济周期风险、（3）利率风险、（4）上市公司经营风险、（5）购买力风险</w:t>
      </w:r>
    </w:p>
    <w:p w14:paraId="5AD7503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112D10B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08E81CC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4、信用风险</w:t>
      </w:r>
    </w:p>
    <w:p w14:paraId="4BA5746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5、本基金投资策略所特有的风险</w:t>
      </w:r>
    </w:p>
    <w:p w14:paraId="257094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本基金属于混合型基金，将维持较高的股票持仓比例。如果股票市场出现整体下跌，本基金的净值表现将受到影响。</w:t>
      </w:r>
    </w:p>
    <w:p w14:paraId="6AF4317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以先进制造相关行业的上市公司为重点投资对象。在选股策略上本基金特有的风险主要来自两个方面：一是先进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14:paraId="5B367AAC" w14:textId="1A9D0AF0" w:rsidR="00BA0BB5" w:rsidRDefault="00BA0BB5" w:rsidP="00F811C4">
      <w:pPr>
        <w:ind w:firstLine="420"/>
        <w:jc w:val="left"/>
        <w:rPr>
          <w:rFonts w:ascii="仿宋_GB2312" w:eastAsia="仿宋_GB2312"/>
          <w:szCs w:val="21"/>
        </w:rPr>
      </w:pPr>
      <w:r w:rsidRPr="00243957">
        <w:rPr>
          <w:rFonts w:ascii="仿宋_GB2312" w:eastAsia="仿宋_GB2312" w:hint="eastAsia"/>
          <w:szCs w:val="21"/>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或选择不将基金资产投资于港股，基金资产并非必然投资港股。</w:t>
      </w:r>
    </w:p>
    <w:p w14:paraId="15B96445" w14:textId="04485EB2" w:rsidR="00153D97" w:rsidRDefault="00153D97" w:rsidP="00F811C4">
      <w:pPr>
        <w:ind w:firstLine="420"/>
        <w:jc w:val="left"/>
        <w:rPr>
          <w:rFonts w:ascii="仿宋_GB2312" w:eastAsia="仿宋_GB2312"/>
          <w:szCs w:val="21"/>
        </w:rPr>
      </w:pPr>
      <w:r w:rsidRPr="00A41E0F">
        <w:rPr>
          <w:rFonts w:ascii="仿宋_GB2312" w:eastAsia="仿宋_GB2312" w:hint="eastAsia"/>
          <w:szCs w:val="21"/>
        </w:rPr>
        <w:t>基金合同提前终止风险。连续</w:t>
      </w:r>
      <w:r w:rsidRPr="00A41E0F">
        <w:rPr>
          <w:rFonts w:ascii="仿宋_GB2312" w:eastAsia="仿宋_GB2312"/>
          <w:szCs w:val="21"/>
        </w:rPr>
        <w:t>50个工作日出现基金份额持有人数量不满200人或者基金资产净值低于5000万元情形的，基金合同终止，不需召开基金份额持有人大会。</w:t>
      </w:r>
    </w:p>
    <w:p w14:paraId="351B8B3C" w14:textId="4310165B" w:rsidR="00F811C4"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本基金可投资创业板股票，创业板个股上市后的前五个交易日不设价格涨跌幅限制，第六个交易日开始涨跌幅限制比例为20%。</w:t>
      </w:r>
    </w:p>
    <w:p w14:paraId="7CB95C5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6、投资资产支持证券的特定风险</w:t>
      </w:r>
    </w:p>
    <w:p w14:paraId="6E17F30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7D459B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7、投资股指期货的特定风险</w:t>
      </w:r>
    </w:p>
    <w:p w14:paraId="1881D40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250B99C" w14:textId="77777777" w:rsidR="0068783D" w:rsidRDefault="00F811C4" w:rsidP="0028700A">
      <w:pPr>
        <w:ind w:firstLine="420"/>
        <w:jc w:val="left"/>
        <w:rPr>
          <w:rFonts w:ascii="仿宋_GB2312" w:eastAsia="仿宋_GB2312"/>
          <w:szCs w:val="21"/>
        </w:rPr>
      </w:pPr>
      <w:r w:rsidRPr="00335FE8">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50A373F1" w14:textId="627D7725" w:rsidR="0028700A" w:rsidRPr="0028700A" w:rsidRDefault="0028700A" w:rsidP="0028700A">
      <w:pPr>
        <w:ind w:firstLine="420"/>
        <w:jc w:val="left"/>
        <w:rPr>
          <w:rFonts w:ascii="仿宋_GB2312" w:eastAsia="仿宋_GB2312"/>
          <w:szCs w:val="21"/>
        </w:rPr>
      </w:pPr>
      <w:r w:rsidRPr="0028700A">
        <w:rPr>
          <w:rFonts w:ascii="仿宋_GB2312" w:eastAsia="仿宋_GB2312" w:hint="eastAsia"/>
          <w:szCs w:val="21"/>
        </w:rPr>
        <w:t>8、投资流通受限证券的特定风险</w:t>
      </w:r>
    </w:p>
    <w:p w14:paraId="20C5A8AD" w14:textId="29A3BA92" w:rsidR="0028700A" w:rsidRDefault="0028700A" w:rsidP="0028700A">
      <w:pPr>
        <w:ind w:firstLine="420"/>
        <w:jc w:val="left"/>
        <w:rPr>
          <w:rFonts w:ascii="仿宋_GB2312" w:eastAsia="仿宋_GB2312"/>
          <w:szCs w:val="21"/>
        </w:rPr>
      </w:pPr>
      <w:r w:rsidRPr="0028700A">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95C518" w14:textId="38E4FAEA" w:rsidR="00F811C4" w:rsidRPr="00335FE8" w:rsidRDefault="0028700A" w:rsidP="00F811C4">
      <w:pPr>
        <w:ind w:firstLine="420"/>
        <w:jc w:val="left"/>
        <w:rPr>
          <w:rFonts w:ascii="仿宋_GB2312" w:eastAsia="仿宋_GB2312"/>
          <w:szCs w:val="21"/>
        </w:rPr>
      </w:pPr>
      <w:r>
        <w:rPr>
          <w:rFonts w:ascii="仿宋_GB2312" w:eastAsia="仿宋_GB2312"/>
          <w:szCs w:val="21"/>
        </w:rPr>
        <w:t>9</w:t>
      </w:r>
      <w:r w:rsidR="00F811C4" w:rsidRPr="00335FE8">
        <w:rPr>
          <w:rFonts w:ascii="仿宋_GB2312" w:eastAsia="仿宋_GB2312" w:hint="eastAsia"/>
          <w:szCs w:val="21"/>
        </w:rPr>
        <w:t>、投资科创板股票的特定风险</w:t>
      </w:r>
    </w:p>
    <w:p w14:paraId="71B6F8D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375491E" w14:textId="437AABD7" w:rsidR="00F811C4" w:rsidRPr="00335FE8" w:rsidRDefault="0028700A" w:rsidP="00F811C4">
      <w:pPr>
        <w:ind w:firstLine="420"/>
        <w:jc w:val="left"/>
        <w:rPr>
          <w:rFonts w:ascii="仿宋_GB2312" w:eastAsia="仿宋_GB2312"/>
          <w:szCs w:val="21"/>
        </w:rPr>
      </w:pPr>
      <w:r>
        <w:rPr>
          <w:rFonts w:ascii="仿宋_GB2312" w:eastAsia="仿宋_GB2312"/>
          <w:szCs w:val="21"/>
        </w:rPr>
        <w:t>10</w:t>
      </w:r>
      <w:r w:rsidR="00F811C4" w:rsidRPr="00335FE8">
        <w:rPr>
          <w:rFonts w:ascii="仿宋_GB2312" w:eastAsia="仿宋_GB2312" w:hint="eastAsia"/>
          <w:szCs w:val="21"/>
        </w:rPr>
        <w:t>、投资存托凭证的特定风险</w:t>
      </w:r>
    </w:p>
    <w:p w14:paraId="1582C4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4C7184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4FADB9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56C634F9" w14:textId="541F1FDC" w:rsidR="00F811C4" w:rsidRPr="00335FE8" w:rsidRDefault="0028700A" w:rsidP="00F811C4">
      <w:pPr>
        <w:ind w:firstLine="420"/>
        <w:jc w:val="left"/>
        <w:rPr>
          <w:rFonts w:ascii="仿宋_GB2312" w:eastAsia="仿宋_GB2312"/>
          <w:szCs w:val="21"/>
        </w:rPr>
      </w:pPr>
      <w:r w:rsidRPr="00335FE8">
        <w:rPr>
          <w:rFonts w:ascii="仿宋_GB2312" w:eastAsia="仿宋_GB2312" w:hint="eastAsia"/>
          <w:szCs w:val="21"/>
        </w:rPr>
        <w:t>1</w:t>
      </w:r>
      <w:r>
        <w:rPr>
          <w:rFonts w:ascii="仿宋_GB2312" w:eastAsia="仿宋_GB2312"/>
          <w:szCs w:val="21"/>
        </w:rPr>
        <w:t>1</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CEB127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w:t>
      </w:r>
      <w:r w:rsidRPr="00335FE8">
        <w:rPr>
          <w:rFonts w:ascii="仿宋_GB2312" w:eastAsia="仿宋_GB2312" w:hint="eastAsia"/>
          <w:szCs w:val="21"/>
        </w:rPr>
        <w:lastRenderedPageBreak/>
        <w:t>保证最低收益。</w:t>
      </w:r>
    </w:p>
    <w:p w14:paraId="3131440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4A0C0C6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4B456E70" w14:textId="77777777" w:rsidR="00F811C4" w:rsidRPr="00404240" w:rsidRDefault="00F811C4" w:rsidP="00F811C4">
      <w:pPr>
        <w:ind w:firstLine="420"/>
        <w:jc w:val="left"/>
        <w:rPr>
          <w:rFonts w:ascii="仿宋_GB2312" w:eastAsia="仿宋_GB2312"/>
          <w:b/>
          <w:szCs w:val="21"/>
        </w:rPr>
      </w:pPr>
      <w:r w:rsidRPr="00404240">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41AAAB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B7EA420"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546B365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00FA15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●《交银施罗德先进制造混合型证券投资基金基金合同》、</w:t>
      </w:r>
    </w:p>
    <w:p w14:paraId="62AD26E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《交银施罗德先进制造混合型证券投资基金托管协议》、</w:t>
      </w:r>
    </w:p>
    <w:p w14:paraId="27BA2A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《交银施罗德先进制造混合型证券投资基金招募说明书》</w:t>
      </w:r>
    </w:p>
    <w:p w14:paraId="2BF9C45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27EE921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667CE6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57653E6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62179CC1"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3EE57FD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B0556" w14:textId="77777777" w:rsidR="008D6B7E" w:rsidRDefault="008D6B7E" w:rsidP="00880454">
      <w:r>
        <w:separator/>
      </w:r>
    </w:p>
  </w:endnote>
  <w:endnote w:type="continuationSeparator" w:id="0">
    <w:p w14:paraId="08EEB5A7" w14:textId="77777777" w:rsidR="008D6B7E" w:rsidRDefault="008D6B7E"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B3590" w14:textId="77777777" w:rsidR="008D6B7E" w:rsidRDefault="008D6B7E" w:rsidP="00880454">
      <w:r>
        <w:separator/>
      </w:r>
    </w:p>
  </w:footnote>
  <w:footnote w:type="continuationSeparator" w:id="0">
    <w:p w14:paraId="4A59F643" w14:textId="77777777" w:rsidR="008D6B7E" w:rsidRDefault="008D6B7E"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230C9"/>
    <w:rsid w:val="00056599"/>
    <w:rsid w:val="00094816"/>
    <w:rsid w:val="00097274"/>
    <w:rsid w:val="000B7BB5"/>
    <w:rsid w:val="00131F08"/>
    <w:rsid w:val="00135725"/>
    <w:rsid w:val="0014405D"/>
    <w:rsid w:val="00153D97"/>
    <w:rsid w:val="0018670E"/>
    <w:rsid w:val="0019033F"/>
    <w:rsid w:val="0019752C"/>
    <w:rsid w:val="001E402A"/>
    <w:rsid w:val="001F45A7"/>
    <w:rsid w:val="00200ECF"/>
    <w:rsid w:val="00243957"/>
    <w:rsid w:val="00245C8C"/>
    <w:rsid w:val="002465D0"/>
    <w:rsid w:val="0028700A"/>
    <w:rsid w:val="00287210"/>
    <w:rsid w:val="002D7EBF"/>
    <w:rsid w:val="002F5DBC"/>
    <w:rsid w:val="00335FE8"/>
    <w:rsid w:val="0039192D"/>
    <w:rsid w:val="003E751E"/>
    <w:rsid w:val="00401C56"/>
    <w:rsid w:val="00404240"/>
    <w:rsid w:val="004112FF"/>
    <w:rsid w:val="00413A85"/>
    <w:rsid w:val="004333EB"/>
    <w:rsid w:val="00447692"/>
    <w:rsid w:val="0045105F"/>
    <w:rsid w:val="00455B57"/>
    <w:rsid w:val="0047401F"/>
    <w:rsid w:val="004A275D"/>
    <w:rsid w:val="004C716B"/>
    <w:rsid w:val="004D22B4"/>
    <w:rsid w:val="00507461"/>
    <w:rsid w:val="005A1311"/>
    <w:rsid w:val="005F09EA"/>
    <w:rsid w:val="006240B9"/>
    <w:rsid w:val="0065170A"/>
    <w:rsid w:val="00684A6D"/>
    <w:rsid w:val="0068783D"/>
    <w:rsid w:val="006A53E7"/>
    <w:rsid w:val="007A64C5"/>
    <w:rsid w:val="007B47CC"/>
    <w:rsid w:val="007E5301"/>
    <w:rsid w:val="007F31BF"/>
    <w:rsid w:val="0081167C"/>
    <w:rsid w:val="00846EFA"/>
    <w:rsid w:val="00880454"/>
    <w:rsid w:val="008A509E"/>
    <w:rsid w:val="008A6FA6"/>
    <w:rsid w:val="008D6B7E"/>
    <w:rsid w:val="00902522"/>
    <w:rsid w:val="0090269C"/>
    <w:rsid w:val="00907B20"/>
    <w:rsid w:val="009341CD"/>
    <w:rsid w:val="009445A8"/>
    <w:rsid w:val="009728DC"/>
    <w:rsid w:val="009C0C41"/>
    <w:rsid w:val="009F4EAE"/>
    <w:rsid w:val="00A41E0F"/>
    <w:rsid w:val="00AB59CB"/>
    <w:rsid w:val="00AC7697"/>
    <w:rsid w:val="00AE18FA"/>
    <w:rsid w:val="00AF7A1E"/>
    <w:rsid w:val="00B70A90"/>
    <w:rsid w:val="00BA0BB5"/>
    <w:rsid w:val="00C0525C"/>
    <w:rsid w:val="00C07C18"/>
    <w:rsid w:val="00C52BAE"/>
    <w:rsid w:val="00C774DE"/>
    <w:rsid w:val="00C818EF"/>
    <w:rsid w:val="00CD7637"/>
    <w:rsid w:val="00D04A15"/>
    <w:rsid w:val="00D373CC"/>
    <w:rsid w:val="00D84515"/>
    <w:rsid w:val="00DB319C"/>
    <w:rsid w:val="00DC3466"/>
    <w:rsid w:val="00DD1E2D"/>
    <w:rsid w:val="00E2563B"/>
    <w:rsid w:val="00E42AA4"/>
    <w:rsid w:val="00E51B6D"/>
    <w:rsid w:val="00E963A1"/>
    <w:rsid w:val="00ED5BCE"/>
    <w:rsid w:val="00EF00DF"/>
    <w:rsid w:val="00F056FF"/>
    <w:rsid w:val="00F5022F"/>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4</cp:revision>
  <dcterms:created xsi:type="dcterms:W3CDTF">2022-01-21T06:50:00Z</dcterms:created>
  <dcterms:modified xsi:type="dcterms:W3CDTF">2022-01-21T06:50:00Z</dcterms:modified>
</cp:coreProperties>
</file>