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 w:rsidR="005263DF" w:rsidRPr="005263DF">
        <w:rPr>
          <w:rFonts w:hint="eastAsia"/>
          <w:b/>
          <w:bCs/>
          <w:color w:val="000000"/>
          <w:sz w:val="30"/>
          <w:szCs w:val="30"/>
        </w:rPr>
        <w:t>暂停直销机构并</w:t>
      </w:r>
      <w:r>
        <w:rPr>
          <w:rFonts w:hint="eastAsia"/>
          <w:b/>
          <w:bCs/>
          <w:color w:val="000000"/>
          <w:sz w:val="30"/>
          <w:szCs w:val="30"/>
        </w:rPr>
        <w:t>调整</w:t>
      </w:r>
      <w:r w:rsidR="005263DF" w:rsidRPr="005263DF">
        <w:rPr>
          <w:rFonts w:hint="eastAsia"/>
          <w:b/>
          <w:bCs/>
          <w:color w:val="000000"/>
          <w:sz w:val="30"/>
          <w:szCs w:val="30"/>
        </w:rPr>
        <w:t>非直销销售机构</w:t>
      </w:r>
      <w:r>
        <w:rPr>
          <w:rFonts w:hint="eastAsia"/>
          <w:b/>
          <w:bCs/>
          <w:color w:val="000000"/>
          <w:sz w:val="30"/>
          <w:szCs w:val="30"/>
        </w:rPr>
        <w:t>大额申购（转换转入、定期定额投资）业务的公告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>
        <w:rPr>
          <w:rFonts w:ascii="宋体" w:hAnsi="宋体"/>
          <w:b/>
          <w:sz w:val="24"/>
        </w:rPr>
        <w:t>202</w:t>
      </w:r>
      <w:r w:rsidR="005263DF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年</w:t>
      </w:r>
      <w:r w:rsidR="005263DF">
        <w:rPr>
          <w:rFonts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月</w:t>
      </w:r>
      <w:r w:rsidR="005263DF"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E91B83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暂停相关</w:t>
            </w:r>
            <w:r w:rsidR="00C53EB7">
              <w:rPr>
                <w:rFonts w:hint="eastAsia"/>
                <w:sz w:val="24"/>
              </w:rPr>
              <w:t>业务的起始日、金额及原因说明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685AE1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</w:t>
            </w:r>
            <w:r w:rsidR="00C53EB7">
              <w:rPr>
                <w:rFonts w:hint="eastAsia"/>
                <w:sz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EC1998">
              <w:rPr>
                <w:sz w:val="24"/>
              </w:rPr>
              <w:t>2</w:t>
            </w:r>
            <w:r w:rsidRPr="00B91EA4">
              <w:rPr>
                <w:rFonts w:hint="eastAsia"/>
                <w:sz w:val="24"/>
              </w:rPr>
              <w:t>年</w:t>
            </w:r>
            <w:r w:rsidR="00EC1998">
              <w:rPr>
                <w:sz w:val="24"/>
              </w:rPr>
              <w:t>1</w:t>
            </w:r>
            <w:r w:rsidRPr="003B39A9">
              <w:rPr>
                <w:rFonts w:hint="eastAsia"/>
                <w:sz w:val="24"/>
              </w:rPr>
              <w:t>月</w:t>
            </w:r>
            <w:r w:rsidR="00EC1998">
              <w:rPr>
                <w:sz w:val="24"/>
              </w:rPr>
              <w:t>4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685AE1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</w:t>
            </w:r>
            <w:r w:rsidR="00C53EB7"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="00C53EB7"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 w:rsidR="00C53EB7"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="00C53EB7"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EC1998">
              <w:rPr>
                <w:sz w:val="24"/>
              </w:rPr>
              <w:t>2</w:t>
            </w:r>
            <w:r w:rsidRPr="00B91EA4">
              <w:rPr>
                <w:rFonts w:hint="eastAsia"/>
                <w:sz w:val="24"/>
              </w:rPr>
              <w:t>年</w:t>
            </w:r>
            <w:r w:rsidR="00EC1998">
              <w:rPr>
                <w:sz w:val="24"/>
              </w:rPr>
              <w:t>1</w:t>
            </w:r>
            <w:r w:rsidRPr="003B39A9">
              <w:rPr>
                <w:rFonts w:hint="eastAsia"/>
                <w:sz w:val="24"/>
              </w:rPr>
              <w:t>月</w:t>
            </w:r>
            <w:r w:rsidR="00EC1998">
              <w:rPr>
                <w:sz w:val="24"/>
              </w:rPr>
              <w:t>4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685AE1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</w:t>
            </w:r>
            <w:r w:rsidR="00C53EB7"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="00C53EB7"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 w:rsidR="00C53EB7"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="00C53EB7"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EC1998">
              <w:rPr>
                <w:sz w:val="24"/>
              </w:rPr>
              <w:t>2</w:t>
            </w:r>
            <w:r w:rsidRPr="00B91EA4">
              <w:rPr>
                <w:rFonts w:hint="eastAsia"/>
                <w:sz w:val="24"/>
              </w:rPr>
              <w:t>年</w:t>
            </w:r>
            <w:r w:rsidR="00EC1998">
              <w:rPr>
                <w:sz w:val="24"/>
              </w:rPr>
              <w:t>1</w:t>
            </w:r>
            <w:r w:rsidRPr="003B39A9">
              <w:rPr>
                <w:rFonts w:hint="eastAsia"/>
                <w:sz w:val="24"/>
              </w:rPr>
              <w:t>月</w:t>
            </w:r>
            <w:r w:rsidR="00EC1998">
              <w:rPr>
                <w:sz w:val="24"/>
              </w:rPr>
              <w:t>4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AE5286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  <w:bookmarkStart w:id="1" w:name="_GoBack" w:colFirst="2" w:colLast="2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506DD6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</w:t>
            </w:r>
            <w:r w:rsidR="00C53EB7">
              <w:rPr>
                <w:rFonts w:hint="eastAsia"/>
                <w:sz w:val="24"/>
              </w:rPr>
              <w:t>大额申购（转换转入、定期定额投资）业务的原因说明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AE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</w:t>
            </w:r>
            <w:r w:rsidR="0095409D" w:rsidRPr="0095409D">
              <w:rPr>
                <w:rFonts w:hint="eastAsia"/>
                <w:sz w:val="24"/>
              </w:rPr>
              <w:t>进一步</w:t>
            </w:r>
            <w:r>
              <w:rPr>
                <w:rFonts w:hint="eastAsia"/>
                <w:sz w:val="24"/>
              </w:rPr>
              <w:t>稳定基金规模，追求平稳运作</w:t>
            </w:r>
          </w:p>
        </w:tc>
      </w:tr>
      <w:bookmarkEnd w:id="1"/>
      <w:tr w:rsidR="0062603B" w:rsidTr="0079449C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3B" w:rsidRPr="0079449C" w:rsidRDefault="0062603B" w:rsidP="0062603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2603B" w:rsidTr="0079449C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3B" w:rsidRPr="0079449C" w:rsidRDefault="0062603B" w:rsidP="0062603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2603B" w:rsidTr="0079449C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3B" w:rsidRPr="0079449C" w:rsidRDefault="0062603B" w:rsidP="0062603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 w:rsidR="002E6E10">
              <w:rPr>
                <w:rFonts w:hint="eastAsia"/>
                <w:sz w:val="24"/>
              </w:rPr>
              <w:t>暂停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3B" w:rsidRDefault="0062603B" w:rsidP="0062603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D47686" w:rsidRPr="00D47686" w:rsidRDefault="00C53EB7" w:rsidP="00D4768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</w:t>
      </w:r>
      <w:r w:rsidR="00D47686" w:rsidRPr="00D47686">
        <w:rPr>
          <w:rFonts w:hint="eastAsia"/>
          <w:color w:val="000000"/>
          <w:sz w:val="24"/>
        </w:rPr>
        <w:t>（</w:t>
      </w:r>
      <w:r w:rsidR="00D47686" w:rsidRPr="00D47686">
        <w:rPr>
          <w:rFonts w:hint="eastAsia"/>
          <w:color w:val="000000"/>
          <w:sz w:val="24"/>
        </w:rPr>
        <w:t>1</w:t>
      </w:r>
      <w:r w:rsidR="00D47686" w:rsidRPr="00D47686">
        <w:rPr>
          <w:rFonts w:hint="eastAsia"/>
          <w:color w:val="000000"/>
          <w:sz w:val="24"/>
        </w:rPr>
        <w:t>）上述业务限制适用于直销机构与非直销销售机构。</w:t>
      </w:r>
    </w:p>
    <w:p w:rsidR="00C53EB7" w:rsidRDefault="00D47686" w:rsidP="00D47686">
      <w:pPr>
        <w:spacing w:line="360" w:lineRule="auto"/>
        <w:rPr>
          <w:color w:val="000000"/>
          <w:sz w:val="24"/>
        </w:rPr>
      </w:pPr>
      <w:r w:rsidRPr="00D47686">
        <w:rPr>
          <w:rFonts w:hint="eastAsia"/>
          <w:color w:val="000000"/>
          <w:sz w:val="24"/>
        </w:rPr>
        <w:t xml:space="preserve">   </w:t>
      </w:r>
      <w:r w:rsidRPr="00D47686">
        <w:rPr>
          <w:rFonts w:hint="eastAsia"/>
          <w:color w:val="000000"/>
          <w:sz w:val="24"/>
        </w:rPr>
        <w:t>（</w:t>
      </w:r>
      <w:r w:rsidRPr="00D47686">
        <w:rPr>
          <w:rFonts w:hint="eastAsia"/>
          <w:color w:val="000000"/>
          <w:sz w:val="24"/>
        </w:rPr>
        <w:t>2</w:t>
      </w:r>
      <w:r w:rsidRPr="00D47686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除了对单笔金额在人民币</w:t>
      </w:r>
      <w:r w:rsidR="00D44A1D">
        <w:rPr>
          <w:color w:val="000000"/>
          <w:sz w:val="24"/>
        </w:rPr>
        <w:t>1000</w:t>
      </w:r>
      <w:r w:rsidR="00C53EB7">
        <w:rPr>
          <w:rFonts w:hint="eastAsia"/>
          <w:color w:val="000000"/>
          <w:sz w:val="24"/>
        </w:rPr>
        <w:t>元以上（不含</w:t>
      </w:r>
      <w:r w:rsidR="00D44A1D">
        <w:rPr>
          <w:color w:val="000000"/>
          <w:sz w:val="24"/>
        </w:rPr>
        <w:t>1000</w:t>
      </w:r>
      <w:r w:rsidR="00C53EB7">
        <w:rPr>
          <w:rFonts w:hint="eastAsia"/>
          <w:color w:val="000000"/>
          <w:sz w:val="24"/>
        </w:rPr>
        <w:t>元）的申购及转换入申请（含定期定额投资业务发起的申购申请）进行限制外，对于当日单个基金账户累计申购及转换</w:t>
      </w:r>
      <w:proofErr w:type="gramStart"/>
      <w:r w:rsidR="00C53EB7">
        <w:rPr>
          <w:rFonts w:hint="eastAsia"/>
          <w:color w:val="000000"/>
          <w:sz w:val="24"/>
        </w:rPr>
        <w:t>入金额</w:t>
      </w:r>
      <w:proofErr w:type="gramEnd"/>
      <w:r w:rsidR="00C53EB7">
        <w:rPr>
          <w:rFonts w:hint="eastAsia"/>
          <w:color w:val="000000"/>
          <w:sz w:val="24"/>
        </w:rPr>
        <w:t>在人民币</w:t>
      </w:r>
      <w:r w:rsidR="00D44A1D">
        <w:rPr>
          <w:color w:val="000000"/>
          <w:sz w:val="24"/>
        </w:rPr>
        <w:t>1000</w:t>
      </w:r>
      <w:r w:rsidR="00C53EB7">
        <w:rPr>
          <w:rFonts w:hint="eastAsia"/>
          <w:color w:val="000000"/>
          <w:sz w:val="24"/>
        </w:rPr>
        <w:t>元以上（不含</w:t>
      </w:r>
      <w:r w:rsidR="00D44A1D">
        <w:rPr>
          <w:color w:val="000000"/>
          <w:sz w:val="24"/>
        </w:rPr>
        <w:t>1000</w:t>
      </w:r>
      <w:r w:rsidR="00C53EB7">
        <w:rPr>
          <w:rFonts w:hint="eastAsia"/>
          <w:color w:val="000000"/>
          <w:sz w:val="24"/>
        </w:rPr>
        <w:t>元）的申购及转换入</w:t>
      </w:r>
      <w:r w:rsidR="00C53EB7">
        <w:rPr>
          <w:rFonts w:hint="eastAsia"/>
          <w:color w:val="000000"/>
          <w:sz w:val="24"/>
        </w:rPr>
        <w:lastRenderedPageBreak/>
        <w:t>申请（含定期定额投资业务发起的申购申请</w:t>
      </w:r>
      <w:r w:rsidRPr="00D47686">
        <w:rPr>
          <w:rFonts w:hint="eastAsia"/>
          <w:color w:val="000000"/>
          <w:sz w:val="24"/>
        </w:rPr>
        <w:t>，本基金</w:t>
      </w:r>
      <w:r w:rsidRPr="00D47686">
        <w:rPr>
          <w:rFonts w:hint="eastAsia"/>
          <w:color w:val="000000"/>
          <w:sz w:val="24"/>
        </w:rPr>
        <w:t>A</w:t>
      </w:r>
      <w:r w:rsidRPr="00D47686">
        <w:rPr>
          <w:rFonts w:hint="eastAsia"/>
          <w:color w:val="000000"/>
          <w:sz w:val="24"/>
        </w:rPr>
        <w:t>类、</w:t>
      </w:r>
      <w:r w:rsidRPr="00D47686">
        <w:rPr>
          <w:rFonts w:hint="eastAsia"/>
          <w:color w:val="000000"/>
          <w:sz w:val="24"/>
        </w:rPr>
        <w:t>C</w:t>
      </w:r>
      <w:r w:rsidRPr="00D47686">
        <w:rPr>
          <w:rFonts w:hint="eastAsia"/>
          <w:color w:val="000000"/>
          <w:sz w:val="24"/>
        </w:rPr>
        <w:t>类基金份额申请金额并予以合计</w:t>
      </w:r>
      <w:r w:rsidR="00C53EB7">
        <w:rPr>
          <w:rFonts w:hint="eastAsia"/>
          <w:color w:val="000000"/>
          <w:sz w:val="24"/>
        </w:rPr>
        <w:t>），本基金管理人也有权拒绝，不予确认。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）在本基金上述暂停大额申购（转换转入、定期定额投资）业务期间，本基金的赎回、转换转出业务正常进行。</w:t>
      </w:r>
    </w:p>
    <w:p w:rsidR="003B082F" w:rsidRPr="003B082F" w:rsidRDefault="00C53EB7" w:rsidP="003B082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3B082F" w:rsidRPr="003B082F">
        <w:rPr>
          <w:rFonts w:hint="eastAsia"/>
          <w:color w:val="000000"/>
          <w:sz w:val="24"/>
        </w:rPr>
        <w:t>关于取消上述暂停大额申购（转换转入、定期定额投资）业务限制的时间，本基金管理人将另行公告。</w:t>
      </w:r>
    </w:p>
    <w:p w:rsidR="00C53EB7" w:rsidRDefault="003B082F" w:rsidP="003B082F">
      <w:pPr>
        <w:spacing w:line="360" w:lineRule="auto"/>
        <w:ind w:firstLineChars="200" w:firstLine="480"/>
        <w:rPr>
          <w:color w:val="000000"/>
          <w:sz w:val="24"/>
        </w:rPr>
      </w:pPr>
      <w:r w:rsidRPr="003B082F">
        <w:rPr>
          <w:rFonts w:hint="eastAsia"/>
          <w:color w:val="000000"/>
          <w:sz w:val="24"/>
        </w:rPr>
        <w:t>（</w:t>
      </w:r>
      <w:r w:rsidRPr="003B082F">
        <w:rPr>
          <w:rFonts w:hint="eastAsia"/>
          <w:color w:val="000000"/>
          <w:sz w:val="24"/>
        </w:rPr>
        <w:t>3</w:t>
      </w:r>
      <w:r w:rsidRPr="003B082F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1D" w:rsidRDefault="00F2201D" w:rsidP="00C53EB7">
      <w:r>
        <w:separator/>
      </w:r>
    </w:p>
  </w:endnote>
  <w:endnote w:type="continuationSeparator" w:id="0">
    <w:p w:rsidR="00F2201D" w:rsidRDefault="00F2201D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86" w:rsidRPr="00AE5286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1D" w:rsidRDefault="00F2201D" w:rsidP="00C53EB7">
      <w:r>
        <w:separator/>
      </w:r>
    </w:p>
  </w:footnote>
  <w:footnote w:type="continuationSeparator" w:id="0">
    <w:p w:rsidR="00F2201D" w:rsidRDefault="00F2201D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6208E"/>
    <w:rsid w:val="001D54B3"/>
    <w:rsid w:val="001E4EAA"/>
    <w:rsid w:val="002E6E10"/>
    <w:rsid w:val="002F7A4A"/>
    <w:rsid w:val="00376A54"/>
    <w:rsid w:val="003832CE"/>
    <w:rsid w:val="003B082F"/>
    <w:rsid w:val="00506DD6"/>
    <w:rsid w:val="005263DF"/>
    <w:rsid w:val="005B0F83"/>
    <w:rsid w:val="0062603B"/>
    <w:rsid w:val="00685AE1"/>
    <w:rsid w:val="006B5AFE"/>
    <w:rsid w:val="0079449C"/>
    <w:rsid w:val="007F1EB2"/>
    <w:rsid w:val="0083484E"/>
    <w:rsid w:val="0095409D"/>
    <w:rsid w:val="00A22921"/>
    <w:rsid w:val="00A45CEE"/>
    <w:rsid w:val="00A6414A"/>
    <w:rsid w:val="00AA5E2E"/>
    <w:rsid w:val="00AB7F4B"/>
    <w:rsid w:val="00AE5286"/>
    <w:rsid w:val="00BA62D6"/>
    <w:rsid w:val="00C409DE"/>
    <w:rsid w:val="00C5173B"/>
    <w:rsid w:val="00C53EB7"/>
    <w:rsid w:val="00C65F2D"/>
    <w:rsid w:val="00D43A65"/>
    <w:rsid w:val="00D44A1D"/>
    <w:rsid w:val="00D47686"/>
    <w:rsid w:val="00E83BB9"/>
    <w:rsid w:val="00E91B83"/>
    <w:rsid w:val="00EB3638"/>
    <w:rsid w:val="00EC1998"/>
    <w:rsid w:val="00F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C19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60</cp:revision>
  <dcterms:created xsi:type="dcterms:W3CDTF">2020-08-31T07:20:00Z</dcterms:created>
  <dcterms:modified xsi:type="dcterms:W3CDTF">2021-12-31T08:18:00Z</dcterms:modified>
</cp:coreProperties>
</file>