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r>
        <w:rPr>
          <w:rFonts w:hint="eastAsia" w:ascii="宋体" w:hAnsi="宋体" w:cs="宋体"/>
          <w:b/>
          <w:bCs/>
          <w:sz w:val="28"/>
          <w:szCs w:val="28"/>
        </w:rPr>
        <w:t>交银施罗德鸿信一年持有期混合型证券投资基金基金份额发售公告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交银施罗德鸿信一年持有期混合型证券投资基金</w:t>
      </w:r>
      <w:r>
        <w:rPr>
          <w:rFonts w:hAnsi="宋体"/>
          <w:sz w:val="24"/>
        </w:rPr>
        <w:t>（以下简称“本基金”）的募集已获中国证券监督管理委员会（以下简称“中国证监会”）证监许可【2021】</w:t>
      </w:r>
      <w:r>
        <w:rPr>
          <w:rFonts w:hint="eastAsia" w:hAnsi="宋体"/>
          <w:sz w:val="24"/>
        </w:rPr>
        <w:t>2007</w:t>
      </w:r>
      <w:r>
        <w:rPr>
          <w:rFonts w:hAnsi="宋体"/>
          <w:sz w:val="24"/>
        </w:rPr>
        <w:t>号文</w:t>
      </w:r>
      <w:r>
        <w:rPr>
          <w:rFonts w:hint="eastAsia" w:ascii="宋体" w:hAnsi="宋体"/>
          <w:sz w:val="24"/>
        </w:rPr>
        <w:t>予以注册</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w:t>
      </w:r>
      <w:r>
        <w:rPr>
          <w:rFonts w:hAnsi="宋体"/>
          <w:sz w:val="24"/>
        </w:rPr>
        <w:t>证券投资基金。</w:t>
      </w:r>
    </w:p>
    <w:p>
      <w:pPr>
        <w:adjustRightInd w:val="0"/>
        <w:snapToGrid w:val="0"/>
        <w:spacing w:line="360" w:lineRule="auto"/>
        <w:ind w:firstLine="480" w:firstLineChars="200"/>
        <w:rPr>
          <w:rFonts w:hAnsi="宋体"/>
          <w:sz w:val="24"/>
        </w:rPr>
      </w:pPr>
      <w:r>
        <w:rPr>
          <w:rFonts w:hint="eastAsia" w:hAnsi="宋体"/>
          <w:sz w:val="24"/>
        </w:rPr>
        <w:t>基金份额</w:t>
      </w:r>
      <w:r>
        <w:rPr>
          <w:rFonts w:hAnsi="宋体"/>
          <w:sz w:val="24"/>
        </w:rPr>
        <w:t>持有人持有的</w:t>
      </w:r>
      <w:r>
        <w:rPr>
          <w:rFonts w:hint="eastAsia" w:hAnsi="宋体"/>
          <w:sz w:val="24"/>
        </w:rPr>
        <w:t>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pPr>
        <w:adjustRightInd w:val="0"/>
        <w:snapToGrid w:val="0"/>
        <w:spacing w:line="360" w:lineRule="auto"/>
        <w:ind w:firstLine="480" w:firstLineChars="200"/>
        <w:rPr>
          <w:rFonts w:hAnsi="宋体"/>
          <w:sz w:val="24"/>
        </w:rPr>
      </w:pPr>
      <w:r>
        <w:rPr>
          <w:sz w:val="24"/>
        </w:rPr>
        <w:t>3</w:t>
      </w:r>
      <w:r>
        <w:rPr>
          <w:rFonts w:hAnsi="宋体"/>
          <w:sz w:val="24"/>
        </w:rPr>
        <w:t>、本基金的管理人为交银施罗德基金管理有限公司（以下使用全称或其简称“本公司”），托管人为</w:t>
      </w:r>
      <w:r>
        <w:rPr>
          <w:rFonts w:hint="eastAsia" w:hAnsi="宋体"/>
          <w:sz w:val="24"/>
        </w:rPr>
        <w:t>中信银行股份有限公司</w:t>
      </w:r>
      <w:r>
        <w:rPr>
          <w:rFonts w:hAnsi="宋体"/>
          <w:sz w:val="24"/>
        </w:rPr>
        <w:t>，登记机构为中国证券登记结算有限责任公司（以下使用全称或其简称“中登”）。</w:t>
      </w:r>
    </w:p>
    <w:p>
      <w:pPr>
        <w:adjustRightInd w:val="0"/>
        <w:snapToGrid w:val="0"/>
        <w:spacing w:line="360" w:lineRule="auto"/>
        <w:ind w:firstLine="480" w:firstLineChars="200"/>
        <w:rPr>
          <w:rFonts w:hAnsi="宋体"/>
          <w:sz w:val="24"/>
        </w:rPr>
      </w:pPr>
      <w:r>
        <w:rPr>
          <w:rFonts w:hint="eastAsia" w:hAnsi="宋体"/>
          <w:sz w:val="24"/>
        </w:rPr>
        <w:t>4、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adjustRightInd w:val="0"/>
        <w:snapToGrid w:val="0"/>
        <w:spacing w:line="360" w:lineRule="auto"/>
        <w:ind w:firstLine="480" w:firstLineChars="200"/>
        <w:rPr>
          <w:rFonts w:ascii="宋体" w:hAnsi="宋体"/>
          <w:sz w:val="24"/>
        </w:rPr>
      </w:pPr>
      <w:r>
        <w:rPr>
          <w:rFonts w:hAnsi="宋体"/>
          <w:sz w:val="24"/>
        </w:rPr>
        <w:t>5</w:t>
      </w:r>
      <w:r>
        <w:rPr>
          <w:rFonts w:hint="eastAsia" w:hAnsi="宋体"/>
          <w:sz w:val="24"/>
        </w:rPr>
        <w:t>、</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sz w:val="24"/>
        </w:rPr>
        <w:t>6</w:t>
      </w:r>
      <w:r>
        <w:rPr>
          <w:rFonts w:hAnsi="宋体"/>
          <w:sz w:val="24"/>
        </w:rPr>
        <w:t>、基金募集期：本基金自</w:t>
      </w:r>
      <w:r>
        <w:rPr>
          <w:sz w:val="24"/>
        </w:rPr>
        <w:t>2021年7</w:t>
      </w:r>
      <w:r>
        <w:rPr>
          <w:rFonts w:hint="eastAsia"/>
          <w:sz w:val="24"/>
        </w:rPr>
        <w:t>月28日起至</w:t>
      </w:r>
      <w:r>
        <w:rPr>
          <w:sz w:val="24"/>
        </w:rPr>
        <w:t>2021</w:t>
      </w:r>
      <w:r>
        <w:rPr>
          <w:rFonts w:hint="eastAsia"/>
          <w:sz w:val="24"/>
        </w:rPr>
        <w:t>年8</w:t>
      </w:r>
      <w:r>
        <w:rPr>
          <w:sz w:val="24"/>
        </w:rPr>
        <w:t>月</w:t>
      </w:r>
      <w:r>
        <w:rPr>
          <w:rFonts w:hint="eastAsia"/>
          <w:sz w:val="24"/>
        </w:rPr>
        <w:t>3</w:t>
      </w:r>
      <w:r>
        <w:rPr>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sz w:val="24"/>
        </w:rPr>
      </w:pPr>
      <w:r>
        <w:rPr>
          <w:sz w:val="24"/>
        </w:rPr>
        <w:t>8</w:t>
      </w:r>
      <w:r>
        <w:rPr>
          <w:rFonts w:hAnsi="宋体"/>
          <w:sz w:val="24"/>
        </w:rPr>
        <w:t>、</w:t>
      </w:r>
      <w:r>
        <w:rPr>
          <w:rFonts w:hint="eastAsia" w:hAnsi="宋体"/>
          <w:sz w:val="24"/>
        </w:rPr>
        <w:t>募集期内，本基金募集规模上限为8</w:t>
      </w:r>
      <w:r>
        <w:rPr>
          <w:rFonts w:hAnsi="宋体"/>
          <w:sz w:val="24"/>
        </w:rPr>
        <w:t>0</w:t>
      </w:r>
      <w:r>
        <w:rPr>
          <w:rFonts w:hint="eastAsia" w:hAnsi="宋体"/>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指定媒介上公告，未确认部分的认购款项将在募集期结束后退还给投资者，由此产生的利息等损失由投资人自行承担。</w:t>
      </w:r>
    </w:p>
    <w:p>
      <w:pPr>
        <w:adjustRightInd w:val="0"/>
        <w:snapToGrid w:val="0"/>
        <w:spacing w:line="360" w:lineRule="auto"/>
        <w:ind w:firstLine="480" w:firstLineChars="200"/>
        <w:rPr>
          <w:rFonts w:hAnsi="宋体"/>
          <w:kern w:val="0"/>
          <w:sz w:val="24"/>
        </w:rPr>
      </w:pPr>
      <w:r>
        <w:rPr>
          <w:rFonts w:hAnsi="宋体"/>
          <w:sz w:val="24"/>
        </w:rPr>
        <w:t>9</w:t>
      </w:r>
      <w:r>
        <w:rPr>
          <w:rFonts w:hint="eastAsia" w:hAnsi="宋体"/>
          <w:sz w:val="24"/>
        </w:rPr>
        <w:t>、</w:t>
      </w:r>
      <w:r>
        <w:rPr>
          <w:rFonts w:hint="eastAsia" w:hAnsi="宋体"/>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pPr>
        <w:adjustRightInd w:val="0"/>
        <w:snapToGrid w:val="0"/>
        <w:spacing w:line="360" w:lineRule="auto"/>
        <w:ind w:firstLine="480" w:firstLineChars="200"/>
        <w:rPr>
          <w:rFonts w:hAnsi="宋体"/>
          <w:kern w:val="0"/>
          <w:sz w:val="24"/>
        </w:rPr>
      </w:pPr>
      <w:r>
        <w:rPr>
          <w:rFonts w:hint="eastAsia" w:hAnsi="宋体"/>
          <w:kern w:val="0"/>
          <w:sz w:val="24"/>
        </w:rPr>
        <w:t>（1）已持有上海人民币普通股票账户（或证券投资基金账户）的投资人，可以通过销售机构办理开户手续，将上海人民币普通股票账户（或证券投资基金账户）注册为开放式基金账户。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（2）没有上海人民币普通股票账户或证券投资基金账户的投资人，可通过销售机构申请注册开放式基金账户。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（3）已经持有中登开放式基金账户的投资人到非原开户机构办理认购的，不需再次开立基金账户，可凭中登基金账号到非原开户机构办理账户登记，然后再认购本基金。</w:t>
      </w:r>
    </w:p>
    <w:p>
      <w:pPr>
        <w:adjustRightInd w:val="0"/>
        <w:snapToGrid w:val="0"/>
        <w:spacing w:line="360" w:lineRule="auto"/>
        <w:ind w:firstLine="480" w:firstLineChars="200"/>
        <w:rPr>
          <w:sz w:val="24"/>
        </w:rPr>
      </w:pPr>
      <w:r>
        <w:rPr>
          <w:rFonts w:hAnsi="宋体"/>
          <w:kern w:val="0"/>
          <w:sz w:val="24"/>
        </w:rPr>
        <w:t>10</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100,000</w:t>
      </w:r>
      <w:r>
        <w:rPr>
          <w:rFonts w:hint="eastAsia"/>
          <w:color w:val="000000"/>
          <w:kern w:val="0"/>
          <w:sz w:val="24"/>
        </w:rPr>
        <w:t>元，追加认购的最低金额为单笔</w:t>
      </w:r>
      <w:r>
        <w:rPr>
          <w:color w:val="000000"/>
          <w:kern w:val="0"/>
          <w:sz w:val="24"/>
        </w:rPr>
        <w:t>10,000</w:t>
      </w:r>
      <w:r>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sz w:val="24"/>
        </w:rPr>
        <w:t>11</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sz w:val="24"/>
        </w:rPr>
        <w:t>12</w:t>
      </w:r>
      <w:r>
        <w:rPr>
          <w:rFonts w:hAnsi="宋体"/>
          <w:sz w:val="24"/>
        </w:rPr>
        <w:t>、本公告仅对本基金基金份额发售的有关事项和规定予以说明。投资者欲了解本基金的详细情况，请详细阅读202</w:t>
      </w:r>
      <w:r>
        <w:rPr>
          <w:rFonts w:hint="eastAsia" w:hAnsi="宋体"/>
          <w:sz w:val="24"/>
        </w:rPr>
        <w:t>1</w:t>
      </w:r>
      <w:r>
        <w:rPr>
          <w:rFonts w:hAnsi="宋体"/>
          <w:sz w:val="24"/>
        </w:rPr>
        <w:t>年</w:t>
      </w:r>
      <w:r>
        <w:rPr>
          <w:rFonts w:hint="eastAsia" w:hAnsi="宋体"/>
          <w:sz w:val="24"/>
        </w:rPr>
        <w:t>7月</w:t>
      </w:r>
      <w:r>
        <w:rPr>
          <w:rFonts w:hint="eastAsia" w:hAnsi="宋体"/>
          <w:sz w:val="24"/>
          <w:lang w:val="en-US" w:eastAsia="zh-CN"/>
        </w:rPr>
        <w:t>2</w:t>
      </w:r>
      <w:r>
        <w:rPr>
          <w:rFonts w:hAnsi="宋体"/>
          <w:sz w:val="24"/>
        </w:rPr>
        <w:t>日</w:t>
      </w:r>
      <w:bookmarkStart w:id="7" w:name="_GoBack"/>
      <w:bookmarkEnd w:id="7"/>
      <w:r>
        <w:rPr>
          <w:rFonts w:hint="eastAsia" w:hAnsi="宋体"/>
          <w:sz w:val="24"/>
        </w:rPr>
        <w:t>在本公司网站（www.fund001.com）和中国证监会基金电子披露网站（http://eid.csrc.gov.cn/fund）披露</w:t>
      </w:r>
      <w:r>
        <w:rPr>
          <w:rFonts w:hAnsi="宋体"/>
          <w:sz w:val="24"/>
        </w:rPr>
        <w:t>的</w:t>
      </w:r>
      <w:r>
        <w:rPr>
          <w:rFonts w:hint="eastAsia" w:hAnsi="宋体"/>
          <w:sz w:val="24"/>
        </w:rPr>
        <w:t>交银施罗德鸿信一年持有期混合型证券投资基金基金合同</w:t>
      </w:r>
      <w:r>
        <w:rPr>
          <w:rFonts w:hAnsi="宋体"/>
          <w:sz w:val="24"/>
        </w:rPr>
        <w:t>和招募说明书。</w:t>
      </w:r>
    </w:p>
    <w:p>
      <w:pPr>
        <w:adjustRightInd w:val="0"/>
        <w:snapToGrid w:val="0"/>
        <w:spacing w:line="360" w:lineRule="auto"/>
        <w:ind w:firstLine="480" w:firstLineChars="200"/>
        <w:rPr>
          <w:sz w:val="24"/>
        </w:rPr>
      </w:pPr>
      <w:r>
        <w:rPr>
          <w:sz w:val="24"/>
        </w:rPr>
        <w:t>13</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sz w:val="24"/>
        </w:rPr>
        <w:t>14</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sz w:val="24"/>
        </w:rPr>
        <w:t>15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sz w:val="24"/>
        </w:rPr>
        <w:t>16</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sz w:val="24"/>
        </w:rPr>
        <w:t>17</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sz w:val="24"/>
        </w:rPr>
        <w:t>18</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pPr>
        <w:widowControl/>
        <w:adjustRightInd w:val="0"/>
        <w:snapToGrid w:val="0"/>
        <w:spacing w:line="360" w:lineRule="auto"/>
        <w:ind w:firstLine="480" w:firstLineChars="200"/>
        <w:rPr>
          <w:rFonts w:hAnsi="宋体"/>
          <w:kern w:val="0"/>
          <w:sz w:val="24"/>
        </w:rPr>
      </w:pPr>
      <w:r>
        <w:rPr>
          <w:rFonts w:hAnsi="宋体"/>
          <w:kern w:val="0"/>
          <w:sz w:val="24"/>
        </w:rPr>
        <w:t>基金分为股票</w:t>
      </w:r>
      <w:r>
        <w:rPr>
          <w:rFonts w:hint="eastAsia" w:hAnsi="宋体"/>
          <w:kern w:val="0"/>
          <w:sz w:val="24"/>
        </w:rPr>
        <w:t>型</w:t>
      </w:r>
      <w:r>
        <w:rPr>
          <w:rFonts w:hAnsi="宋体"/>
          <w:kern w:val="0"/>
          <w:sz w:val="24"/>
        </w:rPr>
        <w:t>基金、混合</w:t>
      </w:r>
      <w:r>
        <w:rPr>
          <w:rFonts w:hint="eastAsia" w:hAnsi="宋体"/>
          <w:kern w:val="0"/>
          <w:sz w:val="24"/>
        </w:rPr>
        <w:t>型</w:t>
      </w:r>
      <w:r>
        <w:rPr>
          <w:rFonts w:hAnsi="宋体"/>
          <w:kern w:val="0"/>
          <w:sz w:val="24"/>
        </w:rPr>
        <w:t>基金、债券</w:t>
      </w:r>
      <w:r>
        <w:rPr>
          <w:rFonts w:hint="eastAsia" w:hAnsi="宋体"/>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本基金是一只混合型基金，其预期风险和预期收益</w:t>
      </w:r>
      <w:r>
        <w:rPr>
          <w:rFonts w:hint="eastAsia" w:ascii="宋体" w:hAnsi="宋体"/>
          <w:bCs/>
          <w:sz w:val="24"/>
        </w:rPr>
        <w:t>理论上</w:t>
      </w:r>
      <w:r>
        <w:rPr>
          <w:rFonts w:hint="eastAsia" w:hAnsi="宋体"/>
          <w:kern w:val="0"/>
          <w:sz w:val="24"/>
        </w:rPr>
        <w:t>高于债券型基金和货币市场基金，低于股票型基金。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int="eastAsia" w:hAnsi="宋体"/>
          <w:kern w:val="0"/>
          <w:sz w:val="24"/>
        </w:rPr>
        <w:t>是市场风险、流动性风险、基差风险、保证金风险、信用风险和操作风险。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adjustRightInd w:val="0"/>
        <w:snapToGrid w:val="0"/>
        <w:spacing w:line="360" w:lineRule="auto"/>
        <w:ind w:firstLine="480" w:firstLineChars="200"/>
        <w:rPr>
          <w:rFonts w:hAnsi="宋体"/>
          <w:kern w:val="0"/>
          <w:sz w:val="24"/>
        </w:rPr>
      </w:pPr>
      <w:r>
        <w:rPr>
          <w:rFonts w:hint="eastAsia" w:hAnsi="宋体"/>
          <w:kern w:val="0"/>
          <w:sz w:val="24"/>
        </w:rPr>
        <w:t>本</w:t>
      </w:r>
      <w:r>
        <w:rPr>
          <w:rFonts w:hAnsi="宋体"/>
          <w:kern w:val="0"/>
          <w:sz w:val="24"/>
        </w:rPr>
        <w:t>基金面临</w:t>
      </w:r>
      <w:r>
        <w:rPr>
          <w:rFonts w:hint="eastAsia" w:hAnsi="宋体"/>
          <w:kern w:val="0"/>
          <w:sz w:val="24"/>
        </w:rPr>
        <w:t>基金合同提前终止风险。连续5</w:t>
      </w:r>
      <w:r>
        <w:rPr>
          <w:rFonts w:hAnsi="宋体"/>
          <w:kern w:val="0"/>
          <w:sz w:val="24"/>
        </w:rPr>
        <w:t>0</w:t>
      </w:r>
      <w:r>
        <w:rPr>
          <w:rFonts w:hint="eastAsia" w:hAnsi="宋体"/>
          <w:kern w:val="0"/>
          <w:sz w:val="24"/>
        </w:rPr>
        <w:t>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因此，对于基金份额持有人而言，存在投资本基金后一年内无法赎回的风险。</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outlineLvl w:val="1"/>
        <w:rPr>
          <w:sz w:val="24"/>
        </w:rPr>
      </w:pPr>
      <w:r>
        <w:rPr>
          <w:sz w:val="24"/>
        </w:rPr>
        <w:t>1</w:t>
      </w:r>
      <w:r>
        <w:rPr>
          <w:rFonts w:hAnsi="宋体"/>
          <w:sz w:val="24"/>
        </w:rPr>
        <w:t>、基金名称</w:t>
      </w:r>
    </w:p>
    <w:p>
      <w:pPr>
        <w:adjustRightInd w:val="0"/>
        <w:snapToGrid w:val="0"/>
        <w:spacing w:line="360" w:lineRule="auto"/>
        <w:ind w:firstLine="480" w:firstLineChars="200"/>
        <w:rPr>
          <w:sz w:val="24"/>
        </w:rPr>
      </w:pPr>
      <w:r>
        <w:rPr>
          <w:rFonts w:hint="eastAsia" w:hAnsi="宋体"/>
          <w:sz w:val="24"/>
        </w:rPr>
        <w:t>交银施罗德鸿信一年持有期混合型证券投资基金</w:t>
      </w:r>
    </w:p>
    <w:p>
      <w:pPr>
        <w:adjustRightInd w:val="0"/>
        <w:snapToGrid w:val="0"/>
        <w:spacing w:line="360" w:lineRule="auto"/>
        <w:ind w:firstLine="480" w:firstLineChars="200"/>
        <w:outlineLvl w:val="1"/>
        <w:rPr>
          <w:sz w:val="24"/>
        </w:rPr>
      </w:pPr>
      <w:r>
        <w:rPr>
          <w:sz w:val="24"/>
        </w:rPr>
        <w:t>2</w:t>
      </w:r>
      <w:r>
        <w:rPr>
          <w:rFonts w:hAnsi="宋体"/>
          <w:sz w:val="24"/>
        </w:rPr>
        <w:t>、基金类型</w:t>
      </w:r>
    </w:p>
    <w:p>
      <w:pPr>
        <w:adjustRightInd w:val="0"/>
        <w:snapToGrid w:val="0"/>
        <w:spacing w:line="360" w:lineRule="auto"/>
        <w:ind w:firstLine="480" w:firstLineChars="200"/>
        <w:rPr>
          <w:sz w:val="24"/>
        </w:rPr>
      </w:pPr>
      <w:r>
        <w:rPr>
          <w:rFonts w:hint="eastAsia"/>
          <w:color w:val="000000"/>
          <w:kern w:val="0"/>
          <w:sz w:val="24"/>
        </w:rPr>
        <w:t>混合型证券投资基金</w:t>
      </w:r>
    </w:p>
    <w:p>
      <w:pPr>
        <w:adjustRightInd w:val="0"/>
        <w:snapToGrid w:val="0"/>
        <w:spacing w:line="360" w:lineRule="auto"/>
        <w:ind w:firstLine="480" w:firstLineChars="200"/>
        <w:outlineLvl w:val="1"/>
        <w:rPr>
          <w:sz w:val="24"/>
        </w:rPr>
      </w:pPr>
      <w:r>
        <w:rPr>
          <w:sz w:val="24"/>
        </w:rPr>
        <w:t>3</w:t>
      </w:r>
      <w:r>
        <w:rPr>
          <w:rFonts w:hAnsi="宋体"/>
          <w:sz w:val="24"/>
        </w:rPr>
        <w:t>、运作方式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rPr>
          <w:sz w:val="24"/>
        </w:rPr>
      </w:pPr>
      <w:r>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pPr>
        <w:adjustRightInd w:val="0"/>
        <w:snapToGrid w:val="0"/>
        <w:spacing w:line="360" w:lineRule="auto"/>
        <w:ind w:firstLine="480" w:firstLineChars="200"/>
        <w:outlineLvl w:val="1"/>
        <w:rPr>
          <w:sz w:val="24"/>
        </w:rPr>
      </w:pPr>
      <w:r>
        <w:rPr>
          <w:sz w:val="24"/>
        </w:rPr>
        <w:t>4</w:t>
      </w:r>
      <w:r>
        <w:rPr>
          <w:rFonts w:hAnsi="宋体"/>
          <w:sz w:val="24"/>
        </w:rPr>
        <w:t>、基金存续期限</w:t>
      </w:r>
    </w:p>
    <w:p>
      <w:pPr>
        <w:adjustRightInd w:val="0"/>
        <w:snapToGrid w:val="0"/>
        <w:spacing w:line="360" w:lineRule="auto"/>
        <w:ind w:firstLine="480" w:firstLineChars="200"/>
        <w:rPr>
          <w:sz w:val="24"/>
        </w:rPr>
      </w:pPr>
      <w:r>
        <w:rPr>
          <w:rFonts w:hAnsi="宋体"/>
          <w:sz w:val="24"/>
        </w:rPr>
        <w:t>不定期</w:t>
      </w:r>
    </w:p>
    <w:p>
      <w:pPr>
        <w:adjustRightInd w:val="0"/>
        <w:snapToGrid w:val="0"/>
        <w:spacing w:line="360" w:lineRule="auto"/>
        <w:ind w:firstLine="480" w:firstLineChars="200"/>
        <w:outlineLvl w:val="1"/>
        <w:rPr>
          <w:sz w:val="24"/>
        </w:rPr>
      </w:pPr>
      <w:r>
        <w:rPr>
          <w:sz w:val="24"/>
        </w:rPr>
        <w:t>5</w:t>
      </w:r>
      <w:r>
        <w:rPr>
          <w:rFonts w:hAnsi="宋体"/>
          <w:sz w:val="24"/>
        </w:rPr>
        <w:t>、基金份额发售面值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w:t>
      </w:r>
      <w:r>
        <w:rPr>
          <w:sz w:val="24"/>
        </w:rPr>
        <w:t>1.00</w:t>
      </w:r>
      <w:r>
        <w:rPr>
          <w:rFonts w:hAnsi="宋体"/>
          <w:sz w:val="24"/>
        </w:rPr>
        <w:t>元。</w:t>
      </w:r>
    </w:p>
    <w:p>
      <w:pPr>
        <w:adjustRightInd w:val="0"/>
        <w:snapToGrid w:val="0"/>
        <w:spacing w:line="360" w:lineRule="auto"/>
        <w:ind w:firstLine="480" w:firstLineChars="200"/>
        <w:outlineLvl w:val="1"/>
        <w:rPr>
          <w:rFonts w:hAnsi="宋体"/>
          <w:sz w:val="24"/>
        </w:rPr>
      </w:pPr>
      <w:r>
        <w:rPr>
          <w:rFonts w:hint="eastAsia" w:hAnsi="宋体"/>
          <w:sz w:val="24"/>
        </w:rPr>
        <w:t>6、基金份额类别</w:t>
      </w:r>
    </w:p>
    <w:p>
      <w:pPr>
        <w:adjustRightInd w:val="0"/>
        <w:snapToGrid w:val="0"/>
        <w:spacing w:line="360" w:lineRule="auto"/>
        <w:ind w:firstLine="480" w:firstLineChars="200"/>
        <w:rPr>
          <w:rFonts w:hAnsi="宋体"/>
          <w:sz w:val="24"/>
        </w:rPr>
      </w:pPr>
      <w:r>
        <w:rPr>
          <w:rFonts w:hint="eastAsia" w:hAnsi="宋体"/>
          <w:sz w:val="24"/>
        </w:rPr>
        <w:t>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adjustRightInd w:val="0"/>
        <w:snapToGrid w:val="0"/>
        <w:spacing w:line="360" w:lineRule="auto"/>
        <w:ind w:firstLine="480" w:firstLineChars="200"/>
        <w:outlineLvl w:val="1"/>
        <w:rPr>
          <w:sz w:val="24"/>
        </w:rPr>
      </w:pPr>
      <w:r>
        <w:rPr>
          <w:sz w:val="24"/>
        </w:rPr>
        <w:t>7</w:t>
      </w:r>
      <w:r>
        <w:rPr>
          <w:rFonts w:hint="eastAsia"/>
          <w:sz w:val="24"/>
        </w:rPr>
        <w:t>、</w:t>
      </w:r>
      <w:r>
        <w:rPr>
          <w:sz w:val="24"/>
        </w:rPr>
        <w:t>基金代码及基金简称</w:t>
      </w:r>
    </w:p>
    <w:p>
      <w:pPr>
        <w:adjustRightInd w:val="0"/>
        <w:snapToGrid w:val="0"/>
        <w:spacing w:line="360" w:lineRule="auto"/>
        <w:ind w:firstLine="480" w:firstLineChars="200"/>
        <w:rPr>
          <w:sz w:val="24"/>
        </w:rPr>
      </w:pPr>
      <w:r>
        <w:rPr>
          <w:rFonts w:hint="eastAsia"/>
          <w:sz w:val="24"/>
        </w:rPr>
        <w:t>（1）A类基金份额基金代码：012833；基金简称：</w:t>
      </w:r>
      <w:r>
        <w:rPr>
          <w:rFonts w:hint="eastAsia" w:hAnsi="宋体"/>
          <w:sz w:val="24"/>
        </w:rPr>
        <w:t>交银鸿信一年持有期混合A</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C</w:t>
      </w:r>
      <w:r>
        <w:rPr>
          <w:rFonts w:hint="eastAsia"/>
          <w:sz w:val="24"/>
        </w:rPr>
        <w:t>类基金份额基金代码：012834；基金简称：</w:t>
      </w:r>
      <w:r>
        <w:rPr>
          <w:rFonts w:hint="eastAsia" w:hAnsi="宋体"/>
          <w:sz w:val="24"/>
        </w:rPr>
        <w:t>交银鸿信一年持有期混合</w:t>
      </w:r>
      <w:r>
        <w:rPr>
          <w:rFonts w:hint="eastAsia"/>
          <w:sz w:val="24"/>
        </w:rPr>
        <w:t>C</w:t>
      </w:r>
    </w:p>
    <w:p>
      <w:pPr>
        <w:adjustRightInd w:val="0"/>
        <w:snapToGrid w:val="0"/>
        <w:spacing w:line="360" w:lineRule="auto"/>
        <w:ind w:firstLine="480" w:firstLineChars="200"/>
        <w:outlineLvl w:val="1"/>
        <w:rPr>
          <w:sz w:val="24"/>
        </w:rPr>
      </w:pPr>
      <w:r>
        <w:rPr>
          <w:sz w:val="24"/>
        </w:rPr>
        <w:t>8</w:t>
      </w:r>
      <w:r>
        <w:rPr>
          <w:rFonts w:hAnsi="宋体"/>
          <w:sz w:val="24"/>
        </w:rPr>
        <w:t>、发售对象</w:t>
      </w:r>
    </w:p>
    <w:p>
      <w:pPr>
        <w:widowControl/>
        <w:adjustRightInd w:val="0"/>
        <w:snapToGrid w:val="0"/>
        <w:spacing w:line="360" w:lineRule="auto"/>
        <w:ind w:firstLine="480" w:firstLineChars="20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outlineLvl w:val="1"/>
        <w:rPr>
          <w:sz w:val="24"/>
        </w:rPr>
      </w:pPr>
      <w:r>
        <w:rPr>
          <w:sz w:val="24"/>
        </w:rPr>
        <w:t>9</w:t>
      </w:r>
      <w:r>
        <w:rPr>
          <w:rFonts w:hAnsi="宋体"/>
          <w:sz w:val="24"/>
        </w:rPr>
        <w:t>、销售机构</w:t>
      </w:r>
    </w:p>
    <w:p>
      <w:pPr>
        <w:adjustRightInd w:val="0"/>
        <w:snapToGrid w:val="0"/>
        <w:spacing w:line="360" w:lineRule="auto"/>
        <w:ind w:firstLine="480" w:firstLineChars="200"/>
        <w:outlineLvl w:val="2"/>
        <w:rPr>
          <w:sz w:val="24"/>
        </w:rPr>
      </w:pPr>
      <w:r>
        <w:rPr>
          <w:rFonts w:hAnsi="宋体"/>
          <w:sz w:val="24"/>
        </w:rPr>
        <w:t>（</w:t>
      </w:r>
      <w:r>
        <w:rPr>
          <w:sz w:val="24"/>
        </w:rPr>
        <w:t>1</w:t>
      </w:r>
      <w:r>
        <w:rPr>
          <w:rFonts w:hAnsi="宋体"/>
          <w:sz w:val="24"/>
        </w:rPr>
        <w:t>）直销机构：</w:t>
      </w:r>
    </w:p>
    <w:p>
      <w:pPr>
        <w:adjustRightInd w:val="0"/>
        <w:snapToGrid w:val="0"/>
        <w:spacing w:line="360" w:lineRule="auto"/>
        <w:ind w:firstLine="480" w:firstLineChars="200"/>
        <w:rPr>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outlineLvl w:val="2"/>
        <w:rPr>
          <w:rFonts w:hAnsi="宋体"/>
          <w:sz w:val="24"/>
        </w:rPr>
      </w:pPr>
      <w:r>
        <w:rPr>
          <w:rFonts w:hAnsi="宋体"/>
          <w:sz w:val="24"/>
        </w:rPr>
        <w:t>（</w:t>
      </w:r>
      <w:r>
        <w:rPr>
          <w:sz w:val="24"/>
        </w:rPr>
        <w:t>2</w:t>
      </w:r>
      <w:r>
        <w:rPr>
          <w:rFonts w:hAnsi="宋体"/>
          <w:sz w:val="24"/>
        </w:rPr>
        <w:t>）</w:t>
      </w:r>
      <w:r>
        <w:rPr>
          <w:rFonts w:hint="eastAsia" w:hAnsi="宋体"/>
          <w:sz w:val="24"/>
        </w:rPr>
        <w:t>除基金管理人之外的其他</w:t>
      </w:r>
      <w:r>
        <w:rPr>
          <w:rFonts w:hint="eastAsia"/>
          <w:sz w:val="24"/>
        </w:rPr>
        <w:t>销售机构</w:t>
      </w:r>
      <w:r>
        <w:rPr>
          <w:rFonts w:hint="eastAsia" w:hAnsi="宋体"/>
          <w:sz w:val="24"/>
        </w:rPr>
        <w:t>：</w:t>
      </w:r>
    </w:p>
    <w:p>
      <w:pPr>
        <w:adjustRightInd w:val="0"/>
        <w:snapToGrid w:val="0"/>
        <w:spacing w:line="360" w:lineRule="auto"/>
        <w:ind w:firstLine="480" w:firstLineChars="20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outlineLvl w:val="1"/>
        <w:rPr>
          <w:sz w:val="24"/>
        </w:rPr>
      </w:pPr>
      <w:r>
        <w:rPr>
          <w:sz w:val="24"/>
        </w:rPr>
        <w:t>10</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sz w:val="24"/>
        </w:rPr>
        <w:t>2021</w:t>
      </w:r>
      <w:r>
        <w:rPr>
          <w:rFonts w:hint="eastAsia"/>
          <w:sz w:val="24"/>
        </w:rPr>
        <w:t>年</w:t>
      </w:r>
      <w:r>
        <w:rPr>
          <w:sz w:val="24"/>
        </w:rPr>
        <w:t>7</w:t>
      </w:r>
      <w:r>
        <w:rPr>
          <w:rFonts w:hint="eastAsia"/>
          <w:sz w:val="24"/>
        </w:rPr>
        <w:t>月28</w:t>
      </w:r>
      <w:r>
        <w:rPr>
          <w:sz w:val="24"/>
        </w:rPr>
        <w:t>日</w:t>
      </w:r>
      <w:r>
        <w:rPr>
          <w:rFonts w:hint="eastAsia" w:hAnsi="宋体"/>
          <w:sz w:val="24"/>
        </w:rPr>
        <w:t>起至</w:t>
      </w:r>
      <w:r>
        <w:rPr>
          <w:sz w:val="24"/>
        </w:rPr>
        <w:t>2021</w:t>
      </w:r>
      <w:r>
        <w:rPr>
          <w:rFonts w:hint="eastAsia"/>
          <w:sz w:val="24"/>
        </w:rPr>
        <w:t>年8月3</w:t>
      </w:r>
      <w:r>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outlineLvl w:val="1"/>
        <w:rPr>
          <w:sz w:val="24"/>
        </w:rPr>
      </w:pPr>
      <w:r>
        <w:rPr>
          <w:sz w:val="24"/>
        </w:rPr>
        <w:t>11</w:t>
      </w:r>
      <w:r>
        <w:rPr>
          <w:rFonts w:hAnsi="宋体"/>
          <w:sz w:val="24"/>
        </w:rPr>
        <w:t>、认购期利息的处理方式</w:t>
      </w:r>
    </w:p>
    <w:p>
      <w:pPr>
        <w:adjustRightInd w:val="0"/>
        <w:snapToGrid w:val="0"/>
        <w:spacing w:line="360" w:lineRule="auto"/>
        <w:ind w:firstLine="480" w:firstLineChars="200"/>
        <w:rPr>
          <w:rFonts w:hAnsi="宋体"/>
          <w:color w:val="000000"/>
          <w:sz w:val="24"/>
        </w:rPr>
      </w:pPr>
      <w:r>
        <w:rPr>
          <w:rFonts w:hint="eastAsia" w:hAnsi="宋体"/>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0455312"/>
      <w:bookmarkEnd w:id="0"/>
      <w:bookmarkStart w:id="1" w:name="_Hlt91264042"/>
      <w:bookmarkEnd w:id="1"/>
      <w:bookmarkStart w:id="2" w:name="_Hlt90801570"/>
      <w:bookmarkEnd w:id="2"/>
      <w:bookmarkStart w:id="3" w:name="_Hlt91264078"/>
      <w:bookmarkEnd w:id="3"/>
      <w:bookmarkStart w:id="4" w:name="_Hlt91148053"/>
      <w:bookmarkEnd w:id="4"/>
    </w:p>
    <w:p>
      <w:pPr>
        <w:adjustRightInd w:val="0"/>
        <w:snapToGrid w:val="0"/>
        <w:spacing w:line="360" w:lineRule="auto"/>
        <w:ind w:firstLine="480" w:firstLineChars="200"/>
        <w:rPr>
          <w:rFonts w:hAnsi="宋体"/>
          <w:color w:val="000000"/>
          <w:sz w:val="24"/>
        </w:rPr>
      </w:pPr>
      <w:r>
        <w:rPr>
          <w:rFonts w:hint="eastAsia" w:hAnsi="宋体"/>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outlineLvl w:val="1"/>
        <w:rPr>
          <w:sz w:val="24"/>
        </w:rPr>
      </w:pPr>
      <w:r>
        <w:rPr>
          <w:sz w:val="24"/>
        </w:rPr>
        <w:t>12</w:t>
      </w:r>
      <w:r>
        <w:rPr>
          <w:rFonts w:hAnsi="宋体"/>
          <w:sz w:val="24"/>
        </w:rPr>
        <w:t>、</w:t>
      </w:r>
      <w:r>
        <w:rPr>
          <w:rFonts w:hAnsi="宋体"/>
          <w:kern w:val="0"/>
          <w:sz w:val="24"/>
        </w:rPr>
        <w:t>基金份额的认购费用、认购价格及认购份额的计算公式</w:t>
      </w:r>
    </w:p>
    <w:p>
      <w:pPr>
        <w:adjustRightInd w:val="0"/>
        <w:snapToGrid w:val="0"/>
        <w:spacing w:line="360" w:lineRule="auto"/>
        <w:ind w:firstLine="480" w:firstLineChars="200"/>
        <w:outlineLvl w:val="2"/>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outlineLvl w:val="2"/>
        <w:rPr>
          <w:sz w:val="24"/>
        </w:rPr>
      </w:pPr>
      <w:r>
        <w:rPr>
          <w:sz w:val="24"/>
        </w:rPr>
        <w:t>（2）认购费率</w:t>
      </w:r>
      <w:r>
        <w:rPr>
          <w:rFonts w:hint="eastAsia"/>
          <w:sz w:val="24"/>
        </w:rPr>
        <w:t>：</w:t>
      </w:r>
    </w:p>
    <w:p>
      <w:pPr>
        <w:adjustRightInd w:val="0"/>
        <w:snapToGrid w:val="0"/>
        <w:spacing w:line="360" w:lineRule="auto"/>
        <w:ind w:firstLine="480" w:firstLineChars="200"/>
        <w:outlineLvl w:val="2"/>
        <w:rPr>
          <w:sz w:val="24"/>
        </w:rPr>
      </w:pPr>
      <w:r>
        <w:rPr>
          <w:rFonts w:hint="eastAsia"/>
          <w:sz w:val="24"/>
        </w:rPr>
        <w:t>本基金在募集期内开放A类基金份额和C类基金份额的认购。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outlineLvl w:val="2"/>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51"/>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outlineLvl w:val="2"/>
              <w:rPr>
                <w:b/>
                <w:sz w:val="24"/>
                <w:szCs w:val="20"/>
              </w:rPr>
            </w:pPr>
            <w:r>
              <w:rPr>
                <w:rFonts w:hint="eastAsia"/>
                <w:b/>
                <w:sz w:val="24"/>
                <w:szCs w:val="20"/>
              </w:rPr>
              <w:t>认购金额（含认购费）</w:t>
            </w:r>
          </w:p>
        </w:tc>
        <w:tc>
          <w:tcPr>
            <w:tcW w:w="3598" w:type="dxa"/>
            <w:shd w:val="clear" w:color="auto" w:fill="FFFFFF"/>
            <w:vAlign w:val="center"/>
          </w:tcPr>
          <w:p>
            <w:pPr>
              <w:adjustRightInd w:val="0"/>
              <w:snapToGrid w:val="0"/>
              <w:jc w:val="center"/>
              <w:outlineLvl w:val="2"/>
              <w:rPr>
                <w:b/>
                <w:sz w:val="24"/>
                <w:szCs w:val="20"/>
              </w:rPr>
            </w:pPr>
            <w:r>
              <w:rPr>
                <w:rFonts w:hint="eastAsia"/>
                <w:b/>
                <w:sz w:val="24"/>
                <w:szCs w:val="20"/>
              </w:rPr>
              <w:t>A类基金份额认购费率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outlineLvl w:val="2"/>
              <w:rPr>
                <w:sz w:val="24"/>
                <w:szCs w:val="20"/>
              </w:rPr>
            </w:pPr>
            <w:r>
              <w:rPr>
                <w:rFonts w:hint="eastAsia"/>
                <w:sz w:val="24"/>
                <w:szCs w:val="20"/>
              </w:rPr>
              <w:t>100万元以下</w:t>
            </w:r>
          </w:p>
        </w:tc>
        <w:tc>
          <w:tcPr>
            <w:tcW w:w="3598" w:type="dxa"/>
          </w:tcPr>
          <w:p>
            <w:pPr>
              <w:adjustRightInd w:val="0"/>
              <w:snapToGrid w:val="0"/>
              <w:jc w:val="center"/>
              <w:outlineLvl w:val="2"/>
              <w:rPr>
                <w:sz w:val="24"/>
                <w:szCs w:val="20"/>
              </w:rPr>
            </w:pPr>
            <w:r>
              <w:rPr>
                <w:rFonts w:hint="eastAsia"/>
                <w:sz w:val="24"/>
                <w:szCs w:val="20"/>
              </w:rPr>
              <w:t>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outlineLvl w:val="2"/>
              <w:rPr>
                <w:sz w:val="24"/>
                <w:szCs w:val="20"/>
              </w:rPr>
            </w:pPr>
            <w:r>
              <w:rPr>
                <w:rFonts w:hint="eastAsia"/>
                <w:sz w:val="24"/>
                <w:szCs w:val="20"/>
              </w:rPr>
              <w:t>100万元（含）至500万元</w:t>
            </w:r>
          </w:p>
        </w:tc>
        <w:tc>
          <w:tcPr>
            <w:tcW w:w="3598" w:type="dxa"/>
          </w:tcPr>
          <w:p>
            <w:pPr>
              <w:adjustRightInd w:val="0"/>
              <w:snapToGrid w:val="0"/>
              <w:jc w:val="center"/>
              <w:outlineLvl w:val="2"/>
              <w:rPr>
                <w:sz w:val="24"/>
                <w:szCs w:val="20"/>
              </w:rPr>
            </w:pPr>
            <w:r>
              <w:rPr>
                <w:rFonts w:hint="eastAsia"/>
                <w:sz w:val="24"/>
                <w:szCs w:val="20"/>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outlineLvl w:val="2"/>
              <w:rPr>
                <w:sz w:val="24"/>
                <w:szCs w:val="20"/>
              </w:rPr>
            </w:pPr>
            <w:r>
              <w:rPr>
                <w:rFonts w:hint="eastAsia"/>
                <w:sz w:val="24"/>
                <w:szCs w:val="20"/>
              </w:rPr>
              <w:t>500万元以上（含500万元）</w:t>
            </w:r>
          </w:p>
        </w:tc>
        <w:tc>
          <w:tcPr>
            <w:tcW w:w="3598" w:type="dxa"/>
          </w:tcPr>
          <w:p>
            <w:pPr>
              <w:adjustRightInd w:val="0"/>
              <w:snapToGrid w:val="0"/>
              <w:jc w:val="center"/>
              <w:outlineLvl w:val="2"/>
              <w:rPr>
                <w:sz w:val="24"/>
                <w:szCs w:val="20"/>
              </w:rPr>
            </w:pPr>
            <w:r>
              <w:rPr>
                <w:rFonts w:hint="eastAsia"/>
                <w:sz w:val="24"/>
                <w:szCs w:val="20"/>
              </w:rPr>
              <w:t>每笔交易1000元</w:t>
            </w:r>
          </w:p>
        </w:tc>
      </w:tr>
    </w:tbl>
    <w:p>
      <w:pPr>
        <w:adjustRightInd w:val="0"/>
        <w:snapToGrid w:val="0"/>
        <w:spacing w:line="360" w:lineRule="auto"/>
        <w:ind w:firstLine="480" w:firstLineChars="200"/>
        <w:outlineLvl w:val="2"/>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outlineLvl w:val="2"/>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outlineLvl w:val="2"/>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outlineLvl w:val="2"/>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outlineLvl w:val="2"/>
        <w:rPr>
          <w:sz w:val="24"/>
        </w:rPr>
      </w:pPr>
      <w:r>
        <w:rPr>
          <w:rFonts w:hint="eastAsia"/>
          <w:sz w:val="24"/>
        </w:rPr>
        <w:t>4）企业年金理事会委托的特定客户资产管理计划；</w:t>
      </w:r>
    </w:p>
    <w:p>
      <w:pPr>
        <w:adjustRightInd w:val="0"/>
        <w:snapToGrid w:val="0"/>
        <w:spacing w:line="360" w:lineRule="auto"/>
        <w:ind w:firstLine="480" w:firstLineChars="200"/>
        <w:outlineLvl w:val="2"/>
        <w:rPr>
          <w:sz w:val="24"/>
        </w:rPr>
      </w:pPr>
      <w:r>
        <w:rPr>
          <w:rFonts w:hint="eastAsia"/>
          <w:sz w:val="24"/>
        </w:rPr>
        <w:t>5）企业年金养老金产品</w:t>
      </w:r>
      <w:r>
        <w:rPr>
          <w:sz w:val="24"/>
        </w:rPr>
        <w:t>。</w:t>
      </w:r>
    </w:p>
    <w:p>
      <w:pPr>
        <w:adjustRightInd w:val="0"/>
        <w:snapToGrid w:val="0"/>
        <w:spacing w:line="360" w:lineRule="auto"/>
        <w:ind w:firstLine="480" w:firstLineChars="200"/>
        <w:outlineLvl w:val="2"/>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outlineLvl w:val="2"/>
        <w:rPr>
          <w:sz w:val="24"/>
          <w:szCs w:val="24"/>
        </w:rPr>
      </w:pPr>
      <w:r>
        <w:rPr>
          <w:rFonts w:hint="eastAsia"/>
          <w:sz w:val="24"/>
          <w:szCs w:val="24"/>
        </w:rPr>
        <w:t>养老金客户通过基金管理人的直销柜台认购本基金A类基金份额的特定认购费率如下：</w:t>
      </w:r>
    </w:p>
    <w:tbl>
      <w:tblPr>
        <w:tblStyle w:val="51"/>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outlineLvl w:val="2"/>
              <w:rPr>
                <w:b/>
                <w:sz w:val="24"/>
                <w:szCs w:val="20"/>
              </w:rPr>
            </w:pPr>
            <w:r>
              <w:rPr>
                <w:rFonts w:hint="eastAsia"/>
                <w:b/>
                <w:sz w:val="24"/>
                <w:szCs w:val="20"/>
              </w:rPr>
              <w:t>认购金额（含认购费）</w:t>
            </w:r>
          </w:p>
        </w:tc>
        <w:tc>
          <w:tcPr>
            <w:tcW w:w="3767" w:type="dxa"/>
            <w:shd w:val="clear" w:color="auto" w:fill="FFFFFF"/>
            <w:vAlign w:val="center"/>
          </w:tcPr>
          <w:p>
            <w:pPr>
              <w:adjustRightInd w:val="0"/>
              <w:snapToGrid w:val="0"/>
              <w:jc w:val="center"/>
              <w:outlineLvl w:val="2"/>
              <w:rPr>
                <w:b/>
                <w:sz w:val="24"/>
                <w:szCs w:val="20"/>
              </w:rPr>
            </w:pPr>
            <w:r>
              <w:rPr>
                <w:rFonts w:hint="eastAsia"/>
                <w:b/>
                <w:sz w:val="24"/>
                <w:szCs w:val="20"/>
              </w:rPr>
              <w:t>A类基金份额特定认购费率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outlineLvl w:val="2"/>
              <w:rPr>
                <w:sz w:val="24"/>
                <w:szCs w:val="20"/>
              </w:rPr>
            </w:pPr>
            <w:r>
              <w:rPr>
                <w:rFonts w:hint="eastAsia"/>
                <w:sz w:val="24"/>
                <w:szCs w:val="20"/>
              </w:rPr>
              <w:t>100</w:t>
            </w:r>
            <w:r>
              <w:rPr>
                <w:rFonts w:hint="eastAsia" w:hAnsi="宋体"/>
                <w:sz w:val="24"/>
                <w:szCs w:val="20"/>
              </w:rPr>
              <w:t>万元以下</w:t>
            </w:r>
          </w:p>
        </w:tc>
        <w:tc>
          <w:tcPr>
            <w:tcW w:w="3767" w:type="dxa"/>
            <w:vAlign w:val="center"/>
          </w:tcPr>
          <w:p>
            <w:pPr>
              <w:adjustRightInd w:val="0"/>
              <w:snapToGrid w:val="0"/>
              <w:jc w:val="center"/>
              <w:outlineLvl w:val="2"/>
              <w:rPr>
                <w:sz w:val="24"/>
                <w:szCs w:val="20"/>
              </w:rPr>
            </w:pPr>
            <w:r>
              <w:rPr>
                <w:rFonts w:hint="eastAsia"/>
                <w:sz w:val="24"/>
                <w:szCs w:val="20"/>
              </w:rPr>
              <w:t>0.32%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outlineLvl w:val="2"/>
              <w:rPr>
                <w:sz w:val="24"/>
                <w:szCs w:val="20"/>
              </w:rPr>
            </w:pPr>
            <w:r>
              <w:rPr>
                <w:rFonts w:hint="eastAsia"/>
                <w:sz w:val="24"/>
                <w:szCs w:val="20"/>
              </w:rPr>
              <w:t>100万元（含）至500万元</w:t>
            </w:r>
          </w:p>
        </w:tc>
        <w:tc>
          <w:tcPr>
            <w:tcW w:w="3767" w:type="dxa"/>
            <w:vAlign w:val="center"/>
          </w:tcPr>
          <w:p>
            <w:pPr>
              <w:adjustRightInd w:val="0"/>
              <w:snapToGrid w:val="0"/>
              <w:jc w:val="center"/>
              <w:outlineLvl w:val="2"/>
              <w:rPr>
                <w:sz w:val="24"/>
                <w:szCs w:val="20"/>
              </w:rPr>
            </w:pPr>
            <w:r>
              <w:rPr>
                <w:rFonts w:hint="eastAsia"/>
                <w:sz w:val="24"/>
                <w:szCs w:val="20"/>
              </w:rPr>
              <w:t>0.10%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outlineLvl w:val="2"/>
              <w:rPr>
                <w:sz w:val="24"/>
                <w:szCs w:val="20"/>
              </w:rPr>
            </w:pPr>
            <w:r>
              <w:rPr>
                <w:rFonts w:hint="eastAsia"/>
                <w:sz w:val="24"/>
                <w:szCs w:val="20"/>
              </w:rPr>
              <w:t>500</w:t>
            </w:r>
            <w:r>
              <w:rPr>
                <w:rFonts w:hint="eastAsia" w:hAnsi="宋体"/>
                <w:sz w:val="24"/>
                <w:szCs w:val="20"/>
              </w:rPr>
              <w:t>万元以上（含</w:t>
            </w:r>
            <w:r>
              <w:rPr>
                <w:rFonts w:hint="eastAsia"/>
                <w:sz w:val="24"/>
                <w:szCs w:val="20"/>
              </w:rPr>
              <w:t>500</w:t>
            </w:r>
            <w:r>
              <w:rPr>
                <w:rFonts w:hint="eastAsia" w:hAnsi="宋体"/>
                <w:sz w:val="24"/>
                <w:szCs w:val="20"/>
              </w:rPr>
              <w:t>万元）</w:t>
            </w:r>
          </w:p>
        </w:tc>
        <w:tc>
          <w:tcPr>
            <w:tcW w:w="3767" w:type="dxa"/>
          </w:tcPr>
          <w:p>
            <w:pPr>
              <w:adjustRightInd w:val="0"/>
              <w:snapToGrid w:val="0"/>
              <w:jc w:val="center"/>
              <w:outlineLvl w:val="2"/>
              <w:rPr>
                <w:sz w:val="24"/>
                <w:szCs w:val="20"/>
              </w:rPr>
            </w:pPr>
            <w:r>
              <w:rPr>
                <w:rFonts w:hint="eastAsia" w:hAnsi="宋体"/>
                <w:sz w:val="24"/>
                <w:szCs w:val="20"/>
              </w:rPr>
              <w:t>每笔交易</w:t>
            </w:r>
            <w:r>
              <w:rPr>
                <w:rFonts w:hint="eastAsia"/>
                <w:sz w:val="24"/>
                <w:szCs w:val="20"/>
              </w:rPr>
              <w:t>1000</w:t>
            </w:r>
            <w:r>
              <w:rPr>
                <w:rFonts w:hint="eastAsia" w:hAnsi="宋体"/>
                <w:sz w:val="24"/>
                <w:szCs w:val="20"/>
              </w:rPr>
              <w:t>元</w:t>
            </w:r>
          </w:p>
        </w:tc>
      </w:tr>
    </w:tbl>
    <w:p>
      <w:pPr>
        <w:adjustRightInd w:val="0"/>
        <w:snapToGrid w:val="0"/>
        <w:spacing w:line="360" w:lineRule="auto"/>
        <w:ind w:firstLine="480" w:firstLineChars="200"/>
        <w:outlineLvl w:val="2"/>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outlineLvl w:val="2"/>
        <w:rPr>
          <w:sz w:val="24"/>
        </w:rPr>
      </w:pPr>
      <w:r>
        <w:rPr>
          <w:sz w:val="24"/>
        </w:rPr>
        <w:t>（3）认购份额的计算</w:t>
      </w:r>
    </w:p>
    <w:p>
      <w:pPr>
        <w:adjustRightInd w:val="0"/>
        <w:snapToGrid w:val="0"/>
        <w:spacing w:line="360" w:lineRule="auto"/>
        <w:ind w:firstLine="480" w:firstLineChars="200"/>
        <w:outlineLvl w:val="2"/>
        <w:rPr>
          <w:sz w:val="24"/>
        </w:rPr>
      </w:pPr>
      <w:r>
        <w:rPr>
          <w:rFonts w:hint="eastAsia"/>
          <w:sz w:val="24"/>
        </w:rPr>
        <w:t>1）A类基金份额的认购</w:t>
      </w:r>
    </w:p>
    <w:p>
      <w:pPr>
        <w:adjustRightInd w:val="0"/>
        <w:snapToGrid w:val="0"/>
        <w:spacing w:line="360" w:lineRule="auto"/>
        <w:ind w:firstLine="480" w:firstLineChars="200"/>
        <w:outlineLvl w:val="2"/>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outlineLvl w:val="2"/>
        <w:rPr>
          <w:sz w:val="24"/>
        </w:rPr>
      </w:pPr>
      <w:r>
        <w:rPr>
          <w:sz w:val="24"/>
        </w:rPr>
        <w:t>认购总金额=申请总金额</w:t>
      </w:r>
    </w:p>
    <w:p>
      <w:pPr>
        <w:adjustRightInd w:val="0"/>
        <w:snapToGrid w:val="0"/>
        <w:spacing w:line="360" w:lineRule="auto"/>
        <w:ind w:firstLine="480" w:firstLineChars="200"/>
        <w:outlineLvl w:val="2"/>
        <w:rPr>
          <w:sz w:val="24"/>
        </w:rPr>
      </w:pPr>
      <w:r>
        <w:rPr>
          <w:sz w:val="24"/>
        </w:rPr>
        <w:t>净认购金额=认购总金额/（1+认购费率）</w:t>
      </w:r>
    </w:p>
    <w:p>
      <w:pPr>
        <w:adjustRightInd w:val="0"/>
        <w:snapToGrid w:val="0"/>
        <w:spacing w:line="360" w:lineRule="auto"/>
        <w:ind w:firstLine="480" w:firstLineChars="200"/>
        <w:outlineLvl w:val="2"/>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outlineLvl w:val="2"/>
        <w:rPr>
          <w:sz w:val="24"/>
        </w:rPr>
      </w:pPr>
      <w:r>
        <w:rPr>
          <w:sz w:val="24"/>
        </w:rPr>
        <w:t>认购费用=认购总金额-净认购金额</w:t>
      </w:r>
    </w:p>
    <w:p>
      <w:pPr>
        <w:adjustRightInd w:val="0"/>
        <w:snapToGrid w:val="0"/>
        <w:spacing w:line="360" w:lineRule="auto"/>
        <w:ind w:firstLine="480" w:firstLineChars="200"/>
        <w:outlineLvl w:val="2"/>
        <w:rPr>
          <w:sz w:val="24"/>
        </w:rPr>
      </w:pPr>
      <w:r>
        <w:rPr>
          <w:sz w:val="24"/>
        </w:rPr>
        <w:t>（注：对于适用固定金额认购费用的认购，认购费用＝固定认购费用金额）</w:t>
      </w:r>
    </w:p>
    <w:p>
      <w:pPr>
        <w:adjustRightInd w:val="0"/>
        <w:snapToGrid w:val="0"/>
        <w:spacing w:line="360" w:lineRule="auto"/>
        <w:ind w:firstLine="480" w:firstLineChars="200"/>
        <w:outlineLvl w:val="2"/>
        <w:rPr>
          <w:sz w:val="24"/>
        </w:rPr>
      </w:pPr>
      <w:r>
        <w:rPr>
          <w:sz w:val="24"/>
        </w:rPr>
        <w:t>认购份额=净认购金额/基金份额初始面值+认购利息/基金份额初始面值</w:t>
      </w:r>
    </w:p>
    <w:p>
      <w:pPr>
        <w:adjustRightInd w:val="0"/>
        <w:snapToGrid w:val="0"/>
        <w:spacing w:line="360" w:lineRule="auto"/>
        <w:ind w:firstLine="480" w:firstLineChars="200"/>
        <w:outlineLvl w:val="2"/>
        <w:rPr>
          <w:sz w:val="24"/>
        </w:rPr>
      </w:pPr>
      <w:r>
        <w:rPr>
          <w:sz w:val="24"/>
        </w:rPr>
        <w:t>认购份额的计算保留到小数点后2位，小数点2位以后的部分四舍五入，由此误差产生的收益或损失由基金财产承担。</w:t>
      </w:r>
    </w:p>
    <w:p>
      <w:pPr>
        <w:widowControl/>
        <w:adjustRightInd w:val="0"/>
        <w:snapToGrid w:val="0"/>
        <w:spacing w:line="360" w:lineRule="auto"/>
        <w:ind w:firstLine="480" w:firstLineChars="200"/>
        <w:outlineLvl w:val="2"/>
        <w:rPr>
          <w:sz w:val="24"/>
        </w:rPr>
      </w:pPr>
      <w:r>
        <w:rPr>
          <w:sz w:val="24"/>
        </w:rPr>
        <w:t>例一：</w:t>
      </w:r>
      <w:r>
        <w:rPr>
          <w:rFonts w:hint="eastAsia"/>
          <w:sz w:val="24"/>
        </w:rPr>
        <w:t>某投资者（非养老金客户）认购本基金A类基金份额100,000元，且该认购申请被全额确认，所对应的认购费率为0.</w:t>
      </w:r>
      <w:r>
        <w:rPr>
          <w:sz w:val="24"/>
        </w:rPr>
        <w:t>8</w:t>
      </w:r>
      <w:r>
        <w:rPr>
          <w:rFonts w:hint="eastAsia"/>
          <w:sz w:val="24"/>
        </w:rPr>
        <w:t>%。假定该笔认购金额产生利息50.00元。则认购份额为：</w:t>
      </w:r>
    </w:p>
    <w:p>
      <w:pPr>
        <w:widowControl/>
        <w:adjustRightInd w:val="0"/>
        <w:snapToGrid w:val="0"/>
        <w:spacing w:line="360" w:lineRule="auto"/>
        <w:ind w:firstLine="480" w:firstLineChars="200"/>
        <w:outlineLvl w:val="2"/>
        <w:rPr>
          <w:sz w:val="24"/>
        </w:rPr>
      </w:pPr>
      <w:r>
        <w:rPr>
          <w:rFonts w:hint="eastAsia"/>
          <w:sz w:val="24"/>
        </w:rPr>
        <w:t>认购总金额＝100,000元</w:t>
      </w:r>
    </w:p>
    <w:p>
      <w:pPr>
        <w:widowControl/>
        <w:adjustRightInd w:val="0"/>
        <w:snapToGrid w:val="0"/>
        <w:spacing w:line="360" w:lineRule="auto"/>
        <w:ind w:firstLine="480" w:firstLineChars="200"/>
        <w:outlineLvl w:val="2"/>
        <w:rPr>
          <w:sz w:val="24"/>
        </w:rPr>
      </w:pPr>
      <w:r>
        <w:rPr>
          <w:rFonts w:hint="eastAsia"/>
          <w:sz w:val="24"/>
        </w:rPr>
        <w:t>净认购金额＝100,000/（1＋0.</w:t>
      </w:r>
      <w:r>
        <w:rPr>
          <w:sz w:val="24"/>
        </w:rPr>
        <w:t>8</w:t>
      </w:r>
      <w:r>
        <w:rPr>
          <w:rFonts w:hint="eastAsia"/>
          <w:sz w:val="24"/>
        </w:rPr>
        <w:t>%）＝</w:t>
      </w:r>
      <w:r>
        <w:rPr>
          <w:sz w:val="24"/>
        </w:rPr>
        <w:t>99,206.35</w:t>
      </w:r>
      <w:r>
        <w:rPr>
          <w:rFonts w:hint="eastAsia"/>
          <w:sz w:val="24"/>
        </w:rPr>
        <w:t>元</w:t>
      </w:r>
    </w:p>
    <w:p>
      <w:pPr>
        <w:widowControl/>
        <w:adjustRightInd w:val="0"/>
        <w:snapToGrid w:val="0"/>
        <w:spacing w:line="360" w:lineRule="auto"/>
        <w:ind w:firstLine="480" w:firstLineChars="200"/>
        <w:outlineLvl w:val="2"/>
        <w:rPr>
          <w:sz w:val="24"/>
        </w:rPr>
      </w:pPr>
      <w:r>
        <w:rPr>
          <w:rFonts w:hint="eastAsia"/>
          <w:sz w:val="24"/>
        </w:rPr>
        <w:t>认购费用＝100,000－</w:t>
      </w:r>
      <w:r>
        <w:rPr>
          <w:sz w:val="24"/>
        </w:rPr>
        <w:t>99,206.35</w:t>
      </w:r>
      <w:r>
        <w:rPr>
          <w:rFonts w:hint="eastAsia"/>
          <w:sz w:val="24"/>
        </w:rPr>
        <w:t>＝</w:t>
      </w:r>
      <w:r>
        <w:rPr>
          <w:sz w:val="24"/>
        </w:rPr>
        <w:t>793.65</w:t>
      </w:r>
      <w:r>
        <w:rPr>
          <w:rFonts w:hint="eastAsia"/>
          <w:sz w:val="24"/>
        </w:rPr>
        <w:t>元</w:t>
      </w:r>
    </w:p>
    <w:p>
      <w:pPr>
        <w:widowControl/>
        <w:adjustRightInd w:val="0"/>
        <w:snapToGrid w:val="0"/>
        <w:spacing w:line="360" w:lineRule="auto"/>
        <w:ind w:firstLine="480" w:firstLineChars="200"/>
        <w:outlineLvl w:val="2"/>
        <w:rPr>
          <w:sz w:val="24"/>
        </w:rPr>
      </w:pPr>
      <w:r>
        <w:rPr>
          <w:rFonts w:hint="eastAsia"/>
          <w:sz w:val="24"/>
        </w:rPr>
        <w:t>认购份额＝</w:t>
      </w:r>
      <w:r>
        <w:rPr>
          <w:sz w:val="24"/>
        </w:rPr>
        <w:t>99,206.35</w:t>
      </w:r>
      <w:r>
        <w:rPr>
          <w:rFonts w:hint="eastAsia"/>
          <w:sz w:val="24"/>
        </w:rPr>
        <w:t>/1.00＋50.00/1.00＝99,</w:t>
      </w:r>
      <w:r>
        <w:rPr>
          <w:sz w:val="24"/>
        </w:rPr>
        <w:t>256.35</w:t>
      </w:r>
      <w:r>
        <w:rPr>
          <w:rFonts w:hint="eastAsia"/>
          <w:sz w:val="24"/>
        </w:rPr>
        <w:t>份</w:t>
      </w:r>
    </w:p>
    <w:p>
      <w:pPr>
        <w:adjustRightInd w:val="0"/>
        <w:snapToGrid w:val="0"/>
        <w:spacing w:line="360" w:lineRule="auto"/>
        <w:ind w:firstLine="480" w:firstLineChars="200"/>
        <w:outlineLvl w:val="2"/>
        <w:rPr>
          <w:sz w:val="24"/>
        </w:rPr>
      </w:pPr>
      <w:r>
        <w:rPr>
          <w:rFonts w:hint="eastAsia"/>
          <w:sz w:val="24"/>
        </w:rPr>
        <w:t>即：若该投资者（非养老金客户）选择认购A类基金份额，则投资100,000元本金，假定该笔认购金额产生利息50.00元，可得到99,</w:t>
      </w:r>
      <w:r>
        <w:rPr>
          <w:sz w:val="24"/>
        </w:rPr>
        <w:t>256.35</w:t>
      </w:r>
      <w:r>
        <w:rPr>
          <w:rFonts w:hint="eastAsia"/>
          <w:sz w:val="24"/>
        </w:rPr>
        <w:t>份A类基金份额。</w:t>
      </w:r>
    </w:p>
    <w:p>
      <w:pPr>
        <w:widowControl/>
        <w:adjustRightInd w:val="0"/>
        <w:snapToGrid w:val="0"/>
        <w:spacing w:line="360" w:lineRule="auto"/>
        <w:ind w:firstLine="480" w:firstLineChars="200"/>
        <w:outlineLvl w:val="2"/>
        <w:rPr>
          <w:sz w:val="24"/>
        </w:rPr>
      </w:pPr>
      <w:r>
        <w:rPr>
          <w:sz w:val="24"/>
        </w:rPr>
        <w:t>例</w:t>
      </w:r>
      <w:r>
        <w:rPr>
          <w:rFonts w:hint="eastAsia"/>
          <w:sz w:val="24"/>
        </w:rPr>
        <w:t>二</w:t>
      </w:r>
      <w:r>
        <w:rPr>
          <w:sz w:val="24"/>
        </w:rPr>
        <w:t>：</w:t>
      </w:r>
      <w:r>
        <w:rPr>
          <w:rFonts w:hint="eastAsia"/>
          <w:sz w:val="24"/>
        </w:rPr>
        <w:t>某养老金客户通过基金管理人的直销柜台认购本基金A类基金份额100,000元，且该认购申请被全额确认，所对应的认购费率为</w:t>
      </w:r>
      <w:r>
        <w:rPr>
          <w:sz w:val="24"/>
        </w:rPr>
        <w:t>0.32</w:t>
      </w:r>
      <w:r>
        <w:rPr>
          <w:rFonts w:hint="eastAsia"/>
          <w:sz w:val="24"/>
        </w:rPr>
        <w:t>%。假定该笔认购金额产生利息50.00元。则认购份额为：</w:t>
      </w:r>
    </w:p>
    <w:p>
      <w:pPr>
        <w:widowControl/>
        <w:adjustRightInd w:val="0"/>
        <w:snapToGrid w:val="0"/>
        <w:spacing w:line="360" w:lineRule="auto"/>
        <w:ind w:firstLine="480" w:firstLineChars="200"/>
        <w:outlineLvl w:val="2"/>
        <w:rPr>
          <w:sz w:val="24"/>
        </w:rPr>
      </w:pPr>
      <w:r>
        <w:rPr>
          <w:rFonts w:hint="eastAsia"/>
          <w:sz w:val="24"/>
        </w:rPr>
        <w:t>认购总金额＝100,000元</w:t>
      </w:r>
    </w:p>
    <w:p>
      <w:pPr>
        <w:widowControl/>
        <w:adjustRightInd w:val="0"/>
        <w:snapToGrid w:val="0"/>
        <w:spacing w:line="360" w:lineRule="auto"/>
        <w:ind w:firstLine="480" w:firstLineChars="200"/>
        <w:outlineLvl w:val="2"/>
        <w:rPr>
          <w:sz w:val="24"/>
        </w:rPr>
      </w:pPr>
      <w:r>
        <w:rPr>
          <w:rFonts w:hint="eastAsia"/>
          <w:sz w:val="24"/>
        </w:rPr>
        <w:t>净认购金额＝100,000/（1＋</w:t>
      </w:r>
      <w:r>
        <w:rPr>
          <w:sz w:val="24"/>
        </w:rPr>
        <w:t>0.32</w:t>
      </w:r>
      <w:r>
        <w:rPr>
          <w:rFonts w:hint="eastAsia"/>
          <w:sz w:val="24"/>
        </w:rPr>
        <w:t>%）＝</w:t>
      </w:r>
      <w:r>
        <w:rPr>
          <w:sz w:val="24"/>
        </w:rPr>
        <w:t>99,681.02</w:t>
      </w:r>
      <w:r>
        <w:rPr>
          <w:rFonts w:hint="eastAsia"/>
          <w:sz w:val="24"/>
        </w:rPr>
        <w:t>元</w:t>
      </w:r>
    </w:p>
    <w:p>
      <w:pPr>
        <w:widowControl/>
        <w:adjustRightInd w:val="0"/>
        <w:snapToGrid w:val="0"/>
        <w:spacing w:line="360" w:lineRule="auto"/>
        <w:ind w:firstLine="480" w:firstLineChars="200"/>
        <w:outlineLvl w:val="2"/>
        <w:rPr>
          <w:sz w:val="24"/>
        </w:rPr>
      </w:pPr>
      <w:r>
        <w:rPr>
          <w:rFonts w:hint="eastAsia"/>
          <w:sz w:val="24"/>
        </w:rPr>
        <w:t>认购费用＝100,000－</w:t>
      </w:r>
      <w:r>
        <w:rPr>
          <w:sz w:val="24"/>
        </w:rPr>
        <w:t>99,681.02</w:t>
      </w:r>
      <w:r>
        <w:rPr>
          <w:rFonts w:hint="eastAsia"/>
          <w:sz w:val="24"/>
        </w:rPr>
        <w:t>＝</w:t>
      </w:r>
      <w:r>
        <w:rPr>
          <w:sz w:val="24"/>
        </w:rPr>
        <w:t>318.98</w:t>
      </w:r>
      <w:r>
        <w:rPr>
          <w:rFonts w:hint="eastAsia"/>
          <w:sz w:val="24"/>
        </w:rPr>
        <w:t>元</w:t>
      </w:r>
    </w:p>
    <w:p>
      <w:pPr>
        <w:widowControl/>
        <w:adjustRightInd w:val="0"/>
        <w:snapToGrid w:val="0"/>
        <w:spacing w:line="360" w:lineRule="auto"/>
        <w:ind w:firstLine="480" w:firstLineChars="200"/>
        <w:outlineLvl w:val="2"/>
        <w:rPr>
          <w:sz w:val="24"/>
        </w:rPr>
      </w:pPr>
      <w:r>
        <w:rPr>
          <w:rFonts w:hint="eastAsia"/>
          <w:sz w:val="24"/>
        </w:rPr>
        <w:t>认购份额＝</w:t>
      </w:r>
      <w:r>
        <w:rPr>
          <w:sz w:val="24"/>
        </w:rPr>
        <w:t>99,681.02</w:t>
      </w:r>
      <w:r>
        <w:rPr>
          <w:rFonts w:hint="eastAsia"/>
          <w:sz w:val="24"/>
        </w:rPr>
        <w:t>/1.00＋50.00/1.00＝99,</w:t>
      </w:r>
      <w:r>
        <w:rPr>
          <w:sz w:val="24"/>
        </w:rPr>
        <w:t>731.02</w:t>
      </w:r>
      <w:r>
        <w:rPr>
          <w:rFonts w:hint="eastAsia"/>
          <w:sz w:val="24"/>
        </w:rPr>
        <w:t>份</w:t>
      </w:r>
    </w:p>
    <w:p>
      <w:pPr>
        <w:adjustRightInd w:val="0"/>
        <w:snapToGrid w:val="0"/>
        <w:spacing w:line="360" w:lineRule="auto"/>
        <w:ind w:firstLine="480" w:firstLineChars="200"/>
        <w:outlineLvl w:val="2"/>
        <w:rPr>
          <w:sz w:val="24"/>
        </w:rPr>
      </w:pPr>
      <w:r>
        <w:rPr>
          <w:rFonts w:hint="eastAsia"/>
          <w:sz w:val="24"/>
        </w:rPr>
        <w:t>即：若该养老金客户投资100,000元通过基金管理人的直销柜台认购A类基金份额，假定该笔认购金额产生利息50.00元，可得到99,</w:t>
      </w:r>
      <w:r>
        <w:rPr>
          <w:sz w:val="24"/>
        </w:rPr>
        <w:t>731.02</w:t>
      </w:r>
      <w:r>
        <w:rPr>
          <w:rFonts w:hint="eastAsia"/>
          <w:sz w:val="24"/>
        </w:rPr>
        <w:t>份A类基金份额。</w:t>
      </w:r>
    </w:p>
    <w:p>
      <w:pPr>
        <w:adjustRightInd w:val="0"/>
        <w:snapToGrid w:val="0"/>
        <w:spacing w:line="360" w:lineRule="auto"/>
        <w:ind w:firstLine="480" w:firstLineChars="200"/>
        <w:outlineLvl w:val="2"/>
        <w:rPr>
          <w:sz w:val="24"/>
        </w:rPr>
      </w:pPr>
      <w:r>
        <w:rPr>
          <w:rFonts w:hint="eastAsia"/>
          <w:sz w:val="24"/>
        </w:rPr>
        <w:t>2）C类基金份额的认购</w:t>
      </w:r>
    </w:p>
    <w:p>
      <w:pPr>
        <w:adjustRightInd w:val="0"/>
        <w:snapToGrid w:val="0"/>
        <w:spacing w:line="360" w:lineRule="auto"/>
        <w:ind w:firstLine="480" w:firstLineChars="200"/>
        <w:outlineLvl w:val="2"/>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outlineLvl w:val="2"/>
        <w:rPr>
          <w:sz w:val="24"/>
        </w:rPr>
      </w:pPr>
      <w:r>
        <w:rPr>
          <w:rFonts w:hint="eastAsia"/>
          <w:sz w:val="24"/>
        </w:rPr>
        <w:t>认购总金额=申请总金额</w:t>
      </w:r>
    </w:p>
    <w:p>
      <w:pPr>
        <w:widowControl/>
        <w:adjustRightInd w:val="0"/>
        <w:snapToGrid w:val="0"/>
        <w:spacing w:line="360" w:lineRule="auto"/>
        <w:ind w:firstLine="480" w:firstLineChars="200"/>
        <w:outlineLvl w:val="2"/>
        <w:rPr>
          <w:sz w:val="24"/>
        </w:rPr>
      </w:pPr>
      <w:r>
        <w:rPr>
          <w:rFonts w:hint="eastAsia"/>
          <w:sz w:val="24"/>
        </w:rPr>
        <w:t>认购份额＝（认购总金额＋认购利息）/基金份额初始面值</w:t>
      </w:r>
    </w:p>
    <w:p>
      <w:pPr>
        <w:adjustRightInd w:val="0"/>
        <w:snapToGrid w:val="0"/>
        <w:spacing w:line="360" w:lineRule="auto"/>
        <w:ind w:firstLine="480" w:firstLineChars="200"/>
        <w:outlineLvl w:val="2"/>
        <w:rPr>
          <w:sz w:val="24"/>
        </w:rPr>
      </w:pPr>
      <w:r>
        <w:rPr>
          <w:rFonts w:hint="eastAsia"/>
          <w:sz w:val="24"/>
        </w:rPr>
        <w:t>认购份额的计算保留到小数点后2位，小数点2位以后的部分四舍五入，由此误差产生的损失由基金财产承担，产生的收益归基金财产所有。</w:t>
      </w:r>
    </w:p>
    <w:p>
      <w:pPr>
        <w:widowControl/>
        <w:adjustRightInd w:val="0"/>
        <w:snapToGrid w:val="0"/>
        <w:spacing w:line="360" w:lineRule="auto"/>
        <w:ind w:firstLine="480" w:firstLineChars="200"/>
        <w:outlineLvl w:val="2"/>
        <w:rPr>
          <w:sz w:val="24"/>
        </w:rPr>
      </w:pPr>
      <w:r>
        <w:rPr>
          <w:rFonts w:hint="eastAsia"/>
          <w:sz w:val="24"/>
        </w:rPr>
        <w:t>例三：某投资者投资100,000元认购本基金的C类基金份额，且该认购申请被全额确认，假定认购期产生的利息为50.00元，则可认购基金份额为：</w:t>
      </w:r>
    </w:p>
    <w:p>
      <w:pPr>
        <w:widowControl/>
        <w:adjustRightInd w:val="0"/>
        <w:snapToGrid w:val="0"/>
        <w:spacing w:line="360" w:lineRule="auto"/>
        <w:ind w:firstLine="480" w:firstLineChars="200"/>
        <w:outlineLvl w:val="2"/>
        <w:rPr>
          <w:sz w:val="24"/>
        </w:rPr>
      </w:pPr>
      <w:r>
        <w:rPr>
          <w:rFonts w:hint="eastAsia"/>
          <w:sz w:val="24"/>
        </w:rPr>
        <w:t>认购份额=（100,000＋50.00）/1.00=100,050.00份</w:t>
      </w:r>
    </w:p>
    <w:p>
      <w:pPr>
        <w:adjustRightInd w:val="0"/>
        <w:snapToGrid w:val="0"/>
        <w:spacing w:line="360" w:lineRule="auto"/>
        <w:ind w:firstLine="480" w:firstLineChars="200"/>
        <w:jc w:val="left"/>
        <w:outlineLvl w:val="0"/>
        <w:rPr>
          <w:rFonts w:ascii="宋体" w:hAnsi="宋体"/>
          <w:b/>
          <w:sz w:val="24"/>
        </w:rPr>
      </w:pPr>
      <w:r>
        <w:rPr>
          <w:rFonts w:hint="eastAsia"/>
          <w:sz w:val="24"/>
        </w:rPr>
        <w:t>即：投资者投资100,000元认购本基金的C类基金份额，假定该笔认购金额产生利息50.00元，可得到100,050.00份C类基金份额。</w:t>
      </w:r>
      <w:r>
        <w:rPr>
          <w:rFonts w:hint="eastAsia" w:ascii="宋体" w:hAnsi="宋体"/>
          <w:b/>
          <w:sz w:val="24"/>
        </w:rPr>
        <w:t xml:space="preserve">                  </w:t>
      </w:r>
    </w:p>
    <w:p>
      <w:pPr>
        <w:adjustRightInd w:val="0"/>
        <w:snapToGrid w:val="0"/>
        <w:spacing w:line="360" w:lineRule="auto"/>
        <w:ind w:firstLine="2650" w:firstLineChars="1100"/>
        <w:jc w:val="left"/>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outlineLvl w:val="1"/>
        <w:rPr>
          <w:b/>
          <w:sz w:val="24"/>
        </w:rPr>
      </w:pPr>
      <w:r>
        <w:rPr>
          <w:rFonts w:hint="eastAsia"/>
          <w:b/>
          <w:sz w:val="24"/>
        </w:rPr>
        <w:t>（一）直销机构</w:t>
      </w:r>
    </w:p>
    <w:p>
      <w:pPr>
        <w:adjustRightInd w:val="0"/>
        <w:snapToGrid w:val="0"/>
        <w:spacing w:line="360" w:lineRule="auto"/>
        <w:ind w:firstLine="482" w:firstLineChars="200"/>
        <w:outlineLvl w:val="2"/>
        <w:rPr>
          <w:b/>
          <w:sz w:val="24"/>
        </w:rPr>
      </w:pPr>
      <w:r>
        <w:rPr>
          <w:b/>
          <w:sz w:val="24"/>
        </w:rPr>
        <w:t>1</w:t>
      </w:r>
      <w:r>
        <w:rPr>
          <w:rFonts w:hint="eastAsia"/>
          <w:b/>
          <w:sz w:val="24"/>
        </w:rPr>
        <w:t>、直销中心</w:t>
      </w:r>
    </w:p>
    <w:p>
      <w:pPr>
        <w:adjustRightInd w:val="0"/>
        <w:snapToGrid w:val="0"/>
        <w:spacing w:line="360" w:lineRule="auto"/>
        <w:ind w:firstLine="480" w:firstLineChars="20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）个人投资者办理开户和认购申请需本人亲自到直销网点并提供下列资料：</w:t>
      </w:r>
    </w:p>
    <w:p>
      <w:pPr>
        <w:adjustRightInd w:val="0"/>
        <w:snapToGrid w:val="0"/>
        <w:spacing w:line="360" w:lineRule="auto"/>
        <w:ind w:firstLine="480" w:firstLineChars="20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）证券投资基金投资人权益须知；</w:t>
      </w:r>
    </w:p>
    <w:p>
      <w:pPr>
        <w:adjustRightInd w:val="0"/>
        <w:snapToGrid w:val="0"/>
        <w:spacing w:line="360" w:lineRule="auto"/>
        <w:ind w:firstLine="480" w:firstLineChars="20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pPr>
        <w:adjustRightInd w:val="0"/>
        <w:snapToGrid w:val="0"/>
        <w:spacing w:line="360" w:lineRule="auto"/>
        <w:ind w:firstLine="480" w:firstLineChars="200"/>
        <w:rPr>
          <w:sz w:val="24"/>
        </w:rPr>
      </w:pPr>
      <w:r>
        <w:rPr>
          <w:sz w:val="24"/>
        </w:rPr>
        <w:t>4</w:t>
      </w:r>
      <w:r>
        <w:rPr>
          <w:rFonts w:hint="eastAsia"/>
          <w:sz w:val="24"/>
        </w:rPr>
        <w:t>）有效身份证件的复印件正反面；</w:t>
      </w:r>
    </w:p>
    <w:p>
      <w:pPr>
        <w:adjustRightInd w:val="0"/>
        <w:snapToGrid w:val="0"/>
        <w:spacing w:line="360" w:lineRule="auto"/>
        <w:ind w:firstLine="480" w:firstLineChars="200"/>
        <w:rPr>
          <w:sz w:val="24"/>
        </w:rPr>
      </w:pPr>
      <w:r>
        <w:rPr>
          <w:sz w:val="24"/>
        </w:rPr>
        <w:t>5</w:t>
      </w:r>
      <w:r>
        <w:rPr>
          <w:rFonts w:hint="eastAsia"/>
          <w:sz w:val="24"/>
        </w:rPr>
        <w:t>）同名的银行卡复印件（银行卡复印件需要正反面签字，反面签名栏需有签字）；</w:t>
      </w:r>
    </w:p>
    <w:p>
      <w:pPr>
        <w:adjustRightInd w:val="0"/>
        <w:snapToGrid w:val="0"/>
        <w:spacing w:line="360" w:lineRule="auto"/>
        <w:ind w:firstLine="480" w:firstLineChars="200"/>
        <w:rPr>
          <w:sz w:val="24"/>
        </w:rPr>
      </w:pPr>
      <w:r>
        <w:rPr>
          <w:sz w:val="24"/>
        </w:rPr>
        <w:t>6</w:t>
      </w:r>
      <w:r>
        <w:rPr>
          <w:rFonts w:hint="eastAsia"/>
          <w:sz w:val="24"/>
        </w:rPr>
        <w:t>）填妥的《开放式基金账户业务申请表》两份；</w:t>
      </w:r>
    </w:p>
    <w:p>
      <w:pPr>
        <w:adjustRightInd w:val="0"/>
        <w:snapToGrid w:val="0"/>
        <w:spacing w:line="360" w:lineRule="auto"/>
        <w:ind w:firstLine="480" w:firstLineChars="200"/>
        <w:rPr>
          <w:sz w:val="24"/>
        </w:rPr>
      </w:pPr>
      <w:r>
        <w:rPr>
          <w:sz w:val="24"/>
        </w:rPr>
        <w:t>7</w:t>
      </w:r>
      <w:r>
        <w:rPr>
          <w:rFonts w:hint="eastAsia"/>
          <w:sz w:val="24"/>
        </w:rPr>
        <w:t>）填妥的《传真委托协议书》两份（如需开通）；</w:t>
      </w:r>
    </w:p>
    <w:p>
      <w:pPr>
        <w:adjustRightInd w:val="0"/>
        <w:snapToGrid w:val="0"/>
        <w:spacing w:line="360" w:lineRule="auto"/>
        <w:ind w:firstLine="480" w:firstLineChars="200"/>
        <w:rPr>
          <w:sz w:val="24"/>
        </w:rPr>
      </w:pPr>
      <w:r>
        <w:rPr>
          <w:sz w:val="24"/>
        </w:rPr>
        <w:t>8</w:t>
      </w:r>
      <w:r>
        <w:rPr>
          <w:rFonts w:hint="eastAsia"/>
          <w:sz w:val="24"/>
        </w:rPr>
        <w:t>）填妥的《开放式基金电话交易协议书》两份（如需开通）；</w:t>
      </w:r>
    </w:p>
    <w:p>
      <w:pPr>
        <w:adjustRightInd w:val="0"/>
        <w:snapToGrid w:val="0"/>
        <w:spacing w:line="360" w:lineRule="auto"/>
        <w:ind w:firstLine="480" w:firstLineChars="200"/>
        <w:rPr>
          <w:sz w:val="24"/>
        </w:rPr>
      </w:pPr>
      <w:r>
        <w:rPr>
          <w:sz w:val="24"/>
        </w:rPr>
        <w:t>9</w:t>
      </w:r>
      <w:r>
        <w:rPr>
          <w:rFonts w:hint="eastAsia"/>
          <w:sz w:val="24"/>
        </w:rPr>
        <w:t>）填妥</w:t>
      </w:r>
      <w:r>
        <w:rPr>
          <w:sz w:val="24"/>
        </w:rPr>
        <w:t>的《</w:t>
      </w:r>
      <w:r>
        <w:rPr>
          <w:rFonts w:hint="eastAsia"/>
          <w:sz w:val="24"/>
        </w:rPr>
        <w:t>CRS个人税收</w:t>
      </w:r>
      <w:r>
        <w:rPr>
          <w:sz w:val="24"/>
        </w:rPr>
        <w:t>居民身份声明文件》</w:t>
      </w:r>
      <w:r>
        <w:rPr>
          <w:rFonts w:hint="eastAsia"/>
          <w:sz w:val="24"/>
        </w:rPr>
        <w:t>；</w:t>
      </w:r>
    </w:p>
    <w:p>
      <w:pPr>
        <w:adjustRightInd w:val="0"/>
        <w:snapToGrid w:val="0"/>
        <w:spacing w:line="360" w:lineRule="auto"/>
        <w:ind w:firstLine="480" w:firstLineChars="20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pPr>
        <w:adjustRightInd w:val="0"/>
        <w:snapToGrid w:val="0"/>
        <w:spacing w:line="360" w:lineRule="auto"/>
        <w:ind w:firstLine="480" w:firstLineChars="200"/>
        <w:rPr>
          <w:sz w:val="24"/>
        </w:rPr>
      </w:pPr>
      <w:r>
        <w:rPr>
          <w:sz w:val="24"/>
        </w:rPr>
        <w:t>11</w:t>
      </w:r>
      <w:r>
        <w:rPr>
          <w:rFonts w:hint="eastAsia"/>
          <w:sz w:val="24"/>
        </w:rPr>
        <w:t>）如非本人亲自办理，则还须提供代理人身份证件原件及复印件（签名）和本人的授权委托书；</w:t>
      </w:r>
    </w:p>
    <w:p>
      <w:pPr>
        <w:adjustRightInd w:val="0"/>
        <w:snapToGrid w:val="0"/>
        <w:spacing w:line="360" w:lineRule="auto"/>
        <w:ind w:firstLine="480" w:firstLineChars="200"/>
        <w:rPr>
          <w:sz w:val="24"/>
        </w:rPr>
      </w:pPr>
      <w:r>
        <w:rPr>
          <w:sz w:val="24"/>
        </w:rPr>
        <w:t>12</w:t>
      </w:r>
      <w:r>
        <w:rPr>
          <w:rFonts w:hint="eastAsia"/>
          <w:sz w:val="24"/>
        </w:rPr>
        <w:t>）以上表格复印有效，但需客户本人亲笔签名。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）认购资金的划拨程序：</w:t>
      </w:r>
    </w:p>
    <w:p>
      <w:pPr>
        <w:adjustRightInd w:val="0"/>
        <w:snapToGrid w:val="0"/>
        <w:spacing w:line="360" w:lineRule="auto"/>
        <w:ind w:firstLine="480" w:firstLineChars="20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交银鸿信一年持有期混合</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2"/>
        <w:rPr>
          <w:b/>
          <w:sz w:val="24"/>
        </w:rPr>
      </w:pPr>
      <w:r>
        <w:rPr>
          <w:b/>
          <w:sz w:val="24"/>
        </w:rPr>
        <w:t>2</w:t>
      </w:r>
      <w:r>
        <w:rPr>
          <w:rFonts w:hint="eastAsia"/>
          <w:b/>
          <w:sz w:val="24"/>
        </w:rPr>
        <w:t>、网上直销交易平台</w:t>
      </w:r>
    </w:p>
    <w:p>
      <w:pPr>
        <w:adjustRightInd w:val="0"/>
        <w:snapToGrid w:val="0"/>
        <w:spacing w:line="360" w:lineRule="auto"/>
        <w:ind w:firstLine="480" w:firstLineChars="200"/>
        <w:rPr>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outlineLvl w:val="1"/>
        <w:rPr>
          <w:b/>
          <w:sz w:val="24"/>
        </w:rPr>
      </w:pPr>
      <w:r>
        <w:rPr>
          <w:rFonts w:hint="eastAsia"/>
          <w:b/>
          <w:sz w:val="24"/>
        </w:rPr>
        <w:t>（一）直销中心</w:t>
      </w:r>
    </w:p>
    <w:p>
      <w:pPr>
        <w:adjustRightInd w:val="0"/>
        <w:snapToGrid w:val="0"/>
        <w:spacing w:line="360" w:lineRule="auto"/>
        <w:ind w:firstLine="480" w:firstLineChars="20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9）印鉴卡一式两份（一份机构留存，一份本直销中心留存，预留印鉴盖章人的盖公章证件需要提供）；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int="eastAsia" w:hAnsi="宋体"/>
          <w:sz w:val="24"/>
        </w:rPr>
        <w:t>交银鸿信一年持有期混合</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outlineLvl w:val="1"/>
        <w:rPr>
          <w:b/>
          <w:sz w:val="24"/>
        </w:rPr>
      </w:pPr>
      <w:r>
        <w:rPr>
          <w:rFonts w:hint="eastAsia"/>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法定代表人：阮红</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sz w:val="24"/>
        </w:rPr>
      </w:pPr>
      <w:r>
        <w:rPr>
          <w:rFonts w:hint="eastAsia"/>
          <w:sz w:val="24"/>
        </w:rPr>
        <w:t>联系人：郭佳敏</w:t>
      </w:r>
    </w:p>
    <w:p>
      <w:pPr>
        <w:adjustRightInd w:val="0"/>
        <w:snapToGrid w:val="0"/>
        <w:spacing w:line="360" w:lineRule="auto"/>
        <w:ind w:firstLine="482" w:firstLineChars="200"/>
        <w:outlineLvl w:val="1"/>
        <w:rPr>
          <w:b/>
          <w:sz w:val="24"/>
        </w:rPr>
      </w:pPr>
      <w:r>
        <w:rPr>
          <w:rFonts w:hint="eastAsia"/>
          <w:b/>
          <w:sz w:val="24"/>
        </w:rPr>
        <w:t>（二）基金托管人</w:t>
      </w:r>
    </w:p>
    <w:p>
      <w:pPr>
        <w:adjustRightInd w:val="0"/>
        <w:snapToGrid w:val="0"/>
        <w:spacing w:line="360" w:lineRule="auto"/>
        <w:ind w:firstLine="480" w:firstLineChars="200"/>
        <w:rPr>
          <w:sz w:val="24"/>
        </w:rPr>
      </w:pPr>
      <w:r>
        <w:rPr>
          <w:rFonts w:hint="eastAsia"/>
          <w:sz w:val="24"/>
        </w:rPr>
        <w:t>名称：中信银行股份有限公司（简称“中信银行”）</w:t>
      </w:r>
    </w:p>
    <w:p>
      <w:pPr>
        <w:adjustRightInd w:val="0"/>
        <w:snapToGrid w:val="0"/>
        <w:spacing w:line="360" w:lineRule="auto"/>
        <w:ind w:firstLine="480" w:firstLineChars="200"/>
        <w:rPr>
          <w:sz w:val="24"/>
        </w:rPr>
      </w:pPr>
      <w:r>
        <w:rPr>
          <w:rFonts w:hint="eastAsia"/>
          <w:sz w:val="24"/>
        </w:rPr>
        <w:t>住所：北京市朝阳区光华路</w:t>
      </w:r>
      <w:r>
        <w:rPr>
          <w:sz w:val="24"/>
        </w:rPr>
        <w:t>10</w:t>
      </w:r>
      <w:r>
        <w:rPr>
          <w:rFonts w:hint="eastAsia"/>
          <w:sz w:val="24"/>
        </w:rPr>
        <w:t>号院</w:t>
      </w:r>
      <w:r>
        <w:rPr>
          <w:sz w:val="24"/>
        </w:rPr>
        <w:t>1</w:t>
      </w:r>
      <w:r>
        <w:rPr>
          <w:rFonts w:hint="eastAsia"/>
          <w:sz w:val="24"/>
        </w:rPr>
        <w:t>号楼</w:t>
      </w:r>
    </w:p>
    <w:p>
      <w:pPr>
        <w:adjustRightInd w:val="0"/>
        <w:snapToGrid w:val="0"/>
        <w:spacing w:line="360" w:lineRule="auto"/>
        <w:ind w:firstLine="480" w:firstLineChars="200"/>
        <w:rPr>
          <w:sz w:val="24"/>
        </w:rPr>
      </w:pPr>
      <w:r>
        <w:rPr>
          <w:rFonts w:hint="eastAsia"/>
          <w:sz w:val="24"/>
        </w:rPr>
        <w:t>办公地址：北京市朝阳区光华路</w:t>
      </w:r>
      <w:r>
        <w:rPr>
          <w:sz w:val="24"/>
        </w:rPr>
        <w:t>10</w:t>
      </w:r>
      <w:r>
        <w:rPr>
          <w:rFonts w:hint="eastAsia"/>
          <w:sz w:val="24"/>
        </w:rPr>
        <w:t>号院</w:t>
      </w:r>
      <w:r>
        <w:rPr>
          <w:sz w:val="24"/>
        </w:rPr>
        <w:t>1</w:t>
      </w:r>
      <w:r>
        <w:rPr>
          <w:rFonts w:hint="eastAsia"/>
          <w:sz w:val="24"/>
        </w:rPr>
        <w:t>号楼</w:t>
      </w:r>
    </w:p>
    <w:p>
      <w:pPr>
        <w:adjustRightInd w:val="0"/>
        <w:snapToGrid w:val="0"/>
        <w:spacing w:line="360" w:lineRule="auto"/>
        <w:ind w:firstLine="480" w:firstLineChars="200"/>
        <w:rPr>
          <w:sz w:val="24"/>
        </w:rPr>
      </w:pPr>
      <w:r>
        <w:rPr>
          <w:rFonts w:hint="eastAsia"/>
          <w:sz w:val="24"/>
        </w:rPr>
        <w:t>法定代表人：李庆萍</w:t>
      </w:r>
    </w:p>
    <w:p>
      <w:pPr>
        <w:adjustRightInd w:val="0"/>
        <w:snapToGrid w:val="0"/>
        <w:spacing w:line="360" w:lineRule="auto"/>
        <w:ind w:firstLine="480" w:firstLineChars="200"/>
        <w:rPr>
          <w:sz w:val="24"/>
        </w:rPr>
      </w:pPr>
      <w:r>
        <w:rPr>
          <w:rFonts w:hint="eastAsia"/>
          <w:sz w:val="24"/>
        </w:rPr>
        <w:t>成立时间：</w:t>
      </w:r>
      <w:r>
        <w:rPr>
          <w:sz w:val="24"/>
        </w:rPr>
        <w:t>1987</w:t>
      </w:r>
      <w:r>
        <w:rPr>
          <w:rFonts w:hint="eastAsia"/>
          <w:sz w:val="24"/>
        </w:rPr>
        <w:t>年</w:t>
      </w:r>
      <w:r>
        <w:rPr>
          <w:sz w:val="24"/>
        </w:rPr>
        <w:t>4</w:t>
      </w:r>
      <w:r>
        <w:rPr>
          <w:rFonts w:hint="eastAsia"/>
          <w:sz w:val="24"/>
        </w:rPr>
        <w:t>月</w:t>
      </w:r>
      <w:r>
        <w:rPr>
          <w:sz w:val="24"/>
        </w:rPr>
        <w:t>20</w:t>
      </w:r>
      <w:r>
        <w:rPr>
          <w:rFonts w:hint="eastAsia"/>
          <w:sz w:val="24"/>
        </w:rPr>
        <w:t>日</w:t>
      </w:r>
    </w:p>
    <w:p>
      <w:pPr>
        <w:adjustRightInd w:val="0"/>
        <w:snapToGrid w:val="0"/>
        <w:spacing w:line="360" w:lineRule="auto"/>
        <w:ind w:firstLine="480" w:firstLineChars="200"/>
        <w:rPr>
          <w:sz w:val="24"/>
        </w:rPr>
      </w:pPr>
      <w:r>
        <w:rPr>
          <w:rFonts w:hint="eastAsia"/>
          <w:sz w:val="24"/>
        </w:rPr>
        <w:t>组织形式：股份有限公司</w:t>
      </w:r>
    </w:p>
    <w:p>
      <w:pPr>
        <w:adjustRightInd w:val="0"/>
        <w:snapToGrid w:val="0"/>
        <w:spacing w:line="360" w:lineRule="auto"/>
        <w:ind w:firstLine="480" w:firstLineChars="200"/>
        <w:rPr>
          <w:sz w:val="24"/>
        </w:rPr>
      </w:pPr>
      <w:r>
        <w:rPr>
          <w:rFonts w:hint="eastAsia"/>
          <w:sz w:val="24"/>
        </w:rPr>
        <w:t>注册资本：</w:t>
      </w:r>
      <w:r>
        <w:rPr>
          <w:sz w:val="24"/>
        </w:rPr>
        <w:t>489.35</w:t>
      </w:r>
      <w:r>
        <w:rPr>
          <w:rFonts w:hint="eastAsia"/>
          <w:sz w:val="24"/>
        </w:rPr>
        <w:t>亿元人民币</w:t>
      </w:r>
    </w:p>
    <w:p>
      <w:pPr>
        <w:adjustRightInd w:val="0"/>
        <w:snapToGrid w:val="0"/>
        <w:spacing w:line="360" w:lineRule="auto"/>
        <w:ind w:firstLine="480" w:firstLineChars="200"/>
        <w:rPr>
          <w:sz w:val="24"/>
        </w:rPr>
      </w:pPr>
      <w:r>
        <w:rPr>
          <w:rFonts w:hint="eastAsia"/>
          <w:sz w:val="24"/>
        </w:rPr>
        <w:t>存续期间：持续经营</w:t>
      </w:r>
    </w:p>
    <w:p>
      <w:pPr>
        <w:adjustRightInd w:val="0"/>
        <w:snapToGrid w:val="0"/>
        <w:spacing w:line="360" w:lineRule="auto"/>
        <w:ind w:firstLine="480" w:firstLineChars="200"/>
        <w:rPr>
          <w:sz w:val="24"/>
        </w:rPr>
      </w:pPr>
      <w:r>
        <w:rPr>
          <w:rFonts w:hint="eastAsia"/>
          <w:sz w:val="24"/>
        </w:rPr>
        <w:t>批准设立文号：中华人民共和国国务院办公厅国办函</w:t>
      </w:r>
      <w:r>
        <w:rPr>
          <w:sz w:val="24"/>
        </w:rPr>
        <w:t>[1987]14</w:t>
      </w:r>
      <w:r>
        <w:rPr>
          <w:rFonts w:hint="eastAsia"/>
          <w:sz w:val="24"/>
        </w:rPr>
        <w:t>号</w:t>
      </w:r>
    </w:p>
    <w:p>
      <w:pPr>
        <w:adjustRightInd w:val="0"/>
        <w:snapToGrid w:val="0"/>
        <w:spacing w:line="360" w:lineRule="auto"/>
        <w:ind w:firstLine="480" w:firstLineChars="200"/>
        <w:rPr>
          <w:sz w:val="24"/>
        </w:rPr>
      </w:pPr>
      <w:r>
        <w:rPr>
          <w:rFonts w:hint="eastAsia"/>
          <w:sz w:val="24"/>
        </w:rPr>
        <w:t>基金托管业务批准文号：中国证监会证监基字</w:t>
      </w:r>
      <w:r>
        <w:rPr>
          <w:sz w:val="24"/>
        </w:rPr>
        <w:t>[2004]125</w:t>
      </w:r>
      <w:r>
        <w:rPr>
          <w:rFonts w:hint="eastAsia"/>
          <w:sz w:val="24"/>
        </w:rPr>
        <w:t>号</w:t>
      </w:r>
    </w:p>
    <w:p>
      <w:pPr>
        <w:adjustRightInd w:val="0"/>
        <w:snapToGrid w:val="0"/>
        <w:spacing w:line="360" w:lineRule="auto"/>
        <w:ind w:firstLine="480" w:firstLineChars="200"/>
        <w:rPr>
          <w:sz w:val="24"/>
        </w:rPr>
      </w:pPr>
      <w:r>
        <w:rPr>
          <w:rFonts w:hint="eastAsia"/>
          <w:sz w:val="24"/>
        </w:rPr>
        <w:t>联系人：中信银行资产托管部</w:t>
      </w:r>
    </w:p>
    <w:p>
      <w:pPr>
        <w:adjustRightInd w:val="0"/>
        <w:snapToGrid w:val="0"/>
        <w:spacing w:line="360" w:lineRule="auto"/>
        <w:ind w:firstLine="480" w:firstLineChars="200"/>
        <w:rPr>
          <w:sz w:val="24"/>
        </w:rPr>
      </w:pPr>
      <w:r>
        <w:rPr>
          <w:rFonts w:hint="eastAsia"/>
          <w:sz w:val="24"/>
        </w:rPr>
        <w:t>联系电话：</w:t>
      </w:r>
      <w:r>
        <w:rPr>
          <w:sz w:val="24"/>
        </w:rPr>
        <w:t>4006800000</w:t>
      </w:r>
    </w:p>
    <w:p>
      <w:pPr>
        <w:adjustRightInd w:val="0"/>
        <w:snapToGrid w:val="0"/>
        <w:spacing w:line="360" w:lineRule="auto"/>
        <w:ind w:firstLine="480" w:firstLineChars="200"/>
        <w:rPr>
          <w:sz w:val="24"/>
        </w:rPr>
      </w:pPr>
      <w:r>
        <w:rPr>
          <w:rFonts w:hint="eastAsia"/>
          <w:sz w:val="24"/>
        </w:rPr>
        <w:t>传真：</w:t>
      </w:r>
      <w:r>
        <w:rPr>
          <w:sz w:val="24"/>
        </w:rPr>
        <w:t>010-85230024</w:t>
      </w:r>
    </w:p>
    <w:p>
      <w:pPr>
        <w:adjustRightInd w:val="0"/>
        <w:snapToGrid w:val="0"/>
        <w:spacing w:line="360" w:lineRule="auto"/>
        <w:ind w:firstLine="480" w:firstLineChars="200"/>
        <w:rPr>
          <w:sz w:val="24"/>
        </w:rPr>
      </w:pPr>
      <w:r>
        <w:rPr>
          <w:rFonts w:hint="eastAsia"/>
          <w:sz w:val="24"/>
        </w:rPr>
        <w:t>客服电话：</w:t>
      </w:r>
      <w:r>
        <w:rPr>
          <w:sz w:val="24"/>
        </w:rPr>
        <w:t>95558</w:t>
      </w:r>
    </w:p>
    <w:p>
      <w:pPr>
        <w:adjustRightInd w:val="0"/>
        <w:snapToGrid w:val="0"/>
        <w:spacing w:line="360" w:lineRule="auto"/>
        <w:ind w:firstLine="480" w:firstLineChars="200"/>
        <w:rPr>
          <w:rFonts w:ascii="宋体" w:hAnsi="宋体"/>
          <w:sz w:val="24"/>
        </w:rPr>
      </w:pPr>
      <w:r>
        <w:rPr>
          <w:rFonts w:hint="eastAsia"/>
          <w:sz w:val="24"/>
        </w:rPr>
        <w:t>网址：</w:t>
      </w:r>
      <w:r>
        <w:rPr>
          <w:sz w:val="24"/>
        </w:rPr>
        <w:t>bank.ecitic.com</w:t>
      </w:r>
    </w:p>
    <w:p>
      <w:pPr>
        <w:widowControl/>
        <w:adjustRightInd w:val="0"/>
        <w:snapToGrid w:val="0"/>
        <w:spacing w:line="360" w:lineRule="auto"/>
        <w:ind w:firstLine="482" w:firstLineChars="200"/>
        <w:outlineLvl w:val="1"/>
        <w:rPr>
          <w:b/>
          <w:sz w:val="24"/>
        </w:rPr>
      </w:pPr>
      <w:r>
        <w:rPr>
          <w:rFonts w:hint="eastAsia"/>
          <w:b/>
          <w:sz w:val="24"/>
        </w:rPr>
        <w:t>（三）销售机构</w:t>
      </w:r>
    </w:p>
    <w:p>
      <w:pPr>
        <w:widowControl/>
        <w:adjustRightInd w:val="0"/>
        <w:snapToGrid w:val="0"/>
        <w:spacing w:line="360" w:lineRule="auto"/>
        <w:ind w:firstLine="480" w:firstLineChars="200"/>
        <w:outlineLvl w:val="2"/>
        <w:rPr>
          <w:kern w:val="0"/>
          <w:sz w:val="24"/>
        </w:rPr>
      </w:pPr>
      <w:r>
        <w:rPr>
          <w:kern w:val="0"/>
          <w:sz w:val="24"/>
        </w:rPr>
        <w:t>1</w:t>
      </w:r>
      <w:r>
        <w:rPr>
          <w:rFonts w:hint="eastAsia"/>
          <w:kern w:val="0"/>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阮红</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adjustRightInd w:val="0"/>
        <w:snapToGrid w:val="0"/>
        <w:spacing w:line="360" w:lineRule="auto"/>
        <w:ind w:firstLine="480" w:firstLineChars="200"/>
        <w:outlineLvl w:val="2"/>
        <w:rPr>
          <w:kern w:val="0"/>
          <w:sz w:val="24"/>
        </w:rPr>
      </w:pPr>
      <w:r>
        <w:rPr>
          <w:kern w:val="0"/>
          <w:sz w:val="24"/>
        </w:rPr>
        <w:t>2</w:t>
      </w:r>
      <w:r>
        <w:rPr>
          <w:rFonts w:hint="eastAsia"/>
          <w:kern w:val="0"/>
          <w:sz w:val="24"/>
        </w:rPr>
        <w:t>、</w:t>
      </w:r>
      <w:r>
        <w:rPr>
          <w:rFonts w:hint="eastAsia" w:ascii="宋体" w:hAnsi="宋体"/>
          <w:sz w:val="24"/>
        </w:rPr>
        <w:t>除基金管理人之外的其他销售机构</w:t>
      </w:r>
    </w:p>
    <w:p>
      <w:pPr>
        <w:widowControl/>
        <w:adjustRightInd w:val="0"/>
        <w:snapToGrid w:val="0"/>
        <w:spacing w:line="360" w:lineRule="auto"/>
        <w:ind w:firstLine="480" w:firstLineChars="200"/>
        <w:rPr>
          <w:kern w:val="0"/>
          <w:sz w:val="24"/>
        </w:rPr>
      </w:pPr>
      <w:r>
        <w:rPr>
          <w:rFonts w:hint="eastAsia"/>
          <w:kern w:val="0"/>
          <w:sz w:val="24"/>
        </w:rPr>
        <w:t>（</w:t>
      </w:r>
      <w:r>
        <w:rPr>
          <w:kern w:val="0"/>
          <w:sz w:val="24"/>
        </w:rPr>
        <w:t>1</w:t>
      </w:r>
      <w:r>
        <w:rPr>
          <w:rFonts w:hint="eastAsia"/>
          <w:kern w:val="0"/>
          <w:sz w:val="24"/>
        </w:rPr>
        <w:t>）中信银行股份有限公司</w:t>
      </w:r>
    </w:p>
    <w:p>
      <w:pPr>
        <w:widowControl/>
        <w:adjustRightInd w:val="0"/>
        <w:snapToGrid w:val="0"/>
        <w:spacing w:line="360" w:lineRule="auto"/>
        <w:ind w:firstLine="480" w:firstLineChars="200"/>
        <w:rPr>
          <w:kern w:val="0"/>
          <w:sz w:val="24"/>
        </w:rPr>
      </w:pPr>
      <w:r>
        <w:rPr>
          <w:rFonts w:hint="eastAsia"/>
          <w:kern w:val="0"/>
          <w:sz w:val="24"/>
        </w:rPr>
        <w:t>住所：北京市朝阳区光华路</w:t>
      </w:r>
      <w:r>
        <w:rPr>
          <w:kern w:val="0"/>
          <w:sz w:val="24"/>
        </w:rPr>
        <w:t>10</w:t>
      </w:r>
      <w:r>
        <w:rPr>
          <w:rFonts w:hint="eastAsia"/>
          <w:kern w:val="0"/>
          <w:sz w:val="24"/>
        </w:rPr>
        <w:t>号院</w:t>
      </w:r>
      <w:r>
        <w:rPr>
          <w:kern w:val="0"/>
          <w:sz w:val="24"/>
        </w:rPr>
        <w:t>1</w:t>
      </w:r>
      <w:r>
        <w:rPr>
          <w:rFonts w:hint="eastAsia"/>
          <w:kern w:val="0"/>
          <w:sz w:val="24"/>
        </w:rPr>
        <w:t>号楼</w:t>
      </w:r>
    </w:p>
    <w:p>
      <w:pPr>
        <w:widowControl/>
        <w:adjustRightInd w:val="0"/>
        <w:snapToGrid w:val="0"/>
        <w:spacing w:line="360" w:lineRule="auto"/>
        <w:ind w:firstLine="480" w:firstLineChars="200"/>
        <w:rPr>
          <w:kern w:val="0"/>
          <w:sz w:val="24"/>
        </w:rPr>
      </w:pPr>
      <w:r>
        <w:rPr>
          <w:rFonts w:hint="eastAsia"/>
          <w:kern w:val="0"/>
          <w:sz w:val="24"/>
        </w:rPr>
        <w:t>办公地址：北京市朝阳区光华路</w:t>
      </w:r>
      <w:r>
        <w:rPr>
          <w:kern w:val="0"/>
          <w:sz w:val="24"/>
        </w:rPr>
        <w:t>10</w:t>
      </w:r>
      <w:r>
        <w:rPr>
          <w:rFonts w:hint="eastAsia"/>
          <w:kern w:val="0"/>
          <w:sz w:val="24"/>
        </w:rPr>
        <w:t>号院</w:t>
      </w:r>
      <w:r>
        <w:rPr>
          <w:kern w:val="0"/>
          <w:sz w:val="24"/>
        </w:rPr>
        <w:t>1</w:t>
      </w:r>
      <w:r>
        <w:rPr>
          <w:rFonts w:hint="eastAsia"/>
          <w:kern w:val="0"/>
          <w:sz w:val="24"/>
        </w:rPr>
        <w:t>号楼</w:t>
      </w:r>
    </w:p>
    <w:p>
      <w:pPr>
        <w:widowControl/>
        <w:adjustRightInd w:val="0"/>
        <w:snapToGrid w:val="0"/>
        <w:spacing w:line="360" w:lineRule="auto"/>
        <w:ind w:firstLine="480" w:firstLineChars="200"/>
        <w:rPr>
          <w:kern w:val="0"/>
          <w:sz w:val="24"/>
        </w:rPr>
      </w:pPr>
      <w:r>
        <w:rPr>
          <w:rFonts w:hint="eastAsia"/>
          <w:kern w:val="0"/>
          <w:sz w:val="24"/>
        </w:rPr>
        <w:t>法定代表人：李庆萍</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010</w:t>
      </w:r>
      <w:r>
        <w:rPr>
          <w:rFonts w:hint="eastAsia"/>
          <w:kern w:val="0"/>
          <w:sz w:val="24"/>
        </w:rPr>
        <w:t>）</w:t>
      </w:r>
      <w:r>
        <w:rPr>
          <w:kern w:val="0"/>
          <w:sz w:val="24"/>
        </w:rPr>
        <w:t>89936330</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010</w:t>
      </w:r>
      <w:r>
        <w:rPr>
          <w:rFonts w:hint="eastAsia"/>
          <w:kern w:val="0"/>
          <w:sz w:val="24"/>
        </w:rPr>
        <w:t>）</w:t>
      </w:r>
      <w:r>
        <w:rPr>
          <w:kern w:val="0"/>
          <w:sz w:val="24"/>
        </w:rPr>
        <w:t>85230024</w:t>
      </w:r>
    </w:p>
    <w:p>
      <w:pPr>
        <w:widowControl/>
        <w:adjustRightInd w:val="0"/>
        <w:snapToGrid w:val="0"/>
        <w:spacing w:line="360" w:lineRule="auto"/>
        <w:ind w:firstLine="480" w:firstLineChars="200"/>
        <w:rPr>
          <w:kern w:val="0"/>
          <w:sz w:val="24"/>
        </w:rPr>
      </w:pPr>
      <w:r>
        <w:rPr>
          <w:rFonts w:hint="eastAsia"/>
          <w:kern w:val="0"/>
          <w:sz w:val="24"/>
        </w:rPr>
        <w:t>联系人：丰靖</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95558</w:t>
      </w:r>
    </w:p>
    <w:p>
      <w:pPr>
        <w:widowControl/>
        <w:adjustRightInd w:val="0"/>
        <w:snapToGrid w:val="0"/>
        <w:spacing w:line="360" w:lineRule="auto"/>
        <w:ind w:firstLine="480" w:firstLineChars="200"/>
        <w:rPr>
          <w:kern w:val="0"/>
          <w:sz w:val="24"/>
        </w:rPr>
      </w:pPr>
      <w:r>
        <w:rPr>
          <w:rFonts w:hint="eastAsia"/>
          <w:kern w:val="0"/>
          <w:sz w:val="24"/>
        </w:rPr>
        <w:t>网址：</w:t>
      </w:r>
      <w:r>
        <w:rPr>
          <w:kern w:val="0"/>
          <w:sz w:val="24"/>
        </w:rPr>
        <w:t>bank.ecitic.com</w:t>
      </w:r>
    </w:p>
    <w:p>
      <w:pPr>
        <w:widowControl/>
        <w:adjustRightInd w:val="0"/>
        <w:snapToGrid w:val="0"/>
        <w:spacing w:line="360" w:lineRule="auto"/>
        <w:ind w:firstLine="480" w:firstLineChars="200"/>
        <w:rPr>
          <w:kern w:val="0"/>
          <w:sz w:val="24"/>
        </w:rPr>
      </w:pPr>
      <w:r>
        <w:rPr>
          <w:rFonts w:hint="eastAsia"/>
          <w:kern w:val="0"/>
          <w:sz w:val="24"/>
        </w:rPr>
        <w:t>（</w:t>
      </w:r>
      <w:r>
        <w:rPr>
          <w:kern w:val="0"/>
          <w:sz w:val="24"/>
        </w:rPr>
        <w:t>2</w:t>
      </w:r>
      <w:r>
        <w:rPr>
          <w:rFonts w:hint="eastAsia"/>
          <w:kern w:val="0"/>
          <w:sz w:val="24"/>
        </w:rPr>
        <w:t>）交通银行股份有限公司</w:t>
      </w:r>
    </w:p>
    <w:p>
      <w:pPr>
        <w:widowControl/>
        <w:adjustRightInd w:val="0"/>
        <w:snapToGrid w:val="0"/>
        <w:spacing w:line="360" w:lineRule="auto"/>
        <w:ind w:firstLine="480" w:firstLineChars="200"/>
        <w:rPr>
          <w:kern w:val="0"/>
          <w:sz w:val="24"/>
        </w:rPr>
      </w:pPr>
      <w:r>
        <w:rPr>
          <w:rFonts w:hint="eastAsia"/>
          <w:kern w:val="0"/>
          <w:sz w:val="24"/>
        </w:rPr>
        <w:t>住所：上海市浦东新区银城中路</w:t>
      </w:r>
      <w:r>
        <w:rPr>
          <w:kern w:val="0"/>
          <w:sz w:val="24"/>
        </w:rPr>
        <w:t>188</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办公地址：上海市浦东新区银城中路</w:t>
      </w:r>
      <w:r>
        <w:rPr>
          <w:kern w:val="0"/>
          <w:sz w:val="24"/>
        </w:rPr>
        <w:t>188</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法定代表人：任德奇</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58781234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58408483</w:t>
      </w:r>
    </w:p>
    <w:p>
      <w:pPr>
        <w:widowControl/>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范瑞波</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95559</w:t>
      </w:r>
    </w:p>
    <w:p>
      <w:pPr>
        <w:adjustRightInd w:val="0"/>
        <w:snapToGrid w:val="0"/>
        <w:spacing w:line="360" w:lineRule="auto"/>
        <w:ind w:firstLine="480" w:firstLineChars="200"/>
        <w:rPr>
          <w:kern w:val="0"/>
          <w:sz w:val="24"/>
        </w:rPr>
      </w:pPr>
      <w:r>
        <w:rPr>
          <w:rFonts w:hint="eastAsia"/>
          <w:kern w:val="0"/>
          <w:sz w:val="24"/>
        </w:rPr>
        <w:t>网址：</w:t>
      </w:r>
      <w:r>
        <w:rPr>
          <w:rFonts w:ascii="宋体" w:hAnsi="宋体"/>
          <w:sz w:val="24"/>
        </w:rPr>
        <w:t>www.bankcomm.com</w:t>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outlineLvl w:val="1"/>
        <w:rPr>
          <w:b/>
          <w:sz w:val="24"/>
        </w:rPr>
      </w:pPr>
      <w:r>
        <w:rPr>
          <w:rFonts w:hint="eastAsia"/>
          <w:b/>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名称：中国证券登记结算有限责任公司</w:t>
      </w:r>
    </w:p>
    <w:p>
      <w:pPr>
        <w:widowControl/>
        <w:adjustRightInd w:val="0"/>
        <w:snapToGrid w:val="0"/>
        <w:spacing w:line="360" w:lineRule="auto"/>
        <w:ind w:firstLine="480" w:firstLineChars="200"/>
        <w:rPr>
          <w:kern w:val="0"/>
          <w:sz w:val="24"/>
        </w:rPr>
      </w:pPr>
      <w:r>
        <w:rPr>
          <w:rFonts w:hint="eastAsia"/>
          <w:kern w:val="0"/>
          <w:sz w:val="24"/>
        </w:rPr>
        <w:t>住所：北京市西城区太平桥大街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办公地址：北京市西城区太平桥大街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法定代表人：</w:t>
      </w:r>
      <w:r>
        <w:rPr>
          <w:rFonts w:hint="eastAsia" w:hAnsi="宋体"/>
          <w:kern w:val="0"/>
          <w:sz w:val="24"/>
        </w:rPr>
        <w:t>周明</w:t>
      </w:r>
    </w:p>
    <w:p>
      <w:pPr>
        <w:widowControl/>
        <w:adjustRightInd w:val="0"/>
        <w:snapToGrid w:val="0"/>
        <w:spacing w:line="360" w:lineRule="auto"/>
        <w:ind w:firstLine="480" w:firstLineChars="200"/>
        <w:rPr>
          <w:kern w:val="0"/>
          <w:sz w:val="24"/>
        </w:rPr>
      </w:pPr>
      <w:r>
        <w:rPr>
          <w:rFonts w:hint="eastAsia"/>
          <w:kern w:val="0"/>
          <w:sz w:val="24"/>
        </w:rPr>
        <w:t>电话：（010）50938782</w:t>
      </w:r>
    </w:p>
    <w:p>
      <w:pPr>
        <w:widowControl/>
        <w:adjustRightInd w:val="0"/>
        <w:snapToGrid w:val="0"/>
        <w:spacing w:line="360" w:lineRule="auto"/>
        <w:ind w:firstLine="480" w:firstLineChars="200"/>
        <w:rPr>
          <w:kern w:val="0"/>
          <w:sz w:val="24"/>
        </w:rPr>
      </w:pPr>
      <w:r>
        <w:rPr>
          <w:rFonts w:hint="eastAsia"/>
          <w:kern w:val="0"/>
          <w:sz w:val="24"/>
        </w:rPr>
        <w:t>传真：（010）50938907</w:t>
      </w:r>
    </w:p>
    <w:p>
      <w:pPr>
        <w:adjustRightInd w:val="0"/>
        <w:snapToGrid w:val="0"/>
        <w:spacing w:line="360" w:lineRule="auto"/>
        <w:ind w:firstLine="480" w:firstLineChars="200"/>
        <w:rPr>
          <w:kern w:val="0"/>
          <w:sz w:val="24"/>
        </w:rPr>
      </w:pPr>
      <w:r>
        <w:rPr>
          <w:rFonts w:hint="eastAsia"/>
          <w:kern w:val="0"/>
          <w:sz w:val="24"/>
        </w:rPr>
        <w:t>联系人：赵亦清</w:t>
      </w:r>
    </w:p>
    <w:p>
      <w:pPr>
        <w:adjustRightInd w:val="0"/>
        <w:snapToGrid w:val="0"/>
        <w:spacing w:line="360" w:lineRule="auto"/>
        <w:ind w:firstLine="482" w:firstLineChars="200"/>
        <w:outlineLvl w:val="1"/>
        <w:rPr>
          <w:b/>
          <w:sz w:val="24"/>
        </w:rPr>
      </w:pPr>
      <w:r>
        <w:rPr>
          <w:rFonts w:hint="eastAsia"/>
          <w:b/>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3"/>
      <w:bookmarkStart w:id="6" w:name="OLE_LINK4"/>
      <w:r>
        <w:rPr>
          <w:rFonts w:hint="eastAsia"/>
          <w:kern w:val="0"/>
          <w:sz w:val="24"/>
        </w:rPr>
        <w:t>经办律师</w:t>
      </w:r>
      <w:bookmarkEnd w:id="5"/>
      <w:bookmarkEnd w:id="6"/>
      <w:r>
        <w:rPr>
          <w:rFonts w:hint="eastAsia"/>
          <w:kern w:val="0"/>
          <w:sz w:val="24"/>
        </w:rPr>
        <w:t>：</w:t>
      </w:r>
      <w:r>
        <w:rPr>
          <w:rFonts w:hAnsi="宋体"/>
          <w:kern w:val="0"/>
          <w:sz w:val="24"/>
        </w:rPr>
        <w:t>黎明</w:t>
      </w:r>
      <w:r>
        <w:rPr>
          <w:rFonts w:hint="eastAsia" w:hAnsi="宋体"/>
          <w:kern w:val="0"/>
          <w:sz w:val="24"/>
        </w:rPr>
        <w:t>、丁媛</w:t>
      </w:r>
    </w:p>
    <w:p>
      <w:pPr>
        <w:adjustRightInd w:val="0"/>
        <w:snapToGrid w:val="0"/>
        <w:spacing w:line="360" w:lineRule="auto"/>
        <w:ind w:firstLine="482" w:firstLineChars="200"/>
        <w:outlineLvl w:val="1"/>
        <w:rPr>
          <w:b/>
          <w:sz w:val="24"/>
        </w:rPr>
      </w:pPr>
      <w:r>
        <w:rPr>
          <w:rFonts w:hint="eastAsia"/>
          <w:b/>
          <w:sz w:val="24"/>
        </w:rPr>
        <w:t>（六）会计师事务所和经办注册会计师</w:t>
      </w:r>
    </w:p>
    <w:p>
      <w:pPr>
        <w:widowControl/>
        <w:adjustRightInd w:val="0"/>
        <w:snapToGrid w:val="0"/>
        <w:spacing w:line="360" w:lineRule="auto"/>
        <w:ind w:firstLine="480" w:firstLineChars="200"/>
        <w:rPr>
          <w:kern w:val="0"/>
          <w:sz w:val="24"/>
        </w:rPr>
      </w:pPr>
      <w:r>
        <w:rPr>
          <w:rFonts w:hint="eastAsia"/>
          <w:kern w:val="0"/>
          <w:sz w:val="24"/>
        </w:rPr>
        <w:t>名称：普华永道中天会计师事务所（特殊普通合伙）</w:t>
      </w:r>
    </w:p>
    <w:p>
      <w:pPr>
        <w:widowControl/>
        <w:adjustRightInd w:val="0"/>
        <w:snapToGrid w:val="0"/>
        <w:spacing w:line="360" w:lineRule="auto"/>
        <w:ind w:firstLine="480" w:firstLineChars="200"/>
        <w:rPr>
          <w:kern w:val="0"/>
          <w:sz w:val="24"/>
        </w:rPr>
      </w:pPr>
      <w:r>
        <w:rPr>
          <w:rFonts w:hint="eastAsia"/>
          <w:kern w:val="0"/>
          <w:sz w:val="24"/>
        </w:rPr>
        <w:t>住所：中国(上海)自由贸易试验区陆家嘴环路1318号星展银行大厦507单元01室</w:t>
      </w:r>
    </w:p>
    <w:p>
      <w:pPr>
        <w:widowControl/>
        <w:adjustRightInd w:val="0"/>
        <w:snapToGrid w:val="0"/>
        <w:spacing w:line="360" w:lineRule="auto"/>
        <w:ind w:firstLine="480" w:firstLineChars="200"/>
        <w:rPr>
          <w:kern w:val="0"/>
          <w:sz w:val="24"/>
        </w:rPr>
      </w:pPr>
      <w:r>
        <w:rPr>
          <w:rFonts w:hint="eastAsia"/>
          <w:kern w:val="0"/>
          <w:sz w:val="24"/>
        </w:rPr>
        <w:t>办公地址：中国上海市黄浦区湖滨路202号领展企业广场二座普华永道中心11楼</w:t>
      </w:r>
    </w:p>
    <w:p>
      <w:pPr>
        <w:widowControl/>
        <w:adjustRightInd w:val="0"/>
        <w:snapToGrid w:val="0"/>
        <w:spacing w:line="360" w:lineRule="auto"/>
        <w:ind w:firstLine="480" w:firstLineChars="200"/>
        <w:rPr>
          <w:kern w:val="0"/>
          <w:sz w:val="24"/>
        </w:rPr>
      </w:pPr>
      <w:r>
        <w:rPr>
          <w:rFonts w:hint="eastAsia"/>
          <w:kern w:val="0"/>
          <w:sz w:val="24"/>
        </w:rPr>
        <w:t>执行事务合伙人：李丹</w:t>
      </w:r>
    </w:p>
    <w:p>
      <w:pPr>
        <w:widowControl/>
        <w:adjustRightInd w:val="0"/>
        <w:snapToGrid w:val="0"/>
        <w:spacing w:line="360" w:lineRule="auto"/>
        <w:ind w:firstLine="480" w:firstLineChars="200"/>
        <w:rPr>
          <w:kern w:val="0"/>
          <w:sz w:val="24"/>
        </w:rPr>
      </w:pPr>
      <w:r>
        <w:rPr>
          <w:rFonts w:hint="eastAsia"/>
          <w:kern w:val="0"/>
          <w:sz w:val="24"/>
        </w:rPr>
        <w:t>电话：（021）23238888</w:t>
      </w:r>
    </w:p>
    <w:p>
      <w:pPr>
        <w:widowControl/>
        <w:adjustRightInd w:val="0"/>
        <w:snapToGrid w:val="0"/>
        <w:spacing w:line="360" w:lineRule="auto"/>
        <w:ind w:firstLine="480" w:firstLineChars="200"/>
        <w:rPr>
          <w:kern w:val="0"/>
          <w:sz w:val="24"/>
        </w:rPr>
      </w:pPr>
      <w:r>
        <w:rPr>
          <w:rFonts w:hint="eastAsia"/>
          <w:kern w:val="0"/>
          <w:sz w:val="24"/>
        </w:rPr>
        <w:t>传真：（021）23238800</w:t>
      </w:r>
    </w:p>
    <w:p>
      <w:pPr>
        <w:widowControl/>
        <w:adjustRightInd w:val="0"/>
        <w:snapToGrid w:val="0"/>
        <w:spacing w:line="360" w:lineRule="auto"/>
        <w:ind w:firstLine="480" w:firstLineChars="200"/>
        <w:rPr>
          <w:kern w:val="0"/>
          <w:sz w:val="24"/>
        </w:rPr>
      </w:pPr>
      <w:r>
        <w:rPr>
          <w:rFonts w:hint="eastAsia"/>
          <w:kern w:val="0"/>
          <w:sz w:val="24"/>
        </w:rPr>
        <w:t>联系人：金诗涛</w:t>
      </w:r>
    </w:p>
    <w:p>
      <w:pPr>
        <w:widowControl/>
        <w:adjustRightInd w:val="0"/>
        <w:snapToGrid w:val="0"/>
        <w:spacing w:line="360" w:lineRule="auto"/>
        <w:ind w:firstLine="480" w:firstLineChars="200"/>
        <w:rPr>
          <w:kern w:val="0"/>
          <w:sz w:val="24"/>
        </w:rPr>
      </w:pPr>
      <w:r>
        <w:rPr>
          <w:rFonts w:hint="eastAsia"/>
          <w:kern w:val="0"/>
          <w:sz w:val="24"/>
        </w:rPr>
        <w:t>经办注册会计师：童咏静、金诗涛</w:t>
      </w:r>
    </w:p>
    <w:p>
      <w:pPr>
        <w:widowControl/>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二〇二一年七月二日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方正舒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23</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cs="宋体"/>
      </w:rPr>
    </w:pPr>
    <w:r>
      <w:rPr>
        <w:rFonts w:hint="eastAsia" w:cs="宋体"/>
      </w:rPr>
      <w:t>交银施罗德鸿信一年持有期混合型证券投资基金</w:t>
    </w:r>
  </w:p>
  <w:p>
    <w:pPr>
      <w:pStyle w:val="32"/>
      <w:pBdr>
        <w:bottom w:val="none" w:color="auto" w:sz="0" w:space="0"/>
      </w:pBdr>
      <w:tabs>
        <w:tab w:val="right" w:pos="8280"/>
      </w:tabs>
      <w:jc w:val="right"/>
      <w:rPr>
        <w:rFonts w:ascii="宋体"/>
      </w:rPr>
    </w:pPr>
    <w:r>
      <w:rPr>
        <w:rFonts w:hint="eastAsia" w:cs="宋体"/>
      </w:rPr>
      <w:t>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3FE"/>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1FE1"/>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667D4"/>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BD2"/>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279C5"/>
    <w:rsid w:val="009305F9"/>
    <w:rsid w:val="0093064C"/>
    <w:rsid w:val="00931687"/>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5B7"/>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2C0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2D1D5DF4"/>
    <w:rsid w:val="3086056D"/>
    <w:rsid w:val="30FF097E"/>
    <w:rsid w:val="314236C1"/>
    <w:rsid w:val="36DB109D"/>
    <w:rsid w:val="3995227E"/>
    <w:rsid w:val="3D044235"/>
    <w:rsid w:val="3FDD6FAB"/>
    <w:rsid w:val="410F0621"/>
    <w:rsid w:val="47D3156F"/>
    <w:rsid w:val="47D5469B"/>
    <w:rsid w:val="4C5D1379"/>
    <w:rsid w:val="4D667C64"/>
    <w:rsid w:val="4E734CA6"/>
    <w:rsid w:val="551E0609"/>
    <w:rsid w:val="5A1A21C5"/>
    <w:rsid w:val="5DEB6C03"/>
    <w:rsid w:val="6734592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Char"/>
    <w:link w:val="2"/>
    <w:qFormat/>
    <w:uiPriority w:val="0"/>
    <w:rPr>
      <w:b/>
      <w:bCs/>
      <w:kern w:val="44"/>
      <w:sz w:val="44"/>
      <w:szCs w:val="44"/>
    </w:rPr>
  </w:style>
  <w:style w:type="character" w:customStyle="1" w:styleId="61">
    <w:name w:val="标题 2 Char"/>
    <w:link w:val="3"/>
    <w:qFormat/>
    <w:uiPriority w:val="0"/>
    <w:rPr>
      <w:rFonts w:ascii="Cambria" w:hAnsi="Cambria" w:eastAsia="宋体" w:cs="Times New Roman"/>
      <w:b/>
      <w:bCs/>
      <w:sz w:val="32"/>
      <w:szCs w:val="32"/>
    </w:rPr>
  </w:style>
  <w:style w:type="character" w:customStyle="1" w:styleId="62">
    <w:name w:val="标题 3 Char"/>
    <w:link w:val="5"/>
    <w:qFormat/>
    <w:uiPriority w:val="0"/>
    <w:rPr>
      <w:b/>
      <w:bCs/>
      <w:sz w:val="32"/>
      <w:szCs w:val="32"/>
    </w:rPr>
  </w:style>
  <w:style w:type="character" w:customStyle="1" w:styleId="63">
    <w:name w:val="标题 4 Char"/>
    <w:link w:val="6"/>
    <w:qFormat/>
    <w:locked/>
    <w:uiPriority w:val="0"/>
    <w:rPr>
      <w:rFonts w:ascii="Arial" w:hAnsi="Arial" w:eastAsia="黑体" w:cs="Arial"/>
      <w:b/>
      <w:bCs/>
      <w:kern w:val="2"/>
      <w:sz w:val="24"/>
      <w:szCs w:val="24"/>
    </w:rPr>
  </w:style>
  <w:style w:type="character" w:customStyle="1" w:styleId="64">
    <w:name w:val="标题 5 Char"/>
    <w:link w:val="7"/>
    <w:qFormat/>
    <w:uiPriority w:val="0"/>
    <w:rPr>
      <w:b/>
      <w:bCs/>
      <w:sz w:val="28"/>
      <w:szCs w:val="28"/>
    </w:rPr>
  </w:style>
  <w:style w:type="character" w:customStyle="1" w:styleId="65">
    <w:name w:val="标题 6 Char"/>
    <w:link w:val="9"/>
    <w:qFormat/>
    <w:uiPriority w:val="0"/>
    <w:rPr>
      <w:rFonts w:ascii="Cambria" w:hAnsi="Cambria" w:eastAsia="宋体" w:cs="Times New Roman"/>
      <w:b/>
      <w:bCs/>
      <w:sz w:val="24"/>
      <w:szCs w:val="24"/>
    </w:rPr>
  </w:style>
  <w:style w:type="character" w:customStyle="1" w:styleId="66">
    <w:name w:val="正文文本 Char"/>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Char"/>
    <w:link w:val="29"/>
    <w:qFormat/>
    <w:uiPriority w:val="0"/>
    <w:rPr>
      <w:szCs w:val="21"/>
    </w:rPr>
  </w:style>
  <w:style w:type="character" w:customStyle="1" w:styleId="70">
    <w:name w:val="页眉 Char"/>
    <w:link w:val="32"/>
    <w:qFormat/>
    <w:uiPriority w:val="99"/>
    <w:rPr>
      <w:sz w:val="18"/>
      <w:szCs w:val="18"/>
    </w:rPr>
  </w:style>
  <w:style w:type="character" w:customStyle="1" w:styleId="71">
    <w:name w:val="页脚 Char"/>
    <w:link w:val="31"/>
    <w:qFormat/>
    <w:locked/>
    <w:uiPriority w:val="99"/>
    <w:rPr>
      <w:kern w:val="2"/>
      <w:sz w:val="18"/>
      <w:szCs w:val="18"/>
    </w:rPr>
  </w:style>
  <w:style w:type="character" w:customStyle="1" w:styleId="72">
    <w:name w:val="纯文本 Char"/>
    <w:link w:val="25"/>
    <w:qFormat/>
    <w:locked/>
    <w:uiPriority w:val="99"/>
    <w:rPr>
      <w:rFonts w:ascii="宋体" w:hAnsi="Courier New" w:cs="宋体"/>
      <w:kern w:val="2"/>
      <w:sz w:val="16"/>
      <w:szCs w:val="16"/>
    </w:rPr>
  </w:style>
  <w:style w:type="character" w:customStyle="1" w:styleId="73">
    <w:name w:val="脚注文本 Char"/>
    <w:link w:val="37"/>
    <w:semiHidden/>
    <w:qFormat/>
    <w:locked/>
    <w:uiPriority w:val="0"/>
    <w:rPr>
      <w:kern w:val="2"/>
      <w:sz w:val="18"/>
      <w:szCs w:val="18"/>
    </w:rPr>
  </w:style>
  <w:style w:type="character" w:customStyle="1" w:styleId="74">
    <w:name w:val="正文首行缩进 Char"/>
    <w:basedOn w:val="66"/>
    <w:link w:val="50"/>
    <w:qFormat/>
    <w:uiPriority w:val="0"/>
    <w:rPr>
      <w:szCs w:val="21"/>
    </w:rPr>
  </w:style>
  <w:style w:type="character" w:customStyle="1" w:styleId="75">
    <w:name w:val="正文文本缩进 Char"/>
    <w:link w:val="20"/>
    <w:qFormat/>
    <w:uiPriority w:val="0"/>
    <w:rPr>
      <w:szCs w:val="21"/>
    </w:rPr>
  </w:style>
  <w:style w:type="character" w:customStyle="1" w:styleId="76">
    <w:name w:val="正文文本缩进 3 Char"/>
    <w:link w:val="39"/>
    <w:qFormat/>
    <w:uiPriority w:val="0"/>
    <w:rPr>
      <w:sz w:val="16"/>
      <w:szCs w:val="16"/>
    </w:rPr>
  </w:style>
  <w:style w:type="character" w:customStyle="1" w:styleId="77">
    <w:name w:val="批注框文本 Char"/>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Char"/>
    <w:link w:val="17"/>
    <w:qFormat/>
    <w:locked/>
    <w:uiPriority w:val="0"/>
    <w:rPr>
      <w:kern w:val="2"/>
      <w:sz w:val="24"/>
      <w:szCs w:val="24"/>
    </w:rPr>
  </w:style>
  <w:style w:type="character" w:customStyle="1" w:styleId="80">
    <w:name w:val="批注主题 Char"/>
    <w:link w:val="49"/>
    <w:qFormat/>
    <w:uiPriority w:val="0"/>
    <w:rPr>
      <w:b/>
      <w:bCs/>
      <w:kern w:val="2"/>
      <w:sz w:val="24"/>
      <w:szCs w:val="21"/>
    </w:rPr>
  </w:style>
  <w:style w:type="character" w:customStyle="1" w:styleId="81">
    <w:name w:val="日期 Char"/>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Char"/>
    <w:link w:val="10"/>
    <w:qFormat/>
    <w:uiPriority w:val="0"/>
    <w:rPr>
      <w:b/>
      <w:kern w:val="2"/>
      <w:sz w:val="24"/>
    </w:rPr>
  </w:style>
  <w:style w:type="character" w:customStyle="1" w:styleId="98">
    <w:name w:val="标题 8 Char"/>
    <w:link w:val="11"/>
    <w:qFormat/>
    <w:uiPriority w:val="0"/>
    <w:rPr>
      <w:rFonts w:ascii="Arial" w:hAnsi="Arial" w:eastAsia="黑体"/>
      <w:kern w:val="2"/>
      <w:sz w:val="24"/>
    </w:rPr>
  </w:style>
  <w:style w:type="character" w:customStyle="1" w:styleId="99">
    <w:name w:val="标题 9 Char"/>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Char"/>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Char"/>
    <w:link w:val="44"/>
    <w:qFormat/>
    <w:uiPriority w:val="0"/>
    <w:rPr>
      <w:rFonts w:ascii="Arial" w:hAnsi="Arial"/>
      <w:b/>
      <w:bCs/>
      <w:color w:val="000000"/>
      <w:kern w:val="2"/>
      <w:sz w:val="18"/>
      <w:szCs w:val="18"/>
      <w:lang w:val="zh-CN"/>
    </w:rPr>
  </w:style>
  <w:style w:type="character" w:customStyle="1" w:styleId="113">
    <w:name w:val="正文文本 3 Char"/>
    <w:link w:val="19"/>
    <w:qFormat/>
    <w:uiPriority w:val="0"/>
    <w:rPr>
      <w:rFonts w:ascii="仿宋_GB2312" w:hAnsi="Arial" w:eastAsia="仿宋_GB2312"/>
      <w:kern w:val="2"/>
      <w:sz w:val="21"/>
      <w:szCs w:val="24"/>
    </w:rPr>
  </w:style>
  <w:style w:type="character" w:customStyle="1" w:styleId="114">
    <w:name w:val="文档结构图 Char"/>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Char"/>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paragraph" w:customStyle="1" w:styleId="130">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131">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13246-5020-4D61-9208-6E3D493A5D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2425</Words>
  <Characters>13826</Characters>
  <Lines>115</Lines>
  <Paragraphs>32</Paragraphs>
  <TotalTime>0</TotalTime>
  <ScaleCrop>false</ScaleCrop>
  <LinksUpToDate>false</LinksUpToDate>
  <CharactersWithSpaces>16219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2021-06-16T09:21:00Z</dcterms:created>
  <dc:creator>zhangminjun</dc:creator>
  <cp:lastModifiedBy>zhangminjun</cp:lastModifiedBy>
  <cp:lastPrinted>2007-06-27T06:13:00Z</cp:lastPrinted>
  <dcterms:modified xsi:type="dcterms:W3CDTF">2021-06-30T07:27:46Z</dcterms:modified>
  <dc:title>募集方案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