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8732A" w14:textId="77777777" w:rsidR="00C92FC0" w:rsidRPr="00EB07BC" w:rsidRDefault="00856996">
      <w:pPr>
        <w:rPr>
          <w:sz w:val="32"/>
        </w:rPr>
      </w:pPr>
    </w:p>
    <w:p w14:paraId="6836CC8D" w14:textId="77777777" w:rsidR="00C92FC0" w:rsidRPr="00EB07BC" w:rsidRDefault="00856996">
      <w:pPr>
        <w:rPr>
          <w:sz w:val="32"/>
        </w:rPr>
      </w:pPr>
    </w:p>
    <w:p w14:paraId="19522334" w14:textId="77777777" w:rsidR="00C92FC0" w:rsidRPr="00EB07BC" w:rsidRDefault="00856996">
      <w:pPr>
        <w:rPr>
          <w:sz w:val="32"/>
        </w:rPr>
      </w:pPr>
    </w:p>
    <w:p w14:paraId="7F1D3D88" w14:textId="77777777" w:rsidR="00C92FC0" w:rsidRPr="00EB07BC" w:rsidRDefault="000F1A23">
      <w:pPr>
        <w:jc w:val="center"/>
        <w:rPr>
          <w:sz w:val="32"/>
        </w:rPr>
      </w:pPr>
      <w:r>
        <w:rPr>
          <w:noProof/>
        </w:rPr>
        <w:drawing>
          <wp:inline distT="0" distB="0" distL="0" distR="0" wp14:anchorId="29BE32D6" wp14:editId="00B0FCB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FCE7ABA" w14:textId="77777777" w:rsidR="00DC3364" w:rsidRDefault="00DC336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F46EFD6" w14:textId="77777777" w:rsidR="00DC3364" w:rsidRDefault="00DC336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F6BBC68" w14:textId="77777777" w:rsidR="00DC3364" w:rsidRDefault="000F1A23">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交银施罗德裕通纯债债券型证券投资基金</w:t>
      </w:r>
    </w:p>
    <w:p w14:paraId="1327CF8E" w14:textId="77777777" w:rsidR="00DC3364" w:rsidRDefault="000F1A23">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7952321B" w14:textId="0B3DED70" w:rsidR="00DC3364" w:rsidRDefault="000F1A23">
      <w:pPr>
        <w:snapToGrid w:val="0"/>
        <w:spacing w:line="360" w:lineRule="auto"/>
        <w:jc w:val="center"/>
        <w:rPr>
          <w:rFonts w:ascii="宋体" w:hAnsi="宋体"/>
          <w:b/>
          <w:sz w:val="30"/>
          <w:szCs w:val="30"/>
        </w:rPr>
      </w:pPr>
      <w:r>
        <w:rPr>
          <w:rFonts w:ascii="Times New Roman" w:hAnsi="Times New Roman"/>
          <w:b/>
          <w:color w:val="000000"/>
          <w:sz w:val="32"/>
          <w:szCs w:val="32"/>
        </w:rPr>
        <w:t>(202</w:t>
      </w:r>
      <w:r w:rsidR="00F46270" w:rsidRPr="00F46270">
        <w:rPr>
          <w:rFonts w:ascii="Times New Roman" w:hAnsi="Times New Roman"/>
          <w:b/>
          <w:color w:val="000000"/>
          <w:sz w:val="32"/>
          <w:szCs w:val="32"/>
        </w:rPr>
        <w:t>1</w:t>
      </w:r>
      <w:r w:rsidR="00F46270" w:rsidRPr="00F46270">
        <w:rPr>
          <w:rFonts w:ascii="Times New Roman" w:hAnsi="Times New Roman" w:hint="eastAsia"/>
          <w:b/>
          <w:color w:val="000000"/>
          <w:sz w:val="32"/>
          <w:szCs w:val="32"/>
        </w:rPr>
        <w:t>年第</w:t>
      </w:r>
      <w:r w:rsidR="00F46270" w:rsidRPr="00F46270">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61592680" w14:textId="77777777" w:rsidR="00DC3364" w:rsidRDefault="00DC336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426DD88" w14:textId="77777777" w:rsidR="00DC3364" w:rsidRDefault="00DC336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20D8CDC" w14:textId="77777777" w:rsidR="00DC3364" w:rsidRDefault="00DC336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CE1C7AF" w14:textId="77777777" w:rsidR="00DC3364" w:rsidRDefault="00DC336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CB676C4" w14:textId="77777777" w:rsidR="00DC3364" w:rsidRDefault="00DC336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EF71025" w14:textId="77777777" w:rsidR="00DC3364" w:rsidRDefault="00DC336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7335E92" w14:textId="77777777" w:rsidR="00DC3364" w:rsidRDefault="000F1A2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28BFB5B9" w14:textId="77777777" w:rsidR="00DC3364" w:rsidRDefault="000F1A2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基金托管人：兴业银行股份有限公司</w:t>
      </w:r>
    </w:p>
    <w:p w14:paraId="5DAB33E6" w14:textId="77777777" w:rsidR="00DC3364" w:rsidRDefault="00DC336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BF2F984" w14:textId="77777777" w:rsidR="00DC3364" w:rsidRDefault="00DC336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35AF335" w14:textId="33E8DC82" w:rsidR="00DC3364" w:rsidRDefault="000F1A23">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F46270" w:rsidRPr="00F46270">
        <w:rPr>
          <w:rFonts w:ascii="Times New Roman" w:hAnsi="Times New Roman" w:hint="eastAsia"/>
          <w:b/>
          <w:spacing w:val="2"/>
          <w:w w:val="99"/>
          <w:kern w:val="0"/>
          <w:sz w:val="28"/>
          <w:szCs w:val="32"/>
        </w:rPr>
        <w:t>一年</w:t>
      </w:r>
      <w:r w:rsidR="0037788C" w:rsidRPr="0037788C">
        <w:rPr>
          <w:rFonts w:ascii="Times New Roman" w:hAnsi="Times New Roman" w:hint="eastAsia"/>
          <w:b/>
          <w:spacing w:val="2"/>
          <w:w w:val="99"/>
          <w:kern w:val="0"/>
          <w:sz w:val="28"/>
          <w:szCs w:val="32"/>
        </w:rPr>
        <w:t>六</w:t>
      </w:r>
      <w:r>
        <w:rPr>
          <w:rFonts w:ascii="Times New Roman" w:hAnsi="Times New Roman"/>
          <w:b/>
          <w:spacing w:val="2"/>
          <w:w w:val="99"/>
          <w:kern w:val="0"/>
          <w:sz w:val="28"/>
          <w:szCs w:val="32"/>
        </w:rPr>
        <w:t>月</w:t>
      </w:r>
    </w:p>
    <w:p w14:paraId="5330D8D9" w14:textId="77777777" w:rsidR="00DC3364" w:rsidRDefault="00DC3364">
      <w:pPr>
        <w:autoSpaceDE w:val="0"/>
        <w:autoSpaceDN w:val="0"/>
        <w:adjustRightInd w:val="0"/>
        <w:snapToGrid w:val="0"/>
        <w:spacing w:line="360" w:lineRule="auto"/>
        <w:ind w:left="1347" w:rightChars="6" w:right="13"/>
        <w:rPr>
          <w:rFonts w:ascii="宋体" w:hAnsi="宋体"/>
          <w:kern w:val="0"/>
          <w:sz w:val="32"/>
          <w:szCs w:val="32"/>
        </w:rPr>
        <w:sectPr w:rsidR="00DC3364">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13FBD733" w14:textId="77777777" w:rsidR="00DC3364" w:rsidRDefault="000F1A23">
      <w:pPr>
        <w:pStyle w:val="1"/>
        <w:snapToGrid w:val="0"/>
        <w:spacing w:beforeLines="0" w:before="240" w:after="240"/>
        <w:rPr>
          <w:rFonts w:ascii="宋体" w:hAnsi="宋体"/>
          <w:kern w:val="0"/>
        </w:rPr>
      </w:pPr>
      <w:bookmarkStart w:id="0" w:name="_Toc324920538"/>
      <w:bookmarkStart w:id="1" w:name="_Toc496884613"/>
      <w:bookmarkStart w:id="2" w:name="_Toc69125798"/>
      <w:r>
        <w:rPr>
          <w:rFonts w:ascii="Times New Roman" w:hAnsi="Times New Roman"/>
          <w:kern w:val="0"/>
        </w:rPr>
        <w:lastRenderedPageBreak/>
        <w:t>重要提示</w:t>
      </w:r>
      <w:bookmarkEnd w:id="0"/>
      <w:bookmarkEnd w:id="1"/>
      <w:bookmarkEnd w:id="2"/>
    </w:p>
    <w:p w14:paraId="3F7B7540" w14:textId="77777777" w:rsidR="00DC3364" w:rsidRDefault="000F1A2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交银施罗德裕通纯债债券型证券投资基金（以下简称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2015</w:t>
      </w:r>
      <w:r>
        <w:rPr>
          <w:rFonts w:ascii="Times New Roman" w:hAnsi="Times New Roman"/>
          <w:kern w:val="0"/>
          <w:sz w:val="24"/>
        </w:rPr>
        <w:t>】</w:t>
      </w:r>
      <w:r>
        <w:rPr>
          <w:rFonts w:ascii="Times New Roman" w:hAnsi="Times New Roman"/>
          <w:kern w:val="0"/>
          <w:sz w:val="24"/>
        </w:rPr>
        <w:t>2792</w:t>
      </w:r>
      <w:r>
        <w:rPr>
          <w:rFonts w:ascii="Times New Roman" w:hAnsi="Times New Roman"/>
          <w:kern w:val="0"/>
          <w:sz w:val="24"/>
        </w:rPr>
        <w:t>号文准予募集注册。本基金基金合同于</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日正式生效。</w:t>
      </w:r>
    </w:p>
    <w:p w14:paraId="7E4DFB27" w14:textId="77777777" w:rsidR="00DC3364" w:rsidRDefault="000F1A2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10A8FE62" w14:textId="77777777" w:rsidR="00DC3364" w:rsidRDefault="000F1A2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E33A8C7" w14:textId="77777777" w:rsidR="00DC3364" w:rsidRDefault="000F1A2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w:t>
      </w:r>
      <w:r w:rsidR="00F46270" w:rsidRPr="00F46270">
        <w:rPr>
          <w:rFonts w:ascii="Times New Roman" w:hAnsi="Times New Roman" w:hint="eastAsia"/>
          <w:kern w:val="0"/>
          <w:sz w:val="24"/>
        </w:rPr>
        <w:t>（包括实施</w:t>
      </w:r>
      <w:r w:rsidR="00F46270" w:rsidRPr="00F46270">
        <w:rPr>
          <w:rFonts w:ascii="Times New Roman" w:hAnsi="Times New Roman"/>
          <w:kern w:val="0"/>
          <w:sz w:val="24"/>
        </w:rPr>
        <w:t>侧袋机制时的特定风险）</w:t>
      </w:r>
      <w:r>
        <w:rPr>
          <w:rFonts w:ascii="Times New Roman" w:hAnsi="Times New Roman"/>
          <w:kern w:val="0"/>
          <w:sz w:val="24"/>
        </w:rPr>
        <w:t>；交易对手违约风险；投资本基金特有的其他风险等等。</w:t>
      </w:r>
    </w:p>
    <w:p w14:paraId="5EDEB674" w14:textId="77777777" w:rsidR="00DC3364" w:rsidRDefault="000F1A2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10A6A04" w14:textId="77777777" w:rsidR="00DC3364" w:rsidRDefault="000F1A2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本基金是一只债券型基金，其风险与预期收益高于货币市场基金，低于混合型基金和股票型基金，属于证券投资基金中中等风险的品种。</w:t>
      </w:r>
    </w:p>
    <w:p w14:paraId="2791E82E" w14:textId="77777777" w:rsidR="00DC3364" w:rsidRDefault="000F1A2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基金的过往业绩并不代表未来表现。基金管理人管理的其他基金的业绩并不构成对本基金业绩表现的保证。基金管理</w:t>
      </w:r>
      <w:r>
        <w:rPr>
          <w:rFonts w:ascii="Times New Roman" w:hAnsi="Times New Roman"/>
          <w:kern w:val="0"/>
          <w:sz w:val="24"/>
        </w:rPr>
        <w:lastRenderedPageBreak/>
        <w:t>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415920E5" w14:textId="6C45ADE0" w:rsidR="00DC3364" w:rsidRDefault="0099669D" w:rsidP="00431733">
      <w:pPr>
        <w:autoSpaceDE w:val="0"/>
        <w:autoSpaceDN w:val="0"/>
        <w:adjustRightInd w:val="0"/>
        <w:snapToGrid w:val="0"/>
        <w:spacing w:line="360" w:lineRule="auto"/>
        <w:ind w:leftChars="50" w:left="105" w:firstLineChars="200" w:firstLine="480"/>
        <w:rPr>
          <w:rFonts w:ascii="宋体" w:hAnsi="宋体"/>
          <w:kern w:val="0"/>
          <w:szCs w:val="24"/>
        </w:rPr>
        <w:sectPr w:rsidR="00DC3364">
          <w:headerReference w:type="default" r:id="rId13"/>
          <w:pgSz w:w="11920" w:h="16840"/>
          <w:pgMar w:top="1440" w:right="1680" w:bottom="280" w:left="1680" w:header="0" w:footer="1073" w:gutter="0"/>
          <w:pgNumType w:start="1"/>
          <w:cols w:space="720"/>
        </w:sectPr>
      </w:pPr>
      <w:r w:rsidRPr="0099669D">
        <w:rPr>
          <w:rFonts w:ascii="Times New Roman" w:hAnsi="Times New Roman" w:hint="eastAsia"/>
          <w:kern w:val="0"/>
          <w:sz w:val="24"/>
        </w:rPr>
        <w:t>本基金本次更新招募说明书对基金合同变更的相关信息进行更新，基金合同变更相关信息截止日为</w:t>
      </w:r>
      <w:r w:rsidRPr="0099669D">
        <w:rPr>
          <w:rFonts w:ascii="Times New Roman" w:hAnsi="Times New Roman" w:hint="eastAsia"/>
          <w:kern w:val="0"/>
          <w:sz w:val="24"/>
        </w:rPr>
        <w:t>2021</w:t>
      </w:r>
      <w:r w:rsidRPr="0099669D">
        <w:rPr>
          <w:rFonts w:ascii="Times New Roman" w:hAnsi="Times New Roman" w:hint="eastAsia"/>
          <w:kern w:val="0"/>
          <w:sz w:val="24"/>
        </w:rPr>
        <w:t>年</w:t>
      </w:r>
      <w:r w:rsidR="00DA320B">
        <w:rPr>
          <w:rFonts w:ascii="Times New Roman" w:hAnsi="Times New Roman"/>
          <w:kern w:val="0"/>
          <w:sz w:val="24"/>
        </w:rPr>
        <w:t>6</w:t>
      </w:r>
      <w:r w:rsidRPr="0099669D">
        <w:rPr>
          <w:rFonts w:ascii="Times New Roman" w:hAnsi="Times New Roman" w:hint="eastAsia"/>
          <w:kern w:val="0"/>
          <w:sz w:val="24"/>
        </w:rPr>
        <w:t>月</w:t>
      </w:r>
      <w:r w:rsidR="00DA320B">
        <w:rPr>
          <w:rFonts w:ascii="Times New Roman" w:hAnsi="Times New Roman"/>
          <w:kern w:val="0"/>
          <w:sz w:val="24"/>
        </w:rPr>
        <w:t>30</w:t>
      </w:r>
      <w:r w:rsidRPr="0099669D">
        <w:rPr>
          <w:rFonts w:ascii="Times New Roman" w:hAnsi="Times New Roman" w:hint="eastAsia"/>
          <w:kern w:val="0"/>
          <w:sz w:val="24"/>
        </w:rPr>
        <w:t>日，</w:t>
      </w:r>
      <w:r w:rsidR="00231F94" w:rsidRPr="00231F94">
        <w:rPr>
          <w:rFonts w:ascii="Times New Roman" w:hAnsi="Times New Roman" w:hint="eastAsia"/>
          <w:kern w:val="0"/>
          <w:sz w:val="24"/>
        </w:rPr>
        <w:t>除非另有说明，</w:t>
      </w:r>
      <w:r w:rsidR="000F1A23">
        <w:rPr>
          <w:rFonts w:ascii="Times New Roman" w:hAnsi="Times New Roman"/>
          <w:kern w:val="0"/>
          <w:sz w:val="24"/>
        </w:rPr>
        <w:t>本招募说明书</w:t>
      </w:r>
      <w:r>
        <w:rPr>
          <w:rFonts w:ascii="Times New Roman" w:hAnsi="Times New Roman" w:hint="eastAsia"/>
          <w:kern w:val="0"/>
          <w:sz w:val="24"/>
        </w:rPr>
        <w:t>其他</w:t>
      </w:r>
      <w:r w:rsidR="000F1A23">
        <w:rPr>
          <w:rFonts w:ascii="Times New Roman" w:hAnsi="Times New Roman"/>
          <w:kern w:val="0"/>
          <w:sz w:val="24"/>
        </w:rPr>
        <w:t>所载内容截止日为</w:t>
      </w:r>
      <w:r w:rsidR="000F1A23">
        <w:rPr>
          <w:rFonts w:ascii="Times New Roman" w:hAnsi="Times New Roman"/>
          <w:kern w:val="0"/>
          <w:sz w:val="24"/>
        </w:rPr>
        <w:t>2020</w:t>
      </w:r>
      <w:r w:rsidR="000F1A23">
        <w:rPr>
          <w:rFonts w:ascii="Times New Roman" w:hAnsi="Times New Roman"/>
          <w:kern w:val="0"/>
          <w:sz w:val="24"/>
        </w:rPr>
        <w:t>年</w:t>
      </w:r>
      <w:r w:rsidR="000F1A23">
        <w:rPr>
          <w:rFonts w:ascii="Times New Roman" w:hAnsi="Times New Roman"/>
          <w:kern w:val="0"/>
          <w:sz w:val="24"/>
        </w:rPr>
        <w:t>12</w:t>
      </w:r>
      <w:r w:rsidR="000F1A23">
        <w:rPr>
          <w:rFonts w:ascii="Times New Roman" w:hAnsi="Times New Roman"/>
          <w:kern w:val="0"/>
          <w:sz w:val="24"/>
        </w:rPr>
        <w:t>月</w:t>
      </w:r>
      <w:r w:rsidR="000F1A23">
        <w:rPr>
          <w:rFonts w:ascii="Times New Roman" w:hAnsi="Times New Roman"/>
          <w:kern w:val="0"/>
          <w:sz w:val="24"/>
        </w:rPr>
        <w:t>04</w:t>
      </w:r>
      <w:r w:rsidR="000F1A23">
        <w:rPr>
          <w:rFonts w:ascii="Times New Roman" w:hAnsi="Times New Roman"/>
          <w:kern w:val="0"/>
          <w:sz w:val="24"/>
        </w:rPr>
        <w:t>日，有关财务数据和净值表现截止日为</w:t>
      </w:r>
      <w:r w:rsidR="000F1A23">
        <w:rPr>
          <w:rFonts w:ascii="Times New Roman" w:hAnsi="Times New Roman"/>
          <w:kern w:val="0"/>
          <w:sz w:val="24"/>
        </w:rPr>
        <w:t>2020</w:t>
      </w:r>
      <w:r w:rsidR="000F1A23">
        <w:rPr>
          <w:rFonts w:ascii="Times New Roman" w:hAnsi="Times New Roman"/>
          <w:kern w:val="0"/>
          <w:sz w:val="24"/>
        </w:rPr>
        <w:t>年</w:t>
      </w:r>
      <w:r w:rsidR="000F1A23">
        <w:rPr>
          <w:rFonts w:ascii="Times New Roman" w:hAnsi="Times New Roman"/>
          <w:kern w:val="0"/>
          <w:sz w:val="24"/>
        </w:rPr>
        <w:t>09</w:t>
      </w:r>
      <w:r w:rsidR="000F1A23">
        <w:rPr>
          <w:rFonts w:ascii="Times New Roman" w:hAnsi="Times New Roman"/>
          <w:kern w:val="0"/>
          <w:sz w:val="24"/>
        </w:rPr>
        <w:t>月</w:t>
      </w:r>
      <w:r w:rsidR="000F1A23">
        <w:rPr>
          <w:rFonts w:ascii="Times New Roman" w:hAnsi="Times New Roman"/>
          <w:kern w:val="0"/>
          <w:sz w:val="24"/>
        </w:rPr>
        <w:t>30</w:t>
      </w:r>
      <w:r w:rsidR="000F1A23">
        <w:rPr>
          <w:rFonts w:ascii="Times New Roman" w:hAnsi="Times New Roman"/>
          <w:kern w:val="0"/>
          <w:sz w:val="24"/>
        </w:rPr>
        <w:t>日。本招募说明书所载的财务数据未经审计。</w:t>
      </w:r>
    </w:p>
    <w:p w14:paraId="6ED970CF" w14:textId="77777777" w:rsidR="009764F5" w:rsidRPr="00431733" w:rsidRDefault="000F1A23" w:rsidP="00431733">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431733">
        <w:rPr>
          <w:rFonts w:ascii="宋体" w:hAnsi="宋体"/>
          <w:b/>
          <w:bCs/>
          <w:color w:val="000000"/>
          <w:kern w:val="0"/>
          <w:position w:val="-4"/>
          <w:sz w:val="24"/>
          <w:szCs w:val="30"/>
        </w:rPr>
        <w:lastRenderedPageBreak/>
        <w:t>目</w:t>
      </w:r>
      <w:r w:rsidRPr="00431733">
        <w:rPr>
          <w:rFonts w:ascii="宋体" w:hAnsi="宋体"/>
          <w:b/>
          <w:bCs/>
          <w:color w:val="000000"/>
          <w:kern w:val="0"/>
          <w:position w:val="-4"/>
          <w:sz w:val="24"/>
          <w:szCs w:val="30"/>
        </w:rPr>
        <w:tab/>
        <w:t>录</w:t>
      </w:r>
      <w:bookmarkStart w:id="3" w:name="_GoBack"/>
      <w:bookmarkEnd w:id="3"/>
    </w:p>
    <w:p w14:paraId="16E89B34" w14:textId="482C4D81" w:rsidR="009764F5" w:rsidRPr="00431733" w:rsidRDefault="009707BD" w:rsidP="00431733">
      <w:pPr>
        <w:pStyle w:val="11"/>
        <w:tabs>
          <w:tab w:val="right" w:leader="dot" w:pos="8550"/>
        </w:tabs>
        <w:spacing w:line="360" w:lineRule="auto"/>
        <w:rPr>
          <w:rStyle w:val="af0"/>
          <w:rFonts w:ascii="宋体" w:hAnsi="宋体"/>
          <w:sz w:val="24"/>
        </w:rPr>
      </w:pPr>
      <w:r w:rsidRPr="00431733">
        <w:rPr>
          <w:rStyle w:val="af0"/>
          <w:noProof/>
        </w:rPr>
        <w:fldChar w:fldCharType="begin"/>
      </w:r>
      <w:r w:rsidRPr="00431733">
        <w:rPr>
          <w:rStyle w:val="af0"/>
          <w:noProof/>
        </w:rPr>
        <w:instrText xml:space="preserve"> TOC \o "1-3" \f - \h \t "-1" </w:instrText>
      </w:r>
      <w:r w:rsidRPr="00431733">
        <w:rPr>
          <w:rStyle w:val="af0"/>
          <w:noProof/>
        </w:rPr>
        <w:fldChar w:fldCharType="separate"/>
      </w:r>
      <w:hyperlink w:anchor="_Toc69125798" w:history="1">
        <w:r w:rsidR="009764F5" w:rsidRPr="00431733">
          <w:rPr>
            <w:rStyle w:val="af0"/>
            <w:rFonts w:ascii="宋体" w:hAnsi="宋体" w:hint="eastAsia"/>
            <w:noProof/>
            <w:sz w:val="24"/>
          </w:rPr>
          <w:t>重要提示</w:t>
        </w:r>
        <w:r w:rsidR="009764F5" w:rsidRPr="00431733">
          <w:rPr>
            <w:rStyle w:val="af0"/>
            <w:rFonts w:ascii="宋体" w:hAnsi="宋体"/>
            <w:sz w:val="24"/>
          </w:rPr>
          <w:tab/>
        </w:r>
        <w:r w:rsidR="009764F5" w:rsidRPr="00431733">
          <w:rPr>
            <w:rStyle w:val="af0"/>
            <w:rFonts w:ascii="宋体" w:hAnsi="宋体"/>
            <w:sz w:val="24"/>
          </w:rPr>
          <w:fldChar w:fldCharType="begin"/>
        </w:r>
        <w:r w:rsidR="009764F5" w:rsidRPr="00431733">
          <w:rPr>
            <w:rStyle w:val="af0"/>
            <w:rFonts w:ascii="宋体" w:hAnsi="宋体"/>
            <w:sz w:val="24"/>
          </w:rPr>
          <w:instrText xml:space="preserve"> PAGEREF _Toc69125798 \h </w:instrText>
        </w:r>
        <w:r w:rsidR="009764F5" w:rsidRPr="00431733">
          <w:rPr>
            <w:rStyle w:val="af0"/>
            <w:rFonts w:ascii="宋体" w:hAnsi="宋体"/>
            <w:sz w:val="24"/>
          </w:rPr>
        </w:r>
        <w:r w:rsidR="009764F5" w:rsidRPr="00431733">
          <w:rPr>
            <w:rStyle w:val="af0"/>
            <w:rFonts w:ascii="宋体" w:hAnsi="宋体"/>
            <w:sz w:val="24"/>
          </w:rPr>
          <w:fldChar w:fldCharType="separate"/>
        </w:r>
        <w:r w:rsidR="00265B28">
          <w:rPr>
            <w:rStyle w:val="af0"/>
            <w:rFonts w:ascii="宋体" w:hAnsi="宋体"/>
            <w:noProof/>
            <w:sz w:val="24"/>
          </w:rPr>
          <w:t>1</w:t>
        </w:r>
        <w:r w:rsidR="009764F5" w:rsidRPr="00431733">
          <w:rPr>
            <w:rStyle w:val="af0"/>
            <w:rFonts w:ascii="宋体" w:hAnsi="宋体"/>
            <w:sz w:val="24"/>
          </w:rPr>
          <w:fldChar w:fldCharType="end"/>
        </w:r>
      </w:hyperlink>
    </w:p>
    <w:p w14:paraId="7496C652" w14:textId="66A633B0" w:rsidR="009764F5" w:rsidRPr="00431733" w:rsidRDefault="009764F5" w:rsidP="00431733">
      <w:pPr>
        <w:pStyle w:val="11"/>
        <w:tabs>
          <w:tab w:val="right" w:leader="dot" w:pos="8550"/>
        </w:tabs>
        <w:spacing w:line="360" w:lineRule="auto"/>
        <w:rPr>
          <w:rStyle w:val="af0"/>
          <w:rFonts w:ascii="宋体" w:hAnsi="宋体"/>
          <w:sz w:val="24"/>
        </w:rPr>
      </w:pPr>
      <w:hyperlink w:anchor="_Toc69125799" w:history="1">
        <w:r w:rsidRPr="00431733">
          <w:rPr>
            <w:rStyle w:val="af0"/>
            <w:rFonts w:ascii="宋体" w:hAnsi="宋体" w:hint="eastAsia"/>
            <w:noProof/>
            <w:sz w:val="24"/>
          </w:rPr>
          <w:t>一、绪言</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_Toc69125799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4</w:t>
        </w:r>
        <w:r w:rsidRPr="00431733">
          <w:rPr>
            <w:rStyle w:val="af0"/>
            <w:rFonts w:ascii="宋体" w:hAnsi="宋体"/>
            <w:sz w:val="24"/>
          </w:rPr>
          <w:fldChar w:fldCharType="end"/>
        </w:r>
      </w:hyperlink>
    </w:p>
    <w:p w14:paraId="57432CFA" w14:textId="1119E160" w:rsidR="009764F5" w:rsidRPr="00431733" w:rsidRDefault="009764F5" w:rsidP="00431733">
      <w:pPr>
        <w:pStyle w:val="11"/>
        <w:tabs>
          <w:tab w:val="right" w:leader="dot" w:pos="8550"/>
        </w:tabs>
        <w:spacing w:line="360" w:lineRule="auto"/>
        <w:rPr>
          <w:rStyle w:val="af0"/>
          <w:rFonts w:ascii="宋体" w:hAnsi="宋体"/>
          <w:sz w:val="24"/>
        </w:rPr>
      </w:pPr>
      <w:hyperlink w:anchor="_Toc69125800" w:history="1">
        <w:r w:rsidRPr="00431733">
          <w:rPr>
            <w:rStyle w:val="af0"/>
            <w:rFonts w:ascii="宋体" w:hAnsi="宋体" w:hint="eastAsia"/>
            <w:noProof/>
            <w:sz w:val="24"/>
          </w:rPr>
          <w:t>二、释义</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_Toc69125800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5</w:t>
        </w:r>
        <w:r w:rsidRPr="00431733">
          <w:rPr>
            <w:rStyle w:val="af0"/>
            <w:rFonts w:ascii="宋体" w:hAnsi="宋体"/>
            <w:sz w:val="24"/>
          </w:rPr>
          <w:fldChar w:fldCharType="end"/>
        </w:r>
      </w:hyperlink>
    </w:p>
    <w:p w14:paraId="47214FF5" w14:textId="28E7CBB6" w:rsidR="009764F5" w:rsidRPr="00431733" w:rsidRDefault="009764F5" w:rsidP="00431733">
      <w:pPr>
        <w:pStyle w:val="11"/>
        <w:tabs>
          <w:tab w:val="right" w:leader="dot" w:pos="8550"/>
        </w:tabs>
        <w:spacing w:line="360" w:lineRule="auto"/>
        <w:rPr>
          <w:rStyle w:val="af0"/>
          <w:rFonts w:ascii="宋体" w:hAnsi="宋体"/>
          <w:sz w:val="24"/>
        </w:rPr>
      </w:pPr>
      <w:hyperlink w:anchor="_Toc69125801" w:history="1">
        <w:r w:rsidRPr="00431733">
          <w:rPr>
            <w:rStyle w:val="af0"/>
            <w:rFonts w:ascii="宋体" w:hAnsi="宋体" w:hint="eastAsia"/>
            <w:noProof/>
            <w:sz w:val="24"/>
          </w:rPr>
          <w:t>三、基金管理人</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_Toc69125801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10</w:t>
        </w:r>
        <w:r w:rsidRPr="00431733">
          <w:rPr>
            <w:rStyle w:val="af0"/>
            <w:rFonts w:ascii="宋体" w:hAnsi="宋体"/>
            <w:sz w:val="24"/>
          </w:rPr>
          <w:fldChar w:fldCharType="end"/>
        </w:r>
      </w:hyperlink>
    </w:p>
    <w:p w14:paraId="64053B60" w14:textId="5F7EC28F" w:rsidR="009764F5" w:rsidRPr="00431733" w:rsidRDefault="009764F5" w:rsidP="00431733">
      <w:pPr>
        <w:pStyle w:val="11"/>
        <w:tabs>
          <w:tab w:val="right" w:leader="dot" w:pos="8550"/>
        </w:tabs>
        <w:spacing w:line="360" w:lineRule="auto"/>
        <w:rPr>
          <w:rStyle w:val="af0"/>
          <w:rFonts w:ascii="宋体" w:hAnsi="宋体"/>
          <w:sz w:val="24"/>
        </w:rPr>
      </w:pPr>
      <w:hyperlink w:anchor="_Toc69125802" w:history="1">
        <w:r w:rsidRPr="00431733">
          <w:rPr>
            <w:rStyle w:val="af0"/>
            <w:rFonts w:ascii="宋体" w:hAnsi="宋体" w:hint="eastAsia"/>
            <w:noProof/>
            <w:sz w:val="24"/>
          </w:rPr>
          <w:t>四、基金托管人</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_Toc69125802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18</w:t>
        </w:r>
        <w:r w:rsidRPr="00431733">
          <w:rPr>
            <w:rStyle w:val="af0"/>
            <w:rFonts w:ascii="宋体" w:hAnsi="宋体"/>
            <w:sz w:val="24"/>
          </w:rPr>
          <w:fldChar w:fldCharType="end"/>
        </w:r>
      </w:hyperlink>
    </w:p>
    <w:p w14:paraId="37C3B5C1" w14:textId="1CFABFB1" w:rsidR="009764F5" w:rsidRPr="00431733" w:rsidRDefault="009764F5" w:rsidP="00431733">
      <w:pPr>
        <w:pStyle w:val="11"/>
        <w:tabs>
          <w:tab w:val="right" w:leader="dot" w:pos="8550"/>
        </w:tabs>
        <w:spacing w:line="360" w:lineRule="auto"/>
        <w:rPr>
          <w:rStyle w:val="af0"/>
          <w:rFonts w:ascii="宋体" w:hAnsi="宋体"/>
          <w:sz w:val="24"/>
        </w:rPr>
      </w:pPr>
      <w:hyperlink w:anchor="_Toc69125803" w:history="1">
        <w:r w:rsidRPr="00431733">
          <w:rPr>
            <w:rStyle w:val="af0"/>
            <w:rFonts w:ascii="宋体" w:hAnsi="宋体" w:hint="eastAsia"/>
            <w:noProof/>
            <w:sz w:val="24"/>
          </w:rPr>
          <w:t>五、相关服务机构</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_Toc69125803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22</w:t>
        </w:r>
        <w:r w:rsidRPr="00431733">
          <w:rPr>
            <w:rStyle w:val="af0"/>
            <w:rFonts w:ascii="宋体" w:hAnsi="宋体"/>
            <w:sz w:val="24"/>
          </w:rPr>
          <w:fldChar w:fldCharType="end"/>
        </w:r>
      </w:hyperlink>
    </w:p>
    <w:p w14:paraId="6A208BD2" w14:textId="5A98B7AD" w:rsidR="009764F5" w:rsidRPr="00431733" w:rsidRDefault="009764F5" w:rsidP="00431733">
      <w:pPr>
        <w:pStyle w:val="11"/>
        <w:tabs>
          <w:tab w:val="right" w:leader="dot" w:pos="8550"/>
        </w:tabs>
        <w:spacing w:line="360" w:lineRule="auto"/>
        <w:rPr>
          <w:rStyle w:val="af0"/>
          <w:rFonts w:ascii="宋体" w:hAnsi="宋体"/>
          <w:sz w:val="24"/>
        </w:rPr>
      </w:pPr>
      <w:hyperlink w:anchor="_Toc69125804" w:history="1">
        <w:r w:rsidRPr="00431733">
          <w:rPr>
            <w:rStyle w:val="af0"/>
            <w:rFonts w:ascii="宋体" w:hAnsi="宋体" w:hint="eastAsia"/>
            <w:noProof/>
            <w:sz w:val="24"/>
          </w:rPr>
          <w:t>六、基金的募集</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_Toc69125804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25</w:t>
        </w:r>
        <w:r w:rsidRPr="00431733">
          <w:rPr>
            <w:rStyle w:val="af0"/>
            <w:rFonts w:ascii="宋体" w:hAnsi="宋体"/>
            <w:sz w:val="24"/>
          </w:rPr>
          <w:fldChar w:fldCharType="end"/>
        </w:r>
      </w:hyperlink>
    </w:p>
    <w:p w14:paraId="7DA0E7E7" w14:textId="2FCB418A" w:rsidR="009764F5" w:rsidRPr="00431733" w:rsidRDefault="009764F5" w:rsidP="00431733">
      <w:pPr>
        <w:pStyle w:val="11"/>
        <w:tabs>
          <w:tab w:val="right" w:leader="dot" w:pos="8550"/>
        </w:tabs>
        <w:spacing w:line="360" w:lineRule="auto"/>
        <w:rPr>
          <w:rStyle w:val="af0"/>
          <w:rFonts w:ascii="宋体" w:hAnsi="宋体"/>
          <w:sz w:val="24"/>
        </w:rPr>
      </w:pPr>
      <w:hyperlink w:anchor="_Toc69125805" w:history="1">
        <w:r w:rsidRPr="00431733">
          <w:rPr>
            <w:rStyle w:val="af0"/>
            <w:rFonts w:ascii="宋体" w:hAnsi="宋体" w:hint="eastAsia"/>
            <w:noProof/>
            <w:sz w:val="24"/>
          </w:rPr>
          <w:t>七、基金合同的生效</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_Toc69125805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26</w:t>
        </w:r>
        <w:r w:rsidRPr="00431733">
          <w:rPr>
            <w:rStyle w:val="af0"/>
            <w:rFonts w:ascii="宋体" w:hAnsi="宋体"/>
            <w:sz w:val="24"/>
          </w:rPr>
          <w:fldChar w:fldCharType="end"/>
        </w:r>
      </w:hyperlink>
    </w:p>
    <w:p w14:paraId="20ED8959" w14:textId="239E0EDF" w:rsidR="009764F5" w:rsidRPr="00431733" w:rsidRDefault="009764F5" w:rsidP="00431733">
      <w:pPr>
        <w:pStyle w:val="11"/>
        <w:tabs>
          <w:tab w:val="right" w:leader="dot" w:pos="8550"/>
        </w:tabs>
        <w:spacing w:line="360" w:lineRule="auto"/>
        <w:rPr>
          <w:rStyle w:val="af0"/>
          <w:rFonts w:ascii="宋体" w:hAnsi="宋体"/>
          <w:sz w:val="24"/>
        </w:rPr>
      </w:pPr>
      <w:hyperlink w:anchor="_Toc69125806" w:history="1">
        <w:r w:rsidRPr="00431733">
          <w:rPr>
            <w:rStyle w:val="af0"/>
            <w:rFonts w:ascii="宋体" w:hAnsi="宋体" w:hint="eastAsia"/>
            <w:noProof/>
            <w:sz w:val="24"/>
          </w:rPr>
          <w:t>八、基金份额的申购与赎回</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_Toc69125806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27</w:t>
        </w:r>
        <w:r w:rsidRPr="00431733">
          <w:rPr>
            <w:rStyle w:val="af0"/>
            <w:rFonts w:ascii="宋体" w:hAnsi="宋体"/>
            <w:sz w:val="24"/>
          </w:rPr>
          <w:fldChar w:fldCharType="end"/>
        </w:r>
      </w:hyperlink>
    </w:p>
    <w:p w14:paraId="53BADBB2" w14:textId="01AD3C49" w:rsidR="009764F5" w:rsidRPr="00431733" w:rsidRDefault="009764F5" w:rsidP="00431733">
      <w:pPr>
        <w:pStyle w:val="11"/>
        <w:tabs>
          <w:tab w:val="right" w:leader="dot" w:pos="8550"/>
        </w:tabs>
        <w:spacing w:line="360" w:lineRule="auto"/>
        <w:rPr>
          <w:rStyle w:val="af0"/>
          <w:rFonts w:ascii="宋体" w:hAnsi="宋体"/>
          <w:sz w:val="24"/>
        </w:rPr>
      </w:pPr>
      <w:hyperlink w:anchor="_Toc69125807" w:history="1">
        <w:r w:rsidRPr="00431733">
          <w:rPr>
            <w:rStyle w:val="af0"/>
            <w:rFonts w:ascii="宋体" w:hAnsi="宋体" w:hint="eastAsia"/>
            <w:noProof/>
            <w:sz w:val="24"/>
          </w:rPr>
          <w:t>九、</w:t>
        </w:r>
        <w:r w:rsidRPr="00431733">
          <w:rPr>
            <w:rStyle w:val="af0"/>
            <w:rFonts w:ascii="宋体" w:hAnsi="宋体"/>
            <w:noProof/>
            <w:sz w:val="24"/>
          </w:rPr>
          <w:t xml:space="preserve"> </w:t>
        </w:r>
        <w:r w:rsidRPr="00431733">
          <w:rPr>
            <w:rStyle w:val="af0"/>
            <w:rFonts w:ascii="宋体" w:hAnsi="宋体" w:hint="eastAsia"/>
            <w:noProof/>
            <w:sz w:val="24"/>
          </w:rPr>
          <w:t>基金的转换</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_Toc69125807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40</w:t>
        </w:r>
        <w:r w:rsidRPr="00431733">
          <w:rPr>
            <w:rStyle w:val="af0"/>
            <w:rFonts w:ascii="宋体" w:hAnsi="宋体"/>
            <w:sz w:val="24"/>
          </w:rPr>
          <w:fldChar w:fldCharType="end"/>
        </w:r>
      </w:hyperlink>
    </w:p>
    <w:p w14:paraId="428B16A1" w14:textId="6DEE63A1" w:rsidR="009764F5" w:rsidRPr="00431733" w:rsidRDefault="009764F5" w:rsidP="00431733">
      <w:pPr>
        <w:pStyle w:val="11"/>
        <w:tabs>
          <w:tab w:val="right" w:leader="dot" w:pos="8550"/>
        </w:tabs>
        <w:spacing w:line="360" w:lineRule="auto"/>
        <w:rPr>
          <w:rStyle w:val="af0"/>
          <w:rFonts w:ascii="宋体" w:hAnsi="宋体"/>
          <w:sz w:val="24"/>
        </w:rPr>
      </w:pPr>
      <w:hyperlink w:anchor="_Toc69125808" w:history="1">
        <w:r w:rsidRPr="00431733">
          <w:rPr>
            <w:rStyle w:val="af0"/>
            <w:rFonts w:ascii="宋体" w:hAnsi="宋体" w:hint="eastAsia"/>
            <w:noProof/>
            <w:sz w:val="24"/>
          </w:rPr>
          <w:t>十、基金的投资</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_Toc69125808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47</w:t>
        </w:r>
        <w:r w:rsidRPr="00431733">
          <w:rPr>
            <w:rStyle w:val="af0"/>
            <w:rFonts w:ascii="宋体" w:hAnsi="宋体"/>
            <w:sz w:val="24"/>
          </w:rPr>
          <w:fldChar w:fldCharType="end"/>
        </w:r>
      </w:hyperlink>
    </w:p>
    <w:p w14:paraId="6CEFE598" w14:textId="6D7110A6" w:rsidR="009764F5" w:rsidRPr="00431733" w:rsidRDefault="009764F5" w:rsidP="00431733">
      <w:pPr>
        <w:pStyle w:val="11"/>
        <w:tabs>
          <w:tab w:val="right" w:leader="dot" w:pos="8550"/>
        </w:tabs>
        <w:spacing w:line="360" w:lineRule="auto"/>
        <w:rPr>
          <w:rStyle w:val="af0"/>
          <w:rFonts w:ascii="宋体" w:hAnsi="宋体"/>
          <w:sz w:val="24"/>
        </w:rPr>
      </w:pPr>
      <w:hyperlink w:anchor="_Toc69125809" w:history="1">
        <w:r w:rsidRPr="00431733">
          <w:rPr>
            <w:rStyle w:val="af0"/>
            <w:rFonts w:ascii="宋体" w:hAnsi="宋体" w:hint="eastAsia"/>
            <w:noProof/>
            <w:sz w:val="24"/>
          </w:rPr>
          <w:t>十一、基金的业绩</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_Toc69125809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58</w:t>
        </w:r>
        <w:r w:rsidRPr="00431733">
          <w:rPr>
            <w:rStyle w:val="af0"/>
            <w:rFonts w:ascii="宋体" w:hAnsi="宋体"/>
            <w:sz w:val="24"/>
          </w:rPr>
          <w:fldChar w:fldCharType="end"/>
        </w:r>
      </w:hyperlink>
    </w:p>
    <w:p w14:paraId="4A47E085" w14:textId="25989622" w:rsidR="009764F5" w:rsidRPr="00431733" w:rsidRDefault="009764F5" w:rsidP="00431733">
      <w:pPr>
        <w:pStyle w:val="11"/>
        <w:tabs>
          <w:tab w:val="right" w:leader="dot" w:pos="8550"/>
        </w:tabs>
        <w:spacing w:line="360" w:lineRule="auto"/>
        <w:rPr>
          <w:rStyle w:val="af0"/>
          <w:rFonts w:ascii="宋体" w:hAnsi="宋体"/>
          <w:sz w:val="24"/>
        </w:rPr>
      </w:pPr>
      <w:hyperlink w:anchor="_Toc69125810" w:history="1">
        <w:r w:rsidRPr="00431733">
          <w:rPr>
            <w:rStyle w:val="af0"/>
            <w:rFonts w:ascii="宋体" w:hAnsi="宋体" w:hint="eastAsia"/>
            <w:noProof/>
            <w:sz w:val="24"/>
          </w:rPr>
          <w:t>十二、基金的财产</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_Toc69125810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61</w:t>
        </w:r>
        <w:r w:rsidRPr="00431733">
          <w:rPr>
            <w:rStyle w:val="af0"/>
            <w:rFonts w:ascii="宋体" w:hAnsi="宋体"/>
            <w:sz w:val="24"/>
          </w:rPr>
          <w:fldChar w:fldCharType="end"/>
        </w:r>
      </w:hyperlink>
    </w:p>
    <w:p w14:paraId="427D2229" w14:textId="69C46A7E" w:rsidR="009764F5" w:rsidRPr="00431733" w:rsidRDefault="009764F5" w:rsidP="00431733">
      <w:pPr>
        <w:pStyle w:val="11"/>
        <w:tabs>
          <w:tab w:val="right" w:leader="dot" w:pos="8550"/>
        </w:tabs>
        <w:spacing w:line="360" w:lineRule="auto"/>
        <w:rPr>
          <w:rStyle w:val="af0"/>
          <w:rFonts w:ascii="宋体" w:hAnsi="宋体"/>
          <w:sz w:val="24"/>
        </w:rPr>
      </w:pPr>
      <w:hyperlink w:anchor="_Toc69125811" w:history="1">
        <w:r w:rsidRPr="00431733">
          <w:rPr>
            <w:rStyle w:val="af0"/>
            <w:rFonts w:ascii="宋体" w:hAnsi="宋体" w:hint="eastAsia"/>
            <w:noProof/>
            <w:sz w:val="24"/>
          </w:rPr>
          <w:t>十三、基金资产的估值</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_Toc69125811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62</w:t>
        </w:r>
        <w:r w:rsidRPr="00431733">
          <w:rPr>
            <w:rStyle w:val="af0"/>
            <w:rFonts w:ascii="宋体" w:hAnsi="宋体"/>
            <w:sz w:val="24"/>
          </w:rPr>
          <w:fldChar w:fldCharType="end"/>
        </w:r>
      </w:hyperlink>
    </w:p>
    <w:p w14:paraId="5594628C" w14:textId="2F36634E" w:rsidR="009764F5" w:rsidRPr="00431733" w:rsidRDefault="009764F5" w:rsidP="00431733">
      <w:pPr>
        <w:pStyle w:val="11"/>
        <w:tabs>
          <w:tab w:val="right" w:leader="dot" w:pos="8550"/>
        </w:tabs>
        <w:spacing w:line="360" w:lineRule="auto"/>
        <w:rPr>
          <w:rStyle w:val="af0"/>
          <w:rFonts w:ascii="宋体" w:hAnsi="宋体"/>
          <w:sz w:val="24"/>
        </w:rPr>
      </w:pPr>
      <w:hyperlink w:anchor="_Toc69125812" w:history="1">
        <w:r w:rsidRPr="00431733">
          <w:rPr>
            <w:rStyle w:val="af0"/>
            <w:rFonts w:ascii="宋体" w:hAnsi="宋体" w:hint="eastAsia"/>
            <w:noProof/>
            <w:sz w:val="24"/>
          </w:rPr>
          <w:t>十四、基金收益与分配</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_Toc69125812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67</w:t>
        </w:r>
        <w:r w:rsidRPr="00431733">
          <w:rPr>
            <w:rStyle w:val="af0"/>
            <w:rFonts w:ascii="宋体" w:hAnsi="宋体"/>
            <w:sz w:val="24"/>
          </w:rPr>
          <w:fldChar w:fldCharType="end"/>
        </w:r>
      </w:hyperlink>
    </w:p>
    <w:p w14:paraId="38958507" w14:textId="548C60A8" w:rsidR="009764F5" w:rsidRPr="00431733" w:rsidRDefault="009764F5" w:rsidP="00431733">
      <w:pPr>
        <w:pStyle w:val="11"/>
        <w:tabs>
          <w:tab w:val="right" w:leader="dot" w:pos="8550"/>
        </w:tabs>
        <w:spacing w:line="360" w:lineRule="auto"/>
        <w:rPr>
          <w:rStyle w:val="af0"/>
          <w:rFonts w:ascii="宋体" w:hAnsi="宋体"/>
          <w:sz w:val="24"/>
        </w:rPr>
      </w:pPr>
      <w:hyperlink w:anchor="_Toc69125813" w:history="1">
        <w:r w:rsidRPr="00431733">
          <w:rPr>
            <w:rStyle w:val="af0"/>
            <w:rFonts w:ascii="宋体" w:hAnsi="宋体" w:hint="eastAsia"/>
            <w:noProof/>
            <w:sz w:val="24"/>
          </w:rPr>
          <w:t>十五、基金的费用与税收</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_Toc69125813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69</w:t>
        </w:r>
        <w:r w:rsidRPr="00431733">
          <w:rPr>
            <w:rStyle w:val="af0"/>
            <w:rFonts w:ascii="宋体" w:hAnsi="宋体"/>
            <w:sz w:val="24"/>
          </w:rPr>
          <w:fldChar w:fldCharType="end"/>
        </w:r>
      </w:hyperlink>
    </w:p>
    <w:p w14:paraId="5B1D3429" w14:textId="2864E526" w:rsidR="009764F5" w:rsidRPr="00431733" w:rsidRDefault="009764F5" w:rsidP="00431733">
      <w:pPr>
        <w:pStyle w:val="11"/>
        <w:tabs>
          <w:tab w:val="right" w:leader="dot" w:pos="8550"/>
        </w:tabs>
        <w:spacing w:line="360" w:lineRule="auto"/>
        <w:rPr>
          <w:rStyle w:val="af0"/>
          <w:rFonts w:ascii="宋体" w:hAnsi="宋体"/>
          <w:sz w:val="24"/>
        </w:rPr>
      </w:pPr>
      <w:hyperlink w:anchor="_Toc69125814" w:history="1">
        <w:r w:rsidRPr="00431733">
          <w:rPr>
            <w:rStyle w:val="af0"/>
            <w:rFonts w:ascii="宋体" w:hAnsi="宋体" w:hint="eastAsia"/>
            <w:noProof/>
            <w:sz w:val="24"/>
          </w:rPr>
          <w:t>十六、基金的会计与审计</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_Toc69125814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72</w:t>
        </w:r>
        <w:r w:rsidRPr="00431733">
          <w:rPr>
            <w:rStyle w:val="af0"/>
            <w:rFonts w:ascii="宋体" w:hAnsi="宋体"/>
            <w:sz w:val="24"/>
          </w:rPr>
          <w:fldChar w:fldCharType="end"/>
        </w:r>
      </w:hyperlink>
    </w:p>
    <w:p w14:paraId="0A66E1D7" w14:textId="41B7ADA9" w:rsidR="009764F5" w:rsidRPr="00431733" w:rsidRDefault="009764F5" w:rsidP="00431733">
      <w:pPr>
        <w:pStyle w:val="11"/>
        <w:tabs>
          <w:tab w:val="right" w:leader="dot" w:pos="8550"/>
        </w:tabs>
        <w:spacing w:line="360" w:lineRule="auto"/>
        <w:rPr>
          <w:rStyle w:val="af0"/>
          <w:rFonts w:ascii="宋体" w:hAnsi="宋体"/>
          <w:sz w:val="24"/>
        </w:rPr>
      </w:pPr>
      <w:hyperlink w:anchor="_Toc69125815" w:history="1">
        <w:r w:rsidRPr="00431733">
          <w:rPr>
            <w:rStyle w:val="af0"/>
            <w:rFonts w:ascii="宋体" w:hAnsi="宋体" w:hint="eastAsia"/>
            <w:noProof/>
            <w:sz w:val="24"/>
          </w:rPr>
          <w:t>十七、基金的信息披露</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_Toc69125815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73</w:t>
        </w:r>
        <w:r w:rsidRPr="00431733">
          <w:rPr>
            <w:rStyle w:val="af0"/>
            <w:rFonts w:ascii="宋体" w:hAnsi="宋体"/>
            <w:sz w:val="24"/>
          </w:rPr>
          <w:fldChar w:fldCharType="end"/>
        </w:r>
      </w:hyperlink>
    </w:p>
    <w:p w14:paraId="27F29986" w14:textId="3E8DF17B" w:rsidR="009764F5" w:rsidRPr="00431733" w:rsidRDefault="009764F5" w:rsidP="00431733">
      <w:pPr>
        <w:pStyle w:val="11"/>
        <w:tabs>
          <w:tab w:val="right" w:leader="dot" w:pos="8550"/>
        </w:tabs>
        <w:spacing w:line="360" w:lineRule="auto"/>
        <w:rPr>
          <w:rStyle w:val="af0"/>
          <w:rFonts w:ascii="宋体" w:hAnsi="宋体"/>
          <w:sz w:val="24"/>
        </w:rPr>
      </w:pPr>
      <w:hyperlink w:anchor="_Toc69125816" w:history="1">
        <w:r w:rsidRPr="00431733">
          <w:rPr>
            <w:rStyle w:val="af0"/>
            <w:rFonts w:ascii="宋体" w:hAnsi="宋体" w:hint="eastAsia"/>
            <w:noProof/>
            <w:sz w:val="24"/>
          </w:rPr>
          <w:t>十八、侧袋机制</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_Toc69125816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79</w:t>
        </w:r>
        <w:r w:rsidRPr="00431733">
          <w:rPr>
            <w:rStyle w:val="af0"/>
            <w:rFonts w:ascii="宋体" w:hAnsi="宋体"/>
            <w:sz w:val="24"/>
          </w:rPr>
          <w:fldChar w:fldCharType="end"/>
        </w:r>
      </w:hyperlink>
    </w:p>
    <w:p w14:paraId="20F867CC" w14:textId="6675C14A" w:rsidR="009764F5" w:rsidRPr="00431733" w:rsidRDefault="009764F5" w:rsidP="00431733">
      <w:pPr>
        <w:pStyle w:val="11"/>
        <w:tabs>
          <w:tab w:val="right" w:leader="dot" w:pos="8550"/>
        </w:tabs>
        <w:spacing w:line="360" w:lineRule="auto"/>
        <w:rPr>
          <w:rStyle w:val="af0"/>
          <w:rFonts w:ascii="宋体" w:hAnsi="宋体"/>
          <w:sz w:val="24"/>
        </w:rPr>
      </w:pPr>
      <w:hyperlink w:anchor="_Toc69125817" w:history="1">
        <w:r w:rsidRPr="00431733">
          <w:rPr>
            <w:rStyle w:val="af0"/>
            <w:rFonts w:ascii="宋体" w:hAnsi="宋体"/>
            <w:noProof/>
            <w:sz w:val="24"/>
          </w:rPr>
          <w:t>十九、</w:t>
        </w:r>
        <w:r w:rsidRPr="00431733">
          <w:rPr>
            <w:rStyle w:val="af0"/>
            <w:rFonts w:ascii="宋体" w:hAnsi="宋体" w:hint="eastAsia"/>
            <w:noProof/>
            <w:sz w:val="24"/>
          </w:rPr>
          <w:t>风险揭示</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_Toc69125817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81</w:t>
        </w:r>
        <w:r w:rsidRPr="00431733">
          <w:rPr>
            <w:rStyle w:val="af0"/>
            <w:rFonts w:ascii="宋体" w:hAnsi="宋体"/>
            <w:sz w:val="24"/>
          </w:rPr>
          <w:fldChar w:fldCharType="end"/>
        </w:r>
      </w:hyperlink>
    </w:p>
    <w:p w14:paraId="74B2C6D6" w14:textId="4E852A45" w:rsidR="009764F5" w:rsidRPr="00431733" w:rsidRDefault="009764F5" w:rsidP="00431733">
      <w:pPr>
        <w:pStyle w:val="11"/>
        <w:tabs>
          <w:tab w:val="right" w:leader="dot" w:pos="8550"/>
        </w:tabs>
        <w:spacing w:line="360" w:lineRule="auto"/>
        <w:rPr>
          <w:rStyle w:val="af0"/>
          <w:rFonts w:ascii="宋体" w:hAnsi="宋体"/>
          <w:sz w:val="24"/>
        </w:rPr>
      </w:pPr>
      <w:hyperlink w:anchor="_Toc69125818" w:history="1">
        <w:r w:rsidRPr="00431733">
          <w:rPr>
            <w:rStyle w:val="af0"/>
            <w:rFonts w:ascii="宋体" w:hAnsi="宋体" w:hint="eastAsia"/>
            <w:noProof/>
            <w:sz w:val="24"/>
          </w:rPr>
          <w:t>二十、基金合同的变更、终止与基金财产的清算</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_Toc69125818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87</w:t>
        </w:r>
        <w:r w:rsidRPr="00431733">
          <w:rPr>
            <w:rStyle w:val="af0"/>
            <w:rFonts w:ascii="宋体" w:hAnsi="宋体"/>
            <w:sz w:val="24"/>
          </w:rPr>
          <w:fldChar w:fldCharType="end"/>
        </w:r>
      </w:hyperlink>
    </w:p>
    <w:p w14:paraId="0982F5C2" w14:textId="65B3729B" w:rsidR="009764F5" w:rsidRPr="00431733" w:rsidRDefault="009764F5" w:rsidP="00431733">
      <w:pPr>
        <w:pStyle w:val="11"/>
        <w:tabs>
          <w:tab w:val="right" w:leader="dot" w:pos="8550"/>
        </w:tabs>
        <w:spacing w:line="360" w:lineRule="auto"/>
        <w:rPr>
          <w:rStyle w:val="af0"/>
          <w:rFonts w:ascii="宋体" w:hAnsi="宋体"/>
          <w:sz w:val="24"/>
        </w:rPr>
      </w:pPr>
      <w:hyperlink w:anchor="_Toc69125819" w:history="1">
        <w:r w:rsidRPr="00431733">
          <w:rPr>
            <w:rStyle w:val="af0"/>
            <w:rFonts w:ascii="宋体" w:hAnsi="宋体" w:hint="eastAsia"/>
            <w:noProof/>
            <w:sz w:val="24"/>
          </w:rPr>
          <w:t>二十一、基金合同内容摘要</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_Toc69125819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89</w:t>
        </w:r>
        <w:r w:rsidRPr="00431733">
          <w:rPr>
            <w:rStyle w:val="af0"/>
            <w:rFonts w:ascii="宋体" w:hAnsi="宋体"/>
            <w:sz w:val="24"/>
          </w:rPr>
          <w:fldChar w:fldCharType="end"/>
        </w:r>
      </w:hyperlink>
    </w:p>
    <w:p w14:paraId="001ACA41" w14:textId="30408079" w:rsidR="009764F5" w:rsidRPr="00431733" w:rsidRDefault="009764F5" w:rsidP="00431733">
      <w:pPr>
        <w:pStyle w:val="11"/>
        <w:tabs>
          <w:tab w:val="right" w:leader="dot" w:pos="8550"/>
        </w:tabs>
        <w:spacing w:line="360" w:lineRule="auto"/>
        <w:rPr>
          <w:rStyle w:val="af0"/>
          <w:rFonts w:ascii="宋体" w:hAnsi="宋体"/>
          <w:sz w:val="24"/>
        </w:rPr>
      </w:pPr>
      <w:hyperlink w:anchor="_Toc69125820" w:history="1">
        <w:r w:rsidRPr="00431733">
          <w:rPr>
            <w:rStyle w:val="af0"/>
            <w:rFonts w:ascii="宋体" w:hAnsi="宋体" w:hint="eastAsia"/>
            <w:noProof/>
            <w:sz w:val="24"/>
          </w:rPr>
          <w:t>二十二、托管协议的内容摘要</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_Toc69125820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105</w:t>
        </w:r>
        <w:r w:rsidRPr="00431733">
          <w:rPr>
            <w:rStyle w:val="af0"/>
            <w:rFonts w:ascii="宋体" w:hAnsi="宋体"/>
            <w:sz w:val="24"/>
          </w:rPr>
          <w:fldChar w:fldCharType="end"/>
        </w:r>
      </w:hyperlink>
    </w:p>
    <w:p w14:paraId="1ECDCAA0" w14:textId="358D6578" w:rsidR="009764F5" w:rsidRPr="00431733" w:rsidRDefault="009764F5" w:rsidP="00431733">
      <w:pPr>
        <w:pStyle w:val="11"/>
        <w:tabs>
          <w:tab w:val="right" w:leader="dot" w:pos="8550"/>
        </w:tabs>
        <w:spacing w:line="360" w:lineRule="auto"/>
        <w:rPr>
          <w:rStyle w:val="af0"/>
          <w:rFonts w:ascii="宋体" w:hAnsi="宋体"/>
          <w:sz w:val="24"/>
        </w:rPr>
      </w:pPr>
      <w:hyperlink w:anchor="_Toc69125821" w:history="1">
        <w:r w:rsidRPr="00431733">
          <w:rPr>
            <w:rStyle w:val="af0"/>
            <w:rFonts w:ascii="宋体" w:hAnsi="宋体" w:hint="eastAsia"/>
            <w:noProof/>
            <w:sz w:val="24"/>
          </w:rPr>
          <w:t>二十三、对基金份额持有人的服务</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_Toc69125821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120</w:t>
        </w:r>
        <w:r w:rsidRPr="00431733">
          <w:rPr>
            <w:rStyle w:val="af0"/>
            <w:rFonts w:ascii="宋体" w:hAnsi="宋体"/>
            <w:sz w:val="24"/>
          </w:rPr>
          <w:fldChar w:fldCharType="end"/>
        </w:r>
      </w:hyperlink>
    </w:p>
    <w:p w14:paraId="57E319A4" w14:textId="0C7A7953" w:rsidR="009764F5" w:rsidRPr="00431733" w:rsidRDefault="009764F5" w:rsidP="00431733">
      <w:pPr>
        <w:pStyle w:val="11"/>
        <w:tabs>
          <w:tab w:val="right" w:leader="dot" w:pos="8550"/>
        </w:tabs>
        <w:spacing w:line="360" w:lineRule="auto"/>
        <w:rPr>
          <w:rStyle w:val="af0"/>
          <w:rFonts w:ascii="宋体" w:hAnsi="宋体"/>
          <w:sz w:val="24"/>
        </w:rPr>
      </w:pPr>
      <w:hyperlink w:anchor="_Toc69125822" w:history="1">
        <w:r w:rsidRPr="00431733">
          <w:rPr>
            <w:rStyle w:val="af0"/>
            <w:rFonts w:ascii="宋体" w:hAnsi="宋体" w:hint="eastAsia"/>
            <w:noProof/>
            <w:sz w:val="24"/>
          </w:rPr>
          <w:t>二十四、其他应披露事项</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_Toc69125822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122</w:t>
        </w:r>
        <w:r w:rsidRPr="00431733">
          <w:rPr>
            <w:rStyle w:val="af0"/>
            <w:rFonts w:ascii="宋体" w:hAnsi="宋体"/>
            <w:sz w:val="24"/>
          </w:rPr>
          <w:fldChar w:fldCharType="end"/>
        </w:r>
      </w:hyperlink>
    </w:p>
    <w:p w14:paraId="3E5B95AD" w14:textId="518D18A1" w:rsidR="009764F5" w:rsidRPr="00431733" w:rsidRDefault="009764F5" w:rsidP="00431733">
      <w:pPr>
        <w:pStyle w:val="11"/>
        <w:tabs>
          <w:tab w:val="right" w:leader="dot" w:pos="8550"/>
        </w:tabs>
        <w:spacing w:line="360" w:lineRule="auto"/>
        <w:rPr>
          <w:rStyle w:val="af0"/>
          <w:rFonts w:ascii="宋体" w:hAnsi="宋体"/>
          <w:sz w:val="24"/>
        </w:rPr>
      </w:pPr>
      <w:hyperlink w:anchor="_Toc69125823" w:history="1">
        <w:r w:rsidRPr="00431733">
          <w:rPr>
            <w:rStyle w:val="af0"/>
            <w:rFonts w:ascii="宋体" w:hAnsi="宋体" w:hint="eastAsia"/>
            <w:noProof/>
            <w:sz w:val="24"/>
          </w:rPr>
          <w:t>二十五、招募说明书的存放及查阅方式</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_Toc69125823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125</w:t>
        </w:r>
        <w:r w:rsidRPr="00431733">
          <w:rPr>
            <w:rStyle w:val="af0"/>
            <w:rFonts w:ascii="宋体" w:hAnsi="宋体"/>
            <w:sz w:val="24"/>
          </w:rPr>
          <w:fldChar w:fldCharType="end"/>
        </w:r>
      </w:hyperlink>
    </w:p>
    <w:p w14:paraId="5A89D34E" w14:textId="2CF6AA29" w:rsidR="009764F5" w:rsidRDefault="009764F5" w:rsidP="00431733">
      <w:pPr>
        <w:pStyle w:val="11"/>
        <w:tabs>
          <w:tab w:val="right" w:leader="dot" w:pos="8550"/>
        </w:tabs>
        <w:spacing w:line="360" w:lineRule="auto"/>
        <w:rPr>
          <w:rFonts w:asciiTheme="minorHAnsi" w:eastAsiaTheme="minorEastAsia" w:hAnsiTheme="minorHAnsi" w:cstheme="minorBidi"/>
          <w:noProof/>
        </w:rPr>
      </w:pPr>
      <w:hyperlink w:anchor="_Toc69125824" w:history="1">
        <w:r w:rsidRPr="00431733">
          <w:rPr>
            <w:rStyle w:val="af0"/>
            <w:rFonts w:ascii="宋体" w:hAnsi="宋体" w:hint="eastAsia"/>
            <w:noProof/>
            <w:sz w:val="24"/>
          </w:rPr>
          <w:t>二十六、备查文件</w:t>
        </w:r>
        <w:r w:rsidRPr="00431733">
          <w:rPr>
            <w:rStyle w:val="af0"/>
            <w:rFonts w:ascii="宋体" w:hAnsi="宋体"/>
            <w:sz w:val="24"/>
          </w:rPr>
          <w:tab/>
        </w:r>
        <w:r w:rsidRPr="00431733">
          <w:rPr>
            <w:rStyle w:val="af0"/>
            <w:rFonts w:ascii="宋体" w:hAnsi="宋体"/>
            <w:sz w:val="24"/>
          </w:rPr>
          <w:fldChar w:fldCharType="begin"/>
        </w:r>
        <w:r w:rsidRPr="00431733">
          <w:rPr>
            <w:rStyle w:val="af0"/>
            <w:rFonts w:ascii="宋体" w:hAnsi="宋体"/>
            <w:sz w:val="24"/>
          </w:rPr>
          <w:instrText xml:space="preserve"> PAGEREF _Toc69125824 \h </w:instrText>
        </w:r>
        <w:r w:rsidRPr="00431733">
          <w:rPr>
            <w:rStyle w:val="af0"/>
            <w:rFonts w:ascii="宋体" w:hAnsi="宋体"/>
            <w:sz w:val="24"/>
          </w:rPr>
        </w:r>
        <w:r w:rsidRPr="00431733">
          <w:rPr>
            <w:rStyle w:val="af0"/>
            <w:rFonts w:ascii="宋体" w:hAnsi="宋体"/>
            <w:sz w:val="24"/>
          </w:rPr>
          <w:fldChar w:fldCharType="separate"/>
        </w:r>
        <w:r w:rsidR="00265B28">
          <w:rPr>
            <w:rStyle w:val="af0"/>
            <w:rFonts w:ascii="宋体" w:hAnsi="宋体"/>
            <w:noProof/>
            <w:sz w:val="24"/>
          </w:rPr>
          <w:t>126</w:t>
        </w:r>
        <w:r w:rsidRPr="00431733">
          <w:rPr>
            <w:rStyle w:val="af0"/>
            <w:rFonts w:ascii="宋体" w:hAnsi="宋体"/>
            <w:sz w:val="24"/>
          </w:rPr>
          <w:fldChar w:fldCharType="end"/>
        </w:r>
      </w:hyperlink>
    </w:p>
    <w:p w14:paraId="7B7EB6EC" w14:textId="20D705ED" w:rsidR="00DC3364" w:rsidRDefault="009707BD" w:rsidP="00431733">
      <w:pPr>
        <w:pStyle w:val="af3"/>
        <w:snapToGrid w:val="0"/>
        <w:spacing w:after="240" w:line="360" w:lineRule="auto"/>
        <w:sectPr w:rsidR="00DC3364">
          <w:pgSz w:w="11920" w:h="16840"/>
          <w:pgMar w:top="1480" w:right="1680" w:bottom="280" w:left="1680" w:header="0" w:footer="1073" w:gutter="0"/>
          <w:cols w:space="720"/>
        </w:sectPr>
      </w:pPr>
      <w:r w:rsidRPr="009707BD">
        <w:rPr>
          <w:rFonts w:ascii="宋体" w:hAnsi="宋体"/>
          <w:color w:val="000000"/>
          <w:position w:val="-4"/>
          <w:sz w:val="24"/>
          <w:szCs w:val="30"/>
        </w:rPr>
        <w:fldChar w:fldCharType="end"/>
      </w:r>
    </w:p>
    <w:p w14:paraId="473C76C4" w14:textId="77777777" w:rsidR="00DC3364" w:rsidRDefault="000F1A23">
      <w:pPr>
        <w:pStyle w:val="1"/>
        <w:snapToGrid w:val="0"/>
        <w:spacing w:beforeLines="0" w:before="240" w:after="240"/>
        <w:rPr>
          <w:rFonts w:ascii="宋体" w:hAnsi="宋体"/>
          <w:szCs w:val="30"/>
        </w:rPr>
      </w:pPr>
      <w:bookmarkStart w:id="4" w:name="_Toc69125799"/>
      <w:r>
        <w:rPr>
          <w:rFonts w:ascii="Times New Roman" w:hAnsi="Times New Roman"/>
          <w:sz w:val="30"/>
        </w:rPr>
        <w:lastRenderedPageBreak/>
        <w:t>一、绪言</w:t>
      </w:r>
      <w:bookmarkEnd w:id="4"/>
    </w:p>
    <w:p w14:paraId="75A520E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《交银施罗德裕通纯债债券型证券投资基金招募说明书》（以下简称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）依据《中华人民共和国证券投资基金法》（以下简称</w:t>
      </w:r>
      <w:r>
        <w:rPr>
          <w:rFonts w:ascii="Times New Roman" w:hAnsi="Times New Roman"/>
          <w:sz w:val="24"/>
        </w:rPr>
        <w:t>“</w:t>
      </w:r>
      <w:r>
        <w:rPr>
          <w:rFonts w:ascii="Times New Roman" w:hAnsi="Times New Roman"/>
          <w:sz w:val="24"/>
        </w:rPr>
        <w:t>《基金法》</w:t>
      </w:r>
      <w:r>
        <w:rPr>
          <w:rFonts w:ascii="Times New Roman" w:hAnsi="Times New Roman"/>
          <w:sz w:val="24"/>
        </w:rPr>
        <w:t>”</w:t>
      </w:r>
      <w:r>
        <w:rPr>
          <w:rFonts w:ascii="Times New Roman" w:hAnsi="Times New Roman"/>
          <w:sz w:val="24"/>
        </w:rPr>
        <w:t>）、《公开募集证券投资基金运作管理办法》（以下简称</w:t>
      </w:r>
      <w:r>
        <w:rPr>
          <w:rFonts w:ascii="Times New Roman" w:hAnsi="Times New Roman"/>
          <w:sz w:val="24"/>
        </w:rPr>
        <w:t>“</w:t>
      </w:r>
      <w:r>
        <w:rPr>
          <w:rFonts w:ascii="Times New Roman" w:hAnsi="Times New Roman"/>
          <w:sz w:val="24"/>
        </w:rPr>
        <w:t>《运作办法》</w:t>
      </w:r>
      <w:r>
        <w:rPr>
          <w:rFonts w:ascii="Times New Roman" w:hAnsi="Times New Roman"/>
          <w:sz w:val="24"/>
        </w:rPr>
        <w:t>”</w:t>
      </w:r>
      <w:r>
        <w:rPr>
          <w:rFonts w:ascii="Times New Roman" w:hAnsi="Times New Roman"/>
          <w:sz w:val="24"/>
        </w:rPr>
        <w:t>）、《证券投资基金销售管理办法》（以下简称</w:t>
      </w:r>
      <w:r>
        <w:rPr>
          <w:rFonts w:ascii="Times New Roman" w:hAnsi="Times New Roman"/>
          <w:sz w:val="24"/>
        </w:rPr>
        <w:t>“</w:t>
      </w:r>
      <w:r>
        <w:rPr>
          <w:rFonts w:ascii="Times New Roman" w:hAnsi="Times New Roman"/>
          <w:sz w:val="24"/>
        </w:rPr>
        <w:t>《销售办法》</w:t>
      </w:r>
      <w:r>
        <w:rPr>
          <w:rFonts w:ascii="Times New Roman" w:hAnsi="Times New Roman"/>
          <w:sz w:val="24"/>
        </w:rPr>
        <w:t>”</w:t>
      </w:r>
      <w:r>
        <w:rPr>
          <w:rFonts w:ascii="Times New Roman" w:hAnsi="Times New Roman"/>
          <w:sz w:val="24"/>
        </w:rPr>
        <w:t>）、《公开募集证券投资基金信息披露管理办法》（以下简称</w:t>
      </w:r>
      <w:r>
        <w:rPr>
          <w:rFonts w:ascii="Times New Roman" w:hAnsi="Times New Roman"/>
          <w:sz w:val="24"/>
        </w:rPr>
        <w:t>“</w:t>
      </w:r>
      <w:r>
        <w:rPr>
          <w:rFonts w:ascii="Times New Roman" w:hAnsi="Times New Roman"/>
          <w:sz w:val="24"/>
        </w:rPr>
        <w:t>《信息披露办法》</w:t>
      </w:r>
      <w:r>
        <w:rPr>
          <w:rFonts w:ascii="Times New Roman" w:hAnsi="Times New Roman"/>
          <w:sz w:val="24"/>
        </w:rPr>
        <w:t>”</w:t>
      </w:r>
      <w:r>
        <w:rPr>
          <w:rFonts w:ascii="Times New Roman" w:hAnsi="Times New Roman"/>
          <w:sz w:val="24"/>
        </w:rPr>
        <w:t>）、《公开募集开放式证券投资基金流动性风险管理规定》（以下简称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）和其他相关法律法规的规定以及《交银施罗德裕通纯债债券型证券投资基金基金合同》（以下简称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5AED419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AFA5D3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51D76152"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EBD6C2B" w14:textId="77777777" w:rsidR="00DC3364" w:rsidRDefault="000F1A23">
      <w:pPr>
        <w:pStyle w:val="1"/>
        <w:snapToGrid w:val="0"/>
        <w:spacing w:beforeLines="0" w:before="240" w:after="240"/>
        <w:rPr>
          <w:rFonts w:ascii="宋体" w:hAnsi="宋体"/>
          <w:szCs w:val="30"/>
        </w:rPr>
      </w:pPr>
      <w:bookmarkStart w:id="5" w:name="_Toc69125800"/>
      <w:r>
        <w:rPr>
          <w:rFonts w:ascii="Times New Roman" w:hAnsi="Times New Roman"/>
          <w:sz w:val="30"/>
        </w:rPr>
        <w:lastRenderedPageBreak/>
        <w:t>二、释义</w:t>
      </w:r>
      <w:bookmarkEnd w:id="5"/>
    </w:p>
    <w:p w14:paraId="53EB7E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p w14:paraId="0C56FB7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、基金或本基金：指交银施罗德裕通纯债债券型证券投资基金</w:t>
      </w:r>
    </w:p>
    <w:p w14:paraId="7FF925F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14:paraId="143287F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、基金托管人或本基金托管人：指兴业银行股份有限公司</w:t>
      </w:r>
    </w:p>
    <w:p w14:paraId="7196E5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、基金合同或《基金合同》：指《交银施罗德裕通纯债债券型证券投资基金基金合同》及对基金合同的任何有效修订和补充</w:t>
      </w:r>
    </w:p>
    <w:p w14:paraId="44F7BFA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、托管协议：指基金管理人与基金托管人就本基金签订之《交银施罗德裕通纯债债券型证券投资基金托管协议》及对该托管协议的任何有效修订和补充</w:t>
      </w:r>
    </w:p>
    <w:p w14:paraId="6F7F39A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、招募说明书、本招募说明书或《招募说明书》：指《交银施罗德裕通纯债债券型证券投资基金招募说明书》及其更新</w:t>
      </w:r>
    </w:p>
    <w:p w14:paraId="7ED3EEB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、基金份额发售公告：指《交银施罗德裕通纯债债券型证券投资基金基金份额发售公告》</w:t>
      </w:r>
    </w:p>
    <w:p w14:paraId="237AF4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、基金产品资料概要：指《交银施罗德裕通纯债债券型证券投资基金基金产品资料概要》及其更新</w:t>
      </w:r>
    </w:p>
    <w:p w14:paraId="3EF04D8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14:paraId="23DB8C4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、《基金法》：指《中华人民共和国证券投资基金法》及颁布机关对其不时做出的修订</w:t>
      </w:r>
    </w:p>
    <w:p w14:paraId="38A1AE9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、《销售办法》：指《证券投资基金销售管理办法》及颁布机关对其不时做出的修订</w:t>
      </w:r>
    </w:p>
    <w:p w14:paraId="2DB41AD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、《信息披露办法》：指《公开募集证券投资基金信息披露管理办法》及颁布机关对其不时做出的修订</w:t>
      </w:r>
    </w:p>
    <w:p w14:paraId="7177971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、《运作办法》：指《公开募集证券投资基金运作管理办法》及颁布机关对其不时做出的修订</w:t>
      </w:r>
    </w:p>
    <w:p w14:paraId="13EBD1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、《流动性规定》：指中国证监会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日实施的《公开募集开放式证券投资基金流动性风险管理规定》及颁布机关对其不时做出的修订</w:t>
      </w:r>
    </w:p>
    <w:p w14:paraId="58D8AE8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、中国证监会：指中国证券监督管理委员会</w:t>
      </w:r>
    </w:p>
    <w:p w14:paraId="0BAD07A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16</w:t>
      </w:r>
      <w:r>
        <w:rPr>
          <w:rFonts w:ascii="Times New Roman" w:hAnsi="Times New Roman"/>
          <w:sz w:val="24"/>
        </w:rPr>
        <w:t>、银行业监督管理机构：指中国人民银行和</w:t>
      </w:r>
      <w:r>
        <w:rPr>
          <w:rFonts w:ascii="Times New Roman" w:hAnsi="Times New Roman"/>
          <w:sz w:val="24"/>
        </w:rPr>
        <w:t>/</w:t>
      </w:r>
      <w:r>
        <w:rPr>
          <w:rFonts w:ascii="Times New Roman" w:hAnsi="Times New Roman"/>
          <w:sz w:val="24"/>
        </w:rPr>
        <w:t>或中国银行业监督管理委员会</w:t>
      </w:r>
    </w:p>
    <w:p w14:paraId="080A6C0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、基金合同当事人：指受基金合同约束，根据基金合同享有权利并承担义务的法律主体，包括基金管理人、基金托管人和基金份额持有人</w:t>
      </w:r>
    </w:p>
    <w:p w14:paraId="12DE24E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、个人投资者：指依据有关法律法规规定可投资于证券投资基金的自然人</w:t>
      </w:r>
    </w:p>
    <w:p w14:paraId="6F3A70C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300591B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、合格境外机构投资者：指符合《合格境外机构投资者境内证券投资管理办法》及相关法律法规规定可以投资于在中国境内依法募集的证券投资基金的中国境外的机构投资者</w:t>
      </w:r>
    </w:p>
    <w:p w14:paraId="60B399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、人民币合格境外机构投资者：指按照《人民币合格境外机构投资者境内证券投资试点办法》及相关法律法规规定，运用来自境外的人民币资金进行中国境内证券投资的境外机构投资者</w:t>
      </w:r>
    </w:p>
    <w:p w14:paraId="651C7D2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、投资人或投资者：指个人投资者、机构投资者、合格境外机构投资者和人民币合格境外机构投资者以及法律法规或中国证监会允许购买证券投资基金的其他投资人的合称</w:t>
      </w:r>
    </w:p>
    <w:p w14:paraId="10F96D0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、基金份额持有人：指依基金合同和招募说明书合法取得基金份额的投资人</w:t>
      </w:r>
    </w:p>
    <w:p w14:paraId="4BD859B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、基金销售业务：指基金管理人或销售机构宣传推介基金，发售基金份额，办理基金份额的申购、赎回、转换、转托管及定期定额投资等业务</w:t>
      </w:r>
    </w:p>
    <w:p w14:paraId="45F5C55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009FDBD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FC0B2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、登记机构：指办理登记业务的机构。基金的登记机构为交银施罗德基金管理有限公司或接受交银施罗德基金管理有限公司委托办理登记业务的机构</w:t>
      </w:r>
    </w:p>
    <w:p w14:paraId="6E8D911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28</w:t>
      </w:r>
      <w:r>
        <w:rPr>
          <w:rFonts w:ascii="Times New Roman" w:hAnsi="Times New Roman"/>
          <w:sz w:val="24"/>
        </w:rPr>
        <w:t>、基金账户：指登记机构为投资人开立的、记录其持有的、基金管理人所管理的基金份额余额及其变动情况的账户</w:t>
      </w:r>
    </w:p>
    <w:p w14:paraId="4804704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29</w:t>
      </w:r>
      <w:r>
        <w:rPr>
          <w:rFonts w:ascii="Times New Roman" w:hAnsi="Times New Roman"/>
          <w:sz w:val="24"/>
        </w:rPr>
        <w:t>、基金交易账户：指销售机构为投资人开立的、记录投资人通过该销售机构</w:t>
      </w:r>
      <w:r>
        <w:rPr>
          <w:rFonts w:ascii="Times New Roman" w:hAnsi="Times New Roman"/>
          <w:sz w:val="24"/>
        </w:rPr>
        <w:lastRenderedPageBreak/>
        <w:t>办理认购、申购、赎回、转换及转托管等业务而引起的基金份额变动及结余情况的账户</w:t>
      </w:r>
    </w:p>
    <w:p w14:paraId="6D54C76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30</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6871E8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、基金合同终止日：指基金合同规定的基金合同终止事由出现后，基金财产清算完毕，清算结果报中国证监会备案并予以公告的日期</w:t>
      </w:r>
    </w:p>
    <w:p w14:paraId="74E3C2D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14:paraId="60B74F9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33</w:t>
      </w:r>
      <w:r>
        <w:rPr>
          <w:rFonts w:ascii="Times New Roman" w:hAnsi="Times New Roman"/>
          <w:sz w:val="24"/>
        </w:rPr>
        <w:t>、存续期：指基金合同生效至终止之间的不定期期限</w:t>
      </w:r>
    </w:p>
    <w:p w14:paraId="7374E31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34</w:t>
      </w:r>
      <w:r>
        <w:rPr>
          <w:rFonts w:ascii="Times New Roman" w:hAnsi="Times New Roman"/>
          <w:sz w:val="24"/>
        </w:rPr>
        <w:t>、工作日：指上海证券交易所、深圳证券交易所的正常交易日</w:t>
      </w:r>
    </w:p>
    <w:p w14:paraId="6637D8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35</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14:paraId="076BDCA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36</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r>
        <w:rPr>
          <w:rFonts w:ascii="Times New Roman" w:hAnsi="Times New Roman"/>
          <w:sz w:val="24"/>
        </w:rPr>
        <w:t>个工作日</w:t>
      </w:r>
      <w:r>
        <w:rPr>
          <w:rFonts w:ascii="Times New Roman" w:hAnsi="Times New Roman"/>
          <w:sz w:val="24"/>
        </w:rPr>
        <w:t>(</w:t>
      </w:r>
      <w:r>
        <w:rPr>
          <w:rFonts w:ascii="Times New Roman" w:hAnsi="Times New Roman"/>
          <w:sz w:val="24"/>
        </w:rPr>
        <w:t>不包含</w:t>
      </w:r>
      <w:r>
        <w:rPr>
          <w:rFonts w:ascii="Times New Roman" w:hAnsi="Times New Roman"/>
          <w:sz w:val="24"/>
        </w:rPr>
        <w:t>T</w:t>
      </w:r>
      <w:r>
        <w:rPr>
          <w:rFonts w:ascii="Times New Roman" w:hAnsi="Times New Roman"/>
          <w:sz w:val="24"/>
        </w:rPr>
        <w:t>日</w:t>
      </w:r>
      <w:r>
        <w:rPr>
          <w:rFonts w:ascii="Times New Roman" w:hAnsi="Times New Roman"/>
          <w:sz w:val="24"/>
        </w:rPr>
        <w:t>)</w:t>
      </w:r>
    </w:p>
    <w:p w14:paraId="4FFDE5D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37</w:t>
      </w:r>
      <w:r>
        <w:rPr>
          <w:rFonts w:ascii="Times New Roman" w:hAnsi="Times New Roman"/>
          <w:sz w:val="24"/>
        </w:rPr>
        <w:t>、开放日：指为投资人办理基金份额申购、赎回或其他业务的工作日</w:t>
      </w:r>
    </w:p>
    <w:p w14:paraId="5A68234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38</w:t>
      </w:r>
      <w:r>
        <w:rPr>
          <w:rFonts w:ascii="Times New Roman" w:hAnsi="Times New Roman"/>
          <w:sz w:val="24"/>
        </w:rPr>
        <w:t>、开放时间：指开放日基金接受申购、赎回或其他交易的时间段</w:t>
      </w:r>
    </w:p>
    <w:p w14:paraId="681E4C6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39</w:t>
      </w:r>
      <w:r>
        <w:rPr>
          <w:rFonts w:ascii="Times New Roman" w:hAnsi="Times New Roman"/>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D6533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40</w:t>
      </w:r>
      <w:r>
        <w:rPr>
          <w:rFonts w:ascii="Times New Roman" w:hAnsi="Times New Roman"/>
          <w:sz w:val="24"/>
        </w:rPr>
        <w:t>、认购：指在基金募集期内，投资人根据基金合同和招募说明书的规定申请购买基金份额的行为</w:t>
      </w:r>
    </w:p>
    <w:p w14:paraId="5E76996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41</w:t>
      </w:r>
      <w:r>
        <w:rPr>
          <w:rFonts w:ascii="Times New Roman" w:hAnsi="Times New Roman"/>
          <w:sz w:val="24"/>
        </w:rPr>
        <w:t>、申购：指基金合同生效后，投资人根据基金合同和招募说明书的规定申请购买基金份额的行为</w:t>
      </w:r>
    </w:p>
    <w:p w14:paraId="06E8233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42</w:t>
      </w:r>
      <w:r>
        <w:rPr>
          <w:rFonts w:ascii="Times New Roman" w:hAnsi="Times New Roman"/>
          <w:sz w:val="24"/>
        </w:rPr>
        <w:t>、赎回：指基金合同生效后，基金份额持有人按基金合同和招募说明书规定的条件要求将基金份额兑换为现金的行为</w:t>
      </w:r>
    </w:p>
    <w:p w14:paraId="129AE4A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43</w:t>
      </w:r>
      <w:r>
        <w:rPr>
          <w:rFonts w:ascii="Times New Roman" w:hAnsi="Times New Roman"/>
          <w:sz w:val="24"/>
        </w:rPr>
        <w:t>、销售服务费：指从基金资产中计提的，用于本基金市场推广、销售以及基金份额持有人服务的费用</w:t>
      </w:r>
    </w:p>
    <w:p w14:paraId="5B43541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44</w:t>
      </w:r>
      <w:r>
        <w:rPr>
          <w:rFonts w:ascii="Times New Roman" w:hAnsi="Times New Roman"/>
          <w:sz w:val="24"/>
        </w:rPr>
        <w:t>、基金份额类别：指本基金根据认购</w:t>
      </w:r>
      <w:r>
        <w:rPr>
          <w:rFonts w:ascii="Times New Roman" w:hAnsi="Times New Roman"/>
          <w:sz w:val="24"/>
        </w:rPr>
        <w:t>/</w:t>
      </w:r>
      <w:r>
        <w:rPr>
          <w:rFonts w:ascii="Times New Roman" w:hAnsi="Times New Roman"/>
          <w:sz w:val="24"/>
        </w:rPr>
        <w:t>申购费用、销售服务费收取方式的不同，将基金份额分为不同的类别。在投资人认购</w:t>
      </w:r>
      <w:r>
        <w:rPr>
          <w:rFonts w:ascii="Times New Roman" w:hAnsi="Times New Roman"/>
          <w:sz w:val="24"/>
        </w:rPr>
        <w:t>/</w:t>
      </w:r>
      <w:r>
        <w:rPr>
          <w:rFonts w:ascii="Times New Roman" w:hAnsi="Times New Roman"/>
          <w:sz w:val="24"/>
        </w:rPr>
        <w:t>申购时收取认购</w:t>
      </w:r>
      <w:r>
        <w:rPr>
          <w:rFonts w:ascii="Times New Roman" w:hAnsi="Times New Roman"/>
          <w:sz w:val="24"/>
        </w:rPr>
        <w:t>/</w:t>
      </w:r>
      <w:r>
        <w:rPr>
          <w:rFonts w:ascii="Times New Roman" w:hAnsi="Times New Roman"/>
          <w:sz w:val="24"/>
        </w:rPr>
        <w:t>申购费用、赎回</w:t>
      </w:r>
      <w:r>
        <w:rPr>
          <w:rFonts w:ascii="Times New Roman" w:hAnsi="Times New Roman"/>
          <w:sz w:val="24"/>
        </w:rPr>
        <w:lastRenderedPageBreak/>
        <w:t>时收取赎回费用的，称为</w:t>
      </w:r>
      <w:r>
        <w:rPr>
          <w:rFonts w:ascii="Times New Roman" w:hAnsi="Times New Roman"/>
          <w:sz w:val="24"/>
        </w:rPr>
        <w:t>A</w:t>
      </w:r>
      <w:r>
        <w:rPr>
          <w:rFonts w:ascii="Times New Roman" w:hAnsi="Times New Roman"/>
          <w:sz w:val="24"/>
        </w:rPr>
        <w:t>类基金份额，在投资人认购</w:t>
      </w:r>
      <w:r>
        <w:rPr>
          <w:rFonts w:ascii="Times New Roman" w:hAnsi="Times New Roman"/>
          <w:sz w:val="24"/>
        </w:rPr>
        <w:t>/</w:t>
      </w:r>
      <w:r>
        <w:rPr>
          <w:rFonts w:ascii="Times New Roman" w:hAnsi="Times New Roman"/>
          <w:sz w:val="24"/>
        </w:rPr>
        <w:t>申购时不收取认购</w:t>
      </w:r>
      <w:r>
        <w:rPr>
          <w:rFonts w:ascii="Times New Roman" w:hAnsi="Times New Roman"/>
          <w:sz w:val="24"/>
        </w:rPr>
        <w:t>/</w:t>
      </w:r>
      <w:r>
        <w:rPr>
          <w:rFonts w:ascii="Times New Roman" w:hAnsi="Times New Roman"/>
          <w:sz w:val="24"/>
        </w:rPr>
        <w:t>申购费用、赎回时收取赎回费用，并从本类别基金资产中计提销售服务费的，称为</w:t>
      </w:r>
      <w:r>
        <w:rPr>
          <w:rFonts w:ascii="Times New Roman" w:hAnsi="Times New Roman"/>
          <w:sz w:val="24"/>
        </w:rPr>
        <w:t>C</w:t>
      </w:r>
      <w:r>
        <w:rPr>
          <w:rFonts w:ascii="Times New Roman" w:hAnsi="Times New Roman"/>
          <w:sz w:val="24"/>
        </w:rPr>
        <w:t>类基金份额；</w:t>
      </w:r>
    </w:p>
    <w:p w14:paraId="40FE5D6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45</w:t>
      </w:r>
      <w:r>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79534C0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46</w:t>
      </w:r>
      <w:r>
        <w:rPr>
          <w:rFonts w:ascii="Times New Roman" w:hAnsi="Times New Roman"/>
          <w:sz w:val="24"/>
        </w:rPr>
        <w:t>、转托管：指基金份额持有人在本基金的不同销售机构之间实施的变更所持基金份额销售机构的操作</w:t>
      </w:r>
    </w:p>
    <w:p w14:paraId="0B99A20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47</w:t>
      </w:r>
      <w:r>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1FE9EA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48</w:t>
      </w:r>
      <w:r>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sz w:val="24"/>
        </w:rPr>
        <w:t>10%</w:t>
      </w:r>
      <w:r>
        <w:rPr>
          <w:rFonts w:ascii="Times New Roman" w:hAnsi="Times New Roman"/>
          <w:sz w:val="24"/>
        </w:rPr>
        <w:t>的情形</w:t>
      </w:r>
    </w:p>
    <w:p w14:paraId="6BE6F7D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49</w:t>
      </w:r>
      <w:r>
        <w:rPr>
          <w:rFonts w:ascii="Times New Roman" w:hAnsi="Times New Roman"/>
          <w:sz w:val="24"/>
        </w:rPr>
        <w:t>、元：指人民币元</w:t>
      </w:r>
    </w:p>
    <w:p w14:paraId="16BDE5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50</w:t>
      </w:r>
      <w:r>
        <w:rPr>
          <w:rFonts w:ascii="Times New Roman" w:hAnsi="Times New Roman"/>
          <w:sz w:val="24"/>
        </w:rPr>
        <w:t>、基金收益：指基金投资所得红利、股息、债券利息、买卖证券价差、银行存款利息、已实现的其他合法收入及因运用基金财产带来的成本和费用的节约</w:t>
      </w:r>
    </w:p>
    <w:p w14:paraId="0E2280C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51</w:t>
      </w:r>
      <w:r>
        <w:rPr>
          <w:rFonts w:ascii="Times New Roman" w:hAnsi="Times New Roman"/>
          <w:sz w:val="24"/>
        </w:rPr>
        <w:t>、基金资产总值：指基金拥有的各类有价证券、银行存款本息、基金应收申购款及其他资产的价值总和</w:t>
      </w:r>
    </w:p>
    <w:p w14:paraId="5CB2862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52</w:t>
      </w:r>
      <w:r>
        <w:rPr>
          <w:rFonts w:ascii="Times New Roman" w:hAnsi="Times New Roman"/>
          <w:sz w:val="24"/>
        </w:rPr>
        <w:t>、基金资产净值：指基金资产总值减去基金负债后的价值</w:t>
      </w:r>
    </w:p>
    <w:p w14:paraId="47D1E47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53</w:t>
      </w:r>
      <w:r>
        <w:rPr>
          <w:rFonts w:ascii="Times New Roman" w:hAnsi="Times New Roman"/>
          <w:sz w:val="24"/>
        </w:rPr>
        <w:t>、基金份额净值：指计算日基金资产净值除以计算日基金份额总数</w:t>
      </w:r>
    </w:p>
    <w:p w14:paraId="5A3719C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54</w:t>
      </w:r>
      <w:r>
        <w:rPr>
          <w:rFonts w:ascii="Times New Roman" w:hAnsi="Times New Roman"/>
          <w:sz w:val="24"/>
        </w:rPr>
        <w:t>、基金资产估值：指计算评估基金资产和负债的价值，以确定基金资产净值和基金份额净值的过程</w:t>
      </w:r>
    </w:p>
    <w:p w14:paraId="0EE3B7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55</w:t>
      </w:r>
      <w:r>
        <w:rPr>
          <w:rFonts w:ascii="Times New Roman" w:hAnsi="Times New Roman"/>
          <w:sz w:val="24"/>
        </w:rPr>
        <w:t>、流动性受限资产：指由于法律法规、监管、合同或操作障碍等原因无法以合理价格予以变现的资产，包括但不限于到期日在</w:t>
      </w:r>
      <w:r>
        <w:rPr>
          <w:rFonts w:ascii="Times New Roman" w:hAnsi="Times New Roman"/>
          <w:sz w:val="24"/>
        </w:rPr>
        <w:t>10</w:t>
      </w:r>
      <w:r>
        <w:rPr>
          <w:rFonts w:ascii="Times New Roman" w:hAnsi="Times New Roman"/>
          <w:sz w:val="24"/>
        </w:rPr>
        <w:t>个交易日以上的逆回购与银行定期存款（含协议约定有条件提前支取的银行存款）、资产支持证券、因发行人债务违约无法进行转让或交易的债券等</w:t>
      </w:r>
    </w:p>
    <w:p w14:paraId="50F5922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56</w:t>
      </w:r>
      <w:r>
        <w:rPr>
          <w:rFonts w:ascii="Times New Roman" w:hAnsi="Times New Roman"/>
          <w:sz w:val="24"/>
        </w:rPr>
        <w:t>、指定媒介：指中国证监会指定的用以进行信息披露的全国性报刊及指定互联网网站（包括基金管理人网站、基金托管人网站、中国证监会基金电子披露网站）等媒介</w:t>
      </w:r>
    </w:p>
    <w:p w14:paraId="77F3E2B6" w14:textId="77777777" w:rsidR="00F46270" w:rsidRPr="00F46270" w:rsidRDefault="000F1A23" w:rsidP="00F46270">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lastRenderedPageBreak/>
        <w:t>57</w:t>
      </w:r>
      <w:r>
        <w:rPr>
          <w:rFonts w:ascii="Times New Roman" w:hAnsi="Times New Roman"/>
          <w:sz w:val="24"/>
        </w:rPr>
        <w:t>、</w:t>
      </w:r>
      <w:r w:rsidR="00F46270" w:rsidRPr="00F46270">
        <w:rPr>
          <w:rFonts w:ascii="Times New Roman" w:hAnsi="Times New Roman"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24D6171" w14:textId="77777777" w:rsidR="00F46270" w:rsidRPr="00F46270" w:rsidRDefault="00F46270" w:rsidP="00F46270">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bCs/>
          <w:sz w:val="24"/>
        </w:rPr>
        <w:t>58</w:t>
      </w:r>
      <w:r w:rsidRPr="00F46270">
        <w:rPr>
          <w:rFonts w:ascii="Times New Roman" w:hAnsi="Times New Roman"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DA019AC" w14:textId="77777777" w:rsidR="00DC3364" w:rsidRDefault="00F46270" w:rsidP="00F46270">
      <w:pPr>
        <w:autoSpaceDE w:val="0"/>
        <w:autoSpaceDN w:val="0"/>
        <w:adjustRightInd w:val="0"/>
        <w:snapToGrid w:val="0"/>
        <w:spacing w:line="360" w:lineRule="auto"/>
        <w:ind w:firstLineChars="200" w:firstLine="480"/>
        <w:rPr>
          <w:rFonts w:ascii="宋体" w:hAnsi="宋体"/>
          <w:szCs w:val="24"/>
        </w:rPr>
      </w:pPr>
      <w:r>
        <w:rPr>
          <w:rFonts w:ascii="Times New Roman" w:hAnsi="Times New Roman"/>
          <w:bCs/>
          <w:sz w:val="24"/>
        </w:rPr>
        <w:t>59</w:t>
      </w:r>
      <w:r w:rsidRPr="00F46270">
        <w:rPr>
          <w:rFonts w:ascii="Times New Roman" w:hAnsi="Times New Roman" w:hint="eastAsia"/>
          <w:bCs/>
          <w:sz w:val="24"/>
        </w:rPr>
        <w:t>、</w:t>
      </w:r>
      <w:r w:rsidR="000F1A23">
        <w:rPr>
          <w:rFonts w:ascii="Times New Roman" w:hAnsi="Times New Roman"/>
          <w:sz w:val="24"/>
        </w:rPr>
        <w:t>不可抗力：指基金合同当事人不能预见、不能避免且不能克服的客观事件</w:t>
      </w:r>
    </w:p>
    <w:p w14:paraId="1205AB5C"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E8BB405" w14:textId="77777777" w:rsidR="00DC3364" w:rsidRDefault="000F1A23">
      <w:pPr>
        <w:pStyle w:val="1"/>
        <w:snapToGrid w:val="0"/>
        <w:spacing w:beforeLines="0" w:before="240" w:after="240"/>
        <w:rPr>
          <w:rFonts w:ascii="宋体" w:hAnsi="宋体"/>
          <w:szCs w:val="30"/>
        </w:rPr>
      </w:pPr>
      <w:bookmarkStart w:id="6" w:name="_Toc69125801"/>
      <w:r>
        <w:rPr>
          <w:rFonts w:ascii="Times New Roman" w:hAnsi="Times New Roman"/>
          <w:sz w:val="30"/>
        </w:rPr>
        <w:lastRenderedPageBreak/>
        <w:t>三、基金管理人</w:t>
      </w:r>
      <w:bookmarkEnd w:id="6"/>
    </w:p>
    <w:p w14:paraId="50862E9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14:paraId="46B5F34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4D41D86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7217044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780C58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0CB7D37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0337729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133CAD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3AF99EF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1553E95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4F2BEBF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6307A35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3712272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DC3364" w14:paraId="62D4124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E76031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061CBC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DC3364" w14:paraId="1315D7A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CEC87E"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3EE96A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DC3364" w14:paraId="7C04B72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FE5BA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4102FC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DC3364" w14:paraId="7D71ACC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BF374A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5CE7BD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0CFE986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14:paraId="1E28705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14:paraId="106BA9A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D584DE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FB14F6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周曦女士，董事，硕士。现任交通银行总行个人金融业务部副总经理兼风险管理部副总经理。历任交通银行湖南省分行风险管理部、资产保全部、法律合规部、</w:t>
      </w:r>
      <w:r>
        <w:rPr>
          <w:rFonts w:ascii="Times New Roman" w:hAnsi="Times New Roman"/>
          <w:sz w:val="24"/>
        </w:rPr>
        <w:lastRenderedPageBreak/>
        <w:t>个人金融业务部总经理，交通银行总行个人金融业务部总经理助理。</w:t>
      </w:r>
    </w:p>
    <w:p w14:paraId="20406DB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14:paraId="62BD3DD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0FA952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78390BE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14:paraId="3F8983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97CA68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E0D946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14:paraId="4A03544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通银行人力资源部总经理、交银金融学院常务副院长。历任交通银行办公室副处长，交通银行公司业务部副处长、高级经理、总经理助理、副总经理，交通银行投资银行部副总经理，交通银行江苏分行副行长，</w:t>
      </w:r>
      <w:r>
        <w:rPr>
          <w:rFonts w:ascii="Times New Roman" w:hAnsi="Times New Roman"/>
          <w:sz w:val="24"/>
        </w:rPr>
        <w:lastRenderedPageBreak/>
        <w:t>交通银行战略投资部总经理。</w:t>
      </w:r>
    </w:p>
    <w:p w14:paraId="7CC5740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14:paraId="3E01D00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6970E2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4C08194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6DBDE0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14:paraId="2852D65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F4D47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786C5E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863C4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677480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14:paraId="4914393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季参平先生</w:t>
      </w:r>
      <w:r>
        <w:rPr>
          <w:rFonts w:ascii="Times New Roman" w:hAnsi="Times New Roman"/>
          <w:sz w:val="24"/>
        </w:rPr>
        <w:t>:</w:t>
      </w:r>
      <w:r>
        <w:rPr>
          <w:rFonts w:ascii="Times New Roman" w:hAnsi="Times New Roman"/>
          <w:sz w:val="24"/>
        </w:rPr>
        <w:t>基金经理。美国密歇根大学金融工程硕士、对外经济贸易大学经</w:t>
      </w:r>
      <w:r>
        <w:rPr>
          <w:rFonts w:ascii="Times New Roman" w:hAnsi="Times New Roman"/>
          <w:sz w:val="24"/>
        </w:rPr>
        <w:lastRenderedPageBreak/>
        <w:t>济学学士，</w:t>
      </w:r>
      <w:r>
        <w:rPr>
          <w:rFonts w:ascii="Times New Roman" w:hAnsi="Times New Roman"/>
          <w:sz w:val="24"/>
        </w:rPr>
        <w:t>8</w:t>
      </w:r>
      <w:r>
        <w:rPr>
          <w:rFonts w:ascii="Times New Roman" w:hAnsi="Times New Roman"/>
          <w:sz w:val="24"/>
        </w:rPr>
        <w:t>年金融行业从业经验。</w:t>
      </w:r>
      <w:r>
        <w:rPr>
          <w:rFonts w:ascii="Times New Roman" w:hAnsi="Times New Roman"/>
          <w:sz w:val="24"/>
        </w:rPr>
        <w:t>2012</w:t>
      </w:r>
      <w:r>
        <w:rPr>
          <w:rFonts w:ascii="Times New Roman" w:hAnsi="Times New Roman"/>
          <w:sz w:val="24"/>
        </w:rPr>
        <w:t>年至</w:t>
      </w:r>
      <w:r>
        <w:rPr>
          <w:rFonts w:ascii="Times New Roman" w:hAnsi="Times New Roman"/>
          <w:sz w:val="24"/>
        </w:rPr>
        <w:t>2017</w:t>
      </w:r>
      <w:r>
        <w:rPr>
          <w:rFonts w:ascii="Times New Roman" w:hAnsi="Times New Roman"/>
          <w:sz w:val="24"/>
        </w:rPr>
        <w:t>年任瑞士银行外汇和利率交易员、联席董事。</w:t>
      </w:r>
      <w:r>
        <w:rPr>
          <w:rFonts w:ascii="Times New Roman" w:hAnsi="Times New Roman"/>
          <w:sz w:val="24"/>
        </w:rPr>
        <w:t>2017</w:t>
      </w:r>
      <w:r>
        <w:rPr>
          <w:rFonts w:ascii="Times New Roman" w:hAnsi="Times New Roman"/>
          <w:sz w:val="24"/>
        </w:rPr>
        <w:t>年加入交银施罗德基金管理有限公司，现任固定收益部基金经理。曾任基金经理助理。曾任交银施罗德天运宝货币市场基金</w:t>
      </w:r>
      <w:r>
        <w:rPr>
          <w:rFonts w:ascii="Times New Roman" w:hAnsi="Times New Roman"/>
          <w:sz w:val="24"/>
        </w:rPr>
        <w:t>(2019</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26</w:t>
      </w:r>
      <w:r>
        <w:rPr>
          <w:rFonts w:ascii="Times New Roman" w:hAnsi="Times New Roman"/>
          <w:sz w:val="24"/>
        </w:rPr>
        <w:t>日至</w:t>
      </w:r>
      <w:r>
        <w:rPr>
          <w:rFonts w:ascii="Times New Roman" w:hAnsi="Times New Roman"/>
          <w:sz w:val="24"/>
        </w:rPr>
        <w:t>2019</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18</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的基金经理。现任交银施罗德现金宝货币市场基金</w:t>
      </w:r>
      <w:r>
        <w:rPr>
          <w:rFonts w:ascii="Times New Roman" w:hAnsi="Times New Roman"/>
          <w:sz w:val="24"/>
        </w:rPr>
        <w:t>(2019</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、交银施罗德天鑫宝货币市场基金</w:t>
      </w:r>
      <w:r>
        <w:rPr>
          <w:rFonts w:ascii="Times New Roman" w:hAnsi="Times New Roman"/>
          <w:sz w:val="24"/>
        </w:rPr>
        <w:t>(2019</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、交银施罗德货币市场证券投资基金</w:t>
      </w:r>
      <w:r>
        <w:rPr>
          <w:rFonts w:ascii="Times New Roman" w:hAnsi="Times New Roman"/>
          <w:sz w:val="24"/>
        </w:rPr>
        <w:t>(2019</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、交银施罗德裕通纯债债券型证券投资基金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12</w:t>
      </w:r>
      <w:r>
        <w:rPr>
          <w:rFonts w:ascii="Times New Roman" w:hAnsi="Times New Roman"/>
          <w:sz w:val="24"/>
        </w:rPr>
        <w:t>日至今</w:t>
      </w:r>
      <w:r>
        <w:rPr>
          <w:rFonts w:ascii="Times New Roman" w:hAnsi="Times New Roman"/>
          <w:sz w:val="24"/>
        </w:rPr>
        <w:t>)</w:t>
      </w:r>
      <w:r>
        <w:rPr>
          <w:rFonts w:ascii="Times New Roman" w:hAnsi="Times New Roman"/>
          <w:sz w:val="24"/>
        </w:rPr>
        <w:t>、交银施罗德裕祥纯债债券型证券投资基金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09</w:t>
      </w:r>
      <w:r>
        <w:rPr>
          <w:rFonts w:ascii="Times New Roman" w:hAnsi="Times New Roman"/>
          <w:sz w:val="24"/>
        </w:rPr>
        <w:t>日至今</w:t>
      </w:r>
      <w:r>
        <w:rPr>
          <w:rFonts w:ascii="Times New Roman" w:hAnsi="Times New Roman"/>
          <w:sz w:val="24"/>
        </w:rPr>
        <w:t>)</w:t>
      </w:r>
      <w:r>
        <w:rPr>
          <w:rFonts w:ascii="Times New Roman" w:hAnsi="Times New Roman"/>
          <w:sz w:val="24"/>
        </w:rPr>
        <w:t>、交银施罗德中债</w:t>
      </w:r>
      <w:r>
        <w:rPr>
          <w:rFonts w:ascii="Times New Roman" w:hAnsi="Times New Roman"/>
          <w:sz w:val="24"/>
        </w:rPr>
        <w:t>1-3</w:t>
      </w:r>
      <w:r>
        <w:rPr>
          <w:rFonts w:ascii="Times New Roman" w:hAnsi="Times New Roman"/>
          <w:sz w:val="24"/>
        </w:rPr>
        <w:t>年政策性金融债指数证券投资基金</w:t>
      </w:r>
      <w:r>
        <w:rPr>
          <w:rFonts w:ascii="Times New Roman" w:hAnsi="Times New Roman"/>
          <w:sz w:val="24"/>
        </w:rPr>
        <w:t>(2020</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27E313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本基金历任基金经理：</w:t>
      </w:r>
    </w:p>
    <w:p w14:paraId="4D70C5C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黄莹洁女士</w:t>
      </w:r>
      <w:r>
        <w:rPr>
          <w:rFonts w:ascii="Times New Roman" w:hAnsi="Times New Roman"/>
          <w:sz w:val="24"/>
        </w:rPr>
        <w:t>(2015</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29</w:t>
      </w:r>
      <w:r>
        <w:rPr>
          <w:rFonts w:ascii="Times New Roman" w:hAnsi="Times New Roman"/>
          <w:sz w:val="24"/>
        </w:rPr>
        <w:t>日至</w:t>
      </w:r>
      <w:r>
        <w:rPr>
          <w:rFonts w:ascii="Times New Roman" w:hAnsi="Times New Roman"/>
          <w:sz w:val="24"/>
        </w:rPr>
        <w:t>2019</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23</w:t>
      </w:r>
      <w:r>
        <w:rPr>
          <w:rFonts w:ascii="Times New Roman" w:hAnsi="Times New Roman"/>
          <w:sz w:val="24"/>
        </w:rPr>
        <w:t>日</w:t>
      </w:r>
      <w:r>
        <w:rPr>
          <w:rFonts w:ascii="Times New Roman" w:hAnsi="Times New Roman"/>
          <w:sz w:val="24"/>
        </w:rPr>
        <w:t>)</w:t>
      </w:r>
      <w:r>
        <w:rPr>
          <w:rFonts w:ascii="Times New Roman" w:hAnsi="Times New Roman"/>
          <w:sz w:val="24"/>
        </w:rPr>
        <w:t>；</w:t>
      </w:r>
    </w:p>
    <w:p w14:paraId="7A607C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章妍女士</w:t>
      </w:r>
      <w:r>
        <w:rPr>
          <w:rFonts w:ascii="Times New Roman" w:hAnsi="Times New Roman"/>
          <w:sz w:val="24"/>
        </w:rPr>
        <w:t>(2016</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09</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w:t>
      </w:r>
      <w:r>
        <w:rPr>
          <w:rFonts w:ascii="Times New Roman" w:hAnsi="Times New Roman"/>
          <w:sz w:val="24"/>
        </w:rPr>
        <w:t>；</w:t>
      </w:r>
    </w:p>
    <w:p w14:paraId="6287864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唐赟先生</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日至</w:t>
      </w:r>
      <w:r>
        <w:rPr>
          <w:rFonts w:ascii="Times New Roman" w:hAnsi="Times New Roman"/>
          <w:sz w:val="24"/>
        </w:rPr>
        <w:t>2019</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23</w:t>
      </w:r>
      <w:r>
        <w:rPr>
          <w:rFonts w:ascii="Times New Roman" w:hAnsi="Times New Roman"/>
          <w:sz w:val="24"/>
        </w:rPr>
        <w:t>日</w:t>
      </w:r>
      <w:r>
        <w:rPr>
          <w:rFonts w:ascii="Times New Roman" w:hAnsi="Times New Roman"/>
          <w:sz w:val="24"/>
        </w:rPr>
        <w:t>)</w:t>
      </w:r>
      <w:r>
        <w:rPr>
          <w:rFonts w:ascii="Times New Roman" w:hAnsi="Times New Roman"/>
          <w:sz w:val="24"/>
        </w:rPr>
        <w:t>。</w:t>
      </w:r>
    </w:p>
    <w:p w14:paraId="043684B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14:paraId="3A8D57A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14:paraId="5B68D4A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14:paraId="5FB3A20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14:paraId="095AB9D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14:paraId="789806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04</w:t>
      </w:r>
      <w:r>
        <w:rPr>
          <w:rFonts w:ascii="Times New Roman" w:hAnsi="Times New Roman"/>
          <w:sz w:val="24"/>
        </w:rPr>
        <w:t>日，期后变动（如有）敬请关注基金管理人发布的相关公告。</w:t>
      </w:r>
    </w:p>
    <w:p w14:paraId="7B3B92E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14:paraId="3780C71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14:paraId="6262CFB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03C6895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14:paraId="728F0EB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7533787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52A130E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0CDD759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26F414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8</w:t>
      </w:r>
      <w:r>
        <w:rPr>
          <w:rFonts w:ascii="Times New Roman" w:hAnsi="Times New Roman"/>
          <w:sz w:val="24"/>
        </w:rPr>
        <w:t>、办理与基金财产管理业务活动有关的信息披露事项；</w:t>
      </w:r>
    </w:p>
    <w:p w14:paraId="7CB95CD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、按照规定召集基金份额持有人大会；</w:t>
      </w:r>
    </w:p>
    <w:p w14:paraId="6E2ADD5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7D7B73B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0413AE4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02113EB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14:paraId="6AA0E94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、基金管理人承诺不从事违反《中华人民共和国证券法》的行为，并承诺建立健全内部控制制度，采取有效措施，防止违反《中华人民共和国证券法》行为的发生；</w:t>
      </w:r>
    </w:p>
    <w:p w14:paraId="3A21EB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4259A87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04A034A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110F805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1ABC705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4A2F6DE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）侵占、挪用基金财产；</w:t>
      </w:r>
    </w:p>
    <w:p w14:paraId="189954F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）法律、行政法规和中国证监会禁止的其他行为。</w:t>
      </w:r>
    </w:p>
    <w:p w14:paraId="4D5DA48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1C7EBC1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4502BCC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151048B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14:paraId="2CC2D0C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48D027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14:paraId="7489399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4F731D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、不以任何形式为其他组织或个人进行证券交易。</w:t>
      </w:r>
    </w:p>
    <w:p w14:paraId="0E44D0A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14:paraId="010579B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14:paraId="4A1B8CF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全面性原则</w:t>
      </w:r>
    </w:p>
    <w:p w14:paraId="1DFCBD8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14:paraId="03FE928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独立性原则</w:t>
      </w:r>
    </w:p>
    <w:p w14:paraId="5848BD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799804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相互制约原则</w:t>
      </w:r>
    </w:p>
    <w:p w14:paraId="57E2E6F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36C353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定性和定量相结合原则</w:t>
      </w:r>
    </w:p>
    <w:p w14:paraId="7E597BD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14:paraId="49F1F42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6230436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0977C7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14:paraId="7E8EF98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14:paraId="4E08C76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14:paraId="41D790C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05D985D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14:paraId="04EFA23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82F7C3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14:paraId="50BD081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EEC70E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）督察长</w:t>
      </w:r>
    </w:p>
    <w:p w14:paraId="4FB38B1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35EB7D9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14:paraId="263D14D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10547A6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13E8B18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0EEBE3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14:paraId="4205073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5F2E01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618C7A2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6537C85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280CBF9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14:paraId="0C1DE5F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720CB2E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）建立相互分离、相互制衡的内控机制</w:t>
      </w:r>
    </w:p>
    <w:p w14:paraId="6C378D1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14:paraId="2A2CE1C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14:paraId="16DF811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建立、健全了岗位责任制，使每个员工都明确自己的任务、职责，并及时将各自工作领域中的风险隐患上报，以防范和减少风险。</w:t>
      </w:r>
    </w:p>
    <w:p w14:paraId="17672BD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14:paraId="6C0A8A1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B604E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14:paraId="68BBDC0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09F4AC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14:paraId="0A780D7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3AAA4DC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14:paraId="32777FB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14:paraId="2D6AC1C8"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98E1A1" w14:textId="77777777" w:rsidR="00DC3364" w:rsidRDefault="000F1A23">
      <w:pPr>
        <w:pStyle w:val="1"/>
        <w:snapToGrid w:val="0"/>
        <w:spacing w:beforeLines="0" w:before="240" w:after="240"/>
        <w:rPr>
          <w:rFonts w:ascii="宋体" w:hAnsi="宋体"/>
          <w:szCs w:val="30"/>
        </w:rPr>
      </w:pPr>
      <w:bookmarkStart w:id="7" w:name="_Toc69125802"/>
      <w:r>
        <w:rPr>
          <w:rFonts w:ascii="Times New Roman" w:hAnsi="Times New Roman"/>
          <w:sz w:val="30"/>
        </w:rPr>
        <w:lastRenderedPageBreak/>
        <w:t>四、基金托管人</w:t>
      </w:r>
      <w:bookmarkEnd w:id="7"/>
    </w:p>
    <w:p w14:paraId="4B14E4B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14:paraId="7B97D4E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名称：兴业银行股份有限公司（以下简称</w:t>
      </w:r>
      <w:r>
        <w:rPr>
          <w:rFonts w:ascii="Times New Roman" w:hAnsi="Times New Roman"/>
          <w:sz w:val="24"/>
        </w:rPr>
        <w:t>“</w:t>
      </w:r>
      <w:r>
        <w:rPr>
          <w:rFonts w:ascii="Times New Roman" w:hAnsi="Times New Roman"/>
          <w:sz w:val="24"/>
        </w:rPr>
        <w:t>兴业银行</w:t>
      </w:r>
      <w:r>
        <w:rPr>
          <w:rFonts w:ascii="Times New Roman" w:hAnsi="Times New Roman"/>
          <w:sz w:val="24"/>
        </w:rPr>
        <w:t>”</w:t>
      </w:r>
      <w:r>
        <w:rPr>
          <w:rFonts w:ascii="Times New Roman" w:hAnsi="Times New Roman"/>
          <w:sz w:val="24"/>
        </w:rPr>
        <w:t>）</w:t>
      </w:r>
    </w:p>
    <w:p w14:paraId="0ACF0B7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注册地址：福州市湖东路</w:t>
      </w:r>
      <w:r>
        <w:rPr>
          <w:rFonts w:ascii="Times New Roman" w:hAnsi="Times New Roman"/>
          <w:sz w:val="24"/>
        </w:rPr>
        <w:t>154</w:t>
      </w:r>
      <w:r>
        <w:rPr>
          <w:rFonts w:ascii="Times New Roman" w:hAnsi="Times New Roman"/>
          <w:sz w:val="24"/>
        </w:rPr>
        <w:t>号</w:t>
      </w:r>
    </w:p>
    <w:p w14:paraId="43F6B50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办公地址：上海市银城路</w:t>
      </w:r>
      <w:r>
        <w:rPr>
          <w:rFonts w:ascii="Times New Roman" w:hAnsi="Times New Roman"/>
          <w:sz w:val="24"/>
        </w:rPr>
        <w:t>167</w:t>
      </w:r>
      <w:r>
        <w:rPr>
          <w:rFonts w:ascii="Times New Roman" w:hAnsi="Times New Roman"/>
          <w:sz w:val="24"/>
        </w:rPr>
        <w:t>号</w:t>
      </w:r>
    </w:p>
    <w:p w14:paraId="6A8AE81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法定代表人：陶以平（代为履行法定代表人职权）</w:t>
      </w:r>
    </w:p>
    <w:p w14:paraId="6DF6967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1988</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22</w:t>
      </w:r>
      <w:r>
        <w:rPr>
          <w:rFonts w:ascii="Times New Roman" w:hAnsi="Times New Roman"/>
          <w:sz w:val="24"/>
        </w:rPr>
        <w:t>日</w:t>
      </w:r>
    </w:p>
    <w:p w14:paraId="27F64FF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207.74</w:t>
      </w:r>
      <w:r>
        <w:rPr>
          <w:rFonts w:ascii="Times New Roman" w:hAnsi="Times New Roman"/>
          <w:sz w:val="24"/>
        </w:rPr>
        <w:t>亿元人民币</w:t>
      </w:r>
    </w:p>
    <w:p w14:paraId="2F663AD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7FEC96A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基金托管资格批文及文号：中国证监会证监基金字</w:t>
      </w:r>
      <w:r>
        <w:rPr>
          <w:rFonts w:ascii="Times New Roman" w:hAnsi="Times New Roman"/>
          <w:sz w:val="24"/>
        </w:rPr>
        <w:t>[2005]74</w:t>
      </w:r>
      <w:r>
        <w:rPr>
          <w:rFonts w:ascii="Times New Roman" w:hAnsi="Times New Roman"/>
          <w:sz w:val="24"/>
        </w:rPr>
        <w:t>号</w:t>
      </w:r>
    </w:p>
    <w:p w14:paraId="325CA69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托管部门联系人：</w:t>
      </w:r>
      <w:r>
        <w:rPr>
          <w:rFonts w:ascii="Times New Roman" w:hAnsi="Times New Roman"/>
          <w:sz w:val="24"/>
        </w:rPr>
        <w:t xml:space="preserve"> </w:t>
      </w:r>
      <w:r>
        <w:rPr>
          <w:rFonts w:ascii="Times New Roman" w:hAnsi="Times New Roman"/>
          <w:sz w:val="24"/>
        </w:rPr>
        <w:t>吴玉婷</w:t>
      </w:r>
    </w:p>
    <w:p w14:paraId="276FB69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021-52629999</w:t>
      </w:r>
    </w:p>
    <w:p w14:paraId="03BB85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021-62159217</w:t>
      </w:r>
    </w:p>
    <w:p w14:paraId="4C027117"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（二）发展概况及财务状况</w:t>
      </w:r>
    </w:p>
    <w:p w14:paraId="14B9660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兴业银行成立于</w:t>
      </w:r>
      <w:r>
        <w:rPr>
          <w:rFonts w:ascii="Times New Roman" w:hAnsi="Times New Roman"/>
          <w:sz w:val="24"/>
        </w:rPr>
        <w:t>1988</w:t>
      </w:r>
      <w:r>
        <w:rPr>
          <w:rFonts w:ascii="Times New Roman" w:hAnsi="Times New Roman"/>
          <w:sz w:val="24"/>
        </w:rPr>
        <w:t>年</w:t>
      </w:r>
      <w:r>
        <w:rPr>
          <w:rFonts w:ascii="Times New Roman" w:hAnsi="Times New Roman"/>
          <w:sz w:val="24"/>
        </w:rPr>
        <w:t>8</w:t>
      </w:r>
      <w:r>
        <w:rPr>
          <w:rFonts w:ascii="Times New Roman" w:hAnsi="Times New Roman"/>
          <w:sz w:val="24"/>
        </w:rPr>
        <w:t>月，是经国务院、中国人民银行批准成立的首批股份制商业银行之一，总行设在福建省福州市，</w:t>
      </w:r>
      <w:r>
        <w:rPr>
          <w:rFonts w:ascii="Times New Roman" w:hAnsi="Times New Roman"/>
          <w:sz w:val="24"/>
        </w:rPr>
        <w:t>2007</w:t>
      </w:r>
      <w:r>
        <w:rPr>
          <w:rFonts w:ascii="Times New Roman" w:hAnsi="Times New Roman"/>
          <w:sz w:val="24"/>
        </w:rPr>
        <w:t>年</w:t>
      </w:r>
      <w:r>
        <w:rPr>
          <w:rFonts w:ascii="Times New Roman" w:hAnsi="Times New Roman"/>
          <w:sz w:val="24"/>
        </w:rPr>
        <w:t>2</w:t>
      </w:r>
      <w:r>
        <w:rPr>
          <w:rFonts w:ascii="Times New Roman" w:hAnsi="Times New Roman"/>
          <w:sz w:val="24"/>
        </w:rPr>
        <w:t>月</w:t>
      </w:r>
      <w:r>
        <w:rPr>
          <w:rFonts w:ascii="Times New Roman" w:hAnsi="Times New Roman"/>
          <w:sz w:val="24"/>
        </w:rPr>
        <w:t>5</w:t>
      </w:r>
      <w:r>
        <w:rPr>
          <w:rFonts w:ascii="Times New Roman" w:hAnsi="Times New Roman"/>
          <w:sz w:val="24"/>
        </w:rPr>
        <w:t>日正式在上海证券交易所挂牌上市（股票代码：</w:t>
      </w:r>
      <w:r>
        <w:rPr>
          <w:rFonts w:ascii="Times New Roman" w:hAnsi="Times New Roman"/>
          <w:sz w:val="24"/>
        </w:rPr>
        <w:t>601166</w:t>
      </w:r>
      <w:r>
        <w:rPr>
          <w:rFonts w:ascii="Times New Roman" w:hAnsi="Times New Roman"/>
          <w:sz w:val="24"/>
        </w:rPr>
        <w:t>），注册资本</w:t>
      </w:r>
      <w:r>
        <w:rPr>
          <w:rFonts w:ascii="Times New Roman" w:hAnsi="Times New Roman"/>
          <w:sz w:val="24"/>
        </w:rPr>
        <w:t>207.74</w:t>
      </w:r>
      <w:r>
        <w:rPr>
          <w:rFonts w:ascii="Times New Roman" w:hAnsi="Times New Roman"/>
          <w:sz w:val="24"/>
        </w:rPr>
        <w:t>亿元。</w:t>
      </w:r>
    </w:p>
    <w:p w14:paraId="278B2E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开业二十多年来，兴业银行始终坚持</w:t>
      </w:r>
      <w:r>
        <w:rPr>
          <w:rFonts w:ascii="Times New Roman" w:hAnsi="Times New Roman"/>
          <w:sz w:val="24"/>
        </w:rPr>
        <w:t>“</w:t>
      </w:r>
      <w:r>
        <w:rPr>
          <w:rFonts w:ascii="Times New Roman" w:hAnsi="Times New Roman"/>
          <w:sz w:val="24"/>
        </w:rPr>
        <w:t>真诚服务，相伴成长</w:t>
      </w:r>
      <w:r>
        <w:rPr>
          <w:rFonts w:ascii="Times New Roman" w:hAnsi="Times New Roman"/>
          <w:sz w:val="24"/>
        </w:rPr>
        <w:t>”</w:t>
      </w:r>
      <w:r>
        <w:rPr>
          <w:rFonts w:ascii="Times New Roman" w:hAnsi="Times New Roman"/>
          <w:sz w:val="24"/>
        </w:rPr>
        <w:t>的经营理念，致力于为客户提供全面、优质、高效的金融服务。截至</w:t>
      </w:r>
      <w:r>
        <w:rPr>
          <w:rFonts w:ascii="Times New Roman" w:hAnsi="Times New Roman"/>
          <w:sz w:val="24"/>
        </w:rPr>
        <w:t>2018</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日，兴业银行资产总额达</w:t>
      </w:r>
      <w:r>
        <w:rPr>
          <w:rFonts w:ascii="Times New Roman" w:hAnsi="Times New Roman"/>
          <w:sz w:val="24"/>
        </w:rPr>
        <w:t>6.71</w:t>
      </w:r>
      <w:r>
        <w:rPr>
          <w:rFonts w:ascii="Times New Roman" w:hAnsi="Times New Roman"/>
          <w:sz w:val="24"/>
        </w:rPr>
        <w:t>万亿元，实现营业收入</w:t>
      </w:r>
      <w:r>
        <w:rPr>
          <w:rFonts w:ascii="Times New Roman" w:hAnsi="Times New Roman"/>
          <w:sz w:val="24"/>
        </w:rPr>
        <w:t>1582.87</w:t>
      </w:r>
      <w:r>
        <w:rPr>
          <w:rFonts w:ascii="Times New Roman" w:hAnsi="Times New Roman"/>
          <w:sz w:val="24"/>
        </w:rPr>
        <w:t>亿元，全年实现归属于母公司股东的净利润</w:t>
      </w:r>
      <w:r>
        <w:rPr>
          <w:rFonts w:ascii="Times New Roman" w:hAnsi="Times New Roman"/>
          <w:sz w:val="24"/>
        </w:rPr>
        <w:t>606.20</w:t>
      </w:r>
      <w:r>
        <w:rPr>
          <w:rFonts w:ascii="Times New Roman" w:hAnsi="Times New Roman"/>
          <w:sz w:val="24"/>
        </w:rPr>
        <w:t>亿元。根据</w:t>
      </w:r>
      <w:r>
        <w:rPr>
          <w:rFonts w:ascii="Times New Roman" w:hAnsi="Times New Roman"/>
          <w:sz w:val="24"/>
        </w:rPr>
        <w:t>2017</w:t>
      </w:r>
      <w:r>
        <w:rPr>
          <w:rFonts w:ascii="Times New Roman" w:hAnsi="Times New Roman"/>
          <w:sz w:val="24"/>
        </w:rPr>
        <w:t>年英国《银行家》杂志</w:t>
      </w:r>
      <w:r>
        <w:rPr>
          <w:rFonts w:ascii="Times New Roman" w:hAnsi="Times New Roman"/>
          <w:sz w:val="24"/>
        </w:rPr>
        <w:t>“</w:t>
      </w:r>
      <w:r>
        <w:rPr>
          <w:rFonts w:ascii="Times New Roman" w:hAnsi="Times New Roman"/>
          <w:sz w:val="24"/>
        </w:rPr>
        <w:t>全球银行</w:t>
      </w:r>
      <w:r>
        <w:rPr>
          <w:rFonts w:ascii="Times New Roman" w:hAnsi="Times New Roman"/>
          <w:sz w:val="24"/>
        </w:rPr>
        <w:t>1000</w:t>
      </w:r>
      <w:r>
        <w:rPr>
          <w:rFonts w:ascii="Times New Roman" w:hAnsi="Times New Roman"/>
          <w:sz w:val="24"/>
        </w:rPr>
        <w:t>强</w:t>
      </w:r>
      <w:r>
        <w:rPr>
          <w:rFonts w:ascii="Times New Roman" w:hAnsi="Times New Roman"/>
          <w:sz w:val="24"/>
        </w:rPr>
        <w:t>”</w:t>
      </w:r>
      <w:r>
        <w:rPr>
          <w:rFonts w:ascii="Times New Roman" w:hAnsi="Times New Roman"/>
          <w:sz w:val="24"/>
        </w:rPr>
        <w:t>排名，兴业银行按一级资本排名第</w:t>
      </w:r>
      <w:r>
        <w:rPr>
          <w:rFonts w:ascii="Times New Roman" w:hAnsi="Times New Roman"/>
          <w:sz w:val="24"/>
        </w:rPr>
        <w:t>28</w:t>
      </w:r>
      <w:r>
        <w:rPr>
          <w:rFonts w:ascii="Times New Roman" w:hAnsi="Times New Roman"/>
          <w:sz w:val="24"/>
        </w:rPr>
        <w:t>位，按总资产排名第</w:t>
      </w:r>
      <w:r>
        <w:rPr>
          <w:rFonts w:ascii="Times New Roman" w:hAnsi="Times New Roman"/>
          <w:sz w:val="24"/>
        </w:rPr>
        <w:t>30</w:t>
      </w:r>
      <w:r>
        <w:rPr>
          <w:rFonts w:ascii="Times New Roman" w:hAnsi="Times New Roman"/>
          <w:sz w:val="24"/>
        </w:rPr>
        <w:t>位，跻身全球银行</w:t>
      </w:r>
      <w:r>
        <w:rPr>
          <w:rFonts w:ascii="Times New Roman" w:hAnsi="Times New Roman"/>
          <w:sz w:val="24"/>
        </w:rPr>
        <w:t>30</w:t>
      </w:r>
      <w:r>
        <w:rPr>
          <w:rFonts w:ascii="Times New Roman" w:hAnsi="Times New Roman"/>
          <w:sz w:val="24"/>
        </w:rPr>
        <w:t>强。按照美国《财富》杂志</w:t>
      </w:r>
      <w:r>
        <w:rPr>
          <w:rFonts w:ascii="Times New Roman" w:hAnsi="Times New Roman"/>
          <w:sz w:val="24"/>
        </w:rPr>
        <w:t>“</w:t>
      </w:r>
      <w:r>
        <w:rPr>
          <w:rFonts w:ascii="Times New Roman" w:hAnsi="Times New Roman"/>
          <w:sz w:val="24"/>
        </w:rPr>
        <w:t>世界</w:t>
      </w:r>
      <w:r>
        <w:rPr>
          <w:rFonts w:ascii="Times New Roman" w:hAnsi="Times New Roman"/>
          <w:sz w:val="24"/>
        </w:rPr>
        <w:t>500</w:t>
      </w:r>
      <w:r>
        <w:rPr>
          <w:rFonts w:ascii="Times New Roman" w:hAnsi="Times New Roman"/>
          <w:sz w:val="24"/>
        </w:rPr>
        <w:t>强</w:t>
      </w:r>
      <w:r>
        <w:rPr>
          <w:rFonts w:ascii="Times New Roman" w:hAnsi="Times New Roman"/>
          <w:sz w:val="24"/>
        </w:rPr>
        <w:t>”</w:t>
      </w:r>
      <w:r>
        <w:rPr>
          <w:rFonts w:ascii="Times New Roman" w:hAnsi="Times New Roman"/>
          <w:sz w:val="24"/>
        </w:rPr>
        <w:t>最新榜单，兴业银行以</w:t>
      </w:r>
      <w:r>
        <w:rPr>
          <w:rFonts w:ascii="Times New Roman" w:hAnsi="Times New Roman"/>
          <w:sz w:val="24"/>
        </w:rPr>
        <w:t>426.216</w:t>
      </w:r>
      <w:r>
        <w:rPr>
          <w:rFonts w:ascii="Times New Roman" w:hAnsi="Times New Roman"/>
          <w:sz w:val="24"/>
        </w:rPr>
        <w:t>亿美元总营收排名第</w:t>
      </w:r>
      <w:r>
        <w:rPr>
          <w:rFonts w:ascii="Times New Roman" w:hAnsi="Times New Roman"/>
          <w:sz w:val="24"/>
        </w:rPr>
        <w:t>230</w:t>
      </w:r>
      <w:r>
        <w:rPr>
          <w:rFonts w:ascii="Times New Roman" w:hAnsi="Times New Roman"/>
          <w:sz w:val="24"/>
        </w:rPr>
        <w:t>位。同时，过去一年在国内外权威机构组织的各项评比中，先后获得</w:t>
      </w:r>
      <w:r>
        <w:rPr>
          <w:rFonts w:ascii="Times New Roman" w:hAnsi="Times New Roman"/>
          <w:sz w:val="24"/>
        </w:rPr>
        <w:t>“</w:t>
      </w:r>
      <w:r>
        <w:rPr>
          <w:rFonts w:ascii="Times New Roman" w:hAnsi="Times New Roman"/>
          <w:sz w:val="24"/>
        </w:rPr>
        <w:t>亚洲卓越商业银行</w:t>
      </w:r>
      <w:r>
        <w:rPr>
          <w:rFonts w:ascii="Times New Roman" w:hAnsi="Times New Roman"/>
          <w:sz w:val="24"/>
        </w:rPr>
        <w:t>”“</w:t>
      </w:r>
      <w:r>
        <w:rPr>
          <w:rFonts w:ascii="Times New Roman" w:hAnsi="Times New Roman"/>
          <w:sz w:val="24"/>
        </w:rPr>
        <w:t>年度最佳股份制银行</w:t>
      </w:r>
      <w:r>
        <w:rPr>
          <w:rFonts w:ascii="Times New Roman" w:hAnsi="Times New Roman"/>
          <w:sz w:val="24"/>
        </w:rPr>
        <w:t>”“</w:t>
      </w:r>
      <w:r>
        <w:rPr>
          <w:rFonts w:ascii="Times New Roman" w:hAnsi="Times New Roman"/>
          <w:sz w:val="24"/>
        </w:rPr>
        <w:t>中国最受尊敬企业</w:t>
      </w:r>
      <w:r>
        <w:rPr>
          <w:rFonts w:ascii="Times New Roman" w:hAnsi="Times New Roman"/>
          <w:sz w:val="24"/>
        </w:rPr>
        <w:t>”</w:t>
      </w:r>
      <w:r>
        <w:rPr>
          <w:rFonts w:ascii="Times New Roman" w:hAnsi="Times New Roman"/>
          <w:sz w:val="24"/>
        </w:rPr>
        <w:t>等多项殊荣。</w:t>
      </w:r>
    </w:p>
    <w:p w14:paraId="218C3A70"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（三）托管业务部的部门设置及员工情况</w:t>
      </w:r>
    </w:p>
    <w:p w14:paraId="1BAA9C4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兴业银行股份有限公司总行设资产托管部，下设综合管理处、市场处、委托资产管理处、产品管理处、稽核监察处、运行管理处、养老金管理中心等处室，共有员工</w:t>
      </w:r>
      <w:r>
        <w:rPr>
          <w:rFonts w:ascii="Times New Roman" w:hAnsi="Times New Roman"/>
          <w:sz w:val="24"/>
        </w:rPr>
        <w:t>100</w:t>
      </w:r>
      <w:r>
        <w:rPr>
          <w:rFonts w:ascii="Times New Roman" w:hAnsi="Times New Roman"/>
          <w:sz w:val="24"/>
        </w:rPr>
        <w:t>余人，业务岗位人员均具有基金从业资格。</w:t>
      </w:r>
    </w:p>
    <w:p w14:paraId="7B391A9D"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（四）基金托管业务经营情况</w:t>
      </w:r>
    </w:p>
    <w:p w14:paraId="58BEF14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兴业银行股份有限公司于</w:t>
      </w:r>
      <w:r>
        <w:rPr>
          <w:rFonts w:ascii="Times New Roman" w:hAnsi="Times New Roman"/>
          <w:sz w:val="24"/>
        </w:rPr>
        <w:t>2005</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26</w:t>
      </w:r>
      <w:r>
        <w:rPr>
          <w:rFonts w:ascii="Times New Roman" w:hAnsi="Times New Roman"/>
          <w:sz w:val="24"/>
        </w:rPr>
        <w:t>日取得基金托管资格。基金托管业务批准文号：证监基金字</w:t>
      </w:r>
      <w:r>
        <w:rPr>
          <w:rFonts w:ascii="Times New Roman" w:hAnsi="Times New Roman"/>
          <w:sz w:val="24"/>
        </w:rPr>
        <w:t>[2005]74</w:t>
      </w:r>
      <w:r>
        <w:rPr>
          <w:rFonts w:ascii="Times New Roman" w:hAnsi="Times New Roman"/>
          <w:sz w:val="24"/>
        </w:rPr>
        <w:t>号。截至</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日，我行共托管证券投资基金</w:t>
      </w:r>
      <w:r>
        <w:rPr>
          <w:rFonts w:ascii="Times New Roman" w:hAnsi="Times New Roman"/>
          <w:sz w:val="24"/>
        </w:rPr>
        <w:t>315</w:t>
      </w:r>
      <w:r>
        <w:rPr>
          <w:rFonts w:ascii="Times New Roman" w:hAnsi="Times New Roman"/>
          <w:sz w:val="24"/>
        </w:rPr>
        <w:t>只，托管基金的基金资产净值合计</w:t>
      </w:r>
      <w:r>
        <w:rPr>
          <w:rFonts w:ascii="Times New Roman" w:hAnsi="Times New Roman"/>
          <w:sz w:val="24"/>
        </w:rPr>
        <w:t>13026.55</w:t>
      </w:r>
      <w:r>
        <w:rPr>
          <w:rFonts w:ascii="Times New Roman" w:hAnsi="Times New Roman"/>
          <w:sz w:val="24"/>
        </w:rPr>
        <w:t>亿元，基金份额合计</w:t>
      </w:r>
      <w:r>
        <w:rPr>
          <w:rFonts w:ascii="Times New Roman" w:hAnsi="Times New Roman"/>
          <w:sz w:val="24"/>
        </w:rPr>
        <w:t>12543.76</w:t>
      </w:r>
      <w:r>
        <w:rPr>
          <w:rFonts w:ascii="Times New Roman" w:hAnsi="Times New Roman"/>
          <w:sz w:val="24"/>
        </w:rPr>
        <w:t>亿份。</w:t>
      </w:r>
    </w:p>
    <w:p w14:paraId="303BB89E"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（五）基金托管人的内部风险控制制度说明</w:t>
      </w:r>
    </w:p>
    <w:p w14:paraId="7E264E3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14:paraId="1E93F63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2D5877A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、内部控制组织架构</w:t>
      </w:r>
    </w:p>
    <w:p w14:paraId="35F381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兴业银行基金托管业务内部风险控制组织结构由兴业银行审计部、资产托管部内设稽核监察处及资产托管部各业务处室共同组成。总行审计部对托管业务风险控制工作进行指导和监督；资产托管部内设独立、专职的稽核监察处，配备了专职内控监督人员负责托管业务的内控监督工作，具有独立行使监督稽核工作职权和能力。各业务处室在各自职责范围内实施具体的风险控制措施。</w:t>
      </w:r>
    </w:p>
    <w:p w14:paraId="59C10BA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、内部风险控制原则</w:t>
      </w:r>
    </w:p>
    <w:p w14:paraId="5DE7E8E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）全面性原则：风险控制必须覆盖基金托管部的所有处室和岗位，渗透各项业务过程和业务环节；风险控制责任应落实到每一业务部门和业务岗位，每位员工对自己岗位职责范围内的风险负责。</w:t>
      </w:r>
    </w:p>
    <w:p w14:paraId="24DF598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）独立性原则：资产托管部设立独立的稽核监察处，该处室保持高度的独立性和权威性，负责对托管业务风险控制工作进行指导和监督。</w:t>
      </w:r>
    </w:p>
    <w:p w14:paraId="2779BDC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）相互制约原则：各处室在内部组织结构的设计上要形成一种相互制约的机制，建立不同岗位之间的制衡体系。</w:t>
      </w:r>
    </w:p>
    <w:p w14:paraId="04721DD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）定性和定量相结合原则：建立完备的风险管理指标体系，使风险管理更具客观性和操作性。</w:t>
      </w:r>
    </w:p>
    <w:p w14:paraId="28EF6A7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）防火墙原则：托管部自身财务与基金财务严格分开；托管业务日常操作部门与行政、研发和营销等部门严格分离。</w:t>
      </w:r>
    </w:p>
    <w:p w14:paraId="03D43B4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有效性原则。内部控制体系同所处的环境相适应，以合理的成本实现内控目标，内部制度的制订应当具有前瞻性，并应当根据国家政策、法律及经营管理的需要，适时进行相应修改和完善；内部控制应当具有高度的权威性，任何人不得拥有不受内部控制约束的权力，内部控制存在的问题应当能够得到及时反馈和纠正；</w:t>
      </w:r>
    </w:p>
    <w:p w14:paraId="7FF23F9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7</w:t>
      </w:r>
      <w:r>
        <w:rPr>
          <w:rFonts w:ascii="Times New Roman" w:hAnsi="Times New Roman"/>
          <w:sz w:val="24"/>
        </w:rPr>
        <w:t>）审慎性原则。内控与风险管理必须以防范风险，审慎经营，保证托管资产的安全与完整为出发点；托管业务经营管理必须按照</w:t>
      </w:r>
      <w:r>
        <w:rPr>
          <w:rFonts w:ascii="Times New Roman" w:hAnsi="Times New Roman"/>
          <w:sz w:val="24"/>
        </w:rPr>
        <w:t>“</w:t>
      </w:r>
      <w:r>
        <w:rPr>
          <w:rFonts w:ascii="Times New Roman" w:hAnsi="Times New Roman"/>
          <w:sz w:val="24"/>
        </w:rPr>
        <w:t>内控优先</w:t>
      </w:r>
      <w:r>
        <w:rPr>
          <w:rFonts w:ascii="Times New Roman" w:hAnsi="Times New Roman"/>
          <w:sz w:val="24"/>
        </w:rPr>
        <w:t>”</w:t>
      </w:r>
      <w:r>
        <w:rPr>
          <w:rFonts w:ascii="Times New Roman" w:hAnsi="Times New Roman"/>
          <w:sz w:val="24"/>
        </w:rPr>
        <w:t>的原则，在新设机构或新增业务时，做到先期完成相关制度建设；</w:t>
      </w:r>
    </w:p>
    <w:p w14:paraId="0B7F9F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）责任追究原则。各业务环节都应有明确的责任人，并按规定对违反制度的直接责任人以及对负有领导责任的主管领导进行问责。</w:t>
      </w:r>
    </w:p>
    <w:p w14:paraId="3A08DC9B"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（六）内部控制制度及措施</w:t>
      </w:r>
    </w:p>
    <w:p w14:paraId="0103E67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、制度建设：建立了明确的岗位职责、科学的业务流程、详细的操作手册、严格的人员行为规范等一系列规章制度。</w:t>
      </w:r>
    </w:p>
    <w:p w14:paraId="0DAC8FD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、建立健全的组织管理结构：前后台分离，不同部门、岗位相互牵制。</w:t>
      </w:r>
    </w:p>
    <w:p w14:paraId="3016D83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、风险识别与评估：稽核监察处指导业务处室进行风险识别、评估，制定并实施风险控制措施。</w:t>
      </w:r>
    </w:p>
    <w:p w14:paraId="7771824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、相对独立的业务操作空间：业务操作区相对独立，实施门禁管理和音像监控。</w:t>
      </w:r>
    </w:p>
    <w:p w14:paraId="58A0644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、人员管理：进行定期的业务与职业道德培训，使员工树立风险防范与控制理念，并签订承诺书。</w:t>
      </w:r>
    </w:p>
    <w:p w14:paraId="1C34D98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、应急预案：制定完备的《应急预案》，并组织员工定期演练；建立异地灾备中心，保证业务不中断。</w:t>
      </w:r>
    </w:p>
    <w:p w14:paraId="3289FE0A"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（七）基金托管人对基金管理人运作基金进行监督的方法和程序</w:t>
      </w:r>
    </w:p>
    <w:p w14:paraId="72E391F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1F644DE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660DA3B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基金托管人发现基金管理人的指令违反法律、行政法规和其他有关规定，或者违反基金合同约定的，应当拒绝执行，立即通知基金管理人，并及时向中国证监会报告。</w:t>
      </w:r>
    </w:p>
    <w:p w14:paraId="344E3C3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基金托管人发现基金管理人依据交易程序已经生效的投资指令违反法律、行政法规和其他有关规定，或者违反基金合同约定的，应当立即通知基金管理人，并及时向中国证监会报告。</w:t>
      </w:r>
    </w:p>
    <w:p w14:paraId="386894D9"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F230946" w14:textId="77777777" w:rsidR="00DC3364" w:rsidRDefault="000F1A23">
      <w:pPr>
        <w:pStyle w:val="1"/>
        <w:snapToGrid w:val="0"/>
        <w:spacing w:beforeLines="0" w:before="240" w:after="240"/>
        <w:rPr>
          <w:rFonts w:ascii="宋体" w:hAnsi="宋体"/>
          <w:szCs w:val="30"/>
        </w:rPr>
      </w:pPr>
      <w:bookmarkStart w:id="8" w:name="_Toc69125803"/>
      <w:r>
        <w:rPr>
          <w:rFonts w:ascii="Times New Roman" w:hAnsi="Times New Roman"/>
          <w:sz w:val="30"/>
        </w:rPr>
        <w:lastRenderedPageBreak/>
        <w:t>五、相关服务机构</w:t>
      </w:r>
      <w:bookmarkEnd w:id="8"/>
    </w:p>
    <w:p w14:paraId="1E277E0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14:paraId="6C1988F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2AA9143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本基金直销机构为本公司直销柜台以及本公司的网上直销交易平台（网站及</w:t>
      </w:r>
      <w:r>
        <w:rPr>
          <w:rFonts w:ascii="Times New Roman" w:hAnsi="Times New Roman"/>
          <w:sz w:val="24"/>
        </w:rPr>
        <w:t>APP</w:t>
      </w:r>
      <w:r>
        <w:rPr>
          <w:rFonts w:ascii="Times New Roman" w:hAnsi="Times New Roman"/>
          <w:sz w:val="24"/>
        </w:rPr>
        <w:t>，下同）。</w:t>
      </w:r>
    </w:p>
    <w:p w14:paraId="33799F1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14:paraId="5BD9A4D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4795209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3F0F6CC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4DCD3C8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5596E06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182BAA7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5E37189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02B6C9F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396E1D2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506081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个人投资者可以通过基金管理人网上直销交易平台办理开户、本基金的申购、赎回、定期定额投资、转换等业务，具体交易细则请参阅基金管理人网站。</w:t>
      </w:r>
    </w:p>
    <w:p w14:paraId="2154649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 fund001.com</w:t>
      </w:r>
      <w:r>
        <w:rPr>
          <w:rFonts w:ascii="Times New Roman" w:hAnsi="Times New Roman"/>
          <w:sz w:val="24"/>
        </w:rPr>
        <w:t>。</w:t>
      </w:r>
    </w:p>
    <w:p w14:paraId="3DA4AA7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、代销机构</w:t>
      </w:r>
    </w:p>
    <w:p w14:paraId="712C390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）名称：交通银行股份有限公司</w:t>
      </w:r>
    </w:p>
    <w:p w14:paraId="489471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14:paraId="01E437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14:paraId="2B42E9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14:paraId="40F2682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2E93141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5B7566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14:paraId="41EA41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14:paraId="52E54E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14:paraId="420266F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）名称：平安银行股份有限公司</w:t>
      </w:r>
    </w:p>
    <w:p w14:paraId="7135B87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注册地址：深圳市罗湖区深南东路</w:t>
      </w:r>
      <w:r>
        <w:rPr>
          <w:rFonts w:ascii="Times New Roman" w:hAnsi="Times New Roman"/>
          <w:sz w:val="24"/>
        </w:rPr>
        <w:t>5047</w:t>
      </w:r>
      <w:r>
        <w:rPr>
          <w:rFonts w:ascii="Times New Roman" w:hAnsi="Times New Roman"/>
          <w:sz w:val="24"/>
        </w:rPr>
        <w:t>号</w:t>
      </w:r>
    </w:p>
    <w:p w14:paraId="34F3D00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办公地址：深圳市深南东路</w:t>
      </w:r>
      <w:r>
        <w:rPr>
          <w:rFonts w:ascii="Times New Roman" w:hAnsi="Times New Roman"/>
          <w:sz w:val="24"/>
        </w:rPr>
        <w:t>5047</w:t>
      </w:r>
      <w:r>
        <w:rPr>
          <w:rFonts w:ascii="Times New Roman" w:hAnsi="Times New Roman"/>
          <w:sz w:val="24"/>
        </w:rPr>
        <w:t>号</w:t>
      </w:r>
    </w:p>
    <w:p w14:paraId="087F978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法人代表：谢永林</w:t>
      </w:r>
    </w:p>
    <w:p w14:paraId="21E59FE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0755-22166574</w:t>
      </w:r>
    </w:p>
    <w:p w14:paraId="0133B2F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0755-82080406</w:t>
      </w:r>
    </w:p>
    <w:p w14:paraId="3766607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联系人：赵杨</w:t>
      </w:r>
    </w:p>
    <w:p w14:paraId="6D90675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95511-3</w:t>
      </w:r>
      <w:r>
        <w:rPr>
          <w:rFonts w:ascii="Times New Roman" w:hAnsi="Times New Roman"/>
          <w:sz w:val="24"/>
        </w:rPr>
        <w:t>或</w:t>
      </w:r>
      <w:r>
        <w:rPr>
          <w:rFonts w:ascii="Times New Roman" w:hAnsi="Times New Roman"/>
          <w:sz w:val="24"/>
        </w:rPr>
        <w:t>95501</w:t>
      </w:r>
    </w:p>
    <w:p w14:paraId="57D84D7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bank.pingan.com</w:t>
      </w:r>
    </w:p>
    <w:p w14:paraId="201FB8C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）名称：北京肯特瑞基金销售有限公司</w:t>
      </w:r>
    </w:p>
    <w:p w14:paraId="7BFF694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14:paraId="1076A63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14:paraId="32D3EC6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14:paraId="072092B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14:paraId="07A86C6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14:paraId="6352F4D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14:paraId="0088DFD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14:paraId="1E00D46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14:paraId="20E0AF2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）名称：上海基煜基金销售有限公司</w:t>
      </w:r>
    </w:p>
    <w:p w14:paraId="66AC8B0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14:paraId="045E668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14:paraId="3490C04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14:paraId="302E5A1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14:paraId="7D41D69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14:paraId="61D2B4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14:paraId="6B51418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14:paraId="274C328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www.jiyufund.com.cn</w:t>
      </w:r>
    </w:p>
    <w:p w14:paraId="313B7E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基金管理人可根据有关法律法规的要求，选择其它符合要求的机构销售本基金，并及时公告。</w:t>
      </w:r>
    </w:p>
    <w:p w14:paraId="5279479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（二）登记机构</w:t>
      </w:r>
    </w:p>
    <w:p w14:paraId="11BC312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14:paraId="7BB6F2C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348C599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0755D09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14:paraId="02302FC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0DA6005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34671C8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14:paraId="72BDAC7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14:paraId="718D8FF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14:paraId="5ED8EEF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43554E4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3AA8E8F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14:paraId="7CFEFAA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5CE333E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134B37B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联系人：丁媛</w:t>
      </w:r>
    </w:p>
    <w:p w14:paraId="47A4C7D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经办律师：黎明、丁媛</w:t>
      </w:r>
    </w:p>
    <w:p w14:paraId="17942A1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14:paraId="2A1FDF7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名称：普华永道中天会计师事务所（特殊普通合伙）</w:t>
      </w:r>
    </w:p>
    <w:p w14:paraId="23CDB98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507</w:t>
      </w:r>
      <w:r>
        <w:rPr>
          <w:rFonts w:ascii="Times New Roman" w:hAnsi="Times New Roman"/>
          <w:sz w:val="24"/>
        </w:rPr>
        <w:t>单元</w:t>
      </w:r>
      <w:r>
        <w:rPr>
          <w:rFonts w:ascii="Times New Roman" w:hAnsi="Times New Roman"/>
          <w:sz w:val="24"/>
        </w:rPr>
        <w:t>01</w:t>
      </w:r>
      <w:r>
        <w:rPr>
          <w:rFonts w:ascii="Times New Roman" w:hAnsi="Times New Roman"/>
          <w:sz w:val="24"/>
        </w:rPr>
        <w:t>室</w:t>
      </w:r>
    </w:p>
    <w:p w14:paraId="2652E7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办公地址：中国上海市黄浦区湖滨路</w:t>
      </w:r>
      <w:r>
        <w:rPr>
          <w:rFonts w:ascii="Times New Roman" w:hAnsi="Times New Roman"/>
          <w:sz w:val="24"/>
        </w:rPr>
        <w:t>202</w:t>
      </w:r>
      <w:r>
        <w:rPr>
          <w:rFonts w:ascii="Times New Roman" w:hAnsi="Times New Roman"/>
          <w:sz w:val="24"/>
        </w:rPr>
        <w:t>号领展企业广场二座普华永道中心</w:t>
      </w:r>
      <w:r>
        <w:rPr>
          <w:rFonts w:ascii="Times New Roman" w:hAnsi="Times New Roman"/>
          <w:sz w:val="24"/>
        </w:rPr>
        <w:t>11</w:t>
      </w:r>
      <w:r>
        <w:rPr>
          <w:rFonts w:ascii="Times New Roman" w:hAnsi="Times New Roman"/>
          <w:sz w:val="24"/>
        </w:rPr>
        <w:t>楼</w:t>
      </w:r>
    </w:p>
    <w:p w14:paraId="5587FE9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14:paraId="5D3E4EE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3A64E2C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4B5CF2B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联系人：金诗涛</w:t>
      </w:r>
    </w:p>
    <w:p w14:paraId="47D82B1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经办注册会计师：童咏静、金诗涛</w:t>
      </w:r>
    </w:p>
    <w:p w14:paraId="4AF95483"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A2C12E9" w14:textId="77777777" w:rsidR="00DC3364" w:rsidRDefault="000F1A23">
      <w:pPr>
        <w:pStyle w:val="1"/>
        <w:snapToGrid w:val="0"/>
        <w:spacing w:beforeLines="0" w:before="240" w:after="240"/>
        <w:rPr>
          <w:rFonts w:ascii="宋体" w:hAnsi="宋体"/>
          <w:szCs w:val="30"/>
        </w:rPr>
      </w:pPr>
      <w:bookmarkStart w:id="9" w:name="_Toc69125804"/>
      <w:r>
        <w:rPr>
          <w:rFonts w:ascii="Times New Roman" w:hAnsi="Times New Roman"/>
          <w:sz w:val="30"/>
        </w:rPr>
        <w:lastRenderedPageBreak/>
        <w:t>六、基金的募集</w:t>
      </w:r>
      <w:bookmarkEnd w:id="9"/>
    </w:p>
    <w:p w14:paraId="67DE4F0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本基金由基金管理人依照《基金法》、《运作办法》、《销售办法》、基金合同及其他有关规定，并经中国证监会</w:t>
      </w:r>
      <w:r>
        <w:rPr>
          <w:rFonts w:ascii="Times New Roman" w:hAnsi="Times New Roman"/>
          <w:sz w:val="24"/>
        </w:rPr>
        <w:t>2015</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w:t>
      </w:r>
      <w:r>
        <w:rPr>
          <w:rFonts w:ascii="Times New Roman" w:hAnsi="Times New Roman"/>
          <w:sz w:val="24"/>
        </w:rPr>
        <w:t>日证监许可</w:t>
      </w:r>
      <w:r>
        <w:rPr>
          <w:rFonts w:ascii="Times New Roman" w:hAnsi="Times New Roman"/>
          <w:sz w:val="24"/>
        </w:rPr>
        <w:t>[2015] 2792</w:t>
      </w:r>
      <w:r>
        <w:rPr>
          <w:rFonts w:ascii="Times New Roman" w:hAnsi="Times New Roman"/>
          <w:sz w:val="24"/>
        </w:rPr>
        <w:t>号文准予募集注册。</w:t>
      </w:r>
    </w:p>
    <w:p w14:paraId="5689DBD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本基金为契约型开放式债券型基金。基金存续期间为不定期。</w:t>
      </w:r>
    </w:p>
    <w:p w14:paraId="01C29D7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221FD57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2015</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16</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 xml:space="preserve"> 12</w:t>
      </w:r>
      <w:r>
        <w:rPr>
          <w:rFonts w:ascii="Times New Roman" w:hAnsi="Times New Roman"/>
          <w:sz w:val="24"/>
        </w:rPr>
        <w:t>月</w:t>
      </w:r>
      <w:r>
        <w:rPr>
          <w:rFonts w:ascii="Times New Roman" w:hAnsi="Times New Roman"/>
          <w:sz w:val="24"/>
        </w:rPr>
        <w:t>24</w:t>
      </w:r>
      <w:r>
        <w:rPr>
          <w:rFonts w:ascii="Times New Roman" w:hAnsi="Times New Roman"/>
          <w:sz w:val="24"/>
        </w:rPr>
        <w:t>日进行发售，本基金设立募集期共募集</w:t>
      </w:r>
      <w:r>
        <w:rPr>
          <w:rFonts w:ascii="Times New Roman" w:hAnsi="Times New Roman"/>
          <w:sz w:val="24"/>
        </w:rPr>
        <w:t>221,277,337.36</w:t>
      </w:r>
      <w:r>
        <w:rPr>
          <w:rFonts w:ascii="Times New Roman" w:hAnsi="Times New Roman"/>
          <w:sz w:val="24"/>
        </w:rPr>
        <w:t>份基金份额，有效认购户数为</w:t>
      </w:r>
      <w:r>
        <w:rPr>
          <w:rFonts w:ascii="Times New Roman" w:hAnsi="Times New Roman"/>
          <w:sz w:val="24"/>
        </w:rPr>
        <w:t>528</w:t>
      </w:r>
      <w:r>
        <w:rPr>
          <w:rFonts w:ascii="Times New Roman" w:hAnsi="Times New Roman"/>
          <w:sz w:val="24"/>
        </w:rPr>
        <w:t>户。</w:t>
      </w:r>
    </w:p>
    <w:p w14:paraId="3A4C2985"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E19927" w14:textId="77777777" w:rsidR="00DC3364" w:rsidRDefault="000F1A23">
      <w:pPr>
        <w:pStyle w:val="1"/>
        <w:snapToGrid w:val="0"/>
        <w:spacing w:beforeLines="0" w:before="240" w:after="240"/>
        <w:rPr>
          <w:rFonts w:ascii="宋体" w:hAnsi="宋体"/>
          <w:szCs w:val="30"/>
        </w:rPr>
      </w:pPr>
      <w:bookmarkStart w:id="10" w:name="_Toc69125805"/>
      <w:r>
        <w:rPr>
          <w:rFonts w:ascii="Times New Roman" w:hAnsi="Times New Roman"/>
          <w:sz w:val="30"/>
        </w:rPr>
        <w:lastRenderedPageBreak/>
        <w:t>七、基金合同的生效</w:t>
      </w:r>
      <w:bookmarkEnd w:id="10"/>
    </w:p>
    <w:p w14:paraId="67BD2BB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2015</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29</w:t>
      </w:r>
      <w:r>
        <w:rPr>
          <w:rFonts w:ascii="Times New Roman" w:hAnsi="Times New Roman"/>
          <w:sz w:val="24"/>
        </w:rPr>
        <w:t>日正式生效。自基金合同生效之日起，本基金管理人正式开始管理本基金。</w:t>
      </w:r>
    </w:p>
    <w:p w14:paraId="5F43987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《基金合同》生效后，连续二十个工作日基金份额持有人数量不满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万元的，基金管理人应当在定期报告中予以披露。连续五十个工作日出现基金份额持有人数量不满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万元情形的，基金管理人提前终止基金合同，不需召开基金份额持有人大会。</w:t>
      </w:r>
    </w:p>
    <w:p w14:paraId="3F3D37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法律法规另有规定时，从其规定。</w:t>
      </w:r>
    </w:p>
    <w:p w14:paraId="2A7D24D5"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DFADB05" w14:textId="77777777" w:rsidR="00DC3364" w:rsidRDefault="000F1A23">
      <w:pPr>
        <w:pStyle w:val="1"/>
        <w:snapToGrid w:val="0"/>
        <w:spacing w:beforeLines="0" w:before="240" w:after="240"/>
        <w:rPr>
          <w:rFonts w:ascii="宋体" w:hAnsi="宋体"/>
          <w:szCs w:val="30"/>
        </w:rPr>
      </w:pPr>
      <w:bookmarkStart w:id="11" w:name="_Toc69125806"/>
      <w:r>
        <w:rPr>
          <w:rFonts w:ascii="Times New Roman" w:hAnsi="Times New Roman"/>
          <w:sz w:val="30"/>
        </w:rPr>
        <w:lastRenderedPageBreak/>
        <w:t>八、基金份额的申购与赎回</w:t>
      </w:r>
      <w:bookmarkEnd w:id="11"/>
    </w:p>
    <w:p w14:paraId="3BB107EA"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14:paraId="11895F3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投资人可通过下述场所按照规定的方式进行申购或赎回：</w:t>
      </w:r>
    </w:p>
    <w:p w14:paraId="5E16BE8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、本基金管理人的直销机构</w:t>
      </w:r>
    </w:p>
    <w:p w14:paraId="29995E4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本基金直销机构为基金管理人以及基金管理人的网上直销交易平台。</w:t>
      </w:r>
    </w:p>
    <w:p w14:paraId="7BC2739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6DD9C26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56047D3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05450BB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44E01A3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64599D0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5CEAA7A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312DB64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41B5FBF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个人投资者可以通过基金管理人网上直销交易平台办理开户、本基金的申购、赎回、转换及定期定额投资等业务，具体交易细则请参阅基金管理人网站。网上直销交易平台网址：</w:t>
      </w:r>
      <w:r>
        <w:rPr>
          <w:rFonts w:ascii="Times New Roman" w:hAnsi="Times New Roman"/>
          <w:sz w:val="24"/>
        </w:rPr>
        <w:t>www.fund001.com</w:t>
      </w:r>
    </w:p>
    <w:p w14:paraId="7D8FDB1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、除基金管理人之外的其他销售机构</w:t>
      </w:r>
    </w:p>
    <w:p w14:paraId="12D5E41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本基金除基金管理人之外的其他销售机构参见本招募说明书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14:paraId="329B35D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076C845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若基金管理人或其指定的销售机构开通电话、传真或网上等交易方式，投资人可以通过上述方式进行申购与赎回。</w:t>
      </w:r>
    </w:p>
    <w:p w14:paraId="691EE42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14:paraId="6122F25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14:paraId="14B72B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204F7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若出现新的证券交易市场、证券交易所交易时间变更或其他特殊情况，基金管</w:t>
      </w:r>
      <w:r>
        <w:rPr>
          <w:rFonts w:ascii="Times New Roman" w:hAnsi="Times New Roman"/>
          <w:sz w:val="24"/>
        </w:rPr>
        <w:lastRenderedPageBreak/>
        <w:t>理人将视情况对前述开放日及开放时间进行相应的调整，但应在实施日前依照《信息披露办法》的有关规定在指定媒介上公告。</w:t>
      </w:r>
    </w:p>
    <w:p w14:paraId="23A8E9F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、申购、赎回开始日及业务办理时间</w:t>
      </w:r>
    </w:p>
    <w:p w14:paraId="2225580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2016</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26</w:t>
      </w:r>
      <w:r>
        <w:rPr>
          <w:rFonts w:ascii="Times New Roman" w:hAnsi="Times New Roman"/>
          <w:sz w:val="24"/>
        </w:rPr>
        <w:t>日起开放申购、赎回业务。</w:t>
      </w:r>
    </w:p>
    <w:p w14:paraId="0DAF5C4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1B734E02"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（三）申购与赎回的原则</w:t>
      </w:r>
    </w:p>
    <w:p w14:paraId="31846A2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14:paraId="3FE8782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14:paraId="5456A69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、当日的申购与赎回申请可以在基金管理人规定的时间以内撤销，但申请经登记机构受理的不得撤销；</w:t>
      </w:r>
    </w:p>
    <w:p w14:paraId="1B42E08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6FAD63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基金管理人可在法律法规允许的情况下，对上述原则进行调整。基金管理人必须在新规则开始实施前依照《信息披露办法》的有关规定在指定媒介上公告。</w:t>
      </w:r>
    </w:p>
    <w:p w14:paraId="69C77842"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14:paraId="245D5C6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14:paraId="2CAEF93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直销机构首次申购的最低金额为单笔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ascii="Times New Roman" w:hAnsi="Times New Roman"/>
          <w:sz w:val="24"/>
        </w:rPr>
        <w:t>1</w:t>
      </w:r>
      <w:r>
        <w:rPr>
          <w:rFonts w:ascii="Times New Roman" w:hAnsi="Times New Roman"/>
          <w:sz w:val="24"/>
        </w:rPr>
        <w:t>元。本基金直销机构单笔申购最低金额可由基金管理人酌情调整。其他销售机构接受申购申请的最低金额为单笔</w:t>
      </w:r>
      <w:r>
        <w:rPr>
          <w:rFonts w:ascii="Times New Roman" w:hAnsi="Times New Roman"/>
          <w:sz w:val="24"/>
        </w:rPr>
        <w:t>1</w:t>
      </w:r>
      <w:r>
        <w:rPr>
          <w:rFonts w:ascii="Times New Roman" w:hAnsi="Times New Roman"/>
          <w:sz w:val="24"/>
        </w:rPr>
        <w:t>元，如果销售机构业务规则规定的最低单笔申购金额高于</w:t>
      </w:r>
      <w:r>
        <w:rPr>
          <w:rFonts w:ascii="Times New Roman" w:hAnsi="Times New Roman"/>
          <w:sz w:val="24"/>
        </w:rPr>
        <w:t>1</w:t>
      </w:r>
      <w:r>
        <w:rPr>
          <w:rFonts w:ascii="Times New Roman" w:hAnsi="Times New Roman"/>
          <w:sz w:val="24"/>
        </w:rPr>
        <w:t>元，以销售机构的规定为准。</w:t>
      </w:r>
    </w:p>
    <w:p w14:paraId="4F9BA15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14:paraId="2089C2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赎回的最低份额为</w:t>
      </w:r>
      <w:r>
        <w:rPr>
          <w:rFonts w:ascii="Times New Roman" w:hAnsi="Times New Roman"/>
          <w:sz w:val="24"/>
        </w:rPr>
        <w:t>1</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w:t>
      </w:r>
    </w:p>
    <w:p w14:paraId="5FF87D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、最低保留余额的限制</w:t>
      </w:r>
    </w:p>
    <w:p w14:paraId="5AFEE34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每个工作日投资人在单个交易账户保留的本基金份额余额少于</w:t>
      </w:r>
      <w:r>
        <w:rPr>
          <w:rFonts w:ascii="Times New Roman" w:hAnsi="Times New Roman"/>
          <w:sz w:val="24"/>
        </w:rPr>
        <w:t>1</w:t>
      </w:r>
      <w:r>
        <w:rPr>
          <w:rFonts w:ascii="Times New Roman" w:hAnsi="Times New Roman"/>
          <w:sz w:val="24"/>
        </w:rPr>
        <w:t>份时，若当日该账户同时有基金份额减少类业务（如赎回、转换出等）被确认，则基金管理人有权将投资人在该账户保留的本基金份额一次性全部赎回。</w:t>
      </w:r>
    </w:p>
    <w:p w14:paraId="7F61473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51F727C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11BE1314"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14:paraId="43EE9D9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、申购和赎回的申请方式</w:t>
      </w:r>
    </w:p>
    <w:p w14:paraId="341F791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675A17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、申购和赎回的款项支付</w:t>
      </w:r>
    </w:p>
    <w:p w14:paraId="59C0A6A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投资人申购基金份额时，必须全额交付申购款项，若申购资金在规定时间内未全额到账则申购不成立。投资人全额交付申购款项，申购成立；登记机构确认基金份额时，申购生效。</w:t>
      </w:r>
    </w:p>
    <w:p w14:paraId="4EC62CA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投资人递交赎回申请，赎回成立；登记机构确认赎回时，赎回生效。投资人赎回申请成功后，基金管理人将在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日（包括该日）内支付赎回款项。在发生巨额赎回时，款项的支付办法参照基金合同有关条款处理。</w:t>
      </w:r>
    </w:p>
    <w:p w14:paraId="23AB262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、申购和赎回申请的确认</w:t>
      </w:r>
    </w:p>
    <w:p w14:paraId="77E2B3A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基金管理人或基金管理人委托的登记机构应以交易时间结束前受理有效申购和赎回申请的当天作为申购或赎回申请日（</w:t>
      </w:r>
      <w:r>
        <w:rPr>
          <w:rFonts w:ascii="Times New Roman" w:hAnsi="Times New Roman"/>
          <w:sz w:val="24"/>
        </w:rPr>
        <w:t>T</w:t>
      </w:r>
      <w:r>
        <w:rPr>
          <w:rFonts w:ascii="Times New Roman" w:hAnsi="Times New Roman"/>
          <w:sz w:val="24"/>
        </w:rPr>
        <w:t>日），在正常情况下，本基金登记机构在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w:t>
      </w:r>
      <w:r>
        <w:rPr>
          <w:rFonts w:ascii="Times New Roman" w:hAnsi="Times New Roman"/>
          <w:sz w:val="24"/>
        </w:rPr>
        <w:lastRenderedPageBreak/>
        <w:t>人应在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日后（包括该日）及时到销售网点柜台或以销售机构规定的其他方式查询申请的确认情况。若申购不成功，则申购款项退还给投资人。</w:t>
      </w:r>
    </w:p>
    <w:p w14:paraId="4F13DF1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基金管理人可在法律法规允许的范围内，依法对上述申购和赎回申请的确认时间进行调整，并必须在调整实施日前按照《信息披露办法》的有关规定在指定媒介上公告并报中国证监会备案。</w:t>
      </w:r>
    </w:p>
    <w:p w14:paraId="48618CA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15ED29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、申购和赎回的登记</w:t>
      </w:r>
    </w:p>
    <w:p w14:paraId="0DC0D8F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14:paraId="3A50893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日为投资人扣除权益并办理相应的登记手续。</w:t>
      </w:r>
    </w:p>
    <w:p w14:paraId="3EAC1A9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）基金管理人可在法律法规允许的范围内，对上述登记办理时间进行调整，并于开始实施前按照《信息披露办法》的有关规定在指定媒介上公告并报中国证监会备案。</w:t>
      </w:r>
    </w:p>
    <w:p w14:paraId="6B85852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（六）基金的申购费和赎回费</w:t>
      </w:r>
    </w:p>
    <w:p w14:paraId="7C52D32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、申购费用</w:t>
      </w:r>
    </w:p>
    <w:p w14:paraId="107B8E3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本基金基金份额分为</w:t>
      </w:r>
      <w:r>
        <w:rPr>
          <w:rFonts w:ascii="Times New Roman" w:hAnsi="Times New Roman"/>
          <w:sz w:val="24"/>
        </w:rPr>
        <w:t>A</w:t>
      </w:r>
      <w:r>
        <w:rPr>
          <w:rFonts w:ascii="Times New Roman" w:hAnsi="Times New Roman"/>
          <w:sz w:val="24"/>
        </w:rPr>
        <w:t>类和</w:t>
      </w:r>
      <w:r>
        <w:rPr>
          <w:rFonts w:ascii="Times New Roman" w:hAnsi="Times New Roman"/>
          <w:sz w:val="24"/>
        </w:rPr>
        <w:t>C</w:t>
      </w:r>
      <w:r>
        <w:rPr>
          <w:rFonts w:ascii="Times New Roman" w:hAnsi="Times New Roman"/>
          <w:sz w:val="24"/>
        </w:rPr>
        <w:t>类基金份额。投资人申购</w:t>
      </w:r>
      <w:r>
        <w:rPr>
          <w:rFonts w:ascii="Times New Roman" w:hAnsi="Times New Roman"/>
          <w:sz w:val="24"/>
        </w:rPr>
        <w:t>A</w:t>
      </w:r>
      <w:r>
        <w:rPr>
          <w:rFonts w:ascii="Times New Roman" w:hAnsi="Times New Roman"/>
          <w:sz w:val="24"/>
        </w:rPr>
        <w:t>类基金份额在申购时支付申购费用，申购</w:t>
      </w:r>
      <w:r>
        <w:rPr>
          <w:rFonts w:ascii="Times New Roman" w:hAnsi="Times New Roman"/>
          <w:sz w:val="24"/>
        </w:rPr>
        <w:t>C</w:t>
      </w:r>
      <w:r>
        <w:rPr>
          <w:rFonts w:ascii="Times New Roman" w:hAnsi="Times New Roman"/>
          <w:sz w:val="24"/>
        </w:rPr>
        <w:t>类基金份额不支付申购费用，而是从该类别基金资产中计提销售服务费。</w:t>
      </w:r>
    </w:p>
    <w:p w14:paraId="6F0B57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类基金份额的申购费用由</w:t>
      </w:r>
      <w:r>
        <w:rPr>
          <w:rFonts w:ascii="Times New Roman" w:hAnsi="Times New Roman"/>
          <w:sz w:val="24"/>
        </w:rPr>
        <w:t>A</w:t>
      </w:r>
      <w:r>
        <w:rPr>
          <w:rFonts w:ascii="Times New Roman" w:hAnsi="Times New Roman"/>
          <w:sz w:val="24"/>
        </w:rPr>
        <w:t>类基金份额申购人承担，不列入基金财产，主要用于本基金的市场推广、销售、登记结算等各项费用。</w:t>
      </w:r>
    </w:p>
    <w:p w14:paraId="212E77B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投资人可以多次申购本基金，申购费用按每笔申购申请单独计算。</w:t>
      </w:r>
    </w:p>
    <w:p w14:paraId="0EB2627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C3364" w14:paraId="40175000"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C79678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08853ACD"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7A2D8A15"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C3364" w14:paraId="00D859D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964D9F4"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D0A4A3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ECD30DC"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DC3364" w14:paraId="069EBD8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6FA5E00"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DF4ECE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8307900"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DC3364" w14:paraId="607156F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2D9DDA8"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B1921F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E37DEF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C3364" w14:paraId="0C61A61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722F6A8"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35D879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62674F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DC3364" w14:paraId="39161F6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92D4D9F"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A07860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0DACCBE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0C0644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持有</w:t>
      </w:r>
      <w:r>
        <w:rPr>
          <w:rFonts w:ascii="Times New Roman" w:hAnsi="Times New Roman"/>
          <w:sz w:val="24"/>
        </w:rPr>
        <w:t>A</w:t>
      </w:r>
      <w:r>
        <w:rPr>
          <w:rFonts w:ascii="Times New Roman" w:hAnsi="Times New Roman"/>
          <w:sz w:val="24"/>
        </w:rPr>
        <w:t>类基金份额的投资人因红利自动再投资而产生的</w:t>
      </w:r>
      <w:r>
        <w:rPr>
          <w:rFonts w:ascii="Times New Roman" w:hAnsi="Times New Roman"/>
          <w:sz w:val="24"/>
        </w:rPr>
        <w:t>A</w:t>
      </w:r>
      <w:r>
        <w:rPr>
          <w:rFonts w:ascii="Times New Roman" w:hAnsi="Times New Roman"/>
          <w:sz w:val="24"/>
        </w:rPr>
        <w:t>类基金份额，不收取相应的申购费用。</w:t>
      </w:r>
    </w:p>
    <w:p w14:paraId="0FD3BC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本基金对通过基金管理人直销柜台申购</w:t>
      </w:r>
      <w:r>
        <w:rPr>
          <w:rFonts w:ascii="Times New Roman" w:hAnsi="Times New Roman"/>
          <w:sz w:val="24"/>
        </w:rPr>
        <w:t>A</w:t>
      </w:r>
      <w:r>
        <w:rPr>
          <w:rFonts w:ascii="Times New Roman" w:hAnsi="Times New Roman"/>
          <w:sz w:val="24"/>
        </w:rPr>
        <w:t>类基金份额的养老金客户实施特定申购费率。</w:t>
      </w:r>
    </w:p>
    <w:p w14:paraId="48FEE97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764FC17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通过基金管理人直销柜台申购本基金</w:t>
      </w:r>
      <w:r>
        <w:rPr>
          <w:rFonts w:ascii="Times New Roman" w:hAnsi="Times New Roman"/>
          <w:sz w:val="24"/>
        </w:rPr>
        <w:t>A</w:t>
      </w:r>
      <w:r>
        <w:rPr>
          <w:rFonts w:ascii="Times New Roman" w:hAnsi="Times New Roman"/>
          <w:sz w:val="24"/>
        </w:rPr>
        <w:t>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DC3364" w14:paraId="070729C8"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CBDCB6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4830C18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117D17CF"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C3364" w14:paraId="5D7E27C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8DA9F5E"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20BE7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213731CC"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DC3364" w14:paraId="2F49EA9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BC95190"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54AF1B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72771EA"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DC3364" w14:paraId="28DB0D9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1B94865"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C1B249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85826F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DC3364" w14:paraId="348890E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6A66254"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8171AF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9733A1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DC3364" w14:paraId="782EA01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62C7E48"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3F5741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1A743C0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FBFA4B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61FA42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）通过本基金管理人直销柜台办理本基金</w:t>
      </w:r>
      <w:r>
        <w:rPr>
          <w:rFonts w:ascii="Times New Roman" w:hAnsi="Times New Roman"/>
          <w:sz w:val="24"/>
        </w:rPr>
        <w:t>A</w:t>
      </w:r>
      <w:r>
        <w:rPr>
          <w:rFonts w:ascii="Times New Roman" w:hAnsi="Times New Roman"/>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6EA310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）通过本基金管理人网上直销交易平台办理本基金</w:t>
      </w:r>
      <w:r>
        <w:rPr>
          <w:rFonts w:ascii="Times New Roman" w:hAnsi="Times New Roman"/>
          <w:sz w:val="24"/>
        </w:rPr>
        <w:t>A</w:t>
      </w:r>
      <w:r>
        <w:rPr>
          <w:rFonts w:ascii="Times New Roman" w:hAnsi="Times New Roman"/>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4168D6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6E01917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本基金管理人可根据业务情况调整上述交易费用和限额要求，并依据相关法规的要求提前进行公告。</w:t>
      </w:r>
    </w:p>
    <w:p w14:paraId="4D35F5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、赎回费用</w:t>
      </w:r>
    </w:p>
    <w:p w14:paraId="2A2060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投资者赎回基金份额收取赎回费用，该费用随基金份额的持有时间递减。本基金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类基金份额的赎回费用由该类基金份额赎回人承担，赎回费总额的</w:t>
      </w:r>
      <w:r>
        <w:rPr>
          <w:rFonts w:ascii="Times New Roman" w:hAnsi="Times New Roman"/>
          <w:sz w:val="24"/>
        </w:rPr>
        <w:t>25%</w:t>
      </w:r>
      <w:r>
        <w:rPr>
          <w:rFonts w:ascii="Times New Roman" w:hAnsi="Times New Roman"/>
          <w:sz w:val="24"/>
        </w:rPr>
        <w:t>应归基金财产，其余用于支付登记费和其他必要的手续费。其中，对持续持有期少于</w:t>
      </w:r>
      <w:r>
        <w:rPr>
          <w:rFonts w:ascii="Times New Roman" w:hAnsi="Times New Roman"/>
          <w:sz w:val="24"/>
        </w:rPr>
        <w:t>7</w:t>
      </w:r>
      <w:r>
        <w:rPr>
          <w:rFonts w:ascii="Times New Roman" w:hAnsi="Times New Roman"/>
          <w:sz w:val="24"/>
        </w:rPr>
        <w:t>日的基金份额持有人收取不低于</w:t>
      </w:r>
      <w:r>
        <w:rPr>
          <w:rFonts w:ascii="Times New Roman" w:hAnsi="Times New Roman"/>
          <w:sz w:val="24"/>
        </w:rPr>
        <w:t>1.5%</w:t>
      </w:r>
      <w:r>
        <w:rPr>
          <w:rFonts w:ascii="Times New Roman" w:hAnsi="Times New Roman"/>
          <w:sz w:val="24"/>
        </w:rPr>
        <w:t>的赎回费并全额计入基金财产。</w:t>
      </w:r>
    </w:p>
    <w:p w14:paraId="3733FA3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C3364" w14:paraId="15F795ED"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0138CDD"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690FD58C"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1F803ED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DC3364" w14:paraId="21E3024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63F5414" w14:textId="77777777" w:rsidR="00DC3364" w:rsidRDefault="00DC336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68958D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6E21CDD9"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C3364" w14:paraId="364B471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CDC4993" w14:textId="77777777" w:rsidR="00DC3364" w:rsidRDefault="00DC336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9FF3AB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F7C1555"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DC3364" w14:paraId="18F4562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0F2A502" w14:textId="77777777" w:rsidR="00DC3364" w:rsidRDefault="00DC336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7B0EFE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59F14BC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09ACA1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C</w:t>
      </w:r>
      <w:r>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C3364" w14:paraId="7C0C534F"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D48F5ED"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30F903D"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371D59D7"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DC3364" w14:paraId="22862D7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FE50577" w14:textId="77777777" w:rsidR="00DC3364" w:rsidRDefault="00DC336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00FAB8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44343947"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C3364" w14:paraId="5A28C67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08AEB73" w14:textId="77777777" w:rsidR="00DC3364" w:rsidRDefault="00DC336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C775D9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4A4F2AC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6953C46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、基金管理人可以在基金合同约定的范围内调整费率或收费方式，并最迟应于新的费率或收费方式实施日前依照《信息披露办法》的有关规定在指定媒介上公告。</w:t>
      </w:r>
    </w:p>
    <w:p w14:paraId="4DA3CF6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058B701"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（七）申购和赎回的数额和价格</w:t>
      </w:r>
    </w:p>
    <w:p w14:paraId="06715C4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14:paraId="45ED20F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）申购的有效份额为净申购金额除以当日的基金份额净值，有效份额单位为份，申购份额计算结果按四舍五入方法，保留到小数点后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3516D7D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）赎回金额为按实际确认的有效赎回份额乘以当日基金份额净值并扣除相应的费用（如有），赎回金额单位为元。赎回金额计算结果按四舍五入方法，保留到小数点后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4863DFD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、申购份额的计算</w:t>
      </w:r>
    </w:p>
    <w:p w14:paraId="3A905CC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类基金份额的申购</w:t>
      </w:r>
    </w:p>
    <w:p w14:paraId="4F4343C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628C508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3BFA5B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（注：对于适用固定金额申购费用的申购，净申购金额＝申购总金额－固定申购费用金额）</w:t>
      </w:r>
    </w:p>
    <w:p w14:paraId="0E9265A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21517C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（注：对于适用固定金额申购费用的申购，申购费用＝固定申购费用金额）</w:t>
      </w:r>
    </w:p>
    <w:p w14:paraId="4E2A97A1" w14:textId="6AC93A2D" w:rsidR="00DC3364" w:rsidRDefault="000F1A23">
      <w:pPr>
        <w:autoSpaceDE w:val="0"/>
        <w:autoSpaceDN w:val="0"/>
        <w:adjustRightInd w:val="0"/>
        <w:snapToGrid w:val="0"/>
        <w:spacing w:line="360" w:lineRule="auto"/>
        <w:ind w:firstLineChars="200" w:firstLine="420"/>
        <w:rPr>
          <w:rFonts w:ascii="宋体" w:hAnsi="宋体"/>
          <w:szCs w:val="24"/>
        </w:rPr>
      </w:pPr>
      <w:r w:rsidRPr="00BB248E">
        <w:rPr>
          <w:rFonts w:ascii="宋体" w:hAnsi="宋体" w:hint="eastAsia"/>
          <w:szCs w:val="24"/>
        </w:rPr>
        <w:t>申购份额=</w:t>
      </w:r>
      <w:r w:rsidR="001818F3">
        <w:rPr>
          <w:rFonts w:ascii="宋体" w:hAnsi="宋体"/>
          <w:noProof/>
          <w:kern w:val="0"/>
          <w:sz w:val="24"/>
        </w:rPr>
        <w:drawing>
          <wp:inline distT="0" distB="0" distL="0" distR="0" wp14:anchorId="20DB71BD" wp14:editId="2440F379">
            <wp:extent cx="1514475" cy="417195"/>
            <wp:effectExtent l="0" t="0" r="9525" b="1905"/>
            <wp:docPr id="9"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417195"/>
                    </a:xfrm>
                    <a:prstGeom prst="rect">
                      <a:avLst/>
                    </a:prstGeom>
                    <a:noFill/>
                    <a:ln>
                      <a:noFill/>
                    </a:ln>
                  </pic:spPr>
                </pic:pic>
              </a:graphicData>
            </a:graphic>
          </wp:inline>
        </w:drawing>
      </w:r>
    </w:p>
    <w:p w14:paraId="5307CDD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例一：某投资者（非养老金客户）投资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0.8%</w:t>
      </w:r>
      <w:r>
        <w:rPr>
          <w:rFonts w:ascii="Times New Roman" w:hAnsi="Times New Roman"/>
          <w:sz w:val="24"/>
        </w:rPr>
        <w:t>，则其可得到的申购份额为：</w:t>
      </w:r>
    </w:p>
    <w:p w14:paraId="6D7056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14:paraId="09A4B2C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=99,206.35</w:t>
      </w:r>
      <w:r>
        <w:rPr>
          <w:rFonts w:ascii="Times New Roman" w:hAnsi="Times New Roman"/>
          <w:sz w:val="24"/>
        </w:rPr>
        <w:t>元</w:t>
      </w:r>
    </w:p>
    <w:p w14:paraId="0E6AB20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=100,000-99,206.35=793.65</w:t>
      </w:r>
      <w:r>
        <w:rPr>
          <w:rFonts w:ascii="Times New Roman" w:hAnsi="Times New Roman"/>
          <w:sz w:val="24"/>
        </w:rPr>
        <w:t>元</w:t>
      </w:r>
    </w:p>
    <w:p w14:paraId="2E3D034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100,000-793.65</w:t>
      </w:r>
      <w:r>
        <w:rPr>
          <w:rFonts w:ascii="Times New Roman" w:hAnsi="Times New Roman"/>
          <w:sz w:val="24"/>
        </w:rPr>
        <w:t>）</w:t>
      </w:r>
      <w:r>
        <w:rPr>
          <w:rFonts w:ascii="Times New Roman" w:hAnsi="Times New Roman"/>
          <w:sz w:val="24"/>
        </w:rPr>
        <w:t>/1.0400=95,390.72</w:t>
      </w:r>
      <w:r>
        <w:rPr>
          <w:rFonts w:ascii="Times New Roman" w:hAnsi="Times New Roman"/>
          <w:sz w:val="24"/>
        </w:rPr>
        <w:t>份</w:t>
      </w:r>
    </w:p>
    <w:p w14:paraId="75B26B0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即：某投资者（非养老金客户）投资</w:t>
      </w:r>
      <w:r>
        <w:rPr>
          <w:rFonts w:ascii="Times New Roman" w:hAnsi="Times New Roman"/>
          <w:sz w:val="24"/>
        </w:rPr>
        <w:t>100,000</w:t>
      </w:r>
      <w:r>
        <w:rPr>
          <w:rFonts w:ascii="Times New Roman" w:hAnsi="Times New Roman"/>
          <w:sz w:val="24"/>
        </w:rPr>
        <w:t>元申购本基金，假设申购当日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元，如果其选择申购</w:t>
      </w:r>
      <w:r>
        <w:rPr>
          <w:rFonts w:ascii="Times New Roman" w:hAnsi="Times New Roman"/>
          <w:sz w:val="24"/>
        </w:rPr>
        <w:t>A</w:t>
      </w:r>
      <w:r>
        <w:rPr>
          <w:rFonts w:ascii="Times New Roman" w:hAnsi="Times New Roman"/>
          <w:sz w:val="24"/>
        </w:rPr>
        <w:t>类基金份额，则其可得到</w:t>
      </w:r>
      <w:r>
        <w:rPr>
          <w:rFonts w:ascii="Times New Roman" w:hAnsi="Times New Roman"/>
          <w:sz w:val="24"/>
        </w:rPr>
        <w:t>95,390.72</w:t>
      </w:r>
      <w:r>
        <w:rPr>
          <w:rFonts w:ascii="Times New Roman" w:hAnsi="Times New Roman"/>
          <w:sz w:val="24"/>
        </w:rPr>
        <w:t>份基金份额。</w:t>
      </w:r>
    </w:p>
    <w:p w14:paraId="58C05E3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例二：某养老金客户投资</w:t>
      </w:r>
      <w:r>
        <w:rPr>
          <w:rFonts w:ascii="Times New Roman" w:hAnsi="Times New Roman"/>
          <w:sz w:val="24"/>
        </w:rPr>
        <w:t>100,000</w:t>
      </w:r>
      <w:r>
        <w:rPr>
          <w:rFonts w:ascii="Times New Roman" w:hAnsi="Times New Roman"/>
          <w:sz w:val="24"/>
        </w:rPr>
        <w:t>元通过基金管理人的直销柜台申购本基金的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0.32%</w:t>
      </w:r>
      <w:r>
        <w:rPr>
          <w:rFonts w:ascii="Times New Roman" w:hAnsi="Times New Roman"/>
          <w:sz w:val="24"/>
        </w:rPr>
        <w:t>，则其可得到的申购份额为：</w:t>
      </w:r>
    </w:p>
    <w:p w14:paraId="66EAE4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14:paraId="5C4D0D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1+0.32%</w:t>
      </w:r>
      <w:r>
        <w:rPr>
          <w:rFonts w:ascii="Times New Roman" w:hAnsi="Times New Roman"/>
          <w:sz w:val="24"/>
        </w:rPr>
        <w:t>）</w:t>
      </w:r>
      <w:r>
        <w:rPr>
          <w:rFonts w:ascii="Times New Roman" w:hAnsi="Times New Roman"/>
          <w:sz w:val="24"/>
        </w:rPr>
        <w:t>=99,681.02</w:t>
      </w:r>
      <w:r>
        <w:rPr>
          <w:rFonts w:ascii="Times New Roman" w:hAnsi="Times New Roman"/>
          <w:sz w:val="24"/>
        </w:rPr>
        <w:t>元</w:t>
      </w:r>
    </w:p>
    <w:p w14:paraId="12FD131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=100,000-99,681.02=318.98</w:t>
      </w:r>
      <w:r>
        <w:rPr>
          <w:rFonts w:ascii="Times New Roman" w:hAnsi="Times New Roman"/>
          <w:sz w:val="24"/>
        </w:rPr>
        <w:t>元</w:t>
      </w:r>
    </w:p>
    <w:p w14:paraId="11D20F0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100,000-318.98</w:t>
      </w:r>
      <w:r>
        <w:rPr>
          <w:rFonts w:ascii="Times New Roman" w:hAnsi="Times New Roman"/>
          <w:sz w:val="24"/>
        </w:rPr>
        <w:t>）</w:t>
      </w:r>
      <w:r>
        <w:rPr>
          <w:rFonts w:ascii="Times New Roman" w:hAnsi="Times New Roman"/>
          <w:sz w:val="24"/>
        </w:rPr>
        <w:t>/1.0400=95,847.13</w:t>
      </w:r>
      <w:r>
        <w:rPr>
          <w:rFonts w:ascii="Times New Roman" w:hAnsi="Times New Roman"/>
          <w:sz w:val="24"/>
        </w:rPr>
        <w:t>份</w:t>
      </w:r>
    </w:p>
    <w:p w14:paraId="429675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即：该养老金客户投资</w:t>
      </w:r>
      <w:r>
        <w:rPr>
          <w:rFonts w:ascii="Times New Roman" w:hAnsi="Times New Roman"/>
          <w:sz w:val="24"/>
        </w:rPr>
        <w:t>100,000</w:t>
      </w:r>
      <w:r>
        <w:rPr>
          <w:rFonts w:ascii="Times New Roman" w:hAnsi="Times New Roman"/>
          <w:sz w:val="24"/>
        </w:rPr>
        <w:t>元通过基金管理人的直销柜台申购本基金的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95,847.13</w:t>
      </w:r>
      <w:r>
        <w:rPr>
          <w:rFonts w:ascii="Times New Roman" w:hAnsi="Times New Roman"/>
          <w:sz w:val="24"/>
        </w:rPr>
        <w:t>份</w:t>
      </w:r>
      <w:r>
        <w:rPr>
          <w:rFonts w:ascii="Times New Roman" w:hAnsi="Times New Roman"/>
          <w:sz w:val="24"/>
        </w:rPr>
        <w:t>A</w:t>
      </w:r>
      <w:r>
        <w:rPr>
          <w:rFonts w:ascii="Times New Roman" w:hAnsi="Times New Roman"/>
          <w:sz w:val="24"/>
        </w:rPr>
        <w:t>类基金份额。</w:t>
      </w:r>
    </w:p>
    <w:p w14:paraId="211EDF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w:t>
      </w:r>
      <w:r>
        <w:rPr>
          <w:rFonts w:ascii="Times New Roman" w:hAnsi="Times New Roman"/>
          <w:sz w:val="24"/>
        </w:rPr>
        <w:t>C</w:t>
      </w:r>
      <w:r>
        <w:rPr>
          <w:rFonts w:ascii="Times New Roman" w:hAnsi="Times New Roman"/>
          <w:sz w:val="24"/>
        </w:rPr>
        <w:t>类基金份额的申购</w:t>
      </w:r>
    </w:p>
    <w:p w14:paraId="3881F9A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如果投资者选择申购</w:t>
      </w:r>
      <w:r>
        <w:rPr>
          <w:rFonts w:ascii="Times New Roman" w:hAnsi="Times New Roman"/>
          <w:sz w:val="24"/>
        </w:rPr>
        <w:t>C</w:t>
      </w:r>
      <w:r>
        <w:rPr>
          <w:rFonts w:ascii="Times New Roman" w:hAnsi="Times New Roman"/>
          <w:sz w:val="24"/>
        </w:rPr>
        <w:t>类基金份额，则申购份额的计算方法如下：</w:t>
      </w:r>
    </w:p>
    <w:p w14:paraId="6D52E14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1F99D6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p>
    <w:p w14:paraId="6BC61D9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元，则其可得到的申购份额为：</w:t>
      </w:r>
    </w:p>
    <w:p w14:paraId="2A6A6C8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100,000/1.0400</w:t>
      </w:r>
      <w:r>
        <w:rPr>
          <w:rFonts w:ascii="Times New Roman" w:hAnsi="Times New Roman"/>
          <w:sz w:val="24"/>
        </w:rPr>
        <w:t>＝</w:t>
      </w:r>
      <w:r>
        <w:rPr>
          <w:rFonts w:ascii="Times New Roman" w:hAnsi="Times New Roman"/>
          <w:sz w:val="24"/>
        </w:rPr>
        <w:t>96,153.85</w:t>
      </w:r>
      <w:r>
        <w:rPr>
          <w:rFonts w:ascii="Times New Roman" w:hAnsi="Times New Roman"/>
          <w:sz w:val="24"/>
        </w:rPr>
        <w:t>份</w:t>
      </w:r>
    </w:p>
    <w:p w14:paraId="4FD2008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96,153.85</w:t>
      </w:r>
      <w:r>
        <w:rPr>
          <w:rFonts w:ascii="Times New Roman" w:hAnsi="Times New Roman"/>
          <w:sz w:val="24"/>
        </w:rPr>
        <w:t>份</w:t>
      </w:r>
      <w:r>
        <w:rPr>
          <w:rFonts w:ascii="Times New Roman" w:hAnsi="Times New Roman"/>
          <w:sz w:val="24"/>
        </w:rPr>
        <w:t>C</w:t>
      </w:r>
      <w:r>
        <w:rPr>
          <w:rFonts w:ascii="Times New Roman" w:hAnsi="Times New Roman"/>
          <w:sz w:val="24"/>
        </w:rPr>
        <w:t>类基金份额。</w:t>
      </w:r>
    </w:p>
    <w:p w14:paraId="466C4A6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、赎回金额的计算</w:t>
      </w:r>
    </w:p>
    <w:p w14:paraId="436F7D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赎回金额为按实际确认的有效赎回份额乘以当日基金份额净值并扣除相应的费用，赎回金额单位为元，计算结果保留到小数点后两位，第三位四舍五入，由此产生的收益或损失由基金财产承担。</w:t>
      </w:r>
    </w:p>
    <w:p w14:paraId="272F86A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类基金份额的赎回</w:t>
      </w:r>
    </w:p>
    <w:p w14:paraId="654D69A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如果投资者赎回</w:t>
      </w:r>
      <w:r>
        <w:rPr>
          <w:rFonts w:ascii="Times New Roman" w:hAnsi="Times New Roman"/>
          <w:sz w:val="24"/>
        </w:rPr>
        <w:t>A</w:t>
      </w:r>
      <w:r>
        <w:rPr>
          <w:rFonts w:ascii="Times New Roman" w:hAnsi="Times New Roman"/>
          <w:sz w:val="24"/>
        </w:rPr>
        <w:t>类基金份额，则赎回金额的计算方法如下：</w:t>
      </w:r>
    </w:p>
    <w:p w14:paraId="65DAA2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14:paraId="0F99E8B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14:paraId="1E82706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例四：某投资者赎回</w:t>
      </w:r>
      <w:r>
        <w:rPr>
          <w:rFonts w:ascii="Times New Roman" w:hAnsi="Times New Roman"/>
          <w:sz w:val="24"/>
        </w:rPr>
        <w:t>100,000</w:t>
      </w:r>
      <w:r>
        <w:rPr>
          <w:rFonts w:ascii="Times New Roman" w:hAnsi="Times New Roman"/>
          <w:sz w:val="24"/>
        </w:rPr>
        <w:t>份</w:t>
      </w:r>
      <w:r>
        <w:rPr>
          <w:rFonts w:ascii="Times New Roman" w:hAnsi="Times New Roman"/>
          <w:sz w:val="24"/>
        </w:rPr>
        <w:t>A</w:t>
      </w:r>
      <w:r>
        <w:rPr>
          <w:rFonts w:ascii="Times New Roman" w:hAnsi="Times New Roman"/>
          <w:sz w:val="24"/>
        </w:rPr>
        <w:t>类基金份额，对应的赎回费率为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A</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p>
    <w:p w14:paraId="0D1E0B4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=100,000×1.0160×0.1%</w:t>
      </w:r>
      <w:r>
        <w:rPr>
          <w:rFonts w:ascii="Times New Roman" w:hAnsi="Times New Roman"/>
          <w:sz w:val="24"/>
        </w:rPr>
        <w:t>＝</w:t>
      </w:r>
      <w:r>
        <w:rPr>
          <w:rFonts w:ascii="Times New Roman" w:hAnsi="Times New Roman"/>
          <w:sz w:val="24"/>
        </w:rPr>
        <w:t>101.60</w:t>
      </w:r>
      <w:r>
        <w:rPr>
          <w:rFonts w:ascii="Times New Roman" w:hAnsi="Times New Roman"/>
          <w:sz w:val="24"/>
        </w:rPr>
        <w:t>元</w:t>
      </w:r>
    </w:p>
    <w:p w14:paraId="54A3C56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=100,000×1.0160-101.60</w:t>
      </w:r>
      <w:r>
        <w:rPr>
          <w:rFonts w:ascii="Times New Roman" w:hAnsi="Times New Roman"/>
          <w:sz w:val="24"/>
        </w:rPr>
        <w:t>＝</w:t>
      </w:r>
      <w:r>
        <w:rPr>
          <w:rFonts w:ascii="Times New Roman" w:hAnsi="Times New Roman"/>
          <w:sz w:val="24"/>
        </w:rPr>
        <w:t>101,498.40</w:t>
      </w:r>
      <w:r>
        <w:rPr>
          <w:rFonts w:ascii="Times New Roman" w:hAnsi="Times New Roman"/>
          <w:sz w:val="24"/>
        </w:rPr>
        <w:t>元</w:t>
      </w:r>
    </w:p>
    <w:p w14:paraId="29D846F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A</w:t>
      </w:r>
      <w:r>
        <w:rPr>
          <w:rFonts w:ascii="Times New Roman" w:hAnsi="Times New Roman"/>
          <w:sz w:val="24"/>
        </w:rPr>
        <w:t>类基金份额，对应的赎回费率为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A</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101,498.40</w:t>
      </w:r>
      <w:r>
        <w:rPr>
          <w:rFonts w:ascii="Times New Roman" w:hAnsi="Times New Roman"/>
          <w:sz w:val="24"/>
        </w:rPr>
        <w:t>元。</w:t>
      </w:r>
    </w:p>
    <w:p w14:paraId="6926A5E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C</w:t>
      </w:r>
      <w:r>
        <w:rPr>
          <w:rFonts w:ascii="Times New Roman" w:hAnsi="Times New Roman"/>
          <w:sz w:val="24"/>
        </w:rPr>
        <w:t>类基金份额的赎回</w:t>
      </w:r>
    </w:p>
    <w:p w14:paraId="0AB76FA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投资者赎回</w:t>
      </w:r>
      <w:r>
        <w:rPr>
          <w:rFonts w:ascii="Times New Roman" w:hAnsi="Times New Roman"/>
          <w:sz w:val="24"/>
        </w:rPr>
        <w:t>C</w:t>
      </w:r>
      <w:r>
        <w:rPr>
          <w:rFonts w:ascii="Times New Roman" w:hAnsi="Times New Roman"/>
          <w:sz w:val="24"/>
        </w:rPr>
        <w:t>类基金份额，赎回金额的计算方法如下：</w:t>
      </w:r>
    </w:p>
    <w:p w14:paraId="3A43204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14:paraId="3C39152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14:paraId="74ECAA0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例五：某投资者赎回</w:t>
      </w:r>
      <w:r>
        <w:rPr>
          <w:rFonts w:ascii="Times New Roman" w:hAnsi="Times New Roman"/>
          <w:sz w:val="24"/>
        </w:rPr>
        <w:t>100,000</w:t>
      </w:r>
      <w:r>
        <w:rPr>
          <w:rFonts w:ascii="Times New Roman" w:hAnsi="Times New Roman"/>
          <w:sz w:val="24"/>
        </w:rPr>
        <w:t>份</w:t>
      </w:r>
      <w:r>
        <w:rPr>
          <w:rFonts w:ascii="Times New Roman" w:hAnsi="Times New Roman"/>
          <w:sz w:val="24"/>
        </w:rPr>
        <w:t>C</w:t>
      </w:r>
      <w:r>
        <w:rPr>
          <w:rFonts w:ascii="Times New Roman" w:hAnsi="Times New Roman"/>
          <w:sz w:val="24"/>
        </w:rPr>
        <w:t>类基金份额，对应的赎回费率为</w:t>
      </w:r>
      <w:r>
        <w:rPr>
          <w:rFonts w:ascii="Times New Roman" w:hAnsi="Times New Roman"/>
          <w:sz w:val="24"/>
        </w:rPr>
        <w:t>0</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 xml:space="preserve">1.2500 </w:t>
      </w:r>
      <w:r>
        <w:rPr>
          <w:rFonts w:ascii="Times New Roman" w:hAnsi="Times New Roman"/>
          <w:sz w:val="24"/>
        </w:rPr>
        <w:t>元，则其可得到的赎回金额为：</w:t>
      </w:r>
    </w:p>
    <w:p w14:paraId="3644490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=100,000×1.2500×0</w:t>
      </w:r>
      <w:r>
        <w:rPr>
          <w:rFonts w:ascii="Times New Roman" w:hAnsi="Times New Roman"/>
          <w:sz w:val="24"/>
        </w:rPr>
        <w:t>＝</w:t>
      </w:r>
      <w:r>
        <w:rPr>
          <w:rFonts w:ascii="Times New Roman" w:hAnsi="Times New Roman"/>
          <w:sz w:val="24"/>
        </w:rPr>
        <w:t>0</w:t>
      </w:r>
      <w:r>
        <w:rPr>
          <w:rFonts w:ascii="Times New Roman" w:hAnsi="Times New Roman"/>
          <w:sz w:val="24"/>
        </w:rPr>
        <w:t>元</w:t>
      </w:r>
    </w:p>
    <w:p w14:paraId="74B2741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赎回金额</w:t>
      </w:r>
      <w:r>
        <w:rPr>
          <w:rFonts w:ascii="Times New Roman" w:hAnsi="Times New Roman"/>
          <w:sz w:val="24"/>
        </w:rPr>
        <w:t xml:space="preserve">=100,000×1.2500-0=125,000.00 </w:t>
      </w:r>
      <w:r>
        <w:rPr>
          <w:rFonts w:ascii="Times New Roman" w:hAnsi="Times New Roman"/>
          <w:sz w:val="24"/>
        </w:rPr>
        <w:t>元</w:t>
      </w:r>
    </w:p>
    <w:p w14:paraId="7D1BD14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C</w:t>
      </w:r>
      <w:r>
        <w:rPr>
          <w:rFonts w:ascii="Times New Roman" w:hAnsi="Times New Roman"/>
          <w:sz w:val="24"/>
        </w:rPr>
        <w:t>类基金份额，对应的赎回费率为</w:t>
      </w:r>
      <w:r>
        <w:rPr>
          <w:rFonts w:ascii="Times New Roman" w:hAnsi="Times New Roman"/>
          <w:sz w:val="24"/>
        </w:rPr>
        <w:t>0</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1.2500</w:t>
      </w:r>
      <w:r>
        <w:rPr>
          <w:rFonts w:ascii="Times New Roman" w:hAnsi="Times New Roman"/>
          <w:sz w:val="24"/>
        </w:rPr>
        <w:t>元，则其可得到的赎回金额为</w:t>
      </w:r>
      <w:r>
        <w:rPr>
          <w:rFonts w:ascii="Times New Roman" w:hAnsi="Times New Roman"/>
          <w:sz w:val="24"/>
        </w:rPr>
        <w:t>125,000.00</w:t>
      </w:r>
      <w:r>
        <w:rPr>
          <w:rFonts w:ascii="Times New Roman" w:hAnsi="Times New Roman"/>
          <w:sz w:val="24"/>
        </w:rPr>
        <w:t>元。</w:t>
      </w:r>
    </w:p>
    <w:p w14:paraId="2F38324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14:paraId="19EDFBD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类基金份额净值＝</w:t>
      </w:r>
      <w:r>
        <w:rPr>
          <w:rFonts w:ascii="Times New Roman" w:hAnsi="Times New Roman"/>
          <w:sz w:val="24"/>
        </w:rPr>
        <w:t>A</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A</w:t>
      </w:r>
      <w:r>
        <w:rPr>
          <w:rFonts w:ascii="Times New Roman" w:hAnsi="Times New Roman"/>
          <w:sz w:val="24"/>
        </w:rPr>
        <w:t>类基金份额总数</w:t>
      </w:r>
    </w:p>
    <w:p w14:paraId="59E3B22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类基金份额净值＝</w:t>
      </w:r>
      <w:r>
        <w:rPr>
          <w:rFonts w:ascii="Times New Roman" w:hAnsi="Times New Roman"/>
          <w:sz w:val="24"/>
        </w:rPr>
        <w:t>C</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C</w:t>
      </w:r>
      <w:r>
        <w:rPr>
          <w:rFonts w:ascii="Times New Roman" w:hAnsi="Times New Roman"/>
          <w:sz w:val="24"/>
        </w:rPr>
        <w:t>类基金份额总数</w:t>
      </w:r>
    </w:p>
    <w:p w14:paraId="0F36B22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日（包括该日）内公告。遇特殊情况，经中国证监会同意，可以适当延迟计算或公告。本基金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类基金份额的基金份额净值的计算，保留到小数点后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位四舍五入，由此误差产生的收益或损失由基金财产承担。</w:t>
      </w:r>
    </w:p>
    <w:p w14:paraId="405E35AD"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w:t>
      </w:r>
    </w:p>
    <w:p w14:paraId="793DF2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发生下列情况时，基金管理人可拒绝或暂停接受投资人的申购申请：</w:t>
      </w:r>
    </w:p>
    <w:p w14:paraId="5894E0D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w:t>
      </w:r>
    </w:p>
    <w:p w14:paraId="6281B4D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14:paraId="2502E90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、证券交易所交易时间非正常停市，导致基金管理人无法计算当日基金资产净值。</w:t>
      </w:r>
    </w:p>
    <w:p w14:paraId="7BB1A9D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、接受某笔或某些申购申请可能会影响或损害现有基金份额持有人利益时。</w:t>
      </w:r>
    </w:p>
    <w:p w14:paraId="69CDC58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、基金资产规模过大，使基金管理人无法找到合适的投资品种，或其他可能对基金业绩产生负面影响，或发生其他损害现有基金份额持有人利益的情形。</w:t>
      </w:r>
    </w:p>
    <w:p w14:paraId="16204BE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、基金管理人、基金托管人、基金销售机构、基金销售支付结算机构或登记机构的异常情况导致基金销售系统、基金销售支付结算系统、基金注册登记系统或基金会计系统无法正常运行。</w:t>
      </w:r>
    </w:p>
    <w:p w14:paraId="700D822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5148430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集中度的情形。出现上述情形时，基金管理</w:t>
      </w:r>
      <w:r>
        <w:rPr>
          <w:rFonts w:ascii="Times New Roman" w:hAnsi="Times New Roman"/>
          <w:sz w:val="24"/>
        </w:rPr>
        <w:lastRenderedPageBreak/>
        <w:t>人有权将上述申购申请全部或部分确认失败。</w:t>
      </w:r>
    </w:p>
    <w:p w14:paraId="5C404A6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、基金合同约定、法律法规规定或中国证监会认定的其他情形。</w:t>
      </w:r>
    </w:p>
    <w:p w14:paraId="2973D3C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9</w:t>
      </w:r>
      <w:r>
        <w:rPr>
          <w:rFonts w:ascii="Times New Roman" w:hAnsi="Times New Roman"/>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B9011CB"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（九）暂停赎回或延缓支付赎回款项的情形</w:t>
      </w:r>
    </w:p>
    <w:p w14:paraId="410781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发生下列情形时，基金管理人可暂停接受投资人的赎回申请或延缓支付赎回款项：</w:t>
      </w:r>
    </w:p>
    <w:p w14:paraId="580B3BE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14:paraId="42063A7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14:paraId="03FD41B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、证券交易所交易时间非正常停市，导致基金管理人无法计算当日基金资产净值。</w:t>
      </w:r>
    </w:p>
    <w:p w14:paraId="25CDFD1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、连续两个或两个以上开放日发生巨额赎回。</w:t>
      </w:r>
    </w:p>
    <w:p w14:paraId="6A723FE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、基金管理人、基金托管人、基金销售机构、基金销售支付结算机构或登记机构的异常情况导致基金销售系统、基金销售支付结算系统、基金注册登记系统或基金会计系统无法正常运行。</w:t>
      </w:r>
    </w:p>
    <w:p w14:paraId="3C09784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、继续接受赎回申请将损害现有基金份额持有人利益的情形时，可暂停接受投资人的赎回申请。</w:t>
      </w:r>
    </w:p>
    <w:p w14:paraId="5256FD1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以上的资产出现无可参考的活跃市场价格且采用估值技术仍导致公允价值存在重大不确定性时，经与基金托管人协商确认后，基金管理人应当暂停接受基金赎回申请或延缓支付赎回款项。</w:t>
      </w:r>
    </w:p>
    <w:p w14:paraId="6E389D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、基金合同约定、法律法规规定或中国证监会认定的其他情形。</w:t>
      </w:r>
    </w:p>
    <w:p w14:paraId="0D077C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w:t>
      </w:r>
      <w:r>
        <w:rPr>
          <w:rFonts w:ascii="Times New Roman" w:hAnsi="Times New Roman"/>
          <w:sz w:val="24"/>
        </w:rPr>
        <w:lastRenderedPageBreak/>
        <w:t>撤销。在暂停赎回的情况消除时，基金管理人应及时恢复赎回业务的办理并公告。</w:t>
      </w:r>
    </w:p>
    <w:p w14:paraId="733D40AE"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（十）巨额赎回的情形及处理方式</w:t>
      </w:r>
    </w:p>
    <w:p w14:paraId="0FE7404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14:paraId="359ADC2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超过前一开放日的基金总份额的</w:t>
      </w:r>
      <w:r>
        <w:rPr>
          <w:rFonts w:ascii="Times New Roman" w:hAnsi="Times New Roman"/>
          <w:sz w:val="24"/>
        </w:rPr>
        <w:t>10%</w:t>
      </w:r>
      <w:r>
        <w:rPr>
          <w:rFonts w:ascii="Times New Roman" w:hAnsi="Times New Roman"/>
          <w:sz w:val="24"/>
        </w:rPr>
        <w:t>，即认为是发生了巨额赎回。</w:t>
      </w:r>
    </w:p>
    <w:p w14:paraId="10FCD2F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14:paraId="4E36C8F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26C887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75F560F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196E63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750A7BD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2E3E836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、巨额赎回的公告</w:t>
      </w:r>
    </w:p>
    <w:p w14:paraId="2F43262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当发生上述延期赎回并延期办理时，基金管理人应当通过邮寄、传真、刊登公告或者通知销售机构代为告知等方式在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14:paraId="3E1AD6E5"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（十一）暂停申购或赎回的公告和重新开放申购或赎回的公告</w:t>
      </w:r>
    </w:p>
    <w:p w14:paraId="26B2E24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14:paraId="379FF53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0E8F3200"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（十二）基金的非交易过户</w:t>
      </w:r>
    </w:p>
    <w:p w14:paraId="267DD68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49B0F0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B9C0BD6"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（十三）基金的转托管</w:t>
      </w:r>
    </w:p>
    <w:p w14:paraId="7C7EBC1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14:paraId="2503F7F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（十四）定期定额投资计划</w:t>
      </w:r>
    </w:p>
    <w:p w14:paraId="244D48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3EEBA8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2016</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25</w:t>
      </w:r>
      <w:r>
        <w:rPr>
          <w:rFonts w:ascii="Times New Roman" w:hAnsi="Times New Roman"/>
          <w:sz w:val="24"/>
        </w:rPr>
        <w:t>日刊登公告自</w:t>
      </w:r>
      <w:r>
        <w:rPr>
          <w:rFonts w:ascii="Times New Roman" w:hAnsi="Times New Roman"/>
          <w:sz w:val="24"/>
        </w:rPr>
        <w:t>2016</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26</w:t>
      </w:r>
      <w:r>
        <w:rPr>
          <w:rFonts w:ascii="Times New Roman" w:hAnsi="Times New Roman"/>
          <w:sz w:val="24"/>
        </w:rPr>
        <w:t>日起开通定期定额投资计划业务，具体开通销售机构名单和业务规则参见相关公告。</w:t>
      </w:r>
    </w:p>
    <w:p w14:paraId="38770059"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（十五）基金份额的冻结和解冻</w:t>
      </w:r>
    </w:p>
    <w:p w14:paraId="4855235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登记机构只受理国家有权机关依法要求的基金份额的冻结与解冻，以及登记机构认可、符合法律法规的其他情况下的冻结与解冻。</w:t>
      </w:r>
    </w:p>
    <w:p w14:paraId="053A4FC6"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（十六）基金份额的转让</w:t>
      </w:r>
    </w:p>
    <w:p w14:paraId="291320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0F0C1F" w14:textId="77777777" w:rsidR="002A6257" w:rsidRPr="002A6257" w:rsidRDefault="000F1A23" w:rsidP="002A6257">
      <w:pPr>
        <w:adjustRightInd w:val="0"/>
        <w:snapToGrid w:val="0"/>
        <w:spacing w:line="360" w:lineRule="auto"/>
        <w:ind w:firstLineChars="200" w:firstLine="422"/>
        <w:rPr>
          <w:rFonts w:ascii="宋体" w:hAnsi="宋体"/>
          <w:b/>
          <w:szCs w:val="24"/>
        </w:rPr>
      </w:pPr>
      <w:r w:rsidRPr="00BB248E">
        <w:rPr>
          <w:rFonts w:ascii="宋体" w:hAnsi="宋体" w:hint="eastAsia"/>
          <w:b/>
          <w:szCs w:val="24"/>
        </w:rPr>
        <w:t>（十七）</w:t>
      </w:r>
      <w:r w:rsidR="002A6257" w:rsidRPr="002A6257">
        <w:rPr>
          <w:rFonts w:ascii="宋体" w:hAnsi="宋体" w:hint="eastAsia"/>
          <w:b/>
          <w:szCs w:val="24"/>
        </w:rPr>
        <w:t>实施侧袋机制期间本基金的申购与赎回</w:t>
      </w:r>
    </w:p>
    <w:p w14:paraId="6150CEF6" w14:textId="77777777" w:rsidR="002A6257" w:rsidRPr="002A6257" w:rsidRDefault="002A6257" w:rsidP="002A6257">
      <w:pPr>
        <w:adjustRightInd w:val="0"/>
        <w:snapToGrid w:val="0"/>
        <w:spacing w:line="360" w:lineRule="auto"/>
        <w:ind w:firstLineChars="200" w:firstLine="480"/>
        <w:rPr>
          <w:rFonts w:ascii="Times New Roman" w:hAnsi="宋体"/>
          <w:kern w:val="0"/>
          <w:sz w:val="24"/>
          <w:szCs w:val="24"/>
        </w:rPr>
      </w:pPr>
      <w:r w:rsidRPr="002A6257">
        <w:rPr>
          <w:rFonts w:ascii="Times New Roman" w:hAnsi="宋体" w:hint="eastAsia"/>
          <w:kern w:val="0"/>
          <w:sz w:val="24"/>
          <w:szCs w:val="24"/>
        </w:rPr>
        <w:t>本基金实施侧袋机制的，本基金的申购和赎回安排详见本招募说明书“侧袋机制”部分的规定或相关公告。</w:t>
      </w:r>
    </w:p>
    <w:p w14:paraId="5DC3F9C9" w14:textId="59F249AC" w:rsidR="00DC3364" w:rsidRPr="002A6257" w:rsidRDefault="00F9343C" w:rsidP="002A6257">
      <w:pPr>
        <w:autoSpaceDE w:val="0"/>
        <w:autoSpaceDN w:val="0"/>
        <w:adjustRightInd w:val="0"/>
        <w:snapToGrid w:val="0"/>
        <w:spacing w:line="360" w:lineRule="auto"/>
        <w:ind w:firstLineChars="200" w:firstLine="422"/>
        <w:rPr>
          <w:rFonts w:ascii="宋体" w:hAnsi="宋体"/>
          <w:b/>
          <w:szCs w:val="24"/>
        </w:rPr>
      </w:pPr>
      <w:r>
        <w:rPr>
          <w:rFonts w:ascii="宋体" w:hAnsi="宋体" w:hint="eastAsia"/>
          <w:b/>
          <w:szCs w:val="24"/>
        </w:rPr>
        <w:t>（十八</w:t>
      </w:r>
      <w:r w:rsidR="002A6257" w:rsidRPr="002A6257">
        <w:rPr>
          <w:rFonts w:ascii="宋体" w:hAnsi="宋体"/>
          <w:b/>
          <w:szCs w:val="24"/>
        </w:rPr>
        <w:t>）</w:t>
      </w:r>
      <w:r w:rsidR="000F1A23" w:rsidRPr="00BB248E">
        <w:rPr>
          <w:rFonts w:ascii="宋体" w:hAnsi="宋体" w:hint="eastAsia"/>
          <w:b/>
          <w:szCs w:val="24"/>
        </w:rPr>
        <w:t>其他业务</w:t>
      </w:r>
    </w:p>
    <w:p w14:paraId="42527A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1332CBC"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3482221" w14:textId="77777777" w:rsidR="00DC3364" w:rsidRDefault="000F1A23">
      <w:pPr>
        <w:pStyle w:val="1"/>
        <w:snapToGrid w:val="0"/>
        <w:spacing w:beforeLines="0" w:before="240" w:after="240"/>
        <w:rPr>
          <w:rFonts w:ascii="宋体" w:hAnsi="宋体"/>
          <w:szCs w:val="30"/>
        </w:rPr>
      </w:pPr>
      <w:bookmarkStart w:id="12" w:name="_Toc69125807"/>
      <w:r>
        <w:rPr>
          <w:rFonts w:ascii="Times New Roman" w:hAnsi="Times New Roman"/>
          <w:sz w:val="30"/>
        </w:rPr>
        <w:lastRenderedPageBreak/>
        <w:t>九、</w:t>
      </w:r>
      <w:r>
        <w:rPr>
          <w:rFonts w:ascii="Times New Roman" w:hAnsi="Times New Roman"/>
          <w:sz w:val="30"/>
        </w:rPr>
        <w:t xml:space="preserve"> </w:t>
      </w:r>
      <w:r>
        <w:rPr>
          <w:rFonts w:ascii="Times New Roman" w:hAnsi="Times New Roman"/>
          <w:sz w:val="30"/>
        </w:rPr>
        <w:t>基金的转换</w:t>
      </w:r>
      <w:bookmarkEnd w:id="12"/>
    </w:p>
    <w:p w14:paraId="11523351"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（一）基金转换</w:t>
      </w:r>
    </w:p>
    <w:p w14:paraId="1987706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7BF038A5"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（二）转换业务办理时间</w:t>
      </w:r>
    </w:p>
    <w:p w14:paraId="49B9FD3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2020</w:t>
      </w:r>
      <w:r>
        <w:rPr>
          <w:rFonts w:ascii="Times New Roman" w:hAnsi="Times New Roman"/>
          <w:sz w:val="24"/>
        </w:rPr>
        <w:t>年</w:t>
      </w:r>
      <w:r>
        <w:rPr>
          <w:rFonts w:ascii="Times New Roman" w:hAnsi="Times New Roman"/>
          <w:sz w:val="24"/>
        </w:rPr>
        <w:t>5</w:t>
      </w:r>
      <w:r>
        <w:rPr>
          <w:rFonts w:ascii="Times New Roman" w:hAnsi="Times New Roman"/>
          <w:sz w:val="24"/>
        </w:rPr>
        <w:t>月</w:t>
      </w:r>
      <w:r>
        <w:rPr>
          <w:rFonts w:ascii="Times New Roman" w:hAnsi="Times New Roman"/>
          <w:sz w:val="24"/>
        </w:rPr>
        <w:t>20</w:t>
      </w:r>
      <w:r>
        <w:rPr>
          <w:rFonts w:ascii="Times New Roman" w:hAnsi="Times New Roman"/>
          <w:sz w:val="24"/>
        </w:rPr>
        <w:t>日刊登公告自</w:t>
      </w:r>
      <w:r>
        <w:rPr>
          <w:rFonts w:ascii="Times New Roman" w:hAnsi="Times New Roman"/>
          <w:sz w:val="24"/>
        </w:rPr>
        <w:t>2020</w:t>
      </w:r>
      <w:r>
        <w:rPr>
          <w:rFonts w:ascii="Times New Roman" w:hAnsi="Times New Roman"/>
          <w:sz w:val="24"/>
        </w:rPr>
        <w:t>年</w:t>
      </w:r>
      <w:r>
        <w:rPr>
          <w:rFonts w:ascii="Times New Roman" w:hAnsi="Times New Roman"/>
          <w:sz w:val="24"/>
        </w:rPr>
        <w:t>5</w:t>
      </w:r>
      <w:r>
        <w:rPr>
          <w:rFonts w:ascii="Times New Roman" w:hAnsi="Times New Roman"/>
          <w:sz w:val="24"/>
        </w:rPr>
        <w:t>月</w:t>
      </w:r>
      <w:r>
        <w:rPr>
          <w:rFonts w:ascii="Times New Roman" w:hAnsi="Times New Roman"/>
          <w:sz w:val="24"/>
        </w:rPr>
        <w:t>22</w:t>
      </w:r>
      <w:r>
        <w:rPr>
          <w:rFonts w:ascii="Times New Roman" w:hAnsi="Times New Roman"/>
          <w:sz w:val="24"/>
        </w:rPr>
        <w:t>日起开放日常转换业务。办理基金间转换的时间为上海证券交易所、深圳证券交易所交易日。若出现新的证券交易市场或交易所交易时间更改或其它原因，基金管理人将视情况进行相应的调整并公告。</w:t>
      </w:r>
    </w:p>
    <w:p w14:paraId="7F34EB3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C2FB5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本基金转换业务具体开通销售机构名单、可转换旗下基金范围参见相关公告。</w:t>
      </w:r>
    </w:p>
    <w:p w14:paraId="3D5015E7"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（三）基金转换的程序</w:t>
      </w:r>
    </w:p>
    <w:p w14:paraId="446509B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14:paraId="7331D6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、基金转换申请的确认</w:t>
      </w:r>
    </w:p>
    <w:p w14:paraId="59F1132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投资人可向销售机构查询转换的确认情况。</w:t>
      </w:r>
    </w:p>
    <w:p w14:paraId="10794E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、基金转换的注册登记</w:t>
      </w:r>
    </w:p>
    <w:p w14:paraId="18CA79E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日）。投资人转换基金成功的，注册登记机构将在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日对投资人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日后（包括该日）投资人可向销售机构查询基金转换的成交情况，并有权转换或赎回该部分基金份额。</w:t>
      </w:r>
    </w:p>
    <w:p w14:paraId="2AB3D06A"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（四）基金转换的数额限制</w:t>
      </w:r>
    </w:p>
    <w:p w14:paraId="4F4F34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基金转换以份额为单位进行申请，申请转换份额精确到小数点后两位，小数点后两位以后的部分四舍五入，误差部分归基金财产。</w:t>
      </w:r>
    </w:p>
    <w:p w14:paraId="2C904DC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份。基金持有人可将其全部或部分基金份额转换成其它基金，单笔转换申请不受转入基金最低申购限额限制。</w:t>
      </w:r>
    </w:p>
    <w:p w14:paraId="3704991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46710FD8"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（五）基金转换费用</w:t>
      </w:r>
    </w:p>
    <w:p w14:paraId="7A79B62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14:paraId="2A4E949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、转出基金的赎回费用</w:t>
      </w:r>
    </w:p>
    <w:p w14:paraId="23A85B2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BC996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、前端收费模式下转出与转入基金的申购补差费用</w:t>
      </w:r>
    </w:p>
    <w:p w14:paraId="3A56599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DB7C6C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、后端收费模式下转出与转入基金的申购补差费用</w:t>
      </w:r>
    </w:p>
    <w:p w14:paraId="2E51A0B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w:t>
      </w:r>
      <w:r>
        <w:rPr>
          <w:rFonts w:ascii="Times New Roman" w:hAnsi="Times New Roman"/>
          <w:sz w:val="24"/>
        </w:rPr>
        <w:lastRenderedPageBreak/>
        <w:t>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C8FD0A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、网上直销的申购补差费率优惠</w:t>
      </w:r>
    </w:p>
    <w:p w14:paraId="044411F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271601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具体转换业务规则、程序和数额限制，以及转换费率水平、基金转换份额的计算公式和举例请参见本基金管理人网站（</w:t>
      </w:r>
      <w:r>
        <w:rPr>
          <w:rFonts w:ascii="Times New Roman" w:hAnsi="Times New Roman"/>
          <w:sz w:val="24"/>
        </w:rPr>
        <w:t>www.fund001.com</w:t>
      </w:r>
      <w:r>
        <w:rPr>
          <w:rFonts w:ascii="Times New Roman" w:hAnsi="Times New Roman"/>
          <w:sz w:val="24"/>
        </w:rPr>
        <w:t>）列示的相关基金转换业务规则、转换费率表或相关公告。</w:t>
      </w:r>
    </w:p>
    <w:p w14:paraId="1280DAE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、本基金管理人可以根据法律法规及基金合同的规定对上述转换费用收费方式和费率进行调整，并应于调整后的收费方式和费率实施前依照《信息披露办法》的有关规定在中国证监会规定媒介上公告。</w:t>
      </w:r>
    </w:p>
    <w:p w14:paraId="745B9E3F"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（六）基金转换份额的计算公式</w:t>
      </w:r>
    </w:p>
    <w:p w14:paraId="79D2C32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14:paraId="2595C1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7D2D41F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4C485AE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0ED31B6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14:paraId="53CF9BC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（注：对于适用固定金额申购补差费用的，转出与转入基金的申购补差费＝固定金额的申购补差费）</w:t>
      </w:r>
    </w:p>
    <w:p w14:paraId="5E972AA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684D40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76BC18B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290E1F2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w:t>
      </w:r>
      <w:r>
        <w:rPr>
          <w:rFonts w:ascii="Times New Roman" w:hAnsi="Times New Roman"/>
          <w:sz w:val="24"/>
        </w:rPr>
        <w:lastRenderedPageBreak/>
        <w:t>五入，误差部分归基金财产。</w:t>
      </w:r>
    </w:p>
    <w:p w14:paraId="1DCE8F1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例一：某投资者持有交银趋势前端收费模式的基金份额</w:t>
      </w:r>
      <w:r>
        <w:rPr>
          <w:rFonts w:ascii="Times New Roman" w:hAnsi="Times New Roman"/>
          <w:sz w:val="24"/>
        </w:rPr>
        <w:t>100,000</w:t>
      </w:r>
      <w:r>
        <w:rPr>
          <w:rFonts w:ascii="Times New Roman" w:hAnsi="Times New Roman"/>
          <w:sz w:val="24"/>
        </w:rPr>
        <w:t>份，持有期半年，转换申请当日交银趋势的基金份额净值为</w:t>
      </w:r>
      <w:r>
        <w:rPr>
          <w:rFonts w:ascii="Times New Roman" w:hAnsi="Times New Roman"/>
          <w:sz w:val="24"/>
        </w:rPr>
        <w:t>1.010</w:t>
      </w:r>
      <w:r>
        <w:rPr>
          <w:rFonts w:ascii="Times New Roman" w:hAnsi="Times New Roman"/>
          <w:sz w:val="24"/>
        </w:rPr>
        <w:t>元，交银成长的基金份额净值为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份交银趋势前端基金份额转换为交银成长前端基金份额，则转入交银成长确认的基金份额为：</w:t>
      </w:r>
    </w:p>
    <w:p w14:paraId="1853158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=100,000×1.010=101,000</w:t>
      </w:r>
      <w:r>
        <w:rPr>
          <w:rFonts w:ascii="Times New Roman" w:hAnsi="Times New Roman"/>
          <w:sz w:val="24"/>
        </w:rPr>
        <w:t>元</w:t>
      </w:r>
    </w:p>
    <w:p w14:paraId="466CD4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14:paraId="5826B5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14:paraId="600ED1F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14:paraId="339A978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14:paraId="4CB2D30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元，交银趋势的基金份额净值为</w:t>
      </w:r>
      <w:r>
        <w:rPr>
          <w:rFonts w:ascii="Times New Roman" w:hAnsi="Times New Roman"/>
          <w:sz w:val="24"/>
        </w:rPr>
        <w:t>1.010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类基金份额转换为交银趋势前端基金份额，则转入交银趋势确认的基金份额为：</w:t>
      </w:r>
    </w:p>
    <w:p w14:paraId="0355AE7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14:paraId="09131B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14:paraId="3D00581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14:paraId="5140834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14:paraId="32F956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/1.010=1,004,374.17</w:t>
      </w:r>
      <w:r>
        <w:rPr>
          <w:rFonts w:ascii="Times New Roman" w:hAnsi="Times New Roman"/>
          <w:sz w:val="24"/>
        </w:rPr>
        <w:t>份</w:t>
      </w:r>
    </w:p>
    <w:p w14:paraId="22894A1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14:paraId="07EB6B4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14:paraId="6D80763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7443DE8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14:paraId="6ABC532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14:paraId="55CFF4D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14:paraId="25F0898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A/B</w:t>
      </w:r>
      <w:r>
        <w:rPr>
          <w:rFonts w:ascii="Times New Roman" w:hAnsi="Times New Roman"/>
          <w:sz w:val="24"/>
        </w:rPr>
        <w:t>类基金份额净值为</w:t>
      </w:r>
      <w:r>
        <w:rPr>
          <w:rFonts w:ascii="Times New Roman" w:hAnsi="Times New Roman"/>
          <w:sz w:val="24"/>
        </w:rPr>
        <w:lastRenderedPageBreak/>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14:paraId="17D8434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5E99C8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4CB6111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7FBA557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14:paraId="2A6D22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14:paraId="37D2515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14:paraId="1A8818B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72297D6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3CBC862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27724BF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14:paraId="66D95AD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3B7E93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01E380A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0FCB32F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016E7B8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例五：某投资者持有交银主题后端收费模式的基金份额</w:t>
      </w:r>
      <w:r>
        <w:rPr>
          <w:rFonts w:ascii="Times New Roman" w:hAnsi="Times New Roman"/>
          <w:sz w:val="24"/>
        </w:rPr>
        <w:t>100,000</w:t>
      </w:r>
      <w:r>
        <w:rPr>
          <w:rFonts w:ascii="Times New Roman" w:hAnsi="Times New Roman"/>
          <w:sz w:val="24"/>
        </w:rPr>
        <w:t>份，持有期一年半，转换申请当日交银主题的基金份额净值为</w:t>
      </w:r>
      <w:r>
        <w:rPr>
          <w:rFonts w:ascii="Times New Roman" w:hAnsi="Times New Roman"/>
          <w:sz w:val="24"/>
        </w:rPr>
        <w:t>1.2500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份交银主题后端基金份额转换为交银稳健后端基金份额，则转入交银稳健确认的基金份额为：</w:t>
      </w:r>
    </w:p>
    <w:p w14:paraId="0685E6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59E5AB2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5AE3EE6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753E1AA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14:paraId="6A91FAD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14:paraId="7D52147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例六：某投资者持有交银先锋后端收费模式的基金份额</w:t>
      </w:r>
      <w:r>
        <w:rPr>
          <w:rFonts w:ascii="Times New Roman" w:hAnsi="Times New Roman"/>
          <w:sz w:val="24"/>
        </w:rPr>
        <w:t>100,000</w:t>
      </w:r>
      <w:r>
        <w:rPr>
          <w:rFonts w:ascii="Times New Roman" w:hAnsi="Times New Roman"/>
          <w:sz w:val="24"/>
        </w:rPr>
        <w:t>份，持有期一</w:t>
      </w:r>
      <w:r>
        <w:rPr>
          <w:rFonts w:ascii="Times New Roman" w:hAnsi="Times New Roman"/>
          <w:sz w:val="24"/>
        </w:rPr>
        <w:lastRenderedPageBreak/>
        <w:t>年半，转换申请当日交银先锋的基金份额净值为</w:t>
      </w:r>
      <w:r>
        <w:rPr>
          <w:rFonts w:ascii="Times New Roman" w:hAnsi="Times New Roman"/>
          <w:sz w:val="24"/>
        </w:rPr>
        <w:t>1.2500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份交银先锋后端基金份额转换为交银货币，则转入交银货币的基金份额为：</w:t>
      </w:r>
    </w:p>
    <w:p w14:paraId="50E77F0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5C0033A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0ECBB71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383C94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14:paraId="071F783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14:paraId="5D540D5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14:paraId="7C903B8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=100,000×0.850=85,000</w:t>
      </w:r>
      <w:r>
        <w:rPr>
          <w:rFonts w:ascii="Times New Roman" w:hAnsi="Times New Roman"/>
          <w:sz w:val="24"/>
        </w:rPr>
        <w:t>元</w:t>
      </w:r>
    </w:p>
    <w:p w14:paraId="4449DA4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14:paraId="6048B7D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14:paraId="60C1238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14:paraId="6C7C878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14:paraId="0068E4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例八：某投资者持有交银货币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14:paraId="531B3F2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5753CDD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450C51D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04ACDA2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14:paraId="76391E3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14:paraId="084847D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（七）业务规则</w:t>
      </w:r>
    </w:p>
    <w:p w14:paraId="57F80D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w:t>
      </w:r>
      <w:r>
        <w:rPr>
          <w:rFonts w:ascii="Times New Roman" w:hAnsi="Times New Roman"/>
          <w:sz w:val="24"/>
        </w:rPr>
        <w:lastRenderedPageBreak/>
        <w:t>申购状态。</w:t>
      </w:r>
    </w:p>
    <w:p w14:paraId="6220E81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ascii="Times New Roman" w:hAnsi="Times New Roman"/>
          <w:sz w:val="24"/>
        </w:rPr>
        <w:t>C</w:t>
      </w:r>
      <w:r>
        <w:rPr>
          <w:rFonts w:ascii="Times New Roman" w:hAnsi="Times New Roman"/>
          <w:sz w:val="24"/>
        </w:rPr>
        <w:t>类基金份额与其他基金之间的转换不受上述收费模式的限制。</w:t>
      </w:r>
    </w:p>
    <w:p w14:paraId="237417F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、基金转换采取未知价法，即基金的转换价格以申请受理当日各转出、转入基金的基金份额净值为基础进行计算。（货币市场基金的基金份额净值为固定价</w:t>
      </w:r>
      <w:r>
        <w:rPr>
          <w:rFonts w:ascii="Times New Roman" w:hAnsi="Times New Roman"/>
          <w:sz w:val="24"/>
        </w:rPr>
        <w:t>1.00</w:t>
      </w:r>
      <w:r>
        <w:rPr>
          <w:rFonts w:ascii="Times New Roman" w:hAnsi="Times New Roman"/>
          <w:sz w:val="24"/>
        </w:rPr>
        <w:t>元）。</w:t>
      </w:r>
    </w:p>
    <w:p w14:paraId="37C82A4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50A036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14:paraId="3C31C064"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（八）暂停基金转换</w:t>
      </w:r>
    </w:p>
    <w:p w14:paraId="5BAE8F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52CC8C6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单个开放日，基金净赎回申请份额（该基金赎回申请总份额加上基金转换中转出申请总份额扣除申购申请总份额及基金转换中转入申请总份额后的余额）超过上一日基金总份额的</w:t>
      </w:r>
      <w:r>
        <w:rPr>
          <w:rFonts w:ascii="Times New Roman" w:hAnsi="Times New Roman"/>
          <w:sz w:val="24"/>
        </w:rPr>
        <w:t>10%</w:t>
      </w:r>
      <w:r>
        <w:rPr>
          <w:rFonts w:ascii="Times New Roman" w:hAnsi="Times New Roman"/>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0C33A10B"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3B5D101" w14:textId="77777777" w:rsidR="00DC3364" w:rsidRDefault="000F1A23">
      <w:pPr>
        <w:pStyle w:val="1"/>
        <w:snapToGrid w:val="0"/>
        <w:spacing w:beforeLines="0" w:before="240" w:after="240"/>
        <w:rPr>
          <w:rFonts w:ascii="宋体" w:hAnsi="宋体"/>
          <w:szCs w:val="30"/>
        </w:rPr>
      </w:pPr>
      <w:bookmarkStart w:id="13" w:name="_Toc69125808"/>
      <w:r>
        <w:rPr>
          <w:rFonts w:ascii="Times New Roman" w:hAnsi="Times New Roman"/>
          <w:sz w:val="30"/>
        </w:rPr>
        <w:lastRenderedPageBreak/>
        <w:t>十、基金的投资</w:t>
      </w:r>
      <w:bookmarkEnd w:id="13"/>
    </w:p>
    <w:p w14:paraId="611FDB11"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14:paraId="1E2414D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在严格控制风险的基础上，通过积极主动的投资管理，追求基金资产的长期稳健增值，力争实现超越业绩比较基准的投资回报。</w:t>
      </w:r>
    </w:p>
    <w:p w14:paraId="69411529"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（二）投资范围</w:t>
      </w:r>
    </w:p>
    <w:p w14:paraId="00D5AC8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w:t>
      </w:r>
    </w:p>
    <w:p w14:paraId="20494AD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14:paraId="36C97EC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基金的投资组合比例为：本基金投资于债券资产的比例不低于基金资产的</w:t>
      </w:r>
      <w:r>
        <w:rPr>
          <w:rFonts w:ascii="Times New Roman" w:hAnsi="Times New Roman"/>
          <w:sz w:val="24"/>
        </w:rPr>
        <w:t>80%</w:t>
      </w:r>
      <w:r>
        <w:rPr>
          <w:rFonts w:ascii="Times New Roman" w:hAnsi="Times New Roman"/>
          <w:sz w:val="24"/>
        </w:rPr>
        <w:t>，现金或到期日在一年以内的政府债券的投资比例合计不低于基金资产净值的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14:paraId="6B11D87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14:paraId="26A97378"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（三）投资策略</w:t>
      </w:r>
    </w:p>
    <w:p w14:paraId="4DBF855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p w14:paraId="476BC7D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、大类资产配置</w:t>
      </w:r>
    </w:p>
    <w:p w14:paraId="0CDDECB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本基金在分析和判断国内外宏观经济形势的基础上，通过</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的定性</w:t>
      </w:r>
    </w:p>
    <w:p w14:paraId="38CE835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分析和定量分析相结合，形成对大类资产的预测和判断，在基金合同约定的范围内确定债券类资产和现金类资产的配置比例，并随着各类证券风险收益特征的相对变化，动态调整大类资产的投资比例，以规避市场风险，提高基金收益率。</w:t>
      </w:r>
    </w:p>
    <w:p w14:paraId="659090A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、债券投资策略</w:t>
      </w:r>
    </w:p>
    <w:p w14:paraId="760ACC9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）久期管理策略</w:t>
      </w:r>
    </w:p>
    <w:p w14:paraId="17574F8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作为债券基金最基本的投资策略，久期管理策略本质上是一种自上而下，通过灵活的久期策略对管理利率风险的策略。</w:t>
      </w:r>
    </w:p>
    <w:p w14:paraId="0B92374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全球经济的框架下，本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035F346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基金管理人通过以下方面的分析来确定债券组合的目标久期：</w:t>
      </w:r>
    </w:p>
    <w:p w14:paraId="7669065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36250BA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）利率变动趋势分析。在宏观经济环境分析的基础上，密切关注月度</w:t>
      </w:r>
      <w:r>
        <w:rPr>
          <w:rFonts w:ascii="Times New Roman" w:hAnsi="Times New Roman"/>
          <w:sz w:val="24"/>
        </w:rPr>
        <w:t>CPI</w:t>
      </w:r>
      <w:r>
        <w:rPr>
          <w:rFonts w:ascii="Times New Roman" w:hAnsi="Times New Roman"/>
          <w:sz w:val="24"/>
        </w:rPr>
        <w:t>、</w:t>
      </w:r>
      <w:r>
        <w:rPr>
          <w:rFonts w:ascii="Times New Roman" w:hAnsi="Times New Roman"/>
          <w:sz w:val="24"/>
        </w:rPr>
        <w:t>PPI</w:t>
      </w:r>
      <w:r>
        <w:rPr>
          <w:rFonts w:ascii="Times New Roman" w:hAnsi="Times New Roman"/>
          <w:sz w:val="24"/>
        </w:rPr>
        <w:t>等物价指数，货币信贷、汇率等金融运行数据，预测未来利率的变动趋势。</w:t>
      </w:r>
    </w:p>
    <w:p w14:paraId="463DBE3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9B64F8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721656F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）期限结构配置策略</w:t>
      </w:r>
    </w:p>
    <w:p w14:paraId="5E1443C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A7862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）债券的类别配置策略</w:t>
      </w:r>
    </w:p>
    <w:p w14:paraId="076716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对不同类别债券的信用风险、税赋水平、市场流动性、市场风险等因素进行分析，综合评估相同期限的国债、金融债、企业债、交易所和银行间市场投资品种的</w:t>
      </w:r>
      <w:r>
        <w:rPr>
          <w:rFonts w:ascii="Times New Roman" w:hAnsi="Times New Roman"/>
          <w:sz w:val="24"/>
        </w:rPr>
        <w:lastRenderedPageBreak/>
        <w:t>利差和变化趋势，通过不同类别资产的风险调整后收益比较，确定组合的类别资产配置。</w:t>
      </w:r>
    </w:p>
    <w:p w14:paraId="18CF46F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）骑乘策略</w:t>
      </w:r>
    </w:p>
    <w:p w14:paraId="62E3288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F96D45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）杠杆放大策略</w:t>
      </w:r>
    </w:p>
    <w:p w14:paraId="185C7C1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当回购利率低于债券收益率时，本基金将实施正回购融入资金并投资于信用债券等可投资标的，从而获取收益率超出回购资金成本（即回购利率）的套利价值。</w:t>
      </w:r>
    </w:p>
    <w:p w14:paraId="2F10AB6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）信用债券投资策略</w:t>
      </w:r>
    </w:p>
    <w:p w14:paraId="2D8CB21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本基金信用债券的投资遵循以下流程：</w:t>
      </w:r>
    </w:p>
    <w:p w14:paraId="0997DE4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）信用债券研究</w:t>
      </w:r>
    </w:p>
    <w:p w14:paraId="2236910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信用分析师通过系统的案头研究、走访发行主体、咨询发行中介等各种形式，</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地分析宏观经济运行趋势、行业（或产业）经济前景，</w:t>
      </w:r>
      <w:r>
        <w:rPr>
          <w:rFonts w:ascii="Times New Roman" w:hAnsi="Times New Roman"/>
          <w:sz w:val="24"/>
        </w:rPr>
        <w:t>“</w:t>
      </w:r>
      <w:r>
        <w:rPr>
          <w:rFonts w:ascii="Times New Roman" w:hAnsi="Times New Roman"/>
          <w:sz w:val="24"/>
        </w:rPr>
        <w:t>自下而上</w:t>
      </w:r>
      <w:r>
        <w:rPr>
          <w:rFonts w:ascii="Times New Roman" w:hAnsi="Times New Roman"/>
          <w:sz w:val="24"/>
        </w:rPr>
        <w:t>”</w:t>
      </w:r>
      <w:r>
        <w:rPr>
          <w:rFonts w:ascii="Times New Roman" w:hAnsi="Times New Roman"/>
          <w:sz w:val="24"/>
        </w:rPr>
        <w:t>地分析发行主体的发展前景、偿债能力、国家信用支撑等。通过交银施罗德的信用债券信用评级指标体系，对信用债券进行信用评级，并在信用评级的基础上，建立本基金的信用债券池。</w:t>
      </w:r>
    </w:p>
    <w:p w14:paraId="22656C9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）信用债券投资</w:t>
      </w:r>
    </w:p>
    <w:p w14:paraId="2804A50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基金经理从信用债券池中精选债券构建信用债券投资组合。</w:t>
      </w:r>
    </w:p>
    <w:p w14:paraId="553C60F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本基金构建和管理信用债券投资组合时主要考虑以下因素：</w:t>
      </w:r>
    </w:p>
    <w:p w14:paraId="08602ED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信用债券信用评级的变化。</w:t>
      </w:r>
    </w:p>
    <w:p w14:paraId="6CF1721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不同信用等级的信用债券，以及同一信用等级不同标的债券之间的信用利差变化。</w:t>
      </w:r>
    </w:p>
    <w:p w14:paraId="05B234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原则上，购买信用（拟）增级的信用债券，减持信用（拟）降级的信用债券；购买信用利差扩大后存在收窄趋势的信用债券，减持信用利差缩小后存在放宽趋势的信用债券。</w:t>
      </w:r>
    </w:p>
    <w:p w14:paraId="20A02D2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）资产支持证券投资策略</w:t>
      </w:r>
    </w:p>
    <w:p w14:paraId="3BF22AF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466CC6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8</w:t>
      </w:r>
      <w:r>
        <w:rPr>
          <w:rFonts w:ascii="Times New Roman" w:hAnsi="Times New Roman"/>
          <w:sz w:val="24"/>
        </w:rPr>
        <w:t>）中小企业私募债券投资策略</w:t>
      </w:r>
    </w:p>
    <w:p w14:paraId="06BC454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7FB9FDDE"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（四）投资限制</w:t>
      </w:r>
    </w:p>
    <w:p w14:paraId="1D4D286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、组合限制</w:t>
      </w:r>
    </w:p>
    <w:p w14:paraId="3412FF7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基金的投资组合应遵循以下限制：</w:t>
      </w:r>
    </w:p>
    <w:p w14:paraId="57DF0CC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）本基金投资于债券资产的比例不低于基金资产的</w:t>
      </w:r>
      <w:r>
        <w:rPr>
          <w:rFonts w:ascii="Times New Roman" w:hAnsi="Times New Roman"/>
          <w:sz w:val="24"/>
        </w:rPr>
        <w:t>80%</w:t>
      </w:r>
      <w:r>
        <w:rPr>
          <w:rFonts w:ascii="Times New Roman" w:hAnsi="Times New Roman"/>
          <w:sz w:val="24"/>
        </w:rPr>
        <w:t>；</w:t>
      </w:r>
    </w:p>
    <w:p w14:paraId="22F965D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54C4AA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）本基金持有一家公司发行的证券，其市值不超过基金资产净值的</w:t>
      </w:r>
      <w:r>
        <w:rPr>
          <w:rFonts w:ascii="Times New Roman" w:hAnsi="Times New Roman"/>
          <w:sz w:val="24"/>
        </w:rPr>
        <w:t>10%</w:t>
      </w:r>
      <w:r>
        <w:rPr>
          <w:rFonts w:ascii="Times New Roman" w:hAnsi="Times New Roman"/>
          <w:sz w:val="24"/>
        </w:rPr>
        <w:t>；</w:t>
      </w:r>
    </w:p>
    <w:p w14:paraId="17C01A6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14:paraId="3FC15D1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14:paraId="781C673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）本基金管理人管理的全部基金持有的同一权证，不得超过该权证的</w:t>
      </w:r>
      <w:r>
        <w:rPr>
          <w:rFonts w:ascii="Times New Roman" w:hAnsi="Times New Roman"/>
          <w:sz w:val="24"/>
        </w:rPr>
        <w:t xml:space="preserve"> 10%</w:t>
      </w:r>
      <w:r>
        <w:rPr>
          <w:rFonts w:ascii="Times New Roman" w:hAnsi="Times New Roman"/>
          <w:sz w:val="24"/>
        </w:rPr>
        <w:t>；</w:t>
      </w:r>
    </w:p>
    <w:p w14:paraId="74B05D2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2CF1A50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4D543ED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14:paraId="33FB239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4490D9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14:paraId="03F223B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12</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；本基金在全国银行间同业市场中的债券回购最长期限为</w:t>
      </w:r>
      <w:r>
        <w:rPr>
          <w:rFonts w:ascii="Times New Roman" w:hAnsi="Times New Roman"/>
          <w:sz w:val="24"/>
        </w:rPr>
        <w:t>1</w:t>
      </w:r>
      <w:r>
        <w:rPr>
          <w:rFonts w:ascii="Times New Roman" w:hAnsi="Times New Roman"/>
          <w:sz w:val="24"/>
        </w:rPr>
        <w:t>年，债券回购到期后不得展期；</w:t>
      </w:r>
    </w:p>
    <w:p w14:paraId="7B4FB86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）本基金持有单只中小企业私募债券，其市值不得超过基金资产净值的</w:t>
      </w:r>
      <w:r>
        <w:rPr>
          <w:rFonts w:ascii="Times New Roman" w:hAnsi="Times New Roman"/>
          <w:sz w:val="24"/>
        </w:rPr>
        <w:t>10%</w:t>
      </w:r>
      <w:r>
        <w:rPr>
          <w:rFonts w:ascii="Times New Roman" w:hAnsi="Times New Roman"/>
          <w:sz w:val="24"/>
        </w:rPr>
        <w:t>；</w:t>
      </w:r>
    </w:p>
    <w:p w14:paraId="3C63353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）本基金的基金资产总值不得超过基金资产净值的</w:t>
      </w:r>
      <w:r>
        <w:rPr>
          <w:rFonts w:ascii="Times New Roman" w:hAnsi="Times New Roman"/>
          <w:sz w:val="24"/>
        </w:rPr>
        <w:t>140%</w:t>
      </w:r>
      <w:r>
        <w:rPr>
          <w:rFonts w:ascii="Times New Roman" w:hAnsi="Times New Roman"/>
          <w:sz w:val="24"/>
        </w:rPr>
        <w:t>；</w:t>
      </w:r>
    </w:p>
    <w:p w14:paraId="44FD767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4AB78EB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；因证券市场波动、基金规模变动等基金管理人之外的因素致使基金不符合该比例限制的，基金管理人不得主动新增流动性受限资产的投资；</w:t>
      </w:r>
    </w:p>
    <w:p w14:paraId="7EEC207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）法律法规及中国证监会规定的和《基金合同》约定的其他投资限制。</w:t>
      </w:r>
    </w:p>
    <w:p w14:paraId="43A617F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F3764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2</w:t>
      </w:r>
      <w:r>
        <w:rPr>
          <w:rFonts w:ascii="Times New Roman" w:hAnsi="Times New Roman"/>
          <w:sz w:val="24"/>
        </w:rPr>
        <w:t>）、（</w:t>
      </w:r>
      <w:r>
        <w:rPr>
          <w:rFonts w:ascii="Times New Roman" w:hAnsi="Times New Roman"/>
          <w:sz w:val="24"/>
        </w:rPr>
        <w:t>11</w:t>
      </w:r>
      <w:r>
        <w:rPr>
          <w:rFonts w:ascii="Times New Roman" w:hAnsi="Times New Roman"/>
          <w:sz w:val="24"/>
        </w:rPr>
        <w:t>）、（</w:t>
      </w:r>
      <w:r>
        <w:rPr>
          <w:rFonts w:ascii="Times New Roman" w:hAnsi="Times New Roman"/>
          <w:sz w:val="24"/>
        </w:rPr>
        <w:t>15</w:t>
      </w:r>
      <w:r>
        <w:rPr>
          <w:rFonts w:ascii="Times New Roman" w:hAnsi="Times New Roman"/>
          <w:sz w:val="24"/>
        </w:rPr>
        <w:t>）、（</w:t>
      </w:r>
      <w:r>
        <w:rPr>
          <w:rFonts w:ascii="Times New Roman" w:hAnsi="Times New Roman"/>
          <w:sz w:val="24"/>
        </w:rPr>
        <w:t>16</w:t>
      </w:r>
      <w:r>
        <w:rPr>
          <w:rFonts w:ascii="Times New Roman" w:hAnsi="Times New Roman"/>
          <w:sz w:val="24"/>
        </w:rPr>
        <w:t>）项外，因证券市场波动、证券发行人合并、基金规模变动、股权分置改革中支付对价等基金管理人之外的因素致使基金投资比例不符合上述规定投资比例的，基金管理人应当在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14:paraId="780CE65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21EE91E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法律法规对上述投资组合比例限制进行变更的，以变更后的规定为准。法律法规或监管部门取消上述限制，如适用于本基金，基金管理人在履行适当程序后，则</w:t>
      </w:r>
      <w:r>
        <w:rPr>
          <w:rFonts w:ascii="Times New Roman" w:hAnsi="Times New Roman"/>
          <w:sz w:val="24"/>
        </w:rPr>
        <w:lastRenderedPageBreak/>
        <w:t>本基金投资不再受相关限制。</w:t>
      </w:r>
    </w:p>
    <w:p w14:paraId="5860C24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、禁止行为</w:t>
      </w:r>
    </w:p>
    <w:p w14:paraId="1309284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为维护基金份额持有人的合法权益，基金财产不得用于下列投资或者活动：</w:t>
      </w:r>
    </w:p>
    <w:p w14:paraId="615C195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14:paraId="25460D9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）违反规定向他人贷款或者提供担保；</w:t>
      </w:r>
    </w:p>
    <w:p w14:paraId="0B84C0B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14:paraId="7EE1D1F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）买卖其他基金份额，但是中国证监会另有规定的除外；</w:t>
      </w:r>
    </w:p>
    <w:p w14:paraId="384003D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w:t>
      </w:r>
    </w:p>
    <w:p w14:paraId="0AE0EBC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）从事内幕交易、操纵证券交易价格及其他不正当的证券交易活动；</w:t>
      </w:r>
    </w:p>
    <w:p w14:paraId="71C14D5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）法律、行政法规和中国证监会规定禁止的其他活动。</w:t>
      </w:r>
    </w:p>
    <w:p w14:paraId="1FC0D09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如法律、行政法规或监管部门取消上述禁止性规定，如适用于本基金，基金管理人在履行适当程序后，本基金可不受上述规定的限制。</w:t>
      </w:r>
    </w:p>
    <w:p w14:paraId="430FA798"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（五）业绩比较基准</w:t>
      </w:r>
    </w:p>
    <w:p w14:paraId="4A9D51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中债综合全价指数</w:t>
      </w:r>
    </w:p>
    <w:p w14:paraId="104D83A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08C189A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3CB4EB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（六）风险收益特征</w:t>
      </w:r>
    </w:p>
    <w:p w14:paraId="2996D9E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本基金是一只债券型基金，其风险与预期收益高于货币市场基金，低于混合型基金和股票型基金，属于证券投资基金中中等风险的品种。根据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1B317710"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（七）基金管理人代表基金行使债权人权利的处理原则及方法</w:t>
      </w:r>
    </w:p>
    <w:p w14:paraId="53B170F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、基金管理人按照国家有关规定代表基金独立行使债权人权利，保护基金份额持有人的利益；</w:t>
      </w:r>
    </w:p>
    <w:p w14:paraId="59485B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14:paraId="47D8C91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62A7AE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6280A2B8" w14:textId="77777777" w:rsidR="002A6257" w:rsidRPr="002A6257" w:rsidRDefault="000F1A23" w:rsidP="002A6257">
      <w:pPr>
        <w:autoSpaceDE w:val="0"/>
        <w:autoSpaceDN w:val="0"/>
        <w:adjustRightInd w:val="0"/>
        <w:snapToGrid w:val="0"/>
        <w:spacing w:line="360" w:lineRule="auto"/>
        <w:ind w:firstLineChars="200" w:firstLine="422"/>
        <w:rPr>
          <w:rFonts w:ascii="宋体" w:hAnsi="宋体"/>
          <w:b/>
          <w:szCs w:val="24"/>
        </w:rPr>
      </w:pPr>
      <w:r w:rsidRPr="00BB248E">
        <w:rPr>
          <w:rFonts w:ascii="宋体" w:hAnsi="宋体" w:hint="eastAsia"/>
          <w:b/>
          <w:szCs w:val="24"/>
        </w:rPr>
        <w:t>（八）</w:t>
      </w:r>
      <w:r w:rsidR="002A6257" w:rsidRPr="002A6257">
        <w:rPr>
          <w:rFonts w:ascii="宋体" w:hAnsi="宋体" w:hint="eastAsia"/>
          <w:b/>
          <w:szCs w:val="24"/>
        </w:rPr>
        <w:t>侧袋机制的实施和投资运作安排</w:t>
      </w:r>
    </w:p>
    <w:p w14:paraId="7BEF4EFF" w14:textId="77777777" w:rsidR="002A6257" w:rsidRPr="002A6257" w:rsidRDefault="002A6257" w:rsidP="002A6257">
      <w:pPr>
        <w:autoSpaceDE w:val="0"/>
        <w:autoSpaceDN w:val="0"/>
        <w:adjustRightInd w:val="0"/>
        <w:snapToGrid w:val="0"/>
        <w:spacing w:line="360" w:lineRule="auto"/>
        <w:ind w:firstLineChars="200" w:firstLine="480"/>
        <w:rPr>
          <w:rFonts w:ascii="Times New Roman" w:hAnsi="Times New Roman"/>
          <w:sz w:val="24"/>
        </w:rPr>
      </w:pPr>
      <w:r w:rsidRPr="002A6257">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6B68AE5" w14:textId="77777777" w:rsidR="002A6257" w:rsidRPr="002A6257" w:rsidRDefault="002A6257" w:rsidP="002A6257">
      <w:pPr>
        <w:autoSpaceDE w:val="0"/>
        <w:autoSpaceDN w:val="0"/>
        <w:adjustRightInd w:val="0"/>
        <w:snapToGrid w:val="0"/>
        <w:spacing w:line="360" w:lineRule="auto"/>
        <w:ind w:firstLineChars="200" w:firstLine="480"/>
        <w:rPr>
          <w:rFonts w:ascii="Times New Roman" w:hAnsi="Times New Roman"/>
          <w:sz w:val="24"/>
        </w:rPr>
      </w:pPr>
      <w:r w:rsidRPr="002A6257">
        <w:rPr>
          <w:rFonts w:ascii="Times New Roman" w:hAnsi="Times New Roman" w:hint="eastAsia"/>
          <w:sz w:val="24"/>
        </w:rPr>
        <w:t>侧袋机制实施期间，本部分约定的投资组合比例、投资策略、组合限制、业绩比较基准、风险收益特征等约定仅适用于主袋账户。</w:t>
      </w:r>
    </w:p>
    <w:p w14:paraId="43FB2937" w14:textId="77777777" w:rsidR="002A6257" w:rsidRPr="002A6257" w:rsidRDefault="002A6257" w:rsidP="002A6257">
      <w:pPr>
        <w:autoSpaceDE w:val="0"/>
        <w:autoSpaceDN w:val="0"/>
        <w:adjustRightInd w:val="0"/>
        <w:snapToGrid w:val="0"/>
        <w:spacing w:line="360" w:lineRule="auto"/>
        <w:ind w:firstLineChars="200" w:firstLine="480"/>
        <w:rPr>
          <w:rFonts w:ascii="Times New Roman" w:hAnsi="Times New Roman"/>
          <w:sz w:val="24"/>
        </w:rPr>
      </w:pPr>
      <w:r w:rsidRPr="002A6257">
        <w:rPr>
          <w:rFonts w:ascii="Times New Roman" w:hAnsi="Times New Roman" w:hint="eastAsia"/>
          <w:sz w:val="24"/>
        </w:rPr>
        <w:t>侧袋账户的实施条件、实施程序、运作安排、投资安排、特定资产的处置变现和支付等对投资者权益有重大影响的事项详见本招募说明书“侧袋</w:t>
      </w:r>
      <w:r w:rsidRPr="002A6257">
        <w:rPr>
          <w:rFonts w:ascii="Times New Roman" w:hAnsi="Times New Roman"/>
          <w:sz w:val="24"/>
        </w:rPr>
        <w:t>机制</w:t>
      </w:r>
      <w:r w:rsidRPr="002A6257">
        <w:rPr>
          <w:rFonts w:ascii="Times New Roman" w:hAnsi="Times New Roman"/>
          <w:sz w:val="24"/>
        </w:rPr>
        <w:t>”</w:t>
      </w:r>
      <w:r w:rsidRPr="002A6257">
        <w:rPr>
          <w:rFonts w:ascii="Times New Roman" w:hAnsi="Times New Roman" w:hint="eastAsia"/>
          <w:sz w:val="24"/>
        </w:rPr>
        <w:t>部分的规定。</w:t>
      </w:r>
    </w:p>
    <w:p w14:paraId="55E61B70" w14:textId="1568FB66" w:rsidR="00DC3364" w:rsidRDefault="002A6257" w:rsidP="002A6257">
      <w:pPr>
        <w:autoSpaceDE w:val="0"/>
        <w:autoSpaceDN w:val="0"/>
        <w:adjustRightInd w:val="0"/>
        <w:snapToGrid w:val="0"/>
        <w:spacing w:line="360" w:lineRule="auto"/>
        <w:ind w:firstLineChars="200" w:firstLine="422"/>
        <w:rPr>
          <w:rFonts w:ascii="宋体" w:hAnsi="宋体"/>
          <w:szCs w:val="24"/>
        </w:rPr>
      </w:pPr>
      <w:r w:rsidRPr="002A6257">
        <w:rPr>
          <w:rFonts w:ascii="宋体" w:hAnsi="宋体" w:hint="eastAsia"/>
          <w:b/>
          <w:szCs w:val="24"/>
        </w:rPr>
        <w:t>（九</w:t>
      </w:r>
      <w:r w:rsidRPr="002A6257">
        <w:rPr>
          <w:rFonts w:ascii="宋体" w:hAnsi="宋体"/>
          <w:b/>
          <w:szCs w:val="24"/>
        </w:rPr>
        <w:t>）</w:t>
      </w:r>
      <w:r w:rsidR="000F1A23" w:rsidRPr="00BB248E">
        <w:rPr>
          <w:rFonts w:ascii="宋体" w:hAnsi="宋体" w:hint="eastAsia"/>
          <w:b/>
          <w:szCs w:val="24"/>
        </w:rPr>
        <w:t>投资决策依据和投资流程</w:t>
      </w:r>
    </w:p>
    <w:p w14:paraId="77B76EA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、投资决策依据</w:t>
      </w:r>
    </w:p>
    <w:p w14:paraId="531DDEA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14:paraId="3BF2A3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）公司投资及风险控制政策；</w:t>
      </w:r>
    </w:p>
    <w:p w14:paraId="6665038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）宏观经济发展态势、证券市场运行环境和走势，以及上市公司的基本面；</w:t>
      </w:r>
    </w:p>
    <w:p w14:paraId="4C4556E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）投资对象的预期收益和预期风险的匹配关系，本基金将在承担适度风险的范围内，选择收益风险配比最佳的品种进行投资。</w:t>
      </w:r>
    </w:p>
    <w:p w14:paraId="1B23448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、投资决策机制</w:t>
      </w:r>
    </w:p>
    <w:p w14:paraId="3309489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6317B6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14:paraId="3357F60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w:t>
      </w:r>
      <w:r>
        <w:rPr>
          <w:rFonts w:ascii="Times New Roman" w:hAnsi="Times New Roman"/>
          <w:sz w:val="24"/>
        </w:rPr>
        <w:lastRenderedPageBreak/>
        <w:t>功能，保证基金经理的投资指令在合法、合规的前提下得到高效的执行。</w:t>
      </w:r>
    </w:p>
    <w:p w14:paraId="508591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、投资管理流程</w:t>
      </w:r>
    </w:p>
    <w:p w14:paraId="2F2CC9F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644D3E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）研究部宏观分析师、策略分析师、行业分析师、信用分析师、数量分析师各自独立完成相应的研究报告，为投资决策提供依据；</w:t>
      </w:r>
    </w:p>
    <w:p w14:paraId="026F4D8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）投资决策委员会每月召开投资决策会议，对资产配置比例提出指导性意见，并讨论股票、债券的投资重点等；</w:t>
      </w:r>
    </w:p>
    <w:p w14:paraId="02FD6AE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EFB620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）基金经理根据基金投资组合方案，向中央交易室下达交易指令；</w:t>
      </w:r>
    </w:p>
    <w:p w14:paraId="1CEDBC2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）交易指令通过风控系统的自动合规核查后，由中央交易室执行，中央交易室对交易情况及时反馈；</w:t>
      </w:r>
    </w:p>
    <w:p w14:paraId="6756F24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）基金经理对每日交易执行情况进行回顾，并审视基金投资组合的变动情况；</w:t>
      </w:r>
    </w:p>
    <w:p w14:paraId="0D99D2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）风险管理部定期完成有关投资风险监控报告，量化投资部定期完成基金业绩评估报告。</w:t>
      </w:r>
    </w:p>
    <w:p w14:paraId="612C8B1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投资决策委员会有权根据市场变化和实际情况的需要，对上述投资管理程序作出调整。</w:t>
      </w:r>
    </w:p>
    <w:p w14:paraId="04E15D29" w14:textId="4E7A00D9"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w:t>
      </w:r>
      <w:r w:rsidR="002A6257">
        <w:rPr>
          <w:rFonts w:ascii="宋体" w:hAnsi="宋体" w:hint="eastAsia"/>
          <w:b/>
          <w:szCs w:val="24"/>
        </w:rPr>
        <w:t>十</w:t>
      </w:r>
      <w:r w:rsidRPr="00BB248E">
        <w:rPr>
          <w:rFonts w:ascii="宋体" w:hAnsi="宋体" w:hint="eastAsia"/>
          <w:b/>
          <w:szCs w:val="24"/>
        </w:rPr>
        <w:t>）基金投资组合报告</w:t>
      </w:r>
    </w:p>
    <w:p w14:paraId="54BF92E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w:t>
      </w:r>
      <w:r>
        <w:rPr>
          <w:rFonts w:ascii="Times New Roman" w:hAnsi="Times New Roman"/>
          <w:sz w:val="24"/>
        </w:rPr>
        <w:t>,</w:t>
      </w:r>
      <w:r>
        <w:rPr>
          <w:rFonts w:ascii="Times New Roman" w:hAnsi="Times New Roman"/>
          <w:sz w:val="24"/>
        </w:rPr>
        <w:t>并对其内容的真实性、准确性和完整性承担个别及连带责任。</w:t>
      </w:r>
    </w:p>
    <w:p w14:paraId="5473C4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本基金托管人兴业银行股份有限公司根据本基金合同规定，于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27</w:t>
      </w:r>
      <w:r>
        <w:rPr>
          <w:rFonts w:ascii="Times New Roman" w:hAnsi="Times New Roman"/>
          <w:sz w:val="24"/>
        </w:rPr>
        <w:t>日复核了本报告中的财务指标、净值表现和投资组合报告等内容，保证复核内容不存在虚假记载、误导性陈述或者重大遗漏。</w:t>
      </w:r>
    </w:p>
    <w:p w14:paraId="78388E9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本报告期为</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9</w:t>
      </w:r>
      <w:r>
        <w:rPr>
          <w:rFonts w:ascii="Times New Roman" w:hAnsi="Times New Roman"/>
          <w:sz w:val="24"/>
        </w:rPr>
        <w:t>月</w:t>
      </w:r>
      <w:r>
        <w:rPr>
          <w:rFonts w:ascii="Times New Roman" w:hAnsi="Times New Roman"/>
          <w:sz w:val="24"/>
        </w:rPr>
        <w:t>30</w:t>
      </w:r>
      <w:r>
        <w:rPr>
          <w:rFonts w:ascii="Times New Roman" w:hAnsi="Times New Roman"/>
          <w:sz w:val="24"/>
        </w:rPr>
        <w:t>日。本报告财务资料未经审计师审计。</w:t>
      </w:r>
    </w:p>
    <w:p w14:paraId="2CC2235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14:paraId="2ED1E81E" w14:textId="77777777" w:rsidR="00DC3364" w:rsidRDefault="000F1A23">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C3364" w14:paraId="3486A33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C28CE2"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3A3869A"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436FAD3E"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14:paraId="2E56018F"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C3364" w14:paraId="39EF5E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304DC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42461C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12C7AF4A"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9C72DE"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3D0252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1B7CBB"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C8CD89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525DFDB5"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ADAF552"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0E8A4F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2616E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948BB4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5644C70A"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794B256"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0E1BAE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208AA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A73EF7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2CB6E7D3"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618,383,000.00</w:t>
            </w:r>
          </w:p>
        </w:tc>
        <w:tc>
          <w:tcPr>
            <w:tcW w:w="400" w:type="pct"/>
            <w:tcBorders>
              <w:top w:val="single" w:sz="4" w:space="0" w:color="auto"/>
              <w:left w:val="single" w:sz="4" w:space="0" w:color="auto"/>
              <w:bottom w:val="single" w:sz="4" w:space="0" w:color="auto"/>
              <w:right w:val="single" w:sz="4" w:space="0" w:color="auto"/>
            </w:tcBorders>
            <w:vAlign w:val="center"/>
          </w:tcPr>
          <w:p w14:paraId="7FE84E95"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98.32</w:t>
            </w:r>
          </w:p>
        </w:tc>
      </w:tr>
      <w:tr w:rsidR="00DC3364" w14:paraId="75D48B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034962"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423145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40D0EC82"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618,383,000.00</w:t>
            </w:r>
          </w:p>
        </w:tc>
        <w:tc>
          <w:tcPr>
            <w:tcW w:w="400" w:type="pct"/>
            <w:tcBorders>
              <w:top w:val="single" w:sz="4" w:space="0" w:color="auto"/>
              <w:left w:val="single" w:sz="4" w:space="0" w:color="auto"/>
              <w:bottom w:val="single" w:sz="4" w:space="0" w:color="auto"/>
              <w:right w:val="single" w:sz="4" w:space="0" w:color="auto"/>
            </w:tcBorders>
            <w:vAlign w:val="center"/>
          </w:tcPr>
          <w:p w14:paraId="2A0DFDF6"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98.32</w:t>
            </w:r>
          </w:p>
        </w:tc>
      </w:tr>
      <w:tr w:rsidR="00DC3364" w14:paraId="7A1925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050619"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9C7F56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471D4D4D"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A2B4C41"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5C9E36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CC925A"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0174ED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6938D7F6"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4C1DF3E"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772F3A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9AB277"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5BD41E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1896A12D"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5B1F5CA"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210039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DC4F5F"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3DDE0B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2032B05"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E96246D"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55EC66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AF624E"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35B002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5210239"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E5F37CB"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379C8F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364A0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2C2A88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60C8803C"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271,553.20</w:t>
            </w:r>
          </w:p>
        </w:tc>
        <w:tc>
          <w:tcPr>
            <w:tcW w:w="400" w:type="pct"/>
            <w:tcBorders>
              <w:top w:val="single" w:sz="4" w:space="0" w:color="auto"/>
              <w:left w:val="single" w:sz="4" w:space="0" w:color="auto"/>
              <w:bottom w:val="single" w:sz="4" w:space="0" w:color="auto"/>
              <w:right w:val="single" w:sz="4" w:space="0" w:color="auto"/>
            </w:tcBorders>
            <w:vAlign w:val="center"/>
          </w:tcPr>
          <w:p w14:paraId="06EC704B"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DC3364" w14:paraId="7975FA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33C8E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9AE5C7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14:paraId="711F382B"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10,315,882.14</w:t>
            </w:r>
          </w:p>
        </w:tc>
        <w:tc>
          <w:tcPr>
            <w:tcW w:w="400" w:type="pct"/>
            <w:tcBorders>
              <w:top w:val="single" w:sz="4" w:space="0" w:color="auto"/>
              <w:left w:val="single" w:sz="4" w:space="0" w:color="auto"/>
              <w:bottom w:val="single" w:sz="4" w:space="0" w:color="auto"/>
              <w:right w:val="single" w:sz="4" w:space="0" w:color="auto"/>
            </w:tcBorders>
            <w:vAlign w:val="center"/>
          </w:tcPr>
          <w:p w14:paraId="55BAC720"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1.64</w:t>
            </w:r>
          </w:p>
        </w:tc>
      </w:tr>
      <w:tr w:rsidR="00DC3364" w14:paraId="4DBF0B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06C659"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4F4277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59ABF9F"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628,970,435.34</w:t>
            </w:r>
          </w:p>
        </w:tc>
        <w:tc>
          <w:tcPr>
            <w:tcW w:w="400" w:type="pct"/>
            <w:tcBorders>
              <w:top w:val="single" w:sz="4" w:space="0" w:color="auto"/>
              <w:left w:val="single" w:sz="4" w:space="0" w:color="auto"/>
              <w:bottom w:val="single" w:sz="4" w:space="0" w:color="auto"/>
              <w:right w:val="single" w:sz="4" w:space="0" w:color="auto"/>
            </w:tcBorders>
            <w:vAlign w:val="center"/>
          </w:tcPr>
          <w:p w14:paraId="5CB603DD"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352CF66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14:paraId="18F49C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报告期末按行业分类的境内股票投资组合</w:t>
      </w:r>
    </w:p>
    <w:p w14:paraId="7B16CDB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本基金本报告期末未持有股票。</w:t>
      </w:r>
    </w:p>
    <w:p w14:paraId="34DDFD7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报告期末按行业分类的港股通投资股票投资组合</w:t>
      </w:r>
    </w:p>
    <w:p w14:paraId="43522D0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14:paraId="42963B1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报告期末按公允价值占基金资产净值比例大小排序的前十名股票投资明细</w:t>
      </w:r>
    </w:p>
    <w:p w14:paraId="18668B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本基金本报告期末未持有股票。</w:t>
      </w:r>
    </w:p>
    <w:p w14:paraId="3108170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14:paraId="1E692CF5" w14:textId="77777777" w:rsidR="00DC3364" w:rsidRDefault="000F1A23">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C3364" w14:paraId="0E6626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EE87AC"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30D7B51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vAlign w:val="center"/>
          </w:tcPr>
          <w:p w14:paraId="5E4A100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5A551DD4"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DC3364" w14:paraId="1A433D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E2F06D"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02E7EA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52BEC76E"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BF5A837"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5F9E72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951A15"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3166B8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5E28C47B"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068EBB"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54F276D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ABC384"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4787B7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5D2650C3"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618,383,000.00</w:t>
            </w:r>
          </w:p>
        </w:tc>
        <w:tc>
          <w:tcPr>
            <w:tcW w:w="400" w:type="pct"/>
            <w:tcBorders>
              <w:top w:val="single" w:sz="4" w:space="0" w:color="auto"/>
              <w:left w:val="single" w:sz="4" w:space="0" w:color="auto"/>
              <w:bottom w:val="single" w:sz="4" w:space="0" w:color="auto"/>
              <w:right w:val="single" w:sz="4" w:space="0" w:color="auto"/>
            </w:tcBorders>
            <w:vAlign w:val="center"/>
          </w:tcPr>
          <w:p w14:paraId="21F52754"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105.81</w:t>
            </w:r>
          </w:p>
        </w:tc>
      </w:tr>
      <w:tr w:rsidR="00DC3364" w14:paraId="00EA28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C6E2B6"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CF4459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121DC9C9"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618,383,000.00</w:t>
            </w:r>
          </w:p>
        </w:tc>
        <w:tc>
          <w:tcPr>
            <w:tcW w:w="400" w:type="pct"/>
            <w:tcBorders>
              <w:top w:val="single" w:sz="4" w:space="0" w:color="auto"/>
              <w:left w:val="single" w:sz="4" w:space="0" w:color="auto"/>
              <w:bottom w:val="single" w:sz="4" w:space="0" w:color="auto"/>
              <w:right w:val="single" w:sz="4" w:space="0" w:color="auto"/>
            </w:tcBorders>
            <w:vAlign w:val="center"/>
          </w:tcPr>
          <w:p w14:paraId="1BD2CC09"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105.81</w:t>
            </w:r>
          </w:p>
        </w:tc>
      </w:tr>
      <w:tr w:rsidR="00DC3364" w14:paraId="6B4DEA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243952"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2B7BA0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D69AA6D"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9BBF90A"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56C23D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2139A7"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0AD746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5956E70F"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5EB1645"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22F73B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BED2E2"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w:t>
            </w:r>
          </w:p>
        </w:tc>
        <w:tc>
          <w:tcPr>
            <w:tcW w:w="750" w:type="pct"/>
            <w:tcBorders>
              <w:top w:val="single" w:sz="4" w:space="0" w:color="auto"/>
              <w:left w:val="single" w:sz="4" w:space="0" w:color="auto"/>
              <w:bottom w:val="single" w:sz="4" w:space="0" w:color="auto"/>
              <w:right w:val="single" w:sz="4" w:space="0" w:color="auto"/>
            </w:tcBorders>
            <w:vAlign w:val="center"/>
          </w:tcPr>
          <w:p w14:paraId="57AD117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2583519B"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9DE5F35"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323BBB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A1A13E"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0B3857E"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7214EE91"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8111412"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4E0B67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8B4F6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37120DE"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3606BC51"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7336D5"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2002A9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82862A"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861B80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57DE8670"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D86E0D"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387352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376AC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608B62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73FD54B"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618,383,000.00</w:t>
            </w:r>
          </w:p>
        </w:tc>
        <w:tc>
          <w:tcPr>
            <w:tcW w:w="400" w:type="pct"/>
            <w:tcBorders>
              <w:top w:val="single" w:sz="4" w:space="0" w:color="auto"/>
              <w:left w:val="single" w:sz="4" w:space="0" w:color="auto"/>
              <w:bottom w:val="single" w:sz="4" w:space="0" w:color="auto"/>
              <w:right w:val="single" w:sz="4" w:space="0" w:color="auto"/>
            </w:tcBorders>
            <w:vAlign w:val="center"/>
          </w:tcPr>
          <w:p w14:paraId="66E69F1F"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105.81</w:t>
            </w:r>
          </w:p>
        </w:tc>
      </w:tr>
    </w:tbl>
    <w:p w14:paraId="3B28952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14:paraId="1EEFFDAC" w14:textId="77777777" w:rsidR="00DC3364" w:rsidRDefault="000F1A23">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DC3364" w14:paraId="2DA4B9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E381E7"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DFB73A0"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vAlign w:val="center"/>
          </w:tcPr>
          <w:p w14:paraId="628FB2F0"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vAlign w:val="center"/>
          </w:tcPr>
          <w:p w14:paraId="3DD09E1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vAlign w:val="center"/>
          </w:tcPr>
          <w:p w14:paraId="074DD0B2"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750" w:type="pct"/>
            <w:tcBorders>
              <w:top w:val="single" w:sz="4" w:space="0" w:color="auto"/>
              <w:left w:val="single" w:sz="4" w:space="0" w:color="auto"/>
              <w:bottom w:val="single" w:sz="4" w:space="0" w:color="auto"/>
              <w:right w:val="single" w:sz="4" w:space="0" w:color="auto"/>
            </w:tcBorders>
            <w:vAlign w:val="center"/>
          </w:tcPr>
          <w:p w14:paraId="4F4BE53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DC3364" w14:paraId="56406C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72491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26B4EB2"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180412</w:t>
            </w:r>
          </w:p>
        </w:tc>
        <w:tc>
          <w:tcPr>
            <w:tcW w:w="750" w:type="pct"/>
            <w:tcBorders>
              <w:top w:val="single" w:sz="4" w:space="0" w:color="auto"/>
              <w:left w:val="single" w:sz="4" w:space="0" w:color="auto"/>
              <w:bottom w:val="single" w:sz="4" w:space="0" w:color="auto"/>
              <w:right w:val="single" w:sz="4" w:space="0" w:color="auto"/>
            </w:tcBorders>
            <w:vAlign w:val="center"/>
          </w:tcPr>
          <w:p w14:paraId="19B7043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农发</w:t>
            </w: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1D298E12"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5E3C0514"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100,390,000.00</w:t>
            </w:r>
          </w:p>
        </w:tc>
        <w:tc>
          <w:tcPr>
            <w:tcW w:w="750" w:type="pct"/>
            <w:tcBorders>
              <w:top w:val="single" w:sz="4" w:space="0" w:color="auto"/>
              <w:left w:val="single" w:sz="4" w:space="0" w:color="auto"/>
              <w:bottom w:val="single" w:sz="4" w:space="0" w:color="auto"/>
              <w:right w:val="single" w:sz="4" w:space="0" w:color="auto"/>
            </w:tcBorders>
            <w:vAlign w:val="center"/>
          </w:tcPr>
          <w:p w14:paraId="3F9BC77A"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17.18</w:t>
            </w:r>
          </w:p>
        </w:tc>
      </w:tr>
      <w:tr w:rsidR="00DC3364" w14:paraId="75B657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9A303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638759D"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190202</w:t>
            </w:r>
          </w:p>
        </w:tc>
        <w:tc>
          <w:tcPr>
            <w:tcW w:w="750" w:type="pct"/>
            <w:tcBorders>
              <w:top w:val="single" w:sz="4" w:space="0" w:color="auto"/>
              <w:left w:val="single" w:sz="4" w:space="0" w:color="auto"/>
              <w:bottom w:val="single" w:sz="4" w:space="0" w:color="auto"/>
              <w:right w:val="single" w:sz="4" w:space="0" w:color="auto"/>
            </w:tcBorders>
            <w:vAlign w:val="center"/>
          </w:tcPr>
          <w:p w14:paraId="2F04D464"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国开</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14:paraId="6754C2CA"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39C19DA5"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100,080,000.00</w:t>
            </w:r>
          </w:p>
        </w:tc>
        <w:tc>
          <w:tcPr>
            <w:tcW w:w="750" w:type="pct"/>
            <w:tcBorders>
              <w:top w:val="single" w:sz="4" w:space="0" w:color="auto"/>
              <w:left w:val="single" w:sz="4" w:space="0" w:color="auto"/>
              <w:bottom w:val="single" w:sz="4" w:space="0" w:color="auto"/>
              <w:right w:val="single" w:sz="4" w:space="0" w:color="auto"/>
            </w:tcBorders>
            <w:vAlign w:val="center"/>
          </w:tcPr>
          <w:p w14:paraId="53C989BF"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17.13</w:t>
            </w:r>
          </w:p>
        </w:tc>
      </w:tr>
      <w:tr w:rsidR="00DC3364" w14:paraId="188517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3B3DAD"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EB9F814"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190303</w:t>
            </w:r>
          </w:p>
        </w:tc>
        <w:tc>
          <w:tcPr>
            <w:tcW w:w="750" w:type="pct"/>
            <w:tcBorders>
              <w:top w:val="single" w:sz="4" w:space="0" w:color="auto"/>
              <w:left w:val="single" w:sz="4" w:space="0" w:color="auto"/>
              <w:bottom w:val="single" w:sz="4" w:space="0" w:color="auto"/>
              <w:right w:val="single" w:sz="4" w:space="0" w:color="auto"/>
            </w:tcBorders>
            <w:vAlign w:val="center"/>
          </w:tcPr>
          <w:p w14:paraId="4F6EF63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进出</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6EE7E1AF"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50C9EAA3"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99,860,000.00</w:t>
            </w:r>
          </w:p>
        </w:tc>
        <w:tc>
          <w:tcPr>
            <w:tcW w:w="750" w:type="pct"/>
            <w:tcBorders>
              <w:top w:val="single" w:sz="4" w:space="0" w:color="auto"/>
              <w:left w:val="single" w:sz="4" w:space="0" w:color="auto"/>
              <w:bottom w:val="single" w:sz="4" w:space="0" w:color="auto"/>
              <w:right w:val="single" w:sz="4" w:space="0" w:color="auto"/>
            </w:tcBorders>
            <w:vAlign w:val="center"/>
          </w:tcPr>
          <w:p w14:paraId="6D3B56FD"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17.09</w:t>
            </w:r>
          </w:p>
        </w:tc>
      </w:tr>
      <w:tr w:rsidR="00DC3364" w14:paraId="71547C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EB2E8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D64DE97"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092018001</w:t>
            </w:r>
          </w:p>
        </w:tc>
        <w:tc>
          <w:tcPr>
            <w:tcW w:w="750" w:type="pct"/>
            <w:tcBorders>
              <w:top w:val="single" w:sz="4" w:space="0" w:color="auto"/>
              <w:left w:val="single" w:sz="4" w:space="0" w:color="auto"/>
              <w:bottom w:val="single" w:sz="4" w:space="0" w:color="auto"/>
              <w:right w:val="single" w:sz="4" w:space="0" w:color="auto"/>
            </w:tcBorders>
            <w:vAlign w:val="center"/>
          </w:tcPr>
          <w:p w14:paraId="71BC0FC2"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农发清发</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56B57B90"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0B522758"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98,830,000.00</w:t>
            </w:r>
          </w:p>
        </w:tc>
        <w:tc>
          <w:tcPr>
            <w:tcW w:w="750" w:type="pct"/>
            <w:tcBorders>
              <w:top w:val="single" w:sz="4" w:space="0" w:color="auto"/>
              <w:left w:val="single" w:sz="4" w:space="0" w:color="auto"/>
              <w:bottom w:val="single" w:sz="4" w:space="0" w:color="auto"/>
              <w:right w:val="single" w:sz="4" w:space="0" w:color="auto"/>
            </w:tcBorders>
            <w:vAlign w:val="center"/>
          </w:tcPr>
          <w:p w14:paraId="69BC2140"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16.91</w:t>
            </w:r>
          </w:p>
        </w:tc>
      </w:tr>
      <w:tr w:rsidR="00DC3364" w14:paraId="503759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3DE0F0"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DEB36B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190407</w:t>
            </w:r>
          </w:p>
        </w:tc>
        <w:tc>
          <w:tcPr>
            <w:tcW w:w="750" w:type="pct"/>
            <w:tcBorders>
              <w:top w:val="single" w:sz="4" w:space="0" w:color="auto"/>
              <w:left w:val="single" w:sz="4" w:space="0" w:color="auto"/>
              <w:bottom w:val="single" w:sz="4" w:space="0" w:color="auto"/>
              <w:right w:val="single" w:sz="4" w:space="0" w:color="auto"/>
            </w:tcBorders>
            <w:vAlign w:val="center"/>
          </w:tcPr>
          <w:p w14:paraId="539F216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农发</w:t>
            </w:r>
            <w:r>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14:paraId="1AD0A610"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14:paraId="517F7825"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49,975,000.00</w:t>
            </w:r>
          </w:p>
        </w:tc>
        <w:tc>
          <w:tcPr>
            <w:tcW w:w="750" w:type="pct"/>
            <w:tcBorders>
              <w:top w:val="single" w:sz="4" w:space="0" w:color="auto"/>
              <w:left w:val="single" w:sz="4" w:space="0" w:color="auto"/>
              <w:bottom w:val="single" w:sz="4" w:space="0" w:color="auto"/>
              <w:right w:val="single" w:sz="4" w:space="0" w:color="auto"/>
            </w:tcBorders>
            <w:vAlign w:val="center"/>
          </w:tcPr>
          <w:p w14:paraId="22311675"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8.55</w:t>
            </w:r>
          </w:p>
        </w:tc>
      </w:tr>
    </w:tbl>
    <w:p w14:paraId="766C8DA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　报告期末按公允价值占基金资产净值比例大小排序的前十名资产支持证券投资明细</w:t>
      </w:r>
    </w:p>
    <w:p w14:paraId="3D83B22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14:paraId="0055BA7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报告期末按公允价值占基金资产净值比例大小排序的前五名贵金属投资明细</w:t>
      </w:r>
    </w:p>
    <w:p w14:paraId="73DF213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14:paraId="520A782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14:paraId="76B130E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14:paraId="06AF31D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报告期末本基金投资的股指期货交易情况说明</w:t>
      </w:r>
    </w:p>
    <w:p w14:paraId="0A16F57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14:paraId="2DD3CE9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14:paraId="31A85F9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14:paraId="23676E8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14:paraId="52073E7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7AF4B29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11.2</w:t>
      </w:r>
      <w:r>
        <w:rPr>
          <w:rFonts w:ascii="Times New Roman" w:hAnsi="Times New Roman"/>
          <w:sz w:val="24"/>
        </w:rPr>
        <w:t>本基金投资的前十名股票中，没有超出基金合同规定的备选股票库之外的股票。</w:t>
      </w:r>
    </w:p>
    <w:p w14:paraId="18738C9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11.3</w:t>
      </w:r>
      <w:r>
        <w:rPr>
          <w:rFonts w:ascii="Times New Roman" w:hAnsi="Times New Roman"/>
          <w:sz w:val="24"/>
        </w:rPr>
        <w:t>期末其他各项资产构成</w:t>
      </w:r>
    </w:p>
    <w:p w14:paraId="23E558F2" w14:textId="77777777" w:rsidR="00DC3364" w:rsidRDefault="000F1A23">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lastRenderedPageBreak/>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DC3364" w14:paraId="5A8AF1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91F875"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AF57159"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14:paraId="650A632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DC3364" w14:paraId="1C7317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5586B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F1E780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3EF01C1B"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1B5C13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47D5A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CDCBE5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0B7ED272"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00238F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7004F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27AAC9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373B7C7D"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1B2DE0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3C1BF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0099AA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3B7F3C02"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10,296,715.14</w:t>
            </w:r>
          </w:p>
        </w:tc>
      </w:tr>
      <w:tr w:rsidR="00DC3364" w14:paraId="63C922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1914DE"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F426F8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72BD5094"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3BAC21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50536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29C43D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7FE2D256"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178883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8F34A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1E3A0C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449B5E96"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19,167.00</w:t>
            </w:r>
          </w:p>
        </w:tc>
      </w:tr>
      <w:tr w:rsidR="00DC3364" w14:paraId="3B3E86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1D114A"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52D29B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0A5FF43"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C3364" w14:paraId="37DC9A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BAE28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491ECF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4D3CFDAC" w14:textId="77777777" w:rsidR="00DC3364" w:rsidRDefault="000F1A23">
            <w:pPr>
              <w:widowControl/>
              <w:snapToGrid w:val="0"/>
              <w:jc w:val="right"/>
              <w:rPr>
                <w:rFonts w:ascii="宋体" w:hAnsi="宋体"/>
                <w:color w:val="000000"/>
                <w:kern w:val="0"/>
                <w:sz w:val="25"/>
                <w:szCs w:val="24"/>
              </w:rPr>
            </w:pPr>
            <w:r>
              <w:rPr>
                <w:rFonts w:ascii="Times New Roman" w:hAnsi="Times New Roman"/>
                <w:color w:val="000000"/>
                <w:kern w:val="0"/>
                <w:sz w:val="25"/>
                <w:szCs w:val="24"/>
              </w:rPr>
              <w:t>10,315,882.14</w:t>
            </w:r>
          </w:p>
        </w:tc>
      </w:tr>
    </w:tbl>
    <w:p w14:paraId="2530886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期末持有的处于转股期的可转换债券明细</w:t>
      </w:r>
    </w:p>
    <w:p w14:paraId="51EEDA5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14:paraId="533B61D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期末前十名股票中存在流通受限情况的说明</w:t>
      </w:r>
    </w:p>
    <w:p w14:paraId="2826842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本基金本报告期末未持有股票。</w:t>
      </w:r>
    </w:p>
    <w:p w14:paraId="68A975D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14:paraId="481B45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14:paraId="594BCB24"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BBD1C1D" w14:textId="77777777" w:rsidR="00DC3364" w:rsidRDefault="000F1A23">
      <w:pPr>
        <w:pStyle w:val="1"/>
        <w:snapToGrid w:val="0"/>
        <w:spacing w:beforeLines="0" w:before="240" w:after="240"/>
        <w:rPr>
          <w:rFonts w:ascii="宋体" w:hAnsi="宋体"/>
          <w:szCs w:val="30"/>
        </w:rPr>
      </w:pPr>
      <w:bookmarkStart w:id="14" w:name="_Toc69125809"/>
      <w:r>
        <w:rPr>
          <w:rFonts w:ascii="Times New Roman" w:hAnsi="Times New Roman"/>
          <w:sz w:val="30"/>
        </w:rPr>
        <w:lastRenderedPageBreak/>
        <w:t>十一、基金的业绩</w:t>
      </w:r>
      <w:bookmarkEnd w:id="14"/>
    </w:p>
    <w:p w14:paraId="30EC5DE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76DC1B5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5110AE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下述基金业绩指标不包括持有人认购或交易基金的各项费用，计入费用后实际收益水平要低于所列数字。</w:t>
      </w:r>
    </w:p>
    <w:p w14:paraId="29DC325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DC3364" w14:paraId="03281F3B"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7F83CECD"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EA18C3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168C78F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26086522"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2B1C89F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00E4AC0F"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FA9763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DC3364" w14:paraId="3C73B96C"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3542C8D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5E1EBE1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5C70344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sz="4" w:space="0" w:color="auto"/>
              <w:left w:val="single" w:sz="4" w:space="0" w:color="auto"/>
              <w:bottom w:val="single" w:sz="4" w:space="0" w:color="auto"/>
              <w:right w:val="single" w:sz="4" w:space="0" w:color="auto"/>
            </w:tcBorders>
            <w:vAlign w:val="center"/>
          </w:tcPr>
          <w:p w14:paraId="579173A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020EF04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12241A5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0E12AFC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14:paraId="7DEE5D0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DC3364" w14:paraId="24DFF4E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E9D4305"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220E80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33729D9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1.78%</w:t>
            </w:r>
          </w:p>
        </w:tc>
        <w:tc>
          <w:tcPr>
            <w:tcW w:w="750" w:type="pct"/>
            <w:tcBorders>
              <w:top w:val="single" w:sz="4" w:space="0" w:color="auto"/>
              <w:left w:val="single" w:sz="4" w:space="0" w:color="auto"/>
              <w:bottom w:val="single" w:sz="4" w:space="0" w:color="auto"/>
              <w:right w:val="single" w:sz="4" w:space="0" w:color="auto"/>
            </w:tcBorders>
            <w:vAlign w:val="center"/>
          </w:tcPr>
          <w:p w14:paraId="4F13F75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4C05279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7CCBA06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2AD6124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14:paraId="7188B6F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DC3364" w14:paraId="56834A5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EC30D5F"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BE4CBF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372272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3.47%</w:t>
            </w:r>
          </w:p>
        </w:tc>
        <w:tc>
          <w:tcPr>
            <w:tcW w:w="750" w:type="pct"/>
            <w:tcBorders>
              <w:top w:val="single" w:sz="4" w:space="0" w:color="auto"/>
              <w:left w:val="single" w:sz="4" w:space="0" w:color="auto"/>
              <w:bottom w:val="single" w:sz="4" w:space="0" w:color="auto"/>
              <w:right w:val="single" w:sz="4" w:space="0" w:color="auto"/>
            </w:tcBorders>
            <w:vAlign w:val="center"/>
          </w:tcPr>
          <w:p w14:paraId="7D562F7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E677F3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1388F1A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7AB207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14:paraId="4B09EAD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DC3364" w14:paraId="2432A31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5C7DEB3"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FB72C8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133228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8.36%</w:t>
            </w:r>
          </w:p>
        </w:tc>
        <w:tc>
          <w:tcPr>
            <w:tcW w:w="750" w:type="pct"/>
            <w:tcBorders>
              <w:top w:val="single" w:sz="4" w:space="0" w:color="auto"/>
              <w:left w:val="single" w:sz="4" w:space="0" w:color="auto"/>
              <w:bottom w:val="single" w:sz="4" w:space="0" w:color="auto"/>
              <w:right w:val="single" w:sz="4" w:space="0" w:color="auto"/>
            </w:tcBorders>
            <w:vAlign w:val="center"/>
          </w:tcPr>
          <w:p w14:paraId="71C0BB2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9D8E22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60678B0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7F4CE46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3.57%</w:t>
            </w:r>
          </w:p>
        </w:tc>
        <w:tc>
          <w:tcPr>
            <w:tcW w:w="750" w:type="pct"/>
            <w:tcBorders>
              <w:top w:val="single" w:sz="4" w:space="0" w:color="auto"/>
              <w:left w:val="single" w:sz="4" w:space="0" w:color="auto"/>
              <w:bottom w:val="single" w:sz="4" w:space="0" w:color="auto"/>
              <w:right w:val="single" w:sz="4" w:space="0" w:color="auto"/>
            </w:tcBorders>
            <w:vAlign w:val="center"/>
          </w:tcPr>
          <w:p w14:paraId="43E430D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DC3364" w14:paraId="2E5481F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5A6796D"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E8D118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4E74EF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58CC9C5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3C977EB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1AE41D2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C3F144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4.38%</w:t>
            </w:r>
          </w:p>
        </w:tc>
        <w:tc>
          <w:tcPr>
            <w:tcW w:w="750" w:type="pct"/>
            <w:tcBorders>
              <w:top w:val="single" w:sz="4" w:space="0" w:color="auto"/>
              <w:left w:val="single" w:sz="4" w:space="0" w:color="auto"/>
              <w:bottom w:val="single" w:sz="4" w:space="0" w:color="auto"/>
              <w:right w:val="single" w:sz="4" w:space="0" w:color="auto"/>
            </w:tcBorders>
            <w:vAlign w:val="center"/>
          </w:tcPr>
          <w:p w14:paraId="5AF9704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DC3364" w14:paraId="7F6D823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B0AF9CE"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F1E578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A11EF5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1D191B6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673D1D0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2E90655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748DCBB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14:paraId="7ECC51D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DC3364" w14:paraId="6782307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7289C32"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BFCF08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1A40DA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5DACE31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4C90A2E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63C63E9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475B724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1A3B143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DC3364" w14:paraId="323CEAF4"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088ABD9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4D99358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9A87CA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14:paraId="1FC2D40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04C133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5188F6B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0E6CF7D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14:paraId="056C992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DC3364" w14:paraId="3AE3D0E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60E4E6E"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DE3D03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37B7AA4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14:paraId="1C0CD0B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32AF012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7ECBE96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6FC5925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0.82%</w:t>
            </w:r>
          </w:p>
        </w:tc>
        <w:tc>
          <w:tcPr>
            <w:tcW w:w="750" w:type="pct"/>
            <w:tcBorders>
              <w:top w:val="single" w:sz="4" w:space="0" w:color="auto"/>
              <w:left w:val="single" w:sz="4" w:space="0" w:color="auto"/>
              <w:bottom w:val="single" w:sz="4" w:space="0" w:color="auto"/>
              <w:right w:val="single" w:sz="4" w:space="0" w:color="auto"/>
            </w:tcBorders>
            <w:vAlign w:val="center"/>
          </w:tcPr>
          <w:p w14:paraId="098B2A5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DC3364" w14:paraId="78A9551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0D2E9F7"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66688B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697A21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4.80%</w:t>
            </w:r>
          </w:p>
        </w:tc>
        <w:tc>
          <w:tcPr>
            <w:tcW w:w="750" w:type="pct"/>
            <w:tcBorders>
              <w:top w:val="single" w:sz="4" w:space="0" w:color="auto"/>
              <w:left w:val="single" w:sz="4" w:space="0" w:color="auto"/>
              <w:bottom w:val="single" w:sz="4" w:space="0" w:color="auto"/>
              <w:right w:val="single" w:sz="4" w:space="0" w:color="auto"/>
            </w:tcBorders>
            <w:vAlign w:val="center"/>
          </w:tcPr>
          <w:p w14:paraId="6232C68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50F7891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4352A22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4237C7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3.49%</w:t>
            </w:r>
          </w:p>
        </w:tc>
        <w:tc>
          <w:tcPr>
            <w:tcW w:w="750" w:type="pct"/>
            <w:tcBorders>
              <w:top w:val="single" w:sz="4" w:space="0" w:color="auto"/>
              <w:left w:val="single" w:sz="4" w:space="0" w:color="auto"/>
              <w:bottom w:val="single" w:sz="4" w:space="0" w:color="auto"/>
              <w:right w:val="single" w:sz="4" w:space="0" w:color="auto"/>
            </w:tcBorders>
            <w:vAlign w:val="center"/>
          </w:tcPr>
          <w:p w14:paraId="706BF52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r>
      <w:tr w:rsidR="00DC3364" w14:paraId="1C5A143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331ADD2"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3E604C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A51A4E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7.89%</w:t>
            </w:r>
          </w:p>
        </w:tc>
        <w:tc>
          <w:tcPr>
            <w:tcW w:w="750" w:type="pct"/>
            <w:tcBorders>
              <w:top w:val="single" w:sz="4" w:space="0" w:color="auto"/>
              <w:left w:val="single" w:sz="4" w:space="0" w:color="auto"/>
              <w:bottom w:val="single" w:sz="4" w:space="0" w:color="auto"/>
              <w:right w:val="single" w:sz="4" w:space="0" w:color="auto"/>
            </w:tcBorders>
            <w:vAlign w:val="center"/>
          </w:tcPr>
          <w:p w14:paraId="092EFEE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6AF6332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0215E28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C9EEEF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3.10%</w:t>
            </w:r>
          </w:p>
        </w:tc>
        <w:tc>
          <w:tcPr>
            <w:tcW w:w="750" w:type="pct"/>
            <w:tcBorders>
              <w:top w:val="single" w:sz="4" w:space="0" w:color="auto"/>
              <w:left w:val="single" w:sz="4" w:space="0" w:color="auto"/>
              <w:bottom w:val="single" w:sz="4" w:space="0" w:color="auto"/>
              <w:right w:val="single" w:sz="4" w:space="0" w:color="auto"/>
            </w:tcBorders>
            <w:vAlign w:val="center"/>
          </w:tcPr>
          <w:p w14:paraId="18414E0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DC3364" w14:paraId="313D7D1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6C56C80"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EE0360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A8587F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14:paraId="0FBE6F1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7B7B29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7D4A6B3E"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B01326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3.98%</w:t>
            </w:r>
          </w:p>
        </w:tc>
        <w:tc>
          <w:tcPr>
            <w:tcW w:w="750" w:type="pct"/>
            <w:tcBorders>
              <w:top w:val="single" w:sz="4" w:space="0" w:color="auto"/>
              <w:left w:val="single" w:sz="4" w:space="0" w:color="auto"/>
              <w:bottom w:val="single" w:sz="4" w:space="0" w:color="auto"/>
              <w:right w:val="single" w:sz="4" w:space="0" w:color="auto"/>
            </w:tcBorders>
            <w:vAlign w:val="center"/>
          </w:tcPr>
          <w:p w14:paraId="67F8075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DC3364" w14:paraId="2251E9C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EF51DA6"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C7F1C8E"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37756B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4446903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62181B0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51D27F9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376853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14:paraId="44E1B7B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DC3364" w14:paraId="2C7BBA7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B8272A0" w14:textId="77777777" w:rsidR="00DC3364" w:rsidRDefault="00DC336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6743D3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45D3FB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08616BE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1C75476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5A40DCA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055E199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060943D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14:paraId="21AC2AC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、自基金合同生效以来基金份额累计净值增长率变动及其与同期业绩比较基准收益率变动的比较</w:t>
      </w:r>
    </w:p>
    <w:p w14:paraId="64F24186" w14:textId="77777777" w:rsidR="00DC3364" w:rsidRDefault="000F1A23">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交银施罗德裕通纯债债券型证券投资基金</w:t>
      </w:r>
    </w:p>
    <w:p w14:paraId="3CC8B016" w14:textId="77777777" w:rsidR="00DC3364" w:rsidRDefault="000F1A23">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份额累计净值增长率与业绩比较基准收益率的历史走势对比图</w:t>
      </w:r>
    </w:p>
    <w:p w14:paraId="7A17FFE0" w14:textId="77777777" w:rsidR="00DC3364" w:rsidRDefault="000F1A23">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2015</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29</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w:t>
      </w:r>
    </w:p>
    <w:p w14:paraId="05C023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）交银裕通纯债债券</w:t>
      </w:r>
      <w:r>
        <w:rPr>
          <w:rFonts w:ascii="Times New Roman" w:hAnsi="Times New Roman"/>
          <w:sz w:val="24"/>
        </w:rPr>
        <w:t>A</w:t>
      </w:r>
    </w:p>
    <w:p w14:paraId="372FC039" w14:textId="7FE3A3FF" w:rsidR="00DC3364" w:rsidRDefault="001818F3">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drawing>
          <wp:inline distT="0" distB="0" distL="0" distR="0" wp14:anchorId="1DA72C2A" wp14:editId="3FE2EE7A">
            <wp:extent cx="5581650" cy="3284220"/>
            <wp:effectExtent l="0" t="0" r="0" b="0"/>
            <wp:docPr id="8"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284220"/>
                    </a:xfrm>
                    <a:prstGeom prst="rect">
                      <a:avLst/>
                    </a:prstGeom>
                    <a:noFill/>
                    <a:ln>
                      <a:noFill/>
                    </a:ln>
                  </pic:spPr>
                </pic:pic>
              </a:graphicData>
            </a:graphic>
          </wp:inline>
        </w:drawing>
      </w:r>
    </w:p>
    <w:p w14:paraId="3DEE253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7416BF5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）交银裕通纯债债券</w:t>
      </w:r>
      <w:r>
        <w:rPr>
          <w:rFonts w:ascii="Times New Roman" w:hAnsi="Times New Roman"/>
          <w:sz w:val="24"/>
        </w:rPr>
        <w:t>C</w:t>
      </w:r>
    </w:p>
    <w:p w14:paraId="27B853D0" w14:textId="315D44FB" w:rsidR="00DC3364" w:rsidRDefault="001818F3">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14:anchorId="315617B2" wp14:editId="0E74C95A">
            <wp:extent cx="5581650" cy="3284220"/>
            <wp:effectExtent l="0" t="0" r="0" b="0"/>
            <wp:docPr id="7"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3284220"/>
                    </a:xfrm>
                    <a:prstGeom prst="rect">
                      <a:avLst/>
                    </a:prstGeom>
                    <a:noFill/>
                    <a:ln>
                      <a:noFill/>
                    </a:ln>
                  </pic:spPr>
                </pic:pic>
              </a:graphicData>
            </a:graphic>
          </wp:inline>
        </w:drawing>
      </w:r>
    </w:p>
    <w:p w14:paraId="6574244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33A1CB0F"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F7C88D" w14:textId="77777777" w:rsidR="00DC3364" w:rsidRDefault="000F1A23">
      <w:pPr>
        <w:pStyle w:val="1"/>
        <w:snapToGrid w:val="0"/>
        <w:spacing w:beforeLines="0" w:before="240" w:after="240"/>
        <w:rPr>
          <w:rFonts w:ascii="宋体" w:hAnsi="宋体"/>
          <w:szCs w:val="30"/>
        </w:rPr>
      </w:pPr>
      <w:bookmarkStart w:id="15" w:name="_Toc69125810"/>
      <w:r>
        <w:rPr>
          <w:rFonts w:ascii="Times New Roman" w:hAnsi="Times New Roman"/>
          <w:sz w:val="30"/>
        </w:rPr>
        <w:lastRenderedPageBreak/>
        <w:t>十二、基金的财产</w:t>
      </w:r>
      <w:bookmarkEnd w:id="15"/>
    </w:p>
    <w:p w14:paraId="1CD5BBB7"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14:paraId="4E8F23F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基金资产总值是指基金拥有的各类有价证券、银行存款本息、基金应收申购款及其他资产的价值总和。</w:t>
      </w:r>
    </w:p>
    <w:p w14:paraId="64627A76"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14:paraId="3100FDA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14:paraId="0E0EA72A"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14:paraId="632FA70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627E7A0"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（四）基金财产的保管和处分</w:t>
      </w:r>
    </w:p>
    <w:p w14:paraId="33EDB96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1EF24F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E6A3BE7"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88BF6C" w14:textId="77777777" w:rsidR="00DC3364" w:rsidRDefault="000F1A23">
      <w:pPr>
        <w:pStyle w:val="1"/>
        <w:snapToGrid w:val="0"/>
        <w:spacing w:beforeLines="0" w:before="240" w:after="240"/>
        <w:rPr>
          <w:rFonts w:ascii="宋体" w:hAnsi="宋体"/>
          <w:szCs w:val="30"/>
        </w:rPr>
      </w:pPr>
      <w:bookmarkStart w:id="16" w:name="_Toc69125811"/>
      <w:r>
        <w:rPr>
          <w:rFonts w:ascii="Times New Roman" w:hAnsi="Times New Roman"/>
          <w:sz w:val="30"/>
        </w:rPr>
        <w:lastRenderedPageBreak/>
        <w:t>十三、基金资产的估值</w:t>
      </w:r>
      <w:bookmarkEnd w:id="16"/>
    </w:p>
    <w:p w14:paraId="4524560B"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（一）估值日</w:t>
      </w:r>
    </w:p>
    <w:p w14:paraId="1E05CC9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本基金的估值日为本基金相关的证券交易场所的交易日以及国家法律法规规定需要对外披露基金净值的非交易日。</w:t>
      </w:r>
    </w:p>
    <w:p w14:paraId="5F86D2EF"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（二）估值对象</w:t>
      </w:r>
    </w:p>
    <w:p w14:paraId="5257145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基金所拥有的债券和其它投资等持续以公允价值计量的金融资产及负债。</w:t>
      </w:r>
    </w:p>
    <w:p w14:paraId="71B4D8B9"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（三）估值方法</w:t>
      </w:r>
    </w:p>
    <w:p w14:paraId="41EB201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14:paraId="743B58B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3C6509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）交易所市场上市交易或挂牌转让的固定收益品种（另有规定的除外），选取第三方估值机构提供的相应品种当日的估值净价进行估值；</w:t>
      </w:r>
    </w:p>
    <w:p w14:paraId="0A0DDBF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）交易所市场上市交易的可转换债券，按估值日收盘价减去可转换债券收盘价中所含债券应收利息后得到的净价进行估值；</w:t>
      </w:r>
    </w:p>
    <w:p w14:paraId="50BC4DE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）交易所市场挂牌转让的资产支持证券和私募债券，采用估值技术确定公允价值。</w:t>
      </w:r>
    </w:p>
    <w:p w14:paraId="6306439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、交易所市场发行未上市或未挂牌转让的债券，采用估值技术确定公允价值。</w:t>
      </w:r>
    </w:p>
    <w:p w14:paraId="025C683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、银行间市场上市交易的固定收益品种，选取第三方估值机构提供的相应品种当日的估值净价进行估值。银行间市场发行未上市的固定收益品种，采用估值技术确定公允价值。</w:t>
      </w:r>
    </w:p>
    <w:p w14:paraId="2E1747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、如有确凿证据表明按上述方法进行估值不能客观反映其公允价值的，基金管理人可根据具体情况与基金托管人商定后，按最能反映公允价值的方法估值。</w:t>
      </w:r>
    </w:p>
    <w:p w14:paraId="4E1F99F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、相关法律法规以及监管部门有强制规定的，从其规定。如有新增事项，按法律法规以及监管部门最新规定估值。</w:t>
      </w:r>
    </w:p>
    <w:p w14:paraId="2D62E27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w:t>
      </w:r>
      <w:r>
        <w:rPr>
          <w:rFonts w:ascii="Times New Roman" w:hAnsi="Times New Roman"/>
          <w:sz w:val="24"/>
        </w:rPr>
        <w:lastRenderedPageBreak/>
        <w:t>共同查明原因，双方协商解决。</w:t>
      </w:r>
    </w:p>
    <w:p w14:paraId="4595BBA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C4BDA45"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（四）估值程序</w:t>
      </w:r>
    </w:p>
    <w:p w14:paraId="2501472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、各类基金份额的基金份额净值是按照每个工作日闭市后，该类基金份额的基金资产净值除以当日该类基金份额的余额数量计算，精确到</w:t>
      </w:r>
      <w:r>
        <w:rPr>
          <w:rFonts w:ascii="Times New Roman" w:hAnsi="Times New Roman"/>
          <w:sz w:val="24"/>
        </w:rPr>
        <w:t>0.0001</w:t>
      </w:r>
      <w:r>
        <w:rPr>
          <w:rFonts w:ascii="Times New Roman" w:hAnsi="Times New Roman"/>
          <w:sz w:val="24"/>
        </w:rPr>
        <w:t>元，小数点后第五位四舍五入。国家另有规定的，从其规定。</w:t>
      </w:r>
    </w:p>
    <w:p w14:paraId="3D149F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基金管理人于每个工作日计算基金资产净值及基金份额净值，并按规定公告。如遇特殊情况，经中国证监会同意，可以适当延迟计算或公告。</w:t>
      </w:r>
    </w:p>
    <w:p w14:paraId="5B4371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45657F1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（五）估值错误的处理</w:t>
      </w:r>
    </w:p>
    <w:p w14:paraId="61CA1F9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基金管理人和基金托管人将采取必要、适当、合理的措施确保基金资产估值的准确性、及时性。当基金份额净值小数点后第</w:t>
      </w:r>
      <w:r>
        <w:rPr>
          <w:rFonts w:ascii="Times New Roman" w:hAnsi="Times New Roman"/>
          <w:sz w:val="24"/>
        </w:rPr>
        <w:t>4</w:t>
      </w:r>
      <w:r>
        <w:rPr>
          <w:rFonts w:ascii="Times New Roman" w:hAnsi="Times New Roman"/>
          <w:sz w:val="24"/>
        </w:rPr>
        <w:t>位以内（含第</w:t>
      </w:r>
      <w:r>
        <w:rPr>
          <w:rFonts w:ascii="Times New Roman" w:hAnsi="Times New Roman"/>
          <w:sz w:val="24"/>
        </w:rPr>
        <w:t>4</w:t>
      </w:r>
      <w:r>
        <w:rPr>
          <w:rFonts w:ascii="Times New Roman" w:hAnsi="Times New Roman"/>
          <w:sz w:val="24"/>
        </w:rPr>
        <w:t>位</w:t>
      </w:r>
      <w:r>
        <w:rPr>
          <w:rFonts w:ascii="Times New Roman" w:hAnsi="Times New Roman"/>
          <w:sz w:val="24"/>
        </w:rPr>
        <w:t xml:space="preserve">) </w:t>
      </w:r>
      <w:r>
        <w:rPr>
          <w:rFonts w:ascii="Times New Roman" w:hAnsi="Times New Roman"/>
          <w:sz w:val="24"/>
        </w:rPr>
        <w:t>发生估值错误时，视为基金份额净值错误。</w:t>
      </w:r>
    </w:p>
    <w:p w14:paraId="222A326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7DC77C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基金合同的当事人应按照以下约定处理：</w:t>
      </w:r>
    </w:p>
    <w:p w14:paraId="6FEAF4E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、估值错误类型</w:t>
      </w:r>
    </w:p>
    <w:p w14:paraId="23C1972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 xml:space="preserve">”) </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14:paraId="54CFD82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上述估值错误的主要类型包括但不限于：资料申报差错、数据传输差错、数据</w:t>
      </w:r>
      <w:r>
        <w:rPr>
          <w:rFonts w:ascii="Times New Roman" w:hAnsi="Times New Roman"/>
          <w:sz w:val="24"/>
        </w:rPr>
        <w:lastRenderedPageBreak/>
        <w:t>计算差错、系统故障差错、下达指令差错等。</w:t>
      </w:r>
    </w:p>
    <w:p w14:paraId="44A34F9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对于因技术原因引起的差错，若系同行业现有技术水平无法预见、无法避免、无法抗拒，则属不可抗力，按照下述规定执行。</w:t>
      </w:r>
    </w:p>
    <w:p w14:paraId="4831396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373432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、估值错误处理原则</w:t>
      </w:r>
    </w:p>
    <w:p w14:paraId="17E45E9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F0D0FB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14:paraId="2320789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FBEC03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14:paraId="43E036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14:paraId="0BA03B0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、估值错误处理程序</w:t>
      </w:r>
    </w:p>
    <w:p w14:paraId="1D04B9D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估值错误被发现后，有关的当事人应当及时进行处理，处理的程序如下：</w:t>
      </w:r>
    </w:p>
    <w:p w14:paraId="5959EEC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14:paraId="6A293BC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14:paraId="4AE8119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14:paraId="43F6EFA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14:paraId="735566F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、基金份额净值估值错误处理的方法如下：</w:t>
      </w:r>
    </w:p>
    <w:p w14:paraId="2E5BBE2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14:paraId="109B202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时，基金管理人应当通报基金托管人并报中国证监会备案；错误偏差达到基金份额净值的</w:t>
      </w:r>
      <w:r>
        <w:rPr>
          <w:rFonts w:ascii="Times New Roman" w:hAnsi="Times New Roman"/>
          <w:sz w:val="24"/>
        </w:rPr>
        <w:t>0.5%</w:t>
      </w:r>
      <w:r>
        <w:rPr>
          <w:rFonts w:ascii="Times New Roman" w:hAnsi="Times New Roman"/>
          <w:sz w:val="24"/>
        </w:rPr>
        <w:t>时，基金管理人应当公告。</w:t>
      </w:r>
    </w:p>
    <w:p w14:paraId="2A2D82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）前述内容如法律法规或监管机关另有规定的，从其规定处理。</w:t>
      </w:r>
    </w:p>
    <w:p w14:paraId="2EF97478"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（六）暂停估值的情形</w:t>
      </w:r>
    </w:p>
    <w:p w14:paraId="32F5DD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、基金投资所涉及的证券交易市场遇法定节假日或因其他原因暂停营业时；</w:t>
      </w:r>
    </w:p>
    <w:p w14:paraId="1D3EB93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14:paraId="0A550ED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w:t>
      </w:r>
    </w:p>
    <w:p w14:paraId="7C25F722" w14:textId="21B44204"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sidR="002A6257" w:rsidRPr="002A6257">
        <w:rPr>
          <w:rFonts w:ascii="Times New Roman" w:hAnsi="Times New Roman" w:hint="eastAsia"/>
          <w:bCs/>
          <w:sz w:val="24"/>
        </w:rPr>
        <w:t>当特定资产占前一估值日基金资产净值</w:t>
      </w:r>
      <w:r w:rsidR="002A6257" w:rsidRPr="002A6257">
        <w:rPr>
          <w:rFonts w:ascii="Times New Roman" w:hAnsi="Times New Roman" w:hint="eastAsia"/>
          <w:bCs/>
          <w:sz w:val="24"/>
        </w:rPr>
        <w:t>50%</w:t>
      </w:r>
      <w:r w:rsidR="002A6257" w:rsidRPr="002A6257">
        <w:rPr>
          <w:rFonts w:ascii="Times New Roman" w:hAnsi="Times New Roman" w:hint="eastAsia"/>
          <w:bCs/>
          <w:sz w:val="24"/>
        </w:rPr>
        <w:t>以上的，经与基金托管人协商确认后，基金管理人应当暂停估值；</w:t>
      </w:r>
    </w:p>
    <w:p w14:paraId="5786CEA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、中国证监会和基金合同认定的其它情形。</w:t>
      </w:r>
    </w:p>
    <w:p w14:paraId="69B3E8D0"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（七）基金净值的确认</w:t>
      </w:r>
    </w:p>
    <w:p w14:paraId="35F75A3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6D4CC3F9"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（八）特殊情形的处理</w:t>
      </w:r>
    </w:p>
    <w:p w14:paraId="3507190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、基金管理人或基金托管人按估值方法的第</w:t>
      </w:r>
      <w:r>
        <w:rPr>
          <w:rFonts w:ascii="Times New Roman" w:hAnsi="Times New Roman"/>
          <w:sz w:val="24"/>
        </w:rPr>
        <w:t>4</w:t>
      </w:r>
      <w:r>
        <w:rPr>
          <w:rFonts w:ascii="Times New Roman" w:hAnsi="Times New Roman"/>
          <w:sz w:val="24"/>
        </w:rPr>
        <w:t>项进行估值时，所造成的误差不作为基金资产估值错误处理。</w:t>
      </w:r>
    </w:p>
    <w:p w14:paraId="3F53CA63" w14:textId="77777777" w:rsidR="002A6257" w:rsidRPr="002A6257" w:rsidRDefault="000F1A23" w:rsidP="002A625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w:t>
      </w:r>
      <w:r>
        <w:rPr>
          <w:rFonts w:ascii="Times New Roman" w:hAnsi="Times New Roman"/>
          <w:sz w:val="24"/>
        </w:rPr>
        <w:lastRenderedPageBreak/>
        <w:t>金份额净值计算错误，基金管理人、基金托管人免除赔偿责任。但基金管理人、基金托管人应积极采取必要的措施减轻或消除由此造成的影响。</w:t>
      </w:r>
    </w:p>
    <w:p w14:paraId="0C881B53" w14:textId="77777777" w:rsidR="002A6257" w:rsidRPr="002A6257" w:rsidRDefault="002A6257" w:rsidP="002A6257">
      <w:pPr>
        <w:autoSpaceDE w:val="0"/>
        <w:autoSpaceDN w:val="0"/>
        <w:adjustRightInd w:val="0"/>
        <w:snapToGrid w:val="0"/>
        <w:spacing w:line="360" w:lineRule="auto"/>
        <w:ind w:firstLineChars="200" w:firstLine="422"/>
        <w:rPr>
          <w:rFonts w:ascii="宋体" w:hAnsi="宋体"/>
          <w:b/>
          <w:szCs w:val="24"/>
        </w:rPr>
      </w:pPr>
      <w:r w:rsidRPr="002A6257">
        <w:rPr>
          <w:rFonts w:ascii="宋体" w:hAnsi="宋体" w:hint="eastAsia"/>
          <w:b/>
          <w:szCs w:val="24"/>
        </w:rPr>
        <w:t>（九）实施侧袋机制期间的基金资产估值</w:t>
      </w:r>
    </w:p>
    <w:p w14:paraId="5C8CED15" w14:textId="77777777" w:rsidR="002A6257" w:rsidRPr="002A6257" w:rsidRDefault="002A6257" w:rsidP="002A6257">
      <w:pPr>
        <w:autoSpaceDE w:val="0"/>
        <w:autoSpaceDN w:val="0"/>
        <w:adjustRightInd w:val="0"/>
        <w:snapToGrid w:val="0"/>
        <w:spacing w:line="360" w:lineRule="auto"/>
        <w:ind w:firstLineChars="200" w:firstLine="480"/>
        <w:rPr>
          <w:rFonts w:ascii="Times New Roman" w:hAnsi="Times New Roman"/>
          <w:sz w:val="24"/>
        </w:rPr>
      </w:pPr>
      <w:r w:rsidRPr="002A6257">
        <w:rPr>
          <w:rFonts w:ascii="Times New Roman" w:hAnsi="Times New Roman" w:hint="eastAsia"/>
          <w:sz w:val="24"/>
        </w:rPr>
        <w:t>本基金实施侧袋机制的，应根据本部分的约定对主袋账户资产进行估值并披露主袋账户的基金净值信息，暂停披露侧袋账户份额净值。</w:t>
      </w:r>
    </w:p>
    <w:p w14:paraId="6C58C948" w14:textId="77777777" w:rsidR="00DC3364" w:rsidRDefault="00DC3364">
      <w:pPr>
        <w:autoSpaceDE w:val="0"/>
        <w:autoSpaceDN w:val="0"/>
        <w:adjustRightInd w:val="0"/>
        <w:snapToGrid w:val="0"/>
        <w:spacing w:line="360" w:lineRule="auto"/>
        <w:ind w:firstLineChars="200" w:firstLine="420"/>
        <w:rPr>
          <w:rFonts w:ascii="宋体" w:hAnsi="宋体"/>
          <w:szCs w:val="24"/>
        </w:rPr>
      </w:pPr>
    </w:p>
    <w:p w14:paraId="252ECCE3"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F76F284" w14:textId="77777777" w:rsidR="00DC3364" w:rsidRDefault="000F1A23">
      <w:pPr>
        <w:pStyle w:val="1"/>
        <w:snapToGrid w:val="0"/>
        <w:spacing w:beforeLines="0" w:before="240" w:after="240"/>
        <w:rPr>
          <w:rFonts w:ascii="宋体" w:hAnsi="宋体"/>
          <w:szCs w:val="30"/>
        </w:rPr>
      </w:pPr>
      <w:bookmarkStart w:id="17" w:name="_Toc69125812"/>
      <w:r>
        <w:rPr>
          <w:rFonts w:ascii="Times New Roman" w:hAnsi="Times New Roman"/>
          <w:sz w:val="30"/>
        </w:rPr>
        <w:lastRenderedPageBreak/>
        <w:t>十四、基金收益与分配</w:t>
      </w:r>
      <w:bookmarkEnd w:id="17"/>
    </w:p>
    <w:p w14:paraId="61426175"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14:paraId="4AA1A57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36567A09"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（二）基金可供分配利润</w:t>
      </w:r>
    </w:p>
    <w:p w14:paraId="2E948C0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基金可供分配利润指截至收益分配基准日基金未分配利润与未分配利润中已实现收益的孰低数。</w:t>
      </w:r>
    </w:p>
    <w:p w14:paraId="13CBC8F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（三）基金收益分配原则</w:t>
      </w:r>
    </w:p>
    <w:p w14:paraId="0BE8C9C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、由于本基金</w:t>
      </w:r>
      <w:r>
        <w:rPr>
          <w:rFonts w:ascii="Times New Roman" w:hAnsi="Times New Roman"/>
          <w:sz w:val="24"/>
        </w:rPr>
        <w:t>A</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类基金份额收取销售服务费，各基金份额类别对应的可供分配利润将有所不同；</w:t>
      </w:r>
    </w:p>
    <w:p w14:paraId="7C9287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、若基金合同生效不满</w:t>
      </w:r>
      <w:r>
        <w:rPr>
          <w:rFonts w:ascii="Times New Roman" w:hAnsi="Times New Roman"/>
          <w:sz w:val="24"/>
        </w:rPr>
        <w:t>3</w:t>
      </w:r>
      <w:r>
        <w:rPr>
          <w:rFonts w:ascii="Times New Roman" w:hAnsi="Times New Roman"/>
          <w:sz w:val="24"/>
        </w:rPr>
        <w:t>个月可不进行收益分配；</w:t>
      </w:r>
    </w:p>
    <w:p w14:paraId="1C70A48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Pr>
          <w:rFonts w:ascii="Times New Roman" w:hAnsi="Times New Roman"/>
          <w:sz w:val="24"/>
        </w:rPr>
        <w:t>A</w:t>
      </w:r>
      <w:r>
        <w:rPr>
          <w:rFonts w:ascii="Times New Roman" w:hAnsi="Times New Roman"/>
          <w:sz w:val="24"/>
        </w:rPr>
        <w:t>类和</w:t>
      </w:r>
      <w:r>
        <w:rPr>
          <w:rFonts w:ascii="Times New Roman" w:hAnsi="Times New Roman"/>
          <w:sz w:val="24"/>
        </w:rPr>
        <w:t>C</w:t>
      </w:r>
      <w:r>
        <w:rPr>
          <w:rFonts w:ascii="Times New Roman" w:hAnsi="Times New Roman"/>
          <w:sz w:val="24"/>
        </w:rPr>
        <w:t>类基金份额分别选择不同的收益分配方式；</w:t>
      </w:r>
    </w:p>
    <w:p w14:paraId="2863CB6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、基金收益分配后基金份额净值不能低于面值，即基金收益分配基准日的基金份额净值减去每单位基金份额收益分配金额后不能低于面值；</w:t>
      </w:r>
    </w:p>
    <w:p w14:paraId="177EB61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、本基金同一基金份额类别的每一基金份额享有同等分配权；</w:t>
      </w:r>
    </w:p>
    <w:p w14:paraId="731B4B8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、法律法规或监管机关另有规定的，从其规定。</w:t>
      </w:r>
    </w:p>
    <w:p w14:paraId="792D00A2"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14:paraId="4E7E467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14:paraId="5D61B6DE"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14:paraId="08B13D9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本基金收益分配方案由基金管理人拟定，并由基金托管人复核，依照《信息披露办法》的有关规定在指定媒介公告。</w:t>
      </w:r>
    </w:p>
    <w:p w14:paraId="129577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基金红利发放日距离收益分配基准日（即可供分配利润计算截止日）的时间不得超过</w:t>
      </w:r>
      <w:r>
        <w:rPr>
          <w:rFonts w:ascii="Times New Roman" w:hAnsi="Times New Roman"/>
          <w:sz w:val="24"/>
        </w:rPr>
        <w:t>15</w:t>
      </w:r>
      <w:r>
        <w:rPr>
          <w:rFonts w:ascii="Times New Roman" w:hAnsi="Times New Roman"/>
          <w:sz w:val="24"/>
        </w:rPr>
        <w:t>个工作日。</w:t>
      </w:r>
    </w:p>
    <w:p w14:paraId="0B08886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法律法规或监管机关另有规定的，从其规定。</w:t>
      </w:r>
    </w:p>
    <w:p w14:paraId="6164C515"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（六）基金收益分配中发生的费用</w:t>
      </w:r>
    </w:p>
    <w:p w14:paraId="71E99A4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基金收益分配时所发生的银行转账或其他手续费用由投资者自行承担。当投资</w:t>
      </w:r>
      <w:r>
        <w:rPr>
          <w:rFonts w:ascii="Times New Roman" w:hAnsi="Times New Roman"/>
          <w:sz w:val="24"/>
        </w:rPr>
        <w:lastRenderedPageBreak/>
        <w:t>者的现金红利小于一定金额，不足以支付银行转账或其他手续费用时，登记机构可将基金份额持有人的现金红利自动转为基金份额。红利再投资的计算方法，依照《业务规则》执行。</w:t>
      </w:r>
    </w:p>
    <w:p w14:paraId="29D0AC5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（七）收益分配方式的修改</w:t>
      </w:r>
    </w:p>
    <w:p w14:paraId="456FC2D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投资人可至销售机构办理收益分配方式的修改，投资人对本基金不同的交易账户可设置不同的收益分配方式。</w:t>
      </w:r>
    </w:p>
    <w:p w14:paraId="344EF240" w14:textId="77777777" w:rsidR="002A6257" w:rsidRPr="002A6257" w:rsidRDefault="000F1A23" w:rsidP="002A625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投资人同一日多次申报收益分配方式变更的，按照《业务规则》执行，最终确认的收益分配方式以登记机构记录为准。</w:t>
      </w:r>
    </w:p>
    <w:p w14:paraId="53B05BD6" w14:textId="77777777" w:rsidR="002A6257" w:rsidRPr="002A6257" w:rsidRDefault="002A6257" w:rsidP="002A6257">
      <w:pPr>
        <w:autoSpaceDE w:val="0"/>
        <w:autoSpaceDN w:val="0"/>
        <w:adjustRightInd w:val="0"/>
        <w:snapToGrid w:val="0"/>
        <w:spacing w:line="360" w:lineRule="auto"/>
        <w:ind w:firstLineChars="200" w:firstLine="422"/>
        <w:rPr>
          <w:rFonts w:ascii="宋体" w:hAnsi="宋体"/>
          <w:b/>
          <w:szCs w:val="24"/>
        </w:rPr>
      </w:pPr>
      <w:r w:rsidRPr="002A6257">
        <w:rPr>
          <w:rFonts w:ascii="宋体" w:hAnsi="宋体" w:hint="eastAsia"/>
          <w:b/>
          <w:szCs w:val="24"/>
        </w:rPr>
        <w:t>（八</w:t>
      </w:r>
      <w:r w:rsidRPr="002A6257">
        <w:rPr>
          <w:rFonts w:ascii="宋体" w:hAnsi="宋体"/>
          <w:b/>
          <w:szCs w:val="24"/>
        </w:rPr>
        <w:t>）</w:t>
      </w:r>
      <w:r w:rsidRPr="002A6257">
        <w:rPr>
          <w:rFonts w:ascii="宋体" w:hAnsi="宋体" w:hint="eastAsia"/>
          <w:b/>
          <w:szCs w:val="24"/>
        </w:rPr>
        <w:t>实施侧袋机制期间的收益分配</w:t>
      </w:r>
    </w:p>
    <w:p w14:paraId="2FC011BC" w14:textId="77777777" w:rsidR="002A6257" w:rsidRPr="002A6257" w:rsidRDefault="002A6257" w:rsidP="002A6257">
      <w:pPr>
        <w:autoSpaceDE w:val="0"/>
        <w:autoSpaceDN w:val="0"/>
        <w:adjustRightInd w:val="0"/>
        <w:snapToGrid w:val="0"/>
        <w:spacing w:line="360" w:lineRule="auto"/>
        <w:ind w:firstLineChars="200" w:firstLine="480"/>
        <w:rPr>
          <w:rFonts w:ascii="Times New Roman" w:hAnsi="Times New Roman"/>
          <w:sz w:val="24"/>
        </w:rPr>
      </w:pPr>
      <w:r w:rsidRPr="002A6257">
        <w:rPr>
          <w:rFonts w:ascii="Times New Roman" w:hAnsi="Times New Roman" w:hint="eastAsia"/>
          <w:sz w:val="24"/>
        </w:rPr>
        <w:t>本基金实施侧袋机制的，侧袋账户不进行收益分配。</w:t>
      </w:r>
    </w:p>
    <w:p w14:paraId="6B92B860" w14:textId="77777777" w:rsidR="00DC3364" w:rsidRDefault="00DC3364">
      <w:pPr>
        <w:autoSpaceDE w:val="0"/>
        <w:autoSpaceDN w:val="0"/>
        <w:adjustRightInd w:val="0"/>
        <w:snapToGrid w:val="0"/>
        <w:spacing w:line="360" w:lineRule="auto"/>
        <w:ind w:firstLineChars="200" w:firstLine="420"/>
        <w:rPr>
          <w:rFonts w:ascii="宋体" w:hAnsi="宋体"/>
          <w:szCs w:val="24"/>
        </w:rPr>
      </w:pPr>
    </w:p>
    <w:p w14:paraId="76B827E5"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DF611F" w14:textId="77777777" w:rsidR="00DC3364" w:rsidRDefault="000F1A23">
      <w:pPr>
        <w:pStyle w:val="1"/>
        <w:snapToGrid w:val="0"/>
        <w:spacing w:beforeLines="0" w:before="240" w:after="240"/>
        <w:rPr>
          <w:rFonts w:ascii="宋体" w:hAnsi="宋体"/>
          <w:szCs w:val="30"/>
        </w:rPr>
      </w:pPr>
      <w:bookmarkStart w:id="18" w:name="_Toc69125813"/>
      <w:r>
        <w:rPr>
          <w:rFonts w:ascii="Times New Roman" w:hAnsi="Times New Roman"/>
          <w:sz w:val="30"/>
        </w:rPr>
        <w:lastRenderedPageBreak/>
        <w:t>十五、基金的费用与税收</w:t>
      </w:r>
      <w:bookmarkEnd w:id="18"/>
    </w:p>
    <w:p w14:paraId="419DAF8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14:paraId="596318D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49BCF1A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708F960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14:paraId="4F7BFFE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、《基金合同》生效后与基金相关的会计师费、律师费和诉讼费；</w:t>
      </w:r>
    </w:p>
    <w:p w14:paraId="631648D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、基金份额持有人大会费用；</w:t>
      </w:r>
    </w:p>
    <w:p w14:paraId="68F64C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、基金的证券交易费用；</w:t>
      </w:r>
    </w:p>
    <w:p w14:paraId="4BE9905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、基金的银行汇划费用；</w:t>
      </w:r>
    </w:p>
    <w:p w14:paraId="5A5382F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、基金的开户费用、账户维护费用；</w:t>
      </w:r>
    </w:p>
    <w:p w14:paraId="50D344D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、本基金从</w:t>
      </w:r>
      <w:r>
        <w:rPr>
          <w:rFonts w:ascii="Times New Roman" w:hAnsi="Times New Roman"/>
          <w:sz w:val="24"/>
        </w:rPr>
        <w:t>C</w:t>
      </w:r>
      <w:r>
        <w:rPr>
          <w:rFonts w:ascii="Times New Roman" w:hAnsi="Times New Roman"/>
          <w:sz w:val="24"/>
        </w:rPr>
        <w:t>类基金份额的基金财产中计提的销售服务费；</w:t>
      </w:r>
    </w:p>
    <w:p w14:paraId="5405F96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、按照国家有关规定和《基金合同》约定，可以在基金财产中列支的其他费用。</w:t>
      </w:r>
    </w:p>
    <w:p w14:paraId="043CB3F7"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14:paraId="27D0C74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14:paraId="0F79994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46FA124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本基金的管理费按前一日基金资产净值的</w:t>
      </w:r>
      <w:r>
        <w:rPr>
          <w:rFonts w:ascii="Times New Roman" w:hAnsi="Times New Roman"/>
          <w:sz w:val="24"/>
        </w:rPr>
        <w:t>0.3%</w:t>
      </w:r>
      <w:r>
        <w:rPr>
          <w:rFonts w:ascii="Times New Roman" w:hAnsi="Times New Roman"/>
          <w:sz w:val="24"/>
        </w:rPr>
        <w:t>年费率计提。管理费的计算方法如下：</w:t>
      </w:r>
    </w:p>
    <w:p w14:paraId="029B432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E×0.3%÷</w:t>
      </w:r>
      <w:r>
        <w:rPr>
          <w:rFonts w:ascii="Times New Roman" w:hAnsi="Times New Roman"/>
          <w:sz w:val="24"/>
        </w:rPr>
        <w:t>当年天数</w:t>
      </w:r>
    </w:p>
    <w:p w14:paraId="196CB69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7AA697C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6418951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基金管理费每日计算，按月支付。由基金管理人向基金托管人发送划款指令，由基金托管人复核后于次月首日起第</w:t>
      </w:r>
      <w:r>
        <w:rPr>
          <w:rFonts w:ascii="Times New Roman" w:hAnsi="Times New Roman"/>
          <w:sz w:val="24"/>
        </w:rPr>
        <w:t>3</w:t>
      </w:r>
      <w:r>
        <w:rPr>
          <w:rFonts w:ascii="Times New Roman" w:hAnsi="Times New Roman"/>
          <w:sz w:val="24"/>
        </w:rPr>
        <w:t>个工作日从基金财产中一次性支付给基金管理人，若遇法定节假日、休息日或不可抗力致使无法按时支付的，支付日期顺延。</w:t>
      </w:r>
    </w:p>
    <w:p w14:paraId="1E1D56D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6698959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本基金的托管费按前一日基金资产净值的</w:t>
      </w:r>
      <w:r>
        <w:rPr>
          <w:rFonts w:ascii="Times New Roman" w:hAnsi="Times New Roman"/>
          <w:sz w:val="24"/>
        </w:rPr>
        <w:t>0.10%</w:t>
      </w:r>
      <w:r>
        <w:rPr>
          <w:rFonts w:ascii="Times New Roman" w:hAnsi="Times New Roman"/>
          <w:sz w:val="24"/>
        </w:rPr>
        <w:t>的年费率计提。托管费的计算方法如下：</w:t>
      </w:r>
    </w:p>
    <w:p w14:paraId="06AFEA3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E×0.10%÷</w:t>
      </w:r>
      <w:r>
        <w:rPr>
          <w:rFonts w:ascii="Times New Roman" w:hAnsi="Times New Roman"/>
          <w:sz w:val="24"/>
        </w:rPr>
        <w:t>当年天数</w:t>
      </w:r>
    </w:p>
    <w:p w14:paraId="25B945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14:paraId="4FB7B30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555CAA9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基金托管费每日计算，按月支付。由基金管理人向基金托管人发送划款指令，由基金托管人复核后于次月首日起第</w:t>
      </w:r>
      <w:r>
        <w:rPr>
          <w:rFonts w:ascii="Times New Roman" w:hAnsi="Times New Roman"/>
          <w:sz w:val="24"/>
        </w:rPr>
        <w:t>3</w:t>
      </w:r>
      <w:r>
        <w:rPr>
          <w:rFonts w:ascii="Times New Roman" w:hAnsi="Times New Roman"/>
          <w:sz w:val="24"/>
        </w:rPr>
        <w:t>个工作日从基金财产中一次性支取，若遇法定节假日、休息日或不可抗力致使无法按时支付的，支付日期顺延。</w:t>
      </w:r>
    </w:p>
    <w:p w14:paraId="5F08B3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类基金份额的销售服务费</w:t>
      </w:r>
    </w:p>
    <w:p w14:paraId="6BE3B6B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类基金份额的销售服务费按前一日</w:t>
      </w:r>
      <w:r>
        <w:rPr>
          <w:rFonts w:ascii="Times New Roman" w:hAnsi="Times New Roman"/>
          <w:sz w:val="24"/>
        </w:rPr>
        <w:t>C</w:t>
      </w:r>
      <w:r>
        <w:rPr>
          <w:rFonts w:ascii="Times New Roman" w:hAnsi="Times New Roman"/>
          <w:sz w:val="24"/>
        </w:rPr>
        <w:t>类基金资产净值的</w:t>
      </w:r>
      <w:r>
        <w:rPr>
          <w:rFonts w:ascii="Times New Roman" w:hAnsi="Times New Roman"/>
          <w:sz w:val="24"/>
        </w:rPr>
        <w:t>0.4%</w:t>
      </w:r>
      <w:r>
        <w:rPr>
          <w:rFonts w:ascii="Times New Roman" w:hAnsi="Times New Roman"/>
          <w:sz w:val="24"/>
        </w:rPr>
        <w:t>年费率计提。计算方法如下：</w:t>
      </w:r>
    </w:p>
    <w:p w14:paraId="19E67E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E×0.4%÷</w:t>
      </w:r>
      <w:r>
        <w:rPr>
          <w:rFonts w:ascii="Times New Roman" w:hAnsi="Times New Roman"/>
          <w:sz w:val="24"/>
        </w:rPr>
        <w:t>当年天数</w:t>
      </w:r>
    </w:p>
    <w:p w14:paraId="3A8FC87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w:t>
      </w:r>
      <w:r>
        <w:rPr>
          <w:rFonts w:ascii="Times New Roman" w:hAnsi="Times New Roman"/>
          <w:sz w:val="24"/>
        </w:rPr>
        <w:t>C</w:t>
      </w:r>
      <w:r>
        <w:rPr>
          <w:rFonts w:ascii="Times New Roman" w:hAnsi="Times New Roman"/>
          <w:sz w:val="24"/>
        </w:rPr>
        <w:t>类基金份额每日应计提的销售服务费</w:t>
      </w:r>
    </w:p>
    <w:p w14:paraId="390B7B5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w:t>
      </w:r>
      <w:r>
        <w:rPr>
          <w:rFonts w:ascii="Times New Roman" w:hAnsi="Times New Roman"/>
          <w:sz w:val="24"/>
        </w:rPr>
        <w:t>C</w:t>
      </w:r>
      <w:r>
        <w:rPr>
          <w:rFonts w:ascii="Times New Roman" w:hAnsi="Times New Roman"/>
          <w:sz w:val="24"/>
        </w:rPr>
        <w:t>类基金份额前一日基金资产净值</w:t>
      </w:r>
    </w:p>
    <w:p w14:paraId="088886B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类基金份额销售服务费每日计算，按月支付。由基金管理人向基金托管人发送划款指令，由基金托管人复核后于次月首日起第</w:t>
      </w:r>
      <w:r>
        <w:rPr>
          <w:rFonts w:ascii="Times New Roman" w:hAnsi="Times New Roman"/>
          <w:sz w:val="24"/>
        </w:rPr>
        <w:t>3</w:t>
      </w:r>
      <w:r>
        <w:rPr>
          <w:rFonts w:ascii="Times New Roman" w:hAnsi="Times New Roman"/>
          <w:sz w:val="24"/>
        </w:rPr>
        <w:t>个工作日从基金财产中一次性支付给基金管理人，由基金管理人代付给销售机构，若遇法定节假日、休息日或不可抗力致使无法按时支付的，支付日期顺延。</w:t>
      </w:r>
    </w:p>
    <w:p w14:paraId="78A4CB7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类基金份额的销售服务费将专门用于本基金的推广、销售与基金份额持有人服务。</w:t>
      </w:r>
    </w:p>
    <w:p w14:paraId="651F25F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w:t>
      </w:r>
      <w:r>
        <w:rPr>
          <w:rFonts w:ascii="Times New Roman" w:hAnsi="Times New Roman"/>
          <w:sz w:val="24"/>
        </w:rPr>
        <w:t>“</w:t>
      </w:r>
      <w:r>
        <w:rPr>
          <w:rFonts w:ascii="Times New Roman" w:hAnsi="Times New Roman"/>
          <w:sz w:val="24"/>
        </w:rPr>
        <w:t>（一）基金费用的种类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8</w:t>
      </w:r>
      <w:r>
        <w:rPr>
          <w:rFonts w:ascii="Times New Roman" w:hAnsi="Times New Roman"/>
          <w:sz w:val="24"/>
        </w:rPr>
        <w:t>项、第</w:t>
      </w:r>
      <w:r>
        <w:rPr>
          <w:rFonts w:ascii="Times New Roman" w:hAnsi="Times New Roman"/>
          <w:sz w:val="24"/>
        </w:rPr>
        <w:t>10</w:t>
      </w:r>
      <w:r>
        <w:rPr>
          <w:rFonts w:ascii="Times New Roman" w:hAnsi="Times New Roman"/>
          <w:sz w:val="24"/>
        </w:rPr>
        <w:t>项费用，根据有关法规及相应协议规定，按费用实际支出金额列入当期费用，由基金托管人从基金财产中支付。</w:t>
      </w:r>
    </w:p>
    <w:p w14:paraId="76FF7CE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14:paraId="4268329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3268AD6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74D23D1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407F477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6DE4A605"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14:paraId="77C2043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下列费用不列入基金费用：</w:t>
      </w:r>
    </w:p>
    <w:p w14:paraId="692818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14:paraId="423E103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14:paraId="62003F0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、《基金合同》生效前的相关费用；</w:t>
      </w:r>
    </w:p>
    <w:p w14:paraId="3E7DF85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、其他根据相关法律法规及中国证监会的有关规定不得列入基金费用的项目。</w:t>
      </w:r>
    </w:p>
    <w:p w14:paraId="01ACAF19"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上刊登公告。</w:t>
      </w:r>
    </w:p>
    <w:p w14:paraId="193EDD1F" w14:textId="77777777" w:rsidR="002A6257" w:rsidRPr="002A6257" w:rsidRDefault="000F1A23" w:rsidP="002A6257">
      <w:pPr>
        <w:autoSpaceDE w:val="0"/>
        <w:autoSpaceDN w:val="0"/>
        <w:adjustRightInd w:val="0"/>
        <w:snapToGrid w:val="0"/>
        <w:spacing w:line="360" w:lineRule="auto"/>
        <w:ind w:firstLineChars="200" w:firstLine="422"/>
        <w:rPr>
          <w:rFonts w:ascii="宋体" w:hAnsi="宋体"/>
          <w:b/>
          <w:bCs/>
          <w:szCs w:val="24"/>
        </w:rPr>
      </w:pPr>
      <w:r w:rsidRPr="00BB248E">
        <w:rPr>
          <w:rFonts w:ascii="宋体" w:hAnsi="宋体" w:hint="eastAsia"/>
          <w:b/>
          <w:szCs w:val="24"/>
        </w:rPr>
        <w:t>（五）</w:t>
      </w:r>
      <w:r w:rsidR="002A6257" w:rsidRPr="002A6257">
        <w:rPr>
          <w:rFonts w:ascii="宋体" w:hAnsi="宋体" w:hint="eastAsia"/>
          <w:b/>
          <w:bCs/>
          <w:szCs w:val="24"/>
        </w:rPr>
        <w:t>实施侧袋机制期间的基金费用</w:t>
      </w:r>
    </w:p>
    <w:p w14:paraId="1BB5AE7A" w14:textId="77777777" w:rsidR="002A6257" w:rsidRPr="002A6257" w:rsidRDefault="002A6257" w:rsidP="002A6257">
      <w:pPr>
        <w:autoSpaceDE w:val="0"/>
        <w:autoSpaceDN w:val="0"/>
        <w:adjustRightInd w:val="0"/>
        <w:snapToGrid w:val="0"/>
        <w:spacing w:line="360" w:lineRule="auto"/>
        <w:ind w:firstLineChars="200" w:firstLine="480"/>
        <w:rPr>
          <w:rFonts w:ascii="Times New Roman" w:hAnsi="Times New Roman"/>
          <w:sz w:val="24"/>
        </w:rPr>
      </w:pPr>
      <w:r w:rsidRPr="002A6257">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58C5F9DE" w14:textId="23F34B59" w:rsidR="00DC3364" w:rsidRDefault="002A6257" w:rsidP="002A6257">
      <w:pPr>
        <w:autoSpaceDE w:val="0"/>
        <w:autoSpaceDN w:val="0"/>
        <w:adjustRightInd w:val="0"/>
        <w:snapToGrid w:val="0"/>
        <w:spacing w:line="360" w:lineRule="auto"/>
        <w:ind w:firstLineChars="200" w:firstLine="422"/>
        <w:rPr>
          <w:rFonts w:ascii="宋体" w:hAnsi="宋体"/>
          <w:szCs w:val="24"/>
        </w:rPr>
      </w:pPr>
      <w:r w:rsidRPr="002A6257">
        <w:rPr>
          <w:rFonts w:ascii="宋体" w:hAnsi="宋体" w:hint="eastAsia"/>
          <w:b/>
          <w:bCs/>
          <w:szCs w:val="24"/>
        </w:rPr>
        <w:t>（六）</w:t>
      </w:r>
      <w:r w:rsidR="000F1A23" w:rsidRPr="00BB248E">
        <w:rPr>
          <w:rFonts w:ascii="宋体" w:hAnsi="宋体" w:hint="eastAsia"/>
          <w:b/>
          <w:szCs w:val="24"/>
        </w:rPr>
        <w:t>基金税收</w:t>
      </w:r>
    </w:p>
    <w:p w14:paraId="3E0FA4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本基金运作过程中涉及的各纳税主体，其纳税义务按国家税收法律、法规执行。</w:t>
      </w:r>
    </w:p>
    <w:p w14:paraId="79320D35"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31A810" w14:textId="77777777" w:rsidR="00DC3364" w:rsidRDefault="000F1A23">
      <w:pPr>
        <w:pStyle w:val="1"/>
        <w:snapToGrid w:val="0"/>
        <w:spacing w:beforeLines="0" w:before="240" w:after="240"/>
        <w:rPr>
          <w:rFonts w:ascii="宋体" w:hAnsi="宋体"/>
          <w:szCs w:val="30"/>
        </w:rPr>
      </w:pPr>
      <w:bookmarkStart w:id="19" w:name="_Toc69125814"/>
      <w:r>
        <w:rPr>
          <w:rFonts w:ascii="Times New Roman" w:hAnsi="Times New Roman"/>
          <w:sz w:val="30"/>
        </w:rPr>
        <w:lastRenderedPageBreak/>
        <w:t>十六、基金的会计与审计</w:t>
      </w:r>
      <w:bookmarkEnd w:id="19"/>
    </w:p>
    <w:p w14:paraId="5C09206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14:paraId="652C671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、基金管理人为本基金的基金会计责任方；</w:t>
      </w:r>
    </w:p>
    <w:p w14:paraId="737C5B4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04C6EF9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、基金核算以人民币为记账本位币，以人民币元为记账单位；</w:t>
      </w:r>
    </w:p>
    <w:p w14:paraId="5EE329A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、会计制度执行国家有关会计制度；</w:t>
      </w:r>
    </w:p>
    <w:p w14:paraId="4BC2FBA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123C669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14:paraId="3239A36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、基金托管人每月与基金管理人就基金的会计核算、报表编制等进行核对并以书面方式确认。</w:t>
      </w:r>
    </w:p>
    <w:p w14:paraId="683E5E6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（二）基金的年度审计</w:t>
      </w:r>
    </w:p>
    <w:p w14:paraId="3BB7F01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、基金管理人聘请与基金管理人、基金托管人相互独立的具有证券、期货相关从业资格的会计师事务所及其注册会计师对本基金的年度财务报表进行审计。</w:t>
      </w:r>
    </w:p>
    <w:p w14:paraId="1A8304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14:paraId="2F41B13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、基金管理人认为有充足理由更换会计师事务所，须通报基金托管人。更换会计师事务所需依照《信息披露办法》的有关规定在指定媒介公告。</w:t>
      </w:r>
    </w:p>
    <w:p w14:paraId="06394FCC"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B70865" w14:textId="77777777" w:rsidR="00DC3364" w:rsidRDefault="000F1A23">
      <w:pPr>
        <w:pStyle w:val="1"/>
        <w:snapToGrid w:val="0"/>
        <w:spacing w:beforeLines="0" w:before="240" w:after="240"/>
        <w:rPr>
          <w:rFonts w:ascii="宋体" w:hAnsi="宋体"/>
          <w:szCs w:val="30"/>
        </w:rPr>
      </w:pPr>
      <w:bookmarkStart w:id="20" w:name="_Toc69125815"/>
      <w:r>
        <w:rPr>
          <w:rFonts w:ascii="Times New Roman" w:hAnsi="Times New Roman"/>
          <w:sz w:val="30"/>
        </w:rPr>
        <w:lastRenderedPageBreak/>
        <w:t>十七、基金的信息披露</w:t>
      </w:r>
      <w:bookmarkEnd w:id="20"/>
    </w:p>
    <w:p w14:paraId="0BC9E8E1"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14:paraId="5BF7BF9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14:paraId="4A7D615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14:paraId="470B1E0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108B652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4EB38F7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（三）本基金信息披露义务人承诺公开披露的基金信息，不得有下列行为：</w:t>
      </w:r>
    </w:p>
    <w:p w14:paraId="599462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2C93121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212A4E3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6F07FEA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14:paraId="20C148F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32195F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1270E886"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1095134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14:paraId="42125AC6"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14:paraId="553123B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14:paraId="5932F4E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、基金招募说明书、《基金合同》、基金托管协议、基金产品资料概要</w:t>
      </w:r>
    </w:p>
    <w:p w14:paraId="12E9ECD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3330441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w:t>
      </w:r>
      <w:r>
        <w:rPr>
          <w:rFonts w:ascii="Times New Roman" w:hAnsi="Times New Roman"/>
          <w:sz w:val="24"/>
        </w:rPr>
        <w:lastRenderedPageBreak/>
        <w:t>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DB1A2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14:paraId="02B9377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691611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日前，将基金招募说明书、《基金合同》摘要登载在指定媒介上；基金管理人、基金托管人应当将《基金合同》、基金托管协议登载在网站上。</w:t>
      </w:r>
    </w:p>
    <w:p w14:paraId="6246842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14:paraId="464994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14:paraId="0FD2F0C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14:paraId="2A6AF86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基金管理人应当在收到中国证监会确认文件的次日在指定媒介上登载《基金合同》生效公告。</w:t>
      </w:r>
    </w:p>
    <w:p w14:paraId="64C93F0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14:paraId="178473D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《基金合同》生效后，在开始办理基金份额申购或者赎回前，基金管理人应当至少每周在指定网站披露一次</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14:paraId="4F5D000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在开始办理基金份额申购或者赎回后，基金管理人应当在不晚于每个开放日的次日，通过指定网站、销售机构网站或者营业网点披露开放日的</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14:paraId="3DD80A1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基金管理人应当在不晚于半年度和年度最后一日的次日，在指定网站披露半年度和年度最后一日的</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w:t>
      </w:r>
      <w:r>
        <w:rPr>
          <w:rFonts w:ascii="Times New Roman" w:hAnsi="Times New Roman"/>
          <w:sz w:val="24"/>
        </w:rPr>
        <w:lastRenderedPageBreak/>
        <w:t>额累计净值。</w:t>
      </w:r>
    </w:p>
    <w:p w14:paraId="240777C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14:paraId="4D8C122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1A1F0E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14:paraId="0CA2F23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232A8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4C7741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1609F71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1758E30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480979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2E7F53F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14:paraId="65C41D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14:paraId="2FB1F54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591C1A7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2630D1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14:paraId="39E2F0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14:paraId="5236EA8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w:t>
      </w:r>
      <w:r>
        <w:rPr>
          <w:rFonts w:ascii="Times New Roman" w:hAnsi="Times New Roman"/>
          <w:sz w:val="24"/>
        </w:rPr>
        <w:lastRenderedPageBreak/>
        <w:t>务所；</w:t>
      </w:r>
    </w:p>
    <w:p w14:paraId="1FCFBE7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7FCAC66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14:paraId="2129475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47A28ED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424E13A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485520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04CD7E4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5A71920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1FCE2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D77F03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2D469D3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）管理费、托管费、销售服务费、申购费、赎回费等费用计提标准、计提方式和费率发生变更；</w:t>
      </w:r>
    </w:p>
    <w:p w14:paraId="0909DB9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）任一类基金份额净值计价错误达基金份额净值百分之零点五；</w:t>
      </w:r>
    </w:p>
    <w:p w14:paraId="5A39E17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798B28C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14:paraId="6AA8745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14:paraId="5B843F3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14:paraId="7B7911D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14:paraId="6EAF4E0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）本基金连续</w:t>
      </w:r>
      <w:r>
        <w:rPr>
          <w:rFonts w:ascii="Times New Roman" w:hAnsi="Times New Roman"/>
          <w:sz w:val="24"/>
        </w:rPr>
        <w:t>30</w:t>
      </w:r>
      <w:r>
        <w:rPr>
          <w:rFonts w:ascii="Times New Roman" w:hAnsi="Times New Roman"/>
          <w:sz w:val="24"/>
        </w:rPr>
        <w:t>、</w:t>
      </w:r>
      <w:r>
        <w:rPr>
          <w:rFonts w:ascii="Times New Roman" w:hAnsi="Times New Roman"/>
          <w:sz w:val="24"/>
        </w:rPr>
        <w:t>40</w:t>
      </w:r>
      <w:r>
        <w:rPr>
          <w:rFonts w:ascii="Times New Roman" w:hAnsi="Times New Roman"/>
          <w:sz w:val="24"/>
        </w:rPr>
        <w:t>、</w:t>
      </w:r>
      <w:r>
        <w:rPr>
          <w:rFonts w:ascii="Times New Roman" w:hAnsi="Times New Roman"/>
          <w:sz w:val="24"/>
        </w:rPr>
        <w:t>45</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万元情形，基金管理人应当发布提示性公告；</w:t>
      </w:r>
    </w:p>
    <w:p w14:paraId="565187C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）基金信息披露义务人认为可能对基金份额持有人权益或者基金份额的价</w:t>
      </w:r>
      <w:r>
        <w:rPr>
          <w:rFonts w:ascii="Times New Roman" w:hAnsi="Times New Roman"/>
          <w:sz w:val="24"/>
        </w:rPr>
        <w:lastRenderedPageBreak/>
        <w:t>格产生重大影响的其他事项或中国证监会规定的其他事项。</w:t>
      </w:r>
    </w:p>
    <w:p w14:paraId="10D20B4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14:paraId="65064DB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DDF8F6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14:paraId="448CAE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14:paraId="640096F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03E712B1" w14:textId="77777777" w:rsidR="002A6257" w:rsidRPr="002A6257" w:rsidRDefault="000F1A23" w:rsidP="002A6257">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10</w:t>
      </w:r>
      <w:r>
        <w:rPr>
          <w:rFonts w:ascii="Times New Roman" w:hAnsi="Times New Roman"/>
          <w:sz w:val="24"/>
        </w:rPr>
        <w:t>、</w:t>
      </w:r>
      <w:r w:rsidR="002A6257" w:rsidRPr="002A6257">
        <w:rPr>
          <w:rFonts w:ascii="Times New Roman" w:hAnsi="Times New Roman" w:hint="eastAsia"/>
          <w:bCs/>
          <w:sz w:val="24"/>
        </w:rPr>
        <w:t>实施侧袋机制期间的信息披露</w:t>
      </w:r>
    </w:p>
    <w:p w14:paraId="52C4D4B6" w14:textId="77777777" w:rsidR="002A6257" w:rsidRPr="002A6257" w:rsidRDefault="002A6257" w:rsidP="002A6257">
      <w:pPr>
        <w:autoSpaceDE w:val="0"/>
        <w:autoSpaceDN w:val="0"/>
        <w:adjustRightInd w:val="0"/>
        <w:snapToGrid w:val="0"/>
        <w:spacing w:line="360" w:lineRule="auto"/>
        <w:ind w:firstLineChars="200" w:firstLine="480"/>
        <w:rPr>
          <w:rFonts w:ascii="Times New Roman" w:hAnsi="Times New Roman"/>
          <w:bCs/>
          <w:sz w:val="24"/>
        </w:rPr>
      </w:pPr>
      <w:r w:rsidRPr="002A6257">
        <w:rPr>
          <w:rFonts w:ascii="Times New Roman" w:hAnsi="Times New Roman" w:hint="eastAsia"/>
          <w:bCs/>
          <w:sz w:val="24"/>
        </w:rPr>
        <w:t>本基金实施侧袋机制的，相关信息披露义务人应当根据法律法规、基金合同和招募说明书的规定进行信息披露，详见本招募说明书“侧袋</w:t>
      </w:r>
      <w:r w:rsidRPr="002A6257">
        <w:rPr>
          <w:rFonts w:ascii="Times New Roman" w:hAnsi="Times New Roman"/>
          <w:bCs/>
          <w:sz w:val="24"/>
        </w:rPr>
        <w:t>机制</w:t>
      </w:r>
      <w:r w:rsidRPr="002A6257">
        <w:rPr>
          <w:rFonts w:ascii="Times New Roman" w:hAnsi="Times New Roman" w:hint="eastAsia"/>
          <w:bCs/>
          <w:sz w:val="24"/>
        </w:rPr>
        <w:t>”部分的规定。</w:t>
      </w:r>
    </w:p>
    <w:p w14:paraId="05ACEC1C" w14:textId="64211DBC" w:rsidR="00DC3364" w:rsidRDefault="002A6257" w:rsidP="002A6257">
      <w:pPr>
        <w:autoSpaceDE w:val="0"/>
        <w:autoSpaceDN w:val="0"/>
        <w:adjustRightInd w:val="0"/>
        <w:snapToGrid w:val="0"/>
        <w:spacing w:line="360" w:lineRule="auto"/>
        <w:ind w:firstLineChars="200" w:firstLine="480"/>
        <w:rPr>
          <w:rFonts w:ascii="宋体" w:hAnsi="宋体"/>
          <w:szCs w:val="24"/>
        </w:rPr>
      </w:pPr>
      <w:r w:rsidRPr="002A6257">
        <w:rPr>
          <w:rFonts w:ascii="Times New Roman" w:hAnsi="Times New Roman" w:hint="eastAsia"/>
          <w:bCs/>
          <w:sz w:val="24"/>
        </w:rPr>
        <w:t>11</w:t>
      </w:r>
      <w:r w:rsidRPr="002A6257">
        <w:rPr>
          <w:rFonts w:ascii="Times New Roman" w:hAnsi="Times New Roman" w:hint="eastAsia"/>
          <w:bCs/>
          <w:sz w:val="24"/>
        </w:rPr>
        <w:t>、</w:t>
      </w:r>
      <w:r w:rsidR="000F1A23">
        <w:rPr>
          <w:rFonts w:ascii="Times New Roman" w:hAnsi="Times New Roman"/>
          <w:sz w:val="24"/>
        </w:rPr>
        <w:t>清算报告</w:t>
      </w:r>
    </w:p>
    <w:p w14:paraId="55EAA8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6452399" w14:textId="1B5545F5" w:rsidR="00DC3364" w:rsidRDefault="002A625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sidR="000F1A23">
        <w:rPr>
          <w:rFonts w:ascii="Times New Roman" w:hAnsi="Times New Roman"/>
          <w:sz w:val="24"/>
        </w:rPr>
        <w:t>、基金投资资产支持证券情况</w:t>
      </w:r>
    </w:p>
    <w:p w14:paraId="45736C9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ascii="Times New Roman" w:hAnsi="Times New Roman"/>
          <w:sz w:val="24"/>
        </w:rPr>
        <w:t>10</w:t>
      </w:r>
      <w:r>
        <w:rPr>
          <w:rFonts w:ascii="Times New Roman" w:hAnsi="Times New Roman"/>
          <w:sz w:val="24"/>
        </w:rPr>
        <w:t>名资产支持证券明细。</w:t>
      </w:r>
    </w:p>
    <w:p w14:paraId="7819A5AF" w14:textId="31698BD1" w:rsidR="00DC3364" w:rsidRDefault="002A625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sidR="000F1A23">
        <w:rPr>
          <w:rFonts w:ascii="Times New Roman" w:hAnsi="Times New Roman"/>
          <w:sz w:val="24"/>
        </w:rPr>
        <w:t>、中国证监会规定的其他信息。</w:t>
      </w:r>
    </w:p>
    <w:p w14:paraId="0AF619B2"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（六）信息披露事务管理</w:t>
      </w:r>
    </w:p>
    <w:p w14:paraId="1E4483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45769EE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w:t>
      </w:r>
      <w:r>
        <w:rPr>
          <w:rFonts w:ascii="Times New Roman" w:hAnsi="Times New Roman"/>
          <w:sz w:val="24"/>
        </w:rPr>
        <w:lastRenderedPageBreak/>
        <w:t>露内容与格式准则等法规规定。</w:t>
      </w:r>
    </w:p>
    <w:p w14:paraId="72BB85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EEFCC3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07AF3E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7ED055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14:paraId="1AF3D69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77B5657"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（七）信息披露文件的存放与查阅</w:t>
      </w:r>
    </w:p>
    <w:p w14:paraId="71ABFD0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6E16E2F0"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（八）本基金信息披露事项以法律法规规定及本章节约定的内容为准。</w:t>
      </w:r>
    </w:p>
    <w:p w14:paraId="7F0CF284"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E365BC" w14:textId="77777777" w:rsidR="002A6257" w:rsidRPr="00431733" w:rsidRDefault="000F1A23" w:rsidP="00431733">
      <w:pPr>
        <w:pStyle w:val="1"/>
        <w:snapToGrid w:val="0"/>
        <w:spacing w:beforeLines="0" w:before="240" w:after="240"/>
        <w:rPr>
          <w:rFonts w:ascii="Times New Roman" w:hAnsi="Times New Roman"/>
          <w:b w:val="0"/>
          <w:sz w:val="30"/>
        </w:rPr>
      </w:pPr>
      <w:bookmarkStart w:id="21" w:name="_Toc69125816"/>
      <w:r>
        <w:rPr>
          <w:rFonts w:ascii="Times New Roman" w:hAnsi="Times New Roman"/>
          <w:sz w:val="30"/>
        </w:rPr>
        <w:lastRenderedPageBreak/>
        <w:t>十八、</w:t>
      </w:r>
      <w:r w:rsidR="002A6257" w:rsidRPr="00431733">
        <w:rPr>
          <w:rFonts w:ascii="Times New Roman" w:hAnsi="Times New Roman" w:hint="eastAsia"/>
          <w:sz w:val="30"/>
        </w:rPr>
        <w:t>侧袋机制</w:t>
      </w:r>
      <w:bookmarkEnd w:id="21"/>
    </w:p>
    <w:p w14:paraId="68C2878E" w14:textId="77777777" w:rsidR="002A6257" w:rsidRPr="002A6257" w:rsidRDefault="002A6257" w:rsidP="002A6257">
      <w:pPr>
        <w:adjustRightInd w:val="0"/>
        <w:snapToGrid w:val="0"/>
        <w:spacing w:line="360" w:lineRule="auto"/>
        <w:ind w:firstLineChars="200" w:firstLine="422"/>
        <w:rPr>
          <w:rFonts w:ascii="宋体" w:hAnsi="宋体"/>
          <w:b/>
          <w:szCs w:val="24"/>
        </w:rPr>
      </w:pPr>
      <w:r w:rsidRPr="002A6257">
        <w:rPr>
          <w:rFonts w:ascii="宋体" w:hAnsi="宋体" w:hint="eastAsia"/>
          <w:b/>
          <w:szCs w:val="24"/>
        </w:rPr>
        <w:t>（一）侧袋机制的实施条件</w:t>
      </w:r>
    </w:p>
    <w:p w14:paraId="09D73D84"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15F9CCA"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基金管理人应当在启用侧袋机制后及时发布临时公告，</w:t>
      </w:r>
      <w:bookmarkStart w:id="22" w:name="_Hlk45746268"/>
      <w:r w:rsidRPr="002A6257">
        <w:rPr>
          <w:rFonts w:ascii="Times New Roman" w:hAnsi="宋体" w:hint="eastAsia"/>
          <w:bCs/>
          <w:sz w:val="24"/>
          <w:szCs w:val="24"/>
        </w:rPr>
        <w:t>并在</w:t>
      </w:r>
      <w:bookmarkStart w:id="23" w:name="_Hlk45746204"/>
      <w:r w:rsidRPr="002A6257">
        <w:rPr>
          <w:rFonts w:ascii="Times New Roman" w:hAnsi="宋体" w:hint="eastAsia"/>
          <w:bCs/>
          <w:sz w:val="24"/>
          <w:szCs w:val="24"/>
        </w:rPr>
        <w:t>五个工作日内</w:t>
      </w:r>
      <w:bookmarkEnd w:id="22"/>
      <w:bookmarkEnd w:id="23"/>
      <w:r w:rsidRPr="002A6257">
        <w:rPr>
          <w:rFonts w:ascii="Times New Roman" w:hAnsi="宋体" w:hint="eastAsia"/>
          <w:bCs/>
          <w:sz w:val="24"/>
          <w:szCs w:val="24"/>
        </w:rPr>
        <w:t>聘请</w:t>
      </w:r>
      <w:bookmarkStart w:id="24" w:name="_Hlk45746277"/>
      <w:r w:rsidRPr="002A6257">
        <w:rPr>
          <w:rFonts w:ascii="Times New Roman" w:hAnsi="宋体" w:hint="eastAsia"/>
          <w:bCs/>
          <w:sz w:val="24"/>
          <w:szCs w:val="24"/>
        </w:rPr>
        <w:t>侧袋机制启用日发表意见且</w:t>
      </w:r>
      <w:bookmarkEnd w:id="24"/>
      <w:r w:rsidRPr="002A6257">
        <w:rPr>
          <w:rFonts w:ascii="Times New Roman" w:hAnsi="宋体" w:hint="eastAsia"/>
          <w:bCs/>
          <w:sz w:val="24"/>
          <w:szCs w:val="24"/>
        </w:rPr>
        <w:t>符合《中华人民共和国证券法》规定的会计师事务所</w:t>
      </w:r>
      <w:bookmarkStart w:id="25" w:name="_Hlk45746299"/>
      <w:r w:rsidRPr="002A6257">
        <w:rPr>
          <w:rFonts w:ascii="Times New Roman" w:hAnsi="宋体" w:hint="eastAsia"/>
          <w:bCs/>
          <w:sz w:val="24"/>
          <w:szCs w:val="24"/>
        </w:rPr>
        <w:t>进行审计并披露</w:t>
      </w:r>
      <w:bookmarkEnd w:id="25"/>
      <w:r w:rsidRPr="002A6257">
        <w:rPr>
          <w:rFonts w:ascii="Times New Roman" w:hAnsi="宋体" w:hint="eastAsia"/>
          <w:bCs/>
          <w:sz w:val="24"/>
          <w:szCs w:val="24"/>
        </w:rPr>
        <w:t>专项审计意见。</w:t>
      </w:r>
    </w:p>
    <w:p w14:paraId="6C0EAED2" w14:textId="77777777" w:rsidR="002A6257" w:rsidRPr="002A6257" w:rsidRDefault="002A6257" w:rsidP="002A6257">
      <w:pPr>
        <w:adjustRightInd w:val="0"/>
        <w:snapToGrid w:val="0"/>
        <w:spacing w:line="360" w:lineRule="auto"/>
        <w:ind w:firstLineChars="200" w:firstLine="422"/>
        <w:rPr>
          <w:rFonts w:ascii="宋体" w:hAnsi="宋体"/>
          <w:b/>
          <w:szCs w:val="24"/>
        </w:rPr>
      </w:pPr>
      <w:r w:rsidRPr="002A6257">
        <w:rPr>
          <w:rFonts w:ascii="宋体" w:hAnsi="宋体" w:hint="eastAsia"/>
          <w:b/>
          <w:szCs w:val="24"/>
        </w:rPr>
        <w:t>（二）实施侧袋机制期间基金份额的申购与赎回</w:t>
      </w:r>
    </w:p>
    <w:p w14:paraId="0A55AC66"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1</w:t>
      </w:r>
      <w:r w:rsidRPr="002A6257">
        <w:rPr>
          <w:rFonts w:ascii="Times New Roman"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3C36D25"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bCs/>
          <w:sz w:val="24"/>
          <w:szCs w:val="24"/>
        </w:rPr>
        <w:t>2</w:t>
      </w:r>
      <w:r w:rsidRPr="002A6257">
        <w:rPr>
          <w:rFonts w:ascii="Times New Roman"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4B3EDEBC"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bCs/>
          <w:sz w:val="24"/>
          <w:szCs w:val="24"/>
        </w:rPr>
        <w:t>3</w:t>
      </w:r>
      <w:r w:rsidRPr="002A6257">
        <w:rPr>
          <w:rFonts w:ascii="Times New Roman"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A6257">
        <w:rPr>
          <w:rFonts w:ascii="Times New Roman" w:hAnsi="宋体"/>
          <w:bCs/>
          <w:sz w:val="24"/>
          <w:szCs w:val="24"/>
        </w:rPr>
        <w:t>10</w:t>
      </w:r>
      <w:r w:rsidRPr="002A6257">
        <w:rPr>
          <w:rFonts w:ascii="Times New Roman" w:hAnsi="宋体" w:hint="eastAsia"/>
          <w:bCs/>
          <w:sz w:val="24"/>
          <w:szCs w:val="24"/>
        </w:rPr>
        <w:t>%</w:t>
      </w:r>
      <w:r w:rsidRPr="002A6257">
        <w:rPr>
          <w:rFonts w:ascii="Times New Roman" w:hAnsi="宋体" w:hint="eastAsia"/>
          <w:bCs/>
          <w:sz w:val="24"/>
          <w:szCs w:val="24"/>
        </w:rPr>
        <w:t>认定。</w:t>
      </w:r>
    </w:p>
    <w:p w14:paraId="45F3B846" w14:textId="77777777" w:rsidR="002A6257" w:rsidRPr="002A6257" w:rsidRDefault="002A6257" w:rsidP="002A6257">
      <w:pPr>
        <w:adjustRightInd w:val="0"/>
        <w:snapToGrid w:val="0"/>
        <w:spacing w:line="360" w:lineRule="auto"/>
        <w:ind w:firstLineChars="200" w:firstLine="422"/>
        <w:rPr>
          <w:rFonts w:ascii="宋体" w:hAnsi="宋体"/>
          <w:b/>
          <w:szCs w:val="24"/>
        </w:rPr>
      </w:pPr>
      <w:r w:rsidRPr="002A6257">
        <w:rPr>
          <w:rFonts w:ascii="宋体" w:hAnsi="宋体" w:hint="eastAsia"/>
          <w:b/>
          <w:szCs w:val="24"/>
        </w:rPr>
        <w:t>（三）实施侧袋机制期间的基金投资</w:t>
      </w:r>
    </w:p>
    <w:p w14:paraId="31F13770"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侧袋机制实施期间，招募说明书“基金的投资”部分约定的</w:t>
      </w:r>
      <w:r w:rsidRPr="002A6257">
        <w:rPr>
          <w:rFonts w:ascii="Times New Roman" w:hAnsi="宋体"/>
          <w:bCs/>
          <w:sz w:val="24"/>
          <w:szCs w:val="24"/>
        </w:rPr>
        <w:t>投资组合比例</w:t>
      </w:r>
      <w:r w:rsidRPr="002A6257">
        <w:rPr>
          <w:rFonts w:ascii="Times New Roman" w:hAnsi="宋体" w:hint="eastAsia"/>
          <w:bCs/>
          <w:sz w:val="24"/>
          <w:szCs w:val="24"/>
        </w:rPr>
        <w:t>、投资策略、</w:t>
      </w:r>
      <w:r w:rsidRPr="002A6257">
        <w:rPr>
          <w:rFonts w:ascii="Times New Roman" w:hAnsi="宋体"/>
          <w:bCs/>
          <w:sz w:val="24"/>
          <w:szCs w:val="24"/>
        </w:rPr>
        <w:t>组合限制</w:t>
      </w:r>
      <w:r w:rsidRPr="002A6257">
        <w:rPr>
          <w:rFonts w:ascii="Times New Roman" w:hAnsi="宋体" w:hint="eastAsia"/>
          <w:bCs/>
          <w:sz w:val="24"/>
          <w:szCs w:val="24"/>
        </w:rPr>
        <w:t>、业绩比较基准、风险收益特征等约定仅适用于主袋账户。基金管理人计算各项投资运作指标和基金业绩指标时仅需考虑主袋账户资产。</w:t>
      </w:r>
    </w:p>
    <w:p w14:paraId="0DE88DA5"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基金管理人原则上应当在侧袋</w:t>
      </w:r>
      <w:r w:rsidRPr="002A6257">
        <w:rPr>
          <w:rFonts w:ascii="Times New Roman" w:hAnsi="宋体"/>
          <w:bCs/>
          <w:sz w:val="24"/>
          <w:szCs w:val="24"/>
        </w:rPr>
        <w:t>机制启用后</w:t>
      </w:r>
      <w:r w:rsidRPr="002A6257">
        <w:rPr>
          <w:rFonts w:ascii="Times New Roman" w:hAnsi="宋体"/>
          <w:bCs/>
          <w:sz w:val="24"/>
          <w:szCs w:val="24"/>
        </w:rPr>
        <w:t>20</w:t>
      </w:r>
      <w:r w:rsidRPr="002A6257">
        <w:rPr>
          <w:rFonts w:ascii="Times New Roman" w:hAnsi="宋体"/>
          <w:bCs/>
          <w:sz w:val="24"/>
          <w:szCs w:val="24"/>
        </w:rPr>
        <w:t>个交易日内完成对主袋账户投资组合的调整，</w:t>
      </w:r>
      <w:r w:rsidRPr="002A6257">
        <w:rPr>
          <w:rFonts w:ascii="Times New Roman" w:hAnsi="宋体" w:hint="eastAsia"/>
          <w:bCs/>
          <w:sz w:val="24"/>
          <w:szCs w:val="24"/>
        </w:rPr>
        <w:t>因资产流动性受限等中国证监会规定的情形除外。</w:t>
      </w:r>
    </w:p>
    <w:p w14:paraId="2D8EB122"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基金管理人不得在侧袋账户中进行除特定资产处置变现以外的其他投资操作。</w:t>
      </w:r>
    </w:p>
    <w:p w14:paraId="562E360C" w14:textId="77777777" w:rsidR="002A6257" w:rsidRPr="002A6257" w:rsidRDefault="002A6257" w:rsidP="002A6257">
      <w:pPr>
        <w:adjustRightInd w:val="0"/>
        <w:snapToGrid w:val="0"/>
        <w:spacing w:line="360" w:lineRule="auto"/>
        <w:ind w:firstLineChars="200" w:firstLine="422"/>
        <w:rPr>
          <w:rFonts w:ascii="Times New Roman" w:hAnsi="宋体"/>
          <w:b/>
          <w:bCs/>
          <w:sz w:val="24"/>
          <w:szCs w:val="24"/>
        </w:rPr>
      </w:pPr>
      <w:r w:rsidRPr="002A6257">
        <w:rPr>
          <w:rFonts w:ascii="宋体" w:hAnsi="宋体" w:hint="eastAsia"/>
          <w:b/>
          <w:szCs w:val="24"/>
        </w:rPr>
        <w:t>（四）实施侧袋机制期间的基金估值</w:t>
      </w:r>
    </w:p>
    <w:p w14:paraId="45DC5C40"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本基金实施侧袋机制的，基金管理人和基金托管人应对主袋账户资产进行估值并披露主袋账户的基金净值信息，暂停披露侧袋账户份额净值。侧袋账户的会计核</w:t>
      </w:r>
      <w:r w:rsidRPr="002A6257">
        <w:rPr>
          <w:rFonts w:ascii="Times New Roman" w:hAnsi="宋体" w:hint="eastAsia"/>
          <w:bCs/>
          <w:sz w:val="24"/>
          <w:szCs w:val="24"/>
        </w:rPr>
        <w:lastRenderedPageBreak/>
        <w:t>算应符合《企业会计准则》的相关要求。</w:t>
      </w:r>
    </w:p>
    <w:p w14:paraId="31CBE0B0" w14:textId="77777777" w:rsidR="002A6257" w:rsidRPr="002A6257" w:rsidRDefault="002A6257" w:rsidP="002A6257">
      <w:pPr>
        <w:adjustRightInd w:val="0"/>
        <w:snapToGrid w:val="0"/>
        <w:spacing w:line="360" w:lineRule="auto"/>
        <w:ind w:firstLineChars="200" w:firstLine="422"/>
        <w:rPr>
          <w:rFonts w:ascii="宋体" w:hAnsi="宋体"/>
          <w:b/>
          <w:szCs w:val="24"/>
        </w:rPr>
      </w:pPr>
      <w:r w:rsidRPr="002A6257">
        <w:rPr>
          <w:rFonts w:ascii="宋体" w:hAnsi="宋体" w:hint="eastAsia"/>
          <w:b/>
          <w:szCs w:val="24"/>
        </w:rPr>
        <w:t>（五）实施侧袋账户期间的基金费用</w:t>
      </w:r>
    </w:p>
    <w:p w14:paraId="757786D1"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1</w:t>
      </w:r>
      <w:r w:rsidRPr="002A6257">
        <w:rPr>
          <w:rFonts w:ascii="Times New Roman" w:hAnsi="宋体" w:hint="eastAsia"/>
          <w:bCs/>
          <w:sz w:val="24"/>
          <w:szCs w:val="24"/>
        </w:rPr>
        <w:t>、本基金实施侧袋机制的，管理费和托管费按主袋账户基金资产净值作为基数计提。</w:t>
      </w:r>
    </w:p>
    <w:p w14:paraId="057BF9B0"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bCs/>
          <w:sz w:val="24"/>
          <w:szCs w:val="24"/>
        </w:rPr>
        <w:t>2</w:t>
      </w:r>
      <w:r w:rsidRPr="002A6257">
        <w:rPr>
          <w:rFonts w:ascii="Times New Roman" w:hAnsi="宋体" w:hint="eastAsia"/>
          <w:bCs/>
          <w:sz w:val="24"/>
          <w:szCs w:val="24"/>
        </w:rPr>
        <w:t>、与侧袋账户有关的费用可从侧袋账户中列支，但应待侧袋账户资产变现后方可列支，有关费用可酌情收取或减免，但不得收取管理费。</w:t>
      </w:r>
    </w:p>
    <w:p w14:paraId="00268EDC" w14:textId="77777777" w:rsidR="002A6257" w:rsidRPr="002A6257" w:rsidRDefault="002A6257" w:rsidP="002A6257">
      <w:pPr>
        <w:adjustRightInd w:val="0"/>
        <w:snapToGrid w:val="0"/>
        <w:spacing w:line="360" w:lineRule="auto"/>
        <w:ind w:firstLineChars="200" w:firstLine="422"/>
        <w:rPr>
          <w:rFonts w:ascii="宋体" w:hAnsi="宋体"/>
          <w:b/>
          <w:szCs w:val="24"/>
        </w:rPr>
      </w:pPr>
      <w:r w:rsidRPr="002A6257">
        <w:rPr>
          <w:rFonts w:ascii="宋体" w:hAnsi="宋体" w:hint="eastAsia"/>
          <w:b/>
          <w:szCs w:val="24"/>
        </w:rPr>
        <w:t>（六）侧袋账户中特定资产的处置变现和支付</w:t>
      </w:r>
    </w:p>
    <w:p w14:paraId="6243510E"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4B897CB3"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481B57E"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侧袋账户资产全部完成变现并终止侧袋机制后，基金管理人应及时聘请符合《中华人民共和国证券法》规定的会计师事务所进行审计并披露专项审计意见。</w:t>
      </w:r>
    </w:p>
    <w:p w14:paraId="2F1C9424" w14:textId="77777777" w:rsidR="002A6257" w:rsidRPr="002A6257" w:rsidRDefault="002A6257" w:rsidP="002A6257">
      <w:pPr>
        <w:adjustRightInd w:val="0"/>
        <w:snapToGrid w:val="0"/>
        <w:spacing w:line="360" w:lineRule="auto"/>
        <w:ind w:firstLineChars="200" w:firstLine="422"/>
        <w:rPr>
          <w:rFonts w:ascii="宋体" w:hAnsi="宋体"/>
          <w:b/>
          <w:szCs w:val="24"/>
        </w:rPr>
      </w:pPr>
      <w:r w:rsidRPr="002A6257">
        <w:rPr>
          <w:rFonts w:ascii="宋体" w:hAnsi="宋体" w:hint="eastAsia"/>
          <w:b/>
          <w:szCs w:val="24"/>
        </w:rPr>
        <w:t>（七）侧袋机制的信息披露</w:t>
      </w:r>
    </w:p>
    <w:p w14:paraId="766BFC2C"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1</w:t>
      </w:r>
      <w:r w:rsidRPr="002A6257">
        <w:rPr>
          <w:rFonts w:ascii="Times New Roman" w:hAnsi="宋体" w:hint="eastAsia"/>
          <w:bCs/>
          <w:sz w:val="24"/>
          <w:szCs w:val="24"/>
        </w:rPr>
        <w:t>、临时公告</w:t>
      </w:r>
    </w:p>
    <w:p w14:paraId="27B60EAF"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在启用侧袋机制、处置特定资产、终止侧袋机制以及发生其他可能对投资者利益产生重大影响的事项后基金管理人应及时发布临时公告。</w:t>
      </w:r>
    </w:p>
    <w:p w14:paraId="0E5E1C3B"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2</w:t>
      </w:r>
      <w:r w:rsidRPr="002A6257">
        <w:rPr>
          <w:rFonts w:ascii="Times New Roman" w:hAnsi="宋体" w:hint="eastAsia"/>
          <w:bCs/>
          <w:sz w:val="24"/>
          <w:szCs w:val="24"/>
        </w:rPr>
        <w:t>、基金净值信息</w:t>
      </w:r>
    </w:p>
    <w:p w14:paraId="4B6DAFF1"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A038658"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3</w:t>
      </w:r>
      <w:r w:rsidRPr="002A6257">
        <w:rPr>
          <w:rFonts w:ascii="Times New Roman" w:hAnsi="宋体" w:hint="eastAsia"/>
          <w:bCs/>
          <w:sz w:val="24"/>
          <w:szCs w:val="24"/>
        </w:rPr>
        <w:t>、定期报告</w:t>
      </w:r>
    </w:p>
    <w:p w14:paraId="0445B6FD" w14:textId="77777777" w:rsidR="002A6257" w:rsidRPr="002A6257" w:rsidRDefault="002A6257" w:rsidP="002A6257">
      <w:pPr>
        <w:adjustRightInd w:val="0"/>
        <w:snapToGrid w:val="0"/>
        <w:spacing w:line="360" w:lineRule="auto"/>
        <w:ind w:firstLineChars="200" w:firstLine="480"/>
        <w:rPr>
          <w:rFonts w:ascii="Times New Roman" w:hAnsi="宋体"/>
          <w:bCs/>
          <w:sz w:val="24"/>
          <w:szCs w:val="24"/>
        </w:rPr>
      </w:pPr>
      <w:r w:rsidRPr="002A6257">
        <w:rPr>
          <w:rFonts w:ascii="Times New Roman" w:hAnsi="宋体" w:hint="eastAsia"/>
          <w:bCs/>
          <w:sz w:val="24"/>
          <w:szCs w:val="24"/>
        </w:rPr>
        <w:t>侧袋机制实施期间，基金管理人应当在基金定期报告中披露报告期内侧袋账户相关信息，基金定期报告中的基金会计报表仅需针对主袋账户进行编制。</w:t>
      </w:r>
      <w:bookmarkStart w:id="26" w:name="_Hlk45747214"/>
      <w:r w:rsidRPr="002A6257">
        <w:rPr>
          <w:rFonts w:ascii="Times New Roman" w:hAnsi="宋体" w:hint="eastAsia"/>
          <w:bCs/>
          <w:sz w:val="24"/>
          <w:szCs w:val="24"/>
        </w:rPr>
        <w:t>会计师事务所对基金年度报告进行审计时，应对报告期内基金侧袋机制运行相关的会计核算和年度报告披露等发表审计意见。</w:t>
      </w:r>
      <w:bookmarkEnd w:id="26"/>
    </w:p>
    <w:p w14:paraId="0189B34C" w14:textId="77777777" w:rsidR="002A6257" w:rsidRPr="002A6257" w:rsidRDefault="002A6257" w:rsidP="002A6257">
      <w:pPr>
        <w:widowControl/>
        <w:adjustRightInd w:val="0"/>
        <w:snapToGrid w:val="0"/>
        <w:spacing w:beforeLines="50" w:before="120" w:afterLines="50" w:after="120" w:line="360" w:lineRule="auto"/>
        <w:jc w:val="center"/>
        <w:outlineLvl w:val="0"/>
        <w:rPr>
          <w:rFonts w:ascii="宋体" w:hAnsi="宋体"/>
          <w:b/>
          <w:kern w:val="0"/>
          <w:sz w:val="30"/>
          <w:szCs w:val="20"/>
        </w:rPr>
      </w:pPr>
      <w:r w:rsidRPr="002A6257">
        <w:rPr>
          <w:rFonts w:ascii="宋体" w:hAnsi="宋体"/>
          <w:b/>
          <w:kern w:val="0"/>
          <w:sz w:val="30"/>
          <w:szCs w:val="20"/>
        </w:rPr>
        <w:br w:type="page"/>
      </w:r>
    </w:p>
    <w:p w14:paraId="2EC0B05C" w14:textId="5560FB0D" w:rsidR="00DC3364" w:rsidRDefault="002A6257" w:rsidP="002A6257">
      <w:pPr>
        <w:pStyle w:val="1"/>
        <w:snapToGrid w:val="0"/>
        <w:spacing w:beforeLines="0" w:before="240" w:after="240"/>
        <w:rPr>
          <w:rFonts w:ascii="宋体" w:hAnsi="宋体"/>
          <w:szCs w:val="30"/>
        </w:rPr>
      </w:pPr>
      <w:bookmarkStart w:id="27" w:name="_Toc69125817"/>
      <w:r w:rsidRPr="002A6257">
        <w:rPr>
          <w:rFonts w:ascii="宋体" w:hAnsi="宋体" w:hint="eastAsia"/>
          <w:bCs w:val="0"/>
          <w:kern w:val="0"/>
          <w:sz w:val="30"/>
          <w:szCs w:val="20"/>
        </w:rPr>
        <w:lastRenderedPageBreak/>
        <w:t>十</w:t>
      </w:r>
      <w:r w:rsidR="001818F3">
        <w:rPr>
          <w:rFonts w:ascii="宋体" w:hAnsi="宋体" w:hint="eastAsia"/>
          <w:bCs w:val="0"/>
          <w:kern w:val="0"/>
          <w:sz w:val="30"/>
          <w:szCs w:val="20"/>
        </w:rPr>
        <w:t>九</w:t>
      </w:r>
      <w:r w:rsidRPr="002A6257">
        <w:rPr>
          <w:rFonts w:ascii="宋体" w:hAnsi="宋体" w:hint="eastAsia"/>
          <w:bCs w:val="0"/>
          <w:kern w:val="0"/>
          <w:sz w:val="30"/>
          <w:szCs w:val="20"/>
        </w:rPr>
        <w:t>、</w:t>
      </w:r>
      <w:r w:rsidR="000F1A23">
        <w:rPr>
          <w:rFonts w:ascii="Times New Roman" w:hAnsi="Times New Roman"/>
          <w:sz w:val="30"/>
        </w:rPr>
        <w:t>风险揭示</w:t>
      </w:r>
      <w:bookmarkEnd w:id="27"/>
    </w:p>
    <w:p w14:paraId="313A7D6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BE8E8C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2136DB6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508BF8B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24D0D5A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AA12D5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1455ACB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原则，在做出投资决策后，基金运营状况与基金净值变化引致的投资风险，由投资人自行负担。</w:t>
      </w:r>
    </w:p>
    <w:p w14:paraId="35CEB1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基金份额持有人须了解并承受以下风险：</w:t>
      </w:r>
    </w:p>
    <w:p w14:paraId="5579AC77"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14:paraId="37DA337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48F514B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7D28FBC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284F39A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0263EFB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、信用风险。基金所投资债券的发行人如果不能或拒绝支付到期本息，或者不能履行合约规定的其它义务，或者其信用等级降低，将会导致债券价格下降，进而造成基金资产损失，从而产生风险。</w:t>
      </w:r>
    </w:p>
    <w:p w14:paraId="4EF0523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748DEE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、债券收益率曲线变动风险。是指收益率曲线没有按预期变化导致基金投资决策出现偏差。</w:t>
      </w:r>
    </w:p>
    <w:p w14:paraId="03FC024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5F00C7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、经营风险。它与基金所投资债券的发行人的经营活动所引起的收入现金流的不确定性有关。债券发行人期间运营收入变化越大，经营风险就越大；反之，运营收入越稳定，经营风险就越小。</w:t>
      </w:r>
    </w:p>
    <w:p w14:paraId="151B5E0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w:t>
      </w:r>
      <w:r>
        <w:rPr>
          <w:rFonts w:ascii="Times New Roman" w:hAnsi="Times New Roman"/>
          <w:sz w:val="24"/>
        </w:rPr>
        <w:lastRenderedPageBreak/>
        <w:t>利润减少，使基金投资收益下降。虽然基金可以通过投资多样化来分散这种非系统风险，但不能完全规避。</w:t>
      </w:r>
    </w:p>
    <w:p w14:paraId="55F2943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562C2CB6"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14:paraId="77BC273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08388448"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14:paraId="7B376CD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18572D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14:paraId="6384E63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C80B6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70E73E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w:t>
      </w:r>
      <w:r>
        <w:rPr>
          <w:rFonts w:ascii="Times New Roman" w:hAnsi="Times New Roman"/>
          <w:sz w:val="24"/>
        </w:rPr>
        <w:lastRenderedPageBreak/>
        <w:t>投资的原则在个券方面未有高集中度的特征，综合评估在正常市场环境下本基金的流动性风险适中。</w:t>
      </w:r>
    </w:p>
    <w:p w14:paraId="7247067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14:paraId="29CF45D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超过前一开放日的基金总份额的</w:t>
      </w:r>
      <w:r>
        <w:rPr>
          <w:rFonts w:ascii="Times New Roman" w:hAnsi="Times New Roman"/>
          <w:sz w:val="24"/>
        </w:rPr>
        <w:t>10%</w:t>
      </w:r>
      <w:r>
        <w:rPr>
          <w:rFonts w:ascii="Times New Roman" w:hAnsi="Times New Roman"/>
          <w:sz w:val="24"/>
        </w:rPr>
        <w:t>，即认为是发生了巨额赎回。</w:t>
      </w:r>
    </w:p>
    <w:p w14:paraId="0FB8124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23A1928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087ECDA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A4A1F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5DE644D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65EBCA3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21B97F3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本基金在面临大规模赎回的情况下有可能因为无法变现造成流动性风险。</w:t>
      </w:r>
    </w:p>
    <w:p w14:paraId="563D4CE5" w14:textId="77777777" w:rsidR="001818F3" w:rsidRPr="001818F3" w:rsidRDefault="000F1A23" w:rsidP="001818F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1818F3" w:rsidRPr="001818F3">
        <w:rPr>
          <w:rFonts w:ascii="Times New Roman" w:hAnsi="Times New Roman" w:hint="eastAsia"/>
          <w:sz w:val="24"/>
        </w:rPr>
        <w:t>、实施侧袋机制</w:t>
      </w:r>
      <w:r>
        <w:rPr>
          <w:rFonts w:ascii="Times New Roman" w:hAnsi="Times New Roman"/>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8BBC982"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sz w:val="24"/>
        </w:rPr>
      </w:pPr>
      <w:r w:rsidRPr="001818F3">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72E2B50"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sz w:val="24"/>
        </w:rPr>
      </w:pPr>
      <w:r w:rsidRPr="001818F3">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140608C"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sz w:val="24"/>
        </w:rPr>
      </w:pPr>
      <w:r w:rsidRPr="001818F3">
        <w:rPr>
          <w:rFonts w:ascii="Times New Roman" w:hAnsi="Times New Roman" w:hint="eastAsia"/>
          <w:sz w:val="24"/>
        </w:rPr>
        <w:t>基金管理人将根据主袋账户运作情况合理确定申购政策，因此实施侧袋机制后主袋账户份额存在暂停申购的可能。</w:t>
      </w:r>
    </w:p>
    <w:p w14:paraId="645235A6" w14:textId="0DC4B573" w:rsidR="00DC3364" w:rsidRDefault="001818F3" w:rsidP="001818F3">
      <w:pPr>
        <w:autoSpaceDE w:val="0"/>
        <w:autoSpaceDN w:val="0"/>
        <w:adjustRightInd w:val="0"/>
        <w:snapToGrid w:val="0"/>
        <w:spacing w:line="360" w:lineRule="auto"/>
        <w:ind w:firstLineChars="200" w:firstLine="480"/>
        <w:rPr>
          <w:rFonts w:ascii="宋体" w:hAnsi="宋体"/>
          <w:szCs w:val="24"/>
        </w:rPr>
      </w:pPr>
      <w:r w:rsidRPr="001818F3">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0E104E2"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（四）交易对手违约风险</w:t>
      </w:r>
    </w:p>
    <w:p w14:paraId="13853B4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交易对手违约风险是指当债券、票据或债券回购等交易对手违约时，将直接导致基金资产的损失，或导致基金不能及时抓住市场机会，对投资收益产生影响。</w:t>
      </w:r>
    </w:p>
    <w:p w14:paraId="7940D3B5"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（五）本基金的特有风险</w:t>
      </w:r>
    </w:p>
    <w:p w14:paraId="4706C5A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、本基金为债券型基金，投资于债券资产的比例不低于基金资产的</w:t>
      </w:r>
      <w:r>
        <w:rPr>
          <w:rFonts w:ascii="Times New Roman" w:hAnsi="Times New Roman"/>
          <w:sz w:val="24"/>
        </w:rPr>
        <w:t>80%</w:t>
      </w:r>
      <w:r>
        <w:rPr>
          <w:rFonts w:ascii="Times New Roman" w:hAnsi="Times New Roman"/>
          <w:sz w:val="24"/>
        </w:rPr>
        <w:t>，因投资固定收益类资产而面临固定收益类资产市场的系统性风险和个券风险；</w:t>
      </w:r>
    </w:p>
    <w:p w14:paraId="69DA99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22D5BD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12906B9"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（六）其他风险</w:t>
      </w:r>
    </w:p>
    <w:p w14:paraId="3DF3A2D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46BB662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14:paraId="1E4AC1A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34F41B8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14:paraId="13D1E20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14:paraId="75D9701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31AE607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14:paraId="09B6EEE0"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9F6CBB6" w14:textId="7C636A2A" w:rsidR="00DC3364" w:rsidRDefault="001818F3">
      <w:pPr>
        <w:pStyle w:val="1"/>
        <w:snapToGrid w:val="0"/>
        <w:spacing w:beforeLines="0" w:before="240" w:after="240"/>
        <w:rPr>
          <w:rFonts w:ascii="宋体" w:hAnsi="宋体"/>
          <w:szCs w:val="30"/>
        </w:rPr>
      </w:pPr>
      <w:bookmarkStart w:id="28" w:name="_Toc69125818"/>
      <w:r>
        <w:rPr>
          <w:rFonts w:ascii="Times New Roman" w:hAnsi="Times New Roman" w:hint="eastAsia"/>
          <w:sz w:val="30"/>
        </w:rPr>
        <w:lastRenderedPageBreak/>
        <w:t>二十</w:t>
      </w:r>
      <w:r w:rsidR="000F1A23">
        <w:rPr>
          <w:rFonts w:ascii="Times New Roman" w:hAnsi="Times New Roman"/>
          <w:sz w:val="30"/>
        </w:rPr>
        <w:t>、基金合同的变更、终止与基金财产的清算</w:t>
      </w:r>
      <w:bookmarkEnd w:id="28"/>
    </w:p>
    <w:p w14:paraId="1BF1D1C5"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（一）《基金合同》的变更</w:t>
      </w:r>
    </w:p>
    <w:p w14:paraId="2709457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9B9AF7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14:paraId="538DDAB3"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（二）《基金合同》的终止事由</w:t>
      </w:r>
    </w:p>
    <w:p w14:paraId="040BD6C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14:paraId="553B4A4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5E9DC2F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654E300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、本基金作为被合并方与其他基金进行合并的；</w:t>
      </w:r>
    </w:p>
    <w:p w14:paraId="0395B81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、连续</w:t>
      </w:r>
      <w:r>
        <w:rPr>
          <w:rFonts w:ascii="Times New Roman" w:hAnsi="Times New Roman"/>
          <w:sz w:val="24"/>
        </w:rPr>
        <w:t>50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万元情形的，基金管理人提前终止基金合同，不需召开基金份额持有人大会；</w:t>
      </w:r>
    </w:p>
    <w:p w14:paraId="21C416A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、《基金合同》约定的其他情形；</w:t>
      </w:r>
    </w:p>
    <w:p w14:paraId="7AA51B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、相关法律法规和中国证监会规定的其他情况。</w:t>
      </w:r>
    </w:p>
    <w:p w14:paraId="2B1303E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（三）基金财产的清算</w:t>
      </w:r>
    </w:p>
    <w:p w14:paraId="138A4BE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3B8DB3B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634E13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75B1552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14:paraId="2F1D506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）《基金合同》终止情形出现时，由基金财产清算小组统一接管基金财产；</w:t>
      </w:r>
    </w:p>
    <w:p w14:paraId="12A33E8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14:paraId="1BA2FEE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）对基金财产进行估值和变现；</w:t>
      </w:r>
    </w:p>
    <w:p w14:paraId="571A151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14:paraId="1EA9365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5C9710B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14:paraId="2A68CCD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14:paraId="1186385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个月，若遇基金持有的有价证券出现长期休市、停牌或其他流通受限的情形除外。</w:t>
      </w:r>
    </w:p>
    <w:p w14:paraId="652BD684"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（四）清算费用</w:t>
      </w:r>
    </w:p>
    <w:p w14:paraId="5DD1644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450138A9"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（五）基金财产清算剩余资产的分配</w:t>
      </w:r>
    </w:p>
    <w:p w14:paraId="5AE773B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7C4E7EBA"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14:paraId="6A60AA9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197C6667"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14:paraId="54713C3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171F9F56"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330772A" w14:textId="048BFA5E" w:rsidR="00DC3364" w:rsidRDefault="000F1A23">
      <w:pPr>
        <w:pStyle w:val="1"/>
        <w:snapToGrid w:val="0"/>
        <w:spacing w:beforeLines="0" w:before="240" w:after="240"/>
        <w:rPr>
          <w:rFonts w:ascii="宋体" w:hAnsi="宋体"/>
          <w:szCs w:val="30"/>
        </w:rPr>
      </w:pPr>
      <w:bookmarkStart w:id="29" w:name="_Toc69125819"/>
      <w:r>
        <w:rPr>
          <w:rFonts w:ascii="Times New Roman" w:hAnsi="Times New Roman"/>
          <w:sz w:val="30"/>
        </w:rPr>
        <w:t>二十</w:t>
      </w:r>
      <w:r w:rsidR="001818F3">
        <w:rPr>
          <w:rFonts w:ascii="Times New Roman" w:hAnsi="Times New Roman"/>
          <w:sz w:val="30"/>
        </w:rPr>
        <w:t>一</w:t>
      </w:r>
      <w:r>
        <w:rPr>
          <w:rFonts w:ascii="Times New Roman" w:hAnsi="Times New Roman"/>
          <w:sz w:val="30"/>
        </w:rPr>
        <w:t>、基金合同内容摘要</w:t>
      </w:r>
      <w:bookmarkEnd w:id="29"/>
    </w:p>
    <w:p w14:paraId="655866B0"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（一）基金份额持有人、基金管理人和基金托管人的权利与义务</w:t>
      </w:r>
    </w:p>
    <w:p w14:paraId="0B68656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14:paraId="3F05DBE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）根据《基金法》、《运作办法》及其他有关规定，基金管理人的权利包括但不限于：</w:t>
      </w:r>
    </w:p>
    <w:p w14:paraId="5ED135E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w:t>
      </w:r>
    </w:p>
    <w:p w14:paraId="1B0EDA9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）自《基金合同》生效之日起，根据法律法规和《基金合同》独立运用并管理基金财产；</w:t>
      </w:r>
    </w:p>
    <w:p w14:paraId="23E447E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14:paraId="07A7C84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）销售基金份额；</w:t>
      </w:r>
    </w:p>
    <w:p w14:paraId="4ABB37B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）按照规定召集基金份额持有人大会；</w:t>
      </w:r>
    </w:p>
    <w:p w14:paraId="0B544A5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3BB562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）在基金托管人更换时，提名新的基金托管人；</w:t>
      </w:r>
    </w:p>
    <w:p w14:paraId="389908A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）选择、更换基金销售机构，对基金销售机构的相关行为进行监督和处理；</w:t>
      </w:r>
    </w:p>
    <w:p w14:paraId="61ECF5E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14:paraId="5AA1C06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）依据《基金合同》及有关法律规定决定基金收益的分配方案；</w:t>
      </w:r>
    </w:p>
    <w:p w14:paraId="0A603A4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）在《基金合同》约定的范围内，拒绝或暂停受理申购与赎回申请；</w:t>
      </w:r>
    </w:p>
    <w:p w14:paraId="28A90C2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）依照法律法规为基金的利益行使因基金财产投资于证券所产生的权利；</w:t>
      </w:r>
    </w:p>
    <w:p w14:paraId="7844749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）以基金管理人的名义，代表基金份额持有人的利益行使诉讼权利或者实施其他法律行为；</w:t>
      </w:r>
    </w:p>
    <w:p w14:paraId="7539635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）选择、更换律师事务所、会计师事务所、证券经纪商或其他为基金提供服务的外部机构；</w:t>
      </w:r>
    </w:p>
    <w:p w14:paraId="35A54AD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）在符合有关法律、法规的前提下，制定和调整有关基金认购、申购、赎回、转换等的业务规则；</w:t>
      </w:r>
    </w:p>
    <w:p w14:paraId="2134D72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）法律法规及中国证监会规定的和《基金合同》约定的其他权利。</w:t>
      </w:r>
    </w:p>
    <w:p w14:paraId="032F8E4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）根据《基金法》、《运作办法》及其他有关规定，基金管理人的义务包括但不限于：</w:t>
      </w:r>
    </w:p>
    <w:p w14:paraId="5270E9D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14:paraId="50C8C17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40B2DE9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）自《基金合同》生效之日起，以诚实信用、谨慎勤勉的原则管理和运用基金财产；</w:t>
      </w:r>
    </w:p>
    <w:p w14:paraId="2911A04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243E3C0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0290AA0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）除依据《基金法》、《基金合同》及其他有关规定外，不得利用基金财产为自己及任何第三人谋取利益，不得委托第三人运作基金财产；</w:t>
      </w:r>
    </w:p>
    <w:p w14:paraId="02D7F38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）依法接受基金托管人的监督；</w:t>
      </w:r>
    </w:p>
    <w:p w14:paraId="31A6A79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6177132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）进行基金会计核算并编制基金财务会计报告；</w:t>
      </w:r>
    </w:p>
    <w:p w14:paraId="30269B2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）编制季度报告、中期报告和年度报告；</w:t>
      </w:r>
    </w:p>
    <w:p w14:paraId="541C0F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）严格按照《基金法》、《基金合同》及其他有关规定，履行信息披露及报告义务；</w:t>
      </w:r>
    </w:p>
    <w:p w14:paraId="5391284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w:t>
      </w:r>
    </w:p>
    <w:p w14:paraId="02C2DE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泄露；</w:t>
      </w:r>
    </w:p>
    <w:p w14:paraId="08DF6D0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）按《基金合同》的约定确定基金收益分配方案，及时向基金份额持有人分配基金收益；</w:t>
      </w:r>
    </w:p>
    <w:p w14:paraId="7E66A8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）按规定受理申购与赎回申请，及时、足额支付赎回款项；</w:t>
      </w:r>
    </w:p>
    <w:p w14:paraId="434D74E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14:paraId="0D8B0B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14:paraId="2A4CB1F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530AD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）组织并参加基金财产清算小组，参与基金财产的保管、清理、估价、变现和分配；</w:t>
      </w:r>
    </w:p>
    <w:p w14:paraId="1BD3E55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14:paraId="2B11675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14:paraId="55B715D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6BCD44F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14:paraId="3CDAFD7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14:paraId="38397F8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Times New Roman" w:hAnsi="Times New Roman"/>
          <w:sz w:val="24"/>
        </w:rPr>
        <w:t>30</w:t>
      </w:r>
      <w:r>
        <w:rPr>
          <w:rFonts w:ascii="Times New Roman" w:hAnsi="Times New Roman"/>
          <w:sz w:val="24"/>
        </w:rPr>
        <w:t>日内退还基金认购人；</w:t>
      </w:r>
    </w:p>
    <w:p w14:paraId="10DEA06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Pr>
          <w:rFonts w:ascii="Times New Roman" w:hAnsi="Times New Roman"/>
          <w:sz w:val="24"/>
        </w:rPr>
        <w:t>）执行生效的基金份额持有人大会的决议；</w:t>
      </w:r>
    </w:p>
    <w:p w14:paraId="47BC965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）建立并保存基金份额持有人名册；</w:t>
      </w:r>
    </w:p>
    <w:p w14:paraId="28E14C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）法律法规及中国证监会规定的和《基金合同》约定的其他义务。</w:t>
      </w:r>
    </w:p>
    <w:p w14:paraId="664BEDD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14:paraId="09F173F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）根据《基金法》、《运作办法》及其他有关规定，基金托管人的权利包括但不限于：</w:t>
      </w:r>
    </w:p>
    <w:p w14:paraId="0EFA3F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）自《基金合同》生效之日起，依法律法规和《基金合同》的规定安全保管基金财产；</w:t>
      </w:r>
    </w:p>
    <w:p w14:paraId="316B34C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14:paraId="78D4CCA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6BCD18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）根据相关市场规则，为基金开设资金账户、证券账户等投资所需账户、为基金办理证券交易资金清算；</w:t>
      </w:r>
    </w:p>
    <w:p w14:paraId="64BF095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）提议召开或召集基金份额持有人大会；</w:t>
      </w:r>
    </w:p>
    <w:p w14:paraId="0FD77FD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）在基金管理人更换时，提名新的基金管理人；</w:t>
      </w:r>
    </w:p>
    <w:p w14:paraId="59503E6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）法律法规及中国证监会规定的和《基金合同》约定的其他权利。</w:t>
      </w:r>
    </w:p>
    <w:p w14:paraId="7676294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）根据《基金法》、《运作办法》及其他有关规定，基金托管人的义务包括但不限于：</w:t>
      </w:r>
    </w:p>
    <w:p w14:paraId="2E1AE71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）以诚实信用、勤勉尽责的原则持有并安全保管基金财产；</w:t>
      </w:r>
    </w:p>
    <w:p w14:paraId="5920CDF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14:paraId="5A89C6A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29609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14:paraId="00E9B78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）保管由基金管理人代表基金签订的与基金有关的重大合同及有关凭证；</w:t>
      </w:r>
    </w:p>
    <w:p w14:paraId="213326F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）按规定开设基金财产的资金账户和证券账户等投资所需账户，按照《基金合同》的约定，根据基金管理人的投资指令，及时办理清算、交割事宜；</w:t>
      </w:r>
    </w:p>
    <w:p w14:paraId="42699E0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p>
    <w:p w14:paraId="68E14E6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）复核、审查基金管理人计算的基金净值信息、基金份额申购、赎回价格；</w:t>
      </w:r>
    </w:p>
    <w:p w14:paraId="26896FF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）办理与基金托管业务活动有关的信息披露事项；</w:t>
      </w:r>
    </w:p>
    <w:p w14:paraId="0199AA4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F2550A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14:paraId="559537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）建立并保存基金份额持有人名册；</w:t>
      </w:r>
    </w:p>
    <w:p w14:paraId="5890135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）按规定制作相关账册并与基金管理人核对；</w:t>
      </w:r>
    </w:p>
    <w:p w14:paraId="2A437F1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14:paraId="7A6FB14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14:paraId="29F0F0C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）按照法律法规和《基金合同》的规定监督基金管理人的投资运作；</w:t>
      </w:r>
    </w:p>
    <w:p w14:paraId="1B5198B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）参加基金财产清算小组，参与基金财产的保管、清理、估价、变现和分配；</w:t>
      </w:r>
    </w:p>
    <w:p w14:paraId="245BCA6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）面临解散、依法被撤销或者被依法宣告破产时，及时报告中国证监会和银行业监督管理机构，并通知基金管理人；</w:t>
      </w:r>
    </w:p>
    <w:p w14:paraId="707137F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14:paraId="427D21C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55858C5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）执行生效的基金份额持有人大会的决议；</w:t>
      </w:r>
    </w:p>
    <w:p w14:paraId="7F6680A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）法律法规及中国证监会规定的和《基金合同》约定的其他义务。</w:t>
      </w:r>
    </w:p>
    <w:p w14:paraId="1A639C8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14:paraId="7A79CB7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D7FE3A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同一类别每份基金份额具有同等的合法权益。</w:t>
      </w:r>
    </w:p>
    <w:p w14:paraId="1E4C8F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）根据《基金法》、《运作办法》及其他有关规定，基金份额持有人的权利包括但不限于：</w:t>
      </w:r>
    </w:p>
    <w:p w14:paraId="7A22417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）分享基金财产收益；</w:t>
      </w:r>
    </w:p>
    <w:p w14:paraId="0F36001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）参与分配清算后的剩余基金财产；</w:t>
      </w:r>
    </w:p>
    <w:p w14:paraId="25AE636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）依法并按照基金合同和招募说明书的规定申请赎回或转让其持有的基金份额；</w:t>
      </w:r>
    </w:p>
    <w:p w14:paraId="2E2903B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）按照规定要求召开基金份额持有人大会或者召集基金份额持有人大会；</w:t>
      </w:r>
    </w:p>
    <w:p w14:paraId="7681843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61BAE76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）查阅或者复制公开披露的基金信息资料；</w:t>
      </w:r>
    </w:p>
    <w:p w14:paraId="5A4D6E0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）监督基金管理人的投资运作；</w:t>
      </w:r>
    </w:p>
    <w:p w14:paraId="6783FC0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）对基金管理人、基金托管人、基金服务机构损害其合法权益的行为依法提起诉讼或仲裁；</w:t>
      </w:r>
    </w:p>
    <w:p w14:paraId="4D689CC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）法律法规及中国证监会规定的和《基金合同》约定的其他权利。</w:t>
      </w:r>
    </w:p>
    <w:p w14:paraId="4153E21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）根据《基金法》、《运作办法》及其他有关规定，基金份额持有人的义务包括但不限于：</w:t>
      </w:r>
    </w:p>
    <w:p w14:paraId="4A14D3E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）认真阅读并遵守《基金合同》、招募说明书等信息披露文件；</w:t>
      </w:r>
    </w:p>
    <w:p w14:paraId="1C135A4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）了解所投资基金产品，了解自身风险承受能力，自主判断基金的投资价值，自主做出投资决策，自行承担投资风险；</w:t>
      </w:r>
    </w:p>
    <w:p w14:paraId="2D7B498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）关注基金信息披露，及时行使权利和履行义务；</w:t>
      </w:r>
    </w:p>
    <w:p w14:paraId="6DC1BEC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）缴纳基金认购、申购款项及法律法规和《基金合同》所规定的费用；</w:t>
      </w:r>
    </w:p>
    <w:p w14:paraId="3CC0AB3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）在其持有的基金份额范围内，承担基金亏损或者《基金合同》终止的有限责任；</w:t>
      </w:r>
    </w:p>
    <w:p w14:paraId="46761FF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）不从事任何有损基金及其他《基金合同》当事人合法权益的活动；</w:t>
      </w:r>
    </w:p>
    <w:p w14:paraId="3CB6558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）执行生效的基金份额持有人大会的决议；</w:t>
      </w:r>
    </w:p>
    <w:p w14:paraId="39FADD8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）返还在基金交易过程中因任何原因获得的不当得利；</w:t>
      </w:r>
    </w:p>
    <w:p w14:paraId="681054B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）遵守基金管理人、基金托管人、销售机构和登记机构的相关交易及业务规则；</w:t>
      </w:r>
    </w:p>
    <w:p w14:paraId="558EA27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14:paraId="5BFB424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）法律法规及中国证监会规定的和《基金合同》约定的其他义务。</w:t>
      </w:r>
    </w:p>
    <w:p w14:paraId="5129E36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（二）基金份额持有人大会召集、议事及表决的程序和规则</w:t>
      </w:r>
    </w:p>
    <w:p w14:paraId="4F06935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4A4EE95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本基金份额持有人大会不设日常机构。</w:t>
      </w:r>
    </w:p>
    <w:p w14:paraId="505A70B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、召开事由</w:t>
      </w:r>
    </w:p>
    <w:p w14:paraId="38A2181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）当出现或需要决定下列事由之一的，应当召开基金份额持有人大会，法律法规、基金合同和中国证监会另有规定的除外：</w:t>
      </w:r>
    </w:p>
    <w:p w14:paraId="3D82B90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14:paraId="5B01A58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）更换基金管理人；</w:t>
      </w:r>
    </w:p>
    <w:p w14:paraId="6938E1C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）更换基金托管人；</w:t>
      </w:r>
    </w:p>
    <w:p w14:paraId="463B253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）转换基金运作方式；</w:t>
      </w:r>
    </w:p>
    <w:p w14:paraId="660F0A6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）提高基金管理人、基金托管人的报酬标准和提高销售服务费，但法律法规要求提高该等报酬标准的除外；</w:t>
      </w:r>
    </w:p>
    <w:p w14:paraId="6A0F6C2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）变更基金类别；</w:t>
      </w:r>
    </w:p>
    <w:p w14:paraId="6CB4363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14:paraId="589071A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）变更基金投资目标、范围或策略；</w:t>
      </w:r>
    </w:p>
    <w:p w14:paraId="386440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）变更基金份额持有人大会程序；</w:t>
      </w:r>
    </w:p>
    <w:p w14:paraId="7913D01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）基金管理人或基金托管人要求召开基金份额持有人大会；</w:t>
      </w:r>
    </w:p>
    <w:p w14:paraId="08242A1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14:paraId="6E6EFBA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）对基金合同当事人权利和义务产生重大影响的其他事项；</w:t>
      </w:r>
    </w:p>
    <w:p w14:paraId="32B862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14:paraId="66B30A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）以下情况可由基金管理人和基金托管人协商后修改，不需召开基金份额持有人大会：</w:t>
      </w:r>
    </w:p>
    <w:p w14:paraId="7D9905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）调低基金管理费、基金托管费、销售服务费和其他应由本基金或基金份额持有人承担的费用；</w:t>
      </w:r>
    </w:p>
    <w:p w14:paraId="727CC98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14:paraId="384CBCC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）在法律法规和《基金合同》规定的范围内调整本基金的申购费率、调低赎回费率、在对现有基金份额持有人利益无实质性不利影响的前提下变更或增加收费方式；</w:t>
      </w:r>
    </w:p>
    <w:p w14:paraId="72F2EBB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）因相应的法律法规、登记机构的相关业务规则发生变动而应当对《基金合同》进行修改；</w:t>
      </w:r>
    </w:p>
    <w:p w14:paraId="6C48D77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）对《基金合同》的修改对基金份额持有人利益无实质性不利影响或修改不涉及《基金合同》当事人权利义务关系发生重大变化；</w:t>
      </w:r>
    </w:p>
    <w:p w14:paraId="417FCF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）在法律法规允许的情况下，且在对现有基金份额持有人利益无实质性不利影响的前提下，基金推出新业务或服务；</w:t>
      </w:r>
    </w:p>
    <w:p w14:paraId="5F50A2A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）在符合法律法规及本基金合同规定、并且对基金份额持有人利益无实质不利影响的前提下，调整本基金份额类别的设置；</w:t>
      </w:r>
    </w:p>
    <w:p w14:paraId="337DC91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）在不违反法律法规及对基金份额持有人利益无实质性不利影响的前提下，基金管理人、登记机构、销售机构调整有关基金认购、申购、赎回、转换、收益分配、非交易过户、转托管等业务的规则；</w:t>
      </w:r>
    </w:p>
    <w:p w14:paraId="7B97ABE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）按照法律法规和《基金合同》规定不需召开基金份额持有人大会的以外的其他情形。</w:t>
      </w:r>
    </w:p>
    <w:p w14:paraId="04AA9A2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、会议召集人及召集方式</w:t>
      </w:r>
    </w:p>
    <w:p w14:paraId="1FE7BC5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14:paraId="1830C24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）基金管理人未按规定召集或不能召集时，由基金托管人召集；</w:t>
      </w:r>
    </w:p>
    <w:p w14:paraId="2199D68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日内召开；基金管理人决定不召集，基金托管人仍认为有必要召开的，应当由基金托管人自行召集，并自出具书面决定之日起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25C74CB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69D5C16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14:paraId="486928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14:paraId="0535CED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、召开基金份额持有人大会的通知时间、通知内容、通知方式</w:t>
      </w:r>
    </w:p>
    <w:p w14:paraId="7C4DA95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日，在指定媒介公告。基金份额持有人大会通知应至少载明以下内容：</w:t>
      </w:r>
    </w:p>
    <w:p w14:paraId="4A6612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）会议召开的时间、地点和会议形式；</w:t>
      </w:r>
    </w:p>
    <w:p w14:paraId="48EBEBC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）会议拟审议的事项、议事程序和表决方式；</w:t>
      </w:r>
    </w:p>
    <w:p w14:paraId="1DC04E8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14:paraId="7591CE8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14:paraId="75AD45C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）会务常设联系人姓名及联系电话；</w:t>
      </w:r>
    </w:p>
    <w:p w14:paraId="135A74E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）出席会议者必须准备的文件和必须履行的手续；</w:t>
      </w:r>
    </w:p>
    <w:p w14:paraId="10438FC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）召集人需要通知的其他事项。</w:t>
      </w:r>
    </w:p>
    <w:p w14:paraId="0AEF47D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8A3E3B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262B5F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、基金份额持有人出席会议的方式</w:t>
      </w:r>
    </w:p>
    <w:p w14:paraId="7FEAEB0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基金份额持有人大会可通过现场开会方式、通讯开会方式或法律法规和监管机关允许的其他方式召开，会议的召开方式由会议召集人确定。</w:t>
      </w:r>
    </w:p>
    <w:p w14:paraId="7247CE9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7CCC5A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5C67E7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AED7D6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）通讯开会。通讯开会系指基金份额持有人将其对表决事项的投票以书面形式在表决截至日以前送达至召集人指定的地址。通讯开会应以书面方式进行表决。</w:t>
      </w:r>
    </w:p>
    <w:p w14:paraId="03F1D0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在同时符合以下条件时，通讯开会的方式视为有效：</w:t>
      </w:r>
    </w:p>
    <w:p w14:paraId="6EDDB17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14:paraId="49ED06A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52617C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416A191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E512FE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BA721E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、议事内容与程序</w:t>
      </w:r>
    </w:p>
    <w:p w14:paraId="45CD9B1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7BC30C2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4B635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基金份额持有人大会的召集人发出召集会议的通知后，对原有提案的修改应当在基金份额持有人大会召开前及时公告。</w:t>
      </w:r>
    </w:p>
    <w:p w14:paraId="5D37AFE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基金份额持有人大会不得对未事先公告的议事内容进行表决。</w:t>
      </w:r>
    </w:p>
    <w:p w14:paraId="3C65205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0E97870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14:paraId="6622BE1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在现场开会的方式下，首先由大会主持人按照下列第</w:t>
      </w:r>
      <w:r>
        <w:rPr>
          <w:rFonts w:ascii="Times New Roman" w:hAnsi="Times New Roman"/>
          <w:sz w:val="24"/>
        </w:rPr>
        <w:t>7</w:t>
      </w:r>
      <w:r>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DE3C0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14:paraId="05621B3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w:t>
      </w:r>
    </w:p>
    <w:p w14:paraId="1FBAB2F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14:paraId="5870B17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、表决</w:t>
      </w:r>
    </w:p>
    <w:p w14:paraId="7654956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基金份额持有人所持每份基金份额有一票表决权。</w:t>
      </w:r>
    </w:p>
    <w:p w14:paraId="25F5016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基金份额持有人大会决议分为一般决议和特别决议：</w:t>
      </w:r>
    </w:p>
    <w:p w14:paraId="434312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）一般决议，一般决议须经参加大会的基金份额持有人或其代理人所持表决权的二分之一以上（含二分之一）通过方为有效；除下列第（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14:paraId="7F35022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和中国证监会另有规定的除外）以特别决议通过方为有效。</w:t>
      </w:r>
    </w:p>
    <w:p w14:paraId="2FA0C7D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基金份额持有人大会采取记名方式进行投票表决。</w:t>
      </w:r>
    </w:p>
    <w:p w14:paraId="46207BE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73ED24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基金份额持有人大会的各项提案或同一项提案内并列的各项议题应当分开审议、逐项表决。</w:t>
      </w:r>
    </w:p>
    <w:p w14:paraId="70156A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、计票</w:t>
      </w:r>
    </w:p>
    <w:p w14:paraId="009504E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6FEAADA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915747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14:paraId="67216AC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809DF3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）计票过程应由公证机关予以公证，基金管理人或基金托管人拒不出席大会的，不影响计票的效力。</w:t>
      </w:r>
    </w:p>
    <w:p w14:paraId="7DC5C83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14:paraId="279E50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F8ACCB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、生效与公告</w:t>
      </w:r>
    </w:p>
    <w:p w14:paraId="0ADDC6E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基金份额持有人大会决定的事项自表决通过之日起生效，召集人应当自通过之日起</w:t>
      </w:r>
      <w:r>
        <w:rPr>
          <w:rFonts w:ascii="Times New Roman" w:hAnsi="Times New Roman"/>
          <w:sz w:val="24"/>
        </w:rPr>
        <w:t>5</w:t>
      </w:r>
      <w:r>
        <w:rPr>
          <w:rFonts w:ascii="Times New Roman" w:hAnsi="Times New Roman"/>
          <w:sz w:val="24"/>
        </w:rPr>
        <w:t>日内报中国证监会备案。</w:t>
      </w:r>
    </w:p>
    <w:p w14:paraId="79246E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基金份额持有人大会决议自生效之日起</w:t>
      </w:r>
      <w:r>
        <w:rPr>
          <w:rFonts w:ascii="Times New Roman" w:hAnsi="Times New Roman"/>
          <w:sz w:val="24"/>
        </w:rPr>
        <w:t>2</w:t>
      </w:r>
      <w:r>
        <w:rPr>
          <w:rFonts w:ascii="Times New Roman" w:hAnsi="Times New Roman"/>
          <w:sz w:val="24"/>
        </w:rPr>
        <w:t>日内在指定媒介上公告。如果采用通讯方式进行表决，在公告基金份额持有人大会决议时，必须将公证书全文、公证机构、公证员姓名等一同公告。</w:t>
      </w:r>
    </w:p>
    <w:p w14:paraId="05A286A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14:paraId="0406B730" w14:textId="77777777" w:rsidR="001818F3" w:rsidRPr="001818F3" w:rsidRDefault="000F1A23" w:rsidP="001818F3">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9</w:t>
      </w:r>
      <w:r>
        <w:rPr>
          <w:rFonts w:ascii="Times New Roman" w:hAnsi="Times New Roman"/>
          <w:sz w:val="24"/>
        </w:rPr>
        <w:t>、</w:t>
      </w:r>
      <w:r w:rsidR="001818F3" w:rsidRPr="001818F3">
        <w:rPr>
          <w:rFonts w:ascii="Times New Roman" w:hAnsi="Times New Roman" w:hint="eastAsia"/>
          <w:bCs/>
          <w:sz w:val="24"/>
        </w:rPr>
        <w:t>实施侧袋机制期间基金份额持有人大会的特殊约定</w:t>
      </w:r>
    </w:p>
    <w:p w14:paraId="10AE50EE"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bCs/>
          <w:sz w:val="24"/>
        </w:rPr>
      </w:pPr>
      <w:r w:rsidRPr="001818F3">
        <w:rPr>
          <w:rFonts w:ascii="Times New Roman" w:hAnsi="Times New Roman"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A637F8C"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bCs/>
          <w:sz w:val="24"/>
        </w:rPr>
      </w:pPr>
      <w:r w:rsidRPr="001818F3">
        <w:rPr>
          <w:rFonts w:ascii="Times New Roman" w:hAnsi="Times New Roman" w:hint="eastAsia"/>
          <w:bCs/>
          <w:sz w:val="24"/>
        </w:rPr>
        <w:t>（</w:t>
      </w:r>
      <w:r w:rsidRPr="001818F3">
        <w:rPr>
          <w:rFonts w:ascii="Times New Roman" w:hAnsi="Times New Roman" w:hint="eastAsia"/>
          <w:bCs/>
          <w:sz w:val="24"/>
        </w:rPr>
        <w:t>1</w:t>
      </w:r>
      <w:r w:rsidRPr="001818F3">
        <w:rPr>
          <w:rFonts w:ascii="Times New Roman" w:hAnsi="Times New Roman" w:hint="eastAsia"/>
          <w:bCs/>
          <w:sz w:val="24"/>
        </w:rPr>
        <w:t>）基金份额持有人行使提议权、召集权、提名权所需单独或合计代表相关基金份额</w:t>
      </w:r>
      <w:r w:rsidRPr="001818F3">
        <w:rPr>
          <w:rFonts w:ascii="Times New Roman" w:hAnsi="Times New Roman" w:hint="eastAsia"/>
          <w:bCs/>
          <w:sz w:val="24"/>
        </w:rPr>
        <w:t>10%</w:t>
      </w:r>
      <w:r w:rsidRPr="001818F3">
        <w:rPr>
          <w:rFonts w:ascii="Times New Roman" w:hAnsi="Times New Roman" w:hint="eastAsia"/>
          <w:bCs/>
          <w:sz w:val="24"/>
        </w:rPr>
        <w:t>以上（含</w:t>
      </w:r>
      <w:r w:rsidRPr="001818F3">
        <w:rPr>
          <w:rFonts w:ascii="Times New Roman" w:hAnsi="Times New Roman" w:hint="eastAsia"/>
          <w:bCs/>
          <w:sz w:val="24"/>
        </w:rPr>
        <w:t>10%</w:t>
      </w:r>
      <w:r w:rsidRPr="001818F3">
        <w:rPr>
          <w:rFonts w:ascii="Times New Roman" w:hAnsi="Times New Roman" w:hint="eastAsia"/>
          <w:bCs/>
          <w:sz w:val="24"/>
        </w:rPr>
        <w:t>）；</w:t>
      </w:r>
    </w:p>
    <w:p w14:paraId="2620E378"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bCs/>
          <w:sz w:val="24"/>
        </w:rPr>
      </w:pPr>
      <w:r w:rsidRPr="001818F3">
        <w:rPr>
          <w:rFonts w:ascii="Times New Roman" w:hAnsi="Times New Roman" w:hint="eastAsia"/>
          <w:bCs/>
          <w:sz w:val="24"/>
        </w:rPr>
        <w:t>（</w:t>
      </w:r>
      <w:r w:rsidRPr="001818F3">
        <w:rPr>
          <w:rFonts w:ascii="Times New Roman" w:hAnsi="Times New Roman" w:hint="eastAsia"/>
          <w:bCs/>
          <w:sz w:val="24"/>
        </w:rPr>
        <w:t>2</w:t>
      </w:r>
      <w:r w:rsidRPr="001818F3">
        <w:rPr>
          <w:rFonts w:ascii="Times New Roman" w:hAnsi="Times New Roman" w:hint="eastAsia"/>
          <w:bCs/>
          <w:sz w:val="24"/>
        </w:rPr>
        <w:t>）现场开会的到会者在权益登记日代表的基金份额不少于本基金在权益登记日相关基金份额的二分之一（含二分之一）；</w:t>
      </w:r>
    </w:p>
    <w:p w14:paraId="56C3429E"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bCs/>
          <w:sz w:val="24"/>
        </w:rPr>
      </w:pPr>
      <w:r w:rsidRPr="001818F3">
        <w:rPr>
          <w:rFonts w:ascii="Times New Roman" w:hAnsi="Times New Roman" w:hint="eastAsia"/>
          <w:bCs/>
          <w:sz w:val="24"/>
        </w:rPr>
        <w:t>（</w:t>
      </w:r>
      <w:r w:rsidRPr="001818F3">
        <w:rPr>
          <w:rFonts w:ascii="Times New Roman" w:hAnsi="Times New Roman" w:hint="eastAsia"/>
          <w:bCs/>
          <w:sz w:val="24"/>
        </w:rPr>
        <w:t>3</w:t>
      </w:r>
      <w:r w:rsidRPr="001818F3">
        <w:rPr>
          <w:rFonts w:ascii="Times New Roman" w:hAnsi="Times New Roman" w:hint="eastAsia"/>
          <w:bCs/>
          <w:sz w:val="24"/>
        </w:rPr>
        <w:t>）通讯开会的直接出具表决意见或授权他人代表出具表决意见的基金份额持有人所持有的基金份额不小于在权益登记日相关基金份额的二分之一（含二分之一）；</w:t>
      </w:r>
    </w:p>
    <w:p w14:paraId="1BDF80F1"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bCs/>
          <w:sz w:val="24"/>
        </w:rPr>
      </w:pPr>
      <w:r w:rsidRPr="001818F3">
        <w:rPr>
          <w:rFonts w:ascii="Times New Roman" w:hAnsi="Times New Roman" w:hint="eastAsia"/>
          <w:bCs/>
          <w:sz w:val="24"/>
        </w:rPr>
        <w:t>（</w:t>
      </w:r>
      <w:r w:rsidRPr="001818F3">
        <w:rPr>
          <w:rFonts w:ascii="Times New Roman" w:hAnsi="Times New Roman" w:hint="eastAsia"/>
          <w:bCs/>
          <w:sz w:val="24"/>
        </w:rPr>
        <w:t>4</w:t>
      </w:r>
      <w:r w:rsidRPr="001818F3">
        <w:rPr>
          <w:rFonts w:ascii="Times New Roman" w:hAnsi="Times New Roman" w:hint="eastAsia"/>
          <w:bCs/>
          <w:sz w:val="24"/>
        </w:rPr>
        <w:t>）在参与基金份额持有人大会投票的基金份额持有人所持有的基金份额小于在权益登记日相关基金份额的二分之一、召集人在原公告的基金份额持有人大会召开时间的</w:t>
      </w:r>
      <w:r w:rsidRPr="001818F3">
        <w:rPr>
          <w:rFonts w:ascii="Times New Roman" w:hAnsi="Times New Roman" w:hint="eastAsia"/>
          <w:bCs/>
          <w:sz w:val="24"/>
        </w:rPr>
        <w:t>3</w:t>
      </w:r>
      <w:r w:rsidRPr="001818F3">
        <w:rPr>
          <w:rFonts w:ascii="Times New Roman" w:hAnsi="Times New Roman" w:hint="eastAsia"/>
          <w:bCs/>
          <w:sz w:val="24"/>
        </w:rPr>
        <w:t>个月以后、</w:t>
      </w:r>
      <w:r w:rsidRPr="001818F3">
        <w:rPr>
          <w:rFonts w:ascii="Times New Roman" w:hAnsi="Times New Roman" w:hint="eastAsia"/>
          <w:bCs/>
          <w:sz w:val="24"/>
        </w:rPr>
        <w:t>6</w:t>
      </w:r>
      <w:r w:rsidRPr="001818F3">
        <w:rPr>
          <w:rFonts w:ascii="Times New Roman" w:hAnsi="Times New Roman" w:hint="eastAsia"/>
          <w:bCs/>
          <w:sz w:val="24"/>
        </w:rPr>
        <w:t>个月以内就原定审议事项重新召集的基金份额持有人大会应当有代表三分之一以上（含三分之一）相关基金份额的持有人参与或授权他人参与基金份额持有人大会投票；</w:t>
      </w:r>
    </w:p>
    <w:p w14:paraId="68625359"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bCs/>
          <w:sz w:val="24"/>
        </w:rPr>
      </w:pPr>
      <w:r w:rsidRPr="001818F3">
        <w:rPr>
          <w:rFonts w:ascii="Times New Roman" w:hAnsi="Times New Roman" w:hint="eastAsia"/>
          <w:bCs/>
          <w:sz w:val="24"/>
        </w:rPr>
        <w:t>（</w:t>
      </w:r>
      <w:r w:rsidRPr="001818F3">
        <w:rPr>
          <w:rFonts w:ascii="Times New Roman" w:hAnsi="Times New Roman" w:hint="eastAsia"/>
          <w:bCs/>
          <w:sz w:val="24"/>
        </w:rPr>
        <w:t>5</w:t>
      </w:r>
      <w:r w:rsidRPr="001818F3">
        <w:rPr>
          <w:rFonts w:ascii="Times New Roman" w:hAnsi="Times New Roman" w:hint="eastAsia"/>
          <w:bCs/>
          <w:sz w:val="24"/>
        </w:rPr>
        <w:t>）现场开会由出席大会的基金份额持有人和代理人所持表决权的</w:t>
      </w:r>
      <w:r w:rsidRPr="001818F3">
        <w:rPr>
          <w:rFonts w:ascii="Times New Roman" w:hAnsi="Times New Roman" w:hint="eastAsia"/>
          <w:bCs/>
          <w:sz w:val="24"/>
        </w:rPr>
        <w:t>50%</w:t>
      </w:r>
      <w:r w:rsidRPr="001818F3">
        <w:rPr>
          <w:rFonts w:ascii="Times New Roman" w:hAnsi="Times New Roman" w:hint="eastAsia"/>
          <w:bCs/>
          <w:sz w:val="24"/>
        </w:rPr>
        <w:t>以上（含</w:t>
      </w:r>
      <w:r w:rsidRPr="001818F3">
        <w:rPr>
          <w:rFonts w:ascii="Times New Roman" w:hAnsi="Times New Roman" w:hint="eastAsia"/>
          <w:bCs/>
          <w:sz w:val="24"/>
        </w:rPr>
        <w:t>50%</w:t>
      </w:r>
      <w:r w:rsidRPr="001818F3">
        <w:rPr>
          <w:rFonts w:ascii="Times New Roman" w:hAnsi="Times New Roman" w:hint="eastAsia"/>
          <w:bCs/>
          <w:sz w:val="24"/>
        </w:rPr>
        <w:t>）选举产生一名基金份额持有人或代理人作为该次基金份额持有人大会的主持人；</w:t>
      </w:r>
    </w:p>
    <w:p w14:paraId="1F246735"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bCs/>
          <w:sz w:val="24"/>
        </w:rPr>
      </w:pPr>
      <w:r w:rsidRPr="001818F3">
        <w:rPr>
          <w:rFonts w:ascii="Times New Roman" w:hAnsi="Times New Roman" w:hint="eastAsia"/>
          <w:bCs/>
          <w:sz w:val="24"/>
        </w:rPr>
        <w:t>（</w:t>
      </w:r>
      <w:r w:rsidRPr="001818F3">
        <w:rPr>
          <w:rFonts w:ascii="Times New Roman" w:hAnsi="Times New Roman" w:hint="eastAsia"/>
          <w:bCs/>
          <w:sz w:val="24"/>
        </w:rPr>
        <w:t>6</w:t>
      </w:r>
      <w:r w:rsidRPr="001818F3">
        <w:rPr>
          <w:rFonts w:ascii="Times New Roman" w:hAnsi="Times New Roman" w:hint="eastAsia"/>
          <w:bCs/>
          <w:sz w:val="24"/>
        </w:rPr>
        <w:t>）一般决议须经参加大会的基金份额持有人或其代理人所持表决权的二分之一以上（含二分之一）通过；</w:t>
      </w:r>
    </w:p>
    <w:p w14:paraId="529828FB"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bCs/>
          <w:sz w:val="24"/>
        </w:rPr>
      </w:pPr>
      <w:r w:rsidRPr="001818F3">
        <w:rPr>
          <w:rFonts w:ascii="Times New Roman" w:hAnsi="Times New Roman" w:hint="eastAsia"/>
          <w:bCs/>
          <w:sz w:val="24"/>
        </w:rPr>
        <w:t>（</w:t>
      </w:r>
      <w:r w:rsidRPr="001818F3">
        <w:rPr>
          <w:rFonts w:ascii="Times New Roman" w:hAnsi="Times New Roman" w:hint="eastAsia"/>
          <w:bCs/>
          <w:sz w:val="24"/>
        </w:rPr>
        <w:t>7</w:t>
      </w:r>
      <w:r w:rsidRPr="001818F3">
        <w:rPr>
          <w:rFonts w:ascii="Times New Roman" w:hAnsi="Times New Roman" w:hint="eastAsia"/>
          <w:bCs/>
          <w:sz w:val="24"/>
        </w:rPr>
        <w:t>）特别决议应当经参加大会的基金份额持有人或其代理人所持表决权的三分之二以上（含三分之二）通过。</w:t>
      </w:r>
    </w:p>
    <w:p w14:paraId="3268FF06" w14:textId="77777777" w:rsidR="001818F3" w:rsidRPr="001818F3" w:rsidRDefault="001818F3" w:rsidP="001818F3">
      <w:pPr>
        <w:autoSpaceDE w:val="0"/>
        <w:autoSpaceDN w:val="0"/>
        <w:adjustRightInd w:val="0"/>
        <w:snapToGrid w:val="0"/>
        <w:spacing w:line="360" w:lineRule="auto"/>
        <w:ind w:firstLineChars="200" w:firstLine="480"/>
        <w:rPr>
          <w:rFonts w:ascii="Times New Roman" w:hAnsi="Times New Roman"/>
          <w:bCs/>
          <w:sz w:val="24"/>
        </w:rPr>
      </w:pPr>
      <w:r w:rsidRPr="001818F3">
        <w:rPr>
          <w:rFonts w:ascii="Times New Roman" w:hAnsi="Times New Roman" w:hint="eastAsia"/>
          <w:bCs/>
          <w:sz w:val="24"/>
        </w:rPr>
        <w:t>同一主侧袋账户内的每份基金份额具有平等的表决权。</w:t>
      </w:r>
    </w:p>
    <w:p w14:paraId="47150019" w14:textId="010C5ADB" w:rsidR="00DC3364" w:rsidRDefault="001818F3" w:rsidP="001818F3">
      <w:pPr>
        <w:autoSpaceDE w:val="0"/>
        <w:autoSpaceDN w:val="0"/>
        <w:adjustRightInd w:val="0"/>
        <w:snapToGrid w:val="0"/>
        <w:spacing w:line="360" w:lineRule="auto"/>
        <w:ind w:firstLineChars="200" w:firstLine="480"/>
        <w:rPr>
          <w:rFonts w:ascii="宋体" w:hAnsi="宋体"/>
          <w:szCs w:val="24"/>
        </w:rPr>
      </w:pPr>
      <w:r w:rsidRPr="001818F3">
        <w:rPr>
          <w:rFonts w:ascii="Times New Roman" w:hAnsi="Times New Roman" w:hint="eastAsia"/>
          <w:bCs/>
          <w:sz w:val="24"/>
        </w:rPr>
        <w:t>1</w:t>
      </w:r>
      <w:r w:rsidRPr="001818F3">
        <w:rPr>
          <w:rFonts w:ascii="Times New Roman" w:hAnsi="Times New Roman"/>
          <w:bCs/>
          <w:sz w:val="24"/>
        </w:rPr>
        <w:t>0</w:t>
      </w:r>
      <w:r w:rsidRPr="001818F3">
        <w:rPr>
          <w:rFonts w:ascii="Times New Roman" w:hAnsi="Times New Roman" w:hint="eastAsia"/>
          <w:bCs/>
          <w:sz w:val="24"/>
        </w:rPr>
        <w:t>、</w:t>
      </w:r>
      <w:r w:rsidR="000F1A23">
        <w:rPr>
          <w:rFonts w:ascii="Times New Roman" w:hAnsi="Times New Roman"/>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BB19ED8"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（三）基金合同解除和终止的事由、程序</w:t>
      </w:r>
    </w:p>
    <w:p w14:paraId="38277D3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14:paraId="5DFA878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F2E583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14:paraId="5FFB918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、《基金合同》的终止事由</w:t>
      </w:r>
    </w:p>
    <w:p w14:paraId="510A7D3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14:paraId="1A73C33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6615BD7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6B129B4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）本基金作为被合并方与其他基金进行合并的；</w:t>
      </w:r>
    </w:p>
    <w:p w14:paraId="43DBE83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）连续</w:t>
      </w:r>
      <w:r>
        <w:rPr>
          <w:rFonts w:ascii="Times New Roman" w:hAnsi="Times New Roman"/>
          <w:sz w:val="24"/>
        </w:rPr>
        <w:t>50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万元情形的，基金管理人提前终止基金合同，不需召开基金份额持有人大会；</w:t>
      </w:r>
    </w:p>
    <w:p w14:paraId="6668050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）《基金合同》约定的其他情形；</w:t>
      </w:r>
    </w:p>
    <w:p w14:paraId="3F94E9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）相关法律法规和中国证监会规定的其他情况。</w:t>
      </w:r>
    </w:p>
    <w:p w14:paraId="4ED67F4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、基金财产的清算</w:t>
      </w:r>
    </w:p>
    <w:p w14:paraId="15DD74F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6BDC63E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F21FD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63BB48B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）基金财产清算程序：</w:t>
      </w:r>
    </w:p>
    <w:p w14:paraId="22E0E89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）《基金合同》终止情形出现时，由基金财产清算小组统一接管基金财产；</w:t>
      </w:r>
    </w:p>
    <w:p w14:paraId="294723C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）对基金财产和债权债务进行清理和确认；</w:t>
      </w:r>
    </w:p>
    <w:p w14:paraId="29342A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）对基金财产进行估值和变现；</w:t>
      </w:r>
    </w:p>
    <w:p w14:paraId="5154828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）制作清算报告；</w:t>
      </w:r>
    </w:p>
    <w:p w14:paraId="32209B0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27E7826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）将清算报告报中国证监会备案并公告；</w:t>
      </w:r>
    </w:p>
    <w:p w14:paraId="7781973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）对基金剩余财产进行分配。</w:t>
      </w:r>
    </w:p>
    <w:p w14:paraId="4193A40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个月，若遇基金持有的有价证券出现长期休市、停牌或其他流通受限的情形除外。</w:t>
      </w:r>
    </w:p>
    <w:p w14:paraId="5808621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、清算费用</w:t>
      </w:r>
    </w:p>
    <w:p w14:paraId="54A87D2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5ED6F9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、基金财产清算剩余资产的分配</w:t>
      </w:r>
    </w:p>
    <w:p w14:paraId="7824ADD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322D132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、基金财产清算的公告</w:t>
      </w:r>
    </w:p>
    <w:p w14:paraId="06448C2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0EC049A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、基金财产清算账册及文件的保存</w:t>
      </w:r>
    </w:p>
    <w:p w14:paraId="01D6044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0A6DE5C4"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（四）争议解决方式</w:t>
      </w:r>
    </w:p>
    <w:p w14:paraId="351453D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67E236F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《基金合同》受中国法律管辖。</w:t>
      </w:r>
    </w:p>
    <w:p w14:paraId="6C629B32"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（五）基金合同存放及投资者取得基金合同的方式</w:t>
      </w:r>
    </w:p>
    <w:p w14:paraId="1DE8B50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《基金合同》正本一式六份，除上报有关监管机构一式二份外，基金管理人、基金托管人各持有二份，每份具有同等的法律效力。</w:t>
      </w:r>
    </w:p>
    <w:p w14:paraId="03752B0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《基金合同》可印制成册，供投资者在基金管理人、基金托管人、销售机构的办公场所和营业场所查阅，但应以《基金合同》正本为准。</w:t>
      </w:r>
    </w:p>
    <w:p w14:paraId="40FF82F4"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4FB052" w14:textId="57632DE7" w:rsidR="00DC3364" w:rsidRDefault="000F1A23">
      <w:pPr>
        <w:pStyle w:val="1"/>
        <w:snapToGrid w:val="0"/>
        <w:spacing w:beforeLines="0" w:before="240" w:after="240"/>
        <w:rPr>
          <w:rFonts w:ascii="宋体" w:hAnsi="宋体"/>
          <w:szCs w:val="30"/>
        </w:rPr>
      </w:pPr>
      <w:bookmarkStart w:id="30" w:name="_Toc69125820"/>
      <w:r>
        <w:rPr>
          <w:rFonts w:ascii="Times New Roman" w:hAnsi="Times New Roman"/>
          <w:sz w:val="30"/>
        </w:rPr>
        <w:t>二十</w:t>
      </w:r>
      <w:r w:rsidR="001818F3">
        <w:rPr>
          <w:rFonts w:ascii="Times New Roman" w:hAnsi="Times New Roman" w:hint="eastAsia"/>
          <w:sz w:val="30"/>
        </w:rPr>
        <w:t>二</w:t>
      </w:r>
      <w:r>
        <w:rPr>
          <w:rFonts w:ascii="Times New Roman" w:hAnsi="Times New Roman"/>
          <w:sz w:val="30"/>
        </w:rPr>
        <w:t>、托管协议的内容摘要</w:t>
      </w:r>
      <w:bookmarkEnd w:id="30"/>
    </w:p>
    <w:p w14:paraId="7D2BFFEB"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14:paraId="1C05DB2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14:paraId="27B60A1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0DAEE04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住所：中国（上海）自由贸易试验区银城中路</w:t>
      </w:r>
      <w:r>
        <w:rPr>
          <w:rFonts w:ascii="Times New Roman" w:hAnsi="Times New Roman"/>
          <w:sz w:val="24"/>
        </w:rPr>
        <w:t>188</w:t>
      </w:r>
      <w:r>
        <w:rPr>
          <w:rFonts w:ascii="Times New Roman" w:hAnsi="Times New Roman"/>
          <w:sz w:val="24"/>
        </w:rPr>
        <w:t>号交通银行大楼二层（裙）</w:t>
      </w:r>
    </w:p>
    <w:p w14:paraId="08DF43F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783FF0D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480831B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批准设立机关：中国证监会</w:t>
      </w:r>
    </w:p>
    <w:p w14:paraId="7D6814D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批准设立文号：证监基金字</w:t>
      </w:r>
      <w:r>
        <w:rPr>
          <w:rFonts w:ascii="Times New Roman" w:hAnsi="Times New Roman"/>
          <w:sz w:val="24"/>
        </w:rPr>
        <w:t>[2005]128</w:t>
      </w:r>
      <w:r>
        <w:rPr>
          <w:rFonts w:ascii="Times New Roman" w:hAnsi="Times New Roman"/>
          <w:sz w:val="24"/>
        </w:rPr>
        <w:t>号</w:t>
      </w:r>
    </w:p>
    <w:p w14:paraId="1CF37FE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14:paraId="447D883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1EDFB00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14:paraId="066FB9C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0737EA7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14:paraId="072A3D1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名称：兴业银行股份有限公司（简称：兴业银行）</w:t>
      </w:r>
    </w:p>
    <w:p w14:paraId="7A76196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注册地址：福建省福州市湖东路</w:t>
      </w:r>
      <w:r>
        <w:rPr>
          <w:rFonts w:ascii="Times New Roman" w:hAnsi="Times New Roman"/>
          <w:sz w:val="24"/>
        </w:rPr>
        <w:t>154</w:t>
      </w:r>
      <w:r>
        <w:rPr>
          <w:rFonts w:ascii="Times New Roman" w:hAnsi="Times New Roman"/>
          <w:sz w:val="24"/>
        </w:rPr>
        <w:t>号</w:t>
      </w:r>
    </w:p>
    <w:p w14:paraId="1FB98F4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办公地址：上海市江宁路</w:t>
      </w:r>
      <w:r>
        <w:rPr>
          <w:rFonts w:ascii="Times New Roman" w:hAnsi="Times New Roman"/>
          <w:sz w:val="24"/>
        </w:rPr>
        <w:t>168</w:t>
      </w:r>
      <w:r>
        <w:rPr>
          <w:rFonts w:ascii="Times New Roman" w:hAnsi="Times New Roman"/>
          <w:sz w:val="24"/>
        </w:rPr>
        <w:t>号</w:t>
      </w:r>
    </w:p>
    <w:p w14:paraId="2CB9C7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350013</w:t>
      </w:r>
    </w:p>
    <w:p w14:paraId="6E19AD0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法定代表人：高建平</w:t>
      </w:r>
    </w:p>
    <w:p w14:paraId="6A10F16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1988</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22</w:t>
      </w:r>
      <w:r>
        <w:rPr>
          <w:rFonts w:ascii="Times New Roman" w:hAnsi="Times New Roman"/>
          <w:sz w:val="24"/>
        </w:rPr>
        <w:t>日</w:t>
      </w:r>
    </w:p>
    <w:p w14:paraId="2709542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批准设立机关和批准设立文号：中国人民银行总行，银复</w:t>
      </w:r>
      <w:r>
        <w:rPr>
          <w:rFonts w:ascii="Times New Roman" w:hAnsi="Times New Roman"/>
          <w:sz w:val="24"/>
        </w:rPr>
        <w:t>[1988]347</w:t>
      </w:r>
      <w:r>
        <w:rPr>
          <w:rFonts w:ascii="Times New Roman" w:hAnsi="Times New Roman"/>
          <w:sz w:val="24"/>
        </w:rPr>
        <w:t>号</w:t>
      </w:r>
    </w:p>
    <w:p w14:paraId="2BEF542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基金托管业务批准文号：中国证监会证监基金字</w:t>
      </w:r>
      <w:r>
        <w:rPr>
          <w:rFonts w:ascii="Times New Roman" w:hAnsi="Times New Roman"/>
          <w:sz w:val="24"/>
        </w:rPr>
        <w:t>[2005]74</w:t>
      </w:r>
      <w:r>
        <w:rPr>
          <w:rFonts w:ascii="Times New Roman" w:hAnsi="Times New Roman"/>
          <w:sz w:val="24"/>
        </w:rPr>
        <w:t>号</w:t>
      </w:r>
    </w:p>
    <w:p w14:paraId="177C6E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组织形式：股份有限公司</w:t>
      </w:r>
    </w:p>
    <w:p w14:paraId="1BA81AE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207.74190751</w:t>
      </w:r>
      <w:r>
        <w:rPr>
          <w:rFonts w:ascii="Times New Roman" w:hAnsi="Times New Roman"/>
          <w:sz w:val="24"/>
        </w:rPr>
        <w:t>亿元人民币</w:t>
      </w:r>
    </w:p>
    <w:p w14:paraId="1B1C500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2836128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管箱服务；财务顾问、资信调查、咨询、见证业务；经中国银行业监督管理机构批准的其他业务（以上范围凡涉及国家专项专营规定的从其规定）。</w:t>
      </w:r>
    </w:p>
    <w:p w14:paraId="3D71888E"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14:paraId="47907C5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、基金托管人对基金管理人的投资行为行使监督权</w:t>
      </w:r>
    </w:p>
    <w:p w14:paraId="0CFDE2E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2F6899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w:t>
      </w:r>
    </w:p>
    <w:p w14:paraId="47093F3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如法律法规或监管机构以后允许本基金投资其他品种，基金管理人在履行适当程序后，可以将其纳入投资范围。</w:t>
      </w:r>
    </w:p>
    <w:p w14:paraId="48CC221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基金的投资组合比例为：本基金投资于债券资产的比例不低于基金资产的</w:t>
      </w:r>
      <w:r>
        <w:rPr>
          <w:rFonts w:ascii="Times New Roman" w:hAnsi="Times New Roman"/>
          <w:sz w:val="24"/>
        </w:rPr>
        <w:t>80%</w:t>
      </w:r>
      <w:r>
        <w:rPr>
          <w:rFonts w:ascii="Times New Roman" w:hAnsi="Times New Roman"/>
          <w:sz w:val="24"/>
        </w:rPr>
        <w:t>，现金或者到期日在一年以内的政府债券的投资比例合计不低于基金资产净值的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14:paraId="5A45954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14:paraId="3A7D212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、基金托管人根据有关法律法规的规定及基金合同的约定，对基金投资、融资比例进行监督。</w:t>
      </w:r>
    </w:p>
    <w:p w14:paraId="6D6DDD3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基金托管人按下述比例和调整期限进行监督：</w:t>
      </w:r>
    </w:p>
    <w:p w14:paraId="2ACD419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）本基金投资于债券资产的比例不低于基金资产的</w:t>
      </w:r>
      <w:r>
        <w:rPr>
          <w:rFonts w:ascii="Times New Roman" w:hAnsi="Times New Roman"/>
          <w:sz w:val="24"/>
        </w:rPr>
        <w:t>80%</w:t>
      </w:r>
      <w:r>
        <w:rPr>
          <w:rFonts w:ascii="Times New Roman" w:hAnsi="Times New Roman"/>
          <w:sz w:val="24"/>
        </w:rPr>
        <w:t>；</w:t>
      </w:r>
    </w:p>
    <w:p w14:paraId="1F5AA61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73A1639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）本基金持有一家公司发行的证券，其市值不超过基金资产净值的</w:t>
      </w:r>
      <w:r>
        <w:rPr>
          <w:rFonts w:ascii="Times New Roman" w:hAnsi="Times New Roman"/>
          <w:sz w:val="24"/>
        </w:rPr>
        <w:t>10%</w:t>
      </w:r>
      <w:r>
        <w:rPr>
          <w:rFonts w:ascii="Times New Roman" w:hAnsi="Times New Roman"/>
          <w:sz w:val="24"/>
        </w:rPr>
        <w:t>；</w:t>
      </w:r>
    </w:p>
    <w:p w14:paraId="117779E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14:paraId="2F8C036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14:paraId="296B95F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）本基金管理人管理的全部基金持有的同一权证，不得超过该权证的</w:t>
      </w:r>
      <w:r>
        <w:rPr>
          <w:rFonts w:ascii="Times New Roman" w:hAnsi="Times New Roman"/>
          <w:sz w:val="24"/>
        </w:rPr>
        <w:t xml:space="preserve"> 10%</w:t>
      </w:r>
      <w:r>
        <w:rPr>
          <w:rFonts w:ascii="Times New Roman" w:hAnsi="Times New Roman"/>
          <w:sz w:val="24"/>
        </w:rPr>
        <w:t>；</w:t>
      </w:r>
    </w:p>
    <w:p w14:paraId="1F6598E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17A86E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339C4E4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14:paraId="0E73A62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05B9EE0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w:t>
      </w:r>
    </w:p>
    <w:p w14:paraId="48ED3D7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告发布之日起</w:t>
      </w:r>
      <w:r>
        <w:rPr>
          <w:rFonts w:ascii="Times New Roman" w:hAnsi="Times New Roman"/>
          <w:sz w:val="24"/>
        </w:rPr>
        <w:t>3</w:t>
      </w:r>
      <w:r>
        <w:rPr>
          <w:rFonts w:ascii="Times New Roman" w:hAnsi="Times New Roman"/>
          <w:sz w:val="24"/>
        </w:rPr>
        <w:t>个月内予以全部卖出；</w:t>
      </w:r>
    </w:p>
    <w:p w14:paraId="505AC2A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；本基金在全国银行间同业市场中的债券回购最长期限为</w:t>
      </w:r>
      <w:r>
        <w:rPr>
          <w:rFonts w:ascii="Times New Roman" w:hAnsi="Times New Roman"/>
          <w:sz w:val="24"/>
        </w:rPr>
        <w:t>1</w:t>
      </w:r>
      <w:r>
        <w:rPr>
          <w:rFonts w:ascii="Times New Roman" w:hAnsi="Times New Roman"/>
          <w:sz w:val="24"/>
        </w:rPr>
        <w:t>年，债券回购到期后不得展期；</w:t>
      </w:r>
    </w:p>
    <w:p w14:paraId="44EB9AF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）本基金持有单只中小企业私募债券，其市值不得超过基金资产净值的</w:t>
      </w:r>
      <w:r>
        <w:rPr>
          <w:rFonts w:ascii="Times New Roman" w:hAnsi="Times New Roman"/>
          <w:sz w:val="24"/>
        </w:rPr>
        <w:t>10%</w:t>
      </w:r>
      <w:r>
        <w:rPr>
          <w:rFonts w:ascii="Times New Roman" w:hAnsi="Times New Roman"/>
          <w:sz w:val="24"/>
        </w:rPr>
        <w:t>；</w:t>
      </w:r>
    </w:p>
    <w:p w14:paraId="1DA535C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）本基金的基金资产总值不得超过基金资产净值的</w:t>
      </w:r>
      <w:r>
        <w:rPr>
          <w:rFonts w:ascii="Times New Roman" w:hAnsi="Times New Roman"/>
          <w:sz w:val="24"/>
        </w:rPr>
        <w:t>140%</w:t>
      </w:r>
      <w:r>
        <w:rPr>
          <w:rFonts w:ascii="Times New Roman" w:hAnsi="Times New Roman"/>
          <w:sz w:val="24"/>
        </w:rPr>
        <w:t>；</w:t>
      </w:r>
    </w:p>
    <w:p w14:paraId="660CB54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1094836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；因证券市场波动、基金规模变动等基金管理人之外的因素致使基金不符合该比例限制的，基金管理人不得主动新增流动性受限资产的投资；</w:t>
      </w:r>
    </w:p>
    <w:p w14:paraId="2C80AE0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）法律法规及中国证监会规定的和《基金合同》约定的其他投资限制。</w:t>
      </w:r>
    </w:p>
    <w:p w14:paraId="5FA1063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2</w:t>
      </w:r>
      <w:r>
        <w:rPr>
          <w:rFonts w:ascii="Times New Roman" w:hAnsi="Times New Roman"/>
          <w:sz w:val="24"/>
        </w:rPr>
        <w:t>）、（</w:t>
      </w:r>
      <w:r>
        <w:rPr>
          <w:rFonts w:ascii="Times New Roman" w:hAnsi="Times New Roman"/>
          <w:sz w:val="24"/>
        </w:rPr>
        <w:t>11</w:t>
      </w:r>
      <w:r>
        <w:rPr>
          <w:rFonts w:ascii="Times New Roman" w:hAnsi="Times New Roman"/>
          <w:sz w:val="24"/>
        </w:rPr>
        <w:t>）、（</w:t>
      </w:r>
      <w:r>
        <w:rPr>
          <w:rFonts w:ascii="Times New Roman" w:hAnsi="Times New Roman"/>
          <w:sz w:val="24"/>
        </w:rPr>
        <w:t>15</w:t>
      </w:r>
      <w:r>
        <w:rPr>
          <w:rFonts w:ascii="Times New Roman" w:hAnsi="Times New Roman"/>
          <w:sz w:val="24"/>
        </w:rPr>
        <w:t>）、（</w:t>
      </w:r>
      <w:r>
        <w:rPr>
          <w:rFonts w:ascii="Times New Roman" w:hAnsi="Times New Roman"/>
          <w:sz w:val="24"/>
        </w:rPr>
        <w:t>16</w:t>
      </w:r>
      <w:r>
        <w:rPr>
          <w:rFonts w:ascii="Times New Roman" w:hAnsi="Times New Roman"/>
          <w:sz w:val="24"/>
        </w:rPr>
        <w:t>）项外，因证券市场波动、证券发行人合并、基金规模变动、股权分置改革中支付对价等基金管理人之外的因素致使基金投资比例不符合上述规定投资比例的，基金管理人应当在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14:paraId="3F77D38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六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72FBC02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法律法规对上述投资组合比例限制进行变更的，以变更后的规定为准。法律法规或监管部门取消上述限制，如适用于本基金，基金管理人履行适当程序后，则本基金投资不再受相关限制。</w:t>
      </w:r>
    </w:p>
    <w:p w14:paraId="3F089D7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、基金托管人根据有关法律法规的规定及基金合同的约定，对本托管协议第十五章第九条基金投资禁止行为进行监督。基金托管人通过事后监督方式对基金管理人基金投资禁止行为进行监督。</w:t>
      </w:r>
    </w:p>
    <w:p w14:paraId="488EE3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B9D76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法律法规有关基金从事的关联交易的规定，基金管理人和基金托管人应事先相互提供与本机构有控股关系的股东、实际控制人或者与其有其他重大利害关系的公司名单及有关关联方发行的证券名单，加盖公章并书面提交，并确保所提供的关联交易名单的真实性、完整性、全面性。基金管理人有责任保管真实、完整、全面的关联交易名单，并负责及时更新该名单。名单变更后基金管理人应及时发送基金托管人，基金托管人于</w:t>
      </w:r>
      <w:r>
        <w:rPr>
          <w:rFonts w:ascii="Times New Roman" w:hAnsi="Times New Roman"/>
          <w:sz w:val="24"/>
        </w:rPr>
        <w:t>2</w:t>
      </w:r>
      <w:r>
        <w:rPr>
          <w:rFonts w:ascii="Times New Roman" w:hAnsi="Times New Roman"/>
          <w:sz w:val="24"/>
        </w:rPr>
        <w:t>个工作日内进行回函确认已知名单的变更。基金管理人收到基金托管人书面确认后，新的关联交易名单开始生效。</w:t>
      </w:r>
    </w:p>
    <w:p w14:paraId="708A401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Times New Roman" w:hAnsi="Times New Roman"/>
          <w:sz w:val="24"/>
        </w:rPr>
        <w:t>3</w:t>
      </w:r>
      <w:r>
        <w:rPr>
          <w:rFonts w:ascii="Times New Roman" w:hAnsi="Times New Roman"/>
          <w:sz w:val="24"/>
        </w:rPr>
        <w:t>个工作日内与基金托管人协商解决。</w:t>
      </w:r>
    </w:p>
    <w:p w14:paraId="02C9CE3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负责对交易对手的资信控制，按银行间债券市场的交易规则进行交易，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则根据银行间债券市场成交单对合同履行情况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w:t>
      </w:r>
    </w:p>
    <w:p w14:paraId="12F899E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634F3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、基金托管人对基金投资银行存款进行监督。</w:t>
      </w:r>
    </w:p>
    <w:p w14:paraId="187A223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本基金投资银行存款应符合如下规定：</w:t>
      </w:r>
    </w:p>
    <w:p w14:paraId="207F85E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）基金管理人、基金托管人应当与存款银行建立定期对账机制，确保基金银行存款业务账目及核算的真实、准确。</w:t>
      </w:r>
    </w:p>
    <w:p w14:paraId="5740B44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应当按照有关法规规定，与存款机构签订相关书面协议。基金托管人应根据有关相关法规及协议对基金银行存款业务进行监督与核查，严格审查、复核相关协议、账户资料、投资指令、存款证实书等有关文件，切实履行托管职责。</w:t>
      </w:r>
    </w:p>
    <w:p w14:paraId="6851CF7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）基金管理人与基金托管人在开展基金存款业务时，应严格遵守《基金法》、《运作办法》等有关法律法规，以及国家有关账户管理、利率管理、支付结算等的各项规定。</w:t>
      </w:r>
    </w:p>
    <w:p w14:paraId="25907B0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32CD300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、基金托管人对基金投资中期票据和中小企业私募债进行监督</w:t>
      </w:r>
    </w:p>
    <w:p w14:paraId="04B8975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管理的基金在投资中期票据和中小企业私募债前，基金管理人须根据法律、法规、监管部门的规定，制定严格的关于投资中期票据和中小企业私募债的风险控制制度、流动性风险和信用风险处置预案，并书面提供给基金托管人，基金托管人依据上述文件对基金管理人投资中期票据和中小企业私募债的额度和比例进行监督。</w:t>
      </w:r>
    </w:p>
    <w:p w14:paraId="3892EF2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）如未来有关监管部门发布的法律法规对证券投资基金投资中期票据和中小企业私募债另有规定的，从其约定。</w:t>
      </w:r>
    </w:p>
    <w:p w14:paraId="77ED590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Pr>
          <w:rFonts w:ascii="Times New Roman" w:hAnsi="Times New Roman"/>
          <w:sz w:val="24"/>
        </w:rPr>
        <w:t>,</w:t>
      </w:r>
      <w:r>
        <w:rPr>
          <w:rFonts w:ascii="Times New Roman" w:hAnsi="Times New Roman"/>
          <w:sz w:val="24"/>
        </w:rPr>
        <w:t>督促基金管理人改正。如果基金管理人违规事项未能在限期内纠正的，基金托管人应报告中国证监会。</w:t>
      </w:r>
    </w:p>
    <w:p w14:paraId="677D1B5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58DA7B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6675D7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若基金托管人发现基金管理人依据交易程序已经生效的指令违反法律、行政法规和其他有关规定，或者违反基金合同约定的，应当立即以书面或以双方认可的其他方式通知基金管理人，基金管理人应依法承担相应责任。</w:t>
      </w:r>
    </w:p>
    <w:p w14:paraId="267A479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C1A75FB"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14:paraId="5E2CE2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但不限于基金托管人安全保管基金财产、开设基金财产的资金账户、证券账户及投资所需的其他账户、复核基金管理人计算的基金资产净值和基金份额净值、根据基金管理人指令办理清算交收、相关信息披露和监督基金投资运作等行为。</w:t>
      </w:r>
    </w:p>
    <w:p w14:paraId="7AEC759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C68EF8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0B94896"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（四）基金财产保管</w:t>
      </w:r>
    </w:p>
    <w:p w14:paraId="1F226DB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14:paraId="06D813C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14:paraId="2A7B43E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w:t>
      </w:r>
    </w:p>
    <w:p w14:paraId="55E9F9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）基金托管人按照规定开设基金财产的资金账户、证券账户及投资所需的其他账户。</w:t>
      </w:r>
    </w:p>
    <w:p w14:paraId="0C1DF6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）基金托管人对所托管的不同基金财产分别设置账户，独立核算，分账管理，确保基金财产的完整与独立。</w:t>
      </w:r>
    </w:p>
    <w:p w14:paraId="747884F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按照基金合同和本协议的约定保管基金财产，如有特殊情况双方可另行协商解决。基金托管人未经基金管理人的合法合规指令，不得自行运用、处分、分配本基金的任何资产（不包含基金托管人依据中国证券登记结算有限责任公司结算数据完成场内交易交收、托管资产开户银行扣收结算费和账户维护费等费用）。</w:t>
      </w:r>
    </w:p>
    <w:p w14:paraId="4E90DE6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14:paraId="26B1E3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14:paraId="1172630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14:paraId="6C4E954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）基金募集期间募集的资金应存于基金管理人开立的</w:t>
      </w:r>
      <w:r>
        <w:rPr>
          <w:rFonts w:ascii="Times New Roman" w:hAnsi="Times New Roman"/>
          <w:sz w:val="24"/>
        </w:rPr>
        <w:t>“</w:t>
      </w:r>
      <w:r>
        <w:rPr>
          <w:rFonts w:ascii="Times New Roman" w:hAnsi="Times New Roman"/>
          <w:sz w:val="24"/>
        </w:rPr>
        <w:t>基金募集专户</w:t>
      </w:r>
      <w:r>
        <w:rPr>
          <w:rFonts w:ascii="Times New Roman" w:hAnsi="Times New Roman"/>
          <w:sz w:val="24"/>
        </w:rPr>
        <w:t>”</w:t>
      </w:r>
      <w:r>
        <w:rPr>
          <w:rFonts w:ascii="Times New Roman" w:hAnsi="Times New Roman"/>
          <w:sz w:val="24"/>
        </w:rPr>
        <w:t>。该账户由基金管理人或基金管理人委托的登记机构开立并管理。</w:t>
      </w:r>
    </w:p>
    <w:p w14:paraId="1DC0CCE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14:paraId="0881C88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）若基金募集期限届满，未能达到基金合同生效的条件，由基金管理人按规定办理退款等事宜，基金托管人应提供充分协助</w:t>
      </w:r>
    </w:p>
    <w:p w14:paraId="75F5F01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、基金银行账户的开立和管理</w:t>
      </w:r>
    </w:p>
    <w:p w14:paraId="7708FD3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以基金托管人的名义开设本基金的基金托管专户，也称为资金账户，保管基金财产的银行存款。该基金托管专户同时也是基金托管人在法人集中清算模式下，代表所托管的包括本基金财产在内的所有托管资产与中国证券登记结算有限责任公司（以下简称</w:t>
      </w:r>
      <w:r>
        <w:rPr>
          <w:rFonts w:ascii="Times New Roman" w:hAnsi="Times New Roman"/>
          <w:sz w:val="24"/>
        </w:rPr>
        <w:t>“</w:t>
      </w:r>
      <w:r>
        <w:rPr>
          <w:rFonts w:ascii="Times New Roman" w:hAnsi="Times New Roman"/>
          <w:sz w:val="24"/>
        </w:rPr>
        <w:t>中登公司</w:t>
      </w:r>
      <w:r>
        <w:rPr>
          <w:rFonts w:ascii="Times New Roman" w:hAnsi="Times New Roman"/>
          <w:sz w:val="24"/>
        </w:rPr>
        <w:t>”</w:t>
      </w:r>
      <w:r>
        <w:rPr>
          <w:rFonts w:ascii="Times New Roman" w:hAnsi="Times New Roman"/>
          <w:sz w:val="24"/>
        </w:rPr>
        <w:t>）进行一级结算的专用账户。该账户的开设和管理由基金托管人承担。本基金的一切货币收支活动，均需通过基金托管人的基金托管专户进行。</w:t>
      </w:r>
    </w:p>
    <w:p w14:paraId="2EE73D3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）基金托管人可根据实际情况需要，为本基金开立资金清算辅助账户，以办理相关的资金汇划业务。</w:t>
      </w:r>
    </w:p>
    <w:p w14:paraId="782421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1D317F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）基金托管专户的开立和管理应符合银行业监督管理机构的有关规定。</w:t>
      </w:r>
    </w:p>
    <w:p w14:paraId="0EF53D0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）在符合法律法规规定的条件下，基金托管人可以通过基金托管专户办理基金资产的支付。</w:t>
      </w:r>
    </w:p>
    <w:p w14:paraId="7132DBC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、定期存款账户</w:t>
      </w:r>
    </w:p>
    <w:p w14:paraId="47256D6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14:paraId="01E1FC3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、债券托管账户的开立和管理</w:t>
      </w:r>
    </w:p>
    <w:p w14:paraId="55961CA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托管人根据中国人民银行、银行间市场登记结算机构的有关规定，以本基金的名义在中央国债登记结算有限责任公司和银行间市场清算所股份有限公司开立债券托管账户、资金结算账户，持有人账户和资金结算账户，并代表基金进行银行间市场债券的结算。</w:t>
      </w:r>
    </w:p>
    <w:p w14:paraId="7AD7105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、基金证券账户和结算备付金账户的开立和管理</w:t>
      </w:r>
    </w:p>
    <w:p w14:paraId="279B7F6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）基金托管人在中国证券登记结算有限责任公司上海分公司、深圳分公司为基金开立基金托管人与基金联名的证券账户。</w:t>
      </w:r>
    </w:p>
    <w:p w14:paraId="13734E2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98965A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）基金证券账户的开立和证券账户卡的保管由基金托管人负责，账户资产的管理和运用由基金管理人负责。</w:t>
      </w:r>
    </w:p>
    <w:p w14:paraId="370CFE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891F76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2CC0C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、其他账户的开立和管理</w:t>
      </w:r>
    </w:p>
    <w:p w14:paraId="48FE95B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）因业务发展需要而开立的其他账户，可以根据法律法规和基金合同的规定，在基金管理人和基金托管人协商一致后开立。新账户按有关规定使用并管理。</w:t>
      </w:r>
    </w:p>
    <w:p w14:paraId="69C27C9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p>
    <w:p w14:paraId="6532E1B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、基金财产投资的有关有价凭证等的保管</w:t>
      </w:r>
    </w:p>
    <w:p w14:paraId="6C0AAF3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基金财产投资的有关实物证券等有价凭证由基金托管人存放于基金托管人的保管库，也可存入中央国债登记结算有限责任公司、中国证券登记结算有限责任公司上海分公司</w:t>
      </w:r>
      <w:r>
        <w:rPr>
          <w:rFonts w:ascii="Times New Roman" w:hAnsi="Times New Roman"/>
          <w:sz w:val="24"/>
        </w:rPr>
        <w:t>/</w:t>
      </w:r>
      <w:r>
        <w:rPr>
          <w:rFonts w:ascii="Times New Roman" w:hAnsi="Times New Roman"/>
          <w:sz w:val="24"/>
        </w:rPr>
        <w:t>深圳分公司、银行间市场清算所股份有限公司或票据营业中心的代保管库，保管凭证由基金托管人持有。有价凭证的购买和转让，由基金管理人和基金托管人共同办理。基金托管人对由基金托管人以外机构实际有效控制的资产不承担保管责任。</w:t>
      </w:r>
    </w:p>
    <w:p w14:paraId="70F049C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、与基金财产有关的重大合同的保管</w:t>
      </w:r>
    </w:p>
    <w:p w14:paraId="4D4B937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Times New Roman" w:hAnsi="Times New Roman"/>
          <w:sz w:val="24"/>
        </w:rPr>
        <w:t>15</w:t>
      </w:r>
      <w:r>
        <w:rPr>
          <w:rFonts w:ascii="Times New Roman" w:hAnsi="Times New Roman"/>
          <w:sz w:val="24"/>
        </w:rPr>
        <w:t>年。</w:t>
      </w:r>
    </w:p>
    <w:p w14:paraId="67640D6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对于无法取得二份以上的正本的，基金管理人应向基金托管人提供加盖公章的合同传真件，未经双方协商一致，合同原件不得转移。</w:t>
      </w:r>
    </w:p>
    <w:p w14:paraId="0463CAFE"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（五）基金资产净值计算与复核</w:t>
      </w:r>
    </w:p>
    <w:p w14:paraId="036F353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、基金资产净值的计算、复核与完成的时间及程序</w:t>
      </w:r>
    </w:p>
    <w:p w14:paraId="5C582DC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）基金资产净值是指基金资产总值减去负债后的价值。基金份额净值是指基金资产净值除以计算日基金份额总数，基金份额净值的计算，均精确到</w:t>
      </w:r>
      <w:r>
        <w:rPr>
          <w:rFonts w:ascii="Times New Roman" w:hAnsi="Times New Roman"/>
          <w:sz w:val="24"/>
        </w:rPr>
        <w:t>0.0001</w:t>
      </w:r>
      <w:r>
        <w:rPr>
          <w:rFonts w:ascii="Times New Roman" w:hAnsi="Times New Roman"/>
          <w:sz w:val="24"/>
        </w:rPr>
        <w:t>元，小数点后第</w:t>
      </w:r>
      <w:r>
        <w:rPr>
          <w:rFonts w:ascii="Times New Roman" w:hAnsi="Times New Roman"/>
          <w:sz w:val="24"/>
        </w:rPr>
        <w:t>5</w:t>
      </w:r>
      <w:r>
        <w:rPr>
          <w:rFonts w:ascii="Times New Roman" w:hAnsi="Times New Roman"/>
          <w:sz w:val="24"/>
        </w:rPr>
        <w:t>位四舍五入，国家另有规定的，从其规定。基金管理人每个工作日计算基金资产净值及基金份额净值，经基金托管人复核，按规定公告。</w:t>
      </w:r>
    </w:p>
    <w:p w14:paraId="3DE1261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14:paraId="017F822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工作日对基金资产进行估值，但基金管理人根据法律法规或基金合同的规定暂停估值时除外。基金管理人每个工作日对基金资产估值后，将基金份额净值结果以双方约定的方式提交给基金托管人，经基金托管人复核无误后，由基金管理人按规定对外公布。</w:t>
      </w:r>
    </w:p>
    <w:p w14:paraId="13AFAE7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、基金资产估值方法和特殊情形的处理</w:t>
      </w:r>
    </w:p>
    <w:p w14:paraId="55C4BE7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14:paraId="77CC635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基金所拥有的债券和其它投资等持续以公允价值计量的金融资产及负债。</w:t>
      </w:r>
    </w:p>
    <w:p w14:paraId="770AE87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）估值方法</w:t>
      </w:r>
    </w:p>
    <w:p w14:paraId="78865AD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14:paraId="5557593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07A4D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）交易所市场上市交易或挂牌转让的固定收益品种（另有规定的除外），选取第三方估值机构提供的相应品种当日的估值净价进行估值；</w:t>
      </w:r>
    </w:p>
    <w:p w14:paraId="274AEB7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）交易所市场上市交易的可转换债券，按估值日收盘价减去可转换债券收盘价中所含债券应收利息后得到的净价进行估值；</w:t>
      </w:r>
    </w:p>
    <w:p w14:paraId="0037687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）交易所市场挂牌转让的资产支持证券和私募债券，采用估值技术确定公允价值。</w:t>
      </w:r>
    </w:p>
    <w:p w14:paraId="68AFF80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）交易所市场发行未上市或未挂牌转让的债券，采用估值技术确定公允价值。</w:t>
      </w:r>
    </w:p>
    <w:p w14:paraId="41CAC0A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）银行间市场上市交易的固定收益品种，选取第三方估值机构提供的相应品种当日的估值净价进行估值。银行间市场发行未上市的固定收益品种，采用估值技术确定公允价值。</w:t>
      </w:r>
    </w:p>
    <w:p w14:paraId="1A4D403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）如有确凿证据表明按上述方法进行估值不能客观反映其公允价值的，基金管理人可根据具体情况与基金托管人商定后，按最能反映公允价值的方法估值。</w:t>
      </w:r>
    </w:p>
    <w:p w14:paraId="20A5B31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）相关法律法规以及监管部门有强制规定的，从其规定。如有新增事项，按法律法规以及监管部门最新规定估值。</w:t>
      </w:r>
    </w:p>
    <w:p w14:paraId="0FD4077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2E599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12F99A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）特殊情形的处理</w:t>
      </w:r>
    </w:p>
    <w:p w14:paraId="6A272E9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基金管理人、基金托管人按估值方法的第</w:t>
      </w:r>
      <w:r>
        <w:rPr>
          <w:rFonts w:ascii="Times New Roman" w:hAnsi="Times New Roman"/>
          <w:sz w:val="24"/>
        </w:rPr>
        <w:t>4</w:t>
      </w:r>
      <w:r>
        <w:rPr>
          <w:rFonts w:ascii="Times New Roman" w:hAnsi="Times New Roman"/>
          <w:sz w:val="24"/>
        </w:rPr>
        <w:t>）项进行估值时，所造成的误差不作为基金估值错误处理。</w:t>
      </w:r>
    </w:p>
    <w:p w14:paraId="7C32CE7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或由于证券交易所、证券经纪机构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42777E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、基金份额净值错误的处理方式</w:t>
      </w:r>
    </w:p>
    <w:p w14:paraId="392EEC0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4</w:t>
      </w:r>
      <w:r>
        <w:rPr>
          <w:rFonts w:ascii="Times New Roman" w:hAnsi="Times New Roman"/>
          <w:sz w:val="24"/>
        </w:rPr>
        <w:t>位以内（含第</w:t>
      </w:r>
      <w:r>
        <w:rPr>
          <w:rFonts w:ascii="Times New Roman" w:hAnsi="Times New Roman"/>
          <w:sz w:val="24"/>
        </w:rPr>
        <w:t>4</w:t>
      </w:r>
      <w:r>
        <w:rPr>
          <w:rFonts w:ascii="Times New Roman" w:hAnsi="Times New Roman"/>
          <w:sz w:val="24"/>
        </w:rPr>
        <w:t>位）发生估值错误时，视为基金份额净值错误；基金份额净值出现错误时，基金管理人应当立即予以纠正，通报基金托管人，并采取合理的措施防止损失进一步扩大；错误偏差达到基金份额净值的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时，基金管理人应当通报基金托管人并报中国证监会备案；错误偏差达到基金份额净值的</w:t>
      </w:r>
      <w:r>
        <w:rPr>
          <w:rFonts w:ascii="Times New Roman" w:hAnsi="Times New Roman"/>
          <w:sz w:val="24"/>
        </w:rPr>
        <w:t>0.50%</w:t>
      </w:r>
      <w:r>
        <w:rPr>
          <w:rFonts w:ascii="Times New Roman" w:hAnsi="Times New Roman"/>
          <w:sz w:val="24"/>
        </w:rPr>
        <w:t>时，基金管理人和基金托管人应当公告；当发生基金份额净值错误时，由基金管理人负责处理，由此给基金份额持有人和基金造成损失的，应由基金管理人先行赔付，基金管理人按差错情形，有权向其他当事人追偿。</w:t>
      </w:r>
    </w:p>
    <w:p w14:paraId="5822651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由于基金管理人和基金托管人计算基金净值错误导致该基金财产或基金份额持有人的实际损失的，基金管理人和基金托管人应根据实际情况界定双方承担的责任进行赔偿，基金管理人和基金托管人有权向获得不当得利之主体主张返还不当得利。</w:t>
      </w:r>
    </w:p>
    <w:p w14:paraId="3A8E2B2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7B1A6FA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403A3681"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、暂停估值的情形：</w:t>
      </w:r>
    </w:p>
    <w:p w14:paraId="1449CEC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）基金投资所涉及的证券交易市场遇法定节假日或因其他原因暂停营业时；</w:t>
      </w:r>
    </w:p>
    <w:p w14:paraId="6E8F637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）因不可抗力致使基金管理人、基金托管人无法准确评估基金资产价值时；</w:t>
      </w:r>
    </w:p>
    <w:p w14:paraId="0DE6BF2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）占基金相当比例的投资品种的估值出现重大转变，而基金管理人为保障基金份额持有人的利益，决定延迟估值时；</w:t>
      </w:r>
    </w:p>
    <w:p w14:paraId="683FA0DE" w14:textId="77F9797B"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sidR="002A6257" w:rsidRPr="002A6257">
        <w:rPr>
          <w:rFonts w:ascii="Times New Roman" w:hAnsi="Times New Roman" w:hint="eastAsia"/>
          <w:bCs/>
          <w:sz w:val="24"/>
        </w:rPr>
        <w:t>当特定资产占前一估值日基金资产净值</w:t>
      </w:r>
      <w:r w:rsidR="002A6257" w:rsidRPr="002A6257">
        <w:rPr>
          <w:rFonts w:ascii="Times New Roman" w:hAnsi="Times New Roman" w:hint="eastAsia"/>
          <w:bCs/>
          <w:sz w:val="24"/>
        </w:rPr>
        <w:t>50%</w:t>
      </w:r>
      <w:r w:rsidR="002A6257" w:rsidRPr="002A6257">
        <w:rPr>
          <w:rFonts w:ascii="Times New Roman" w:hAnsi="Times New Roman" w:hint="eastAsia"/>
          <w:bCs/>
          <w:sz w:val="24"/>
        </w:rPr>
        <w:t>以上的，经与基金托管人协商确认后，基金管理人应当暂停估值；</w:t>
      </w:r>
    </w:p>
    <w:p w14:paraId="6C0B47D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）中国证监会和基金合同认定的其它情形。</w:t>
      </w:r>
    </w:p>
    <w:p w14:paraId="07D062E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、基金会计制度</w:t>
      </w:r>
    </w:p>
    <w:p w14:paraId="606F9A6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按国家有关部门规定的会计制度执行。</w:t>
      </w:r>
    </w:p>
    <w:p w14:paraId="3484254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、基金账册的建立</w:t>
      </w:r>
    </w:p>
    <w:p w14:paraId="4C9630C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8D9963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、基金财务报表与报告的编制和复核</w:t>
      </w:r>
    </w:p>
    <w:p w14:paraId="0E655D2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）财务报表的编制</w:t>
      </w:r>
    </w:p>
    <w:p w14:paraId="61B292F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基金财务报表由基金管理人编制，基金托管人复核。</w:t>
      </w:r>
    </w:p>
    <w:p w14:paraId="1ABC7DE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14:paraId="4C37940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基金托管人在收到基金管理人编制的基金财务报表后，进行独立的复核。核对不符时，应及时通知基金管理人共同查出原因，进行调整，直至双方数据完全一致。</w:t>
      </w:r>
    </w:p>
    <w:p w14:paraId="0B37EEA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）财务报表的编制与复核时间安排</w:t>
      </w:r>
    </w:p>
    <w:p w14:paraId="7BCC138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）报表的编制</w:t>
      </w:r>
    </w:p>
    <w:p w14:paraId="5F16E49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基金管理人应当在每月结束后</w:t>
      </w:r>
      <w:r>
        <w:rPr>
          <w:rFonts w:ascii="Times New Roman" w:hAnsi="Times New Roman"/>
          <w:sz w:val="24"/>
        </w:rPr>
        <w:t>5</w:t>
      </w:r>
      <w:r>
        <w:rPr>
          <w:rFonts w:ascii="Times New Roman" w:hAnsi="Times New Roman"/>
          <w:sz w:val="24"/>
        </w:rPr>
        <w:t>个工作日内完成月度报表的编制；在季度结束之日起</w:t>
      </w:r>
      <w:r>
        <w:rPr>
          <w:rFonts w:ascii="Times New Roman" w:hAnsi="Times New Roman"/>
          <w:sz w:val="24"/>
        </w:rPr>
        <w:t>15</w:t>
      </w:r>
      <w:r>
        <w:rPr>
          <w:rFonts w:ascii="Times New Roman" w:hAnsi="Times New Roman"/>
          <w:sz w:val="24"/>
        </w:rPr>
        <w:t>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14:paraId="0C4D0D2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）报表的复核</w:t>
      </w:r>
    </w:p>
    <w:p w14:paraId="02FECB9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3D536B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基金管理人应留足充分的时间，便于基金托管人复核相关报表及报告。</w:t>
      </w:r>
    </w:p>
    <w:p w14:paraId="25A0388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、基金管理人应在编制季度报告、中期报告或者年度报告之前及时向基金托管人提供基金业绩比较基准的基础数据和编制结果。</w:t>
      </w:r>
    </w:p>
    <w:p w14:paraId="0EA4CF01"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（六）基金份额持有人名册的保管</w:t>
      </w:r>
    </w:p>
    <w:p w14:paraId="63A6004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ascii="Times New Roman" w:hAnsi="Times New Roman"/>
          <w:sz w:val="24"/>
        </w:rPr>
        <w:t>15</w:t>
      </w:r>
      <w:r>
        <w:rPr>
          <w:rFonts w:ascii="Times New Roman" w:hAnsi="Times New Roman"/>
          <w:sz w:val="24"/>
        </w:rPr>
        <w:t>年，法律法规另有规定或有权机关另有要求的除外。如不能妥善保管，则按相关法规承担责任。</w:t>
      </w:r>
    </w:p>
    <w:p w14:paraId="7265EB7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B06140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基金管理人应当及时向基金托管人提交《基金合同》生效日、《基金合同》终止日、中期报告、年报等涉及到基金重要事项及信息披露期间的基金份额持有人名册。</w:t>
      </w:r>
    </w:p>
    <w:p w14:paraId="433B69E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14:paraId="595B559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1FEFF11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14:paraId="53014B7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本协议受中国法律管辖。</w:t>
      </w:r>
    </w:p>
    <w:p w14:paraId="73B8BF9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14:paraId="119BCA6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14:paraId="20B04EF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本协议双方当事人经协商一致，可以对协议进行修改。修改后的新协议，其内容不得与基金合同的规定有任何冲突。基金托管协议的变更应报中国证监会备案后生效。</w:t>
      </w:r>
    </w:p>
    <w:p w14:paraId="26D173F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、基金托管协议终止出现的情形</w:t>
      </w:r>
    </w:p>
    <w:p w14:paraId="4C5B246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5F902A1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14:paraId="38AB36F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14:paraId="1B68FC6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14:paraId="25A6A367"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D7668F" w14:textId="38B66443" w:rsidR="00DC3364" w:rsidRDefault="000F1A23">
      <w:pPr>
        <w:pStyle w:val="1"/>
        <w:snapToGrid w:val="0"/>
        <w:spacing w:beforeLines="0" w:before="240" w:after="240"/>
        <w:rPr>
          <w:rFonts w:ascii="宋体" w:hAnsi="宋体"/>
          <w:szCs w:val="30"/>
        </w:rPr>
      </w:pPr>
      <w:bookmarkStart w:id="31" w:name="_Toc69125821"/>
      <w:r>
        <w:rPr>
          <w:rFonts w:ascii="Times New Roman" w:hAnsi="Times New Roman"/>
          <w:sz w:val="30"/>
        </w:rPr>
        <w:t>二十</w:t>
      </w:r>
      <w:r w:rsidR="001818F3">
        <w:rPr>
          <w:rFonts w:ascii="Times New Roman" w:hAnsi="Times New Roman" w:hint="eastAsia"/>
          <w:sz w:val="30"/>
        </w:rPr>
        <w:t>三</w:t>
      </w:r>
      <w:r>
        <w:rPr>
          <w:rFonts w:ascii="Times New Roman" w:hAnsi="Times New Roman"/>
          <w:sz w:val="30"/>
        </w:rPr>
        <w:t>、对基金份额持有人的服务</w:t>
      </w:r>
      <w:bookmarkEnd w:id="31"/>
    </w:p>
    <w:p w14:paraId="5686420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14:paraId="779F1A32"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14:paraId="2DBCD75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14:paraId="409E031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14:paraId="08E96512"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14:paraId="7CD72399"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本基金管理人已开通基金网上直销业务，个人投资者可以直接通过本基金管理人网站的网上直销交易平台办理开户和本基金的申购、赎回和定期定额投资、转换等业务。通过网上直销交易平台办理本基金</w:t>
      </w:r>
      <w:r>
        <w:rPr>
          <w:rFonts w:ascii="Times New Roman" w:hAnsi="Times New Roman"/>
          <w:sz w:val="24"/>
        </w:rPr>
        <w:t>A</w:t>
      </w:r>
      <w:r>
        <w:rPr>
          <w:rFonts w:ascii="Times New Roman" w:hAnsi="Times New Roman"/>
          <w:sz w:val="24"/>
        </w:rPr>
        <w:t>类基金份额的申购和定期定额投资业务的个人投资者将享受申购费率的优惠，其他费率标准不变。具体优惠费率请参见公司网站列示的网上直销交易平台申购及定期定额投资费率表或相关公告。</w:t>
      </w:r>
    </w:p>
    <w:p w14:paraId="647DB065"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基金网上直销交易平台已开通的银行卡及各银行卡交易金额限额请参阅本基金管理人网站。</w:t>
      </w:r>
    </w:p>
    <w:p w14:paraId="44E510C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在条件成熟的时候，本基金管理人将根据基金网上直销业务的发展状况，适时调整可用于网上直销交易平台的银行卡种类，敬请投资人留意相关公告。</w:t>
      </w:r>
    </w:p>
    <w:p w14:paraId="22C2307D"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14:paraId="0ECADEB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投资人如果想查询基金账户余额、基金产品与服务等信息，请拨打本基金管理人客户服务电话（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17CFBC6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14:paraId="177B505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投资人可以拨打本基金管理人客户服务电话投诉直销机构的人员和服务。</w:t>
      </w:r>
    </w:p>
    <w:p w14:paraId="70C54DA0"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（四）基金红利再投资</w:t>
      </w:r>
    </w:p>
    <w:p w14:paraId="5C3FEC48"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时，基金份额持有人持有的基金份额可选择现金红利或选择红利再投将现金红利自动转为基金份额进行再投资，若投资人不选择，本基金默认的收益分配方式是现金分红；基金份额持有人可对其持有的</w:t>
      </w:r>
      <w:r>
        <w:rPr>
          <w:rFonts w:ascii="Times New Roman" w:hAnsi="Times New Roman"/>
          <w:sz w:val="24"/>
        </w:rPr>
        <w:t>A</w:t>
      </w:r>
      <w:r>
        <w:rPr>
          <w:rFonts w:ascii="Times New Roman" w:hAnsi="Times New Roman"/>
          <w:sz w:val="24"/>
        </w:rPr>
        <w:t>类以及</w:t>
      </w:r>
      <w:r>
        <w:rPr>
          <w:rFonts w:ascii="Times New Roman" w:hAnsi="Times New Roman"/>
          <w:sz w:val="24"/>
        </w:rPr>
        <w:t>C</w:t>
      </w:r>
      <w:r>
        <w:rPr>
          <w:rFonts w:ascii="Times New Roman" w:hAnsi="Times New Roman"/>
          <w:sz w:val="24"/>
        </w:rPr>
        <w:t>类基金份额分别选择不同的收益分配方式。再投资红利按红利再投日（即除息日）除息后的基金份额净值自动转为基金份额，并免收申购费用。</w:t>
      </w:r>
    </w:p>
    <w:p w14:paraId="1B587B6C" w14:textId="77777777" w:rsidR="00DC3364" w:rsidRDefault="000F1A23">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（五）定期定额投资计划</w:t>
      </w:r>
    </w:p>
    <w:p w14:paraId="2C839BFA"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本基金已开通定期定额投资计划，具体实施方法请参见相关公告。</w:t>
      </w:r>
    </w:p>
    <w:p w14:paraId="5003931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14:paraId="342DFDC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14:paraId="636E2FE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1531BFD7"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14:paraId="309950A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投资者也可登录本基金管理人网站，直接提出有关本基金的问题和建议。</w:t>
      </w:r>
    </w:p>
    <w:p w14:paraId="04B8F82F"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15D5CD" w14:textId="2DC29B2D" w:rsidR="00DC3364" w:rsidRDefault="000F1A23">
      <w:pPr>
        <w:pStyle w:val="1"/>
        <w:snapToGrid w:val="0"/>
        <w:spacing w:beforeLines="0" w:before="240" w:after="240"/>
        <w:rPr>
          <w:rFonts w:ascii="宋体" w:hAnsi="宋体"/>
          <w:szCs w:val="30"/>
        </w:rPr>
      </w:pPr>
      <w:bookmarkStart w:id="32" w:name="_Toc69125822"/>
      <w:r>
        <w:rPr>
          <w:rFonts w:ascii="Times New Roman" w:hAnsi="Times New Roman"/>
          <w:sz w:val="30"/>
        </w:rPr>
        <w:t>二十</w:t>
      </w:r>
      <w:r w:rsidR="001818F3">
        <w:rPr>
          <w:rFonts w:ascii="Times New Roman" w:hAnsi="Times New Roman" w:hint="eastAsia"/>
          <w:sz w:val="30"/>
        </w:rPr>
        <w:t>四</w:t>
      </w:r>
      <w:r>
        <w:rPr>
          <w:rFonts w:ascii="Times New Roman" w:hAnsi="Times New Roman"/>
          <w:sz w:val="30"/>
        </w:rPr>
        <w:t>、其他应披露事项</w:t>
      </w:r>
      <w:bookmarkEnd w:id="32"/>
    </w:p>
    <w:p w14:paraId="2BB7F230"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14:paraId="4AD2F7AD"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C3364" w14:paraId="58D397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747254"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0052C920"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2FA847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5FB90A7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DC3364" w14:paraId="23D638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59254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EF7E44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5</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26FDE05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4956F2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2020-01-10</w:t>
            </w:r>
          </w:p>
        </w:tc>
      </w:tr>
      <w:tr w:rsidR="00DC3364" w14:paraId="755D2A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4D362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92487A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5</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397434A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15E774"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2020-01-10</w:t>
            </w:r>
          </w:p>
        </w:tc>
      </w:tr>
      <w:tr w:rsidR="00DC3364" w14:paraId="4ACC70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3CF66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7C5257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关于以通讯方式召开交银施罗德裕通纯债债券型证券投资基金基金份额持有人大会的公告</w:t>
            </w:r>
          </w:p>
        </w:tc>
        <w:tc>
          <w:tcPr>
            <w:tcW w:w="750" w:type="pct"/>
            <w:tcBorders>
              <w:top w:val="single" w:sz="4" w:space="0" w:color="auto"/>
              <w:left w:val="single" w:sz="4" w:space="0" w:color="auto"/>
              <w:bottom w:val="single" w:sz="4" w:space="0" w:color="auto"/>
              <w:right w:val="single" w:sz="4" w:space="0" w:color="auto"/>
            </w:tcBorders>
            <w:vAlign w:val="center"/>
          </w:tcPr>
          <w:p w14:paraId="713BC0A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C5A2F1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2020-01-15</w:t>
            </w:r>
          </w:p>
        </w:tc>
      </w:tr>
      <w:tr w:rsidR="00DC3364" w14:paraId="6E4E39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0F2E5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172050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关于以通讯方式召开交银施罗德裕通纯债债券型证券投资基金基金份额持有人大会的第一次提示性公告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E38426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F572C6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2020-01-16</w:t>
            </w:r>
          </w:p>
        </w:tc>
      </w:tr>
      <w:tr w:rsidR="00DC3364" w14:paraId="2DF311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00C4C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A8A878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关于以通讯方式召开交银施罗德裕通纯债债券型证券投资基金基金份额持有人大会的第二次提示性公告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F7DE91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64B150"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2020-01-17</w:t>
            </w:r>
          </w:p>
        </w:tc>
      </w:tr>
      <w:tr w:rsidR="00DC3364" w14:paraId="185FA2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E966C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519497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624649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35147C"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DC3364" w14:paraId="4CBC77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D7BD3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A8386B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2D3946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9F164FF"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DC3364" w14:paraId="289E5274"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5360DA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35B6EB5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456ED4C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47E49E6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DC3364" w14:paraId="1AECE7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CDEEF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355C78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CD5918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3C434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2020-02-20</w:t>
            </w:r>
          </w:p>
        </w:tc>
      </w:tr>
      <w:tr w:rsidR="00DC3364" w14:paraId="3B1D55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7675F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498883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3AAF10CE"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2492B7"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2020-02-21</w:t>
            </w:r>
          </w:p>
        </w:tc>
      </w:tr>
      <w:tr w:rsidR="00DC3364" w14:paraId="46BE397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5A030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6B340A2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46763A8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B04E72"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2020-02-21</w:t>
            </w:r>
          </w:p>
        </w:tc>
      </w:tr>
      <w:tr w:rsidR="00DC3364" w14:paraId="42D4C6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B0549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29A9F91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78C52E0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83EAD5"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2020-02-21</w:t>
            </w:r>
          </w:p>
        </w:tc>
      </w:tr>
      <w:tr w:rsidR="00DC3364" w14:paraId="0697BF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BD831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C5AB19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7E5BDC8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527E56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2020-02-21</w:t>
            </w:r>
          </w:p>
        </w:tc>
      </w:tr>
      <w:tr w:rsidR="00DC3364" w14:paraId="681D45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904A7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6884D59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关于交银施罗德裕通纯债债券型证券投资基金基金份额持有人大会表决结果暨决议生效的公告</w:t>
            </w:r>
          </w:p>
        </w:tc>
        <w:tc>
          <w:tcPr>
            <w:tcW w:w="750" w:type="pct"/>
            <w:tcBorders>
              <w:top w:val="single" w:sz="4" w:space="0" w:color="auto"/>
              <w:left w:val="single" w:sz="4" w:space="0" w:color="auto"/>
              <w:bottom w:val="single" w:sz="4" w:space="0" w:color="auto"/>
              <w:right w:val="single" w:sz="4" w:space="0" w:color="auto"/>
            </w:tcBorders>
            <w:vAlign w:val="center"/>
          </w:tcPr>
          <w:p w14:paraId="4B0334C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50CD39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2020-02-21</w:t>
            </w:r>
          </w:p>
        </w:tc>
      </w:tr>
      <w:tr w:rsidR="00DC3364" w14:paraId="5DC646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05172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C5692C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关于调整在直销柜台开展交银施罗德裕通纯债债券型证券投资基金赎回费率优惠的公告</w:t>
            </w:r>
          </w:p>
        </w:tc>
        <w:tc>
          <w:tcPr>
            <w:tcW w:w="750" w:type="pct"/>
            <w:tcBorders>
              <w:top w:val="single" w:sz="4" w:space="0" w:color="auto"/>
              <w:left w:val="single" w:sz="4" w:space="0" w:color="auto"/>
              <w:bottom w:val="single" w:sz="4" w:space="0" w:color="auto"/>
              <w:right w:val="single" w:sz="4" w:space="0" w:color="auto"/>
            </w:tcBorders>
            <w:vAlign w:val="center"/>
          </w:tcPr>
          <w:p w14:paraId="3048D08E"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475944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2020-02-21</w:t>
            </w:r>
          </w:p>
        </w:tc>
      </w:tr>
      <w:tr w:rsidR="00DC3364" w14:paraId="3533C7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8E6D1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64FADBB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关于交银施罗德裕通纯债债券型证券投资基金暂停及恢复大额申购、定期定额投资业务的公告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6CC2B0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19BE88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2020-03-19</w:t>
            </w:r>
          </w:p>
        </w:tc>
      </w:tr>
      <w:tr w:rsidR="00DC3364" w14:paraId="0889BB2B"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E6CDE2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5193E2C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316FA6E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23622DF4"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DC3364" w14:paraId="24B73F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DE05B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2E8DED9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关于交银施罗德裕通纯债债券型证券投资基金分红的公告</w:t>
            </w:r>
          </w:p>
        </w:tc>
        <w:tc>
          <w:tcPr>
            <w:tcW w:w="750" w:type="pct"/>
            <w:tcBorders>
              <w:top w:val="single" w:sz="4" w:space="0" w:color="auto"/>
              <w:left w:val="single" w:sz="4" w:space="0" w:color="auto"/>
              <w:bottom w:val="single" w:sz="4" w:space="0" w:color="auto"/>
              <w:right w:val="single" w:sz="4" w:space="0" w:color="auto"/>
            </w:tcBorders>
            <w:vAlign w:val="center"/>
          </w:tcPr>
          <w:p w14:paraId="15E05E8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B96012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2020-03-23</w:t>
            </w:r>
          </w:p>
        </w:tc>
      </w:tr>
      <w:tr w:rsidR="00DC3364" w14:paraId="2076A1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02BE1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75443107"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5419D93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EAF26F6"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DC3364" w14:paraId="34072E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22831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010AC8C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15C5CE4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086F23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DC3364" w14:paraId="17F43A26"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282A27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389F018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470A532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722531C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DC3364" w14:paraId="597627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6791F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135728C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11C49D7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EDA5831"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DC3364" w14:paraId="1E36AC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E34D5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3F1B654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908A6F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BF918B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DC3364" w14:paraId="0D7261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7455B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3408BD7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关于交银施罗德裕通纯债债券型证券投资基金开放日常转换业务的公告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E589D33"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937EC0"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2020-05-20</w:t>
            </w:r>
          </w:p>
        </w:tc>
      </w:tr>
      <w:tr w:rsidR="00DC3364" w14:paraId="7001B8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1AAA4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3202491E"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关于交银施罗德裕通纯债债券型证券投资基金暂停及恢复大额申购（转换转入、定期定额投资）业务的公告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CBBE51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5020A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2020-06-16</w:t>
            </w:r>
          </w:p>
        </w:tc>
      </w:tr>
      <w:tr w:rsidR="00DC3364" w14:paraId="18340A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11EC3E"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03A0B31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关于交银施罗德裕通纯债债券型证券投资基金分红的公告</w:t>
            </w:r>
          </w:p>
        </w:tc>
        <w:tc>
          <w:tcPr>
            <w:tcW w:w="750" w:type="pct"/>
            <w:tcBorders>
              <w:top w:val="single" w:sz="4" w:space="0" w:color="auto"/>
              <w:left w:val="single" w:sz="4" w:space="0" w:color="auto"/>
              <w:bottom w:val="single" w:sz="4" w:space="0" w:color="auto"/>
              <w:right w:val="single" w:sz="4" w:space="0" w:color="auto"/>
            </w:tcBorders>
            <w:vAlign w:val="center"/>
          </w:tcPr>
          <w:p w14:paraId="4703EF92"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D0A88EE"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2020-06-18</w:t>
            </w:r>
          </w:p>
        </w:tc>
      </w:tr>
      <w:tr w:rsidR="00DC3364" w14:paraId="3BAD29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94C2C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29001B9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430240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E34A7B"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DC3364" w14:paraId="7B43EA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0BAAE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43A9984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C437C3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01FC97"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DC3364" w14:paraId="6F82B1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945C7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11AB597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7593A176"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BA62268"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DC3364" w14:paraId="522648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CED4DB"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30C891B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198B60F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312C543"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DC3364" w14:paraId="1501AB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B064D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0719BF7D"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01D3CC0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5478D3A"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DC3364" w14:paraId="3EB108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225438"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4C05D78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172A91E4"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2B999D"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DC3364" w14:paraId="6C4A20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98843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14:paraId="7E15BAD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关于交银施罗德裕通纯债债券型证券投资基金暂停及恢复大额申购（转换转入、定期定额投资）业务的公告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22AE1ADC"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C491F80"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2020-09-18</w:t>
            </w:r>
          </w:p>
        </w:tc>
      </w:tr>
      <w:tr w:rsidR="00DC3364" w14:paraId="3CAF85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BE84E5"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14:paraId="11FD4459"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关于交银施罗德裕通纯债债券型证券投资基金分红的公告</w:t>
            </w:r>
          </w:p>
        </w:tc>
        <w:tc>
          <w:tcPr>
            <w:tcW w:w="750" w:type="pct"/>
            <w:tcBorders>
              <w:top w:val="single" w:sz="4" w:space="0" w:color="auto"/>
              <w:left w:val="single" w:sz="4" w:space="0" w:color="auto"/>
              <w:bottom w:val="single" w:sz="4" w:space="0" w:color="auto"/>
              <w:right w:val="single" w:sz="4" w:space="0" w:color="auto"/>
            </w:tcBorders>
            <w:vAlign w:val="center"/>
          </w:tcPr>
          <w:p w14:paraId="3C33C740"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96FAF94"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2020-09-22</w:t>
            </w:r>
          </w:p>
        </w:tc>
      </w:tr>
      <w:tr w:rsidR="00DC3364" w14:paraId="41F8BC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A62231"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14:paraId="647A8E2F"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CAD9FDA" w14:textId="77777777" w:rsidR="00DC3364" w:rsidRDefault="000F1A2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BDA54EC" w14:textId="77777777" w:rsidR="00DC3364" w:rsidRDefault="000F1A2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bl>
    <w:p w14:paraId="7E6BE621"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C688EA8" w14:textId="228936CE" w:rsidR="00DC3364" w:rsidRDefault="000F1A23">
      <w:pPr>
        <w:pStyle w:val="1"/>
        <w:snapToGrid w:val="0"/>
        <w:spacing w:beforeLines="0" w:before="240" w:after="240"/>
        <w:rPr>
          <w:rFonts w:ascii="宋体" w:hAnsi="宋体"/>
          <w:szCs w:val="30"/>
        </w:rPr>
      </w:pPr>
      <w:bookmarkStart w:id="33" w:name="_Toc69125823"/>
      <w:r>
        <w:rPr>
          <w:rFonts w:ascii="Times New Roman" w:hAnsi="Times New Roman"/>
          <w:sz w:val="30"/>
        </w:rPr>
        <w:t>二十</w:t>
      </w:r>
      <w:r w:rsidR="001818F3">
        <w:rPr>
          <w:rFonts w:ascii="Times New Roman" w:hAnsi="Times New Roman" w:hint="eastAsia"/>
          <w:sz w:val="30"/>
        </w:rPr>
        <w:t>五</w:t>
      </w:r>
      <w:r>
        <w:rPr>
          <w:rFonts w:ascii="Times New Roman" w:hAnsi="Times New Roman"/>
          <w:sz w:val="30"/>
        </w:rPr>
        <w:t>、招募说明书的存放及查阅方式</w:t>
      </w:r>
      <w:bookmarkEnd w:id="33"/>
    </w:p>
    <w:p w14:paraId="22357084"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772A353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14:paraId="29497BB1" w14:textId="77777777" w:rsidR="00B439CC" w:rsidRDefault="000F1A2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1B0BFF" w14:textId="4D75A534" w:rsidR="00DC3364" w:rsidRDefault="000F1A23">
      <w:pPr>
        <w:pStyle w:val="1"/>
        <w:snapToGrid w:val="0"/>
        <w:spacing w:beforeLines="0" w:before="240" w:after="240"/>
        <w:rPr>
          <w:rFonts w:ascii="宋体" w:hAnsi="宋体"/>
          <w:szCs w:val="30"/>
        </w:rPr>
      </w:pPr>
      <w:bookmarkStart w:id="34" w:name="_Toc69125824"/>
      <w:r>
        <w:rPr>
          <w:rFonts w:ascii="Times New Roman" w:hAnsi="Times New Roman"/>
          <w:sz w:val="30"/>
        </w:rPr>
        <w:t>二十</w:t>
      </w:r>
      <w:r w:rsidR="001818F3">
        <w:rPr>
          <w:rFonts w:ascii="Times New Roman" w:hAnsi="Times New Roman" w:hint="eastAsia"/>
          <w:sz w:val="30"/>
        </w:rPr>
        <w:t>六</w:t>
      </w:r>
      <w:r>
        <w:rPr>
          <w:rFonts w:ascii="Times New Roman" w:hAnsi="Times New Roman"/>
          <w:sz w:val="30"/>
        </w:rPr>
        <w:t>、备查文件</w:t>
      </w:r>
      <w:bookmarkEnd w:id="34"/>
    </w:p>
    <w:p w14:paraId="3FA7EF2F"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14:paraId="288FA4BC"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（一）中国证监会准予交银施罗德裕通纯债债券型证券投资基金募集注册的文件</w:t>
      </w:r>
    </w:p>
    <w:p w14:paraId="29AF95CB"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（二）《交银施罗德裕通纯债债券型证券投资基金基金合同》</w:t>
      </w:r>
    </w:p>
    <w:p w14:paraId="501249E3"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（三）《交银施罗德裕通纯债债券型证券投资基金托管协议》</w:t>
      </w:r>
    </w:p>
    <w:p w14:paraId="68A96BB2"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14:paraId="46956A86"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14:paraId="6D246EDE" w14:textId="77777777" w:rsidR="00DC3364" w:rsidRDefault="000F1A23">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（六）关于申请募集注册交银施罗德裕通纯债债券型证券投资基金的法律意见书</w:t>
      </w:r>
    </w:p>
    <w:sectPr w:rsidR="00DC3364">
      <w:footerReference w:type="default" r:id="rId17"/>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E3486" w14:textId="77777777" w:rsidR="00856996" w:rsidRDefault="00856996">
      <w:r>
        <w:separator/>
      </w:r>
    </w:p>
  </w:endnote>
  <w:endnote w:type="continuationSeparator" w:id="0">
    <w:p w14:paraId="0A370D27" w14:textId="77777777" w:rsidR="00856996" w:rsidRDefault="0085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CF48B" w14:textId="47C09092" w:rsidR="00DC3364" w:rsidRDefault="001818F3">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01866743" wp14:editId="03935F6D">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BF2D" w14:textId="28DD7C54" w:rsidR="00DC3364" w:rsidRDefault="000F1A2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17857">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66743"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14:paraId="0972BF2D" w14:textId="28DD7C54" w:rsidR="00DC3364" w:rsidRDefault="000F1A2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17857">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8F22" w14:textId="1D20454D" w:rsidR="00DC3364" w:rsidRDefault="001818F3">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3626CC27" wp14:editId="20D16BC6">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E017" w14:textId="6D08FCB8" w:rsidR="00DC3364" w:rsidRDefault="000F1A2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17857">
                            <w:rPr>
                              <w:rFonts w:ascii="Times New Roman" w:hAnsi="Times New Roman"/>
                              <w:noProof/>
                              <w:kern w:val="0"/>
                              <w:sz w:val="18"/>
                              <w:szCs w:val="18"/>
                            </w:rPr>
                            <w:t>70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6CC27"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14:paraId="7617E017" w14:textId="6D08FCB8" w:rsidR="00DC3364" w:rsidRDefault="000F1A2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17857">
                      <w:rPr>
                        <w:rFonts w:ascii="Times New Roman" w:hAnsi="Times New Roman"/>
                        <w:noProof/>
                        <w:kern w:val="0"/>
                        <w:sz w:val="18"/>
                        <w:szCs w:val="18"/>
                      </w:rPr>
                      <w:t>70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A7426" w14:textId="77777777" w:rsidR="00856996" w:rsidRDefault="00856996">
      <w:r>
        <w:separator/>
      </w:r>
    </w:p>
  </w:footnote>
  <w:footnote w:type="continuationSeparator" w:id="0">
    <w:p w14:paraId="4E68260B" w14:textId="77777777" w:rsidR="00856996" w:rsidRDefault="008569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A7DB" w14:textId="77777777" w:rsidR="009E65D0" w:rsidRDefault="000F1A23">
    <w:pPr>
      <w:pStyle w:val="a3"/>
      <w:jc w:val="right"/>
    </w:pPr>
    <w:r>
      <w:rPr>
        <w:noProof/>
      </w:rPr>
      <w:drawing>
        <wp:anchor distT="0" distB="0" distL="114300" distR="114300" simplePos="0" relativeHeight="251655680" behindDoc="0" locked="0" layoutInCell="1" allowOverlap="1" wp14:anchorId="473A3FFF" wp14:editId="20B60264">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009B3B47" w14:textId="77777777" w:rsidR="00DC3364" w:rsidRDefault="000F1A23">
    <w:pPr>
      <w:pStyle w:val="a3"/>
      <w:jc w:val="right"/>
      <w:rPr>
        <w:rFonts w:ascii="宋体" w:hAnsi="宋体"/>
      </w:rPr>
    </w:pPr>
    <w:r>
      <w:rPr>
        <w:rFonts w:ascii="宋体" w:hAnsi="宋体" w:hint="eastAsia"/>
      </w:rPr>
      <w:t>交银施罗德裕通纯债债券型证券投资基金(更新)招募说明书(2020年第2号)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229C" w14:textId="77777777" w:rsidR="00DC3364" w:rsidRDefault="00DC3364">
    <w:pPr>
      <w:pStyle w:val="11"/>
      <w:jc w:val="right"/>
    </w:pPr>
  </w:p>
  <w:p w14:paraId="276C9D92" w14:textId="77777777" w:rsidR="00DC3364" w:rsidRDefault="00DC3364">
    <w:pPr>
      <w:pStyle w:val="11"/>
      <w:jc w:val="right"/>
    </w:pPr>
  </w:p>
  <w:p w14:paraId="0CE5AB9B" w14:textId="77777777" w:rsidR="00DC3364" w:rsidRDefault="00DC3364">
    <w:pPr>
      <w:pStyle w:val="a3"/>
      <w:jc w:val="right"/>
    </w:pPr>
  </w:p>
  <w:p w14:paraId="61F50A4F" w14:textId="77777777" w:rsidR="009E65D0" w:rsidRDefault="000F1A23">
    <w:pPr>
      <w:pStyle w:val="a3"/>
      <w:jc w:val="right"/>
    </w:pPr>
    <w:r>
      <w:rPr>
        <w:noProof/>
      </w:rPr>
      <w:drawing>
        <wp:anchor distT="0" distB="0" distL="114300" distR="114300" simplePos="0" relativeHeight="251656704" behindDoc="0" locked="0" layoutInCell="1" allowOverlap="1" wp14:anchorId="1C3419E8" wp14:editId="15D2A556">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109970F6" w14:textId="6F4BE125" w:rsidR="00DC3364" w:rsidRDefault="000F1A23">
    <w:pPr>
      <w:pStyle w:val="a3"/>
      <w:jc w:val="right"/>
      <w:rPr>
        <w:rFonts w:ascii="宋体" w:hAnsi="宋体"/>
      </w:rPr>
    </w:pPr>
    <w:r>
      <w:rPr>
        <w:rFonts w:ascii="宋体" w:hAnsi="宋体" w:hint="eastAsia"/>
      </w:rPr>
      <w:t>交银施罗德裕通纯债债券型证券投资基金(更新)招募说明书(</w:t>
    </w:r>
    <w:r w:rsidR="00F46270">
      <w:rPr>
        <w:rFonts w:ascii="宋体" w:hAnsi="宋体" w:hint="eastAsia"/>
      </w:rPr>
      <w:t>202</w:t>
    </w:r>
    <w:r w:rsidR="00F46270">
      <w:rPr>
        <w:rFonts w:ascii="宋体" w:hAnsi="宋体"/>
      </w:rPr>
      <w:t>1</w:t>
    </w:r>
    <w:r>
      <w:rPr>
        <w:rFonts w:ascii="宋体" w:hAnsi="宋体" w:hint="eastAsia"/>
      </w:rPr>
      <w:t>年</w:t>
    </w:r>
    <w:r w:rsidR="00F46270">
      <w:rPr>
        <w:rFonts w:ascii="宋体" w:hAnsi="宋体" w:hint="eastAsia"/>
      </w:rPr>
      <w:t>第</w:t>
    </w:r>
    <w:r w:rsidR="00F46270">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82CD6" w14:textId="77777777" w:rsidR="00DC3364" w:rsidRDefault="00DC3364">
    <w:pPr>
      <w:pStyle w:val="a3"/>
      <w:jc w:val="right"/>
    </w:pPr>
  </w:p>
  <w:p w14:paraId="2C6CDA9F" w14:textId="77777777" w:rsidR="00DC3364" w:rsidRDefault="00DC3364">
    <w:pPr>
      <w:pStyle w:val="a3"/>
      <w:jc w:val="right"/>
    </w:pPr>
  </w:p>
  <w:p w14:paraId="670BC72C" w14:textId="77777777" w:rsidR="00DC3364" w:rsidRDefault="00DC3364">
    <w:pPr>
      <w:pStyle w:val="a3"/>
      <w:jc w:val="right"/>
    </w:pPr>
  </w:p>
  <w:p w14:paraId="49E4D2C7" w14:textId="77777777" w:rsidR="009E65D0" w:rsidRDefault="000F1A23">
    <w:pPr>
      <w:pStyle w:val="a3"/>
      <w:jc w:val="right"/>
    </w:pPr>
    <w:r>
      <w:rPr>
        <w:noProof/>
      </w:rPr>
      <w:drawing>
        <wp:anchor distT="0" distB="0" distL="114300" distR="114300" simplePos="0" relativeHeight="251657728" behindDoc="0" locked="0" layoutInCell="1" allowOverlap="1" wp14:anchorId="4D1DA13B" wp14:editId="04BF337C">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6A76F66E" w14:textId="48537D90" w:rsidR="00DC3364" w:rsidRDefault="000F1A23">
    <w:pPr>
      <w:pStyle w:val="a3"/>
      <w:jc w:val="right"/>
      <w:rPr>
        <w:rFonts w:ascii="宋体" w:hAnsi="宋体"/>
      </w:rPr>
    </w:pPr>
    <w:r>
      <w:rPr>
        <w:rFonts w:ascii="宋体" w:hAnsi="宋体" w:hint="eastAsia"/>
      </w:rPr>
      <w:t>交银施罗德裕通纯债债券型证券投资基金(更新)招募说明书(</w:t>
    </w:r>
    <w:r w:rsidR="00F46270">
      <w:rPr>
        <w:rFonts w:ascii="宋体" w:hAnsi="宋体" w:hint="eastAsia"/>
      </w:rPr>
      <w:t>202</w:t>
    </w:r>
    <w:r w:rsidR="00F46270">
      <w:rPr>
        <w:rFonts w:ascii="宋体" w:hAnsi="宋体"/>
      </w:rPr>
      <w:t>1</w:t>
    </w:r>
    <w:r>
      <w:rPr>
        <w:rFonts w:ascii="宋体" w:hAnsi="宋体" w:hint="eastAsia"/>
      </w:rPr>
      <w:t>年</w:t>
    </w:r>
    <w:r w:rsidR="00F46270">
      <w:rPr>
        <w:rFonts w:ascii="宋体" w:hAnsi="宋体" w:hint="eastAsia"/>
      </w:rPr>
      <w:t>第</w:t>
    </w:r>
    <w:r w:rsidR="00F46270">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66C9C"/>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1A23"/>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8F3"/>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1F94"/>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28"/>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A625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BA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7788C"/>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1733"/>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B6755"/>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0B0"/>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2B80"/>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97FDA"/>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06A"/>
    <w:rsid w:val="008527C5"/>
    <w:rsid w:val="00852B15"/>
    <w:rsid w:val="00856135"/>
    <w:rsid w:val="00856996"/>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857"/>
    <w:rsid w:val="00917DBE"/>
    <w:rsid w:val="0092605A"/>
    <w:rsid w:val="0092689A"/>
    <w:rsid w:val="00926BC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7BD"/>
    <w:rsid w:val="00970C67"/>
    <w:rsid w:val="00974456"/>
    <w:rsid w:val="009764F5"/>
    <w:rsid w:val="00991483"/>
    <w:rsid w:val="0099296D"/>
    <w:rsid w:val="009935AA"/>
    <w:rsid w:val="00993F94"/>
    <w:rsid w:val="009951B2"/>
    <w:rsid w:val="0099669D"/>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885"/>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1F94"/>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200A"/>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27CF6"/>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20B"/>
    <w:rsid w:val="00DA3326"/>
    <w:rsid w:val="00DA3644"/>
    <w:rsid w:val="00DA3FCB"/>
    <w:rsid w:val="00DA630F"/>
    <w:rsid w:val="00DA6A38"/>
    <w:rsid w:val="00DA6B30"/>
    <w:rsid w:val="00DA7040"/>
    <w:rsid w:val="00DB07B5"/>
    <w:rsid w:val="00DB07F9"/>
    <w:rsid w:val="00DB3CAF"/>
    <w:rsid w:val="00DB4966"/>
    <w:rsid w:val="00DC1386"/>
    <w:rsid w:val="00DC3364"/>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46270"/>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343C"/>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69346"/>
  <w15:docId w15:val="{19865402-8CD1-49F7-86F9-91E665BA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99669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BE56F-181A-4577-B9C5-96A8F0E8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89</Pages>
  <Words>13801</Words>
  <Characters>78671</Characters>
  <Application>Microsoft Office Word</Application>
  <DocSecurity>0</DocSecurity>
  <Lines>655</Lines>
  <Paragraphs>184</Paragraphs>
  <ScaleCrop>false</ScaleCrop>
  <Company>Microsoft</Company>
  <LinksUpToDate>false</LinksUpToDate>
  <CharactersWithSpaces>92288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17</cp:revision>
  <cp:lastPrinted>2013-02-18T03:10:00Z</cp:lastPrinted>
  <dcterms:created xsi:type="dcterms:W3CDTF">2021-04-01T03:49:00Z</dcterms:created>
  <dcterms:modified xsi:type="dcterms:W3CDTF">2021-06-25T03:17:00Z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