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2"/>
        </w:rPr>
      </w:pPr>
    </w:p>
    <w:p>
      <w:pPr>
        <w:spacing w:line="360" w:lineRule="auto"/>
        <w:rPr>
          <w:sz w:val="32"/>
        </w:rPr>
      </w:pPr>
    </w:p>
    <w:p>
      <w:pPr>
        <w:spacing w:line="360" w:lineRule="auto"/>
        <w:rPr>
          <w:sz w:val="32"/>
        </w:rPr>
      </w:pPr>
    </w:p>
    <w:p>
      <w:pPr>
        <w:spacing w:line="360" w:lineRule="auto"/>
        <w:jc w:val="center"/>
        <w:rPr>
          <w:sz w:val="32"/>
        </w:rPr>
      </w:pPr>
      <w: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sz w:val="32"/>
        </w:rPr>
      </w:pPr>
    </w:p>
    <w:p>
      <w:pPr>
        <w:spacing w:line="360" w:lineRule="auto"/>
        <w:jc w:val="center"/>
        <w:rPr>
          <w:b/>
          <w:sz w:val="32"/>
        </w:rPr>
      </w:pPr>
    </w:p>
    <w:p>
      <w:pPr>
        <w:spacing w:line="360" w:lineRule="auto"/>
        <w:rPr>
          <w:b/>
          <w:sz w:val="44"/>
        </w:rPr>
      </w:pPr>
    </w:p>
    <w:p>
      <w:pPr>
        <w:adjustRightInd w:val="0"/>
        <w:snapToGrid w:val="0"/>
        <w:spacing w:line="360" w:lineRule="auto"/>
        <w:jc w:val="center"/>
        <w:rPr>
          <w:sz w:val="24"/>
        </w:rPr>
      </w:pPr>
      <w:r>
        <w:rPr>
          <w:rFonts w:hAnsi="宋体"/>
          <w:b/>
          <w:sz w:val="44"/>
        </w:rPr>
        <w:t>交银施罗德成长动力</w:t>
      </w:r>
      <w:r>
        <w:rPr>
          <w:rFonts w:hint="eastAsia" w:hAnsi="宋体"/>
          <w:b/>
          <w:sz w:val="44"/>
        </w:rPr>
        <w:t>一年持有期</w:t>
      </w:r>
      <w:r>
        <w:rPr>
          <w:rFonts w:hAnsi="宋体"/>
          <w:b/>
          <w:sz w:val="44"/>
        </w:rPr>
        <w:t>混合型证券投资基金招募说明书</w:t>
      </w: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ind w:left="1978" w:leftChars="942"/>
        <w:rPr>
          <w:b/>
          <w:sz w:val="28"/>
        </w:rPr>
      </w:pPr>
      <w:r>
        <w:rPr>
          <w:rFonts w:hAnsi="宋体"/>
          <w:b/>
          <w:sz w:val="28"/>
        </w:rPr>
        <w:t>基金管理人：交银施罗德基金管理有限公司</w:t>
      </w:r>
    </w:p>
    <w:p>
      <w:pPr>
        <w:spacing w:line="360" w:lineRule="auto"/>
        <w:ind w:left="1978" w:leftChars="942"/>
        <w:rPr>
          <w:b/>
          <w:sz w:val="28"/>
        </w:rPr>
      </w:pPr>
      <w:r>
        <w:rPr>
          <w:rFonts w:hAnsi="宋体"/>
          <w:b/>
          <w:sz w:val="28"/>
        </w:rPr>
        <w:t>基金托管人：</w:t>
      </w:r>
      <w:r>
        <w:rPr>
          <w:rFonts w:hint="eastAsia" w:hAnsi="宋体"/>
          <w:b/>
          <w:sz w:val="28"/>
        </w:rPr>
        <w:t>上海浦东发展银行股份有限公司</w:t>
      </w:r>
    </w:p>
    <w:p>
      <w:pPr>
        <w:widowControl/>
        <w:spacing w:line="360" w:lineRule="auto"/>
        <w:ind w:firstLine="420" w:firstLineChars="200"/>
        <w:rPr>
          <w:rFonts w:ascii="宋体" w:hAnsi="宋体"/>
          <w:kern w:val="0"/>
        </w:rPr>
      </w:pPr>
    </w:p>
    <w:p>
      <w:pPr>
        <w:widowControl/>
        <w:spacing w:line="360" w:lineRule="auto"/>
        <w:ind w:firstLine="420" w:firstLineChars="200"/>
        <w:rPr>
          <w:rFonts w:ascii="宋体" w:hAnsi="宋体"/>
          <w:kern w:val="0"/>
        </w:rPr>
      </w:pPr>
    </w:p>
    <w:p>
      <w:pPr>
        <w:autoSpaceDE w:val="0"/>
        <w:autoSpaceDN w:val="0"/>
        <w:spacing w:line="360" w:lineRule="auto"/>
        <w:ind w:left="2996" w:hanging="2996"/>
        <w:jc w:val="center"/>
        <w:textAlignment w:val="bottom"/>
        <w:rPr>
          <w:rFonts w:hAnsi="宋体"/>
          <w:b/>
          <w:sz w:val="28"/>
        </w:rPr>
      </w:pPr>
      <w:r>
        <w:rPr>
          <w:rFonts w:hAnsi="宋体"/>
          <w:b/>
          <w:sz w:val="28"/>
        </w:rPr>
        <w:t>二〇二</w:t>
      </w:r>
      <w:r>
        <w:rPr>
          <w:rFonts w:hint="eastAsia" w:hAnsi="宋体"/>
          <w:b/>
          <w:sz w:val="28"/>
        </w:rPr>
        <w:t>一</w:t>
      </w:r>
      <w:r>
        <w:rPr>
          <w:rFonts w:hAnsi="宋体"/>
          <w:b/>
          <w:sz w:val="28"/>
        </w:rPr>
        <w:t>年</w:t>
      </w:r>
      <w:r>
        <w:rPr>
          <w:rFonts w:hint="eastAsia" w:hAnsi="宋体"/>
          <w:b/>
          <w:sz w:val="28"/>
        </w:rPr>
        <w:t>五</w:t>
      </w:r>
      <w:r>
        <w:rPr>
          <w:rFonts w:hAnsi="宋体"/>
          <w:b/>
          <w:sz w:val="28"/>
        </w:rPr>
        <w:t>月</w:t>
      </w:r>
    </w:p>
    <w:p>
      <w:pPr>
        <w:autoSpaceDE w:val="0"/>
        <w:autoSpaceDN w:val="0"/>
        <w:spacing w:line="360" w:lineRule="auto"/>
        <w:ind w:left="2996" w:hanging="2996"/>
        <w:jc w:val="center"/>
        <w:textAlignment w:val="bottom"/>
        <w:rPr>
          <w:b/>
          <w:sz w:val="24"/>
        </w:rPr>
      </w:pPr>
    </w:p>
    <w:p>
      <w:pPr>
        <w:widowControl/>
        <w:spacing w:line="360" w:lineRule="auto"/>
        <w:jc w:val="left"/>
        <w:rPr>
          <w:rFonts w:hAnsi="宋体"/>
          <w:kern w:val="0"/>
        </w:rPr>
      </w:pPr>
    </w:p>
    <w:p>
      <w:pPr>
        <w:widowControl/>
        <w:spacing w:line="360" w:lineRule="auto"/>
        <w:jc w:val="left"/>
        <w:rPr>
          <w:kern w:val="0"/>
        </w:rPr>
      </w:pPr>
    </w:p>
    <w:p>
      <w:pPr>
        <w:widowControl/>
        <w:spacing w:line="360" w:lineRule="auto"/>
        <w:jc w:val="center"/>
        <w:rPr>
          <w:rFonts w:ascii="宋体" w:hAnsi="宋体"/>
          <w:b/>
          <w:kern w:val="0"/>
          <w:sz w:val="30"/>
        </w:rPr>
      </w:pPr>
      <w:r>
        <w:rPr>
          <w:rFonts w:hint="eastAsia" w:ascii="宋体" w:hAnsi="宋体"/>
          <w:b/>
          <w:kern w:val="0"/>
          <w:sz w:val="30"/>
        </w:rPr>
        <w:t>【</w:t>
      </w:r>
      <w:r>
        <w:rPr>
          <w:rFonts w:ascii="宋体" w:hAnsi="宋体"/>
          <w:b/>
          <w:kern w:val="0"/>
          <w:sz w:val="30"/>
        </w:rPr>
        <w:t>重要提示】</w:t>
      </w:r>
    </w:p>
    <w:p>
      <w:pPr>
        <w:widowControl/>
        <w:adjustRightInd w:val="0"/>
        <w:snapToGrid w:val="0"/>
        <w:spacing w:line="360" w:lineRule="auto"/>
        <w:ind w:firstLine="480" w:firstLineChars="200"/>
        <w:rPr>
          <w:kern w:val="0"/>
          <w:sz w:val="24"/>
        </w:rPr>
      </w:pPr>
      <w:r>
        <w:rPr>
          <w:kern w:val="0"/>
          <w:sz w:val="24"/>
        </w:rPr>
        <w:t>交银施罗德成长动力</w:t>
      </w:r>
      <w:r>
        <w:rPr>
          <w:rFonts w:hint="eastAsia"/>
          <w:kern w:val="0"/>
          <w:sz w:val="24"/>
        </w:rPr>
        <w:t>一年持有期</w:t>
      </w:r>
      <w:r>
        <w:rPr>
          <w:kern w:val="0"/>
          <w:sz w:val="24"/>
        </w:rPr>
        <w:t>混合型证券投资基金（以下简称</w:t>
      </w:r>
      <w:r>
        <w:rPr>
          <w:rFonts w:ascii="宋体" w:hAnsi="宋体"/>
          <w:kern w:val="0"/>
          <w:sz w:val="24"/>
        </w:rPr>
        <w:t>“本基金”</w:t>
      </w:r>
      <w:r>
        <w:rPr>
          <w:rFonts w:hAnsi="宋体"/>
          <w:kern w:val="0"/>
          <w:sz w:val="24"/>
        </w:rPr>
        <w:t>）经</w:t>
      </w:r>
      <w:r>
        <w:rPr>
          <w:kern w:val="0"/>
          <w:sz w:val="24"/>
        </w:rPr>
        <w:t>2020</w:t>
      </w:r>
      <w:r>
        <w:rPr>
          <w:rFonts w:hAnsi="宋体"/>
          <w:kern w:val="0"/>
          <w:sz w:val="24"/>
        </w:rPr>
        <w:t>年</w:t>
      </w:r>
      <w:r>
        <w:rPr>
          <w:rFonts w:hint="eastAsia" w:hAnsi="宋体"/>
          <w:kern w:val="0"/>
          <w:sz w:val="24"/>
        </w:rPr>
        <w:t>12</w:t>
      </w:r>
      <w:r>
        <w:rPr>
          <w:rFonts w:hAnsi="宋体"/>
          <w:kern w:val="0"/>
          <w:sz w:val="24"/>
        </w:rPr>
        <w:t>月</w:t>
      </w:r>
      <w:r>
        <w:rPr>
          <w:rFonts w:hint="eastAsia" w:hAnsi="宋体"/>
          <w:kern w:val="0"/>
          <w:sz w:val="24"/>
        </w:rPr>
        <w:t>14</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2020</w:t>
      </w:r>
      <w:r>
        <w:rPr>
          <w:rFonts w:hAnsi="宋体"/>
          <w:kern w:val="0"/>
          <w:sz w:val="24"/>
        </w:rPr>
        <w:t>】</w:t>
      </w:r>
      <w:r>
        <w:rPr>
          <w:rFonts w:hint="eastAsia" w:hAnsi="宋体"/>
          <w:kern w:val="0"/>
          <w:sz w:val="24"/>
        </w:rPr>
        <w:t>3454</w:t>
      </w:r>
      <w:r>
        <w:rPr>
          <w:rFonts w:hAnsi="宋体"/>
          <w:kern w:val="0"/>
          <w:sz w:val="24"/>
        </w:rPr>
        <w:t>号文</w:t>
      </w:r>
      <w:r>
        <w:rPr>
          <w:rFonts w:hint="eastAsia" w:hAnsi="宋体"/>
          <w:kern w:val="0"/>
          <w:sz w:val="24"/>
        </w:rPr>
        <w:t>准予</w:t>
      </w:r>
      <w:r>
        <w:rPr>
          <w:rFonts w:hAnsi="宋体"/>
          <w:kern w:val="0"/>
          <w:sz w:val="24"/>
        </w:rPr>
        <w:t>募集</w:t>
      </w:r>
      <w:r>
        <w:rPr>
          <w:rFonts w:hint="eastAsia" w:hAnsi="宋体"/>
          <w:kern w:val="0"/>
          <w:sz w:val="24"/>
        </w:rPr>
        <w:t>注册</w:t>
      </w:r>
      <w:r>
        <w:rPr>
          <w:rFonts w:hAnsi="宋体"/>
          <w:kern w:val="0"/>
          <w:sz w:val="24"/>
        </w:rPr>
        <w:t>。</w:t>
      </w:r>
    </w:p>
    <w:p>
      <w:pPr>
        <w:widowControl/>
        <w:adjustRightInd w:val="0"/>
        <w:snapToGrid w:val="0"/>
        <w:spacing w:line="360" w:lineRule="auto"/>
        <w:ind w:firstLine="480" w:firstLineChars="20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pPr>
        <w:widowControl/>
        <w:adjustRightInd w:val="0"/>
        <w:snapToGrid w:val="0"/>
        <w:spacing w:line="360" w:lineRule="auto"/>
        <w:ind w:firstLine="480" w:firstLineChars="20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pPr>
        <w:widowControl/>
        <w:adjustRightInd w:val="0"/>
        <w:snapToGrid w:val="0"/>
        <w:spacing w:line="360" w:lineRule="auto"/>
        <w:ind w:firstLine="480" w:firstLineChars="20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hint="eastAsia" w:ascii="宋体" w:hAnsi="宋体"/>
          <w:kern w:val="0"/>
          <w:sz w:val="24"/>
        </w:rPr>
        <w:t>市场风险；基金管理人在基金管理运作过程中产生的基金管理风险；流动性风险（包括实施</w:t>
      </w:r>
      <w:r>
        <w:rPr>
          <w:rFonts w:ascii="宋体" w:hAnsi="宋体"/>
          <w:kern w:val="0"/>
          <w:sz w:val="24"/>
        </w:rPr>
        <w:t>侧袋机制时的特定风险）</w:t>
      </w:r>
      <w:r>
        <w:rPr>
          <w:rFonts w:hint="eastAsia" w:ascii="宋体" w:hAnsi="宋体"/>
          <w:kern w:val="0"/>
          <w:sz w:val="24"/>
        </w:rPr>
        <w:t>；信用风险；投资股指期货的特定风险；投资资产支持证券的特定风险；投资流通受限证券的特定风险；投资存托凭证的特定风险；连续50个工作日出现基金份额持有人数量不满200人或基金资产净值低于5000万元情形时基金管理人依基金合同约定提前终止基金合同的风险；投资本基金的其他风险等等</w:t>
      </w:r>
      <w:r>
        <w:rPr>
          <w:kern w:val="0"/>
          <w:sz w:val="24"/>
        </w:rPr>
        <w:t>。</w:t>
      </w:r>
      <w:r>
        <w:rPr>
          <w:rFonts w:hint="eastAsia"/>
          <w:kern w:val="0"/>
          <w:sz w:val="24"/>
        </w:rPr>
        <w:t>本基金是一只混合型基金，其预期风险和预期收益高于债券型基金和货币市场基金，低于股票型基金。</w:t>
      </w:r>
    </w:p>
    <w:p>
      <w:pPr>
        <w:widowControl/>
        <w:adjustRightInd w:val="0"/>
        <w:snapToGrid w:val="0"/>
        <w:spacing w:line="360" w:lineRule="auto"/>
        <w:ind w:firstLine="480" w:firstLineChars="200"/>
        <w:rPr>
          <w:rFonts w:hAnsi="宋体"/>
          <w:sz w:val="24"/>
        </w:rPr>
      </w:pPr>
      <w:r>
        <w:rPr>
          <w:rFonts w:hint="eastAsia"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rFonts w:hAnsi="宋体"/>
          <w:sz w:val="24"/>
        </w:rPr>
      </w:pPr>
      <w:r>
        <w:rPr>
          <w:rFonts w:hint="eastAsia"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sz w:val="24"/>
        </w:rPr>
      </w:pPr>
      <w:r>
        <w:rPr>
          <w:rFonts w:hint="eastAsia"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sz w:val="24"/>
        </w:rPr>
      </w:pPr>
      <w:r>
        <w:rPr>
          <w:rFonts w:hint="eastAsia" w:hAnsi="宋体"/>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pPr>
        <w:widowControl/>
        <w:adjustRightInd w:val="0"/>
        <w:snapToGrid w:val="0"/>
        <w:spacing w:line="360" w:lineRule="auto"/>
        <w:ind w:firstLine="480" w:firstLineChars="200"/>
        <w:rPr>
          <w:rFonts w:hAnsi="宋体"/>
          <w:sz w:val="24"/>
        </w:rPr>
      </w:pPr>
      <w:r>
        <w:rPr>
          <w:rFonts w:hint="eastAsia" w:hAnsi="宋体"/>
          <w:sz w:val="24"/>
        </w:rPr>
        <w:t>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bCs/>
          <w:sz w:val="24"/>
        </w:rPr>
      </w:pPr>
      <w:r>
        <w:rPr>
          <w:rFonts w:hint="eastAsia" w:hAnsi="宋体"/>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hAnsi="宋体"/>
          <w:bCs/>
          <w:sz w:val="24"/>
        </w:rPr>
        <w:t>“</w:t>
      </w:r>
      <w:r>
        <w:rPr>
          <w:rFonts w:hint="eastAsia" w:hAnsi="宋体"/>
          <w:bCs/>
          <w:sz w:val="24"/>
        </w:rPr>
        <w:t>风险揭示</w:t>
      </w:r>
      <w:r>
        <w:rPr>
          <w:rFonts w:hAnsi="宋体"/>
          <w:bCs/>
          <w:sz w:val="24"/>
        </w:rPr>
        <w:t>”</w:t>
      </w:r>
      <w:r>
        <w:rPr>
          <w:rFonts w:hint="eastAsia" w:hAnsi="宋体"/>
          <w:bCs/>
          <w:sz w:val="24"/>
        </w:rPr>
        <w:t>章节内容。</w:t>
      </w:r>
    </w:p>
    <w:p>
      <w:pPr>
        <w:widowControl/>
        <w:adjustRightInd w:val="0"/>
        <w:snapToGrid w:val="0"/>
        <w:spacing w:line="360" w:lineRule="auto"/>
        <w:ind w:firstLine="480" w:firstLineChars="200"/>
        <w:rPr>
          <w:rFonts w:hAnsi="宋体"/>
          <w:sz w:val="24"/>
        </w:rPr>
      </w:pPr>
      <w:r>
        <w:rPr>
          <w:rFonts w:hint="eastAsia" w:hAnsi="宋体"/>
          <w:bCs/>
          <w:sz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rFonts w:hAnsi="宋体"/>
          <w:sz w:val="24"/>
        </w:rPr>
      </w:pPr>
      <w:r>
        <w:rPr>
          <w:rFonts w:hint="eastAsia" w:hAnsi="宋体"/>
          <w:sz w:val="24"/>
        </w:rPr>
        <w:t>本基金每份基金份额的最短持有期限为一年，</w:t>
      </w:r>
      <w:r>
        <w:rPr>
          <w:rFonts w:hint="eastAsia"/>
          <w:bCs/>
          <w:sz w:val="24"/>
        </w:rPr>
        <w:t>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r>
        <w:rPr>
          <w:rFonts w:hint="eastAsia" w:hAnsi="宋体"/>
          <w:sz w:val="24"/>
        </w:rPr>
        <w:t>。因此，对于基金份额持有人而言，存在投资本基金后一年内无法赎回的风险。</w:t>
      </w:r>
    </w:p>
    <w:p>
      <w:pPr>
        <w:widowControl/>
        <w:adjustRightInd w:val="0"/>
        <w:snapToGrid w:val="0"/>
        <w:spacing w:line="360" w:lineRule="auto"/>
        <w:ind w:firstLine="480" w:firstLineChars="200"/>
        <w:rPr>
          <w:kern w:val="0"/>
          <w:sz w:val="24"/>
        </w:rPr>
      </w:pPr>
      <w:r>
        <w:rPr>
          <w:kern w:val="0"/>
          <w:sz w:val="24"/>
        </w:rPr>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本基金单一投资者持有基金份额数不得超过基金份额总数的50%，但在基金运作过程中因基金份额赎回等情形导致被动超过前述50%比例的除外。</w:t>
      </w:r>
    </w:p>
    <w:p>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t>目  录</w:t>
      </w:r>
    </w:p>
    <w:p>
      <w:pPr>
        <w:pStyle w:val="22"/>
        <w:adjustRightInd w:val="0"/>
        <w:snapToGrid w:val="0"/>
        <w:rPr>
          <w:rStyle w:val="31"/>
          <w:rFonts w:ascii="宋体"/>
          <w:b/>
          <w:kern w:val="0"/>
        </w:rPr>
      </w:pPr>
      <w:bookmarkStart w:id="0" w:name="_Toc109537379"/>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r>
        <w:fldChar w:fldCharType="begin"/>
      </w:r>
      <w:r>
        <w:instrText xml:space="preserve"> HYPERLINK \l "_Toc48122002" </w:instrText>
      </w:r>
      <w:r>
        <w:fldChar w:fldCharType="separate"/>
      </w:r>
      <w:r>
        <w:rPr>
          <w:rStyle w:val="31"/>
          <w:rFonts w:ascii="宋体"/>
          <w:b/>
          <w:kern w:val="0"/>
        </w:rPr>
        <w:t>一、绪言</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_Toc48122002 \h </w:instrText>
      </w:r>
      <w:r>
        <w:rPr>
          <w:rStyle w:val="31"/>
          <w:rFonts w:ascii="宋体"/>
          <w:b/>
          <w:kern w:val="0"/>
        </w:rPr>
        <w:fldChar w:fldCharType="separate"/>
      </w:r>
      <w:r>
        <w:rPr>
          <w:rStyle w:val="31"/>
          <w:rFonts w:ascii="宋体"/>
          <w:b/>
          <w:kern w:val="0"/>
        </w:rPr>
        <w:t>6</w:t>
      </w:r>
      <w:r>
        <w:rPr>
          <w:rStyle w:val="31"/>
          <w:rFonts w:ascii="宋体"/>
          <w:b/>
          <w:kern w:val="0"/>
        </w:rPr>
        <w:fldChar w:fldCharType="end"/>
      </w:r>
      <w:r>
        <w:rPr>
          <w:rStyle w:val="31"/>
          <w:rFonts w:ascii="宋体"/>
          <w:b/>
          <w:kern w:val="0"/>
        </w:rPr>
        <w:fldChar w:fldCharType="end"/>
      </w:r>
    </w:p>
    <w:p>
      <w:pPr>
        <w:pStyle w:val="22"/>
        <w:adjustRightInd w:val="0"/>
        <w:snapToGrid w:val="0"/>
        <w:rPr>
          <w:rStyle w:val="31"/>
          <w:rFonts w:ascii="宋体"/>
          <w:b/>
          <w:kern w:val="0"/>
        </w:rPr>
      </w:pPr>
      <w:r>
        <w:fldChar w:fldCharType="begin"/>
      </w:r>
      <w:r>
        <w:instrText xml:space="preserve"> HYPERLINK \l "_Toc48122003" </w:instrText>
      </w:r>
      <w:r>
        <w:fldChar w:fldCharType="separate"/>
      </w:r>
      <w:r>
        <w:rPr>
          <w:rStyle w:val="31"/>
          <w:rFonts w:ascii="宋体"/>
          <w:b/>
          <w:kern w:val="0"/>
        </w:rPr>
        <w:t>二、释义</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_Toc48122003 \h </w:instrText>
      </w:r>
      <w:r>
        <w:rPr>
          <w:rStyle w:val="31"/>
          <w:rFonts w:ascii="宋体"/>
          <w:b/>
          <w:kern w:val="0"/>
        </w:rPr>
        <w:fldChar w:fldCharType="separate"/>
      </w:r>
      <w:r>
        <w:rPr>
          <w:rStyle w:val="31"/>
          <w:rFonts w:ascii="宋体"/>
          <w:b/>
          <w:kern w:val="0"/>
        </w:rPr>
        <w:t>7</w:t>
      </w:r>
      <w:r>
        <w:rPr>
          <w:rStyle w:val="31"/>
          <w:rFonts w:ascii="宋体"/>
          <w:b/>
          <w:kern w:val="0"/>
        </w:rPr>
        <w:fldChar w:fldCharType="end"/>
      </w:r>
      <w:r>
        <w:rPr>
          <w:rStyle w:val="31"/>
          <w:rFonts w:ascii="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"_Toc48122004" </w:instrText>
      </w:r>
      <w:r>
        <w:fldChar w:fldCharType="separate"/>
      </w:r>
      <w:r>
        <w:rPr>
          <w:rStyle w:val="31"/>
          <w:rFonts w:ascii="宋体"/>
          <w:b/>
          <w:kern w:val="0"/>
        </w:rPr>
        <w:t>三、基金管理人</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_Toc48122004 \h </w:instrText>
      </w:r>
      <w:r>
        <w:rPr>
          <w:rStyle w:val="31"/>
          <w:rFonts w:ascii="宋体"/>
          <w:b/>
          <w:kern w:val="0"/>
        </w:rPr>
        <w:fldChar w:fldCharType="separate"/>
      </w:r>
      <w:r>
        <w:rPr>
          <w:rStyle w:val="31"/>
          <w:rFonts w:ascii="宋体"/>
          <w:b/>
          <w:kern w:val="0"/>
        </w:rPr>
        <w:t>12</w:t>
      </w:r>
      <w:r>
        <w:rPr>
          <w:rStyle w:val="31"/>
          <w:rFonts w:ascii="宋体"/>
          <w:b/>
          <w:kern w:val="0"/>
        </w:rPr>
        <w:fldChar w:fldCharType="end"/>
      </w:r>
      <w:r>
        <w:rPr>
          <w:rStyle w:val="31"/>
          <w:rFonts w:ascii="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"_Toc48122005" </w:instrText>
      </w:r>
      <w:r>
        <w:fldChar w:fldCharType="separate"/>
      </w:r>
      <w:r>
        <w:rPr>
          <w:rStyle w:val="31"/>
          <w:rFonts w:ascii="宋体"/>
          <w:b/>
          <w:kern w:val="0"/>
        </w:rPr>
        <w:t>四、基金托管人</w:t>
      </w:r>
      <w:r>
        <w:tab/>
      </w:r>
      <w:r>
        <w:fldChar w:fldCharType="begin"/>
      </w:r>
      <w:r>
        <w:instrText xml:space="preserve"> PAGEREF _Toc48122005 \h </w:instrText>
      </w:r>
      <w:r>
        <w:fldChar w:fldCharType="separate"/>
      </w:r>
      <w:r>
        <w:t>20</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"_Toc48122006" </w:instrText>
      </w:r>
      <w:r>
        <w:fldChar w:fldCharType="separate"/>
      </w:r>
      <w:r>
        <w:rPr>
          <w:rStyle w:val="31"/>
          <w:rFonts w:ascii="宋体"/>
          <w:b/>
          <w:kern w:val="0"/>
        </w:rPr>
        <w:t>五、相关服务机构</w:t>
      </w:r>
      <w:r>
        <w:tab/>
      </w:r>
      <w:r>
        <w:fldChar w:fldCharType="begin"/>
      </w:r>
      <w:r>
        <w:instrText xml:space="preserve"> PAGEREF _Toc48122006 \h </w:instrText>
      </w:r>
      <w:r>
        <w:fldChar w:fldCharType="separate"/>
      </w:r>
      <w:r>
        <w:t>29</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"_Toc48122007" </w:instrText>
      </w:r>
      <w:r>
        <w:fldChar w:fldCharType="separate"/>
      </w:r>
      <w:r>
        <w:rPr>
          <w:rStyle w:val="31"/>
          <w:rFonts w:ascii="宋体"/>
          <w:b/>
          <w:kern w:val="0"/>
        </w:rPr>
        <w:t>六、基金的募集</w:t>
      </w:r>
      <w:r>
        <w:tab/>
      </w:r>
      <w:r>
        <w:fldChar w:fldCharType="begin"/>
      </w:r>
      <w:r>
        <w:instrText xml:space="preserve"> PAGEREF _Toc48122007 \h </w:instrText>
      </w:r>
      <w:r>
        <w:fldChar w:fldCharType="separate"/>
      </w:r>
      <w:r>
        <w:t>32</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"_Toc48122008" </w:instrText>
      </w:r>
      <w:r>
        <w:fldChar w:fldCharType="separate"/>
      </w:r>
      <w:r>
        <w:rPr>
          <w:rStyle w:val="31"/>
          <w:rFonts w:ascii="宋体"/>
          <w:b/>
          <w:kern w:val="0"/>
        </w:rPr>
        <w:t>七、基金合同的生效</w:t>
      </w:r>
      <w:r>
        <w:tab/>
      </w:r>
      <w:r>
        <w:fldChar w:fldCharType="begin"/>
      </w:r>
      <w:r>
        <w:instrText xml:space="preserve"> PAGEREF _Toc48122008 \h </w:instrText>
      </w:r>
      <w:r>
        <w:fldChar w:fldCharType="separate"/>
      </w:r>
      <w:r>
        <w:t>38</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"_Toc48122009" </w:instrText>
      </w:r>
      <w:r>
        <w:fldChar w:fldCharType="separate"/>
      </w:r>
      <w:r>
        <w:rPr>
          <w:rStyle w:val="31"/>
          <w:rFonts w:ascii="宋体"/>
          <w:b/>
          <w:kern w:val="0"/>
        </w:rPr>
        <w:t>八、基金份额的申购与赎回</w:t>
      </w:r>
      <w:r>
        <w:tab/>
      </w:r>
      <w:r>
        <w:fldChar w:fldCharType="begin"/>
      </w:r>
      <w:r>
        <w:instrText xml:space="preserve"> PAGEREF _Toc48122009 \h </w:instrText>
      </w:r>
      <w:r>
        <w:fldChar w:fldCharType="separate"/>
      </w:r>
      <w:r>
        <w:t>39</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"_Toc48122010" </w:instrText>
      </w:r>
      <w:r>
        <w:fldChar w:fldCharType="separate"/>
      </w:r>
      <w:r>
        <w:rPr>
          <w:rStyle w:val="31"/>
          <w:rFonts w:ascii="宋体"/>
          <w:b/>
          <w:kern w:val="0"/>
        </w:rPr>
        <w:t>九、基金的投资</w:t>
      </w:r>
      <w:r>
        <w:tab/>
      </w:r>
      <w:r>
        <w:fldChar w:fldCharType="begin"/>
      </w:r>
      <w:r>
        <w:instrText xml:space="preserve"> PAGEREF _Toc48122010 \h </w:instrText>
      </w:r>
      <w:r>
        <w:fldChar w:fldCharType="separate"/>
      </w:r>
      <w:r>
        <w:t>52</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"_Toc48122011" </w:instrText>
      </w:r>
      <w:r>
        <w:fldChar w:fldCharType="separate"/>
      </w:r>
      <w:r>
        <w:rPr>
          <w:rStyle w:val="31"/>
          <w:rFonts w:ascii="宋体"/>
          <w:b/>
          <w:kern w:val="0"/>
        </w:rPr>
        <w:t>十、基金的财产</w:t>
      </w:r>
      <w:r>
        <w:tab/>
      </w:r>
      <w:r>
        <w:fldChar w:fldCharType="begin"/>
      </w:r>
      <w:r>
        <w:instrText xml:space="preserve"> PAGEREF _Toc48122011 \h </w:instrText>
      </w:r>
      <w:r>
        <w:fldChar w:fldCharType="separate"/>
      </w:r>
      <w:r>
        <w:t>62</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"_Toc48122012" </w:instrText>
      </w:r>
      <w:r>
        <w:fldChar w:fldCharType="separate"/>
      </w:r>
      <w:r>
        <w:rPr>
          <w:rStyle w:val="31"/>
          <w:rFonts w:ascii="宋体"/>
          <w:b/>
          <w:kern w:val="0"/>
        </w:rPr>
        <w:t>十一、基金资产的估值</w:t>
      </w:r>
      <w:r>
        <w:tab/>
      </w:r>
      <w:r>
        <w:fldChar w:fldCharType="begin"/>
      </w:r>
      <w:r>
        <w:instrText xml:space="preserve"> PAGEREF _Toc48122012 \h </w:instrText>
      </w:r>
      <w:r>
        <w:fldChar w:fldCharType="separate"/>
      </w:r>
      <w:r>
        <w:t>63</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"_Toc48122013" </w:instrText>
      </w:r>
      <w:r>
        <w:fldChar w:fldCharType="separate"/>
      </w:r>
      <w:r>
        <w:rPr>
          <w:rStyle w:val="31"/>
          <w:rFonts w:ascii="宋体"/>
          <w:b/>
          <w:kern w:val="0"/>
        </w:rPr>
        <w:t>十二、基金收益与分配</w:t>
      </w:r>
      <w:r>
        <w:tab/>
      </w:r>
      <w:r>
        <w:fldChar w:fldCharType="begin"/>
      </w:r>
      <w:r>
        <w:instrText xml:space="preserve"> PAGEREF _Toc48122013 \h </w:instrText>
      </w:r>
      <w:r>
        <w:fldChar w:fldCharType="separate"/>
      </w:r>
      <w:r>
        <w:t>70</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"_Toc48122014" </w:instrText>
      </w:r>
      <w:r>
        <w:fldChar w:fldCharType="separate"/>
      </w:r>
      <w:r>
        <w:rPr>
          <w:rStyle w:val="31"/>
          <w:rFonts w:ascii="宋体"/>
          <w:b/>
          <w:kern w:val="0"/>
        </w:rPr>
        <w:t>十三、基金的费用与税收</w:t>
      </w:r>
      <w:r>
        <w:tab/>
      </w:r>
      <w:r>
        <w:fldChar w:fldCharType="begin"/>
      </w:r>
      <w:r>
        <w:instrText xml:space="preserve"> PAGEREF _Toc48122014 \h </w:instrText>
      </w:r>
      <w:r>
        <w:fldChar w:fldCharType="separate"/>
      </w:r>
      <w:r>
        <w:t>72</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"_Toc48122015" </w:instrText>
      </w:r>
      <w:r>
        <w:fldChar w:fldCharType="separate"/>
      </w:r>
      <w:r>
        <w:rPr>
          <w:rStyle w:val="31"/>
          <w:rFonts w:ascii="宋体"/>
          <w:b/>
          <w:kern w:val="0"/>
        </w:rPr>
        <w:t>十四、基金的会计与审计</w:t>
      </w:r>
      <w:r>
        <w:tab/>
      </w:r>
      <w:r>
        <w:fldChar w:fldCharType="begin"/>
      </w:r>
      <w:r>
        <w:instrText xml:space="preserve"> PAGEREF _Toc48122015 \h </w:instrText>
      </w:r>
      <w:r>
        <w:fldChar w:fldCharType="separate"/>
      </w:r>
      <w:r>
        <w:t>75</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"_Toc48122016" </w:instrText>
      </w:r>
      <w:r>
        <w:fldChar w:fldCharType="separate"/>
      </w:r>
      <w:r>
        <w:rPr>
          <w:rStyle w:val="31"/>
          <w:rFonts w:ascii="宋体"/>
          <w:b/>
          <w:kern w:val="0"/>
        </w:rPr>
        <w:t>十五、基金的信息披露</w:t>
      </w:r>
      <w:r>
        <w:tab/>
      </w:r>
      <w:r>
        <w:fldChar w:fldCharType="begin"/>
      </w:r>
      <w:r>
        <w:instrText xml:space="preserve"> PAGEREF _Toc48122016 \h </w:instrText>
      </w:r>
      <w:r>
        <w:fldChar w:fldCharType="separate"/>
      </w:r>
      <w:r>
        <w:t>76</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"_Toc48122017" </w:instrText>
      </w:r>
      <w:r>
        <w:fldChar w:fldCharType="separate"/>
      </w:r>
      <w:r>
        <w:rPr>
          <w:rStyle w:val="31"/>
          <w:rFonts w:ascii="宋体"/>
          <w:b/>
          <w:kern w:val="0"/>
        </w:rPr>
        <w:t>十六、侧袋机制</w:t>
      </w:r>
      <w:r>
        <w:tab/>
      </w:r>
      <w:r>
        <w:fldChar w:fldCharType="begin"/>
      </w:r>
      <w:r>
        <w:instrText xml:space="preserve"> PAGEREF _Toc48122017 \h </w:instrText>
      </w:r>
      <w:r>
        <w:fldChar w:fldCharType="separate"/>
      </w:r>
      <w:r>
        <w:t>83</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"_Toc48122018" </w:instrText>
      </w:r>
      <w:r>
        <w:fldChar w:fldCharType="separate"/>
      </w:r>
      <w:r>
        <w:rPr>
          <w:rStyle w:val="31"/>
          <w:rFonts w:ascii="宋体"/>
          <w:b/>
          <w:kern w:val="0"/>
        </w:rPr>
        <w:t>十七、风险揭示</w:t>
      </w:r>
      <w:r>
        <w:tab/>
      </w:r>
      <w:r>
        <w:fldChar w:fldCharType="begin"/>
      </w:r>
      <w:r>
        <w:instrText xml:space="preserve"> PAGEREF _Toc48122018 \h </w:instrText>
      </w:r>
      <w:r>
        <w:fldChar w:fldCharType="separate"/>
      </w:r>
      <w:r>
        <w:t>86</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"_Toc48122019" </w:instrText>
      </w:r>
      <w:r>
        <w:fldChar w:fldCharType="separate"/>
      </w:r>
      <w:r>
        <w:rPr>
          <w:rStyle w:val="31"/>
          <w:b/>
          <w:kern w:val="0"/>
        </w:rPr>
        <w:t>十八、基金合同的变更、终止与基金财产的清算</w:t>
      </w:r>
      <w:r>
        <w:tab/>
      </w:r>
      <w:r>
        <w:fldChar w:fldCharType="begin"/>
      </w:r>
      <w:r>
        <w:instrText xml:space="preserve"> PAGEREF _Toc48122019 \h </w:instrText>
      </w:r>
      <w:r>
        <w:fldChar w:fldCharType="separate"/>
      </w:r>
      <w:r>
        <w:t>96</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"_Toc48122020" </w:instrText>
      </w:r>
      <w:r>
        <w:fldChar w:fldCharType="separate"/>
      </w:r>
      <w:r>
        <w:rPr>
          <w:rStyle w:val="31"/>
          <w:rFonts w:ascii="宋体"/>
          <w:b/>
          <w:kern w:val="0"/>
        </w:rPr>
        <w:t>十九、基金合同内容摘要</w:t>
      </w:r>
      <w:r>
        <w:tab/>
      </w:r>
      <w:r>
        <w:fldChar w:fldCharType="begin"/>
      </w:r>
      <w:r>
        <w:instrText xml:space="preserve"> PAGEREF _Toc48122020 \h </w:instrText>
      </w:r>
      <w:r>
        <w:fldChar w:fldCharType="separate"/>
      </w:r>
      <w:r>
        <w:t>98</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"_Toc48122021" </w:instrText>
      </w:r>
      <w:r>
        <w:fldChar w:fldCharType="separate"/>
      </w:r>
      <w:r>
        <w:rPr>
          <w:rStyle w:val="31"/>
          <w:rFonts w:ascii="宋体"/>
          <w:b/>
          <w:kern w:val="0"/>
        </w:rPr>
        <w:t>二十、托管协议的内容摘要</w:t>
      </w:r>
      <w:r>
        <w:tab/>
      </w:r>
      <w:r>
        <w:fldChar w:fldCharType="begin"/>
      </w:r>
      <w:r>
        <w:instrText xml:space="preserve"> PAGEREF _Toc48122021 \h </w:instrText>
      </w:r>
      <w:r>
        <w:fldChar w:fldCharType="separate"/>
      </w:r>
      <w:r>
        <w:t>116</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"_Toc48122022" </w:instrText>
      </w:r>
      <w:r>
        <w:fldChar w:fldCharType="separate"/>
      </w:r>
      <w:r>
        <w:rPr>
          <w:rStyle w:val="31"/>
          <w:rFonts w:ascii="宋体"/>
          <w:b/>
          <w:kern w:val="0"/>
        </w:rPr>
        <w:t>二十一、对基金份额持有人的服务</w:t>
      </w:r>
      <w:r>
        <w:tab/>
      </w:r>
      <w:r>
        <w:fldChar w:fldCharType="begin"/>
      </w:r>
      <w:r>
        <w:instrText xml:space="preserve"> PAGEREF _Toc48122022 \h </w:instrText>
      </w:r>
      <w:r>
        <w:fldChar w:fldCharType="separate"/>
      </w:r>
      <w:r>
        <w:t>136</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"_Toc48122023" </w:instrText>
      </w:r>
      <w:r>
        <w:fldChar w:fldCharType="separate"/>
      </w:r>
      <w:r>
        <w:rPr>
          <w:rStyle w:val="31"/>
          <w:rFonts w:ascii="宋体"/>
          <w:b/>
          <w:kern w:val="0"/>
        </w:rPr>
        <w:t>二十二、其他应披露事项</w:t>
      </w:r>
      <w:r>
        <w:tab/>
      </w:r>
      <w:r>
        <w:fldChar w:fldCharType="begin"/>
      </w:r>
      <w:r>
        <w:instrText xml:space="preserve"> PAGEREF _Toc48122023 \h </w:instrText>
      </w:r>
      <w:r>
        <w:fldChar w:fldCharType="separate"/>
      </w:r>
      <w:r>
        <w:t>138</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"_Toc48122024" </w:instrText>
      </w:r>
      <w:r>
        <w:fldChar w:fldCharType="separate"/>
      </w:r>
      <w:r>
        <w:rPr>
          <w:rStyle w:val="31"/>
          <w:rFonts w:ascii="宋体"/>
          <w:b/>
          <w:kern w:val="0"/>
        </w:rPr>
        <w:t>二十三、招募说明书的存放及查阅方式</w:t>
      </w:r>
      <w:r>
        <w:tab/>
      </w:r>
      <w:r>
        <w:fldChar w:fldCharType="begin"/>
      </w:r>
      <w:r>
        <w:instrText xml:space="preserve"> PAGEREF _Toc48122024 \h </w:instrText>
      </w:r>
      <w:r>
        <w:fldChar w:fldCharType="separate"/>
      </w:r>
      <w:r>
        <w:t>139</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"_Toc48122025" </w:instrText>
      </w:r>
      <w:r>
        <w:fldChar w:fldCharType="separate"/>
      </w:r>
      <w:r>
        <w:rPr>
          <w:rStyle w:val="31"/>
          <w:rFonts w:ascii="宋体"/>
          <w:b/>
          <w:kern w:val="0"/>
        </w:rPr>
        <w:t>二十四、备查文件</w:t>
      </w:r>
      <w:r>
        <w:tab/>
      </w:r>
      <w:r>
        <w:fldChar w:fldCharType="begin"/>
      </w:r>
      <w:r>
        <w:instrText xml:space="preserve"> PAGEREF _Toc48122025 \h </w:instrText>
      </w:r>
      <w:r>
        <w:fldChar w:fldCharType="separate"/>
      </w:r>
      <w:r>
        <w:t>140</w:t>
      </w:r>
      <w:r>
        <w:fldChar w:fldCharType="end"/>
      </w:r>
      <w:r>
        <w:fldChar w:fldCharType="end"/>
      </w:r>
    </w:p>
    <w:p>
      <w:pPr>
        <w:adjustRightInd w:val="0"/>
        <w:snapToGrid w:val="0"/>
      </w:pPr>
      <w:r>
        <w:fldChar w:fldCharType="end"/>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 w:name="_Toc48122002"/>
      <w:r>
        <w:rPr>
          <w:rFonts w:hint="eastAsia" w:ascii="宋体" w:hAnsi="宋体"/>
          <w:b/>
          <w:kern w:val="0"/>
          <w:sz w:val="30"/>
        </w:rPr>
        <w:t>一、绪言</w:t>
      </w:r>
      <w:bookmarkEnd w:id="0"/>
      <w:bookmarkEnd w:id="1"/>
    </w:p>
    <w:p>
      <w:pPr>
        <w:widowControl/>
        <w:adjustRightInd w:val="0"/>
        <w:snapToGrid w:val="0"/>
        <w:spacing w:line="360" w:lineRule="auto"/>
        <w:ind w:firstLine="480" w:firstLineChars="200"/>
        <w:rPr>
          <w:kern w:val="0"/>
          <w:sz w:val="24"/>
        </w:rPr>
      </w:pPr>
      <w:r>
        <w:rPr>
          <w:rFonts w:ascii="宋体" w:hAnsi="宋体"/>
          <w:kern w:val="0"/>
          <w:sz w:val="24"/>
        </w:rPr>
        <w:t>《交银施罗德成长动力</w:t>
      </w:r>
      <w:r>
        <w:rPr>
          <w:rFonts w:hint="eastAsia"/>
          <w:bCs/>
          <w:sz w:val="24"/>
        </w:rPr>
        <w:t>一年持有期</w:t>
      </w:r>
      <w:r>
        <w:rPr>
          <w:rFonts w:ascii="宋体" w:hAnsi="宋体"/>
          <w:kern w:val="0"/>
          <w:sz w:val="24"/>
        </w:rPr>
        <w:t>混合型证券投资基金招募说明书》（以下简称“本招募说明书”）依据《中华人民共和国证券投资基金法》</w:t>
      </w:r>
      <w:r>
        <w:rPr>
          <w:rFonts w:hint="eastAsia" w:ascii="宋体" w:hAnsi="宋体"/>
          <w:kern w:val="0"/>
          <w:sz w:val="24"/>
        </w:rPr>
        <w:t>（以下简称“《基金法》”）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证券投资基金运作管理办法》</w:t>
      </w:r>
      <w:r>
        <w:rPr>
          <w:rFonts w:hint="eastAsia" w:ascii="宋体" w:hAnsi="宋体"/>
          <w:kern w:val="0"/>
          <w:sz w:val="24"/>
        </w:rPr>
        <w:t>（以下简称“《运作办法》”）</w:t>
      </w:r>
      <w:r>
        <w:rPr>
          <w:rFonts w:ascii="宋体" w:hAnsi="宋体"/>
          <w:kern w:val="0"/>
          <w:sz w:val="24"/>
        </w:rPr>
        <w:t>、《公开募集证券投资基金销售机构监督管理办法》</w:t>
      </w:r>
      <w:r>
        <w:rPr>
          <w:rFonts w:hint="eastAsia" w:ascii="宋体" w:hAnsi="宋体"/>
          <w:kern w:val="0"/>
          <w:sz w:val="24"/>
        </w:rPr>
        <w:t>（以下简称“《销售办法》”）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证券投资基金信息披露管理办法》</w:t>
      </w:r>
      <w:r>
        <w:rPr>
          <w:rFonts w:hint="eastAsia" w:ascii="宋体" w:hAnsi="宋体"/>
          <w:kern w:val="0"/>
          <w:sz w:val="24"/>
        </w:rPr>
        <w:t>（以下简称“《信息披露办法》”）、《公开募集开放式证券投资基金流动性风险管理规定》（以下简称“《流动性</w:t>
      </w:r>
      <w:r>
        <w:rPr>
          <w:rFonts w:hint="eastAsia" w:hAnsi="宋体"/>
          <w:kern w:val="0"/>
          <w:sz w:val="24"/>
        </w:rPr>
        <w:t>风险管理</w:t>
      </w:r>
      <w:r>
        <w:rPr>
          <w:rFonts w:hint="eastAsia" w:ascii="宋体" w:hAnsi="宋体"/>
          <w:kern w:val="0"/>
          <w:sz w:val="24"/>
        </w:rPr>
        <w:t>规定》”）</w:t>
      </w:r>
      <w:r>
        <w:rPr>
          <w:rFonts w:ascii="宋体" w:hAnsi="宋体"/>
          <w:kern w:val="0"/>
          <w:sz w:val="24"/>
        </w:rPr>
        <w:t>和其他相关法律法规的规定以及《交银施罗德成长动力</w:t>
      </w:r>
      <w:r>
        <w:rPr>
          <w:rFonts w:hint="eastAsia"/>
          <w:bCs/>
          <w:sz w:val="24"/>
        </w:rPr>
        <w:t>一年持有期</w:t>
      </w:r>
      <w:r>
        <w:rPr>
          <w:rFonts w:ascii="宋体" w:hAnsi="宋体"/>
          <w:kern w:val="0"/>
          <w:sz w:val="24"/>
        </w:rPr>
        <w:t>混合型证券投资基金基金合同》（以下简称“基金合同”）</w:t>
      </w:r>
      <w:r>
        <w:rPr>
          <w:rFonts w:hAnsi="宋体"/>
          <w:kern w:val="0"/>
          <w:sz w:val="24"/>
        </w:rPr>
        <w:t>编写。</w:t>
      </w:r>
    </w:p>
    <w:p>
      <w:pPr>
        <w:widowControl/>
        <w:adjustRightInd w:val="0"/>
        <w:snapToGrid w:val="0"/>
        <w:spacing w:line="360" w:lineRule="auto"/>
        <w:ind w:firstLine="480" w:firstLineChars="20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ascii="宋体" w:hAnsi="宋体"/>
          <w:kern w:val="0"/>
          <w:sz w:val="24"/>
        </w:rPr>
        <w:t>，</w:t>
      </w:r>
      <w:r>
        <w:rPr>
          <w:rFonts w:hAnsi="宋体"/>
          <w:kern w:val="0"/>
          <w:sz w:val="24"/>
        </w:rPr>
        <w:t>或对本招募说明书作任何解释或者说明。</w:t>
      </w:r>
    </w:p>
    <w:p>
      <w:pPr>
        <w:widowControl/>
        <w:adjustRightInd w:val="0"/>
        <w:snapToGrid w:val="0"/>
        <w:spacing w:line="360" w:lineRule="auto"/>
        <w:ind w:firstLine="480" w:firstLineChars="200"/>
        <w:rPr>
          <w:rFonts w:ascii="宋体" w:hAnsi="宋体"/>
          <w:b/>
          <w:kern w:val="0"/>
          <w:sz w:val="24"/>
        </w:rPr>
      </w:pPr>
      <w:r>
        <w:rPr>
          <w:rFonts w:hAnsi="宋体"/>
          <w:kern w:val="0"/>
          <w:sz w:val="24"/>
        </w:rPr>
        <w:t>本招募说明书根据本基金的基金合同编写，并经中国证监会</w:t>
      </w:r>
      <w:r>
        <w:rPr>
          <w:rFonts w:hint="eastAsia" w:hAnsi="宋体"/>
          <w:kern w:val="0"/>
          <w:sz w:val="24"/>
        </w:rPr>
        <w:t>注册</w:t>
      </w:r>
      <w:r>
        <w:rPr>
          <w:rFonts w:hAnsi="宋体"/>
          <w:kern w:val="0"/>
          <w:sz w:val="24"/>
        </w:rPr>
        <w:t>。基金合同是约定基金</w:t>
      </w:r>
      <w:r>
        <w:rPr>
          <w:rFonts w:hint="eastAsia" w:hAnsi="宋体"/>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widowControl/>
        <w:adjustRightInd w:val="0"/>
        <w:snapToGrid w:val="0"/>
        <w:spacing w:before="143" w:beforeLines="50" w:after="143" w:afterLines="50"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48122003"/>
      <w:r>
        <w:rPr>
          <w:rFonts w:hint="eastAsia" w:ascii="宋体" w:hAnsi="宋体"/>
          <w:b/>
          <w:kern w:val="0"/>
          <w:sz w:val="30"/>
        </w:rPr>
        <w:t>二、释义</w:t>
      </w:r>
      <w:bookmarkEnd w:id="2"/>
      <w:bookmarkEnd w:id="3"/>
    </w:p>
    <w:p>
      <w:pPr>
        <w:adjustRightInd w:val="0"/>
        <w:snapToGrid w:val="0"/>
        <w:spacing w:line="360" w:lineRule="auto"/>
        <w:ind w:firstLine="480" w:firstLineChars="200"/>
        <w:rPr>
          <w:spacing w:val="8"/>
          <w:sz w:val="24"/>
        </w:rPr>
      </w:pPr>
      <w:r>
        <w:rPr>
          <w:rFonts w:hAnsi="宋体"/>
          <w:sz w:val="24"/>
        </w:rPr>
        <w:t>在本招募说明书中，除非文意另有所指，下列词语或简称具有如下含义：</w:t>
      </w:r>
    </w:p>
    <w:p>
      <w:pPr>
        <w:adjustRightInd w:val="0"/>
        <w:snapToGrid w:val="0"/>
        <w:spacing w:line="360" w:lineRule="auto"/>
        <w:ind w:firstLine="480" w:firstLineChars="200"/>
        <w:rPr>
          <w:bCs/>
          <w:sz w:val="24"/>
        </w:rPr>
      </w:pPr>
      <w:bookmarkStart w:id="4" w:name="_Hlk49340113"/>
      <w:r>
        <w:rPr>
          <w:rFonts w:hint="eastAsia"/>
          <w:bCs/>
          <w:sz w:val="24"/>
        </w:rPr>
        <w:t>1、基金或本基金：指交银施罗德成长动力一年持有期混合型证券投资基金</w:t>
      </w:r>
    </w:p>
    <w:p>
      <w:pPr>
        <w:adjustRightInd w:val="0"/>
        <w:snapToGrid w:val="0"/>
        <w:spacing w:line="360" w:lineRule="auto"/>
        <w:ind w:firstLine="480" w:firstLineChars="200"/>
        <w:rPr>
          <w:bCs/>
          <w:sz w:val="24"/>
        </w:rPr>
      </w:pPr>
      <w:r>
        <w:rPr>
          <w:rFonts w:hint="eastAsia"/>
          <w:bCs/>
          <w:sz w:val="24"/>
        </w:rPr>
        <w:t>2、基金管理人：指交银施罗德基金管理有限公司</w:t>
      </w:r>
    </w:p>
    <w:p>
      <w:pPr>
        <w:adjustRightInd w:val="0"/>
        <w:snapToGrid w:val="0"/>
        <w:spacing w:line="360" w:lineRule="auto"/>
        <w:ind w:firstLine="480" w:firstLineChars="200"/>
        <w:rPr>
          <w:bCs/>
          <w:sz w:val="24"/>
        </w:rPr>
      </w:pPr>
      <w:r>
        <w:rPr>
          <w:rFonts w:hint="eastAsia"/>
          <w:bCs/>
          <w:sz w:val="24"/>
        </w:rPr>
        <w:t>3、基金托管人：指上海浦东发展银行股份有限公司</w:t>
      </w:r>
    </w:p>
    <w:p>
      <w:pPr>
        <w:adjustRightInd w:val="0"/>
        <w:snapToGrid w:val="0"/>
        <w:spacing w:line="360" w:lineRule="auto"/>
        <w:ind w:firstLine="480" w:firstLineChars="200"/>
        <w:rPr>
          <w:bCs/>
          <w:sz w:val="24"/>
        </w:rPr>
      </w:pPr>
      <w:r>
        <w:rPr>
          <w:rFonts w:hint="eastAsia"/>
          <w:bCs/>
          <w:sz w:val="24"/>
        </w:rPr>
        <w:t>4、基金合同：指《交银施罗德成长动力一年持有期混合型证券投资基金基金合同》及对基金合同的任何有效修订和补充</w:t>
      </w:r>
    </w:p>
    <w:p>
      <w:pPr>
        <w:adjustRightInd w:val="0"/>
        <w:snapToGrid w:val="0"/>
        <w:spacing w:line="360" w:lineRule="auto"/>
        <w:ind w:firstLine="480" w:firstLineChars="200"/>
        <w:rPr>
          <w:bCs/>
          <w:sz w:val="24"/>
        </w:rPr>
      </w:pPr>
      <w:r>
        <w:rPr>
          <w:rFonts w:hint="eastAsia"/>
          <w:bCs/>
          <w:sz w:val="24"/>
        </w:rPr>
        <w:t>5、托管协议：指基金管理人与基金托管人就本基金签订之《交银施罗德成长动力一年持有期混合型证券投资基金托管协议》及对该托管协议的任何有效修订和补充</w:t>
      </w:r>
    </w:p>
    <w:p>
      <w:pPr>
        <w:adjustRightInd w:val="0"/>
        <w:snapToGrid w:val="0"/>
        <w:spacing w:line="360" w:lineRule="auto"/>
        <w:ind w:firstLine="480" w:firstLineChars="200"/>
        <w:rPr>
          <w:bCs/>
          <w:sz w:val="24"/>
        </w:rPr>
      </w:pPr>
      <w:r>
        <w:rPr>
          <w:rFonts w:hint="eastAsia"/>
          <w:bCs/>
          <w:sz w:val="24"/>
        </w:rPr>
        <w:t>6、招募说明书或本招募说明书：指《交银施罗德成长动力一年持有期混合型证券投资基金招募说明书》及其更新</w:t>
      </w:r>
    </w:p>
    <w:p>
      <w:pPr>
        <w:adjustRightInd w:val="0"/>
        <w:snapToGrid w:val="0"/>
        <w:spacing w:line="360" w:lineRule="auto"/>
        <w:ind w:firstLine="480" w:firstLineChars="200"/>
        <w:rPr>
          <w:bCs/>
          <w:sz w:val="24"/>
        </w:rPr>
      </w:pPr>
      <w:r>
        <w:rPr>
          <w:rFonts w:hint="eastAsia"/>
          <w:bCs/>
          <w:sz w:val="24"/>
        </w:rPr>
        <w:t>7、基金产品资料概要：指《交银施罗德成长动力一年持有期混合型证券投资基金基金产品资料概要》及其更新</w:t>
      </w:r>
    </w:p>
    <w:p>
      <w:pPr>
        <w:adjustRightInd w:val="0"/>
        <w:snapToGrid w:val="0"/>
        <w:spacing w:line="360" w:lineRule="auto"/>
        <w:ind w:firstLine="480" w:firstLineChars="200"/>
        <w:rPr>
          <w:bCs/>
          <w:sz w:val="24"/>
        </w:rPr>
      </w:pPr>
      <w:r>
        <w:rPr>
          <w:rFonts w:hint="eastAsia"/>
          <w:bCs/>
          <w:sz w:val="24"/>
        </w:rPr>
        <w:t>8、基金份额发售公告：指《交银施罗德成长动力一年持有期混合型证券投资基金基金份额发售公告》</w:t>
      </w:r>
    </w:p>
    <w:p>
      <w:pPr>
        <w:adjustRightInd w:val="0"/>
        <w:snapToGrid w:val="0"/>
        <w:spacing w:line="360" w:lineRule="auto"/>
        <w:ind w:firstLine="480" w:firstLineChars="20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pPr>
        <w:adjustRightInd w:val="0"/>
        <w:snapToGrid w:val="0"/>
        <w:spacing w:line="360" w:lineRule="auto"/>
        <w:ind w:firstLine="480" w:firstLineChars="200"/>
        <w:rPr>
          <w:bCs/>
          <w:sz w:val="24"/>
        </w:rPr>
      </w:pPr>
      <w:r>
        <w:rPr>
          <w:bCs/>
          <w:sz w:val="24"/>
        </w:rPr>
        <w:t>10</w:t>
      </w:r>
      <w:r>
        <w:rPr>
          <w:rFonts w:hint="eastAsia"/>
          <w:bCs/>
          <w:sz w:val="24"/>
        </w:rPr>
        <w:t>、《基金法》：指《中华人民共和国证券投资基金法》及颁布机关对其不时做出的修订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、《销售办法》：指《</w:t>
      </w:r>
      <w:r>
        <w:rPr>
          <w:bCs/>
          <w:sz w:val="24"/>
        </w:rPr>
        <w:t>公开募集证券投资基金销售机构监督管理办法</w:t>
      </w:r>
      <w:r>
        <w:rPr>
          <w:rFonts w:hint="eastAsia"/>
          <w:bCs/>
          <w:sz w:val="24"/>
        </w:rPr>
        <w:t>》及颁布机关对其不时做出的修订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、中国证监会：指中国证券监督管理委员会</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、银行业监督管理机构：指中国人民银行和/或中国银行保险监督管理委员会</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pPr>
        <w:adjustRightInd w:val="0"/>
        <w:snapToGrid w:val="0"/>
        <w:spacing w:line="360" w:lineRule="auto"/>
        <w:ind w:firstLine="480" w:firstLineChars="20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pPr>
        <w:adjustRightInd w:val="0"/>
        <w:snapToGrid w:val="0"/>
        <w:spacing w:line="360" w:lineRule="auto"/>
        <w:ind w:firstLine="480" w:firstLineChars="200"/>
        <w:rPr>
          <w:bCs/>
          <w:sz w:val="24"/>
        </w:rPr>
      </w:pPr>
      <w:r>
        <w:rPr>
          <w:bCs/>
          <w:sz w:val="24"/>
        </w:rPr>
        <w:t>20</w:t>
      </w:r>
      <w:r>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pPr>
        <w:adjustRightInd w:val="0"/>
        <w:snapToGrid w:val="0"/>
        <w:spacing w:line="360" w:lineRule="auto"/>
        <w:ind w:firstLine="480" w:firstLineChars="20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、合格境外投资者</w:t>
      </w:r>
      <w:r>
        <w:rPr>
          <w:bCs/>
          <w:sz w:val="24"/>
        </w:rPr>
        <w:t>以及法律法规或中国证监会允许购买证券投资基金的其他投资人的合称</w:t>
      </w:r>
    </w:p>
    <w:p>
      <w:pPr>
        <w:adjustRightInd w:val="0"/>
        <w:snapToGrid w:val="0"/>
        <w:spacing w:line="360" w:lineRule="auto"/>
        <w:ind w:firstLine="480" w:firstLineChars="200"/>
        <w:rPr>
          <w:bCs/>
          <w:sz w:val="24"/>
        </w:rPr>
      </w:pPr>
      <w:r>
        <w:rPr>
          <w:rFonts w:hint="eastAsia"/>
          <w:bCs/>
          <w:sz w:val="24"/>
        </w:rPr>
        <w:t>2</w:t>
      </w:r>
      <w:r>
        <w:rPr>
          <w:bCs/>
          <w:sz w:val="24"/>
        </w:rPr>
        <w:t>2</w:t>
      </w:r>
      <w:r>
        <w:rPr>
          <w:rFonts w:hint="eastAsia"/>
          <w:bCs/>
          <w:sz w:val="24"/>
        </w:rPr>
        <w:t>、基金份额持有人：指依基金合同和招募说明书合法取得基金份额的投资人</w:t>
      </w:r>
    </w:p>
    <w:p>
      <w:pPr>
        <w:adjustRightInd w:val="0"/>
        <w:snapToGrid w:val="0"/>
        <w:spacing w:line="360" w:lineRule="auto"/>
        <w:ind w:firstLine="480" w:firstLineChars="200"/>
        <w:rPr>
          <w:bCs/>
          <w:sz w:val="24"/>
        </w:rPr>
      </w:pPr>
      <w:r>
        <w:rPr>
          <w:rFonts w:hint="eastAsia"/>
          <w:bCs/>
          <w:sz w:val="24"/>
        </w:rPr>
        <w:t>2</w:t>
      </w:r>
      <w:r>
        <w:rPr>
          <w:bCs/>
          <w:sz w:val="24"/>
        </w:rPr>
        <w:t>3</w:t>
      </w:r>
      <w:r>
        <w:rPr>
          <w:rFonts w:hint="eastAsia"/>
          <w:bCs/>
          <w:sz w:val="24"/>
        </w:rPr>
        <w:t>、基金销售业务：指基金管理人或销售机构宣传推介基金，发售基金份额，办理基金份额的申购、赎回、转换、转托管及定期定额投资等业务</w:t>
      </w:r>
    </w:p>
    <w:p>
      <w:pPr>
        <w:adjustRightInd w:val="0"/>
        <w:snapToGrid w:val="0"/>
        <w:spacing w:line="360" w:lineRule="auto"/>
        <w:ind w:firstLine="480" w:firstLineChars="200"/>
        <w:rPr>
          <w:bCs/>
          <w:sz w:val="24"/>
        </w:rPr>
      </w:pPr>
      <w:r>
        <w:rPr>
          <w:rFonts w:hint="eastAsia"/>
          <w:bCs/>
          <w:sz w:val="24"/>
        </w:rPr>
        <w:t>2</w:t>
      </w:r>
      <w:r>
        <w:rPr>
          <w:bCs/>
          <w:sz w:val="24"/>
        </w:rPr>
        <w:t>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pPr>
        <w:adjustRightInd w:val="0"/>
        <w:snapToGrid w:val="0"/>
        <w:spacing w:line="360" w:lineRule="auto"/>
        <w:ind w:firstLine="480" w:firstLineChars="200"/>
        <w:rPr>
          <w:bCs/>
          <w:sz w:val="24"/>
        </w:rPr>
      </w:pPr>
      <w:r>
        <w:rPr>
          <w:rFonts w:hint="eastAsia"/>
          <w:bCs/>
          <w:sz w:val="24"/>
        </w:rPr>
        <w:t>2</w:t>
      </w:r>
      <w:r>
        <w:rPr>
          <w:bCs/>
          <w:sz w:val="24"/>
        </w:rPr>
        <w:t>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djustRightInd w:val="0"/>
        <w:snapToGrid w:val="0"/>
        <w:spacing w:line="360" w:lineRule="auto"/>
        <w:ind w:firstLine="480" w:firstLineChars="200"/>
        <w:rPr>
          <w:bCs/>
          <w:sz w:val="24"/>
        </w:rPr>
      </w:pPr>
      <w:r>
        <w:rPr>
          <w:rFonts w:hint="eastAsia"/>
          <w:bCs/>
          <w:sz w:val="24"/>
        </w:rPr>
        <w:t>2</w:t>
      </w:r>
      <w:r>
        <w:rPr>
          <w:bCs/>
          <w:sz w:val="24"/>
        </w:rPr>
        <w:t>6</w:t>
      </w:r>
      <w:r>
        <w:rPr>
          <w:rFonts w:hint="eastAsia"/>
          <w:bCs/>
          <w:sz w:val="24"/>
        </w:rPr>
        <w:t>、登记机构：指办理登记业务的机构。基金的登记机构为交银施罗德基金管理有限公司或接受交银施罗德基金管理有限公司委托代为办理登记业务的机构</w:t>
      </w:r>
    </w:p>
    <w:p>
      <w:pPr>
        <w:adjustRightInd w:val="0"/>
        <w:snapToGrid w:val="0"/>
        <w:spacing w:line="360" w:lineRule="auto"/>
        <w:ind w:firstLine="480" w:firstLineChars="200"/>
        <w:rPr>
          <w:bCs/>
          <w:sz w:val="24"/>
        </w:rPr>
      </w:pPr>
      <w:r>
        <w:rPr>
          <w:rFonts w:hint="eastAsia"/>
          <w:bCs/>
          <w:sz w:val="24"/>
        </w:rPr>
        <w:t>2</w:t>
      </w:r>
      <w:r>
        <w:rPr>
          <w:bCs/>
          <w:sz w:val="24"/>
        </w:rPr>
        <w:t>7</w:t>
      </w:r>
      <w:r>
        <w:rPr>
          <w:rFonts w:hint="eastAsia"/>
          <w:bCs/>
          <w:sz w:val="24"/>
        </w:rPr>
        <w:t>、基金账户：指登记机构为投资人开立的、记录其持有的、基金管理人所管理的基金份额余额及其变动情况的账户</w:t>
      </w:r>
    </w:p>
    <w:p>
      <w:pPr>
        <w:adjustRightInd w:val="0"/>
        <w:snapToGrid w:val="0"/>
        <w:spacing w:line="360" w:lineRule="auto"/>
        <w:ind w:firstLine="480" w:firstLineChars="200"/>
        <w:rPr>
          <w:bCs/>
          <w:sz w:val="24"/>
        </w:rPr>
      </w:pPr>
      <w:r>
        <w:rPr>
          <w:rFonts w:hint="eastAsia"/>
          <w:bCs/>
          <w:sz w:val="24"/>
        </w:rPr>
        <w:t>2</w:t>
      </w:r>
      <w:r>
        <w:rPr>
          <w:bCs/>
          <w:sz w:val="24"/>
        </w:rPr>
        <w:t>8</w:t>
      </w:r>
      <w:r>
        <w:rPr>
          <w:rFonts w:hint="eastAsia"/>
          <w:bCs/>
          <w:sz w:val="24"/>
        </w:rPr>
        <w:t>、基金交易账户：指销售机构为投资人开立的、记录投资人通过该销售机构办理认购、申购、赎回、转换及转托管等业务而引起的基金份额变动及结余情况的账户</w:t>
      </w:r>
    </w:p>
    <w:p>
      <w:pPr>
        <w:adjustRightInd w:val="0"/>
        <w:snapToGrid w:val="0"/>
        <w:spacing w:line="360" w:lineRule="auto"/>
        <w:ind w:firstLine="480" w:firstLineChars="20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pPr>
        <w:adjustRightInd w:val="0"/>
        <w:snapToGrid w:val="0"/>
        <w:spacing w:line="360" w:lineRule="auto"/>
        <w:ind w:firstLine="480" w:firstLineChars="200"/>
        <w:rPr>
          <w:bCs/>
          <w:sz w:val="24"/>
        </w:rPr>
      </w:pPr>
      <w:r>
        <w:rPr>
          <w:rFonts w:hint="eastAsia"/>
          <w:bCs/>
          <w:sz w:val="24"/>
        </w:rPr>
        <w:t>3</w:t>
      </w:r>
      <w:r>
        <w:rPr>
          <w:bCs/>
          <w:sz w:val="24"/>
        </w:rPr>
        <w:t>0</w:t>
      </w:r>
      <w:r>
        <w:rPr>
          <w:rFonts w:hint="eastAsia"/>
          <w:bCs/>
          <w:sz w:val="24"/>
        </w:rPr>
        <w:t>、基金合同终止日：指基金合同规定的基金合同终止事由出现后，基金财产清算完毕，清算结果报中国证监会备案并予以公告的日期</w:t>
      </w:r>
    </w:p>
    <w:p>
      <w:pPr>
        <w:adjustRightInd w:val="0"/>
        <w:snapToGrid w:val="0"/>
        <w:spacing w:line="360" w:lineRule="auto"/>
        <w:ind w:firstLine="480" w:firstLineChars="200"/>
        <w:rPr>
          <w:bCs/>
          <w:sz w:val="24"/>
        </w:rPr>
      </w:pPr>
      <w:r>
        <w:rPr>
          <w:rFonts w:hint="eastAsia"/>
          <w:bCs/>
          <w:sz w:val="24"/>
        </w:rPr>
        <w:t>3</w:t>
      </w:r>
      <w:r>
        <w:rPr>
          <w:bCs/>
          <w:sz w:val="24"/>
        </w:rPr>
        <w:t>1</w:t>
      </w:r>
      <w:r>
        <w:rPr>
          <w:rFonts w:hint="eastAsia"/>
          <w:bCs/>
          <w:sz w:val="24"/>
        </w:rPr>
        <w:t>、基金募集期：指自基金份额发售之日起至发售结束之日止的期间，最长不得超过3个月</w:t>
      </w:r>
    </w:p>
    <w:p>
      <w:pPr>
        <w:adjustRightInd w:val="0"/>
        <w:snapToGrid w:val="0"/>
        <w:spacing w:line="360" w:lineRule="auto"/>
        <w:ind w:firstLine="480" w:firstLineChars="200"/>
        <w:rPr>
          <w:bCs/>
          <w:sz w:val="24"/>
        </w:rPr>
      </w:pPr>
      <w:r>
        <w:rPr>
          <w:rFonts w:hint="eastAsia"/>
          <w:bCs/>
          <w:sz w:val="24"/>
        </w:rPr>
        <w:t>3</w:t>
      </w:r>
      <w:r>
        <w:rPr>
          <w:bCs/>
          <w:sz w:val="24"/>
        </w:rPr>
        <w:t>2</w:t>
      </w:r>
      <w:r>
        <w:rPr>
          <w:rFonts w:hint="eastAsia"/>
          <w:bCs/>
          <w:sz w:val="24"/>
        </w:rPr>
        <w:t>、存续期：指基金合同生效至终止之间的不定期期限</w:t>
      </w:r>
    </w:p>
    <w:p>
      <w:pPr>
        <w:adjustRightInd w:val="0"/>
        <w:snapToGrid w:val="0"/>
        <w:spacing w:line="360" w:lineRule="auto"/>
        <w:ind w:firstLine="480" w:firstLineChars="200"/>
        <w:rPr>
          <w:bCs/>
          <w:sz w:val="24"/>
        </w:rPr>
      </w:pPr>
      <w:r>
        <w:rPr>
          <w:rFonts w:hint="eastAsia"/>
          <w:bCs/>
          <w:sz w:val="24"/>
        </w:rPr>
        <w:t>3</w:t>
      </w:r>
      <w:r>
        <w:rPr>
          <w:bCs/>
          <w:sz w:val="24"/>
        </w:rPr>
        <w:t>3</w:t>
      </w:r>
      <w:r>
        <w:rPr>
          <w:rFonts w:hint="eastAsia"/>
          <w:bCs/>
          <w:sz w:val="24"/>
        </w:rPr>
        <w:t>、工作日：指上海证券交易所、深圳证券交易所的正常交易日</w:t>
      </w:r>
    </w:p>
    <w:p>
      <w:pPr>
        <w:adjustRightInd w:val="0"/>
        <w:snapToGrid w:val="0"/>
        <w:spacing w:line="360" w:lineRule="auto"/>
        <w:ind w:firstLine="480" w:firstLineChars="200"/>
        <w:rPr>
          <w:bCs/>
          <w:sz w:val="24"/>
        </w:rPr>
      </w:pPr>
      <w:r>
        <w:rPr>
          <w:rFonts w:hint="eastAsia"/>
          <w:bCs/>
          <w:sz w:val="24"/>
        </w:rPr>
        <w:t>3</w:t>
      </w:r>
      <w:r>
        <w:rPr>
          <w:bCs/>
          <w:sz w:val="24"/>
        </w:rPr>
        <w:t>4</w:t>
      </w:r>
      <w:r>
        <w:rPr>
          <w:rFonts w:hint="eastAsia"/>
          <w:bCs/>
          <w:sz w:val="24"/>
        </w:rPr>
        <w:t>、T日：指销售机构在规定时间受理投资人申购、赎回或其他业务申请的开放日</w:t>
      </w:r>
    </w:p>
    <w:p>
      <w:pPr>
        <w:adjustRightInd w:val="0"/>
        <w:snapToGrid w:val="0"/>
        <w:spacing w:line="360" w:lineRule="auto"/>
        <w:ind w:firstLine="480" w:firstLineChars="200"/>
        <w:rPr>
          <w:bCs/>
          <w:sz w:val="24"/>
        </w:rPr>
      </w:pPr>
      <w:r>
        <w:rPr>
          <w:rFonts w:hint="eastAsia"/>
          <w:bCs/>
          <w:sz w:val="24"/>
        </w:rPr>
        <w:t>3</w:t>
      </w:r>
      <w:r>
        <w:rPr>
          <w:bCs/>
          <w:sz w:val="24"/>
        </w:rPr>
        <w:t>5</w:t>
      </w:r>
      <w:r>
        <w:rPr>
          <w:rFonts w:hint="eastAsia"/>
          <w:bCs/>
          <w:sz w:val="24"/>
        </w:rPr>
        <w:t>、T+n日：指自T日起第n个工作日（不包含T日）</w:t>
      </w:r>
    </w:p>
    <w:p>
      <w:pPr>
        <w:adjustRightInd w:val="0"/>
        <w:snapToGrid w:val="0"/>
        <w:spacing w:line="360" w:lineRule="auto"/>
        <w:ind w:firstLine="480" w:firstLineChars="200"/>
        <w:rPr>
          <w:bCs/>
          <w:sz w:val="24"/>
        </w:rPr>
      </w:pPr>
      <w:r>
        <w:rPr>
          <w:rFonts w:hint="eastAsia"/>
          <w:bCs/>
          <w:sz w:val="24"/>
        </w:rPr>
        <w:t>3</w:t>
      </w:r>
      <w:r>
        <w:rPr>
          <w:bCs/>
          <w:sz w:val="24"/>
        </w:rPr>
        <w:t>6</w:t>
      </w:r>
      <w:r>
        <w:rPr>
          <w:rFonts w:hint="eastAsia"/>
          <w:bCs/>
          <w:sz w:val="24"/>
        </w:rPr>
        <w:t>、最短持有期限：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pPr>
        <w:adjustRightInd w:val="0"/>
        <w:snapToGrid w:val="0"/>
        <w:spacing w:line="360" w:lineRule="auto"/>
        <w:ind w:firstLine="480" w:firstLineChars="200"/>
        <w:rPr>
          <w:bCs/>
          <w:sz w:val="24"/>
        </w:rPr>
      </w:pPr>
      <w:r>
        <w:rPr>
          <w:bCs/>
          <w:sz w:val="24"/>
        </w:rPr>
        <w:t>37</w:t>
      </w:r>
      <w:r>
        <w:rPr>
          <w:rFonts w:hint="eastAsia"/>
          <w:bCs/>
          <w:sz w:val="24"/>
        </w:rPr>
        <w:t>、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pPr>
        <w:adjustRightInd w:val="0"/>
        <w:snapToGrid w:val="0"/>
        <w:spacing w:line="360" w:lineRule="auto"/>
        <w:ind w:firstLine="480" w:firstLineChars="200"/>
        <w:rPr>
          <w:bCs/>
          <w:sz w:val="24"/>
        </w:rPr>
      </w:pPr>
      <w:r>
        <w:rPr>
          <w:bCs/>
          <w:sz w:val="24"/>
        </w:rPr>
        <w:t>38</w:t>
      </w:r>
      <w:r>
        <w:rPr>
          <w:rFonts w:hint="eastAsia"/>
          <w:bCs/>
          <w:sz w:val="24"/>
        </w:rPr>
        <w:t>、开放日：指为投资人办理基金份额申购、赎回或其他业务的工作日（若该工作日为非港股通交易日，则本基金可不开放）</w:t>
      </w:r>
    </w:p>
    <w:p>
      <w:pPr>
        <w:adjustRightInd w:val="0"/>
        <w:snapToGrid w:val="0"/>
        <w:spacing w:line="360" w:lineRule="auto"/>
        <w:ind w:firstLine="480" w:firstLineChars="200"/>
        <w:rPr>
          <w:bCs/>
          <w:sz w:val="24"/>
        </w:rPr>
      </w:pPr>
      <w:r>
        <w:rPr>
          <w:bCs/>
          <w:sz w:val="24"/>
        </w:rPr>
        <w:t>39</w:t>
      </w:r>
      <w:r>
        <w:rPr>
          <w:rFonts w:hint="eastAsia"/>
          <w:bCs/>
          <w:sz w:val="24"/>
        </w:rPr>
        <w:t>、开放时间：指开放日基金接受申购、赎回或其他交易的时间段</w:t>
      </w:r>
    </w:p>
    <w:p>
      <w:pPr>
        <w:adjustRightInd w:val="0"/>
        <w:snapToGrid w:val="0"/>
        <w:spacing w:line="360" w:lineRule="auto"/>
        <w:ind w:firstLine="480" w:firstLineChars="200"/>
        <w:rPr>
          <w:bCs/>
          <w:sz w:val="24"/>
        </w:rPr>
      </w:pPr>
      <w:r>
        <w:rPr>
          <w:bCs/>
          <w:sz w:val="24"/>
        </w:rPr>
        <w:t>40</w:t>
      </w:r>
      <w:r>
        <w:rPr>
          <w:rFonts w:hint="eastAsia"/>
          <w:bCs/>
          <w:sz w:val="24"/>
        </w:rPr>
        <w:t>、《业务规则》：指中国证券登记结算有限责任公司相关业务规则及其不时做出的修订</w:t>
      </w:r>
    </w:p>
    <w:p>
      <w:pPr>
        <w:adjustRightInd w:val="0"/>
        <w:snapToGrid w:val="0"/>
        <w:spacing w:line="360" w:lineRule="auto"/>
        <w:ind w:firstLine="480" w:firstLineChars="200"/>
        <w:rPr>
          <w:bCs/>
          <w:sz w:val="24"/>
        </w:rPr>
      </w:pPr>
      <w:r>
        <w:rPr>
          <w:bCs/>
          <w:sz w:val="24"/>
        </w:rPr>
        <w:t>41</w:t>
      </w:r>
      <w:r>
        <w:rPr>
          <w:rFonts w:hint="eastAsia"/>
          <w:bCs/>
          <w:sz w:val="24"/>
        </w:rPr>
        <w:t>、认购：指在基金募集期内，投资人根据基金合同和招募说明书的规定申请购买基金份额的行为</w:t>
      </w:r>
    </w:p>
    <w:p>
      <w:pPr>
        <w:adjustRightInd w:val="0"/>
        <w:snapToGrid w:val="0"/>
        <w:spacing w:line="360" w:lineRule="auto"/>
        <w:ind w:firstLine="480" w:firstLineChars="200"/>
        <w:rPr>
          <w:bCs/>
          <w:sz w:val="24"/>
        </w:rPr>
      </w:pPr>
      <w:r>
        <w:rPr>
          <w:bCs/>
          <w:sz w:val="24"/>
        </w:rPr>
        <w:t>42</w:t>
      </w:r>
      <w:r>
        <w:rPr>
          <w:rFonts w:hint="eastAsia"/>
          <w:bCs/>
          <w:sz w:val="24"/>
        </w:rPr>
        <w:t>、申购：指基金合同生效后，投资人根据基金合同和招募说明书的规定申请购买基金份额的行为</w:t>
      </w:r>
    </w:p>
    <w:p>
      <w:pPr>
        <w:adjustRightInd w:val="0"/>
        <w:snapToGrid w:val="0"/>
        <w:spacing w:line="360" w:lineRule="auto"/>
        <w:ind w:firstLine="480" w:firstLineChars="200"/>
        <w:rPr>
          <w:bCs/>
          <w:sz w:val="24"/>
        </w:rPr>
      </w:pPr>
      <w:r>
        <w:rPr>
          <w:bCs/>
          <w:sz w:val="24"/>
        </w:rPr>
        <w:t>43</w:t>
      </w:r>
      <w:r>
        <w:rPr>
          <w:rFonts w:hint="eastAsia"/>
          <w:bCs/>
          <w:sz w:val="24"/>
        </w:rPr>
        <w:t>、赎回：指基金合同生效后，基金份额持有人按基金合同和招募说明书规定的条件要求将基金份额兑换为现金的行为</w:t>
      </w:r>
    </w:p>
    <w:p>
      <w:pPr>
        <w:adjustRightInd w:val="0"/>
        <w:snapToGrid w:val="0"/>
        <w:spacing w:line="360" w:lineRule="auto"/>
        <w:ind w:firstLine="480" w:firstLineChars="200"/>
        <w:rPr>
          <w:bCs/>
          <w:sz w:val="24"/>
        </w:rPr>
      </w:pPr>
      <w:r>
        <w:rPr>
          <w:bCs/>
          <w:sz w:val="24"/>
        </w:rPr>
        <w:t>44</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pPr>
        <w:adjustRightInd w:val="0"/>
        <w:snapToGrid w:val="0"/>
        <w:spacing w:line="360" w:lineRule="auto"/>
        <w:ind w:firstLine="480" w:firstLineChars="200"/>
        <w:rPr>
          <w:bCs/>
          <w:sz w:val="24"/>
        </w:rPr>
      </w:pPr>
      <w:r>
        <w:rPr>
          <w:bCs/>
          <w:sz w:val="24"/>
        </w:rPr>
        <w:t>45</w:t>
      </w:r>
      <w:r>
        <w:rPr>
          <w:rFonts w:hint="eastAsia"/>
          <w:bCs/>
          <w:sz w:val="24"/>
        </w:rPr>
        <w:t>、转托管：指基金份额持有人在本基金的不同销售机构之间实施的变更所持基金份额销售机构的操作</w:t>
      </w:r>
    </w:p>
    <w:p>
      <w:pPr>
        <w:adjustRightInd w:val="0"/>
        <w:snapToGrid w:val="0"/>
        <w:spacing w:line="360" w:lineRule="auto"/>
        <w:ind w:firstLine="480" w:firstLineChars="200"/>
        <w:rPr>
          <w:bCs/>
          <w:sz w:val="24"/>
        </w:rPr>
      </w:pPr>
      <w:r>
        <w:rPr>
          <w:bCs/>
          <w:sz w:val="24"/>
        </w:rPr>
        <w:t>46</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djustRightInd w:val="0"/>
        <w:snapToGrid w:val="0"/>
        <w:spacing w:line="360" w:lineRule="auto"/>
        <w:ind w:firstLine="480" w:firstLineChars="200"/>
        <w:rPr>
          <w:bCs/>
          <w:sz w:val="24"/>
        </w:rPr>
      </w:pPr>
      <w:r>
        <w:rPr>
          <w:bCs/>
          <w:sz w:val="24"/>
        </w:rPr>
        <w:t>47</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djustRightInd w:val="0"/>
        <w:snapToGrid w:val="0"/>
        <w:spacing w:line="360" w:lineRule="auto"/>
        <w:ind w:firstLine="480" w:firstLineChars="200"/>
        <w:rPr>
          <w:bCs/>
          <w:sz w:val="24"/>
        </w:rPr>
      </w:pPr>
      <w:r>
        <w:rPr>
          <w:bCs/>
          <w:sz w:val="24"/>
        </w:rPr>
        <w:t>48</w:t>
      </w:r>
      <w:r>
        <w:rPr>
          <w:rFonts w:hint="eastAsia"/>
          <w:bCs/>
          <w:sz w:val="24"/>
        </w:rPr>
        <w:t>、元：指人民币元</w:t>
      </w:r>
    </w:p>
    <w:p>
      <w:pPr>
        <w:adjustRightInd w:val="0"/>
        <w:snapToGrid w:val="0"/>
        <w:spacing w:line="360" w:lineRule="auto"/>
        <w:ind w:firstLine="480" w:firstLineChars="200"/>
        <w:rPr>
          <w:bCs/>
          <w:sz w:val="24"/>
        </w:rPr>
      </w:pPr>
      <w:r>
        <w:rPr>
          <w:bCs/>
          <w:sz w:val="24"/>
        </w:rPr>
        <w:t>49</w:t>
      </w:r>
      <w:r>
        <w:rPr>
          <w:rFonts w:hint="eastAsia"/>
          <w:bCs/>
          <w:sz w:val="24"/>
        </w:rPr>
        <w:t>、基金收益：指基金投资所得红利、股息、债券利息、买卖证券价差、银行存款利息、已实现的其他合法收入及因运用基金财产带来的成本和费用的节约</w:t>
      </w:r>
    </w:p>
    <w:p>
      <w:pPr>
        <w:adjustRightInd w:val="0"/>
        <w:snapToGrid w:val="0"/>
        <w:spacing w:line="360" w:lineRule="auto"/>
        <w:ind w:firstLine="480" w:firstLineChars="200"/>
        <w:rPr>
          <w:bCs/>
          <w:sz w:val="24"/>
        </w:rPr>
      </w:pPr>
      <w:r>
        <w:rPr>
          <w:bCs/>
          <w:sz w:val="24"/>
        </w:rPr>
        <w:t>50</w:t>
      </w:r>
      <w:r>
        <w:rPr>
          <w:rFonts w:hint="eastAsia"/>
          <w:bCs/>
          <w:sz w:val="24"/>
        </w:rPr>
        <w:t>、基金资产总值：指基金拥有的各类有价证券、股指期货合约、银行存款本息、基金应收款项及其他资产的价值总和</w:t>
      </w:r>
    </w:p>
    <w:p>
      <w:pPr>
        <w:adjustRightInd w:val="0"/>
        <w:snapToGrid w:val="0"/>
        <w:spacing w:line="360" w:lineRule="auto"/>
        <w:ind w:firstLine="480" w:firstLineChars="200"/>
        <w:rPr>
          <w:bCs/>
          <w:sz w:val="24"/>
        </w:rPr>
      </w:pPr>
      <w:r>
        <w:rPr>
          <w:bCs/>
          <w:sz w:val="24"/>
        </w:rPr>
        <w:t>51</w:t>
      </w:r>
      <w:r>
        <w:rPr>
          <w:rFonts w:hint="eastAsia"/>
          <w:bCs/>
          <w:sz w:val="24"/>
        </w:rPr>
        <w:t>、基金资产净值：指基金资产总值减去基金负债后的价值</w:t>
      </w:r>
    </w:p>
    <w:p>
      <w:pPr>
        <w:adjustRightInd w:val="0"/>
        <w:snapToGrid w:val="0"/>
        <w:spacing w:line="360" w:lineRule="auto"/>
        <w:ind w:firstLine="480" w:firstLineChars="200"/>
        <w:rPr>
          <w:bCs/>
          <w:sz w:val="24"/>
        </w:rPr>
      </w:pPr>
      <w:r>
        <w:rPr>
          <w:bCs/>
          <w:sz w:val="24"/>
        </w:rPr>
        <w:t>52</w:t>
      </w:r>
      <w:r>
        <w:rPr>
          <w:rFonts w:hint="eastAsia"/>
          <w:bCs/>
          <w:sz w:val="24"/>
        </w:rPr>
        <w:t>、基金份额净值：指计算日基金资产净值除以计算日基金份额总数</w:t>
      </w:r>
    </w:p>
    <w:p>
      <w:pPr>
        <w:adjustRightInd w:val="0"/>
        <w:snapToGrid w:val="0"/>
        <w:spacing w:line="360" w:lineRule="auto"/>
        <w:ind w:firstLine="480" w:firstLineChars="200"/>
        <w:rPr>
          <w:bCs/>
          <w:sz w:val="24"/>
        </w:rPr>
      </w:pPr>
      <w:r>
        <w:rPr>
          <w:bCs/>
          <w:sz w:val="24"/>
        </w:rPr>
        <w:t>53</w:t>
      </w:r>
      <w:r>
        <w:rPr>
          <w:rFonts w:hint="eastAsia"/>
          <w:bCs/>
          <w:sz w:val="24"/>
        </w:rPr>
        <w:t>、基金资产估值：指计算评估基金资产和负债的价值，以确定基金资产净值和基金份额净值的过程</w:t>
      </w:r>
    </w:p>
    <w:p>
      <w:pPr>
        <w:adjustRightInd w:val="0"/>
        <w:snapToGrid w:val="0"/>
        <w:spacing w:line="360" w:lineRule="auto"/>
        <w:ind w:firstLine="480" w:firstLineChars="200"/>
        <w:rPr>
          <w:bCs/>
          <w:sz w:val="24"/>
        </w:rPr>
      </w:pPr>
      <w:r>
        <w:rPr>
          <w:bCs/>
          <w:sz w:val="24"/>
        </w:rPr>
        <w:t>54</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pPr>
        <w:adjustRightInd w:val="0"/>
        <w:snapToGrid w:val="0"/>
        <w:spacing w:line="360" w:lineRule="auto"/>
        <w:ind w:firstLine="480" w:firstLineChars="200"/>
        <w:rPr>
          <w:bCs/>
          <w:sz w:val="24"/>
        </w:rPr>
      </w:pPr>
      <w:r>
        <w:rPr>
          <w:bCs/>
          <w:sz w:val="24"/>
        </w:rPr>
        <w:t>55</w:t>
      </w:r>
      <w:r>
        <w:rPr>
          <w:rFonts w:hint="eastAsia"/>
          <w:bCs/>
          <w:sz w:val="24"/>
        </w:rPr>
        <w:t>、销售服务费：指从基金财产中计提的，用于本基金市场推广、销售以及基金份额持有人服务的费用</w:t>
      </w:r>
    </w:p>
    <w:p>
      <w:pPr>
        <w:adjustRightInd w:val="0"/>
        <w:snapToGrid w:val="0"/>
        <w:spacing w:line="360" w:lineRule="auto"/>
        <w:ind w:firstLine="480" w:firstLineChars="200"/>
        <w:rPr>
          <w:bCs/>
          <w:sz w:val="24"/>
        </w:rPr>
      </w:pPr>
      <w:r>
        <w:rPr>
          <w:bCs/>
          <w:sz w:val="24"/>
        </w:rPr>
        <w:t>56</w:t>
      </w:r>
      <w:r>
        <w:rPr>
          <w:rFonts w:hint="eastAsia"/>
          <w:bCs/>
          <w:sz w:val="24"/>
        </w:rPr>
        <w:t>、A类基金份额：指在投资人认购/申购时收取认购/申购费用且不从本类别基金资产中计提销售服务费的基金份额</w:t>
      </w:r>
    </w:p>
    <w:p>
      <w:pPr>
        <w:adjustRightInd w:val="0"/>
        <w:snapToGrid w:val="0"/>
        <w:spacing w:line="360" w:lineRule="auto"/>
        <w:ind w:firstLine="480" w:firstLineChars="200"/>
        <w:rPr>
          <w:bCs/>
          <w:sz w:val="24"/>
        </w:rPr>
      </w:pPr>
      <w:r>
        <w:rPr>
          <w:bCs/>
          <w:sz w:val="24"/>
        </w:rPr>
        <w:t>57</w:t>
      </w:r>
      <w:r>
        <w:rPr>
          <w:rFonts w:hint="eastAsia"/>
          <w:bCs/>
          <w:sz w:val="24"/>
        </w:rPr>
        <w:t>、C类基金份额：指在投资人认购/申购时不收取认购/申购费用，并从本类别基金资产中计提销售服务费的基金份额</w:t>
      </w:r>
    </w:p>
    <w:p>
      <w:pPr>
        <w:adjustRightInd w:val="0"/>
        <w:snapToGrid w:val="0"/>
        <w:spacing w:line="360" w:lineRule="auto"/>
        <w:ind w:firstLine="480" w:firstLineChars="200"/>
        <w:rPr>
          <w:bCs/>
          <w:sz w:val="24"/>
        </w:rPr>
      </w:pPr>
      <w:r>
        <w:rPr>
          <w:bCs/>
          <w:sz w:val="24"/>
        </w:rPr>
        <w:t>58</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pPr>
        <w:adjustRightInd w:val="0"/>
        <w:snapToGrid w:val="0"/>
        <w:spacing w:line="360" w:lineRule="auto"/>
        <w:ind w:firstLine="480" w:firstLineChars="200"/>
        <w:rPr>
          <w:bCs/>
          <w:sz w:val="24"/>
        </w:rPr>
      </w:pPr>
      <w:r>
        <w:rPr>
          <w:bCs/>
          <w:sz w:val="24"/>
        </w:rPr>
        <w:t>59</w:t>
      </w: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djustRightInd w:val="0"/>
        <w:snapToGrid w:val="0"/>
        <w:spacing w:line="360" w:lineRule="auto"/>
        <w:ind w:firstLine="480" w:firstLineChars="200"/>
        <w:rPr>
          <w:bCs/>
          <w:sz w:val="24"/>
        </w:rPr>
      </w:pPr>
      <w:r>
        <w:rPr>
          <w:bCs/>
          <w:sz w:val="24"/>
        </w:rPr>
        <w:t>60</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djustRightInd w:val="0"/>
        <w:snapToGrid w:val="0"/>
        <w:spacing w:line="360" w:lineRule="auto"/>
        <w:ind w:firstLine="480" w:firstLineChars="200"/>
        <w:rPr>
          <w:bCs/>
          <w:sz w:val="24"/>
        </w:rPr>
      </w:pPr>
      <w:r>
        <w:rPr>
          <w:bCs/>
          <w:sz w:val="24"/>
        </w:rPr>
        <w:t>61</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djustRightInd w:val="0"/>
        <w:snapToGrid w:val="0"/>
        <w:spacing w:line="360" w:lineRule="auto"/>
        <w:ind w:firstLine="480" w:firstLineChars="200"/>
        <w:rPr>
          <w:bCs/>
          <w:sz w:val="24"/>
        </w:rPr>
      </w:pPr>
      <w:r>
        <w:rPr>
          <w:bCs/>
          <w:sz w:val="24"/>
        </w:rPr>
        <w:t>62</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djustRightInd w:val="0"/>
        <w:snapToGrid w:val="0"/>
        <w:spacing w:line="360" w:lineRule="auto"/>
        <w:ind w:firstLine="480" w:firstLineChars="200"/>
        <w:rPr>
          <w:rFonts w:ascii="宋体" w:hAnsi="宋体"/>
          <w:sz w:val="24"/>
        </w:rPr>
      </w:pPr>
      <w:r>
        <w:rPr>
          <w:bCs/>
          <w:sz w:val="24"/>
        </w:rPr>
        <w:t>63</w:t>
      </w:r>
      <w:r>
        <w:rPr>
          <w:rFonts w:hint="eastAsia"/>
          <w:bCs/>
          <w:sz w:val="24"/>
        </w:rPr>
        <w:t>、不可抗力：指基金合同当事人不能预见、不能避免且不能克服的客观事件</w:t>
      </w:r>
      <w:bookmarkEnd w:id="4"/>
    </w:p>
    <w:p>
      <w:pPr>
        <w:spacing w:line="360" w:lineRule="auto"/>
        <w:jc w:val="center"/>
        <w:outlineLvl w:val="0"/>
        <w:rPr>
          <w:rFonts w:ascii="宋体" w:hAnsi="宋体"/>
          <w:b/>
          <w:kern w:val="0"/>
          <w:sz w:val="30"/>
        </w:rPr>
      </w:pPr>
      <w:bookmarkStart w:id="5" w:name="_Hlt81034163"/>
      <w:bookmarkEnd w:id="5"/>
      <w:bookmarkStart w:id="6" w:name="_Hlt80961854"/>
      <w:bookmarkEnd w:id="6"/>
      <w:bookmarkStart w:id="7" w:name="_Toc109537381"/>
      <w:bookmarkStart w:id="8" w:name="_Toc48122004"/>
      <w:r>
        <w:rPr>
          <w:rFonts w:hint="eastAsia" w:ascii="宋体" w:hAnsi="宋体"/>
          <w:b/>
          <w:kern w:val="0"/>
          <w:sz w:val="30"/>
        </w:rPr>
        <w:t>三、基金管理人</w:t>
      </w:r>
      <w:bookmarkEnd w:id="7"/>
      <w:bookmarkEnd w:id="8"/>
    </w:p>
    <w:p>
      <w:pPr>
        <w:widowControl/>
        <w:adjustRightInd w:val="0"/>
        <w:snapToGrid w:val="0"/>
        <w:spacing w:line="360" w:lineRule="auto"/>
        <w:ind w:firstLine="482" w:firstLineChars="200"/>
        <w:outlineLvl w:val="1"/>
        <w:rPr>
          <w:rFonts w:hAnsi="宋体"/>
          <w:b/>
          <w:kern w:val="0"/>
          <w:sz w:val="24"/>
        </w:rPr>
      </w:pPr>
      <w:r>
        <w:rPr>
          <w:rFonts w:hAnsi="宋体"/>
          <w:b/>
          <w:kern w:val="0"/>
          <w:sz w:val="24"/>
        </w:rPr>
        <w:t>（一）基金管理人概况</w:t>
      </w:r>
    </w:p>
    <w:p>
      <w:pPr>
        <w:widowControl/>
        <w:adjustRightInd w:val="0"/>
        <w:snapToGrid w:val="0"/>
        <w:spacing w:line="360" w:lineRule="auto"/>
        <w:ind w:firstLine="480" w:firstLineChars="200"/>
        <w:rPr>
          <w:kern w:val="0"/>
          <w:sz w:val="24"/>
        </w:rPr>
      </w:pPr>
      <w:r>
        <w:rPr>
          <w:rFonts w:hAnsi="宋体"/>
          <w:kern w:val="0"/>
          <w:sz w:val="24"/>
        </w:rPr>
        <w:t>名称：交银施罗德基金管理有限公司</w:t>
      </w:r>
    </w:p>
    <w:p>
      <w:pPr>
        <w:widowControl/>
        <w:adjustRightInd w:val="0"/>
        <w:snapToGrid w:val="0"/>
        <w:spacing w:line="360" w:lineRule="auto"/>
        <w:ind w:firstLine="480" w:firstLineChars="200"/>
        <w:rPr>
          <w:kern w:val="0"/>
          <w:sz w:val="24"/>
        </w:rPr>
      </w:pPr>
      <w:r>
        <w:rPr>
          <w:rFonts w:hAnsi="宋体"/>
          <w:kern w:val="0"/>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pPr>
        <w:widowControl/>
        <w:adjustRightInd w:val="0"/>
        <w:snapToGrid w:val="0"/>
        <w:spacing w:line="360" w:lineRule="auto"/>
        <w:ind w:firstLine="480" w:firstLineChars="200"/>
        <w:rPr>
          <w:kern w:val="0"/>
          <w:sz w:val="24"/>
        </w:rPr>
      </w:pPr>
      <w:r>
        <w:rPr>
          <w:rFonts w:hAnsi="宋体"/>
          <w:kern w:val="0"/>
          <w:sz w:val="24"/>
        </w:rPr>
        <w:t>办公地址：</w:t>
      </w:r>
      <w:r>
        <w:rPr>
          <w:rFonts w:hint="eastAsia" w:ascii="宋体" w:hAnsi="宋体" w:cs="宋体"/>
          <w:kern w:val="0"/>
          <w:sz w:val="24"/>
        </w:rPr>
        <w:t>上海市浦东</w:t>
      </w:r>
      <w:r>
        <w:rPr>
          <w:rFonts w:ascii="宋体" w:hAnsi="宋体" w:cs="宋体"/>
          <w:kern w:val="0"/>
          <w:sz w:val="24"/>
        </w:rPr>
        <w:t>新区</w:t>
      </w:r>
      <w:r>
        <w:rPr>
          <w:rFonts w:hint="eastAsia" w:ascii="宋体" w:hAnsi="宋体" w:cs="宋体"/>
          <w:kern w:val="0"/>
          <w:sz w:val="24"/>
        </w:rPr>
        <w:t>世纪大道8号国金中心二期21-22楼</w:t>
      </w:r>
    </w:p>
    <w:p>
      <w:pPr>
        <w:widowControl/>
        <w:adjustRightInd w:val="0"/>
        <w:snapToGrid w:val="0"/>
        <w:spacing w:line="360" w:lineRule="auto"/>
        <w:ind w:firstLine="480" w:firstLineChars="200"/>
        <w:rPr>
          <w:kern w:val="0"/>
          <w:sz w:val="24"/>
        </w:rPr>
      </w:pPr>
      <w:r>
        <w:rPr>
          <w:rFonts w:hAnsi="宋体"/>
          <w:sz w:val="24"/>
        </w:rPr>
        <w:t>邮政编码：</w:t>
      </w:r>
      <w:r>
        <w:rPr>
          <w:sz w:val="24"/>
        </w:rPr>
        <w:t>200120</w:t>
      </w:r>
    </w:p>
    <w:p>
      <w:pPr>
        <w:widowControl/>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阮红</w:t>
      </w:r>
    </w:p>
    <w:p>
      <w:pPr>
        <w:widowControl/>
        <w:adjustRightInd w:val="0"/>
        <w:snapToGrid w:val="0"/>
        <w:spacing w:line="360" w:lineRule="auto"/>
        <w:ind w:firstLine="480" w:firstLineChars="20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pPr>
        <w:widowControl/>
        <w:adjustRightInd w:val="0"/>
        <w:snapToGrid w:val="0"/>
        <w:spacing w:line="360" w:lineRule="auto"/>
        <w:ind w:firstLine="480" w:firstLineChars="200"/>
        <w:rPr>
          <w:kern w:val="0"/>
          <w:sz w:val="24"/>
        </w:rPr>
      </w:pPr>
      <w:r>
        <w:rPr>
          <w:rFonts w:hAnsi="宋体"/>
          <w:kern w:val="0"/>
          <w:sz w:val="24"/>
        </w:rPr>
        <w:t>注册资本：</w:t>
      </w:r>
      <w:r>
        <w:rPr>
          <w:kern w:val="0"/>
          <w:sz w:val="24"/>
        </w:rPr>
        <w:t>2</w:t>
      </w:r>
      <w:r>
        <w:rPr>
          <w:rFonts w:hAnsi="宋体"/>
          <w:kern w:val="0"/>
          <w:sz w:val="24"/>
        </w:rPr>
        <w:t>亿元人民币</w:t>
      </w:r>
    </w:p>
    <w:p>
      <w:pPr>
        <w:widowControl/>
        <w:adjustRightInd w:val="0"/>
        <w:snapToGrid w:val="0"/>
        <w:spacing w:line="360" w:lineRule="auto"/>
        <w:ind w:firstLine="480" w:firstLineChars="200"/>
        <w:rPr>
          <w:kern w:val="0"/>
          <w:sz w:val="24"/>
        </w:rPr>
      </w:pPr>
      <w:r>
        <w:rPr>
          <w:rFonts w:hAnsi="宋体"/>
          <w:kern w:val="0"/>
          <w:sz w:val="24"/>
        </w:rPr>
        <w:t>存续期间：持续经营</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郭佳敏</w:t>
      </w:r>
    </w:p>
    <w:p>
      <w:pPr>
        <w:widowControl/>
        <w:adjustRightInd w:val="0"/>
        <w:snapToGrid w:val="0"/>
        <w:spacing w:line="360" w:lineRule="auto"/>
        <w:ind w:firstLine="480" w:firstLineChars="200"/>
        <w:rPr>
          <w:kern w:val="0"/>
          <w:sz w:val="24"/>
        </w:rPr>
      </w:pPr>
      <w:r>
        <w:rPr>
          <w:rFonts w:hAnsi="宋体"/>
          <w:kern w:val="0"/>
          <w:sz w:val="24"/>
        </w:rPr>
        <w:t>电话：</w:t>
      </w:r>
      <w:r>
        <w:rPr>
          <w:rFonts w:hint="eastAsia" w:hAnsi="宋体"/>
          <w:kern w:val="0"/>
          <w:sz w:val="24"/>
        </w:rPr>
        <w:t>（</w:t>
      </w:r>
      <w:r>
        <w:rPr>
          <w:kern w:val="0"/>
          <w:sz w:val="24"/>
        </w:rPr>
        <w:t>021</w:t>
      </w:r>
      <w:r>
        <w:rPr>
          <w:rFonts w:hint="eastAsia"/>
          <w:kern w:val="0"/>
          <w:sz w:val="24"/>
        </w:rPr>
        <w:t>）</w:t>
      </w:r>
      <w:r>
        <w:rPr>
          <w:kern w:val="0"/>
          <w:sz w:val="24"/>
        </w:rPr>
        <w:t>61055050</w:t>
      </w:r>
    </w:p>
    <w:p>
      <w:pPr>
        <w:widowControl/>
        <w:adjustRightInd w:val="0"/>
        <w:snapToGrid w:val="0"/>
        <w:spacing w:line="360" w:lineRule="auto"/>
        <w:ind w:firstLine="480" w:firstLineChars="200"/>
        <w:rPr>
          <w:kern w:val="0"/>
          <w:sz w:val="24"/>
        </w:rPr>
      </w:pPr>
      <w:r>
        <w:rPr>
          <w:rFonts w:hAnsi="宋体"/>
          <w:kern w:val="0"/>
          <w:sz w:val="24"/>
        </w:rPr>
        <w:t>传真：</w:t>
      </w:r>
      <w:r>
        <w:rPr>
          <w:rFonts w:hint="eastAsia" w:hAnsi="宋体"/>
          <w:kern w:val="0"/>
          <w:sz w:val="24"/>
        </w:rPr>
        <w:t>（</w:t>
      </w:r>
      <w:r>
        <w:rPr>
          <w:kern w:val="0"/>
          <w:sz w:val="24"/>
        </w:rPr>
        <w:t>021</w:t>
      </w:r>
      <w:r>
        <w:rPr>
          <w:rFonts w:hint="eastAsia"/>
          <w:kern w:val="0"/>
          <w:sz w:val="24"/>
        </w:rPr>
        <w:t>）</w:t>
      </w:r>
      <w:r>
        <w:rPr>
          <w:kern w:val="0"/>
          <w:sz w:val="24"/>
        </w:rPr>
        <w:t>61055034</w:t>
      </w:r>
    </w:p>
    <w:p>
      <w:pPr>
        <w:widowControl/>
        <w:adjustRightInd w:val="0"/>
        <w:snapToGrid w:val="0"/>
        <w:spacing w:line="360" w:lineRule="auto"/>
        <w:ind w:firstLine="480" w:firstLineChars="20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0" w:type="dxa"/>
          </w:tcPr>
          <w:p>
            <w:pPr>
              <w:widowControl/>
              <w:jc w:val="center"/>
              <w:rPr>
                <w:kern w:val="0"/>
                <w:sz w:val="24"/>
              </w:rPr>
            </w:pPr>
            <w:r>
              <w:rPr>
                <w:rFonts w:hAnsi="宋体"/>
                <w:kern w:val="0"/>
                <w:sz w:val="24"/>
              </w:rPr>
              <w:t>股东名称</w:t>
            </w:r>
          </w:p>
        </w:tc>
        <w:tc>
          <w:tcPr>
            <w:tcW w:w="3060" w:type="dxa"/>
          </w:tcPr>
          <w:p>
            <w:pPr>
              <w:widowControl/>
              <w:jc w:val="center"/>
              <w:rPr>
                <w:kern w:val="0"/>
                <w:sz w:val="24"/>
              </w:rPr>
            </w:pPr>
            <w:r>
              <w:rPr>
                <w:rFonts w:hAnsi="宋体"/>
                <w:kern w:val="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0" w:type="dxa"/>
          </w:tcPr>
          <w:p>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pPr>
              <w:widowControl/>
              <w:jc w:val="center"/>
              <w:rPr>
                <w:kern w:val="0"/>
                <w:sz w:val="24"/>
              </w:rPr>
            </w:pPr>
            <w:r>
              <w:rPr>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rPr>
                <w:kern w:val="0"/>
                <w:sz w:val="24"/>
              </w:rPr>
            </w:pPr>
            <w:r>
              <w:rPr>
                <w:rFonts w:hAnsi="宋体"/>
                <w:kern w:val="0"/>
                <w:sz w:val="24"/>
              </w:rPr>
              <w:t>施罗德投资管理有限公司</w:t>
            </w:r>
          </w:p>
        </w:tc>
        <w:tc>
          <w:tcPr>
            <w:tcW w:w="3060" w:type="dxa"/>
            <w:vAlign w:val="center"/>
          </w:tcPr>
          <w:p>
            <w:pPr>
              <w:widowControl/>
              <w:jc w:val="center"/>
              <w:rPr>
                <w:kern w:val="0"/>
                <w:sz w:val="24"/>
              </w:rPr>
            </w:pPr>
            <w:r>
              <w:rPr>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400" w:type="dxa"/>
          </w:tcPr>
          <w:p>
            <w:pPr>
              <w:widowControl/>
              <w:rPr>
                <w:kern w:val="0"/>
                <w:sz w:val="24"/>
              </w:rPr>
            </w:pPr>
            <w:r>
              <w:rPr>
                <w:rFonts w:hAnsi="宋体"/>
                <w:kern w:val="0"/>
                <w:sz w:val="24"/>
              </w:rPr>
              <w:t>中国国际海运集装箱（集团）股份有限公司</w:t>
            </w:r>
          </w:p>
        </w:tc>
        <w:tc>
          <w:tcPr>
            <w:tcW w:w="3060" w:type="dxa"/>
            <w:vAlign w:val="center"/>
          </w:tcPr>
          <w:p>
            <w:pPr>
              <w:widowControl/>
              <w:jc w:val="center"/>
              <w:rPr>
                <w:kern w:val="0"/>
                <w:sz w:val="24"/>
              </w:rPr>
            </w:pPr>
            <w:r>
              <w:rPr>
                <w:kern w:val="0"/>
                <w:sz w:val="24"/>
              </w:rPr>
              <w:t>5%</w:t>
            </w:r>
          </w:p>
        </w:tc>
      </w:tr>
    </w:tbl>
    <w:p>
      <w:pPr>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2" w:firstLineChars="200"/>
        <w:outlineLvl w:val="1"/>
        <w:rPr>
          <w:rFonts w:hAnsi="宋体"/>
          <w:b/>
          <w:kern w:val="0"/>
          <w:sz w:val="24"/>
        </w:rPr>
      </w:pPr>
      <w:r>
        <w:rPr>
          <w:rFonts w:hAnsi="宋体"/>
          <w:b/>
          <w:kern w:val="0"/>
          <w:sz w:val="24"/>
        </w:rPr>
        <w:t>（二）主要成员情况</w:t>
      </w:r>
    </w:p>
    <w:p>
      <w:pPr>
        <w:widowControl/>
        <w:adjustRightInd w:val="0"/>
        <w:snapToGrid w:val="0"/>
        <w:spacing w:line="360" w:lineRule="auto"/>
        <w:ind w:firstLine="480" w:firstLineChars="200"/>
        <w:outlineLvl w:val="2"/>
        <w:rPr>
          <w:kern w:val="0"/>
          <w:sz w:val="24"/>
        </w:rPr>
      </w:pPr>
      <w:r>
        <w:rPr>
          <w:rFonts w:hint="eastAsia"/>
          <w:kern w:val="0"/>
          <w:sz w:val="24"/>
        </w:rPr>
        <w:t>1、基金管理人董事会成员</w:t>
      </w:r>
    </w:p>
    <w:p>
      <w:pPr>
        <w:widowControl/>
        <w:adjustRightInd w:val="0"/>
        <w:snapToGrid w:val="0"/>
        <w:spacing w:line="360" w:lineRule="auto"/>
        <w:ind w:firstLine="480" w:firstLineChars="200"/>
        <w:rPr>
          <w:kern w:val="0"/>
          <w:sz w:val="24"/>
        </w:rPr>
      </w:pPr>
      <w:r>
        <w:rPr>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widowControl/>
        <w:adjustRightInd w:val="0"/>
        <w:snapToGrid w:val="0"/>
        <w:spacing w:line="360" w:lineRule="auto"/>
        <w:ind w:firstLine="480" w:firstLineChars="200"/>
        <w:rPr>
          <w:kern w:val="0"/>
          <w:sz w:val="24"/>
        </w:rPr>
      </w:pPr>
      <w:r>
        <w:rPr>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pPr>
        <w:widowControl/>
        <w:adjustRightInd w:val="0"/>
        <w:snapToGrid w:val="0"/>
        <w:spacing w:line="360" w:lineRule="auto"/>
        <w:ind w:firstLine="480" w:firstLineChars="200"/>
        <w:rPr>
          <w:kern w:val="0"/>
          <w:sz w:val="24"/>
        </w:rPr>
      </w:pPr>
      <w:r>
        <w:rPr>
          <w:kern w:val="0"/>
          <w:sz w:val="24"/>
        </w:rPr>
        <w:t>周曦女士，董事，硕士。现任交通银行总行个人金融业务部副总经理。历任交通银行湖南省分行风险管理部、资产保全部、法律合规部、个人金融业务部总经理，交通银行总行个人金融业务部总经理助理。</w:t>
      </w:r>
    </w:p>
    <w:p>
      <w:pPr>
        <w:widowControl/>
        <w:adjustRightInd w:val="0"/>
        <w:snapToGrid w:val="0"/>
        <w:spacing w:line="360" w:lineRule="auto"/>
        <w:ind w:firstLine="480" w:firstLineChars="200"/>
        <w:rPr>
          <w:kern w:val="0"/>
          <w:sz w:val="24"/>
        </w:rPr>
      </w:pPr>
      <w:r>
        <w:rPr>
          <w:kern w:val="0"/>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p>
    <w:p>
      <w:pPr>
        <w:widowControl/>
        <w:adjustRightInd w:val="0"/>
        <w:snapToGrid w:val="0"/>
        <w:spacing w:line="360" w:lineRule="auto"/>
        <w:ind w:firstLine="480" w:firstLineChars="200"/>
        <w:rPr>
          <w:kern w:val="0"/>
          <w:sz w:val="24"/>
        </w:rPr>
      </w:pPr>
      <w:r>
        <w:rPr>
          <w:kern w:val="0"/>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widowControl/>
        <w:adjustRightInd w:val="0"/>
        <w:snapToGrid w:val="0"/>
        <w:spacing w:line="360" w:lineRule="auto"/>
        <w:ind w:firstLine="480" w:firstLineChars="200"/>
        <w:rPr>
          <w:kern w:val="0"/>
          <w:sz w:val="24"/>
        </w:rPr>
      </w:pPr>
      <w:r>
        <w:rPr>
          <w:kern w:val="0"/>
          <w:sz w:val="24"/>
        </w:rPr>
        <w:t>李定邦（Lieven Debruyne）先生，董事，硕士。现任施罗德集团全球业务总裁、亚太区行政总裁, 担任集团管理委员会成员。历任施罗德投资管理有限公司亚洲投资产品总监，施罗德投资管理（香港）有限公司行政总裁兼亚太区基金业务拓展总监。</w:t>
      </w:r>
    </w:p>
    <w:p>
      <w:pPr>
        <w:widowControl/>
        <w:adjustRightInd w:val="0"/>
        <w:snapToGrid w:val="0"/>
        <w:spacing w:line="360" w:lineRule="auto"/>
        <w:ind w:firstLine="480" w:firstLineChars="200"/>
        <w:rPr>
          <w:kern w:val="0"/>
          <w:sz w:val="24"/>
        </w:rPr>
      </w:pPr>
      <w:r>
        <w:rPr>
          <w:kern w:val="0"/>
          <w:sz w:val="24"/>
        </w:rPr>
        <w:t>郝爱群女士，独立董事，学士。历任人民银行稽核司副处长、处长，合作司调研员，非银司副巡视员、副司长，银监会非银部副主任，银行监管一部副主任、巡视员，汇金公司派出董事。</w:t>
      </w:r>
    </w:p>
    <w:p>
      <w:pPr>
        <w:widowControl/>
        <w:adjustRightInd w:val="0"/>
        <w:snapToGrid w:val="0"/>
        <w:spacing w:line="360" w:lineRule="auto"/>
        <w:ind w:firstLine="480" w:firstLineChars="200"/>
        <w:rPr>
          <w:kern w:val="0"/>
          <w:sz w:val="24"/>
        </w:rPr>
      </w:pPr>
      <w:r>
        <w:rPr>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widowControl/>
        <w:adjustRightInd w:val="0"/>
        <w:snapToGrid w:val="0"/>
        <w:spacing w:line="360" w:lineRule="auto"/>
        <w:ind w:firstLine="480" w:firstLineChars="200"/>
        <w:rPr>
          <w:kern w:val="0"/>
          <w:sz w:val="24"/>
        </w:rPr>
      </w:pPr>
      <w:r>
        <w:rPr>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widowControl/>
        <w:adjustRightInd w:val="0"/>
        <w:snapToGrid w:val="0"/>
        <w:spacing w:line="360" w:lineRule="auto"/>
        <w:ind w:firstLine="480" w:firstLineChars="200"/>
        <w:outlineLvl w:val="2"/>
        <w:rPr>
          <w:kern w:val="0"/>
          <w:sz w:val="24"/>
        </w:rPr>
      </w:pPr>
      <w:r>
        <w:rPr>
          <w:rFonts w:hint="eastAsia"/>
          <w:kern w:val="0"/>
          <w:sz w:val="24"/>
        </w:rPr>
        <w:t>2、基金管理人监事会成员</w:t>
      </w:r>
    </w:p>
    <w:p>
      <w:pPr>
        <w:widowControl/>
        <w:adjustRightInd w:val="0"/>
        <w:snapToGrid w:val="0"/>
        <w:spacing w:line="360" w:lineRule="auto"/>
        <w:ind w:firstLine="480" w:firstLineChars="200"/>
        <w:rPr>
          <w:kern w:val="0"/>
          <w:sz w:val="24"/>
        </w:rPr>
      </w:pPr>
      <w:r>
        <w:rPr>
          <w:kern w:val="0"/>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pPr>
        <w:widowControl/>
        <w:adjustRightInd w:val="0"/>
        <w:snapToGrid w:val="0"/>
        <w:spacing w:line="360" w:lineRule="auto"/>
        <w:ind w:firstLine="480" w:firstLineChars="200"/>
        <w:rPr>
          <w:kern w:val="0"/>
          <w:sz w:val="24"/>
        </w:rPr>
      </w:pPr>
      <w:r>
        <w:rPr>
          <w:kern w:val="0"/>
          <w:sz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pPr>
        <w:widowControl/>
        <w:adjustRightInd w:val="0"/>
        <w:snapToGrid w:val="0"/>
        <w:spacing w:line="360" w:lineRule="auto"/>
        <w:ind w:firstLine="480" w:firstLineChars="200"/>
        <w:rPr>
          <w:kern w:val="0"/>
          <w:sz w:val="24"/>
        </w:rPr>
      </w:pPr>
      <w:r>
        <w:rPr>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pPr>
        <w:widowControl/>
        <w:adjustRightInd w:val="0"/>
        <w:snapToGrid w:val="0"/>
        <w:spacing w:line="360" w:lineRule="auto"/>
        <w:ind w:firstLine="480" w:firstLineChars="200"/>
        <w:rPr>
          <w:kern w:val="0"/>
          <w:sz w:val="24"/>
        </w:rPr>
      </w:pPr>
      <w:r>
        <w:rPr>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pPr>
        <w:widowControl/>
        <w:adjustRightInd w:val="0"/>
        <w:snapToGrid w:val="0"/>
        <w:spacing w:line="360" w:lineRule="auto"/>
        <w:ind w:firstLine="480" w:firstLineChars="200"/>
        <w:rPr>
          <w:kern w:val="0"/>
          <w:sz w:val="24"/>
        </w:rPr>
      </w:pPr>
      <w:r>
        <w:rPr>
          <w:kern w:val="0"/>
          <w:sz w:val="24"/>
        </w:rPr>
        <w:t>3、基金管理人高级管理人员</w:t>
      </w:r>
    </w:p>
    <w:p>
      <w:pPr>
        <w:widowControl/>
        <w:adjustRightInd w:val="0"/>
        <w:snapToGrid w:val="0"/>
        <w:spacing w:line="360" w:lineRule="auto"/>
        <w:ind w:firstLine="480" w:firstLineChars="200"/>
        <w:rPr>
          <w:kern w:val="0"/>
          <w:sz w:val="24"/>
        </w:rPr>
      </w:pPr>
      <w:r>
        <w:rPr>
          <w:kern w:val="0"/>
          <w:sz w:val="24"/>
        </w:rPr>
        <w:t>谢卫先生，总经理。简历同上。</w:t>
      </w:r>
    </w:p>
    <w:p>
      <w:pPr>
        <w:widowControl/>
        <w:adjustRightInd w:val="0"/>
        <w:snapToGrid w:val="0"/>
        <w:spacing w:line="360" w:lineRule="auto"/>
        <w:ind w:firstLine="480" w:firstLineChars="200"/>
        <w:rPr>
          <w:kern w:val="0"/>
          <w:sz w:val="24"/>
        </w:rPr>
      </w:pPr>
      <w:r>
        <w:rPr>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pPr>
        <w:widowControl/>
        <w:adjustRightInd w:val="0"/>
        <w:snapToGrid w:val="0"/>
        <w:spacing w:line="360" w:lineRule="auto"/>
        <w:ind w:firstLine="480" w:firstLineChars="200"/>
        <w:rPr>
          <w:kern w:val="0"/>
          <w:sz w:val="24"/>
        </w:rPr>
      </w:pPr>
      <w:r>
        <w:rPr>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widowControl/>
        <w:adjustRightInd w:val="0"/>
        <w:snapToGrid w:val="0"/>
        <w:spacing w:line="360" w:lineRule="auto"/>
        <w:ind w:firstLine="480" w:firstLineChars="200"/>
        <w:rPr>
          <w:kern w:val="0"/>
          <w:sz w:val="24"/>
        </w:rPr>
      </w:pPr>
      <w:r>
        <w:rPr>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kern w:val="0"/>
          <w:sz w:val="24"/>
        </w:rPr>
      </w:pPr>
      <w:r>
        <w:rPr>
          <w:kern w:val="0"/>
          <w:sz w:val="24"/>
        </w:rPr>
        <w:t>马俊先生，副总经理，硕士。历任交通银行总行投资管理部高级投资分析、副高级经理，交银施罗德基金管理有限公司总裁办公室总经理、研究部副总经理、研究总监、综合管理部总经理。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outlineLvl w:val="2"/>
        <w:rPr>
          <w:kern w:val="0"/>
          <w:sz w:val="24"/>
        </w:rPr>
      </w:pPr>
      <w:bookmarkStart w:id="108" w:name="_GoBack"/>
      <w:bookmarkEnd w:id="108"/>
      <w:r>
        <w:rPr>
          <w:kern w:val="0"/>
          <w:sz w:val="24"/>
        </w:rPr>
        <w:t>4</w:t>
      </w:r>
      <w:r>
        <w:rPr>
          <w:rFonts w:hAnsi="宋体"/>
          <w:kern w:val="0"/>
          <w:sz w:val="24"/>
        </w:rPr>
        <w:t>、本基金基金经理</w:t>
      </w:r>
    </w:p>
    <w:p>
      <w:pPr>
        <w:widowControl/>
        <w:adjustRightInd w:val="0"/>
        <w:snapToGrid w:val="0"/>
        <w:spacing w:line="360" w:lineRule="auto"/>
        <w:ind w:firstLine="480" w:firstLineChars="200"/>
        <w:rPr>
          <w:rFonts w:hAnsi="宋体"/>
          <w:kern w:val="0"/>
          <w:sz w:val="24"/>
        </w:rPr>
      </w:pPr>
      <w:r>
        <w:rPr>
          <w:rFonts w:hint="eastAsia"/>
          <w:kern w:val="0"/>
          <w:sz w:val="24"/>
        </w:rPr>
        <w:t>周中先生，基金经理。复旦大学金融学硕士、南京大学工学学士，12年证券投资行业从业经验。2009年至2010年任野村证券亚太区股票研究部研究助理，2010年至2013年任中银国际证券研究部研究员、高级经理，2013年至2015年任瑞银证券研究部行业分析师、董事。2015年加入交银施罗德基金管理有限公司，现任跨境投资部基金经理。曾任交银施罗德全球自然资源证券投资基金（2015年12月12日至2019年09月19日）的基金经理。现任交银施罗德环球精选价值证券投资基金（2015年12月12日至今）、交银施罗德创新成长混合型证券投资基金（2018年09月27日至今）、</w:t>
      </w:r>
      <w:r>
        <w:rPr>
          <w:rFonts w:hint="eastAsia" w:hAnsi="宋体"/>
          <w:kern w:val="0"/>
          <w:sz w:val="24"/>
        </w:rPr>
        <w:t>交银施罗德启欣混合型证券投资基金（2020年10月28日至今）</w:t>
      </w:r>
      <w:r>
        <w:rPr>
          <w:rFonts w:hint="eastAsia"/>
          <w:kern w:val="0"/>
          <w:sz w:val="24"/>
        </w:rPr>
        <w:t>、交银施罗德启道混合型证券投资基金（</w:t>
      </w:r>
      <w:r>
        <w:rPr>
          <w:rFonts w:hint="eastAsia" w:hAnsi="宋体"/>
          <w:kern w:val="0"/>
          <w:sz w:val="24"/>
        </w:rPr>
        <w:t>2021年1月28日至今</w:t>
      </w:r>
      <w:r>
        <w:rPr>
          <w:rFonts w:hint="eastAsia"/>
          <w:kern w:val="0"/>
          <w:sz w:val="24"/>
        </w:rPr>
        <w:t>）的基金经理。</w:t>
      </w:r>
    </w:p>
    <w:p>
      <w:pPr>
        <w:adjustRightInd w:val="0"/>
        <w:snapToGrid w:val="0"/>
        <w:spacing w:line="360" w:lineRule="auto"/>
        <w:ind w:firstLine="480" w:firstLineChars="200"/>
        <w:outlineLvl w:val="2"/>
        <w:rPr>
          <w:rFonts w:hAnsi="宋体"/>
          <w:kern w:val="0"/>
          <w:sz w:val="24"/>
        </w:rPr>
      </w:pPr>
      <w:r>
        <w:rPr>
          <w:rFonts w:hAnsi="宋体"/>
          <w:kern w:val="0"/>
          <w:sz w:val="24"/>
        </w:rPr>
        <w:t>5、投资决策委员会成员</w:t>
      </w:r>
    </w:p>
    <w:p>
      <w:pPr>
        <w:autoSpaceDE w:val="0"/>
        <w:autoSpaceDN w:val="0"/>
        <w:adjustRightInd w:val="0"/>
        <w:snapToGrid w:val="0"/>
        <w:spacing w:line="360" w:lineRule="auto"/>
        <w:ind w:firstLine="480" w:firstLineChars="200"/>
        <w:jc w:val="left"/>
        <w:rPr>
          <w:rFonts w:ascii="宋体" w:hAnsi="宋体"/>
          <w:szCs w:val="24"/>
        </w:rPr>
      </w:pPr>
      <w:r>
        <w:rPr>
          <w:sz w:val="24"/>
        </w:rPr>
        <w:t>委员：谢卫（总经理）</w:t>
      </w:r>
    </w:p>
    <w:p>
      <w:pPr>
        <w:autoSpaceDE w:val="0"/>
        <w:autoSpaceDN w:val="0"/>
        <w:adjustRightInd w:val="0"/>
        <w:snapToGrid w:val="0"/>
        <w:spacing w:line="360" w:lineRule="auto"/>
        <w:ind w:firstLine="480" w:firstLineChars="200"/>
        <w:jc w:val="left"/>
        <w:rPr>
          <w:rFonts w:ascii="宋体" w:hAnsi="宋体"/>
          <w:szCs w:val="24"/>
        </w:rPr>
      </w:pPr>
      <w:r>
        <w:rPr>
          <w:sz w:val="24"/>
        </w:rPr>
        <w:t>马俊（副总经理）</w:t>
      </w:r>
    </w:p>
    <w:p>
      <w:pPr>
        <w:autoSpaceDE w:val="0"/>
        <w:autoSpaceDN w:val="0"/>
        <w:adjustRightInd w:val="0"/>
        <w:snapToGrid w:val="0"/>
        <w:spacing w:line="360" w:lineRule="auto"/>
        <w:ind w:firstLine="480" w:firstLineChars="200"/>
        <w:jc w:val="left"/>
        <w:rPr>
          <w:rFonts w:ascii="宋体" w:hAnsi="宋体"/>
          <w:szCs w:val="24"/>
        </w:rPr>
      </w:pPr>
      <w:r>
        <w:rPr>
          <w:sz w:val="24"/>
        </w:rPr>
        <w:t>王少成（权益投资总监、基金经理）</w:t>
      </w:r>
    </w:p>
    <w:p>
      <w:pPr>
        <w:adjustRightInd w:val="0"/>
        <w:snapToGrid w:val="0"/>
        <w:spacing w:line="360" w:lineRule="auto"/>
        <w:ind w:firstLine="480" w:firstLineChars="200"/>
        <w:rPr>
          <w:sz w:val="24"/>
        </w:rPr>
      </w:pPr>
      <w:r>
        <w:rPr>
          <w:sz w:val="24"/>
        </w:rPr>
        <w:t>于海颖（固定收益（公募）投资总监、基金经理）</w:t>
      </w:r>
    </w:p>
    <w:p>
      <w:pPr>
        <w:adjustRightInd w:val="0"/>
        <w:snapToGrid w:val="0"/>
        <w:spacing w:line="360" w:lineRule="auto"/>
        <w:ind w:firstLine="480" w:firstLineChars="200"/>
        <w:rPr>
          <w:rFonts w:ascii="宋体" w:hAnsi="宋体"/>
          <w:kern w:val="0"/>
          <w:sz w:val="24"/>
        </w:rPr>
      </w:pPr>
      <w:r>
        <w:rPr>
          <w:rFonts w:ascii="宋体" w:hAnsi="宋体"/>
          <w:kern w:val="0"/>
          <w:sz w:val="24"/>
        </w:rPr>
        <w:t>上述人员之间</w:t>
      </w:r>
      <w:r>
        <w:rPr>
          <w:rFonts w:hint="eastAsia" w:ascii="宋体" w:hAnsi="宋体"/>
          <w:kern w:val="0"/>
          <w:sz w:val="24"/>
        </w:rPr>
        <w:t>不存在</w:t>
      </w:r>
      <w:r>
        <w:rPr>
          <w:rFonts w:ascii="宋体" w:hAnsi="宋体"/>
          <w:kern w:val="0"/>
          <w:sz w:val="24"/>
        </w:rPr>
        <w:t>近亲属关系。</w:t>
      </w:r>
    </w:p>
    <w:p>
      <w:pPr>
        <w:widowControl/>
        <w:adjustRightInd w:val="0"/>
        <w:snapToGrid w:val="0"/>
        <w:spacing w:line="360" w:lineRule="auto"/>
        <w:ind w:firstLine="482" w:firstLineChars="200"/>
        <w:outlineLvl w:val="1"/>
        <w:rPr>
          <w:b/>
          <w:kern w:val="0"/>
          <w:sz w:val="24"/>
        </w:rPr>
      </w:pPr>
      <w:r>
        <w:rPr>
          <w:rFonts w:hAnsi="宋体"/>
          <w:b/>
          <w:kern w:val="0"/>
          <w:sz w:val="24"/>
        </w:rPr>
        <w:t>（三）基金管理人的职责</w:t>
      </w:r>
    </w:p>
    <w:p>
      <w:pPr>
        <w:adjustRightInd w:val="0"/>
        <w:snapToGrid w:val="0"/>
        <w:spacing w:line="360" w:lineRule="auto"/>
        <w:ind w:firstLine="480" w:firstLineChars="200"/>
        <w:rPr>
          <w:sz w:val="24"/>
          <w:szCs w:val="24"/>
        </w:rPr>
      </w:pPr>
      <w:r>
        <w:rPr>
          <w:sz w:val="24"/>
          <w:szCs w:val="24"/>
        </w:rPr>
        <w:t>1、依法募集资金，办理或者委托经中国证监会认定的其他机构办理基金份额的发售、申购、赎回和登记事宜；</w:t>
      </w:r>
    </w:p>
    <w:p>
      <w:pPr>
        <w:adjustRightInd w:val="0"/>
        <w:snapToGrid w:val="0"/>
        <w:spacing w:line="360" w:lineRule="auto"/>
        <w:ind w:firstLine="480" w:firstLineChars="200"/>
        <w:rPr>
          <w:sz w:val="24"/>
          <w:szCs w:val="24"/>
        </w:rPr>
      </w:pPr>
      <w:r>
        <w:rPr>
          <w:sz w:val="24"/>
          <w:szCs w:val="24"/>
        </w:rPr>
        <w:t>2、办理基金备案手续；</w:t>
      </w:r>
    </w:p>
    <w:p>
      <w:pPr>
        <w:adjustRightInd w:val="0"/>
        <w:snapToGrid w:val="0"/>
        <w:spacing w:line="360" w:lineRule="auto"/>
        <w:ind w:firstLine="480" w:firstLineChars="200"/>
        <w:rPr>
          <w:sz w:val="24"/>
          <w:szCs w:val="24"/>
        </w:rPr>
      </w:pPr>
      <w:r>
        <w:rPr>
          <w:sz w:val="24"/>
          <w:szCs w:val="24"/>
        </w:rPr>
        <w:t>3、对所管理的不同基金财产分别管理、分别记账，进行证券投资；</w:t>
      </w:r>
    </w:p>
    <w:p>
      <w:pPr>
        <w:adjustRightInd w:val="0"/>
        <w:snapToGrid w:val="0"/>
        <w:spacing w:line="360" w:lineRule="auto"/>
        <w:ind w:firstLine="480" w:firstLineChars="200"/>
        <w:rPr>
          <w:sz w:val="24"/>
          <w:szCs w:val="24"/>
        </w:rPr>
      </w:pPr>
      <w:r>
        <w:rPr>
          <w:sz w:val="24"/>
          <w:szCs w:val="24"/>
        </w:rPr>
        <w:t>4、按照基金合同的约定确定基金收益分配方案，及时向基金份额持有人分配收益；</w:t>
      </w:r>
    </w:p>
    <w:p>
      <w:pPr>
        <w:adjustRightInd w:val="0"/>
        <w:snapToGrid w:val="0"/>
        <w:spacing w:line="360" w:lineRule="auto"/>
        <w:ind w:firstLine="480" w:firstLineChars="200"/>
        <w:rPr>
          <w:sz w:val="24"/>
          <w:szCs w:val="24"/>
        </w:rPr>
      </w:pPr>
      <w:r>
        <w:rPr>
          <w:sz w:val="24"/>
          <w:szCs w:val="24"/>
        </w:rPr>
        <w:t>5、进行基金会计核算并编制基金财务会计报告；</w:t>
      </w:r>
    </w:p>
    <w:p>
      <w:pPr>
        <w:adjustRightInd w:val="0"/>
        <w:snapToGrid w:val="0"/>
        <w:spacing w:line="360" w:lineRule="auto"/>
        <w:ind w:firstLine="480" w:firstLineChars="200"/>
        <w:rPr>
          <w:sz w:val="24"/>
          <w:szCs w:val="24"/>
        </w:rPr>
      </w:pPr>
      <w:r>
        <w:rPr>
          <w:sz w:val="24"/>
          <w:szCs w:val="24"/>
        </w:rPr>
        <w:t>6、编制季度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pPr>
        <w:adjustRightInd w:val="0"/>
        <w:snapToGrid w:val="0"/>
        <w:spacing w:line="360" w:lineRule="auto"/>
        <w:ind w:firstLine="480" w:firstLineChars="200"/>
        <w:rPr>
          <w:sz w:val="24"/>
          <w:szCs w:val="24"/>
        </w:rPr>
      </w:pPr>
      <w:r>
        <w:rPr>
          <w:sz w:val="24"/>
          <w:szCs w:val="24"/>
        </w:rPr>
        <w:t>7、计算并公告基金</w:t>
      </w:r>
      <w:r>
        <w:rPr>
          <w:rFonts w:hint="eastAsia"/>
          <w:bCs/>
          <w:sz w:val="24"/>
        </w:rPr>
        <w:t>净值信息</w:t>
      </w:r>
      <w:r>
        <w:rPr>
          <w:sz w:val="24"/>
          <w:szCs w:val="24"/>
        </w:rPr>
        <w:t>，确定基金份额申购、赎回价格；</w:t>
      </w:r>
    </w:p>
    <w:p>
      <w:pPr>
        <w:adjustRightInd w:val="0"/>
        <w:snapToGrid w:val="0"/>
        <w:spacing w:line="360" w:lineRule="auto"/>
        <w:ind w:firstLine="480" w:firstLineChars="200"/>
        <w:rPr>
          <w:sz w:val="24"/>
          <w:szCs w:val="24"/>
        </w:rPr>
      </w:pPr>
      <w:r>
        <w:rPr>
          <w:sz w:val="24"/>
          <w:szCs w:val="24"/>
        </w:rPr>
        <w:t>8、办理与基金财产管理业务活动有关的信息披露事项；</w:t>
      </w:r>
    </w:p>
    <w:p>
      <w:pPr>
        <w:adjustRightInd w:val="0"/>
        <w:snapToGrid w:val="0"/>
        <w:spacing w:line="360" w:lineRule="auto"/>
        <w:ind w:firstLine="480" w:firstLineChars="200"/>
        <w:rPr>
          <w:sz w:val="24"/>
          <w:szCs w:val="24"/>
        </w:rPr>
      </w:pPr>
      <w:r>
        <w:rPr>
          <w:sz w:val="24"/>
          <w:szCs w:val="24"/>
        </w:rPr>
        <w:t>9、按照规定召集基金份额持有人大会；</w:t>
      </w:r>
    </w:p>
    <w:p>
      <w:pPr>
        <w:adjustRightInd w:val="0"/>
        <w:snapToGrid w:val="0"/>
        <w:spacing w:line="360" w:lineRule="auto"/>
        <w:ind w:firstLine="480" w:firstLineChars="200"/>
        <w:rPr>
          <w:sz w:val="24"/>
          <w:szCs w:val="24"/>
        </w:rPr>
      </w:pPr>
      <w:r>
        <w:rPr>
          <w:sz w:val="24"/>
          <w:szCs w:val="24"/>
        </w:rPr>
        <w:t>10、保存基金财产管理业务活动的记录、账册、报表和其他相关资料；</w:t>
      </w:r>
    </w:p>
    <w:p>
      <w:pPr>
        <w:adjustRightInd w:val="0"/>
        <w:snapToGrid w:val="0"/>
        <w:spacing w:line="360" w:lineRule="auto"/>
        <w:ind w:firstLine="480" w:firstLineChars="200"/>
        <w:rPr>
          <w:sz w:val="24"/>
          <w:szCs w:val="24"/>
        </w:rPr>
      </w:pPr>
      <w:r>
        <w:rPr>
          <w:sz w:val="24"/>
          <w:szCs w:val="24"/>
        </w:rPr>
        <w:t>11、以基金管理人名义，代表基金份额持有人利益行使诉讼权利或者实施其他法律行为；</w:t>
      </w:r>
    </w:p>
    <w:p>
      <w:pPr>
        <w:adjustRightInd w:val="0"/>
        <w:snapToGrid w:val="0"/>
        <w:spacing w:line="360" w:lineRule="auto"/>
        <w:ind w:firstLine="480" w:firstLineChars="200"/>
        <w:rPr>
          <w:sz w:val="24"/>
          <w:szCs w:val="24"/>
        </w:rPr>
      </w:pPr>
      <w:r>
        <w:rPr>
          <w:sz w:val="24"/>
          <w:szCs w:val="24"/>
        </w:rPr>
        <w:t>12、有关法律法规和中国证监会规定的其他职责。</w:t>
      </w:r>
    </w:p>
    <w:p>
      <w:pPr>
        <w:widowControl/>
        <w:adjustRightInd w:val="0"/>
        <w:snapToGrid w:val="0"/>
        <w:spacing w:line="360" w:lineRule="auto"/>
        <w:ind w:firstLine="482" w:firstLineChars="200"/>
        <w:jc w:val="left"/>
        <w:outlineLvl w:val="1"/>
        <w:rPr>
          <w:b/>
          <w:kern w:val="0"/>
          <w:sz w:val="24"/>
        </w:rPr>
      </w:pPr>
      <w:r>
        <w:rPr>
          <w:rFonts w:hAnsi="宋体"/>
          <w:b/>
          <w:kern w:val="0"/>
          <w:sz w:val="24"/>
        </w:rPr>
        <w:t>（四）基金管理人的承诺</w:t>
      </w:r>
    </w:p>
    <w:p>
      <w:pPr>
        <w:adjustRightInd w:val="0"/>
        <w:snapToGrid w:val="0"/>
        <w:spacing w:line="360" w:lineRule="auto"/>
        <w:ind w:firstLine="480" w:firstLineChars="200"/>
        <w:rPr>
          <w:sz w:val="24"/>
          <w:szCs w:val="24"/>
        </w:rPr>
      </w:pPr>
      <w:r>
        <w:rPr>
          <w:sz w:val="24"/>
          <w:szCs w:val="24"/>
        </w:rPr>
        <w:t>1、基金管理人承诺不从事违反《中华人民共和国证券法》的行为，并承诺建立健全内部控制制度，采取有效措施，防止违反《中华人民共和国证券法》行为的发生；</w:t>
      </w:r>
    </w:p>
    <w:p>
      <w:pPr>
        <w:adjustRightInd w:val="0"/>
        <w:snapToGrid w:val="0"/>
        <w:spacing w:line="360" w:lineRule="auto"/>
        <w:ind w:firstLine="480" w:firstLineChars="200"/>
        <w:rPr>
          <w:sz w:val="24"/>
          <w:szCs w:val="24"/>
        </w:rPr>
      </w:pPr>
      <w:r>
        <w:rPr>
          <w:sz w:val="24"/>
          <w:szCs w:val="24"/>
        </w:rPr>
        <w:t>2、基金管理人承诺不从事违反《基金法》的行为，并承诺建立健全内部风险控制制度，采取有效措施，防止下列行为的发生：</w:t>
      </w:r>
    </w:p>
    <w:p>
      <w:pPr>
        <w:adjustRightInd w:val="0"/>
        <w:snapToGrid w:val="0"/>
        <w:spacing w:line="360" w:lineRule="auto"/>
        <w:ind w:firstLine="480" w:firstLineChars="200"/>
        <w:rPr>
          <w:sz w:val="24"/>
          <w:szCs w:val="24"/>
        </w:rPr>
      </w:pPr>
      <w:r>
        <w:rPr>
          <w:sz w:val="24"/>
          <w:szCs w:val="24"/>
        </w:rPr>
        <w:t>（1）将基金管理人固有财产或者他人财产混同于基金财产从事证券投资；</w:t>
      </w:r>
    </w:p>
    <w:p>
      <w:pPr>
        <w:adjustRightInd w:val="0"/>
        <w:snapToGrid w:val="0"/>
        <w:spacing w:line="360" w:lineRule="auto"/>
        <w:ind w:firstLine="480" w:firstLineChars="200"/>
        <w:rPr>
          <w:sz w:val="24"/>
          <w:szCs w:val="24"/>
        </w:rPr>
      </w:pPr>
      <w:r>
        <w:rPr>
          <w:sz w:val="24"/>
          <w:szCs w:val="24"/>
        </w:rPr>
        <w:t>（2）不公平地对待管理的不同基金财产；</w:t>
      </w:r>
    </w:p>
    <w:p>
      <w:pPr>
        <w:adjustRightInd w:val="0"/>
        <w:snapToGrid w:val="0"/>
        <w:spacing w:line="360" w:lineRule="auto"/>
        <w:ind w:firstLine="480" w:firstLineChars="200"/>
        <w:rPr>
          <w:sz w:val="24"/>
          <w:szCs w:val="24"/>
        </w:rPr>
      </w:pPr>
      <w:r>
        <w:rPr>
          <w:sz w:val="24"/>
          <w:szCs w:val="24"/>
        </w:rPr>
        <w:t>（3）利用基金财产为基金份额持有人以外的第三人牟取利益；</w:t>
      </w:r>
    </w:p>
    <w:p>
      <w:pPr>
        <w:adjustRightInd w:val="0"/>
        <w:snapToGrid w:val="0"/>
        <w:spacing w:line="360" w:lineRule="auto"/>
        <w:ind w:firstLine="480" w:firstLineChars="200"/>
        <w:rPr>
          <w:sz w:val="24"/>
          <w:szCs w:val="24"/>
        </w:rPr>
      </w:pPr>
      <w:r>
        <w:rPr>
          <w:sz w:val="24"/>
          <w:szCs w:val="24"/>
        </w:rPr>
        <w:t>（4）向基金份额持有人违规承诺收益或者承担损失；</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）侵占、挪用基金财产；</w:t>
      </w:r>
    </w:p>
    <w:p>
      <w:pPr>
        <w:adjustRightInd w:val="0"/>
        <w:snapToGrid w:val="0"/>
        <w:spacing w:line="360" w:lineRule="auto"/>
        <w:ind w:firstLine="480" w:firstLineChars="200"/>
        <w:rPr>
          <w:sz w:val="24"/>
          <w:szCs w:val="24"/>
        </w:rPr>
      </w:pPr>
      <w:r>
        <w:rPr>
          <w:sz w:val="24"/>
          <w:szCs w:val="24"/>
        </w:rPr>
        <w:t>（6）法律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pPr>
        <w:adjustRightInd w:val="0"/>
        <w:snapToGrid w:val="0"/>
        <w:spacing w:line="360" w:lineRule="auto"/>
        <w:ind w:firstLine="480" w:firstLineChars="200"/>
        <w:rPr>
          <w:sz w:val="24"/>
          <w:szCs w:val="24"/>
        </w:rPr>
      </w:pPr>
      <w:r>
        <w:rPr>
          <w:sz w:val="24"/>
          <w:szCs w:val="24"/>
        </w:rPr>
        <w:t>3、基金管理人承诺严格遵守基金合同，并承诺建立健全内部控制制度，采取有效措施，防止违反基金合同行为的发生；</w:t>
      </w:r>
    </w:p>
    <w:p>
      <w:pPr>
        <w:adjustRightInd w:val="0"/>
        <w:snapToGrid w:val="0"/>
        <w:spacing w:line="360" w:lineRule="auto"/>
        <w:ind w:firstLine="480" w:firstLineChars="200"/>
        <w:rPr>
          <w:sz w:val="24"/>
          <w:szCs w:val="24"/>
        </w:rPr>
      </w:pPr>
      <w:r>
        <w:rPr>
          <w:sz w:val="24"/>
          <w:szCs w:val="24"/>
        </w:rPr>
        <w:t>4、基金管理人承诺加强人员管理，强化职业操守，督促和约束员工遵守国家有关法律法规及行业规范，诚实信用、勤勉尽责；</w:t>
      </w:r>
    </w:p>
    <w:p>
      <w:pPr>
        <w:adjustRightInd w:val="0"/>
        <w:snapToGrid w:val="0"/>
        <w:spacing w:line="360" w:lineRule="auto"/>
        <w:ind w:firstLine="480" w:firstLineChars="200"/>
        <w:rPr>
          <w:sz w:val="24"/>
          <w:szCs w:val="24"/>
        </w:rPr>
      </w:pPr>
      <w:r>
        <w:rPr>
          <w:sz w:val="24"/>
          <w:szCs w:val="24"/>
        </w:rPr>
        <w:t>5、基金管理人承诺不从事其他法规规定禁止从事的行为。</w:t>
      </w:r>
    </w:p>
    <w:p>
      <w:pPr>
        <w:widowControl/>
        <w:adjustRightInd w:val="0"/>
        <w:snapToGrid w:val="0"/>
        <w:spacing w:line="360" w:lineRule="auto"/>
        <w:ind w:firstLine="482" w:firstLineChars="200"/>
        <w:jc w:val="left"/>
        <w:outlineLvl w:val="1"/>
        <w:rPr>
          <w:b/>
          <w:kern w:val="0"/>
          <w:sz w:val="24"/>
        </w:rPr>
      </w:pPr>
      <w:r>
        <w:rPr>
          <w:rFonts w:hAnsi="宋体"/>
          <w:b/>
          <w:kern w:val="0"/>
          <w:sz w:val="24"/>
        </w:rPr>
        <w:t>（五）基金经理承诺</w:t>
      </w:r>
    </w:p>
    <w:p>
      <w:pPr>
        <w:adjustRightInd w:val="0"/>
        <w:snapToGrid w:val="0"/>
        <w:spacing w:line="360" w:lineRule="auto"/>
        <w:ind w:firstLine="480" w:firstLineChars="200"/>
        <w:rPr>
          <w:sz w:val="24"/>
          <w:szCs w:val="24"/>
        </w:rPr>
      </w:pPr>
      <w:r>
        <w:rPr>
          <w:sz w:val="24"/>
          <w:szCs w:val="24"/>
        </w:rPr>
        <w:t>1、依照有关法律法规和基金合同的规定，本着谨慎的原则为基金份额持有人谋取最大利益；</w:t>
      </w:r>
    </w:p>
    <w:p>
      <w:pPr>
        <w:adjustRightInd w:val="0"/>
        <w:snapToGrid w:val="0"/>
        <w:spacing w:line="360" w:lineRule="auto"/>
        <w:ind w:firstLine="480" w:firstLineChars="200"/>
        <w:rPr>
          <w:sz w:val="24"/>
          <w:szCs w:val="24"/>
        </w:rPr>
      </w:pPr>
      <w:r>
        <w:rPr>
          <w:sz w:val="24"/>
          <w:szCs w:val="24"/>
        </w:rPr>
        <w:t>2、不利用职务之便为自己、受雇人或任何第三者谋取利益；</w:t>
      </w:r>
    </w:p>
    <w:p>
      <w:pPr>
        <w:widowControl/>
        <w:adjustRightInd w:val="0"/>
        <w:snapToGrid w:val="0"/>
        <w:spacing w:line="360" w:lineRule="auto"/>
        <w:ind w:firstLine="480" w:firstLineChars="200"/>
        <w:rPr>
          <w:sz w:val="24"/>
          <w:szCs w:val="24"/>
        </w:rPr>
      </w:pPr>
      <w:r>
        <w:rPr>
          <w:sz w:val="24"/>
          <w:szCs w:val="24"/>
        </w:rPr>
        <w:t>3、不泄露在任职期间知悉的有关证券、基金的商业秘密，尚未依法公开的基金投资内容、基金投资计划等信息，或利用该信息从事或者明示、暗示他人从事相关的交易活动；</w:t>
      </w:r>
    </w:p>
    <w:p>
      <w:pPr>
        <w:widowControl/>
        <w:adjustRightInd w:val="0"/>
        <w:snapToGrid w:val="0"/>
        <w:spacing w:line="360" w:lineRule="auto"/>
        <w:ind w:firstLine="480" w:firstLineChars="200"/>
        <w:rPr>
          <w:kern w:val="0"/>
          <w:sz w:val="24"/>
          <w:szCs w:val="24"/>
        </w:rPr>
      </w:pPr>
      <w:r>
        <w:rPr>
          <w:sz w:val="24"/>
          <w:szCs w:val="24"/>
        </w:rPr>
        <w:t>4、不以任何形式为其他组织或个人进行证券交易。</w:t>
      </w:r>
    </w:p>
    <w:p>
      <w:pPr>
        <w:widowControl/>
        <w:adjustRightInd w:val="0"/>
        <w:snapToGrid w:val="0"/>
        <w:spacing w:line="360" w:lineRule="auto"/>
        <w:ind w:firstLine="482" w:firstLineChars="200"/>
        <w:outlineLvl w:val="1"/>
        <w:rPr>
          <w:b/>
          <w:kern w:val="0"/>
          <w:sz w:val="24"/>
        </w:rPr>
      </w:pPr>
      <w:r>
        <w:rPr>
          <w:rFonts w:hAnsi="宋体"/>
          <w:b/>
          <w:kern w:val="0"/>
          <w:sz w:val="24"/>
        </w:rPr>
        <w:t>（六）基金管理人的内部控制制度</w:t>
      </w:r>
    </w:p>
    <w:p>
      <w:pPr>
        <w:widowControl/>
        <w:adjustRightInd w:val="0"/>
        <w:snapToGrid w:val="0"/>
        <w:spacing w:line="360" w:lineRule="auto"/>
        <w:ind w:firstLine="480" w:firstLineChars="200"/>
        <w:outlineLvl w:val="2"/>
        <w:rPr>
          <w:kern w:val="0"/>
          <w:sz w:val="24"/>
          <w:szCs w:val="24"/>
        </w:rPr>
      </w:pPr>
      <w:r>
        <w:rPr>
          <w:kern w:val="0"/>
          <w:sz w:val="24"/>
          <w:szCs w:val="24"/>
        </w:rPr>
        <w:t>1、风险管理的原则</w:t>
      </w:r>
    </w:p>
    <w:p>
      <w:pPr>
        <w:widowControl/>
        <w:adjustRightInd w:val="0"/>
        <w:snapToGrid w:val="0"/>
        <w:spacing w:line="360" w:lineRule="auto"/>
        <w:ind w:firstLine="480" w:firstLineChars="200"/>
        <w:rPr>
          <w:kern w:val="0"/>
          <w:sz w:val="24"/>
          <w:szCs w:val="24"/>
        </w:rPr>
      </w:pPr>
      <w:r>
        <w:rPr>
          <w:kern w:val="0"/>
          <w:sz w:val="24"/>
          <w:szCs w:val="24"/>
        </w:rPr>
        <w:t>（1）全面性原则</w:t>
      </w:r>
    </w:p>
    <w:p>
      <w:pPr>
        <w:widowControl/>
        <w:adjustRightInd w:val="0"/>
        <w:snapToGrid w:val="0"/>
        <w:spacing w:line="360" w:lineRule="auto"/>
        <w:ind w:firstLine="480" w:firstLineChars="200"/>
        <w:rPr>
          <w:kern w:val="0"/>
          <w:sz w:val="24"/>
          <w:szCs w:val="24"/>
        </w:rPr>
      </w:pPr>
      <w:r>
        <w:rPr>
          <w:kern w:val="0"/>
          <w:sz w:val="24"/>
          <w:szCs w:val="24"/>
        </w:rPr>
        <w:t>公司风险管理必须覆盖公司的所有部门和岗位，渗透各项业务过程和业务环节。</w:t>
      </w:r>
    </w:p>
    <w:p>
      <w:pPr>
        <w:widowControl/>
        <w:adjustRightInd w:val="0"/>
        <w:snapToGrid w:val="0"/>
        <w:spacing w:line="360" w:lineRule="auto"/>
        <w:ind w:firstLine="480" w:firstLineChars="200"/>
        <w:rPr>
          <w:kern w:val="0"/>
          <w:sz w:val="24"/>
          <w:szCs w:val="24"/>
        </w:rPr>
      </w:pPr>
      <w:r>
        <w:rPr>
          <w:kern w:val="0"/>
          <w:sz w:val="24"/>
          <w:szCs w:val="24"/>
        </w:rPr>
        <w:t>（2）独立性原则</w:t>
      </w:r>
    </w:p>
    <w:p>
      <w:pPr>
        <w:widowControl/>
        <w:adjustRightInd w:val="0"/>
        <w:snapToGrid w:val="0"/>
        <w:spacing w:line="360" w:lineRule="auto"/>
        <w:ind w:firstLine="480" w:firstLineChars="200"/>
        <w:rPr>
          <w:kern w:val="0"/>
          <w:sz w:val="24"/>
          <w:szCs w:val="24"/>
        </w:rPr>
      </w:pPr>
      <w:r>
        <w:rPr>
          <w:kern w:val="0"/>
          <w:sz w:val="24"/>
          <w:szCs w:val="24"/>
        </w:rPr>
        <w:t>公司设立独立的风险管理部，风险管理部保持高度的独立性和权威性，负责对公司各部门风险控制工作进行监督和检查。</w:t>
      </w:r>
    </w:p>
    <w:p>
      <w:pPr>
        <w:widowControl/>
        <w:adjustRightInd w:val="0"/>
        <w:snapToGrid w:val="0"/>
        <w:spacing w:line="360" w:lineRule="auto"/>
        <w:ind w:firstLine="480" w:firstLineChars="200"/>
        <w:rPr>
          <w:kern w:val="0"/>
          <w:sz w:val="24"/>
          <w:szCs w:val="24"/>
        </w:rPr>
      </w:pPr>
      <w:r>
        <w:rPr>
          <w:kern w:val="0"/>
          <w:sz w:val="24"/>
          <w:szCs w:val="24"/>
        </w:rPr>
        <w:t>（3）相互制约原则</w:t>
      </w:r>
    </w:p>
    <w:p>
      <w:pPr>
        <w:widowControl/>
        <w:adjustRightInd w:val="0"/>
        <w:snapToGrid w:val="0"/>
        <w:spacing w:line="360" w:lineRule="auto"/>
        <w:ind w:firstLine="480" w:firstLineChars="200"/>
        <w:rPr>
          <w:kern w:val="0"/>
          <w:sz w:val="24"/>
          <w:szCs w:val="24"/>
        </w:rPr>
      </w:pPr>
      <w:r>
        <w:rPr>
          <w:kern w:val="0"/>
          <w:sz w:val="24"/>
          <w:szCs w:val="24"/>
        </w:rPr>
        <w:t>公司及各部门在内部组织结构的设计上要形成一种相互制约的机制，建立不同岗位之间的制衡体系。</w:t>
      </w:r>
    </w:p>
    <w:p>
      <w:pPr>
        <w:widowControl/>
        <w:adjustRightInd w:val="0"/>
        <w:snapToGrid w:val="0"/>
        <w:spacing w:line="360" w:lineRule="auto"/>
        <w:ind w:firstLine="480" w:firstLineChars="200"/>
        <w:rPr>
          <w:kern w:val="0"/>
          <w:sz w:val="24"/>
          <w:szCs w:val="24"/>
        </w:rPr>
      </w:pPr>
      <w:r>
        <w:rPr>
          <w:kern w:val="0"/>
          <w:sz w:val="24"/>
          <w:szCs w:val="24"/>
        </w:rPr>
        <w:t>（4）定性和定量相结合原则</w:t>
      </w:r>
    </w:p>
    <w:p>
      <w:pPr>
        <w:widowControl/>
        <w:adjustRightInd w:val="0"/>
        <w:snapToGrid w:val="0"/>
        <w:spacing w:line="360" w:lineRule="auto"/>
        <w:ind w:firstLine="480" w:firstLineChars="200"/>
        <w:rPr>
          <w:kern w:val="0"/>
          <w:sz w:val="24"/>
          <w:szCs w:val="24"/>
        </w:rPr>
      </w:pPr>
      <w:r>
        <w:rPr>
          <w:kern w:val="0"/>
          <w:sz w:val="24"/>
          <w:szCs w:val="24"/>
        </w:rPr>
        <w:t>建立完备的风险管理指标体系，使风险管理更具客观性和操作性。</w:t>
      </w:r>
    </w:p>
    <w:p>
      <w:pPr>
        <w:widowControl/>
        <w:adjustRightInd w:val="0"/>
        <w:snapToGrid w:val="0"/>
        <w:spacing w:line="360" w:lineRule="auto"/>
        <w:ind w:firstLine="480" w:firstLineChars="200"/>
        <w:outlineLvl w:val="2"/>
        <w:rPr>
          <w:kern w:val="0"/>
          <w:sz w:val="24"/>
          <w:szCs w:val="24"/>
        </w:rPr>
      </w:pPr>
      <w:r>
        <w:rPr>
          <w:kern w:val="0"/>
          <w:sz w:val="24"/>
          <w:szCs w:val="24"/>
        </w:rPr>
        <w:t>2、风险管理和内部风险控制体系结构</w:t>
      </w:r>
    </w:p>
    <w:p>
      <w:pPr>
        <w:widowControl/>
        <w:adjustRightInd w:val="0"/>
        <w:snapToGrid w:val="0"/>
        <w:spacing w:line="360" w:lineRule="auto"/>
        <w:ind w:firstLine="480" w:firstLineChars="20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widowControl/>
        <w:adjustRightInd w:val="0"/>
        <w:snapToGrid w:val="0"/>
        <w:spacing w:line="360" w:lineRule="auto"/>
        <w:ind w:firstLine="480" w:firstLineChars="200"/>
        <w:rPr>
          <w:kern w:val="0"/>
          <w:sz w:val="24"/>
          <w:szCs w:val="24"/>
        </w:rPr>
      </w:pPr>
      <w:r>
        <w:rPr>
          <w:kern w:val="0"/>
          <w:sz w:val="24"/>
          <w:szCs w:val="24"/>
        </w:rPr>
        <w:t>（1）董事会</w:t>
      </w:r>
    </w:p>
    <w:p>
      <w:pPr>
        <w:widowControl/>
        <w:adjustRightInd w:val="0"/>
        <w:snapToGrid w:val="0"/>
        <w:spacing w:line="360" w:lineRule="auto"/>
        <w:ind w:firstLine="480" w:firstLineChars="200"/>
        <w:rPr>
          <w:kern w:val="0"/>
          <w:sz w:val="24"/>
          <w:szCs w:val="24"/>
        </w:rPr>
      </w:pPr>
      <w:r>
        <w:rPr>
          <w:kern w:val="0"/>
          <w:sz w:val="24"/>
          <w:szCs w:val="24"/>
        </w:rPr>
        <w:t>负责制定公司的风险管理政策，对风险管理负完全的和最终的责任。</w:t>
      </w:r>
    </w:p>
    <w:p>
      <w:pPr>
        <w:widowControl/>
        <w:adjustRightInd w:val="0"/>
        <w:snapToGrid w:val="0"/>
        <w:spacing w:line="360" w:lineRule="auto"/>
        <w:ind w:firstLine="480" w:firstLineChars="200"/>
        <w:rPr>
          <w:kern w:val="0"/>
          <w:sz w:val="24"/>
          <w:szCs w:val="24"/>
        </w:rPr>
      </w:pPr>
      <w:r>
        <w:rPr>
          <w:kern w:val="0"/>
          <w:sz w:val="24"/>
          <w:szCs w:val="24"/>
        </w:rPr>
        <w:t>（2）监事会</w:t>
      </w:r>
    </w:p>
    <w:p>
      <w:pPr>
        <w:widowControl/>
        <w:adjustRightInd w:val="0"/>
        <w:snapToGrid w:val="0"/>
        <w:spacing w:line="360" w:lineRule="auto"/>
        <w:ind w:firstLine="480" w:firstLineChars="200"/>
        <w:rPr>
          <w:kern w:val="0"/>
          <w:sz w:val="24"/>
          <w:szCs w:val="24"/>
        </w:rPr>
      </w:pPr>
      <w:r>
        <w:rPr>
          <w:kern w:val="0"/>
          <w:sz w:val="24"/>
          <w:szCs w:val="24"/>
        </w:rPr>
        <w:t>是公司常设的监事机构，对股东会负责。监事会对公司财务、公司董事、总经理及其他高级管理人员进行监督。</w:t>
      </w:r>
    </w:p>
    <w:p>
      <w:pPr>
        <w:widowControl/>
        <w:adjustRightInd w:val="0"/>
        <w:snapToGrid w:val="0"/>
        <w:spacing w:line="360" w:lineRule="auto"/>
        <w:ind w:firstLine="480" w:firstLineChars="200"/>
        <w:rPr>
          <w:kern w:val="0"/>
          <w:sz w:val="24"/>
          <w:szCs w:val="24"/>
        </w:rPr>
      </w:pPr>
      <w:r>
        <w:rPr>
          <w:kern w:val="0"/>
          <w:sz w:val="24"/>
          <w:szCs w:val="24"/>
        </w:rPr>
        <w:t>（3）合规审核及风险管理委员会</w:t>
      </w:r>
    </w:p>
    <w:p>
      <w:pPr>
        <w:widowControl/>
        <w:adjustRightInd w:val="0"/>
        <w:snapToGrid w:val="0"/>
        <w:spacing w:line="360" w:lineRule="auto"/>
        <w:ind w:firstLine="480" w:firstLineChars="20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widowControl/>
        <w:adjustRightInd w:val="0"/>
        <w:snapToGrid w:val="0"/>
        <w:spacing w:line="360" w:lineRule="auto"/>
        <w:ind w:firstLine="480" w:firstLineChars="200"/>
        <w:rPr>
          <w:kern w:val="0"/>
          <w:sz w:val="24"/>
          <w:szCs w:val="24"/>
        </w:rPr>
      </w:pPr>
      <w:r>
        <w:rPr>
          <w:kern w:val="0"/>
          <w:sz w:val="24"/>
          <w:szCs w:val="24"/>
        </w:rPr>
        <w:t>（4）风险控制委员会</w:t>
      </w:r>
    </w:p>
    <w:p>
      <w:pPr>
        <w:widowControl/>
        <w:adjustRightInd w:val="0"/>
        <w:snapToGrid w:val="0"/>
        <w:spacing w:line="360" w:lineRule="auto"/>
        <w:ind w:firstLine="480" w:firstLineChars="20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widowControl/>
        <w:adjustRightInd w:val="0"/>
        <w:snapToGrid w:val="0"/>
        <w:spacing w:line="360" w:lineRule="auto"/>
        <w:ind w:firstLine="360" w:firstLineChars="150"/>
        <w:rPr>
          <w:kern w:val="0"/>
          <w:sz w:val="24"/>
          <w:szCs w:val="24"/>
        </w:rPr>
      </w:pPr>
      <w:r>
        <w:rPr>
          <w:kern w:val="0"/>
          <w:sz w:val="24"/>
          <w:szCs w:val="24"/>
        </w:rPr>
        <w:t>（5）督察长</w:t>
      </w:r>
    </w:p>
    <w:p>
      <w:pPr>
        <w:widowControl/>
        <w:adjustRightInd w:val="0"/>
        <w:snapToGrid w:val="0"/>
        <w:spacing w:line="360" w:lineRule="auto"/>
        <w:ind w:firstLine="480" w:firstLineChars="20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pPr>
        <w:widowControl/>
        <w:adjustRightInd w:val="0"/>
        <w:snapToGrid w:val="0"/>
        <w:spacing w:line="360" w:lineRule="auto"/>
        <w:ind w:firstLine="480" w:firstLineChars="200"/>
        <w:rPr>
          <w:kern w:val="0"/>
          <w:sz w:val="24"/>
          <w:szCs w:val="24"/>
        </w:rPr>
      </w:pPr>
      <w:r>
        <w:rPr>
          <w:kern w:val="0"/>
          <w:sz w:val="24"/>
          <w:szCs w:val="24"/>
        </w:rPr>
        <w:t>（6）风险管理部</w:t>
      </w:r>
    </w:p>
    <w:p>
      <w:pPr>
        <w:widowControl/>
        <w:adjustRightInd w:val="0"/>
        <w:snapToGrid w:val="0"/>
        <w:spacing w:line="360" w:lineRule="auto"/>
        <w:ind w:firstLine="480" w:firstLineChars="20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pPr>
        <w:widowControl/>
        <w:adjustRightInd w:val="0"/>
        <w:snapToGrid w:val="0"/>
        <w:spacing w:line="360" w:lineRule="auto"/>
        <w:ind w:firstLine="480" w:firstLineChars="20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pPr>
        <w:widowControl/>
        <w:adjustRightInd w:val="0"/>
        <w:snapToGrid w:val="0"/>
        <w:spacing w:line="360" w:lineRule="auto"/>
        <w:ind w:firstLine="480" w:firstLineChars="20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widowControl/>
        <w:adjustRightInd w:val="0"/>
        <w:snapToGrid w:val="0"/>
        <w:spacing w:line="360" w:lineRule="auto"/>
        <w:ind w:firstLine="480" w:firstLineChars="200"/>
        <w:rPr>
          <w:kern w:val="0"/>
          <w:sz w:val="24"/>
          <w:szCs w:val="24"/>
        </w:rPr>
      </w:pPr>
      <w:r>
        <w:rPr>
          <w:kern w:val="0"/>
          <w:sz w:val="24"/>
          <w:szCs w:val="24"/>
        </w:rPr>
        <w:t>（9）业务部门</w:t>
      </w:r>
    </w:p>
    <w:p>
      <w:pPr>
        <w:widowControl/>
        <w:adjustRightInd w:val="0"/>
        <w:snapToGrid w:val="0"/>
        <w:spacing w:line="360" w:lineRule="auto"/>
        <w:ind w:firstLine="480" w:firstLineChars="20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pPr>
        <w:widowControl/>
        <w:adjustRightInd w:val="0"/>
        <w:snapToGrid w:val="0"/>
        <w:spacing w:line="360" w:lineRule="auto"/>
        <w:ind w:firstLine="480" w:firstLineChars="200"/>
        <w:outlineLvl w:val="2"/>
        <w:rPr>
          <w:kern w:val="0"/>
          <w:sz w:val="24"/>
          <w:szCs w:val="24"/>
        </w:rPr>
      </w:pPr>
      <w:r>
        <w:rPr>
          <w:kern w:val="0"/>
          <w:sz w:val="24"/>
          <w:szCs w:val="24"/>
        </w:rPr>
        <w:t>3、风险管理和内部风险控制的措施</w:t>
      </w:r>
    </w:p>
    <w:p>
      <w:pPr>
        <w:widowControl/>
        <w:adjustRightInd w:val="0"/>
        <w:snapToGrid w:val="0"/>
        <w:spacing w:line="360" w:lineRule="auto"/>
        <w:ind w:firstLine="480" w:firstLineChars="200"/>
        <w:rPr>
          <w:kern w:val="0"/>
          <w:sz w:val="24"/>
          <w:szCs w:val="24"/>
        </w:rPr>
      </w:pPr>
      <w:r>
        <w:rPr>
          <w:kern w:val="0"/>
          <w:sz w:val="24"/>
          <w:szCs w:val="24"/>
        </w:rPr>
        <w:t>（1）建立内控体系，完善内控制度</w:t>
      </w:r>
    </w:p>
    <w:p>
      <w:pPr>
        <w:widowControl/>
        <w:adjustRightInd w:val="0"/>
        <w:snapToGrid w:val="0"/>
        <w:spacing w:line="360" w:lineRule="auto"/>
        <w:ind w:firstLine="480" w:firstLineChars="20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pPr>
        <w:widowControl/>
        <w:adjustRightInd w:val="0"/>
        <w:snapToGrid w:val="0"/>
        <w:spacing w:line="360" w:lineRule="auto"/>
        <w:ind w:firstLine="480" w:firstLineChars="200"/>
        <w:rPr>
          <w:kern w:val="0"/>
          <w:sz w:val="24"/>
          <w:szCs w:val="24"/>
        </w:rPr>
      </w:pPr>
      <w:r>
        <w:rPr>
          <w:kern w:val="0"/>
          <w:sz w:val="24"/>
          <w:szCs w:val="24"/>
        </w:rPr>
        <w:t>（2）建立相互分离、相互制衡的内控机制</w:t>
      </w:r>
    </w:p>
    <w:p>
      <w:pPr>
        <w:widowControl/>
        <w:adjustRightInd w:val="0"/>
        <w:snapToGrid w:val="0"/>
        <w:spacing w:line="360" w:lineRule="auto"/>
        <w:ind w:firstLine="480" w:firstLineChars="20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pPr>
        <w:widowControl/>
        <w:adjustRightInd w:val="0"/>
        <w:snapToGrid w:val="0"/>
        <w:spacing w:line="360" w:lineRule="auto"/>
        <w:ind w:firstLine="480" w:firstLineChars="200"/>
        <w:rPr>
          <w:kern w:val="0"/>
          <w:sz w:val="24"/>
          <w:szCs w:val="24"/>
        </w:rPr>
      </w:pPr>
      <w:r>
        <w:rPr>
          <w:kern w:val="0"/>
          <w:sz w:val="24"/>
          <w:szCs w:val="24"/>
        </w:rPr>
        <w:t>（3）建立、健全岗位责任制</w:t>
      </w:r>
    </w:p>
    <w:p>
      <w:pPr>
        <w:widowControl/>
        <w:adjustRightInd w:val="0"/>
        <w:snapToGrid w:val="0"/>
        <w:spacing w:line="360" w:lineRule="auto"/>
        <w:ind w:firstLine="480" w:firstLineChars="200"/>
        <w:rPr>
          <w:kern w:val="0"/>
          <w:sz w:val="24"/>
          <w:szCs w:val="24"/>
        </w:rPr>
      </w:pPr>
      <w:r>
        <w:rPr>
          <w:kern w:val="0"/>
          <w:sz w:val="24"/>
          <w:szCs w:val="24"/>
        </w:rPr>
        <w:t>建立、健全了岗位责任制，使每个员工都明确自己的任务、职责，并及时将各自工作领域中的风险隐患上报，以防范和减少风险。</w:t>
      </w:r>
    </w:p>
    <w:p>
      <w:pPr>
        <w:widowControl/>
        <w:adjustRightInd w:val="0"/>
        <w:snapToGrid w:val="0"/>
        <w:spacing w:line="360" w:lineRule="auto"/>
        <w:ind w:firstLine="480" w:firstLineChars="200"/>
        <w:rPr>
          <w:kern w:val="0"/>
          <w:sz w:val="24"/>
          <w:szCs w:val="24"/>
        </w:rPr>
      </w:pPr>
      <w:r>
        <w:rPr>
          <w:kern w:val="0"/>
          <w:sz w:val="24"/>
          <w:szCs w:val="24"/>
        </w:rPr>
        <w:t>（4）建立风险分类、识别、评估、报告、提示程序</w:t>
      </w:r>
    </w:p>
    <w:p>
      <w:pPr>
        <w:widowControl/>
        <w:adjustRightInd w:val="0"/>
        <w:snapToGrid w:val="0"/>
        <w:spacing w:line="360" w:lineRule="auto"/>
        <w:ind w:firstLine="480" w:firstLineChars="20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widowControl/>
        <w:adjustRightInd w:val="0"/>
        <w:snapToGrid w:val="0"/>
        <w:spacing w:line="360" w:lineRule="auto"/>
        <w:ind w:firstLine="480" w:firstLineChars="200"/>
        <w:rPr>
          <w:kern w:val="0"/>
          <w:sz w:val="24"/>
          <w:szCs w:val="24"/>
        </w:rPr>
      </w:pPr>
      <w:r>
        <w:rPr>
          <w:kern w:val="0"/>
          <w:sz w:val="24"/>
          <w:szCs w:val="24"/>
        </w:rPr>
        <w:t>（5）建立有效的内部监控系统</w:t>
      </w:r>
    </w:p>
    <w:p>
      <w:pPr>
        <w:widowControl/>
        <w:adjustRightInd w:val="0"/>
        <w:snapToGrid w:val="0"/>
        <w:spacing w:line="360" w:lineRule="auto"/>
        <w:ind w:firstLine="480" w:firstLineChars="200"/>
        <w:rPr>
          <w:kern w:val="0"/>
          <w:sz w:val="24"/>
          <w:szCs w:val="24"/>
        </w:rPr>
      </w:pPr>
      <w:r>
        <w:rPr>
          <w:kern w:val="0"/>
          <w:sz w:val="24"/>
          <w:szCs w:val="24"/>
        </w:rPr>
        <w:t>建立了足够、有效的内部监控系统，如电脑预警系统、投资监控系统，对可能出现的各种风险进行全面和实时的监控。</w:t>
      </w:r>
    </w:p>
    <w:p>
      <w:pPr>
        <w:widowControl/>
        <w:adjustRightInd w:val="0"/>
        <w:snapToGrid w:val="0"/>
        <w:spacing w:line="360" w:lineRule="auto"/>
        <w:ind w:firstLine="480" w:firstLineChars="200"/>
        <w:rPr>
          <w:kern w:val="0"/>
          <w:sz w:val="24"/>
          <w:szCs w:val="24"/>
        </w:rPr>
      </w:pPr>
      <w:r>
        <w:rPr>
          <w:kern w:val="0"/>
          <w:sz w:val="24"/>
          <w:szCs w:val="24"/>
        </w:rPr>
        <w:t>（6）使用数量化的风险管理手段</w:t>
      </w:r>
    </w:p>
    <w:p>
      <w:pPr>
        <w:widowControl/>
        <w:adjustRightInd w:val="0"/>
        <w:snapToGrid w:val="0"/>
        <w:spacing w:line="360" w:lineRule="auto"/>
        <w:ind w:firstLine="480" w:firstLineChars="20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pPr>
        <w:widowControl/>
        <w:adjustRightInd w:val="0"/>
        <w:snapToGrid w:val="0"/>
        <w:spacing w:line="360" w:lineRule="auto"/>
        <w:ind w:firstLine="480" w:firstLineChars="200"/>
        <w:rPr>
          <w:kern w:val="0"/>
          <w:sz w:val="24"/>
          <w:szCs w:val="24"/>
        </w:rPr>
      </w:pPr>
      <w:r>
        <w:rPr>
          <w:kern w:val="0"/>
          <w:sz w:val="24"/>
          <w:szCs w:val="24"/>
        </w:rPr>
        <w:t>（7）提供足够的培训</w:t>
      </w:r>
    </w:p>
    <w:p>
      <w:pPr>
        <w:widowControl/>
        <w:adjustRightInd w:val="0"/>
        <w:snapToGrid w:val="0"/>
        <w:spacing w:line="360" w:lineRule="auto"/>
        <w:ind w:firstLine="480" w:firstLineChars="200"/>
        <w:rPr>
          <w:kern w:val="0"/>
          <w:sz w:val="24"/>
          <w:szCs w:val="24"/>
        </w:rPr>
      </w:pPr>
      <w:r>
        <w:rPr>
          <w:kern w:val="0"/>
          <w:sz w:val="24"/>
          <w:szCs w:val="24"/>
        </w:rPr>
        <w:t>制定了完整的培训计划，为所有员工提供足够和适当的培训，使员工明确其职责所在，控制风险。</w:t>
      </w:r>
      <w:bookmarkStart w:id="9" w:name="_Toc109537382"/>
    </w:p>
    <w:p>
      <w:pPr>
        <w:spacing w:line="360" w:lineRule="auto"/>
        <w:jc w:val="center"/>
        <w:outlineLvl w:val="0"/>
        <w:rPr>
          <w:rFonts w:ascii="宋体" w:hAnsi="宋体"/>
          <w:b/>
          <w:kern w:val="0"/>
          <w:sz w:val="30"/>
        </w:rPr>
      </w:pPr>
      <w:bookmarkStart w:id="10" w:name="_Toc48122005"/>
      <w:r>
        <w:rPr>
          <w:rFonts w:hint="eastAsia" w:ascii="宋体" w:hAnsi="宋体"/>
          <w:b/>
          <w:kern w:val="0"/>
          <w:sz w:val="30"/>
        </w:rPr>
        <w:t>四、基金托管人</w:t>
      </w:r>
      <w:bookmarkEnd w:id="9"/>
      <w:bookmarkEnd w:id="10"/>
    </w:p>
    <w:p>
      <w:pPr>
        <w:adjustRightInd w:val="0"/>
        <w:snapToGrid w:val="0"/>
        <w:spacing w:line="360" w:lineRule="auto"/>
        <w:ind w:firstLine="482" w:firstLineChars="200"/>
        <w:outlineLvl w:val="1"/>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pPr>
        <w:widowControl/>
        <w:adjustRightInd w:val="0"/>
        <w:snapToGrid w:val="0"/>
        <w:spacing w:line="360" w:lineRule="auto"/>
        <w:ind w:firstLine="480" w:firstLineChars="200"/>
        <w:outlineLvl w:val="2"/>
        <w:rPr>
          <w:kern w:val="0"/>
          <w:sz w:val="24"/>
          <w:szCs w:val="24"/>
        </w:rPr>
      </w:pPr>
      <w:r>
        <w:rPr>
          <w:kern w:val="0"/>
          <w:sz w:val="24"/>
          <w:szCs w:val="24"/>
        </w:rPr>
        <w:t>1</w:t>
      </w:r>
      <w:r>
        <w:rPr>
          <w:rFonts w:hint="eastAsia"/>
          <w:kern w:val="0"/>
          <w:sz w:val="24"/>
          <w:szCs w:val="24"/>
        </w:rPr>
        <w:t>、基本情况</w:t>
      </w:r>
    </w:p>
    <w:p>
      <w:pPr>
        <w:widowControl/>
        <w:adjustRightInd w:val="0"/>
        <w:snapToGrid w:val="0"/>
        <w:spacing w:line="360" w:lineRule="auto"/>
        <w:ind w:firstLine="480" w:firstLineChars="200"/>
        <w:rPr>
          <w:kern w:val="0"/>
          <w:sz w:val="24"/>
          <w:szCs w:val="24"/>
        </w:rPr>
      </w:pPr>
      <w:r>
        <w:rPr>
          <w:rFonts w:hint="eastAsia"/>
          <w:kern w:val="0"/>
          <w:sz w:val="24"/>
          <w:szCs w:val="24"/>
        </w:rPr>
        <w:t>名称：上海浦东发展银行股份有限公司（简称“</w:t>
      </w:r>
      <w:r>
        <w:rPr>
          <w:rFonts w:hint="eastAsia"/>
          <w:bCs/>
          <w:kern w:val="0"/>
          <w:sz w:val="24"/>
          <w:szCs w:val="24"/>
        </w:rPr>
        <w:t>上海浦东发展银行</w:t>
      </w:r>
      <w:r>
        <w:rPr>
          <w:rFonts w:hint="eastAsia"/>
          <w:kern w:val="0"/>
          <w:sz w:val="24"/>
          <w:szCs w:val="24"/>
        </w:rPr>
        <w:t>”）</w:t>
      </w:r>
    </w:p>
    <w:p>
      <w:pPr>
        <w:widowControl/>
        <w:adjustRightInd w:val="0"/>
        <w:snapToGrid w:val="0"/>
        <w:spacing w:line="360" w:lineRule="auto"/>
        <w:ind w:firstLine="480" w:firstLineChars="200"/>
        <w:rPr>
          <w:kern w:val="0"/>
          <w:sz w:val="24"/>
          <w:szCs w:val="24"/>
        </w:rPr>
      </w:pPr>
      <w:r>
        <w:rPr>
          <w:rFonts w:hint="eastAsia"/>
          <w:kern w:val="0"/>
          <w:sz w:val="24"/>
          <w:szCs w:val="24"/>
        </w:rPr>
        <w:t>注册地址：上海市中山东一路12 号</w:t>
      </w:r>
    </w:p>
    <w:p>
      <w:pPr>
        <w:widowControl/>
        <w:adjustRightInd w:val="0"/>
        <w:snapToGrid w:val="0"/>
        <w:spacing w:line="360" w:lineRule="auto"/>
        <w:ind w:firstLine="480" w:firstLineChars="200"/>
        <w:rPr>
          <w:kern w:val="0"/>
          <w:sz w:val="24"/>
          <w:szCs w:val="24"/>
        </w:rPr>
      </w:pPr>
      <w:r>
        <w:rPr>
          <w:rFonts w:hint="eastAsia"/>
          <w:kern w:val="0"/>
          <w:sz w:val="24"/>
          <w:szCs w:val="24"/>
        </w:rPr>
        <w:t>办公地址：上海市中山东一路12 号</w:t>
      </w:r>
    </w:p>
    <w:p>
      <w:pPr>
        <w:widowControl/>
        <w:adjustRightInd w:val="0"/>
        <w:snapToGrid w:val="0"/>
        <w:spacing w:line="360" w:lineRule="auto"/>
        <w:ind w:firstLine="480" w:firstLineChars="200"/>
        <w:rPr>
          <w:kern w:val="0"/>
          <w:sz w:val="24"/>
          <w:szCs w:val="24"/>
        </w:rPr>
      </w:pPr>
      <w:r>
        <w:rPr>
          <w:rFonts w:hint="eastAsia"/>
          <w:kern w:val="0"/>
          <w:sz w:val="24"/>
          <w:szCs w:val="24"/>
        </w:rPr>
        <w:t>法定代表人：郑杨</w:t>
      </w:r>
    </w:p>
    <w:p>
      <w:pPr>
        <w:widowControl/>
        <w:adjustRightInd w:val="0"/>
        <w:snapToGrid w:val="0"/>
        <w:spacing w:line="360" w:lineRule="auto"/>
        <w:ind w:firstLine="480" w:firstLineChars="200"/>
        <w:rPr>
          <w:kern w:val="0"/>
          <w:sz w:val="24"/>
          <w:szCs w:val="24"/>
        </w:rPr>
      </w:pPr>
      <w:r>
        <w:rPr>
          <w:rFonts w:hint="eastAsia"/>
          <w:kern w:val="0"/>
          <w:sz w:val="24"/>
          <w:szCs w:val="24"/>
        </w:rPr>
        <w:t>成立时间： 1992 年10 月19 日</w:t>
      </w:r>
    </w:p>
    <w:p>
      <w:pPr>
        <w:widowControl/>
        <w:adjustRightInd w:val="0"/>
        <w:snapToGrid w:val="0"/>
        <w:spacing w:line="360" w:lineRule="auto"/>
        <w:ind w:firstLine="480" w:firstLineChars="200"/>
        <w:rPr>
          <w:kern w:val="0"/>
          <w:sz w:val="24"/>
          <w:szCs w:val="24"/>
        </w:rPr>
      </w:pPr>
      <w:r>
        <w:rPr>
          <w:rFonts w:hint="eastAsia"/>
          <w:kern w:val="0"/>
          <w:sz w:val="24"/>
          <w:szCs w:val="24"/>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pPr>
        <w:widowControl/>
        <w:adjustRightInd w:val="0"/>
        <w:snapToGrid w:val="0"/>
        <w:spacing w:line="360" w:lineRule="auto"/>
        <w:ind w:firstLine="480" w:firstLineChars="200"/>
        <w:rPr>
          <w:kern w:val="0"/>
          <w:sz w:val="24"/>
          <w:szCs w:val="24"/>
        </w:rPr>
      </w:pPr>
      <w:r>
        <w:rPr>
          <w:rFonts w:hint="eastAsia"/>
          <w:kern w:val="0"/>
          <w:sz w:val="24"/>
          <w:szCs w:val="24"/>
        </w:rPr>
        <w:t>组织形式： 股份有限公司</w:t>
      </w:r>
    </w:p>
    <w:p>
      <w:pPr>
        <w:widowControl/>
        <w:adjustRightInd w:val="0"/>
        <w:snapToGrid w:val="0"/>
        <w:spacing w:line="360" w:lineRule="auto"/>
        <w:ind w:firstLine="480" w:firstLineChars="200"/>
        <w:rPr>
          <w:kern w:val="0"/>
          <w:sz w:val="24"/>
          <w:szCs w:val="24"/>
        </w:rPr>
      </w:pPr>
      <w:r>
        <w:rPr>
          <w:rFonts w:hint="eastAsia"/>
          <w:kern w:val="0"/>
          <w:sz w:val="24"/>
          <w:szCs w:val="24"/>
        </w:rPr>
        <w:t>注册资本： 293.52 亿元人民币</w:t>
      </w:r>
    </w:p>
    <w:p>
      <w:pPr>
        <w:widowControl/>
        <w:adjustRightInd w:val="0"/>
        <w:snapToGrid w:val="0"/>
        <w:spacing w:line="360" w:lineRule="auto"/>
        <w:ind w:firstLine="480" w:firstLineChars="200"/>
        <w:rPr>
          <w:kern w:val="0"/>
          <w:sz w:val="24"/>
          <w:szCs w:val="24"/>
        </w:rPr>
      </w:pPr>
      <w:r>
        <w:rPr>
          <w:rFonts w:hint="eastAsia"/>
          <w:kern w:val="0"/>
          <w:sz w:val="24"/>
          <w:szCs w:val="24"/>
        </w:rPr>
        <w:t>存续期间： 持续经营</w:t>
      </w:r>
    </w:p>
    <w:p>
      <w:pPr>
        <w:widowControl/>
        <w:adjustRightInd w:val="0"/>
        <w:snapToGrid w:val="0"/>
        <w:spacing w:line="360" w:lineRule="auto"/>
        <w:ind w:firstLine="480" w:firstLineChars="200"/>
        <w:rPr>
          <w:kern w:val="0"/>
          <w:sz w:val="24"/>
          <w:szCs w:val="24"/>
        </w:rPr>
      </w:pPr>
      <w:r>
        <w:rPr>
          <w:rFonts w:hint="eastAsia"/>
          <w:kern w:val="0"/>
          <w:sz w:val="24"/>
          <w:szCs w:val="24"/>
        </w:rPr>
        <w:t>基金托管资格批文及文号：中国证监会证监基金字[2003]105 号</w:t>
      </w:r>
    </w:p>
    <w:p>
      <w:pPr>
        <w:widowControl/>
        <w:adjustRightInd w:val="0"/>
        <w:snapToGrid w:val="0"/>
        <w:spacing w:line="360" w:lineRule="auto"/>
        <w:ind w:firstLine="480" w:firstLineChars="200"/>
        <w:rPr>
          <w:kern w:val="0"/>
          <w:sz w:val="24"/>
          <w:szCs w:val="24"/>
        </w:rPr>
      </w:pPr>
      <w:r>
        <w:rPr>
          <w:rFonts w:hint="eastAsia"/>
          <w:kern w:val="0"/>
          <w:sz w:val="24"/>
          <w:szCs w:val="24"/>
        </w:rPr>
        <w:t>联系人：胡波</w:t>
      </w:r>
    </w:p>
    <w:p>
      <w:pPr>
        <w:widowControl/>
        <w:adjustRightInd w:val="0"/>
        <w:snapToGrid w:val="0"/>
        <w:spacing w:line="360" w:lineRule="auto"/>
        <w:ind w:firstLine="480" w:firstLineChars="200"/>
        <w:rPr>
          <w:kern w:val="0"/>
          <w:sz w:val="24"/>
          <w:szCs w:val="24"/>
        </w:rPr>
      </w:pPr>
      <w:r>
        <w:rPr>
          <w:rFonts w:hint="eastAsia"/>
          <w:kern w:val="0"/>
          <w:sz w:val="24"/>
          <w:szCs w:val="24"/>
        </w:rPr>
        <w:t>联系电话：（021）61618888</w:t>
      </w:r>
    </w:p>
    <w:p>
      <w:pPr>
        <w:widowControl/>
        <w:adjustRightInd w:val="0"/>
        <w:snapToGrid w:val="0"/>
        <w:spacing w:line="360" w:lineRule="auto"/>
        <w:ind w:firstLine="480" w:firstLineChars="200"/>
        <w:rPr>
          <w:kern w:val="0"/>
          <w:sz w:val="24"/>
          <w:szCs w:val="24"/>
        </w:rPr>
      </w:pPr>
      <w:r>
        <w:rPr>
          <w:rFonts w:hint="eastAsia"/>
          <w:kern w:val="0"/>
          <w:sz w:val="24"/>
          <w:szCs w:val="24"/>
        </w:rPr>
        <w:t>上海浦东发展银行自 2003 年开展资产托管业务，是较早开展银行资产托管服务的股份制商业银行之一。经过二十年来的稳健经营和业务开拓，各项业务发展一直保持较快增长，各项经营指标在股份制商业银行中处于较好水平。</w:t>
      </w:r>
    </w:p>
    <w:p>
      <w:pPr>
        <w:widowControl/>
        <w:adjustRightInd w:val="0"/>
        <w:snapToGrid w:val="0"/>
        <w:spacing w:line="360" w:lineRule="auto"/>
        <w:ind w:firstLine="480" w:firstLineChars="200"/>
        <w:rPr>
          <w:kern w:val="0"/>
          <w:sz w:val="24"/>
          <w:szCs w:val="24"/>
        </w:rPr>
      </w:pPr>
      <w:r>
        <w:rPr>
          <w:rFonts w:hint="eastAsia"/>
          <w:kern w:val="0"/>
          <w:sz w:val="24"/>
          <w:szCs w:val="24"/>
        </w:rPr>
        <w:t>上海浦东发展银行总行于 2003 年设立基金托管部，2005 年更名为资产托管部，2013年更名为资产托管与养老金业务部，2016 年进行组织架构优化调整，并更名为资产托管部，目前下设证券托管处、客户资产托管处、内控管理处、业务保障处、总行资产托管运营中心（含合肥分中心）五个职能处室。</w:t>
      </w:r>
    </w:p>
    <w:p>
      <w:pPr>
        <w:widowControl/>
        <w:adjustRightInd w:val="0"/>
        <w:snapToGrid w:val="0"/>
        <w:spacing w:line="360" w:lineRule="auto"/>
        <w:ind w:firstLine="480" w:firstLineChars="200"/>
        <w:rPr>
          <w:bCs/>
          <w:kern w:val="0"/>
          <w:sz w:val="24"/>
          <w:szCs w:val="24"/>
        </w:rPr>
      </w:pPr>
      <w:r>
        <w:rPr>
          <w:rFonts w:hint="eastAsia"/>
          <w:kern w:val="0"/>
          <w:sz w:val="24"/>
          <w:szCs w:val="24"/>
        </w:rPr>
        <w:t>目前，上海浦东发展银行已拥有客户资金托管、资金信托保管、证券投资基金托管、全球资产托管、保险资金托管、基金专户理财托管、证券公司客户资产托管、期货公司客户资产托管、私募证券投资基金托管、私募股权托管、银行理财产品托管、企业年金托管等多项托管产品，形成完备的产品体系，可满足多领域客户、境内外市场的资产托管需求。</w:t>
      </w:r>
    </w:p>
    <w:p>
      <w:pPr>
        <w:widowControl/>
        <w:adjustRightInd w:val="0"/>
        <w:snapToGrid w:val="0"/>
        <w:spacing w:line="360" w:lineRule="auto"/>
        <w:ind w:firstLine="480" w:firstLineChars="200"/>
        <w:outlineLvl w:val="2"/>
        <w:rPr>
          <w:kern w:val="0"/>
          <w:sz w:val="24"/>
          <w:szCs w:val="24"/>
        </w:rPr>
      </w:pPr>
      <w:r>
        <w:rPr>
          <w:kern w:val="0"/>
          <w:sz w:val="24"/>
          <w:szCs w:val="24"/>
        </w:rPr>
        <w:t>2</w:t>
      </w:r>
      <w:r>
        <w:rPr>
          <w:rFonts w:hint="eastAsia"/>
          <w:kern w:val="0"/>
          <w:sz w:val="24"/>
          <w:szCs w:val="24"/>
        </w:rPr>
        <w:t>、主要人员情况</w:t>
      </w:r>
    </w:p>
    <w:p>
      <w:pPr>
        <w:widowControl/>
        <w:adjustRightInd w:val="0"/>
        <w:snapToGrid w:val="0"/>
        <w:spacing w:line="360" w:lineRule="auto"/>
        <w:ind w:firstLine="480" w:firstLineChars="200"/>
        <w:rPr>
          <w:bCs/>
          <w:kern w:val="0"/>
          <w:sz w:val="24"/>
          <w:szCs w:val="24"/>
        </w:rPr>
      </w:pPr>
      <w:r>
        <w:rPr>
          <w:rFonts w:hint="eastAsia"/>
          <w:bCs/>
          <w:kern w:val="0"/>
          <w:sz w:val="24"/>
          <w:szCs w:val="24"/>
        </w:rPr>
        <w:t>郑杨，男，1966年出生，研究生学历，博士学位，高级经济师。曾任国家经贸委经济法规司调研处副处长；中国机电设备招标中心开发处处长、第七招标业务处处长；国家外汇管理局资本项目司副司长；中国人民银行上海分行党委委员、副行长、国家外汇管理局上海市分局副局长；中国人民银行上海总部党委委员、副主任兼外汇管理部主任；上海市金融工作党委副书记、市金融办主任；上海市金融工作党委书记、市金融办主任；上海市金融工作党委书记、市地方金融监管局（市金融工作局）局长。现任上海浦东发展银行党委书记、董事长。</w:t>
      </w:r>
    </w:p>
    <w:p>
      <w:pPr>
        <w:widowControl/>
        <w:adjustRightInd w:val="0"/>
        <w:snapToGrid w:val="0"/>
        <w:spacing w:line="360" w:lineRule="auto"/>
        <w:ind w:firstLine="480" w:firstLineChars="200"/>
        <w:rPr>
          <w:bCs/>
          <w:kern w:val="0"/>
          <w:sz w:val="24"/>
          <w:szCs w:val="24"/>
        </w:rPr>
      </w:pPr>
      <w:r>
        <w:rPr>
          <w:rFonts w:hint="eastAsia"/>
          <w:bCs/>
          <w:kern w:val="0"/>
          <w:sz w:val="24"/>
          <w:szCs w:val="24"/>
        </w:rPr>
        <w:t>潘卫东，男，1966年出生，硕士研究生，高级经济师。曾任宁波证券公司业务一部副经理；上海浦东发展银行宁波分行资财部总经理兼任北仑办事处主任、宁波分行副行长；上海浦东发展银行产品开发部总经理；上海浦东发展银行昆明分行行长、党组书记；上海市金融服务办公室挂职并任金融机构处处长；上海国际集团党委委员、总经理助理，上海国际集团党委委员、副总经理，上海国际信托有限公司党委书记、董事长；上海浦东发展银行党委委员、执行董事、副行长、财务总监。现任上海浦东发展银行党委副书记、副董事长、行长，上海国际信托有限公司董事长。</w:t>
      </w:r>
    </w:p>
    <w:p>
      <w:pPr>
        <w:widowControl/>
        <w:adjustRightInd w:val="0"/>
        <w:snapToGrid w:val="0"/>
        <w:spacing w:line="360" w:lineRule="auto"/>
        <w:ind w:firstLine="480" w:firstLineChars="200"/>
        <w:rPr>
          <w:bCs/>
          <w:kern w:val="0"/>
          <w:sz w:val="24"/>
          <w:szCs w:val="24"/>
        </w:rPr>
      </w:pPr>
      <w:r>
        <w:rPr>
          <w:rFonts w:hint="eastAsia"/>
          <w:bCs/>
          <w:kern w:val="0"/>
          <w:sz w:val="24"/>
          <w:szCs w:val="24"/>
        </w:rPr>
        <w:t>孔建，男，1968年出生，博士研究生。历任工商银行山东省分行资金营运处副处长，上海浦东发展银行济南分行信管处总经理，上海浦东发展银行济南分行行长助理、副行长、党委书记、行长。现任上海浦东发展银行总行金融市场业务工作党委委员，资产托管部总经理。</w:t>
      </w:r>
    </w:p>
    <w:p>
      <w:pPr>
        <w:widowControl/>
        <w:adjustRightInd w:val="0"/>
        <w:snapToGrid w:val="0"/>
        <w:spacing w:line="360" w:lineRule="auto"/>
        <w:ind w:firstLine="480" w:firstLineChars="200"/>
        <w:outlineLvl w:val="2"/>
        <w:rPr>
          <w:kern w:val="0"/>
          <w:sz w:val="24"/>
          <w:szCs w:val="24"/>
        </w:rPr>
      </w:pPr>
      <w:r>
        <w:rPr>
          <w:kern w:val="0"/>
          <w:sz w:val="24"/>
          <w:szCs w:val="24"/>
        </w:rPr>
        <w:t>3</w:t>
      </w:r>
      <w:r>
        <w:rPr>
          <w:rFonts w:hint="eastAsia"/>
          <w:kern w:val="0"/>
          <w:sz w:val="24"/>
          <w:szCs w:val="24"/>
        </w:rPr>
        <w:t>、基金托管业务经营情况</w:t>
      </w:r>
    </w:p>
    <w:p>
      <w:pPr>
        <w:widowControl/>
        <w:adjustRightInd w:val="0"/>
        <w:snapToGrid w:val="0"/>
        <w:spacing w:line="360" w:lineRule="auto"/>
        <w:ind w:firstLine="480" w:firstLineChars="200"/>
        <w:rPr>
          <w:bCs/>
          <w:kern w:val="0"/>
          <w:sz w:val="24"/>
          <w:szCs w:val="24"/>
        </w:rPr>
      </w:pPr>
      <w:r>
        <w:rPr>
          <w:rFonts w:hint="eastAsia"/>
          <w:bCs/>
          <w:kern w:val="0"/>
          <w:sz w:val="24"/>
          <w:szCs w:val="24"/>
        </w:rPr>
        <w:t>截止2020年9月30日，上海浦东发展银行证券投资基金托管规模为9066.66亿元，比去年末增加50.53%。托管证券投资基金共二百六十一只，分别为国泰金龙行业精选基金、国泰金龙债券基金、天治财富增长基金、广发小盘成长基金、汇添富货币基金、长信金利趋势基金、嘉实优质企业基金、国联安货币基金、长信利众债券基金（LOF）、博时安丰18个月基金（LOF）、易方达裕丰回报基金、鹏华丰泰定期开放基金、汇添富双利增强债券基金、华富恒财定开债券基金、汇添富和聚宝货币基金、工银目标收益一年定开债券基金、北信瑞丰宜投宝货币基金、中海医药健康产业基金、华富国泰民安灵活配置混合基金、安信动态策略灵活配置基金、东方红稳健精选基金、国联安鑫享混合基金、长安鑫利优选混合基金、工银瑞信生态环境基金、天弘新价值混合基金、嘉实机构快线货币基金、鹏华REITs封闭式基金、华富健康文娱基金、金鹰改革红利基金、易方达裕祥回报债券基金、中银瑞利灵活配置混合基金、华夏新活力混合基金、鑫元汇利债券型基金、南方转型驱动灵活配置基金、银华远景债券基金、富安达长盈灵活配置混合型基金、中信建投睿溢混合型证券投资基金、工银瑞信恒享纯债基金、长信利发债券基金、博时景发纯债基金、鑫元得利债券型基金、东方红战略沪港深混合基金、博时富发纯债基金、博时利发纯债基金、银河君信混合基金、兴业启元一年定开债券基金、工银瑞信瑞盈18个月定开债券基金、中信建投稳裕定开债券基金、招商招怡纯债债券基金、中加丰享纯债债券基金、长安泓泽纯债债券基金、银河君耀灵活配置混合基金、广发汇瑞3个月定期开放债券发起式证券投资基金、汇安嘉汇纯债债券基金、南方宣利定开债券基金、招商兴福灵活配置混合基金、博时鑫润灵活配置混合基金、兴业裕华债券基金、易方达瑞通灵活配置混合基金、招商招祥纯债债券基金、易方达瑞程混合基金、中欧骏泰货币基金、招商招华纯债债券基金、汇安丰融灵活配置混合基金、汇安嘉源纯债债券基金、国泰普益混合基金、汇添富鑫瑞债券基金、鑫元合丰纯债债券基金、博时鑫惠混合基金、国泰润利纯债基金、华富天益货币基金、汇安丰华混合基金、汇安沪深300指数增强型证券投资基金、汇安丰恒混合基金、景顺长城中证500指数基金、鹏华丰康债券基金、兴业安润货币基金、兴业瑞丰6个月定开债券基金、兴业裕丰债券基金、易方达瑞弘混合基金、长安鑫富领先混合基金、万家现金增利货币基金、上银慧增利货币市场基金、易方达瑞富灵活配置证券投资基金、博时富腾纯债债券型证券投资基金、安信工业4.0主题沪港深精选混合基金、万家天添宝货币基金、中欧瑾泰债券型证券投资基金、中银证券安弘债券基金、鑫元鑫趋势灵活配置混合基金、泰康年年红纯债一年定期开放债券基金、广发高端制造股票型发起式基金、永赢永益债券基金、南方安福混合基金、中银证券聚瑞混合基金、太平改革红利精选灵活配置混合基金、富荣富乾债券型证券投资基金、国联安安稳灵活配置混合型证券投资基金、前海开源弘泽债券型发起式证券投资基金、前海开源弘丰债券型发起式证券投资基金、中海沪港深多策略灵活配置混合型基金、中银证券祥瑞混合型证券投资基金、前海开源盛鑫灵活配置混合型证券投资基金、鑫元行业轮动灵活配置混合型证券投资基金、兴业3个月定期开放债券型发起式证券投资基金、富国颐利纯债债券型证券投资基金、华安安浦债券型证券投资基金、南方泽元债券型证券投资基金、鹏扬淳利定期开放债券型证券投资基金、万家鑫悦纯债债券型基金、新疆前海联合泳祺纯债债券型证券投资基金、永赢盈益债券型证券投资基金、中加颐合纯债债券型证券投资基金、中信保诚稳达债券型证券投资基金、中银中债3-5年期农发行债券指数证券投资基金、东方红核心优选一年定期开放混合型证券投资基金、平安惠锦纯债债券型证券投资基金、华夏鼎通债券型证券投资基金、鑫元全利债券型发起式证券投资基金、中融恒裕纯债债券型证券投资基金、嘉实致盈债券型证券投资基金、永赢消费主题灵活配置混合型证券投资基金、工银瑞信瑞福纯债债券型证券投资基金、广发景智纯债债券型证券投资基金、东兴品牌精选灵活配置混合型证券投资基金、广发中债1-3年国开行债券指数证券投资基金、融通通捷债券型证券投资基金、华富恒盛纯债债券型证券投资基金、建信中证1000指数增强型发起式证券投资基金、汇安嘉鑫纯债债券型证券投资基金、国寿安保安丰纯债债券型证券投资基金、博时中债1-3年政策性金融债指数证券投资基金、银河家盈纯债债券型证券投资基金、博时富永纯债3个月定期开放债券型发起式证券投资基金、南方畅利定期开放债券型发起式证券投资基金、中加瑞利纯债债券型证券投资基金、华富中证5年恒定久期国开债指数型证券投资基金、永赢合益债券型证券投资基金、嘉实中债1-3年政策性金融债指数证券投资基金、广发港股通优质增长混合型证券投资基金、长安泓沣中短债债券型证券投资基金、中海信息产业精选混合型证券投资基金、民生加银恒裕债券型证券投资基金、国寿安保尊益信用纯债债券型证券投资基金、平安惠泰纯债债券型证券投资基金、中信建投景和中短债债券型证券投资基金、工银瑞信添慧债券型证券投资基金、华富安鑫债券型证券投资基金、汇添富中债1-3年农发行债券指数证券投资基金、南方旭元债券型发起式证券投资基金、大成中债3-5年国开行债券指数基金、永赢众利债券型证券投资基金、华夏中债3-5年政策性金融债指数证券投资基金、中证长三角一体化发展主题交易型开放式指数证券投资基金、新疆前海联合科技先锋混合型证券投资基金、银华尊尚稳健养老目标一年持有期混合型发起式基金中基金（FOF）、博时颐泽平衡养老目标三年持有期混合型发起式基金中基金（FOF）、农银养老目标日期2035三年持有期混合型发起式基金中基金(FOF)、汇添富汇鑫浮动净值货币市场基金、泰康安欣纯债债券型证券投资基金、恒生前海港股通精选混合型证券投资基金、鹏华丰鑫债券型证券投资基金、中证长三角一体化发展主题交易型开放式指数证券投资基金联接基金、汇添富保鑫灵活配置混合型证券投资基金、华富安兴39个月定期开放债券型证券投资基金、中融睿享86个月定期开放债券型基金、南方梦元短债债券型证券投资基金、鹏扬淳开债券型证券投资基金、华宝宝惠纯债39个月定期开放债券型证券投资基金、建信MSCI中国A股指数增强型证券投资基金、农银汇理金益债券型证券投资基金、博时稳欣39个月定期开放债券型证券投资基金、同泰慧择混合型证券投资基金、招商中证红利交易型开放式指数证券投资基金、嘉实致禄3个月定期开放纯债债券型发起式证券投资基金、永赢久利债券型证券投资基金、嘉实安元39个月定期开放纯债债券型证券投资基金、交银施罗德裕泰两年定期开放债券型证券投资基金、长城嘉鑫两年定期开放债券型证券投资基金、建信荣禧一年定期开放债券型证券投资基金、鹏扬浦利中短债债券型证券投资基金、平安惠合纯债债券型证券投资基金、工银瑞信深证100交易型开放式指数证券投资基金、鹏华0-5年利率债债券型发起式证券投资基金、景顺长城弘利39个月定期开放债券型证券投资基金、工银瑞信泰颐三年定期开放债券型证券投资基金、华安鑫浦87个月定期开放债券型证券投资基金、汇安嘉盛纯债债券型证券投资基金、东方红安鑫甄选一年持有期混合型证券投资基金、西藏东财中证通信技术主题指数型发起式证券投资基金、财通裕惠63个月定期开放债券型证券投资基金、南方尊利一年定期开放债券型发起式证券投资基金、国泰中证全指家用电器交易型开放式指数证券投资基金、鹏华尊裕一年定期开放债券型发起式证券投资基金、鹏扬淳悦一年定期开放债券型发起式证券投资基金、兴业鼎泰一年定期开放债券型发起式证券投资基金、安信丰泽39个月定期开放债券型证券投资基金、国泰中证新能源汽车交易型开放式指数证券投资基金、广发恒隆一年持有期混合型证券投资基金、安信中证信用主体50债券指数证券投资基金、大成彭博巴克莱政策性银行债券3-5年指数证券投资基金、国泰中证全指家用电器交易型开放式指数证券投资基金发起式联接基金、国泰中证新能源汽车交易型开放式指数证券投资基金发起式联接基金、海富通富泽混合型证券投资基金、华富中债-0-5年中高等级信用债收益平衡指数证券投资基金、汇添富稳健增益一年持有期混合型证券投资基金、南方誉慧一年持有期混合型证券投资基金、农银汇理永乐3个月持有期混合型基金中基金（FOF）、鹏扬景恒六个月持有期混合型证券投资基金、平安合兴1年定期开放债券型发起式证券投资基金、融通中债1-3年国开行债券指数基金、太平中债1-3年政策性金融债指数证券投资基金、天弘永裕稳健养老目标一年持有期混合型基金中基金（FOF）、中欧真益稳健一年持有期混合型证券投资基金、南华中证杭州湾区交易型开放式指数证券投资基金联接基金、金信核心竞争力灵活配置混合型证券投资基金、华泰紫金中债1-5年国开行债券指数证券投资基金、博时价值臻选两年持有期灵活配置混合型证券投资基金、东方红益丰纯债债券型证券投资基金、东方红鑫泰66个月定期开放债券型证券投资基金、东方红鼎元3个月定期开放混合型发起式证券投资基金、富国上海金交易型开放式证券投资基金、富国上海金交易型开放式证券投资基金联接基金、工银瑞信深证100交易型开放式指数证券投资基金联接基金、广发汇浦三年定期开放债券型证券投资基金、国联安增泰一年定期开放纯债债券型发起式证券投资基金、海富通惠增多策略一年定期开放灵活配置混合型证券投资基金、华安中债1-5年国开行债券指数证券投资基金、华宝中债1-3年国开行债券指数证券投资基金、景顺长城安鑫回报一年持有期混合型证券投资基金、景顺长城电子信息产业股票型证券投资基金、景顺长城中债3-5年政策性金融债指数证券投资基金、民生加银瑞鑫一年定期开放债券型发起式证券投资基金、鹏华锦润86个月定期开放债券型证券投资基金、鹏华创新未来18个月封闭运作混合型证券投资基金、鹏扬</w:t>
      </w:r>
      <w:r>
        <w:rPr>
          <w:rFonts w:hint="eastAsia"/>
          <w:bCs/>
          <w:kern w:val="0"/>
          <w:sz w:val="24"/>
          <w:szCs w:val="24"/>
        </w:rPr>
        <w:t>淳安66个月定期开放债券型证券投资基金、融通通恒63个月定期开放债券型证券投资基金、上银聚远盈42个月定期开放债券型证券投资基金、新疆前海联合淳丰纯债87个月定期开放债券型证券投资基金、兴业稳泰66个月定期开放债券型证券投资基金、兴业睿进混合型证券投资基金、易方达悦享一年持有期混合型基金、易方达创新未来18个月封闭运作混合型基金、银华汇益一年持有期混合型基金、永赢瑞宁87个月定期开放债券型证券投资基金、长信浦瑞87个月定期开放债券型证券投资基金、招商添盛78个月定期开放债券型证券投资基金、中信建投稳丰63个月定期开放债券型证券投资基金、中信保诚景裕中短债债券型证券投资基金、泰达宏利中证申万绩优策略指数增强型证券投资基金、泰达宏利乐盈66个月定期开放债券型证券投资基金、创金合信泰博66个月定期开放债券型证券投资基金、淳厚安裕87个月定期开放债券型证券投资基金、西部利得尊泰86个月定期开放债券型证券投资基金、西部利得聚禾灵活配置混合型基金、德邦锐泽86个月定期开放债券型证券投资基金、德邦惠利混合型证券投资基金、光大保德信尊合87个月定期开放债券型证券投资基金、蜂巢添禧87个月定期开放债券型证券投资基金、国金惠丰39个月定期开放债券型证券投资基金、九泰科新优享灵活配置混合型证券投资基金、华泰保兴久盈63个月定期开放债券型证券投资基金等。</w:t>
      </w:r>
    </w:p>
    <w:p>
      <w:pPr>
        <w:spacing w:line="360" w:lineRule="auto"/>
        <w:ind w:firstLine="482" w:firstLineChars="200"/>
        <w:outlineLvl w:val="1"/>
        <w:rPr>
          <w:rFonts w:ascii="宋体" w:hAnsi="宋体" w:cs="宋体"/>
          <w:b/>
          <w:kern w:val="0"/>
          <w:sz w:val="24"/>
          <w:szCs w:val="24"/>
        </w:rPr>
      </w:pPr>
      <w:r>
        <w:rPr>
          <w:rFonts w:hint="eastAsia" w:ascii="宋体" w:hAnsi="宋体" w:cs="宋体"/>
          <w:b/>
          <w:kern w:val="0"/>
          <w:sz w:val="24"/>
          <w:szCs w:val="24"/>
        </w:rPr>
        <w:t>（二）基金托管人的内部风险控制制度说明</w:t>
      </w:r>
    </w:p>
    <w:p>
      <w:pPr>
        <w:snapToGrid w:val="0"/>
        <w:spacing w:line="360" w:lineRule="auto"/>
        <w:ind w:firstLine="480" w:firstLineChars="200"/>
        <w:rPr>
          <w:bCs/>
          <w:kern w:val="0"/>
          <w:sz w:val="24"/>
          <w:szCs w:val="24"/>
        </w:rPr>
      </w:pPr>
      <w:r>
        <w:rPr>
          <w:rFonts w:hint="eastAsia"/>
          <w:bCs/>
          <w:kern w:val="0"/>
          <w:sz w:val="24"/>
          <w:szCs w:val="24"/>
        </w:rPr>
        <w:t>1、内部控制目标为：确保经营活动中严格遵守国家有关法律法规、监管部门监管规则和上海浦东发展银行规章制度，形成守法经营、规范运作的经营思想。确保经营业务的稳健运行，保证基金资产的安全和完整，确保业务活动信息的真实、准确、完整，保护基金份额持有人的合法权益。</w:t>
      </w:r>
    </w:p>
    <w:p>
      <w:pPr>
        <w:snapToGrid w:val="0"/>
        <w:spacing w:line="360" w:lineRule="auto"/>
        <w:ind w:firstLine="480" w:firstLineChars="200"/>
        <w:rPr>
          <w:bCs/>
          <w:kern w:val="0"/>
          <w:sz w:val="24"/>
          <w:szCs w:val="24"/>
        </w:rPr>
      </w:pPr>
      <w:r>
        <w:rPr>
          <w:rFonts w:hint="eastAsia"/>
          <w:bCs/>
          <w:kern w:val="0"/>
          <w:sz w:val="24"/>
          <w:szCs w:val="24"/>
        </w:rPr>
        <w:t>2、上海浦东发展银行内部控制组织架构为：总行法律合规部是全行内部控制的牵头管理部门，指导业务部门建立并维护资产托管业务的内部控制体系。</w:t>
      </w:r>
    </w:p>
    <w:p>
      <w:pPr>
        <w:snapToGrid w:val="0"/>
        <w:spacing w:line="360" w:lineRule="auto"/>
        <w:ind w:firstLine="480" w:firstLineChars="200"/>
        <w:rPr>
          <w:bCs/>
          <w:kern w:val="0"/>
          <w:sz w:val="24"/>
          <w:szCs w:val="24"/>
        </w:rPr>
      </w:pPr>
      <w:r>
        <w:rPr>
          <w:rFonts w:hint="eastAsia"/>
          <w:bCs/>
          <w:kern w:val="0"/>
          <w:sz w:val="24"/>
          <w:szCs w:val="24"/>
        </w:rPr>
        <w:t>总行风险监控部是全行操作风险的牵头管理部门。指导业务部门开展资产托管业务的操作风险管控工作。总行资产托管部下设内控管理处。内控管理处是全行托管业务条线的内部控制具体管理实施机构，并配备专职内控监督人员负责托管业务的内控监督工作，独立行使监督稽核职责。</w:t>
      </w:r>
    </w:p>
    <w:p>
      <w:pPr>
        <w:snapToGrid w:val="0"/>
        <w:spacing w:line="360" w:lineRule="auto"/>
        <w:ind w:firstLine="480" w:firstLineChars="200"/>
        <w:rPr>
          <w:bCs/>
          <w:kern w:val="0"/>
          <w:sz w:val="24"/>
          <w:szCs w:val="24"/>
        </w:rPr>
      </w:pPr>
      <w:r>
        <w:rPr>
          <w:rFonts w:hint="eastAsia"/>
          <w:bCs/>
          <w:kern w:val="0"/>
          <w:sz w:val="24"/>
          <w:szCs w:val="24"/>
        </w:rPr>
        <w:t>3、内部控制制度及措施: 上海浦东发展银行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w:t>
      </w:r>
    </w:p>
    <w:p>
      <w:pPr>
        <w:snapToGrid w:val="0"/>
        <w:spacing w:line="360" w:lineRule="auto"/>
        <w:ind w:firstLine="480" w:firstLineChars="200"/>
        <w:rPr>
          <w:rFonts w:ascii="宋体" w:hAnsi="宋体" w:cs="宋体"/>
          <w:sz w:val="24"/>
          <w:szCs w:val="24"/>
        </w:rPr>
      </w:pPr>
      <w:r>
        <w:rPr>
          <w:rFonts w:hint="eastAsia"/>
          <w:bCs/>
          <w:kern w:val="0"/>
          <w:sz w:val="24"/>
          <w:szCs w:val="24"/>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组织灾备演练，建立重大事项报告制度；在基金运作办公区域建立健全安全监控系统，利用录音、录像等技术手段实现风险控制；定期对业务情况进行自查、内部稽核等措施进行监控，通过专项/全面审计等措施实施业务监控，排查风险隐患</w:t>
      </w:r>
      <w:r>
        <w:rPr>
          <w:rFonts w:hint="eastAsia" w:ascii="宋体" w:hAnsi="宋体" w:cs="宋体"/>
          <w:sz w:val="24"/>
          <w:szCs w:val="24"/>
        </w:rPr>
        <w:t>。</w:t>
      </w:r>
    </w:p>
    <w:p>
      <w:pPr>
        <w:widowControl/>
        <w:spacing w:line="360" w:lineRule="auto"/>
        <w:ind w:right="-178" w:rightChars="-85" w:firstLine="482" w:firstLineChars="200"/>
        <w:outlineLvl w:val="1"/>
        <w:rPr>
          <w:rFonts w:ascii="宋体" w:hAnsi="宋体" w:cs="宋体"/>
          <w:b/>
          <w:kern w:val="0"/>
          <w:sz w:val="24"/>
          <w:szCs w:val="24"/>
        </w:rPr>
      </w:pPr>
      <w:r>
        <w:rPr>
          <w:rFonts w:hint="eastAsia" w:ascii="宋体" w:hAnsi="宋体" w:cs="宋体"/>
          <w:b/>
          <w:kern w:val="0"/>
          <w:sz w:val="24"/>
          <w:szCs w:val="24"/>
        </w:rPr>
        <w:t>（三）基金托管人对基金管理人运作基金进行监督的方法和程序</w:t>
      </w:r>
    </w:p>
    <w:p>
      <w:pPr>
        <w:adjustRightInd w:val="0"/>
        <w:snapToGrid w:val="0"/>
        <w:spacing w:line="360" w:lineRule="auto"/>
        <w:ind w:firstLine="480" w:firstLineChars="200"/>
        <w:outlineLvl w:val="2"/>
        <w:rPr>
          <w:bCs/>
          <w:kern w:val="0"/>
          <w:sz w:val="24"/>
          <w:szCs w:val="24"/>
        </w:rPr>
      </w:pPr>
      <w:r>
        <w:rPr>
          <w:rFonts w:hint="eastAsia"/>
          <w:bCs/>
          <w:kern w:val="0"/>
          <w:sz w:val="24"/>
          <w:szCs w:val="24"/>
        </w:rPr>
        <w:t>1、监督依据</w:t>
      </w:r>
    </w:p>
    <w:p>
      <w:pPr>
        <w:adjustRightInd w:val="0"/>
        <w:snapToGrid w:val="0"/>
        <w:spacing w:line="360" w:lineRule="auto"/>
        <w:ind w:firstLine="480" w:firstLineChars="200"/>
        <w:rPr>
          <w:bCs/>
          <w:kern w:val="0"/>
          <w:sz w:val="24"/>
          <w:szCs w:val="24"/>
        </w:rPr>
      </w:pPr>
      <w:r>
        <w:rPr>
          <w:rFonts w:hint="eastAsia"/>
          <w:bCs/>
          <w:kern w:val="0"/>
          <w:sz w:val="24"/>
          <w:szCs w:val="24"/>
        </w:rPr>
        <w:t>托管人严格按照有关政策法规、以及基金合同、托管协议等进行监督。监督依据具体包括：</w:t>
      </w:r>
    </w:p>
    <w:p>
      <w:pPr>
        <w:adjustRightInd w:val="0"/>
        <w:snapToGrid w:val="0"/>
        <w:spacing w:line="360" w:lineRule="auto"/>
        <w:ind w:firstLine="480" w:firstLineChars="200"/>
        <w:rPr>
          <w:bCs/>
          <w:kern w:val="0"/>
          <w:sz w:val="24"/>
          <w:szCs w:val="24"/>
        </w:rPr>
      </w:pPr>
      <w:r>
        <w:rPr>
          <w:rFonts w:hint="eastAsia"/>
          <w:bCs/>
          <w:kern w:val="0"/>
          <w:sz w:val="24"/>
          <w:szCs w:val="24"/>
        </w:rPr>
        <w:t>（1）《中华人民共和国证券法》；</w:t>
      </w:r>
    </w:p>
    <w:p>
      <w:pPr>
        <w:adjustRightInd w:val="0"/>
        <w:snapToGrid w:val="0"/>
        <w:spacing w:line="360" w:lineRule="auto"/>
        <w:ind w:firstLine="480" w:firstLineChars="200"/>
        <w:rPr>
          <w:bCs/>
          <w:kern w:val="0"/>
          <w:sz w:val="24"/>
          <w:szCs w:val="24"/>
        </w:rPr>
      </w:pPr>
      <w:r>
        <w:rPr>
          <w:rFonts w:hint="eastAsia"/>
          <w:bCs/>
          <w:kern w:val="0"/>
          <w:sz w:val="24"/>
          <w:szCs w:val="24"/>
        </w:rPr>
        <w:t>（2）《基金法》；</w:t>
      </w:r>
    </w:p>
    <w:p>
      <w:pPr>
        <w:adjustRightInd w:val="0"/>
        <w:snapToGrid w:val="0"/>
        <w:spacing w:line="360" w:lineRule="auto"/>
        <w:ind w:firstLine="480" w:firstLineChars="200"/>
        <w:rPr>
          <w:bCs/>
          <w:kern w:val="0"/>
          <w:sz w:val="24"/>
          <w:szCs w:val="24"/>
        </w:rPr>
      </w:pPr>
      <w:r>
        <w:rPr>
          <w:rFonts w:hint="eastAsia"/>
          <w:bCs/>
          <w:kern w:val="0"/>
          <w:sz w:val="24"/>
          <w:szCs w:val="24"/>
        </w:rPr>
        <w:t>（3）《运作办法》；</w:t>
      </w:r>
    </w:p>
    <w:p>
      <w:pPr>
        <w:adjustRightInd w:val="0"/>
        <w:snapToGrid w:val="0"/>
        <w:spacing w:line="360" w:lineRule="auto"/>
        <w:ind w:firstLine="480" w:firstLineChars="200"/>
        <w:rPr>
          <w:bCs/>
          <w:kern w:val="0"/>
          <w:sz w:val="24"/>
          <w:szCs w:val="24"/>
        </w:rPr>
      </w:pPr>
      <w:r>
        <w:rPr>
          <w:rFonts w:hint="eastAsia"/>
          <w:bCs/>
          <w:kern w:val="0"/>
          <w:sz w:val="24"/>
          <w:szCs w:val="24"/>
        </w:rPr>
        <w:t>（4）《销售办法》；</w:t>
      </w:r>
    </w:p>
    <w:p>
      <w:pPr>
        <w:adjustRightInd w:val="0"/>
        <w:snapToGrid w:val="0"/>
        <w:spacing w:line="360" w:lineRule="auto"/>
        <w:ind w:firstLine="480" w:firstLineChars="200"/>
        <w:rPr>
          <w:bCs/>
          <w:kern w:val="0"/>
          <w:sz w:val="24"/>
          <w:szCs w:val="24"/>
        </w:rPr>
      </w:pPr>
      <w:r>
        <w:rPr>
          <w:rFonts w:hint="eastAsia"/>
          <w:bCs/>
          <w:kern w:val="0"/>
          <w:sz w:val="24"/>
          <w:szCs w:val="24"/>
        </w:rPr>
        <w:t>（5）《基金合同》、《托管协议》；</w:t>
      </w:r>
    </w:p>
    <w:p>
      <w:pPr>
        <w:adjustRightInd w:val="0"/>
        <w:snapToGrid w:val="0"/>
        <w:spacing w:line="360" w:lineRule="auto"/>
        <w:ind w:firstLine="480" w:firstLineChars="200"/>
        <w:rPr>
          <w:bCs/>
          <w:kern w:val="0"/>
          <w:sz w:val="24"/>
          <w:szCs w:val="24"/>
        </w:rPr>
      </w:pPr>
      <w:r>
        <w:rPr>
          <w:rFonts w:hint="eastAsia"/>
          <w:bCs/>
          <w:kern w:val="0"/>
          <w:sz w:val="24"/>
          <w:szCs w:val="24"/>
        </w:rPr>
        <w:t>（6） 法律、法规、政策的其他规定。</w:t>
      </w:r>
    </w:p>
    <w:p>
      <w:pPr>
        <w:adjustRightInd w:val="0"/>
        <w:snapToGrid w:val="0"/>
        <w:spacing w:line="360" w:lineRule="auto"/>
        <w:ind w:firstLine="480" w:firstLineChars="200"/>
        <w:outlineLvl w:val="2"/>
        <w:rPr>
          <w:bCs/>
          <w:kern w:val="0"/>
          <w:sz w:val="24"/>
          <w:szCs w:val="24"/>
        </w:rPr>
      </w:pPr>
      <w:r>
        <w:rPr>
          <w:rFonts w:hint="eastAsia"/>
          <w:bCs/>
          <w:kern w:val="0"/>
          <w:sz w:val="24"/>
          <w:szCs w:val="24"/>
        </w:rPr>
        <w:t>2、监督内容</w:t>
      </w:r>
    </w:p>
    <w:p>
      <w:pPr>
        <w:adjustRightInd w:val="0"/>
        <w:snapToGrid w:val="0"/>
        <w:spacing w:line="360" w:lineRule="auto"/>
        <w:ind w:firstLine="480" w:firstLineChars="200"/>
        <w:rPr>
          <w:bCs/>
          <w:kern w:val="0"/>
          <w:sz w:val="24"/>
          <w:szCs w:val="24"/>
        </w:rPr>
      </w:pPr>
      <w:r>
        <w:rPr>
          <w:rFonts w:hint="eastAsia"/>
          <w:bCs/>
          <w:kern w:val="0"/>
          <w:sz w:val="24"/>
          <w:szCs w:val="24"/>
        </w:rPr>
        <w:t>基金托管人根据基金合同及托管协议约定，对基金合同生效之后所托管基金的投资范围、投资比例、投资限制等进行严格监督，及时提示基金管理人违规风险。</w:t>
      </w:r>
    </w:p>
    <w:p>
      <w:pPr>
        <w:adjustRightInd w:val="0"/>
        <w:snapToGrid w:val="0"/>
        <w:spacing w:line="360" w:lineRule="auto"/>
        <w:ind w:firstLine="480" w:firstLineChars="200"/>
        <w:outlineLvl w:val="2"/>
        <w:rPr>
          <w:bCs/>
          <w:kern w:val="0"/>
          <w:sz w:val="24"/>
          <w:szCs w:val="24"/>
        </w:rPr>
      </w:pPr>
      <w:r>
        <w:rPr>
          <w:rFonts w:hint="eastAsia"/>
          <w:bCs/>
          <w:kern w:val="0"/>
          <w:sz w:val="24"/>
          <w:szCs w:val="24"/>
        </w:rPr>
        <w:t>3、监督方法</w:t>
      </w:r>
    </w:p>
    <w:p>
      <w:pPr>
        <w:adjustRightInd w:val="0"/>
        <w:snapToGrid w:val="0"/>
        <w:spacing w:line="360" w:lineRule="auto"/>
        <w:ind w:firstLine="480" w:firstLineChars="200"/>
        <w:rPr>
          <w:bCs/>
          <w:kern w:val="0"/>
          <w:sz w:val="24"/>
          <w:szCs w:val="24"/>
        </w:rPr>
      </w:pPr>
      <w:r>
        <w:rPr>
          <w:rFonts w:hint="eastAsia"/>
          <w:bCs/>
          <w:kern w:val="0"/>
          <w:sz w:val="24"/>
          <w:szCs w:val="24"/>
        </w:rPr>
        <w:t>（1）资产托管部设置核算监督岗位，配备相应的业务人员，在授权范围内独立行使对基金管理人投资交易行为的监督职责，规范基金运作，维护基金投资人的合法权益，不受任何外界力量的干预；</w:t>
      </w:r>
    </w:p>
    <w:p>
      <w:pPr>
        <w:adjustRightInd w:val="0"/>
        <w:snapToGrid w:val="0"/>
        <w:spacing w:line="360" w:lineRule="auto"/>
        <w:ind w:firstLine="480" w:firstLineChars="200"/>
        <w:rPr>
          <w:bCs/>
          <w:kern w:val="0"/>
          <w:sz w:val="24"/>
          <w:szCs w:val="24"/>
        </w:rPr>
      </w:pPr>
      <w:r>
        <w:rPr>
          <w:rFonts w:hint="eastAsia"/>
          <w:bCs/>
          <w:kern w:val="0"/>
          <w:sz w:val="24"/>
          <w:szCs w:val="24"/>
        </w:rPr>
        <w:t>（2）在日常运作中，凡可量化的监督指标，由核算监督岗通过托管业务的自动处理程序进行监督，实现系统的自动跟踪和预警；</w:t>
      </w:r>
    </w:p>
    <w:p>
      <w:pPr>
        <w:adjustRightInd w:val="0"/>
        <w:snapToGrid w:val="0"/>
        <w:spacing w:line="360" w:lineRule="auto"/>
        <w:ind w:firstLine="480" w:firstLineChars="200"/>
        <w:rPr>
          <w:bCs/>
          <w:kern w:val="0"/>
          <w:sz w:val="24"/>
          <w:szCs w:val="24"/>
        </w:rPr>
      </w:pPr>
      <w:r>
        <w:rPr>
          <w:rFonts w:hint="eastAsia"/>
          <w:bCs/>
          <w:kern w:val="0"/>
          <w:sz w:val="24"/>
          <w:szCs w:val="24"/>
        </w:rPr>
        <w:t>（3）对非量化指标、投资指令、管理人提供的各种报表和报告等，采取人工监督的方法。</w:t>
      </w:r>
    </w:p>
    <w:p>
      <w:pPr>
        <w:adjustRightInd w:val="0"/>
        <w:snapToGrid w:val="0"/>
        <w:spacing w:line="360" w:lineRule="auto"/>
        <w:ind w:firstLine="480" w:firstLineChars="200"/>
        <w:outlineLvl w:val="2"/>
        <w:rPr>
          <w:bCs/>
          <w:kern w:val="0"/>
          <w:sz w:val="24"/>
          <w:szCs w:val="24"/>
        </w:rPr>
      </w:pPr>
      <w:r>
        <w:rPr>
          <w:rFonts w:hint="eastAsia"/>
          <w:bCs/>
          <w:kern w:val="0"/>
          <w:sz w:val="24"/>
          <w:szCs w:val="24"/>
        </w:rPr>
        <w:t>4、监督结果的处理方式</w:t>
      </w:r>
    </w:p>
    <w:p>
      <w:pPr>
        <w:adjustRightInd w:val="0"/>
        <w:snapToGrid w:val="0"/>
        <w:spacing w:line="360" w:lineRule="auto"/>
        <w:ind w:firstLine="480" w:firstLineChars="200"/>
        <w:rPr>
          <w:bCs/>
          <w:kern w:val="0"/>
          <w:sz w:val="24"/>
          <w:szCs w:val="24"/>
        </w:rPr>
      </w:pPr>
      <w:r>
        <w:rPr>
          <w:rFonts w:hint="eastAsia"/>
          <w:bCs/>
          <w:kern w:val="0"/>
          <w:sz w:val="24"/>
          <w:szCs w:val="24"/>
        </w:rPr>
        <w:t>（1）基金托管人对基金管理人的投资运作监督结果，采取定期和不定期报告形式向基金管理人和中国证监会报告。定期报告包括基金监控周报等。不定期报告包括提示函、临时日报、其他临时报告等；</w:t>
      </w:r>
    </w:p>
    <w:p>
      <w:pPr>
        <w:adjustRightInd w:val="0"/>
        <w:snapToGrid w:val="0"/>
        <w:spacing w:line="360" w:lineRule="auto"/>
        <w:ind w:firstLine="480" w:firstLineChars="200"/>
        <w:rPr>
          <w:bCs/>
          <w:kern w:val="0"/>
          <w:sz w:val="24"/>
          <w:szCs w:val="24"/>
        </w:rPr>
      </w:pPr>
      <w:r>
        <w:rPr>
          <w:rFonts w:hint="eastAsia"/>
          <w:bCs/>
          <w:kern w:val="0"/>
          <w:sz w:val="24"/>
          <w:szCs w:val="24"/>
        </w:rPr>
        <w:t>（2）若基金托管人发现基金管理人违规违法操作，以电话、邮件、书面提示函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pPr>
        <w:adjustRightInd w:val="0"/>
        <w:snapToGrid w:val="0"/>
        <w:spacing w:line="360" w:lineRule="auto"/>
        <w:ind w:firstLine="480" w:firstLineChars="200"/>
        <w:rPr>
          <w:color w:val="000000"/>
          <w:sz w:val="24"/>
          <w:szCs w:val="24"/>
        </w:rPr>
      </w:pPr>
      <w:r>
        <w:rPr>
          <w:rFonts w:hint="eastAsia"/>
          <w:bCs/>
          <w:kern w:val="0"/>
          <w:sz w:val="24"/>
          <w:szCs w:val="24"/>
        </w:rPr>
        <w:t>（3）针对中国证监会、中国人民银行对基金投资运作监督情况的检查，应及时提供有关情况和资料。</w:t>
      </w:r>
    </w:p>
    <w:p>
      <w:pPr>
        <w:widowControl/>
        <w:adjustRightInd w:val="0"/>
        <w:snapToGrid w:val="0"/>
        <w:spacing w:before="143" w:beforeLines="50" w:after="143" w:afterLines="50" w:line="360" w:lineRule="auto"/>
        <w:ind w:firstLine="602" w:firstLineChars="200"/>
        <w:jc w:val="center"/>
        <w:outlineLvl w:val="0"/>
        <w:rPr>
          <w:rFonts w:ascii="宋体" w:hAnsi="宋体"/>
          <w:b/>
          <w:kern w:val="0"/>
          <w:sz w:val="30"/>
        </w:rPr>
      </w:pPr>
      <w:bookmarkStart w:id="11" w:name="_Toc109537383"/>
      <w:r>
        <w:rPr>
          <w:rFonts w:ascii="宋体" w:hAnsi="宋体"/>
          <w:b/>
          <w:kern w:val="0"/>
          <w:sz w:val="30"/>
        </w:rPr>
        <w:br w:type="page"/>
      </w:r>
      <w:bookmarkStart w:id="12" w:name="_Toc48122006"/>
      <w:r>
        <w:rPr>
          <w:rFonts w:hint="eastAsia" w:ascii="宋体" w:hAnsi="宋体"/>
          <w:b/>
          <w:kern w:val="0"/>
          <w:sz w:val="30"/>
        </w:rPr>
        <w:t>五、相关服务机构</w:t>
      </w:r>
      <w:bookmarkEnd w:id="11"/>
      <w:bookmarkEnd w:id="12"/>
    </w:p>
    <w:p>
      <w:pPr>
        <w:widowControl/>
        <w:adjustRightInd w:val="0"/>
        <w:snapToGrid w:val="0"/>
        <w:spacing w:line="360" w:lineRule="auto"/>
        <w:ind w:firstLine="482" w:firstLineChars="200"/>
        <w:outlineLvl w:val="1"/>
        <w:rPr>
          <w:b/>
          <w:kern w:val="0"/>
          <w:sz w:val="24"/>
        </w:rPr>
      </w:pPr>
      <w:r>
        <w:rPr>
          <w:rFonts w:hAnsi="宋体"/>
          <w:b/>
          <w:kern w:val="0"/>
          <w:sz w:val="24"/>
        </w:rPr>
        <w:t>（一）基金份额销售机构</w:t>
      </w:r>
    </w:p>
    <w:p>
      <w:pPr>
        <w:adjustRightInd w:val="0"/>
        <w:snapToGrid w:val="0"/>
        <w:spacing w:line="360" w:lineRule="auto"/>
        <w:ind w:firstLine="465"/>
        <w:outlineLvl w:val="2"/>
        <w:rPr>
          <w:rFonts w:hAnsi="宋体"/>
          <w:sz w:val="24"/>
        </w:rPr>
      </w:pPr>
      <w:r>
        <w:rPr>
          <w:rFonts w:hAnsi="宋体"/>
          <w:sz w:val="24"/>
        </w:rPr>
        <w:t>1、直销机构</w:t>
      </w:r>
    </w:p>
    <w:p>
      <w:pPr>
        <w:adjustRightInd w:val="0"/>
        <w:snapToGrid w:val="0"/>
        <w:spacing w:line="360" w:lineRule="auto"/>
        <w:ind w:firstLine="465"/>
        <w:rPr>
          <w:rFonts w:hAnsi="宋体"/>
          <w:sz w:val="24"/>
        </w:rPr>
      </w:pPr>
      <w:r>
        <w:rPr>
          <w:rFonts w:hAnsi="宋体"/>
          <w:sz w:val="24"/>
        </w:rPr>
        <w:t>本基金直销机构为</w:t>
      </w:r>
      <w:r>
        <w:rPr>
          <w:rFonts w:hint="eastAsia" w:hAnsi="宋体"/>
          <w:sz w:val="24"/>
        </w:rPr>
        <w:t>基金管理人直销柜台</w:t>
      </w:r>
      <w:r>
        <w:rPr>
          <w:rFonts w:hAnsi="宋体"/>
          <w:sz w:val="24"/>
        </w:rPr>
        <w:t>以及</w:t>
      </w:r>
      <w:r>
        <w:rPr>
          <w:rFonts w:hint="eastAsia" w:hAnsi="宋体"/>
          <w:sz w:val="24"/>
        </w:rPr>
        <w:t>基金管理人</w:t>
      </w:r>
      <w:r>
        <w:rPr>
          <w:rFonts w:hAnsi="宋体"/>
          <w:sz w:val="24"/>
        </w:rPr>
        <w:t>的网上直销交易平台</w:t>
      </w:r>
      <w:r>
        <w:rPr>
          <w:rFonts w:hint="eastAsia" w:hAnsi="宋体"/>
          <w:sz w:val="24"/>
        </w:rPr>
        <w:t>（网站</w:t>
      </w:r>
      <w:r>
        <w:rPr>
          <w:rFonts w:hAnsi="宋体"/>
          <w:sz w:val="24"/>
        </w:rPr>
        <w:t>及手机APP，下同）。</w:t>
      </w:r>
    </w:p>
    <w:p>
      <w:pPr>
        <w:adjustRightInd w:val="0"/>
        <w:snapToGrid w:val="0"/>
        <w:spacing w:line="360" w:lineRule="auto"/>
        <w:ind w:firstLine="465"/>
        <w:rPr>
          <w:rFonts w:hAnsi="宋体"/>
          <w:sz w:val="24"/>
        </w:rPr>
      </w:pPr>
      <w:r>
        <w:rPr>
          <w:rFonts w:hAnsi="宋体"/>
          <w:sz w:val="24"/>
        </w:rPr>
        <w:t>名称：</w:t>
      </w:r>
      <w:r>
        <w:rPr>
          <w:rFonts w:hint="eastAsia" w:hAnsi="宋体"/>
          <w:sz w:val="24"/>
        </w:rPr>
        <w:t>交银施罗德基金管理有限公司</w:t>
      </w:r>
    </w:p>
    <w:p>
      <w:pPr>
        <w:adjustRightInd w:val="0"/>
        <w:snapToGrid w:val="0"/>
        <w:spacing w:line="360" w:lineRule="auto"/>
        <w:ind w:firstLine="465"/>
        <w:rPr>
          <w:rFonts w:hAnsi="宋体"/>
          <w:sz w:val="24"/>
        </w:rPr>
      </w:pPr>
      <w:r>
        <w:rPr>
          <w:rFonts w:hAnsi="宋体"/>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int="eastAsia" w:hAnsi="宋体"/>
          <w:sz w:val="24"/>
        </w:rPr>
        <w:t>银城中路188号交通银行大楼二层（裙）</w:t>
      </w:r>
    </w:p>
    <w:p>
      <w:pPr>
        <w:adjustRightInd w:val="0"/>
        <w:snapToGrid w:val="0"/>
        <w:spacing w:line="360" w:lineRule="auto"/>
        <w:ind w:firstLine="465"/>
        <w:rPr>
          <w:rFonts w:hAnsi="宋体"/>
          <w:sz w:val="24"/>
        </w:rPr>
      </w:pPr>
      <w:r>
        <w:rPr>
          <w:rFonts w:hAnsi="宋体"/>
          <w:sz w:val="24"/>
        </w:rPr>
        <w:t>办公地址：</w:t>
      </w:r>
      <w:r>
        <w:rPr>
          <w:rFonts w:hint="eastAsia" w:hAnsi="宋体"/>
          <w:sz w:val="24"/>
        </w:rPr>
        <w:t>上海市浦东新区世纪大道8号国金中心二期21-22楼</w:t>
      </w:r>
    </w:p>
    <w:p>
      <w:pPr>
        <w:adjustRightInd w:val="0"/>
        <w:snapToGrid w:val="0"/>
        <w:spacing w:line="360" w:lineRule="auto"/>
        <w:ind w:firstLine="465"/>
        <w:rPr>
          <w:rFonts w:hAnsi="宋体"/>
          <w:sz w:val="24"/>
        </w:rPr>
      </w:pPr>
      <w:r>
        <w:rPr>
          <w:rFonts w:hAnsi="宋体"/>
          <w:sz w:val="24"/>
        </w:rPr>
        <w:t>法定代表人：</w:t>
      </w:r>
      <w:r>
        <w:rPr>
          <w:rFonts w:hint="eastAsia" w:hAnsi="宋体"/>
          <w:sz w:val="24"/>
        </w:rPr>
        <w:t>阮红</w:t>
      </w:r>
    </w:p>
    <w:p>
      <w:pPr>
        <w:adjustRightInd w:val="0"/>
        <w:snapToGrid w:val="0"/>
        <w:spacing w:line="360" w:lineRule="auto"/>
        <w:ind w:firstLine="480" w:firstLineChars="200"/>
        <w:rPr>
          <w:sz w:val="24"/>
        </w:rPr>
      </w:pPr>
      <w:r>
        <w:rPr>
          <w:rFonts w:hAnsi="宋体"/>
          <w:sz w:val="24"/>
        </w:rPr>
        <w:t>成立时间：</w:t>
      </w:r>
      <w:r>
        <w:rPr>
          <w:rFonts w:hint="eastAsia" w:hAnsi="宋体"/>
          <w:sz w:val="24"/>
        </w:rPr>
        <w:t>2005年8月4日</w:t>
      </w:r>
    </w:p>
    <w:p>
      <w:pPr>
        <w:adjustRightInd w:val="0"/>
        <w:snapToGrid w:val="0"/>
        <w:spacing w:line="360" w:lineRule="auto"/>
        <w:ind w:firstLine="480" w:firstLineChars="200"/>
        <w:rPr>
          <w:sz w:val="24"/>
        </w:rPr>
      </w:pPr>
      <w:r>
        <w:rPr>
          <w:rFonts w:hAnsi="宋体"/>
          <w:sz w:val="24"/>
        </w:rPr>
        <w:t>电话：</w:t>
      </w:r>
      <w:r>
        <w:rPr>
          <w:rFonts w:hint="eastAsia" w:hAnsi="宋体"/>
          <w:sz w:val="24"/>
        </w:rPr>
        <w:t>（021）6105</w:t>
      </w:r>
      <w:r>
        <w:rPr>
          <w:rFonts w:hAnsi="宋体"/>
          <w:sz w:val="24"/>
        </w:rPr>
        <w:t>5724</w:t>
      </w:r>
    </w:p>
    <w:p>
      <w:pPr>
        <w:adjustRightInd w:val="0"/>
        <w:snapToGrid w:val="0"/>
        <w:spacing w:line="360" w:lineRule="auto"/>
        <w:ind w:firstLine="480" w:firstLineChars="200"/>
        <w:rPr>
          <w:sz w:val="24"/>
        </w:rPr>
      </w:pPr>
      <w:r>
        <w:rPr>
          <w:rFonts w:hAnsi="宋体"/>
          <w:sz w:val="24"/>
        </w:rPr>
        <w:t>传真：</w:t>
      </w:r>
      <w:r>
        <w:rPr>
          <w:rFonts w:hint="eastAsia" w:hAnsi="宋体"/>
          <w:sz w:val="24"/>
        </w:rPr>
        <w:t>（021）61055054</w:t>
      </w:r>
    </w:p>
    <w:p>
      <w:pPr>
        <w:adjustRightInd w:val="0"/>
        <w:snapToGrid w:val="0"/>
        <w:spacing w:line="360" w:lineRule="auto"/>
        <w:ind w:firstLine="480" w:firstLineChars="200"/>
        <w:rPr>
          <w:sz w:val="24"/>
        </w:rPr>
      </w:pPr>
      <w:r>
        <w:rPr>
          <w:rFonts w:hAnsi="宋体"/>
          <w:sz w:val="24"/>
        </w:rPr>
        <w:t>联系人：</w:t>
      </w:r>
      <w:r>
        <w:rPr>
          <w:rFonts w:hint="eastAsia" w:hAnsi="宋体"/>
          <w:sz w:val="24"/>
        </w:rPr>
        <w:t>傅鲸</w:t>
      </w:r>
    </w:p>
    <w:p>
      <w:pPr>
        <w:adjustRightInd w:val="0"/>
        <w:snapToGrid w:val="0"/>
        <w:spacing w:line="360" w:lineRule="auto"/>
        <w:ind w:firstLine="480" w:firstLineChars="200"/>
        <w:rPr>
          <w:sz w:val="24"/>
        </w:rPr>
      </w:pPr>
      <w:r>
        <w:rPr>
          <w:rFonts w:hAnsi="宋体"/>
          <w:sz w:val="24"/>
        </w:rPr>
        <w:t>客户服务电话：</w:t>
      </w:r>
      <w:r>
        <w:rPr>
          <w:rFonts w:hint="eastAsia" w:hAnsi="宋体"/>
          <w:sz w:val="24"/>
        </w:rPr>
        <w:t>400-700-5000（免长途话费），（021）61055000</w:t>
      </w:r>
    </w:p>
    <w:p>
      <w:pPr>
        <w:adjustRightInd w:val="0"/>
        <w:snapToGrid w:val="0"/>
        <w:spacing w:line="360" w:lineRule="auto"/>
        <w:ind w:firstLine="480" w:firstLineChars="200"/>
        <w:rPr>
          <w:rStyle w:val="31"/>
          <w:color w:val="auto"/>
          <w:sz w:val="24"/>
          <w:u w:val="none"/>
        </w:rPr>
      </w:pPr>
      <w:r>
        <w:rPr>
          <w:rFonts w:hAnsi="宋体"/>
          <w:sz w:val="24"/>
        </w:rPr>
        <w:t>网址：</w:t>
      </w:r>
      <w:r>
        <w:rPr>
          <w:rFonts w:hint="eastAsia" w:hAnsi="宋体"/>
          <w:sz w:val="24"/>
        </w:rPr>
        <w:t>www.fund001.com</w:t>
      </w:r>
    </w:p>
    <w:p>
      <w:pPr>
        <w:widowControl/>
        <w:adjustRightInd w:val="0"/>
        <w:snapToGrid w:val="0"/>
        <w:spacing w:line="360" w:lineRule="auto"/>
        <w:ind w:firstLine="480" w:firstLineChars="200"/>
        <w:rPr>
          <w:kern w:val="0"/>
          <w:sz w:val="24"/>
        </w:rPr>
      </w:pPr>
      <w:r>
        <w:rPr>
          <w:kern w:val="0"/>
          <w:sz w:val="24"/>
        </w:rPr>
        <w:t>个人投资者可以通过</w:t>
      </w:r>
      <w:r>
        <w:rPr>
          <w:rFonts w:hint="eastAsia" w:hAnsi="宋体"/>
          <w:kern w:val="0"/>
          <w:sz w:val="24"/>
          <w:szCs w:val="24"/>
        </w:rPr>
        <w:t>基金管理人</w:t>
      </w:r>
      <w:r>
        <w:rPr>
          <w:kern w:val="0"/>
          <w:sz w:val="24"/>
        </w:rPr>
        <w:t>网上直销交易平台办理开户、本基金的认购、申购、赎回等业务，具体交易细则请参阅</w:t>
      </w:r>
      <w:r>
        <w:rPr>
          <w:rFonts w:hint="eastAsia" w:hAnsi="宋体"/>
          <w:kern w:val="0"/>
          <w:sz w:val="24"/>
          <w:szCs w:val="24"/>
        </w:rPr>
        <w:t>基金管理人</w:t>
      </w:r>
      <w:r>
        <w:rPr>
          <w:kern w:val="0"/>
          <w:sz w:val="24"/>
        </w:rPr>
        <w:t>网站。</w:t>
      </w:r>
    </w:p>
    <w:p>
      <w:pPr>
        <w:widowControl/>
        <w:adjustRightInd w:val="0"/>
        <w:snapToGrid w:val="0"/>
        <w:spacing w:line="360" w:lineRule="auto"/>
        <w:ind w:firstLine="480" w:firstLineChars="200"/>
        <w:rPr>
          <w:rStyle w:val="31"/>
          <w:color w:val="auto"/>
          <w:kern w:val="0"/>
          <w:sz w:val="24"/>
          <w:u w:val="none"/>
        </w:rPr>
      </w:pPr>
      <w:r>
        <w:rPr>
          <w:kern w:val="0"/>
          <w:sz w:val="24"/>
        </w:rPr>
        <w:t>网上直销交易平台网址：</w:t>
      </w:r>
      <w:r>
        <w:fldChar w:fldCharType="begin"/>
      </w:r>
      <w:r>
        <w:instrText xml:space="preserve"> HYPERLINK "http://www.jysld.com" </w:instrText>
      </w:r>
      <w:r>
        <w:fldChar w:fldCharType="separate"/>
      </w:r>
      <w:r>
        <w:rPr>
          <w:rStyle w:val="31"/>
          <w:color w:val="auto"/>
          <w:sz w:val="24"/>
          <w:u w:val="none"/>
        </w:rPr>
        <w:t>www.fund001.com</w:t>
      </w:r>
      <w:r>
        <w:rPr>
          <w:rStyle w:val="31"/>
          <w:color w:val="auto"/>
          <w:sz w:val="24"/>
          <w:u w:val="none"/>
        </w:rPr>
        <w:fldChar w:fldCharType="end"/>
      </w:r>
      <w:r>
        <w:rPr>
          <w:rStyle w:val="31"/>
          <w:color w:val="auto"/>
          <w:sz w:val="24"/>
          <w:u w:val="none"/>
        </w:rPr>
        <w:t>。</w:t>
      </w:r>
    </w:p>
    <w:p>
      <w:pPr>
        <w:adjustRightInd w:val="0"/>
        <w:snapToGrid w:val="0"/>
        <w:spacing w:line="360" w:lineRule="auto"/>
        <w:ind w:firstLine="480" w:firstLineChars="200"/>
        <w:outlineLvl w:val="2"/>
        <w:rPr>
          <w:sz w:val="24"/>
        </w:rPr>
      </w:pPr>
      <w:r>
        <w:rPr>
          <w:rFonts w:hint="eastAsia"/>
          <w:sz w:val="24"/>
        </w:rPr>
        <w:t>2、除基金管理人之外的其他销售机构</w:t>
      </w:r>
    </w:p>
    <w:p>
      <w:pPr>
        <w:adjustRightInd w:val="0"/>
        <w:snapToGrid w:val="0"/>
        <w:spacing w:line="360" w:lineRule="auto"/>
        <w:ind w:firstLine="480" w:firstLineChars="200"/>
        <w:rPr>
          <w:rFonts w:hAnsi="宋体"/>
          <w:sz w:val="24"/>
        </w:rPr>
      </w:pPr>
      <w:r>
        <w:rPr>
          <w:rFonts w:hint="eastAsia" w:hAnsi="宋体"/>
          <w:sz w:val="24"/>
        </w:rPr>
        <w:t>（1）上海浦东发展银行股份有限公司</w:t>
      </w:r>
    </w:p>
    <w:p>
      <w:pPr>
        <w:adjustRightInd w:val="0"/>
        <w:snapToGrid w:val="0"/>
        <w:spacing w:line="360" w:lineRule="auto"/>
        <w:ind w:firstLine="480" w:firstLineChars="200"/>
        <w:rPr>
          <w:rFonts w:hAnsi="宋体"/>
          <w:sz w:val="24"/>
        </w:rPr>
      </w:pPr>
      <w:r>
        <w:rPr>
          <w:rFonts w:hint="eastAsia" w:hAnsi="宋体"/>
          <w:sz w:val="24"/>
        </w:rPr>
        <w:t>住所：上</w:t>
      </w:r>
      <w:r>
        <w:rPr>
          <w:rFonts w:hint="eastAsia"/>
          <w:kern w:val="0"/>
          <w:sz w:val="24"/>
          <w:szCs w:val="24"/>
        </w:rPr>
        <w:t>海市中山东一路12 号</w:t>
      </w:r>
    </w:p>
    <w:p>
      <w:pPr>
        <w:adjustRightInd w:val="0"/>
        <w:snapToGrid w:val="0"/>
        <w:spacing w:line="360" w:lineRule="auto"/>
        <w:ind w:firstLine="480" w:firstLineChars="200"/>
        <w:rPr>
          <w:rFonts w:hAnsi="宋体"/>
          <w:sz w:val="24"/>
        </w:rPr>
      </w:pPr>
      <w:r>
        <w:rPr>
          <w:rFonts w:hint="eastAsia" w:hAnsi="宋体"/>
          <w:sz w:val="24"/>
        </w:rPr>
        <w:t>办公地址：上</w:t>
      </w:r>
      <w:r>
        <w:rPr>
          <w:rFonts w:hint="eastAsia"/>
          <w:kern w:val="0"/>
          <w:sz w:val="24"/>
          <w:szCs w:val="24"/>
        </w:rPr>
        <w:t>海市中山东一路12 号</w:t>
      </w:r>
    </w:p>
    <w:p>
      <w:pPr>
        <w:adjustRightInd w:val="0"/>
        <w:snapToGrid w:val="0"/>
        <w:spacing w:line="360" w:lineRule="auto"/>
        <w:ind w:firstLine="480" w:firstLineChars="200"/>
        <w:rPr>
          <w:rFonts w:hAnsi="宋体"/>
          <w:sz w:val="24"/>
        </w:rPr>
      </w:pPr>
      <w:r>
        <w:rPr>
          <w:rFonts w:hint="eastAsia" w:hAnsi="宋体"/>
          <w:sz w:val="24"/>
        </w:rPr>
        <w:t>法定代表人：</w:t>
      </w:r>
      <w:r>
        <w:rPr>
          <w:rFonts w:hint="eastAsia"/>
          <w:kern w:val="0"/>
          <w:sz w:val="24"/>
          <w:szCs w:val="24"/>
        </w:rPr>
        <w:t>郑杨</w:t>
      </w:r>
    </w:p>
    <w:p>
      <w:pPr>
        <w:adjustRightInd w:val="0"/>
        <w:snapToGrid w:val="0"/>
        <w:spacing w:line="360" w:lineRule="auto"/>
        <w:ind w:firstLine="480" w:firstLineChars="200"/>
        <w:rPr>
          <w:rFonts w:hAnsi="宋体"/>
          <w:sz w:val="24"/>
        </w:rPr>
      </w:pPr>
      <w:r>
        <w:rPr>
          <w:rFonts w:hint="eastAsia" w:hAnsi="宋体"/>
          <w:sz w:val="24"/>
        </w:rPr>
        <w:t>电话：（021）61618888</w:t>
      </w:r>
    </w:p>
    <w:p>
      <w:pPr>
        <w:adjustRightInd w:val="0"/>
        <w:snapToGrid w:val="0"/>
        <w:spacing w:line="360" w:lineRule="auto"/>
        <w:ind w:firstLine="480" w:firstLineChars="200"/>
        <w:rPr>
          <w:rFonts w:hAnsi="宋体"/>
          <w:sz w:val="24"/>
        </w:rPr>
      </w:pPr>
      <w:r>
        <w:rPr>
          <w:rFonts w:hint="eastAsia" w:hAnsi="宋体"/>
          <w:sz w:val="24"/>
        </w:rPr>
        <w:t>传真：（021）61618888</w:t>
      </w:r>
    </w:p>
    <w:p>
      <w:pPr>
        <w:adjustRightInd w:val="0"/>
        <w:snapToGrid w:val="0"/>
        <w:spacing w:line="360" w:lineRule="auto"/>
        <w:ind w:firstLine="480" w:firstLineChars="200"/>
        <w:rPr>
          <w:rFonts w:hAnsi="宋体"/>
          <w:sz w:val="24"/>
        </w:rPr>
      </w:pPr>
      <w:r>
        <w:rPr>
          <w:rFonts w:hint="eastAsia" w:hAnsi="宋体"/>
          <w:sz w:val="24"/>
        </w:rPr>
        <w:t>联系人：胡波</w:t>
      </w:r>
    </w:p>
    <w:p>
      <w:pPr>
        <w:adjustRightInd w:val="0"/>
        <w:snapToGrid w:val="0"/>
        <w:spacing w:line="360" w:lineRule="auto"/>
        <w:ind w:firstLine="480" w:firstLineChars="200"/>
        <w:rPr>
          <w:rFonts w:hAnsi="宋体"/>
          <w:sz w:val="24"/>
        </w:rPr>
      </w:pPr>
      <w:r>
        <w:rPr>
          <w:rFonts w:hint="eastAsia" w:hAnsi="宋体"/>
          <w:sz w:val="24"/>
        </w:rPr>
        <w:t>客户服务电话：</w:t>
      </w:r>
      <w:r>
        <w:rPr>
          <w:rFonts w:hAnsi="宋体"/>
          <w:sz w:val="24"/>
        </w:rPr>
        <w:t>95528</w:t>
      </w:r>
    </w:p>
    <w:p>
      <w:pPr>
        <w:adjustRightInd w:val="0"/>
        <w:snapToGrid w:val="0"/>
        <w:spacing w:line="360" w:lineRule="auto"/>
        <w:ind w:firstLine="480" w:firstLineChars="200"/>
        <w:rPr>
          <w:rFonts w:hAnsi="宋体"/>
          <w:sz w:val="24"/>
        </w:rPr>
      </w:pPr>
      <w:r>
        <w:rPr>
          <w:rFonts w:hint="eastAsia" w:hAnsi="宋体"/>
          <w:sz w:val="24"/>
        </w:rPr>
        <w:t>网址：www.cmbchina.com</w:t>
      </w:r>
    </w:p>
    <w:p>
      <w:pPr>
        <w:adjustRightInd w:val="0"/>
        <w:snapToGrid w:val="0"/>
        <w:spacing w:line="360" w:lineRule="auto"/>
        <w:ind w:firstLine="480" w:firstLineChars="200"/>
        <w:rPr>
          <w:rFonts w:hAnsi="宋体"/>
          <w:sz w:val="24"/>
        </w:rPr>
      </w:pPr>
      <w:r>
        <w:rPr>
          <w:rFonts w:hint="eastAsia" w:hAnsi="宋体"/>
          <w:sz w:val="24"/>
        </w:rPr>
        <w:t>（2）交通银行股份有限公司</w:t>
      </w:r>
    </w:p>
    <w:p>
      <w:pPr>
        <w:adjustRightInd w:val="0"/>
        <w:snapToGrid w:val="0"/>
        <w:spacing w:line="360" w:lineRule="auto"/>
        <w:ind w:firstLine="480" w:firstLineChars="200"/>
        <w:rPr>
          <w:rFonts w:hAnsi="宋体"/>
          <w:sz w:val="24"/>
        </w:rPr>
      </w:pPr>
      <w:r>
        <w:rPr>
          <w:rFonts w:hint="eastAsia" w:hAnsi="宋体"/>
          <w:sz w:val="24"/>
        </w:rPr>
        <w:t>住所：上海市浦东新区银城中路188号</w:t>
      </w:r>
    </w:p>
    <w:p>
      <w:pPr>
        <w:adjustRightInd w:val="0"/>
        <w:snapToGrid w:val="0"/>
        <w:spacing w:line="360" w:lineRule="auto"/>
        <w:ind w:firstLine="480" w:firstLineChars="200"/>
        <w:rPr>
          <w:rFonts w:hAnsi="宋体"/>
          <w:sz w:val="24"/>
        </w:rPr>
      </w:pPr>
      <w:r>
        <w:rPr>
          <w:rFonts w:hint="eastAsia" w:hAnsi="宋体"/>
          <w:sz w:val="24"/>
        </w:rPr>
        <w:t>办公地址：上海市浦东新区银城中路188号</w:t>
      </w:r>
    </w:p>
    <w:p>
      <w:pPr>
        <w:adjustRightInd w:val="0"/>
        <w:snapToGrid w:val="0"/>
        <w:spacing w:line="360" w:lineRule="auto"/>
        <w:ind w:firstLine="480" w:firstLineChars="200"/>
        <w:rPr>
          <w:rFonts w:hAnsi="宋体"/>
          <w:sz w:val="24"/>
        </w:rPr>
      </w:pPr>
      <w:r>
        <w:rPr>
          <w:rFonts w:hint="eastAsia" w:hAnsi="宋体"/>
          <w:sz w:val="24"/>
        </w:rPr>
        <w:t>法定代表人：任德奇</w:t>
      </w:r>
    </w:p>
    <w:p>
      <w:pPr>
        <w:adjustRightInd w:val="0"/>
        <w:snapToGrid w:val="0"/>
        <w:spacing w:line="360" w:lineRule="auto"/>
        <w:ind w:firstLine="480" w:firstLineChars="200"/>
        <w:rPr>
          <w:rFonts w:hAnsi="宋体"/>
          <w:sz w:val="24"/>
        </w:rPr>
      </w:pPr>
      <w:r>
        <w:rPr>
          <w:rFonts w:hint="eastAsia" w:hAnsi="宋体"/>
          <w:sz w:val="24"/>
        </w:rPr>
        <w:t>电话：（021）58781234</w:t>
      </w:r>
    </w:p>
    <w:p>
      <w:pPr>
        <w:adjustRightInd w:val="0"/>
        <w:snapToGrid w:val="0"/>
        <w:spacing w:line="360" w:lineRule="auto"/>
        <w:ind w:firstLine="480" w:firstLineChars="200"/>
        <w:rPr>
          <w:rFonts w:hAnsi="宋体"/>
          <w:sz w:val="24"/>
        </w:rPr>
      </w:pPr>
      <w:r>
        <w:rPr>
          <w:rFonts w:hint="eastAsia" w:hAnsi="宋体"/>
          <w:sz w:val="24"/>
        </w:rPr>
        <w:t>传真：（021）58408483</w:t>
      </w:r>
    </w:p>
    <w:p>
      <w:pPr>
        <w:adjustRightInd w:val="0"/>
        <w:snapToGrid w:val="0"/>
        <w:spacing w:line="360" w:lineRule="auto"/>
        <w:ind w:firstLine="480" w:firstLineChars="200"/>
        <w:rPr>
          <w:rFonts w:hAnsi="宋体"/>
          <w:sz w:val="24"/>
        </w:rPr>
      </w:pPr>
      <w:r>
        <w:rPr>
          <w:rFonts w:hint="eastAsia" w:hAnsi="宋体"/>
          <w:sz w:val="24"/>
        </w:rPr>
        <w:t>联系人：曹榕</w:t>
      </w:r>
    </w:p>
    <w:p>
      <w:pPr>
        <w:adjustRightInd w:val="0"/>
        <w:snapToGrid w:val="0"/>
        <w:spacing w:line="360" w:lineRule="auto"/>
        <w:ind w:firstLine="480" w:firstLineChars="200"/>
        <w:rPr>
          <w:rFonts w:hAnsi="宋体"/>
          <w:sz w:val="24"/>
        </w:rPr>
      </w:pPr>
      <w:r>
        <w:rPr>
          <w:rFonts w:hint="eastAsia" w:hAnsi="宋体"/>
          <w:sz w:val="24"/>
        </w:rPr>
        <w:t>客户服务电话：95559</w:t>
      </w:r>
    </w:p>
    <w:p>
      <w:pPr>
        <w:adjustRightInd w:val="0"/>
        <w:snapToGrid w:val="0"/>
        <w:spacing w:line="360" w:lineRule="auto"/>
        <w:ind w:firstLine="480" w:firstLineChars="200"/>
        <w:rPr>
          <w:rFonts w:hAnsi="宋体"/>
          <w:sz w:val="24"/>
        </w:rPr>
      </w:pPr>
      <w:r>
        <w:rPr>
          <w:rFonts w:hint="eastAsia" w:hAnsi="宋体"/>
          <w:sz w:val="24"/>
        </w:rPr>
        <w:t>网址：www.bankcomm.com</w:t>
      </w:r>
    </w:p>
    <w:p>
      <w:pPr>
        <w:adjustRightInd w:val="0"/>
        <w:snapToGrid w:val="0"/>
        <w:spacing w:line="360" w:lineRule="auto"/>
        <w:ind w:firstLine="480" w:firstLineChars="200"/>
        <w:rPr>
          <w:rFonts w:hAnsi="宋体"/>
          <w:sz w:val="24"/>
        </w:rPr>
      </w:pPr>
      <w:r>
        <w:rPr>
          <w:rFonts w:hint="eastAsia" w:hAnsi="宋体"/>
          <w:sz w:val="24"/>
        </w:rPr>
        <w:t>基金管理人可根据有关法律法规的要求，选择其它符合要求的机构销售本基金，并在基金管理人网站公示。</w:t>
      </w:r>
    </w:p>
    <w:p>
      <w:pPr>
        <w:widowControl/>
        <w:adjustRightInd w:val="0"/>
        <w:snapToGrid w:val="0"/>
        <w:spacing w:line="360" w:lineRule="auto"/>
        <w:ind w:firstLine="482" w:firstLineChars="200"/>
        <w:outlineLvl w:val="1"/>
        <w:rPr>
          <w:b/>
          <w:kern w:val="0"/>
          <w:sz w:val="24"/>
        </w:rPr>
      </w:pPr>
      <w:r>
        <w:rPr>
          <w:rFonts w:hAnsi="宋体"/>
          <w:b/>
          <w:kern w:val="0"/>
          <w:sz w:val="24"/>
        </w:rPr>
        <w:t>（二）登记机构</w:t>
      </w:r>
    </w:p>
    <w:p>
      <w:pPr>
        <w:adjustRightInd w:val="0"/>
        <w:snapToGrid w:val="0"/>
        <w:spacing w:line="360" w:lineRule="auto"/>
        <w:ind w:firstLine="480" w:firstLineChars="200"/>
        <w:rPr>
          <w:kern w:val="0"/>
          <w:sz w:val="24"/>
        </w:rPr>
      </w:pPr>
      <w:r>
        <w:rPr>
          <w:rFonts w:hAnsi="宋体"/>
          <w:kern w:val="0"/>
          <w:sz w:val="24"/>
        </w:rPr>
        <w:t>名称：中国证券登记结算有限责任公司</w:t>
      </w:r>
    </w:p>
    <w:p>
      <w:pPr>
        <w:adjustRightInd w:val="0"/>
        <w:snapToGrid w:val="0"/>
        <w:spacing w:line="360" w:lineRule="auto"/>
        <w:ind w:firstLine="480" w:firstLineChars="200"/>
        <w:rPr>
          <w:kern w:val="0"/>
          <w:sz w:val="24"/>
        </w:rPr>
      </w:pPr>
      <w:r>
        <w:rPr>
          <w:rFonts w:hAnsi="宋体"/>
          <w:kern w:val="0"/>
          <w:sz w:val="24"/>
        </w:rPr>
        <w:t>住所：北京市西城区太平桥大街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办公地址：北京市西城区太平桥大街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周明</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pPr>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赵亦清</w:t>
      </w:r>
    </w:p>
    <w:p>
      <w:pPr>
        <w:widowControl/>
        <w:adjustRightInd w:val="0"/>
        <w:snapToGrid w:val="0"/>
        <w:spacing w:line="360" w:lineRule="auto"/>
        <w:ind w:firstLine="482" w:firstLineChars="200"/>
        <w:outlineLvl w:val="1"/>
        <w:rPr>
          <w:b/>
          <w:kern w:val="0"/>
          <w:sz w:val="24"/>
        </w:rPr>
      </w:pPr>
      <w:r>
        <w:rPr>
          <w:rFonts w:hAnsi="宋体"/>
          <w:b/>
          <w:kern w:val="0"/>
          <w:sz w:val="24"/>
        </w:rPr>
        <w:t>（三）出具法律意见书的律师事务所</w:t>
      </w:r>
    </w:p>
    <w:p>
      <w:pPr>
        <w:widowControl/>
        <w:adjustRightInd w:val="0"/>
        <w:snapToGrid w:val="0"/>
        <w:spacing w:line="360" w:lineRule="auto"/>
        <w:ind w:firstLine="480" w:firstLineChars="200"/>
        <w:rPr>
          <w:kern w:val="0"/>
          <w:sz w:val="24"/>
        </w:rPr>
      </w:pPr>
      <w:r>
        <w:rPr>
          <w:rFonts w:hAnsi="宋体"/>
          <w:kern w:val="0"/>
          <w:sz w:val="24"/>
        </w:rPr>
        <w:t>名称：上海市通力律师事务所</w:t>
      </w:r>
    </w:p>
    <w:p>
      <w:pPr>
        <w:widowControl/>
        <w:adjustRightInd w:val="0"/>
        <w:snapToGrid w:val="0"/>
        <w:spacing w:line="360" w:lineRule="auto"/>
        <w:ind w:firstLine="480" w:firstLineChars="20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负责人：</w:t>
      </w:r>
      <w:r>
        <w:rPr>
          <w:rFonts w:hint="eastAsia" w:hAnsi="宋体"/>
          <w:kern w:val="0"/>
          <w:sz w:val="24"/>
        </w:rPr>
        <w:t>韩炯</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联系人：丁媛</w:t>
      </w:r>
    </w:p>
    <w:p>
      <w:pPr>
        <w:widowControl/>
        <w:adjustRightInd w:val="0"/>
        <w:snapToGrid w:val="0"/>
        <w:spacing w:line="360" w:lineRule="auto"/>
        <w:ind w:firstLine="480" w:firstLineChars="200"/>
        <w:rPr>
          <w:rFonts w:hAnsi="宋体"/>
          <w:kern w:val="0"/>
          <w:sz w:val="24"/>
        </w:rPr>
      </w:pPr>
      <w:r>
        <w:rPr>
          <w:rFonts w:hAnsi="宋体"/>
          <w:kern w:val="0"/>
          <w:sz w:val="24"/>
        </w:rPr>
        <w:t>经办律师：黎明</w:t>
      </w:r>
      <w:r>
        <w:rPr>
          <w:rFonts w:hint="eastAsia" w:hAnsi="宋体"/>
          <w:kern w:val="0"/>
          <w:sz w:val="24"/>
        </w:rPr>
        <w:t>、丁媛</w:t>
      </w:r>
    </w:p>
    <w:p>
      <w:pPr>
        <w:widowControl/>
        <w:adjustRightInd w:val="0"/>
        <w:snapToGrid w:val="0"/>
        <w:spacing w:line="360" w:lineRule="auto"/>
        <w:ind w:firstLine="482" w:firstLineChars="200"/>
        <w:outlineLvl w:val="1"/>
        <w:rPr>
          <w:b/>
          <w:kern w:val="0"/>
          <w:sz w:val="24"/>
        </w:rPr>
      </w:pPr>
      <w:r>
        <w:rPr>
          <w:rFonts w:hAnsi="宋体"/>
          <w:b/>
          <w:kern w:val="0"/>
          <w:sz w:val="24"/>
        </w:rPr>
        <w:t>（四）审计基金财产的会计师事务所</w:t>
      </w:r>
    </w:p>
    <w:p>
      <w:pPr>
        <w:widowControl/>
        <w:adjustRightInd w:val="0"/>
        <w:snapToGrid w:val="0"/>
        <w:spacing w:line="360" w:lineRule="auto"/>
        <w:ind w:firstLine="480" w:firstLineChars="200"/>
        <w:rPr>
          <w:rFonts w:hAnsi="宋体"/>
          <w:kern w:val="0"/>
          <w:sz w:val="24"/>
        </w:rPr>
      </w:pPr>
      <w:r>
        <w:rPr>
          <w:rFonts w:hAnsi="宋体"/>
          <w:kern w:val="0"/>
          <w:sz w:val="24"/>
        </w:rPr>
        <w:t>名称：</w:t>
      </w:r>
      <w:r>
        <w:rPr>
          <w:rFonts w:hint="eastAsia" w:hAnsi="宋体"/>
          <w:kern w:val="0"/>
          <w:sz w:val="24"/>
        </w:rPr>
        <w:t>普华永道中天会计师事务所（特殊普通合伙）</w:t>
      </w:r>
    </w:p>
    <w:p>
      <w:pPr>
        <w:widowControl/>
        <w:adjustRightInd w:val="0"/>
        <w:snapToGrid w:val="0"/>
        <w:spacing w:line="360" w:lineRule="auto"/>
        <w:ind w:firstLine="480" w:firstLineChars="200"/>
        <w:rPr>
          <w:rFonts w:hAnsi="宋体"/>
          <w:kern w:val="0"/>
          <w:sz w:val="24"/>
        </w:rPr>
      </w:pPr>
      <w:r>
        <w:rPr>
          <w:rFonts w:hAnsi="宋体"/>
          <w:kern w:val="0"/>
          <w:sz w:val="24"/>
        </w:rPr>
        <w:t>住所：上海市浦东新区陆家嘴环路1318号星展银行大厦6楼</w:t>
      </w:r>
    </w:p>
    <w:p>
      <w:pPr>
        <w:widowControl/>
        <w:adjustRightInd w:val="0"/>
        <w:snapToGrid w:val="0"/>
        <w:spacing w:line="360" w:lineRule="auto"/>
        <w:ind w:firstLine="480" w:firstLineChars="200"/>
        <w:rPr>
          <w:rFonts w:hAnsi="宋体"/>
          <w:kern w:val="0"/>
          <w:sz w:val="24"/>
        </w:rPr>
      </w:pPr>
      <w:r>
        <w:rPr>
          <w:rFonts w:hAnsi="宋体"/>
          <w:kern w:val="0"/>
          <w:sz w:val="24"/>
        </w:rPr>
        <w:t>办公地址：上海市湖滨路202号普华永道中心11楼</w:t>
      </w:r>
    </w:p>
    <w:p>
      <w:pPr>
        <w:widowControl/>
        <w:adjustRightInd w:val="0"/>
        <w:snapToGrid w:val="0"/>
        <w:spacing w:line="360" w:lineRule="auto"/>
        <w:ind w:firstLine="480" w:firstLineChars="200"/>
        <w:rPr>
          <w:rFonts w:hAnsi="宋体"/>
          <w:kern w:val="0"/>
          <w:sz w:val="24"/>
        </w:rPr>
      </w:pPr>
      <w:r>
        <w:rPr>
          <w:rFonts w:hint="eastAsia" w:hAnsi="宋体"/>
          <w:kern w:val="0"/>
          <w:sz w:val="24"/>
        </w:rPr>
        <w:t>执行事务合伙人</w:t>
      </w:r>
      <w:r>
        <w:rPr>
          <w:rFonts w:hAnsi="宋体"/>
          <w:kern w:val="0"/>
          <w:sz w:val="24"/>
        </w:rPr>
        <w:t>：</w:t>
      </w:r>
      <w:r>
        <w:rPr>
          <w:rFonts w:hint="eastAsia" w:hAnsi="宋体"/>
          <w:kern w:val="0"/>
          <w:sz w:val="24"/>
        </w:rPr>
        <w:t>李丹</w:t>
      </w:r>
    </w:p>
    <w:p>
      <w:pPr>
        <w:widowControl/>
        <w:adjustRightInd w:val="0"/>
        <w:snapToGrid w:val="0"/>
        <w:spacing w:line="360" w:lineRule="auto"/>
        <w:ind w:firstLine="480" w:firstLineChars="200"/>
        <w:rPr>
          <w:rFonts w:hAnsi="宋体"/>
          <w:kern w:val="0"/>
          <w:sz w:val="24"/>
        </w:rPr>
      </w:pPr>
      <w:r>
        <w:rPr>
          <w:rFonts w:hAnsi="宋体"/>
          <w:kern w:val="0"/>
          <w:sz w:val="24"/>
        </w:rPr>
        <w:t>电话：（021）23238888</w:t>
      </w:r>
    </w:p>
    <w:p>
      <w:pPr>
        <w:widowControl/>
        <w:adjustRightInd w:val="0"/>
        <w:snapToGrid w:val="0"/>
        <w:spacing w:line="360" w:lineRule="auto"/>
        <w:ind w:firstLine="480" w:firstLineChars="200"/>
        <w:rPr>
          <w:rFonts w:hAnsi="宋体"/>
          <w:kern w:val="0"/>
          <w:sz w:val="24"/>
        </w:rPr>
      </w:pPr>
      <w:r>
        <w:rPr>
          <w:rFonts w:hAnsi="宋体"/>
          <w:kern w:val="0"/>
          <w:sz w:val="24"/>
        </w:rPr>
        <w:t>传真：（021）</w:t>
      </w:r>
      <w:r>
        <w:rPr>
          <w:rFonts w:hint="eastAsia" w:hAnsi="宋体"/>
          <w:kern w:val="0"/>
          <w:sz w:val="24"/>
        </w:rPr>
        <w:t>23</w:t>
      </w:r>
      <w:r>
        <w:rPr>
          <w:rFonts w:hAnsi="宋体"/>
          <w:kern w:val="0"/>
          <w:sz w:val="24"/>
        </w:rPr>
        <w:t>238800</w:t>
      </w:r>
    </w:p>
    <w:p>
      <w:pPr>
        <w:widowControl/>
        <w:adjustRightInd w:val="0"/>
        <w:snapToGrid w:val="0"/>
        <w:spacing w:line="360" w:lineRule="auto"/>
        <w:ind w:firstLine="480" w:firstLineChars="200"/>
        <w:rPr>
          <w:rFonts w:hAnsi="宋体"/>
          <w:kern w:val="0"/>
          <w:sz w:val="24"/>
        </w:rPr>
      </w:pPr>
      <w:r>
        <w:rPr>
          <w:rFonts w:hAnsi="宋体"/>
          <w:kern w:val="0"/>
          <w:sz w:val="24"/>
        </w:rPr>
        <w:t>联系人：</w:t>
      </w:r>
      <w:r>
        <w:rPr>
          <w:rFonts w:hint="eastAsia" w:hAnsi="宋体"/>
          <w:kern w:val="0"/>
          <w:sz w:val="24"/>
        </w:rPr>
        <w:t>朱宏宇</w:t>
      </w:r>
    </w:p>
    <w:p>
      <w:pPr>
        <w:widowControl/>
        <w:adjustRightInd w:val="0"/>
        <w:snapToGrid w:val="0"/>
        <w:spacing w:line="360" w:lineRule="auto"/>
        <w:ind w:firstLine="480" w:firstLineChars="200"/>
        <w:rPr>
          <w:rFonts w:hAnsi="宋体"/>
          <w:kern w:val="0"/>
          <w:sz w:val="24"/>
        </w:rPr>
      </w:pPr>
      <w:r>
        <w:rPr>
          <w:rFonts w:hAnsi="宋体"/>
          <w:kern w:val="0"/>
          <w:sz w:val="24"/>
        </w:rPr>
        <w:t>经办注册会计师：</w:t>
      </w:r>
      <w:r>
        <w:rPr>
          <w:rFonts w:hint="eastAsia" w:hAnsi="宋体"/>
          <w:kern w:val="0"/>
          <w:sz w:val="24"/>
        </w:rPr>
        <w:t>童咏</w:t>
      </w:r>
      <w:r>
        <w:rPr>
          <w:rFonts w:hAnsi="宋体"/>
          <w:kern w:val="0"/>
          <w:sz w:val="24"/>
        </w:rPr>
        <w:t>静、</w:t>
      </w:r>
      <w:r>
        <w:rPr>
          <w:rFonts w:hint="eastAsia" w:hAnsi="宋体"/>
          <w:kern w:val="0"/>
          <w:sz w:val="24"/>
        </w:rPr>
        <w:t>朱宏宇</w:t>
      </w:r>
    </w:p>
    <w:p>
      <w:pPr>
        <w:spacing w:line="360" w:lineRule="auto"/>
        <w:jc w:val="center"/>
        <w:outlineLvl w:val="0"/>
        <w:rPr>
          <w:rFonts w:ascii="宋体" w:hAnsi="宋体"/>
          <w:b/>
          <w:kern w:val="0"/>
          <w:sz w:val="30"/>
        </w:rPr>
      </w:pPr>
      <w:r>
        <w:rPr>
          <w:rFonts w:hAnsi="宋体"/>
          <w:kern w:val="0"/>
          <w:sz w:val="24"/>
        </w:rPr>
        <w:br w:type="page"/>
      </w:r>
      <w:bookmarkStart w:id="13" w:name="_Toc48122007"/>
      <w:r>
        <w:rPr>
          <w:rFonts w:hint="eastAsia" w:ascii="宋体" w:hAnsi="宋体"/>
          <w:b/>
          <w:kern w:val="0"/>
          <w:sz w:val="30"/>
        </w:rPr>
        <w:t>六、基金的募集</w:t>
      </w:r>
      <w:bookmarkEnd w:id="13"/>
    </w:p>
    <w:p>
      <w:pPr>
        <w:adjustRightInd w:val="0"/>
        <w:snapToGrid w:val="0"/>
        <w:spacing w:line="360" w:lineRule="auto"/>
        <w:ind w:firstLine="482" w:firstLineChars="200"/>
        <w:outlineLvl w:val="1"/>
        <w:rPr>
          <w:b/>
          <w:sz w:val="24"/>
          <w:szCs w:val="24"/>
        </w:rPr>
      </w:pPr>
      <w:r>
        <w:rPr>
          <w:b/>
          <w:sz w:val="24"/>
          <w:szCs w:val="24"/>
        </w:rPr>
        <w:t>（一）基金募集的依据</w:t>
      </w:r>
    </w:p>
    <w:p>
      <w:pPr>
        <w:widowControl/>
        <w:adjustRightInd w:val="0"/>
        <w:snapToGrid w:val="0"/>
        <w:spacing w:line="360" w:lineRule="auto"/>
        <w:ind w:firstLine="480" w:firstLineChars="20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基金合同及其他有关规定，并经中国证监会2020</w:t>
      </w:r>
      <w:r>
        <w:rPr>
          <w:rFonts w:hint="eastAsia"/>
          <w:kern w:val="0"/>
          <w:sz w:val="24"/>
        </w:rPr>
        <w:t>年12</w:t>
      </w:r>
      <w:r>
        <w:rPr>
          <w:kern w:val="0"/>
          <w:sz w:val="24"/>
        </w:rPr>
        <w:t>月</w:t>
      </w:r>
      <w:r>
        <w:rPr>
          <w:rFonts w:hint="eastAsia"/>
          <w:kern w:val="0"/>
          <w:sz w:val="24"/>
        </w:rPr>
        <w:t>14</w:t>
      </w:r>
      <w:r>
        <w:rPr>
          <w:kern w:val="0"/>
          <w:sz w:val="24"/>
        </w:rPr>
        <w:t>日证监许可</w:t>
      </w:r>
      <w:r>
        <w:rPr>
          <w:rFonts w:hint="eastAsia"/>
          <w:kern w:val="0"/>
          <w:sz w:val="24"/>
        </w:rPr>
        <w:t>【2</w:t>
      </w:r>
      <w:r>
        <w:rPr>
          <w:kern w:val="0"/>
          <w:sz w:val="24"/>
        </w:rPr>
        <w:t>020】</w:t>
      </w:r>
      <w:r>
        <w:rPr>
          <w:rFonts w:hint="eastAsia"/>
          <w:kern w:val="0"/>
          <w:sz w:val="24"/>
        </w:rPr>
        <w:t>3454</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pPr>
        <w:adjustRightInd w:val="0"/>
        <w:snapToGrid w:val="0"/>
        <w:spacing w:line="360" w:lineRule="auto"/>
        <w:ind w:firstLine="482" w:firstLineChars="200"/>
        <w:outlineLvl w:val="1"/>
        <w:rPr>
          <w:b/>
          <w:sz w:val="24"/>
          <w:szCs w:val="24"/>
        </w:rPr>
      </w:pPr>
      <w:r>
        <w:rPr>
          <w:b/>
          <w:sz w:val="24"/>
          <w:szCs w:val="24"/>
        </w:rPr>
        <w:t>（二）基金类</w:t>
      </w:r>
      <w:r>
        <w:rPr>
          <w:rFonts w:hint="eastAsia"/>
          <w:b/>
          <w:sz w:val="24"/>
          <w:szCs w:val="24"/>
        </w:rPr>
        <w:t>别</w:t>
      </w:r>
    </w:p>
    <w:p>
      <w:pPr>
        <w:widowControl/>
        <w:adjustRightInd w:val="0"/>
        <w:snapToGrid w:val="0"/>
        <w:spacing w:line="360" w:lineRule="auto"/>
        <w:ind w:firstLine="480" w:firstLineChars="200"/>
        <w:rPr>
          <w:kern w:val="0"/>
          <w:sz w:val="24"/>
        </w:rPr>
      </w:pPr>
      <w:r>
        <w:rPr>
          <w:kern w:val="0"/>
          <w:sz w:val="24"/>
        </w:rPr>
        <w:t>混合型</w:t>
      </w:r>
      <w:r>
        <w:rPr>
          <w:rFonts w:hint="eastAsia"/>
          <w:kern w:val="0"/>
          <w:sz w:val="24"/>
        </w:rPr>
        <w:t>证券投资</w:t>
      </w:r>
      <w:r>
        <w:rPr>
          <w:kern w:val="0"/>
          <w:sz w:val="24"/>
        </w:rPr>
        <w:t>基金</w:t>
      </w:r>
    </w:p>
    <w:p>
      <w:pPr>
        <w:adjustRightInd w:val="0"/>
        <w:snapToGrid w:val="0"/>
        <w:spacing w:line="360" w:lineRule="auto"/>
        <w:ind w:firstLine="482" w:firstLineChars="200"/>
        <w:outlineLvl w:val="1"/>
        <w:rPr>
          <w:b/>
          <w:sz w:val="24"/>
          <w:szCs w:val="24"/>
        </w:rPr>
      </w:pPr>
      <w:r>
        <w:rPr>
          <w:b/>
          <w:sz w:val="24"/>
          <w:szCs w:val="24"/>
        </w:rPr>
        <w:t>（三）基金运作方式</w:t>
      </w:r>
    </w:p>
    <w:p>
      <w:pPr>
        <w:adjustRightInd w:val="0"/>
        <w:snapToGrid w:val="0"/>
        <w:spacing w:line="360" w:lineRule="auto"/>
        <w:ind w:firstLine="480" w:firstLineChars="200"/>
        <w:rPr>
          <w:sz w:val="24"/>
        </w:rPr>
      </w:pPr>
      <w:r>
        <w:rPr>
          <w:sz w:val="24"/>
        </w:rPr>
        <w:t>契约型开放式</w:t>
      </w:r>
    </w:p>
    <w:p>
      <w:pPr>
        <w:adjustRightInd w:val="0"/>
        <w:snapToGrid w:val="0"/>
        <w:spacing w:line="360" w:lineRule="auto"/>
        <w:ind w:firstLine="480" w:firstLineChars="200"/>
        <w:rPr>
          <w:sz w:val="24"/>
        </w:rPr>
      </w:pPr>
      <w:r>
        <w:rPr>
          <w:rFonts w:hint="eastAsia"/>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pPr>
        <w:adjustRightInd w:val="0"/>
        <w:snapToGrid w:val="0"/>
        <w:spacing w:line="360" w:lineRule="auto"/>
        <w:ind w:firstLine="482" w:firstLineChars="200"/>
        <w:outlineLvl w:val="1"/>
        <w:rPr>
          <w:b/>
          <w:sz w:val="24"/>
          <w:szCs w:val="24"/>
        </w:rPr>
      </w:pPr>
      <w:bookmarkStart w:id="14" w:name="_Hlk49341725"/>
      <w:r>
        <w:rPr>
          <w:b/>
          <w:sz w:val="24"/>
          <w:szCs w:val="24"/>
        </w:rPr>
        <w:t>（四）基金存续期限</w:t>
      </w:r>
    </w:p>
    <w:p>
      <w:pPr>
        <w:adjustRightInd w:val="0"/>
        <w:snapToGrid w:val="0"/>
        <w:spacing w:line="360" w:lineRule="auto"/>
        <w:ind w:firstLine="480" w:firstLineChars="200"/>
        <w:rPr>
          <w:sz w:val="24"/>
        </w:rPr>
      </w:pPr>
      <w:r>
        <w:rPr>
          <w:sz w:val="24"/>
        </w:rPr>
        <w:t>不定期</w:t>
      </w:r>
    </w:p>
    <w:p>
      <w:pPr>
        <w:adjustRightInd w:val="0"/>
        <w:snapToGrid w:val="0"/>
        <w:spacing w:line="360" w:lineRule="auto"/>
        <w:ind w:firstLine="482" w:firstLineChars="200"/>
        <w:outlineLvl w:val="1"/>
        <w:rPr>
          <w:b/>
          <w:bCs/>
          <w:sz w:val="24"/>
        </w:rPr>
      </w:pPr>
      <w:r>
        <w:rPr>
          <w:rFonts w:hint="eastAsia"/>
          <w:b/>
          <w:bCs/>
          <w:sz w:val="24"/>
        </w:rPr>
        <w:t>（五）基金份额类别</w:t>
      </w:r>
    </w:p>
    <w:p>
      <w:pPr>
        <w:adjustRightInd w:val="0"/>
        <w:snapToGrid w:val="0"/>
        <w:spacing w:line="360" w:lineRule="auto"/>
        <w:ind w:firstLine="480" w:firstLineChars="200"/>
        <w:rPr>
          <w:sz w:val="24"/>
        </w:rPr>
      </w:pPr>
      <w:r>
        <w:rPr>
          <w:rFonts w:hint="eastAsia"/>
          <w:sz w:val="24"/>
        </w:rPr>
        <w:t>本基金根据认购/申购费用、销售服务费收取方式的不同，将基金份额分为不同的类别。在投资人认购/申购时收取认购/申购费用且不从本类别基金资产中计提销售服务费的，称为A类基金份额；在投资人认购/申购时不收取认购/申购费用，并从本类别基金资产中计提销售服务费的，称为C类基金份额。</w:t>
      </w:r>
    </w:p>
    <w:p>
      <w:pPr>
        <w:adjustRightInd w:val="0"/>
        <w:snapToGrid w:val="0"/>
        <w:spacing w:line="360" w:lineRule="auto"/>
        <w:ind w:firstLine="480" w:firstLineChars="200"/>
        <w:rPr>
          <w:sz w:val="24"/>
        </w:rPr>
      </w:pPr>
      <w:r>
        <w:rPr>
          <w:rFonts w:hint="eastAsia"/>
          <w:sz w:val="24"/>
        </w:rPr>
        <w:t>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不得互相转换。</w:t>
      </w:r>
    </w:p>
    <w:p>
      <w:pPr>
        <w:adjustRightInd w:val="0"/>
        <w:snapToGrid w:val="0"/>
        <w:spacing w:line="360" w:lineRule="auto"/>
        <w:ind w:firstLine="480" w:firstLineChars="200"/>
        <w:rPr>
          <w:sz w:val="24"/>
        </w:rPr>
      </w:pPr>
      <w:r>
        <w:rPr>
          <w:rFonts w:hint="eastAsia"/>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p>
      <w:pPr>
        <w:adjustRightInd w:val="0"/>
        <w:snapToGrid w:val="0"/>
        <w:spacing w:line="360" w:lineRule="auto"/>
        <w:ind w:firstLine="482" w:firstLineChars="200"/>
        <w:outlineLvl w:val="1"/>
        <w:rPr>
          <w:b/>
          <w:sz w:val="24"/>
          <w:szCs w:val="24"/>
        </w:rPr>
      </w:pPr>
      <w:r>
        <w:rPr>
          <w:b/>
          <w:sz w:val="24"/>
          <w:szCs w:val="24"/>
        </w:rPr>
        <w:t>（</w:t>
      </w:r>
      <w:r>
        <w:rPr>
          <w:rFonts w:hint="eastAsia"/>
          <w:b/>
          <w:sz w:val="24"/>
          <w:szCs w:val="24"/>
        </w:rPr>
        <w:t>六</w:t>
      </w:r>
      <w:r>
        <w:rPr>
          <w:b/>
          <w:sz w:val="24"/>
          <w:szCs w:val="24"/>
        </w:rPr>
        <w:t>）基金份额的认购</w:t>
      </w:r>
    </w:p>
    <w:p>
      <w:pPr>
        <w:adjustRightInd w:val="0"/>
        <w:snapToGrid w:val="0"/>
        <w:spacing w:line="360" w:lineRule="auto"/>
        <w:ind w:firstLine="480" w:firstLineChars="200"/>
        <w:rPr>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网上直销交易平台办理开户和本基金的认购业务。除法律法规或中国证监会另有规定外，任何与基金份额发售有关的当事人不得预留和提前发售基金份额。</w:t>
      </w:r>
    </w:p>
    <w:p>
      <w:pPr>
        <w:adjustRightInd w:val="0"/>
        <w:snapToGrid w:val="0"/>
        <w:spacing w:line="360" w:lineRule="auto"/>
        <w:ind w:firstLine="480" w:firstLineChars="200"/>
        <w:outlineLvl w:val="2"/>
        <w:rPr>
          <w:sz w:val="24"/>
        </w:rPr>
      </w:pPr>
      <w:r>
        <w:rPr>
          <w:sz w:val="24"/>
        </w:rPr>
        <w:t>1、基金份额的发售时间、方式和对象</w:t>
      </w:r>
    </w:p>
    <w:p>
      <w:pPr>
        <w:adjustRightInd w:val="0"/>
        <w:snapToGrid w:val="0"/>
        <w:spacing w:line="360" w:lineRule="auto"/>
        <w:ind w:left="105" w:leftChars="50" w:firstLine="360" w:firstLineChars="150"/>
        <w:rPr>
          <w:sz w:val="24"/>
        </w:rPr>
      </w:pPr>
      <w:r>
        <w:rPr>
          <w:sz w:val="24"/>
        </w:rPr>
        <w:t>（1）募集期限：自基金份额发售之日起不超过3个月。本基金自</w:t>
      </w:r>
      <w:r>
        <w:rPr>
          <w:kern w:val="0"/>
          <w:sz w:val="24"/>
        </w:rPr>
        <w:t>202</w:t>
      </w:r>
      <w:r>
        <w:rPr>
          <w:rFonts w:hint="eastAsia"/>
          <w:kern w:val="0"/>
          <w:sz w:val="24"/>
        </w:rPr>
        <w:t>1年6</w:t>
      </w:r>
      <w:r>
        <w:rPr>
          <w:kern w:val="0"/>
          <w:sz w:val="24"/>
        </w:rPr>
        <w:t>月</w:t>
      </w:r>
      <w:r>
        <w:rPr>
          <w:rFonts w:hint="eastAsia"/>
          <w:kern w:val="0"/>
          <w:sz w:val="24"/>
        </w:rPr>
        <w:t>1</w:t>
      </w:r>
      <w:r>
        <w:rPr>
          <w:kern w:val="0"/>
          <w:sz w:val="24"/>
        </w:rPr>
        <w:t>日</w:t>
      </w:r>
      <w:r>
        <w:rPr>
          <w:rFonts w:hint="eastAsia"/>
          <w:sz w:val="24"/>
        </w:rPr>
        <w:t>起至</w:t>
      </w:r>
      <w:r>
        <w:rPr>
          <w:kern w:val="0"/>
          <w:sz w:val="24"/>
        </w:rPr>
        <w:t>202</w:t>
      </w:r>
      <w:r>
        <w:rPr>
          <w:rFonts w:hint="eastAsia"/>
          <w:kern w:val="0"/>
          <w:sz w:val="24"/>
        </w:rPr>
        <w:t>1年6</w:t>
      </w:r>
      <w:r>
        <w:rPr>
          <w:kern w:val="0"/>
          <w:sz w:val="24"/>
        </w:rPr>
        <w:t>月</w:t>
      </w:r>
      <w:r>
        <w:rPr>
          <w:rFonts w:hint="eastAsia"/>
          <w:kern w:val="0"/>
          <w:sz w:val="24"/>
        </w:rPr>
        <w:t>8</w:t>
      </w:r>
      <w:r>
        <w:rPr>
          <w:kern w:val="0"/>
          <w:sz w:val="24"/>
        </w:rPr>
        <w:t>日</w:t>
      </w:r>
      <w:r>
        <w:rPr>
          <w:sz w:val="24"/>
        </w:rPr>
        <w:t>止通过销售机构公开发售（详见基金份额发售公告及</w:t>
      </w:r>
      <w:r>
        <w:rPr>
          <w:rFonts w:hint="eastAsia"/>
          <w:sz w:val="24"/>
        </w:rPr>
        <w:t>销售</w:t>
      </w:r>
      <w:r>
        <w:rPr>
          <w:sz w:val="24"/>
        </w:rPr>
        <w:t>机构相关公告）。</w:t>
      </w:r>
      <w:r>
        <w:rPr>
          <w:rFonts w:hint="eastAsia"/>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pPr>
        <w:adjustRightInd w:val="0"/>
        <w:snapToGrid w:val="0"/>
        <w:spacing w:line="360" w:lineRule="auto"/>
        <w:ind w:firstLine="480" w:firstLineChars="200"/>
      </w:pPr>
      <w:r>
        <w:rPr>
          <w:sz w:val="24"/>
        </w:rPr>
        <w:t>（2）销售渠道：</w:t>
      </w:r>
      <w:r>
        <w:rPr>
          <w:rFonts w:hint="eastAsia"/>
          <w:sz w:val="24"/>
        </w:rPr>
        <w:t>销售机构</w:t>
      </w:r>
      <w:r>
        <w:rPr>
          <w:sz w:val="24"/>
        </w:rPr>
        <w:t>具体名单见基金份额发售公告</w:t>
      </w:r>
      <w:r>
        <w:rPr>
          <w:rFonts w:hint="eastAsia"/>
          <w:sz w:val="24"/>
        </w:rPr>
        <w:t>以及基金管理人网站</w:t>
      </w:r>
      <w:r>
        <w:t>。</w:t>
      </w:r>
    </w:p>
    <w:p>
      <w:pPr>
        <w:adjustRightInd w:val="0"/>
        <w:snapToGrid w:val="0"/>
        <w:spacing w:line="360" w:lineRule="auto"/>
        <w:ind w:firstLine="480" w:firstLineChars="200"/>
        <w:rPr>
          <w:sz w:val="24"/>
        </w:rPr>
      </w:pPr>
      <w:r>
        <w:rPr>
          <w:sz w:val="24"/>
        </w:rPr>
        <w:t>（3）销售对象：</w:t>
      </w:r>
      <w:r>
        <w:rPr>
          <w:bCs/>
          <w:sz w:val="24"/>
        </w:rPr>
        <w:t>符合法律法规规定的可投资于证券投资基金的个人投资者、机构投资者</w:t>
      </w:r>
      <w:r>
        <w:rPr>
          <w:rFonts w:hint="eastAsia"/>
          <w:bCs/>
          <w:sz w:val="24"/>
        </w:rPr>
        <w:t>、合格境外投资者</w:t>
      </w:r>
      <w:r>
        <w:rPr>
          <w:bCs/>
          <w:sz w:val="24"/>
        </w:rPr>
        <w:t>以及法律法规或中国证监会允许购买证券投资基金的其他投资人</w:t>
      </w:r>
      <w:r>
        <w:rPr>
          <w:sz w:val="24"/>
        </w:rPr>
        <w:t>。</w:t>
      </w:r>
    </w:p>
    <w:p>
      <w:pPr>
        <w:adjustRightInd w:val="0"/>
        <w:snapToGrid w:val="0"/>
        <w:spacing w:line="360" w:lineRule="auto"/>
        <w:ind w:firstLine="480" w:firstLineChars="200"/>
        <w:outlineLvl w:val="2"/>
        <w:rPr>
          <w:sz w:val="24"/>
        </w:rPr>
      </w:pPr>
      <w:r>
        <w:rPr>
          <w:sz w:val="24"/>
        </w:rPr>
        <w:t>2、基金份额的认购和持有限制</w:t>
      </w:r>
    </w:p>
    <w:p>
      <w:pPr>
        <w:adjustRightInd w:val="0"/>
        <w:snapToGrid w:val="0"/>
        <w:spacing w:line="360" w:lineRule="auto"/>
        <w:ind w:firstLine="480" w:firstLineChars="200"/>
        <w:rPr>
          <w:sz w:val="24"/>
        </w:rPr>
      </w:pPr>
      <w:r>
        <w:rPr>
          <w:sz w:val="24"/>
        </w:rPr>
        <w:t>（1）基金份额的认购采用金额认购方式。</w:t>
      </w:r>
    </w:p>
    <w:p>
      <w:pPr>
        <w:adjustRightInd w:val="0"/>
        <w:snapToGrid w:val="0"/>
        <w:spacing w:line="360" w:lineRule="auto"/>
        <w:ind w:firstLine="480" w:firstLineChars="200"/>
        <w:rPr>
          <w:sz w:val="24"/>
        </w:rPr>
      </w:pPr>
      <w:r>
        <w:rPr>
          <w:sz w:val="24"/>
        </w:rPr>
        <w:t>（2）投资人认购基金份额采用全额缴款的认购方式。投资人认购</w:t>
      </w:r>
      <w:r>
        <w:rPr>
          <w:rFonts w:hint="eastAsia"/>
          <w:sz w:val="24"/>
        </w:rPr>
        <w:t>时</w:t>
      </w:r>
      <w:r>
        <w:rPr>
          <w:sz w:val="24"/>
        </w:rPr>
        <w:t>，需按销售机构规定的方式备足认购的金额。</w:t>
      </w:r>
    </w:p>
    <w:p>
      <w:pPr>
        <w:adjustRightInd w:val="0"/>
        <w:snapToGrid w:val="0"/>
        <w:spacing w:line="360" w:lineRule="auto"/>
        <w:ind w:firstLine="480" w:firstLineChars="200"/>
        <w:rPr>
          <w:sz w:val="24"/>
        </w:rPr>
      </w:pPr>
      <w:r>
        <w:rPr>
          <w:sz w:val="24"/>
        </w:rPr>
        <w:t>（3）投资人在募集期内可以多次认购基金份额，认购</w:t>
      </w:r>
      <w:r>
        <w:rPr>
          <w:rFonts w:hint="eastAsia"/>
          <w:sz w:val="24"/>
        </w:rPr>
        <w:t>申请</w:t>
      </w:r>
      <w:r>
        <w:rPr>
          <w:sz w:val="24"/>
        </w:rPr>
        <w:t>一经登记机构受理不得撤销。</w:t>
      </w:r>
    </w:p>
    <w:p>
      <w:pPr>
        <w:adjustRightInd w:val="0"/>
        <w:snapToGrid w:val="0"/>
        <w:spacing w:line="360" w:lineRule="auto"/>
        <w:ind w:firstLine="480" w:firstLineChars="200"/>
        <w:rPr>
          <w:sz w:val="24"/>
        </w:rPr>
      </w:pPr>
      <w:r>
        <w:rPr>
          <w:sz w:val="24"/>
        </w:rPr>
        <w:t>（4）直销机构接受首次认购申请的最低金额为单笔100,000元，追加认购的最低金额为单笔10,000元；已在直销机构有认购或申购过本基金管理人管理的其他基金记录的投资人不受首次认购最低金额的限制。通过</w:t>
      </w:r>
      <w:r>
        <w:rPr>
          <w:rFonts w:hint="eastAsia"/>
          <w:sz w:val="24"/>
        </w:rPr>
        <w:t>基金管理人</w:t>
      </w:r>
      <w:r>
        <w:rPr>
          <w:sz w:val="24"/>
        </w:rPr>
        <w:t>网上直销交易平台办理本基金认购业务的不受直销机构最低认购金额的限制，认购最低金额为单笔1元。本基金直销机构单笔认购最低金额可由基金管理人酌情调整。</w:t>
      </w:r>
      <w:r>
        <w:rPr>
          <w:rFonts w:hint="eastAsia"/>
          <w:sz w:val="24"/>
        </w:rPr>
        <w:t>其他销售</w:t>
      </w:r>
      <w:r>
        <w:rPr>
          <w:sz w:val="24"/>
        </w:rPr>
        <w:t>机构接受认购申请的最低金额为单笔1元，如果</w:t>
      </w:r>
      <w:r>
        <w:rPr>
          <w:rFonts w:hint="eastAsia"/>
          <w:sz w:val="24"/>
        </w:rPr>
        <w:t>销售</w:t>
      </w:r>
      <w:r>
        <w:rPr>
          <w:sz w:val="24"/>
        </w:rPr>
        <w:t>机构业务规则规定的最低单笔认购金额高于1元，以</w:t>
      </w:r>
      <w:r>
        <w:rPr>
          <w:rFonts w:hint="eastAsia"/>
          <w:sz w:val="24"/>
        </w:rPr>
        <w:t>该销售</w:t>
      </w:r>
      <w:r>
        <w:rPr>
          <w:sz w:val="24"/>
        </w:rPr>
        <w:t>机构的规定为准。</w:t>
      </w:r>
    </w:p>
    <w:p>
      <w:pPr>
        <w:adjustRightInd w:val="0"/>
        <w:snapToGrid w:val="0"/>
        <w:spacing w:line="360" w:lineRule="auto"/>
        <w:ind w:firstLine="480" w:firstLineChars="200"/>
        <w:rPr>
          <w:sz w:val="24"/>
        </w:rPr>
      </w:pPr>
      <w:r>
        <w:rPr>
          <w:sz w:val="24"/>
        </w:rPr>
        <w:t>（5）</w:t>
      </w:r>
      <w:r>
        <w:rPr>
          <w:rFonts w:hint="eastAsia"/>
          <w:sz w:val="24"/>
        </w:rPr>
        <w:t>基金管理人可以对募集期间的单个投资人的累计认购金额进行限制，具体限制和处理方法请参看相关公告。</w:t>
      </w:r>
    </w:p>
    <w:p>
      <w:pPr>
        <w:adjustRightInd w:val="0"/>
        <w:snapToGrid w:val="0"/>
        <w:spacing w:line="360" w:lineRule="auto"/>
        <w:ind w:firstLine="480" w:firstLineChars="200"/>
        <w:rPr>
          <w:sz w:val="24"/>
        </w:rPr>
      </w:pPr>
      <w:r>
        <w:rPr>
          <w:rFonts w:hint="eastAsia"/>
          <w:sz w:val="24"/>
        </w:rPr>
        <w:t>（6）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adjustRightInd w:val="0"/>
        <w:snapToGrid w:val="0"/>
        <w:spacing w:line="360" w:lineRule="auto"/>
        <w:ind w:firstLine="480" w:firstLineChars="200"/>
        <w:outlineLvl w:val="2"/>
        <w:rPr>
          <w:sz w:val="24"/>
        </w:rPr>
      </w:pPr>
      <w:r>
        <w:rPr>
          <w:sz w:val="24"/>
        </w:rPr>
        <w:t>3、基金份额的认购费用、认购价格及认购份额的计算公式</w:t>
      </w:r>
    </w:p>
    <w:p>
      <w:pPr>
        <w:adjustRightInd w:val="0"/>
        <w:snapToGrid w:val="0"/>
        <w:spacing w:line="360" w:lineRule="auto"/>
        <w:ind w:firstLine="480" w:firstLineChars="200"/>
        <w:rPr>
          <w:sz w:val="24"/>
        </w:rPr>
      </w:pPr>
      <w:r>
        <w:rPr>
          <w:sz w:val="24"/>
        </w:rPr>
        <w:t>（1）认购价格：本基金</w:t>
      </w:r>
      <w:r>
        <w:rPr>
          <w:rFonts w:hint="eastAsia"/>
          <w:sz w:val="24"/>
        </w:rPr>
        <w:t>基金</w:t>
      </w:r>
      <w:r>
        <w:rPr>
          <w:sz w:val="24"/>
        </w:rPr>
        <w:t>份额的认购价格为1.00元/份。</w:t>
      </w:r>
    </w:p>
    <w:p>
      <w:pPr>
        <w:adjustRightInd w:val="0"/>
        <w:snapToGrid w:val="0"/>
        <w:spacing w:line="360" w:lineRule="auto"/>
        <w:ind w:firstLine="480" w:firstLineChars="200"/>
        <w:rPr>
          <w:sz w:val="24"/>
        </w:rPr>
      </w:pPr>
      <w:r>
        <w:rPr>
          <w:sz w:val="24"/>
        </w:rPr>
        <w:t>（2）认购费率</w:t>
      </w:r>
    </w:p>
    <w:p>
      <w:pPr>
        <w:adjustRightInd w:val="0"/>
        <w:snapToGrid w:val="0"/>
        <w:spacing w:line="360" w:lineRule="auto"/>
        <w:ind w:firstLine="480" w:firstLineChars="200"/>
        <w:rPr>
          <w:sz w:val="24"/>
        </w:rPr>
      </w:pPr>
      <w:r>
        <w:rPr>
          <w:rFonts w:hint="eastAsia"/>
          <w:sz w:val="24"/>
        </w:rPr>
        <w:t>募集期内投资人可以多次认购本基金，认购费用按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A类基金份额（非养老金客户）的</w:t>
      </w:r>
      <w:r>
        <w:rPr>
          <w:kern w:val="0"/>
          <w:sz w:val="24"/>
        </w:rPr>
        <w:t>认购费率如下表：</w:t>
      </w:r>
    </w:p>
    <w:tbl>
      <w:tblPr>
        <w:tblStyle w:val="28"/>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shd w:val="clear" w:color="auto" w:fill="FFFFFF"/>
            <w:vAlign w:val="center"/>
          </w:tcPr>
          <w:p>
            <w:pPr>
              <w:adjustRightInd w:val="0"/>
              <w:snapToGrid w:val="0"/>
              <w:jc w:val="center"/>
              <w:rPr>
                <w:b/>
                <w:sz w:val="24"/>
              </w:rPr>
            </w:pPr>
            <w:r>
              <w:rPr>
                <w:b/>
                <w:sz w:val="24"/>
              </w:rPr>
              <w:t>认购金额（含认购费）</w:t>
            </w:r>
          </w:p>
        </w:tc>
        <w:tc>
          <w:tcPr>
            <w:tcW w:w="3598" w:type="dxa"/>
            <w:shd w:val="clear" w:color="auto" w:fill="FFFFFF"/>
            <w:vAlign w:val="center"/>
          </w:tcPr>
          <w:p>
            <w:pPr>
              <w:adjustRightInd w:val="0"/>
              <w:snapToGrid w:val="0"/>
              <w:jc w:val="center"/>
              <w:rPr>
                <w:b/>
                <w:sz w:val="24"/>
              </w:rPr>
            </w:pPr>
            <w:r>
              <w:rPr>
                <w:rFonts w:hint="eastAsia"/>
                <w:b/>
                <w:color w:val="000000"/>
                <w:kern w:val="0"/>
                <w:sz w:val="24"/>
              </w:rPr>
              <w:t>A类基金份额</w:t>
            </w:r>
            <w:r>
              <w:rPr>
                <w:b/>
                <w:sz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100万元以下</w:t>
            </w:r>
          </w:p>
        </w:tc>
        <w:tc>
          <w:tcPr>
            <w:tcW w:w="3598" w:type="dxa"/>
          </w:tcPr>
          <w:p>
            <w:pPr>
              <w:adjustRightInd w:val="0"/>
              <w:snapToGrid w:val="0"/>
              <w:jc w:val="center"/>
              <w:rPr>
                <w:sz w:val="24"/>
              </w:rPr>
            </w:pPr>
            <w:r>
              <w:rPr>
                <w:sz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100万元（含）至200万元</w:t>
            </w:r>
          </w:p>
        </w:tc>
        <w:tc>
          <w:tcPr>
            <w:tcW w:w="3598" w:type="dxa"/>
          </w:tcPr>
          <w:p>
            <w:pPr>
              <w:adjustRightInd w:val="0"/>
              <w:snapToGrid w:val="0"/>
              <w:jc w:val="center"/>
              <w:rPr>
                <w:sz w:val="24"/>
              </w:rPr>
            </w:pPr>
            <w:r>
              <w:rPr>
                <w:rFonts w:hint="eastAsia"/>
                <w:sz w:val="24"/>
              </w:rPr>
              <w:t>0</w:t>
            </w:r>
            <w:r>
              <w:rPr>
                <w:sz w:val="24"/>
              </w:rPr>
              <w:t>.8%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200万元（含）至500万元</w:t>
            </w:r>
          </w:p>
        </w:tc>
        <w:tc>
          <w:tcPr>
            <w:tcW w:w="3598" w:type="dxa"/>
          </w:tcPr>
          <w:p>
            <w:pPr>
              <w:adjustRightInd w:val="0"/>
              <w:snapToGrid w:val="0"/>
              <w:jc w:val="center"/>
              <w:rPr>
                <w:sz w:val="24"/>
              </w:rPr>
            </w:pPr>
            <w:r>
              <w:rPr>
                <w:rFonts w:hint="eastAsia"/>
                <w:sz w:val="24"/>
              </w:rPr>
              <w:t>0</w:t>
            </w:r>
            <w:r>
              <w:rPr>
                <w:sz w:val="24"/>
              </w:rPr>
              <w:t>.3%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500万元以上（含500万元）</w:t>
            </w:r>
          </w:p>
        </w:tc>
        <w:tc>
          <w:tcPr>
            <w:tcW w:w="3598" w:type="dxa"/>
          </w:tcPr>
          <w:p>
            <w:pPr>
              <w:adjustRightInd w:val="0"/>
              <w:snapToGrid w:val="0"/>
              <w:jc w:val="center"/>
              <w:rPr>
                <w:sz w:val="24"/>
              </w:rPr>
            </w:pPr>
            <w:r>
              <w:rPr>
                <w:sz w:val="24"/>
              </w:rPr>
              <w:t>每笔交易1000元</w:t>
            </w:r>
          </w:p>
        </w:tc>
      </w:tr>
    </w:tbl>
    <w:p>
      <w:pPr>
        <w:adjustRightInd w:val="0"/>
        <w:snapToGrid w:val="0"/>
        <w:spacing w:line="360" w:lineRule="auto"/>
        <w:ind w:firstLine="480" w:firstLineChars="200"/>
        <w:rPr>
          <w:sz w:val="24"/>
        </w:rPr>
      </w:pPr>
      <w:r>
        <w:rPr>
          <w:sz w:val="24"/>
        </w:rPr>
        <w:t>本基金对通过基金管理人直销柜台</w:t>
      </w:r>
      <w:r>
        <w:rPr>
          <w:rFonts w:hint="eastAsia"/>
          <w:sz w:val="24"/>
        </w:rPr>
        <w:t>认</w:t>
      </w:r>
      <w:r>
        <w:rPr>
          <w:sz w:val="24"/>
        </w:rPr>
        <w:t>购</w:t>
      </w:r>
      <w:r>
        <w:rPr>
          <w:rFonts w:hint="eastAsia"/>
          <w:sz w:val="24"/>
        </w:rPr>
        <w:t>A类基金份额的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rPr>
      </w:pPr>
      <w:r>
        <w:rPr>
          <w:sz w:val="24"/>
        </w:rPr>
        <w:t>1</w:t>
      </w:r>
      <w:r>
        <w:rPr>
          <w:rFonts w:hint="eastAsia"/>
          <w:sz w:val="24"/>
        </w:rPr>
        <w:t>）</w:t>
      </w:r>
      <w:r>
        <w:rPr>
          <w:sz w:val="24"/>
        </w:rPr>
        <w:t>全国社会保障基金；</w:t>
      </w:r>
    </w:p>
    <w:p>
      <w:pPr>
        <w:adjustRightInd w:val="0"/>
        <w:snapToGrid w:val="0"/>
        <w:spacing w:line="360" w:lineRule="auto"/>
        <w:ind w:firstLine="480" w:firstLineChars="200"/>
        <w:rPr>
          <w:sz w:val="24"/>
        </w:rPr>
      </w:pPr>
      <w:r>
        <w:rPr>
          <w:sz w:val="24"/>
        </w:rPr>
        <w:t>2</w:t>
      </w:r>
      <w:r>
        <w:rPr>
          <w:rFonts w:hint="eastAsia"/>
          <w:sz w:val="24"/>
        </w:rPr>
        <w:t>）</w:t>
      </w:r>
      <w:r>
        <w:rPr>
          <w:sz w:val="24"/>
        </w:rPr>
        <w:t>可以投资基金的地方社会保障基金；</w:t>
      </w:r>
    </w:p>
    <w:p>
      <w:pPr>
        <w:adjustRightInd w:val="0"/>
        <w:snapToGrid w:val="0"/>
        <w:spacing w:line="360" w:lineRule="auto"/>
        <w:ind w:firstLine="480" w:firstLineChars="200"/>
        <w:rPr>
          <w:sz w:val="24"/>
        </w:rPr>
      </w:pPr>
      <w:r>
        <w:rPr>
          <w:sz w:val="24"/>
        </w:rPr>
        <w:t>3</w:t>
      </w:r>
      <w:r>
        <w:rPr>
          <w:rFonts w:hint="eastAsia"/>
          <w:sz w:val="24"/>
        </w:rPr>
        <w:t>）</w:t>
      </w:r>
      <w:r>
        <w:rPr>
          <w:sz w:val="24"/>
        </w:rPr>
        <w:t>企业年金单一计划以及集合计划</w:t>
      </w:r>
      <w:r>
        <w:rPr>
          <w:rFonts w:hint="eastAsia"/>
          <w:sz w:val="24"/>
        </w:rPr>
        <w:t>；</w:t>
      </w:r>
    </w:p>
    <w:p>
      <w:pPr>
        <w:adjustRightInd w:val="0"/>
        <w:snapToGrid w:val="0"/>
        <w:spacing w:line="360" w:lineRule="auto"/>
        <w:ind w:firstLine="480" w:firstLineChars="200"/>
        <w:rPr>
          <w:sz w:val="24"/>
        </w:rPr>
      </w:pPr>
      <w:r>
        <w:rPr>
          <w:rFonts w:hint="eastAsia"/>
          <w:sz w:val="24"/>
        </w:rPr>
        <w:t>4）企业年金理事会委托的特定客户资产管理计划；</w:t>
      </w:r>
    </w:p>
    <w:p>
      <w:pPr>
        <w:adjustRightInd w:val="0"/>
        <w:snapToGrid w:val="0"/>
        <w:spacing w:line="360" w:lineRule="auto"/>
        <w:ind w:firstLine="480" w:firstLineChars="200"/>
        <w:rPr>
          <w:sz w:val="24"/>
        </w:rPr>
      </w:pPr>
      <w:r>
        <w:rPr>
          <w:rFonts w:hint="eastAsia"/>
          <w:sz w:val="24"/>
        </w:rPr>
        <w:t>5）企业年金养老金产品</w:t>
      </w:r>
      <w:r>
        <w:rPr>
          <w:sz w:val="24"/>
        </w:rPr>
        <w:t>。</w:t>
      </w:r>
    </w:p>
    <w:p>
      <w:pPr>
        <w:adjustRightInd w:val="0"/>
        <w:snapToGrid w:val="0"/>
        <w:spacing w:line="360" w:lineRule="auto"/>
        <w:ind w:firstLine="480" w:firstLineChars="20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28"/>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shd w:val="clear" w:color="auto" w:fill="FFFFFF"/>
            <w:vAlign w:val="center"/>
          </w:tcPr>
          <w:p>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pPr>
              <w:adjustRightInd w:val="0"/>
              <w:snapToGrid w:val="0"/>
              <w:jc w:val="center"/>
              <w:rPr>
                <w:b/>
                <w:sz w:val="24"/>
              </w:rPr>
            </w:pPr>
            <w:r>
              <w:rPr>
                <w:rFonts w:hint="eastAsia"/>
                <w:b/>
                <w:sz w:val="24"/>
              </w:rPr>
              <w:t>A类基金份额特定认</w:t>
            </w:r>
            <w:r>
              <w:rPr>
                <w:b/>
                <w:sz w:val="24"/>
              </w:rPr>
              <w:t>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100</w:t>
            </w:r>
            <w:r>
              <w:rPr>
                <w:rFonts w:hAnsi="宋体"/>
                <w:sz w:val="24"/>
              </w:rPr>
              <w:t>万元以下</w:t>
            </w:r>
          </w:p>
        </w:tc>
        <w:tc>
          <w:tcPr>
            <w:tcW w:w="3767" w:type="dxa"/>
            <w:vAlign w:val="center"/>
          </w:tcPr>
          <w:p>
            <w:pPr>
              <w:adjustRightInd w:val="0"/>
              <w:snapToGrid w:val="0"/>
              <w:jc w:val="center"/>
              <w:rPr>
                <w:sz w:val="24"/>
              </w:rPr>
            </w:pPr>
            <w:r>
              <w:rPr>
                <w:rFonts w:hint="eastAsia"/>
                <w:sz w:val="24"/>
              </w:rPr>
              <w:t>0.48%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100万元（含）至200万元</w:t>
            </w:r>
          </w:p>
        </w:tc>
        <w:tc>
          <w:tcPr>
            <w:tcW w:w="3767" w:type="dxa"/>
            <w:vAlign w:val="center"/>
          </w:tcPr>
          <w:p>
            <w:pPr>
              <w:adjustRightInd w:val="0"/>
              <w:snapToGrid w:val="0"/>
              <w:jc w:val="center"/>
              <w:rPr>
                <w:rFonts w:hAnsi="宋体"/>
                <w:sz w:val="24"/>
              </w:rPr>
            </w:pPr>
            <w:r>
              <w:rPr>
                <w:rFonts w:hint="eastAsia"/>
                <w:sz w:val="24"/>
              </w:rPr>
              <w:t>0</w:t>
            </w:r>
            <w:r>
              <w:rPr>
                <w:sz w:val="24"/>
              </w:rPr>
              <w:t>.32%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200万元（含）至500万元</w:t>
            </w:r>
          </w:p>
        </w:tc>
        <w:tc>
          <w:tcPr>
            <w:tcW w:w="3767" w:type="dxa"/>
            <w:vAlign w:val="center"/>
          </w:tcPr>
          <w:p>
            <w:pPr>
              <w:adjustRightInd w:val="0"/>
              <w:snapToGrid w:val="0"/>
              <w:jc w:val="center"/>
              <w:rPr>
                <w:rFonts w:hAnsi="宋体"/>
                <w:sz w:val="24"/>
              </w:rPr>
            </w:pPr>
            <w:r>
              <w:rPr>
                <w:rFonts w:hint="eastAsia"/>
                <w:sz w:val="24"/>
              </w:rPr>
              <w:t>0.06%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int="eastAsia" w:hAnsi="宋体"/>
                <w:sz w:val="24"/>
              </w:rPr>
              <w:t>元</w:t>
            </w:r>
            <w:r>
              <w:rPr>
                <w:rFonts w:hAnsi="宋体"/>
                <w:sz w:val="24"/>
              </w:rPr>
              <w:t>）</w:t>
            </w:r>
          </w:p>
        </w:tc>
        <w:tc>
          <w:tcPr>
            <w:tcW w:w="3767"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adjustRightInd w:val="0"/>
        <w:snapToGrid w:val="0"/>
        <w:spacing w:line="360" w:lineRule="auto"/>
        <w:ind w:firstLine="480" w:firstLineChars="200"/>
        <w:rPr>
          <w:sz w:val="24"/>
        </w:rPr>
      </w:pPr>
      <w:r>
        <w:rPr>
          <w:rFonts w:hint="eastAsia"/>
          <w:sz w:val="24"/>
        </w:rPr>
        <w:t>本</w:t>
      </w:r>
      <w:r>
        <w:rPr>
          <w:sz w:val="24"/>
        </w:rPr>
        <w:t>基金</w:t>
      </w:r>
      <w:r>
        <w:rPr>
          <w:rFonts w:hint="eastAsia"/>
          <w:color w:val="000000"/>
          <w:kern w:val="0"/>
          <w:sz w:val="24"/>
        </w:rPr>
        <w:t>A类基金份额的</w:t>
      </w:r>
      <w:r>
        <w:rPr>
          <w:sz w:val="24"/>
        </w:rPr>
        <w:t>认购费用</w:t>
      </w:r>
      <w:r>
        <w:rPr>
          <w:rFonts w:hint="eastAsia"/>
          <w:sz w:val="24"/>
        </w:rPr>
        <w:t>由认购</w:t>
      </w:r>
      <w:r>
        <w:rPr>
          <w:rFonts w:hint="eastAsia"/>
          <w:color w:val="000000"/>
          <w:kern w:val="0"/>
          <w:sz w:val="24"/>
        </w:rPr>
        <w:t>A类</w:t>
      </w:r>
      <w:r>
        <w:rPr>
          <w:rFonts w:hint="eastAsia"/>
          <w:sz w:val="24"/>
        </w:rPr>
        <w:t>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rPr>
          <w:sz w:val="24"/>
        </w:rPr>
      </w:pPr>
      <w:r>
        <w:rPr>
          <w:sz w:val="24"/>
        </w:rPr>
        <w:t>（3）认购份额的计算</w:t>
      </w:r>
    </w:p>
    <w:p>
      <w:pPr>
        <w:adjustRightInd w:val="0"/>
        <w:snapToGrid w:val="0"/>
        <w:spacing w:line="360" w:lineRule="auto"/>
        <w:ind w:firstLine="480" w:firstLineChars="200"/>
        <w:rPr>
          <w:sz w:val="24"/>
        </w:rPr>
      </w:pPr>
      <w:r>
        <w:rPr>
          <w:rFonts w:hint="eastAsia"/>
          <w:sz w:val="24"/>
        </w:rPr>
        <w:t>1）A类基金份额的认购</w:t>
      </w:r>
    </w:p>
    <w:p>
      <w:pPr>
        <w:adjustRightInd w:val="0"/>
        <w:snapToGrid w:val="0"/>
        <w:spacing w:line="360" w:lineRule="auto"/>
        <w:ind w:firstLine="480" w:firstLineChars="20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pPr>
        <w:adjustRightInd w:val="0"/>
        <w:snapToGrid w:val="0"/>
        <w:spacing w:line="360" w:lineRule="auto"/>
        <w:ind w:firstLine="480" w:firstLineChars="200"/>
        <w:rPr>
          <w:sz w:val="24"/>
        </w:rPr>
      </w:pPr>
      <w:r>
        <w:rPr>
          <w:sz w:val="24"/>
        </w:rPr>
        <w:t>认购总金额=申请总金额</w:t>
      </w:r>
    </w:p>
    <w:p>
      <w:pPr>
        <w:adjustRightInd w:val="0"/>
        <w:snapToGrid w:val="0"/>
        <w:spacing w:line="360" w:lineRule="auto"/>
        <w:ind w:firstLine="480" w:firstLineChars="200"/>
        <w:rPr>
          <w:sz w:val="24"/>
        </w:rPr>
      </w:pPr>
      <w:r>
        <w:rPr>
          <w:sz w:val="24"/>
        </w:rPr>
        <w:t>净认购金额=认购总金额/（1+认购费率）</w:t>
      </w:r>
    </w:p>
    <w:p>
      <w:pPr>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adjustRightInd w:val="0"/>
        <w:snapToGrid w:val="0"/>
        <w:spacing w:line="360" w:lineRule="auto"/>
        <w:ind w:firstLine="480" w:firstLineChars="200"/>
        <w:rPr>
          <w:sz w:val="24"/>
        </w:rPr>
      </w:pPr>
      <w:r>
        <w:rPr>
          <w:sz w:val="24"/>
        </w:rPr>
        <w:t>认购费用=认购总金额-净认购金额</w:t>
      </w:r>
    </w:p>
    <w:p>
      <w:pPr>
        <w:adjustRightInd w:val="0"/>
        <w:snapToGrid w:val="0"/>
        <w:spacing w:line="360" w:lineRule="auto"/>
        <w:ind w:firstLine="480" w:firstLineChars="200"/>
        <w:rPr>
          <w:sz w:val="24"/>
        </w:rPr>
      </w:pPr>
      <w:r>
        <w:rPr>
          <w:sz w:val="24"/>
        </w:rPr>
        <w:t>（注：对于适用固定金额认购费用的认购，认购费用＝固定认购费用金额）</w:t>
      </w:r>
    </w:p>
    <w:p>
      <w:pPr>
        <w:adjustRightInd w:val="0"/>
        <w:snapToGrid w:val="0"/>
        <w:spacing w:line="360" w:lineRule="auto"/>
        <w:ind w:firstLine="480" w:firstLineChars="200"/>
        <w:rPr>
          <w:sz w:val="24"/>
        </w:rPr>
      </w:pPr>
      <w:r>
        <w:rPr>
          <w:sz w:val="24"/>
        </w:rPr>
        <w:t>认购份额=净认购金额/基金份额初始面值+认购利息/基金份额初始面值</w:t>
      </w:r>
    </w:p>
    <w:p>
      <w:pPr>
        <w:adjustRightInd w:val="0"/>
        <w:snapToGrid w:val="0"/>
        <w:spacing w:line="360" w:lineRule="auto"/>
        <w:ind w:firstLine="480" w:firstLineChars="200"/>
        <w:rPr>
          <w:sz w:val="24"/>
        </w:rPr>
      </w:pPr>
      <w:r>
        <w:rPr>
          <w:sz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sz w:val="24"/>
        </w:rPr>
      </w:pPr>
      <w:r>
        <w:rPr>
          <w:sz w:val="24"/>
        </w:rPr>
        <w:t>例一：</w:t>
      </w:r>
      <w:r>
        <w:rPr>
          <w:rFonts w:hint="eastAsia"/>
          <w:sz w:val="24"/>
        </w:rPr>
        <w:t>某投资者（非养老金客户）投资本基金</w:t>
      </w:r>
      <w:r>
        <w:rPr>
          <w:rFonts w:hint="eastAsia"/>
          <w:color w:val="000000"/>
          <w:kern w:val="0"/>
          <w:sz w:val="24"/>
        </w:rPr>
        <w:t>A类基金份额</w:t>
      </w:r>
      <w:r>
        <w:rPr>
          <w:rFonts w:hint="eastAsia"/>
          <w:sz w:val="24"/>
        </w:rPr>
        <w:t>100,000元，且该认购申请被全额确认，假定募集期产生的利息为10.00元，</w:t>
      </w:r>
      <w:r>
        <w:rPr>
          <w:sz w:val="24"/>
        </w:rPr>
        <w:t>认购费率为1.2%，则可认购基金份额为：</w:t>
      </w:r>
    </w:p>
    <w:p>
      <w:pPr>
        <w:adjustRightInd w:val="0"/>
        <w:snapToGrid w:val="0"/>
        <w:spacing w:line="360" w:lineRule="auto"/>
        <w:ind w:firstLine="480" w:firstLineChars="200"/>
        <w:rPr>
          <w:sz w:val="24"/>
        </w:rPr>
      </w:pPr>
      <w:r>
        <w:rPr>
          <w:sz w:val="24"/>
        </w:rPr>
        <w:t>认购总金额=100,000元</w:t>
      </w:r>
    </w:p>
    <w:p>
      <w:pPr>
        <w:adjustRightInd w:val="0"/>
        <w:snapToGrid w:val="0"/>
        <w:spacing w:line="360" w:lineRule="auto"/>
        <w:ind w:firstLine="480" w:firstLineChars="200"/>
        <w:rPr>
          <w:sz w:val="24"/>
        </w:rPr>
      </w:pPr>
      <w:r>
        <w:rPr>
          <w:rFonts w:hint="eastAsia"/>
          <w:sz w:val="24"/>
        </w:rPr>
        <w:t>净</w:t>
      </w:r>
      <w:r>
        <w:rPr>
          <w:sz w:val="24"/>
        </w:rPr>
        <w:t>认购金额＝100,000/（1＋1.2%）＝98,814.23元</w:t>
      </w:r>
    </w:p>
    <w:p>
      <w:pPr>
        <w:adjustRightInd w:val="0"/>
        <w:snapToGrid w:val="0"/>
        <w:spacing w:line="360" w:lineRule="auto"/>
        <w:ind w:firstLine="480" w:firstLineChars="200"/>
        <w:rPr>
          <w:sz w:val="24"/>
        </w:rPr>
      </w:pPr>
      <w:r>
        <w:rPr>
          <w:sz w:val="24"/>
        </w:rPr>
        <w:t>认购费用＝100,000-98,814.23＝1,185.77元</w:t>
      </w:r>
    </w:p>
    <w:p>
      <w:pPr>
        <w:adjustRightInd w:val="0"/>
        <w:snapToGrid w:val="0"/>
        <w:spacing w:line="360" w:lineRule="auto"/>
        <w:ind w:firstLine="480" w:firstLineChars="200"/>
        <w:rPr>
          <w:sz w:val="24"/>
        </w:rPr>
      </w:pPr>
      <w:r>
        <w:rPr>
          <w:sz w:val="24"/>
        </w:rPr>
        <w:t>认购份额＝98,814.23/1.00＋10.00/1.00＝98,824.23份</w:t>
      </w:r>
    </w:p>
    <w:p>
      <w:pPr>
        <w:adjustRightInd w:val="0"/>
        <w:snapToGrid w:val="0"/>
        <w:spacing w:line="360" w:lineRule="auto"/>
        <w:ind w:firstLine="480" w:firstLineChars="200"/>
        <w:rPr>
          <w:sz w:val="24"/>
        </w:rPr>
      </w:pPr>
      <w:r>
        <w:rPr>
          <w:rFonts w:hint="eastAsia"/>
          <w:sz w:val="24"/>
        </w:rPr>
        <w:t>即：若该投资者（非养老金客户）投资本基金</w:t>
      </w:r>
      <w:r>
        <w:rPr>
          <w:rFonts w:hint="eastAsia"/>
          <w:color w:val="000000"/>
          <w:kern w:val="0"/>
          <w:sz w:val="24"/>
        </w:rPr>
        <w:t>A类基金份额</w:t>
      </w:r>
      <w:r>
        <w:rPr>
          <w:rFonts w:hint="eastAsia"/>
          <w:sz w:val="24"/>
        </w:rPr>
        <w:t>100,000元，假定募集期产生的利息为10.00元，则投资100,000元本金可得到</w:t>
      </w:r>
      <w:r>
        <w:rPr>
          <w:sz w:val="24"/>
        </w:rPr>
        <w:t>98,824.23</w:t>
      </w:r>
      <w:r>
        <w:rPr>
          <w:rFonts w:hint="eastAsia"/>
          <w:sz w:val="24"/>
        </w:rPr>
        <w:t>份A类基金份额。</w:t>
      </w:r>
    </w:p>
    <w:p>
      <w:pPr>
        <w:adjustRightInd w:val="0"/>
        <w:snapToGrid w:val="0"/>
        <w:spacing w:line="360" w:lineRule="auto"/>
        <w:ind w:firstLine="480" w:firstLineChars="200"/>
        <w:rPr>
          <w:sz w:val="24"/>
        </w:rPr>
      </w:pPr>
      <w:r>
        <w:rPr>
          <w:sz w:val="24"/>
        </w:rPr>
        <w:t>例</w:t>
      </w:r>
      <w:r>
        <w:rPr>
          <w:rFonts w:hint="eastAsia"/>
          <w:sz w:val="24"/>
        </w:rPr>
        <w:t>二</w:t>
      </w:r>
      <w:r>
        <w:rPr>
          <w:sz w:val="24"/>
        </w:rPr>
        <w:t>：</w:t>
      </w:r>
      <w:r>
        <w:rPr>
          <w:rFonts w:hint="eastAsia"/>
          <w:sz w:val="24"/>
        </w:rPr>
        <w:t>某养老金客户通过基金管理人的直销柜台投资本基金</w:t>
      </w:r>
      <w:r>
        <w:rPr>
          <w:rFonts w:hint="eastAsia"/>
          <w:color w:val="000000"/>
          <w:kern w:val="0"/>
          <w:sz w:val="24"/>
        </w:rPr>
        <w:t>A类基金份额</w:t>
      </w:r>
      <w:r>
        <w:rPr>
          <w:rFonts w:hint="eastAsia"/>
          <w:sz w:val="24"/>
        </w:rPr>
        <w:t>100,000元，且该认购申请被全额确认，假定募集期产生的利息为10.00元，</w:t>
      </w:r>
      <w:r>
        <w:rPr>
          <w:sz w:val="24"/>
        </w:rPr>
        <w:t>认购费率为</w:t>
      </w:r>
      <w:r>
        <w:rPr>
          <w:rFonts w:hint="eastAsia"/>
          <w:sz w:val="24"/>
        </w:rPr>
        <w:t>0.48</w:t>
      </w:r>
      <w:r>
        <w:rPr>
          <w:sz w:val="24"/>
        </w:rPr>
        <w:t>%，则可认购基金份额为：</w:t>
      </w:r>
    </w:p>
    <w:p>
      <w:pPr>
        <w:adjustRightInd w:val="0"/>
        <w:snapToGrid w:val="0"/>
        <w:spacing w:line="360" w:lineRule="auto"/>
        <w:ind w:firstLine="480" w:firstLineChars="200"/>
        <w:rPr>
          <w:sz w:val="24"/>
        </w:rPr>
      </w:pPr>
      <w:r>
        <w:rPr>
          <w:sz w:val="24"/>
        </w:rPr>
        <w:t>认购总金额=100,000元</w:t>
      </w:r>
    </w:p>
    <w:p>
      <w:pPr>
        <w:adjustRightInd w:val="0"/>
        <w:snapToGrid w:val="0"/>
        <w:spacing w:line="360" w:lineRule="auto"/>
        <w:ind w:firstLine="480" w:firstLineChars="200"/>
        <w:rPr>
          <w:sz w:val="24"/>
        </w:rPr>
      </w:pPr>
      <w:r>
        <w:rPr>
          <w:rFonts w:hint="eastAsia"/>
          <w:sz w:val="24"/>
        </w:rPr>
        <w:t>净</w:t>
      </w:r>
      <w:r>
        <w:rPr>
          <w:sz w:val="24"/>
        </w:rPr>
        <w:t>认购金额＝100,000/（1＋</w:t>
      </w:r>
      <w:r>
        <w:rPr>
          <w:rFonts w:hint="eastAsia"/>
          <w:sz w:val="24"/>
        </w:rPr>
        <w:t>0.48</w:t>
      </w:r>
      <w:r>
        <w:rPr>
          <w:sz w:val="24"/>
        </w:rPr>
        <w:t>%）＝</w:t>
      </w:r>
      <w:r>
        <w:rPr>
          <w:rFonts w:hint="eastAsia"/>
          <w:sz w:val="24"/>
        </w:rPr>
        <w:t>99,522.29</w:t>
      </w:r>
      <w:r>
        <w:rPr>
          <w:sz w:val="24"/>
        </w:rPr>
        <w:t>元</w:t>
      </w:r>
    </w:p>
    <w:p>
      <w:pPr>
        <w:adjustRightInd w:val="0"/>
        <w:snapToGrid w:val="0"/>
        <w:spacing w:line="360" w:lineRule="auto"/>
        <w:ind w:firstLine="480" w:firstLineChars="200"/>
        <w:rPr>
          <w:sz w:val="24"/>
        </w:rPr>
      </w:pPr>
      <w:r>
        <w:rPr>
          <w:sz w:val="24"/>
        </w:rPr>
        <w:t>认购费用＝100,000-</w:t>
      </w:r>
      <w:r>
        <w:rPr>
          <w:rFonts w:hint="eastAsia"/>
          <w:sz w:val="24"/>
        </w:rPr>
        <w:t>99,522.29</w:t>
      </w:r>
      <w:r>
        <w:rPr>
          <w:sz w:val="24"/>
        </w:rPr>
        <w:t>＝</w:t>
      </w:r>
      <w:r>
        <w:rPr>
          <w:rFonts w:hint="eastAsia"/>
          <w:sz w:val="24"/>
        </w:rPr>
        <w:t>477.71</w:t>
      </w:r>
      <w:r>
        <w:rPr>
          <w:sz w:val="24"/>
        </w:rPr>
        <w:t>元</w:t>
      </w:r>
    </w:p>
    <w:p>
      <w:pPr>
        <w:adjustRightInd w:val="0"/>
        <w:snapToGrid w:val="0"/>
        <w:spacing w:line="360" w:lineRule="auto"/>
        <w:ind w:firstLine="480" w:firstLineChars="200"/>
        <w:rPr>
          <w:sz w:val="24"/>
        </w:rPr>
      </w:pPr>
      <w:r>
        <w:rPr>
          <w:sz w:val="24"/>
        </w:rPr>
        <w:t>认购份额＝</w:t>
      </w:r>
      <w:r>
        <w:rPr>
          <w:rFonts w:hint="eastAsia"/>
          <w:sz w:val="24"/>
        </w:rPr>
        <w:t>99,522.29</w:t>
      </w:r>
      <w:r>
        <w:rPr>
          <w:sz w:val="24"/>
        </w:rPr>
        <w:t>/1.00＋10.00/1.00＝</w:t>
      </w:r>
      <w:r>
        <w:rPr>
          <w:rFonts w:hint="eastAsia"/>
          <w:sz w:val="24"/>
        </w:rPr>
        <w:t>99</w:t>
      </w:r>
      <w:r>
        <w:rPr>
          <w:sz w:val="24"/>
        </w:rPr>
        <w:t>,</w:t>
      </w:r>
      <w:r>
        <w:rPr>
          <w:rFonts w:hint="eastAsia"/>
          <w:sz w:val="24"/>
        </w:rPr>
        <w:t>532.29</w:t>
      </w:r>
      <w:r>
        <w:rPr>
          <w:sz w:val="24"/>
        </w:rPr>
        <w:t>份</w:t>
      </w:r>
    </w:p>
    <w:p>
      <w:pPr>
        <w:adjustRightInd w:val="0"/>
        <w:snapToGrid w:val="0"/>
        <w:spacing w:line="360" w:lineRule="auto"/>
        <w:ind w:firstLine="480" w:firstLineChars="200"/>
        <w:rPr>
          <w:sz w:val="24"/>
        </w:rPr>
      </w:pPr>
      <w:r>
        <w:rPr>
          <w:rFonts w:hint="eastAsia"/>
          <w:sz w:val="24"/>
        </w:rPr>
        <w:t>即：若该养老金客户通过基金管理人的直销柜台投资本基金</w:t>
      </w:r>
      <w:r>
        <w:rPr>
          <w:rFonts w:hint="eastAsia"/>
          <w:color w:val="000000"/>
          <w:kern w:val="0"/>
          <w:sz w:val="24"/>
        </w:rPr>
        <w:t>A类基金份额</w:t>
      </w:r>
      <w:r>
        <w:rPr>
          <w:rFonts w:hint="eastAsia"/>
          <w:sz w:val="24"/>
        </w:rPr>
        <w:t>100,000元，假定募集期产生的利息为10.00元，可得到</w:t>
      </w:r>
      <w:r>
        <w:rPr>
          <w:sz w:val="24"/>
        </w:rPr>
        <w:t>99,532.29</w:t>
      </w:r>
      <w:r>
        <w:rPr>
          <w:rFonts w:hint="eastAsia"/>
          <w:sz w:val="24"/>
        </w:rPr>
        <w:t>份A类基金份额。</w:t>
      </w:r>
    </w:p>
    <w:p>
      <w:pPr>
        <w:adjustRightInd w:val="0"/>
        <w:snapToGrid w:val="0"/>
        <w:spacing w:line="360" w:lineRule="auto"/>
        <w:ind w:firstLine="480" w:firstLineChars="200"/>
        <w:rPr>
          <w:sz w:val="24"/>
        </w:rPr>
      </w:pPr>
      <w:r>
        <w:rPr>
          <w:rFonts w:hint="eastAsia"/>
          <w:sz w:val="24"/>
        </w:rPr>
        <w:t>2） C类基金份额的认购</w:t>
      </w:r>
    </w:p>
    <w:p>
      <w:pPr>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adjustRightInd w:val="0"/>
        <w:snapToGrid w:val="0"/>
        <w:spacing w:line="360" w:lineRule="auto"/>
        <w:ind w:firstLine="480" w:firstLineChars="200"/>
        <w:rPr>
          <w:sz w:val="24"/>
        </w:rPr>
      </w:pPr>
      <w:r>
        <w:rPr>
          <w:rFonts w:hint="eastAsia"/>
          <w:sz w:val="24"/>
        </w:rPr>
        <w:t>认购总金额 = 申请总金额</w:t>
      </w:r>
    </w:p>
    <w:p>
      <w:pPr>
        <w:adjustRightInd w:val="0"/>
        <w:snapToGrid w:val="0"/>
        <w:spacing w:line="360" w:lineRule="auto"/>
        <w:ind w:firstLine="480" w:firstLineChars="200"/>
        <w:rPr>
          <w:sz w:val="24"/>
        </w:rPr>
      </w:pPr>
      <w:r>
        <w:rPr>
          <w:rFonts w:hint="eastAsia"/>
          <w:sz w:val="24"/>
        </w:rPr>
        <w:t>认购份额 = 认购总金额/基金份额初始面值＋认购利息/基金份额初始面值。</w:t>
      </w:r>
    </w:p>
    <w:p>
      <w:pPr>
        <w:adjustRightInd w:val="0"/>
        <w:snapToGrid w:val="0"/>
        <w:spacing w:line="360" w:lineRule="auto"/>
        <w:ind w:firstLine="480" w:firstLineChars="200"/>
        <w:rPr>
          <w:sz w:val="24"/>
        </w:rPr>
      </w:pPr>
      <w:r>
        <w:rPr>
          <w:rFonts w:hint="eastAsia"/>
          <w:sz w:val="24"/>
        </w:rPr>
        <w:t>认购份额计算结果保留到小数点后2位，小数点后2位以后的部分四舍五入，由此误差产生的收益或损失由基金财产承担。</w:t>
      </w:r>
    </w:p>
    <w:p>
      <w:pPr>
        <w:adjustRightInd w:val="0"/>
        <w:snapToGrid w:val="0"/>
        <w:spacing w:line="360" w:lineRule="auto"/>
        <w:ind w:firstLine="480" w:firstLineChars="200"/>
        <w:rPr>
          <w:sz w:val="24"/>
        </w:rPr>
      </w:pPr>
      <w:r>
        <w:rPr>
          <w:rFonts w:hint="eastAsia"/>
          <w:sz w:val="24"/>
        </w:rPr>
        <w:t>例三：某投资者认购本基金C类基金份额100,000元，且该认购申请被全额确认。假定该笔认购金额产生利息50.00元。则认购份额为：</w:t>
      </w:r>
    </w:p>
    <w:p>
      <w:pPr>
        <w:adjustRightInd w:val="0"/>
        <w:snapToGrid w:val="0"/>
        <w:spacing w:line="360" w:lineRule="auto"/>
        <w:ind w:firstLine="480" w:firstLineChars="200"/>
        <w:rPr>
          <w:sz w:val="24"/>
        </w:rPr>
      </w:pPr>
      <w:r>
        <w:rPr>
          <w:rFonts w:hint="eastAsia"/>
          <w:sz w:val="24"/>
        </w:rPr>
        <w:t>认购份额＝100,000/1.00＋50.00/1.00＝100,050.00份</w:t>
      </w:r>
    </w:p>
    <w:p>
      <w:pPr>
        <w:adjustRightInd w:val="0"/>
        <w:snapToGrid w:val="0"/>
        <w:spacing w:line="360" w:lineRule="auto"/>
        <w:ind w:firstLine="480" w:firstLineChars="200"/>
        <w:rPr>
          <w:sz w:val="24"/>
        </w:rPr>
      </w:pPr>
      <w:r>
        <w:rPr>
          <w:rFonts w:hint="eastAsia"/>
          <w:sz w:val="24"/>
        </w:rPr>
        <w:t>即：若该投资者选择投资100,000元认购C类基金份额，假定该笔认购金额产生利息50.00元，可得到100,050.00份C类基金份额。</w:t>
      </w:r>
    </w:p>
    <w:p>
      <w:pPr>
        <w:adjustRightInd w:val="0"/>
        <w:snapToGrid w:val="0"/>
        <w:spacing w:line="360" w:lineRule="auto"/>
        <w:ind w:firstLine="480" w:firstLineChars="200"/>
        <w:outlineLvl w:val="2"/>
        <w:rPr>
          <w:sz w:val="24"/>
        </w:rPr>
      </w:pPr>
      <w:r>
        <w:rPr>
          <w:sz w:val="24"/>
        </w:rPr>
        <w:t>4、认购的程序</w:t>
      </w:r>
    </w:p>
    <w:p>
      <w:pPr>
        <w:adjustRightInd w:val="0"/>
        <w:snapToGrid w:val="0"/>
        <w:spacing w:line="360" w:lineRule="auto"/>
        <w:ind w:firstLine="480" w:firstLineChars="200"/>
        <w:rPr>
          <w:sz w:val="24"/>
        </w:rPr>
      </w:pPr>
      <w:r>
        <w:rPr>
          <w:sz w:val="24"/>
        </w:rPr>
        <w:t>（1）申请方式：书面申请或基金管理人公告的其他方式。</w:t>
      </w:r>
    </w:p>
    <w:p>
      <w:pPr>
        <w:adjustRightInd w:val="0"/>
        <w:snapToGrid w:val="0"/>
        <w:spacing w:line="360" w:lineRule="auto"/>
        <w:ind w:firstLine="480" w:firstLineChars="200"/>
        <w:rPr>
          <w:sz w:val="24"/>
        </w:rPr>
      </w:pPr>
      <w:r>
        <w:rPr>
          <w:sz w:val="24"/>
        </w:rPr>
        <w:t>（2）认购款项支付：投资人认购时，采用全额缴款方式。</w:t>
      </w:r>
    </w:p>
    <w:p>
      <w:pPr>
        <w:widowControl/>
        <w:adjustRightInd w:val="0"/>
        <w:snapToGrid w:val="0"/>
        <w:spacing w:line="360" w:lineRule="auto"/>
        <w:ind w:firstLine="480" w:firstLineChars="200"/>
        <w:outlineLvl w:val="2"/>
        <w:rPr>
          <w:sz w:val="24"/>
          <w:szCs w:val="21"/>
        </w:rPr>
      </w:pPr>
      <w:r>
        <w:rPr>
          <w:sz w:val="24"/>
          <w:szCs w:val="21"/>
        </w:rPr>
        <w:t>5、认购的确认</w:t>
      </w:r>
    </w:p>
    <w:p>
      <w:pPr>
        <w:widowControl/>
        <w:adjustRightInd w:val="0"/>
        <w:snapToGrid w:val="0"/>
        <w:spacing w:line="360" w:lineRule="auto"/>
        <w:ind w:firstLine="480" w:firstLineChars="200"/>
        <w:rPr>
          <w:sz w:val="24"/>
          <w:szCs w:val="21"/>
        </w:rPr>
      </w:pPr>
      <w:r>
        <w:rPr>
          <w:sz w:val="24"/>
          <w:szCs w:val="21"/>
        </w:rPr>
        <w:t>当日（T日）在规定时间内提交的申请，投资人通常可在T+2日后（包括该日）到</w:t>
      </w:r>
      <w:r>
        <w:rPr>
          <w:rFonts w:hint="eastAsia"/>
          <w:sz w:val="24"/>
          <w:szCs w:val="21"/>
        </w:rPr>
        <w:t>销售</w:t>
      </w:r>
      <w:r>
        <w:rPr>
          <w:sz w:val="24"/>
          <w:szCs w:val="21"/>
        </w:rPr>
        <w:t>网点查询交易情况。基金销售机构对申请的受理并不表示对该申请的成功确认，而仅代表销售机构确实接收到认购申请。申请的成功确认应以基金合同生效后、登记机构的确认登记为准。</w:t>
      </w:r>
      <w:r>
        <w:rPr>
          <w:rFonts w:hAnsi="宋体"/>
          <w:sz w:val="24"/>
        </w:rPr>
        <w:t>对于认购申请及认购份额的确认情况，投资人应及时查询。</w:t>
      </w:r>
      <w:r>
        <w:rPr>
          <w:sz w:val="24"/>
          <w:szCs w:val="21"/>
        </w:rPr>
        <w:t>投资人可以在基金合同生效后到原认购网点打印认购成交确认凭证。</w:t>
      </w:r>
    </w:p>
    <w:p>
      <w:pPr>
        <w:widowControl/>
        <w:adjustRightInd w:val="0"/>
        <w:snapToGrid w:val="0"/>
        <w:spacing w:line="360" w:lineRule="auto"/>
        <w:ind w:firstLine="480" w:firstLineChars="200"/>
        <w:rPr>
          <w:sz w:val="24"/>
          <w:szCs w:val="21"/>
        </w:rPr>
      </w:pPr>
      <w:r>
        <w:rPr>
          <w:sz w:val="24"/>
          <w:szCs w:val="21"/>
        </w:rPr>
        <w:t>投资人开户和认购所需提交的文件和办理的具体程序，请参阅基金份额发售公告。</w:t>
      </w:r>
    </w:p>
    <w:p>
      <w:pPr>
        <w:widowControl/>
        <w:adjustRightInd w:val="0"/>
        <w:snapToGrid w:val="0"/>
        <w:spacing w:line="360" w:lineRule="auto"/>
        <w:ind w:firstLine="480" w:firstLineChars="200"/>
        <w:outlineLvl w:val="2"/>
        <w:rPr>
          <w:sz w:val="24"/>
          <w:szCs w:val="21"/>
        </w:rPr>
      </w:pPr>
      <w:r>
        <w:rPr>
          <w:sz w:val="24"/>
          <w:szCs w:val="21"/>
        </w:rPr>
        <w:t>6、募集期利息的处理方式</w:t>
      </w:r>
    </w:p>
    <w:p>
      <w:pPr>
        <w:widowControl/>
        <w:adjustRightInd w:val="0"/>
        <w:snapToGrid w:val="0"/>
        <w:spacing w:line="360" w:lineRule="auto"/>
        <w:ind w:firstLine="480" w:firstLineChars="200"/>
        <w:rPr>
          <w:sz w:val="24"/>
          <w:szCs w:val="21"/>
        </w:rPr>
      </w:pPr>
      <w:r>
        <w:rPr>
          <w:sz w:val="24"/>
          <w:szCs w:val="21"/>
        </w:rPr>
        <w:t>本基金基金合同生效前，投资人的有效认购款项只能存入专门账户，任何人不得动用。有效认购款项在募集期间产生的利息将折算为基金份额归基金份额持有人所有。</w:t>
      </w:r>
    </w:p>
    <w:p>
      <w:pPr>
        <w:adjustRightInd w:val="0"/>
        <w:snapToGrid w:val="0"/>
        <w:spacing w:line="360" w:lineRule="auto"/>
        <w:ind w:firstLine="480" w:firstLineChars="20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5" w:name="_Hlt91148053"/>
      <w:bookmarkEnd w:id="15"/>
      <w:bookmarkStart w:id="16" w:name="_Hlt90801570"/>
      <w:bookmarkEnd w:id="16"/>
      <w:bookmarkStart w:id="17" w:name="_Hlt91264078"/>
      <w:bookmarkEnd w:id="17"/>
      <w:bookmarkStart w:id="18" w:name="_Hlt90455312"/>
      <w:bookmarkEnd w:id="18"/>
      <w:bookmarkStart w:id="19" w:name="_Hlt91264042"/>
      <w:bookmarkEnd w:id="19"/>
      <w:bookmarkStart w:id="20" w:name="_Toc109537384"/>
      <w:r>
        <w:rPr>
          <w:sz w:val="24"/>
          <w:szCs w:val="21"/>
        </w:rPr>
        <w:t>。</w:t>
      </w:r>
      <w:bookmarkEnd w:id="14"/>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1" w:name="_Toc48122008"/>
      <w:r>
        <w:rPr>
          <w:rFonts w:hint="eastAsia" w:ascii="宋体" w:hAnsi="宋体"/>
          <w:b/>
          <w:kern w:val="0"/>
          <w:sz w:val="30"/>
        </w:rPr>
        <w:t>七、基金合同的生效</w:t>
      </w:r>
      <w:bookmarkEnd w:id="21"/>
    </w:p>
    <w:bookmarkEnd w:id="20"/>
    <w:p>
      <w:pPr>
        <w:pStyle w:val="4"/>
        <w:autoSpaceDE w:val="0"/>
        <w:autoSpaceDN w:val="0"/>
        <w:adjustRightInd w:val="0"/>
        <w:snapToGrid w:val="0"/>
        <w:spacing w:line="360" w:lineRule="auto"/>
        <w:ind w:firstLine="482"/>
        <w:outlineLvl w:val="1"/>
        <w:rPr>
          <w:b/>
          <w:sz w:val="24"/>
        </w:rPr>
      </w:pPr>
      <w:bookmarkStart w:id="22" w:name="_Hlt88901074"/>
      <w:bookmarkEnd w:id="22"/>
      <w:bookmarkStart w:id="23" w:name="_Toc57530272"/>
      <w:bookmarkStart w:id="24" w:name="_Toc15118260"/>
      <w:bookmarkStart w:id="25" w:name="_Toc79392603"/>
      <w:bookmarkStart w:id="26" w:name="_Toc109537386"/>
      <w:r>
        <w:rPr>
          <w:rFonts w:hAnsi="宋体"/>
          <w:b/>
          <w:sz w:val="24"/>
        </w:rPr>
        <w:t>（一）基金备案的条件</w:t>
      </w:r>
    </w:p>
    <w:p>
      <w:pPr>
        <w:pStyle w:val="4"/>
        <w:autoSpaceDE w:val="0"/>
        <w:autoSpaceDN w:val="0"/>
        <w:adjustRightInd w:val="0"/>
        <w:snapToGrid w:val="0"/>
        <w:spacing w:line="360" w:lineRule="auto"/>
        <w:ind w:firstLine="480"/>
        <w:rPr>
          <w:rFonts w:hAnsi="宋体"/>
          <w:sz w:val="24"/>
        </w:rPr>
      </w:pPr>
      <w:r>
        <w:rPr>
          <w:rFonts w:hint="eastAsia" w:hAnsi="宋体"/>
          <w:sz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adjustRightInd w:val="0"/>
        <w:snapToGrid w:val="0"/>
        <w:spacing w:line="360" w:lineRule="auto"/>
        <w:ind w:firstLine="480" w:firstLineChars="200"/>
        <w:rPr>
          <w:rFonts w:hAnsi="宋体"/>
          <w:sz w:val="24"/>
        </w:rPr>
      </w:pPr>
      <w:r>
        <w:rPr>
          <w:rFonts w:hint="eastAsia" w:hAnsi="宋体"/>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adjustRightInd w:val="0"/>
        <w:snapToGrid w:val="0"/>
        <w:spacing w:line="360" w:lineRule="auto"/>
        <w:ind w:firstLine="482" w:firstLineChars="200"/>
        <w:outlineLvl w:val="1"/>
        <w:rPr>
          <w:bCs/>
          <w:sz w:val="24"/>
        </w:rPr>
      </w:pPr>
      <w:r>
        <w:rPr>
          <w:rFonts w:hAnsi="宋体"/>
          <w:b/>
          <w:sz w:val="24"/>
        </w:rPr>
        <w:t>（二）</w:t>
      </w:r>
      <w:r>
        <w:rPr>
          <w:b/>
          <w:bCs/>
          <w:sz w:val="24"/>
        </w:rPr>
        <w:t>基金合同不能生效时募集资金的处理方式</w:t>
      </w:r>
    </w:p>
    <w:p>
      <w:pPr>
        <w:adjustRightInd w:val="0"/>
        <w:snapToGrid w:val="0"/>
        <w:spacing w:line="360" w:lineRule="auto"/>
        <w:ind w:firstLine="480" w:firstLineChars="200"/>
        <w:rPr>
          <w:rFonts w:hAnsi="宋体"/>
          <w:sz w:val="24"/>
        </w:rPr>
      </w:pPr>
      <w:r>
        <w:rPr>
          <w:rFonts w:hint="eastAsia" w:hAnsi="宋体"/>
          <w:sz w:val="24"/>
        </w:rPr>
        <w:t>如果募集期限届满，未满足基金备案条件，基金管理人应当承担下列责任：</w:t>
      </w:r>
    </w:p>
    <w:p>
      <w:pPr>
        <w:adjustRightInd w:val="0"/>
        <w:snapToGrid w:val="0"/>
        <w:spacing w:line="360" w:lineRule="auto"/>
        <w:ind w:firstLine="480" w:firstLineChars="200"/>
        <w:rPr>
          <w:rFonts w:hAnsi="宋体"/>
          <w:sz w:val="24"/>
        </w:rPr>
      </w:pPr>
      <w:r>
        <w:rPr>
          <w:rFonts w:hint="eastAsia" w:hAnsi="宋体"/>
          <w:sz w:val="24"/>
        </w:rPr>
        <w:t>1、以其固有财产承担因募集行为而产生的债务和费用；</w:t>
      </w:r>
    </w:p>
    <w:p>
      <w:pPr>
        <w:adjustRightInd w:val="0"/>
        <w:snapToGrid w:val="0"/>
        <w:spacing w:line="360" w:lineRule="auto"/>
        <w:ind w:firstLine="480" w:firstLineChars="200"/>
        <w:rPr>
          <w:rFonts w:hAnsi="宋体"/>
          <w:sz w:val="24"/>
        </w:rPr>
      </w:pPr>
      <w:r>
        <w:rPr>
          <w:rFonts w:hint="eastAsia" w:hAnsi="宋体"/>
          <w:sz w:val="24"/>
        </w:rPr>
        <w:t>2、在基金募集期限届满后30日内返还投资者已缴纳的款项，并加计银行同期活期存款利息；</w:t>
      </w:r>
    </w:p>
    <w:p>
      <w:pPr>
        <w:adjustRightInd w:val="0"/>
        <w:snapToGrid w:val="0"/>
        <w:spacing w:line="360" w:lineRule="auto"/>
        <w:ind w:firstLine="480" w:firstLineChars="200"/>
        <w:rPr>
          <w:rFonts w:hAnsi="宋体"/>
          <w:sz w:val="24"/>
        </w:rPr>
      </w:pPr>
      <w:r>
        <w:rPr>
          <w:rFonts w:hint="eastAsia" w:hAnsi="宋体"/>
          <w:sz w:val="24"/>
        </w:rPr>
        <w:t>3、如基金募集失败，基金管理人、基金托管人及销售机构不得请求报酬。基金管理人、基金托管人和销售机构为基金募集支付之一切费用应由各方各自承担。</w:t>
      </w:r>
    </w:p>
    <w:p>
      <w:pPr>
        <w:adjustRightInd w:val="0"/>
        <w:snapToGrid w:val="0"/>
        <w:spacing w:line="360" w:lineRule="auto"/>
        <w:ind w:firstLine="482" w:firstLineChars="200"/>
        <w:outlineLvl w:val="1"/>
        <w:rPr>
          <w:b/>
          <w:sz w:val="24"/>
        </w:rPr>
      </w:pPr>
      <w:r>
        <w:rPr>
          <w:rFonts w:hAnsi="宋体"/>
          <w:b/>
          <w:sz w:val="24"/>
        </w:rPr>
        <w:t>（三）基金存续期内的基金份额持有人数量和资产规模</w:t>
      </w:r>
    </w:p>
    <w:bookmarkEnd w:id="23"/>
    <w:bookmarkEnd w:id="24"/>
    <w:bookmarkEnd w:id="25"/>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pPr>
        <w:widowControl/>
        <w:adjustRightInd w:val="0"/>
        <w:snapToGrid w:val="0"/>
        <w:spacing w:line="360" w:lineRule="auto"/>
        <w:ind w:firstLine="482"/>
      </w:pPr>
      <w:r>
        <w:rPr>
          <w:rFonts w:hint="eastAsia" w:ascii="宋体" w:hAnsi="宋体"/>
          <w:kern w:val="0"/>
          <w:sz w:val="24"/>
          <w:szCs w:val="24"/>
        </w:rPr>
        <w:t>法律法规或中国证监会另有规定时，从其规定。</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7" w:name="_Toc48122009"/>
      <w:r>
        <w:rPr>
          <w:rFonts w:hint="eastAsia" w:ascii="宋体" w:hAnsi="宋体"/>
          <w:b/>
          <w:kern w:val="0"/>
          <w:sz w:val="30"/>
        </w:rPr>
        <w:t>八、基金份额的申购与赎回</w:t>
      </w:r>
      <w:bookmarkEnd w:id="26"/>
      <w:bookmarkEnd w:id="27"/>
    </w:p>
    <w:p>
      <w:pPr>
        <w:widowControl/>
        <w:adjustRightInd w:val="0"/>
        <w:snapToGrid w:val="0"/>
        <w:spacing w:line="360" w:lineRule="auto"/>
        <w:ind w:firstLine="482" w:firstLineChars="200"/>
        <w:outlineLvl w:val="1"/>
        <w:rPr>
          <w:b/>
          <w:kern w:val="0"/>
          <w:sz w:val="24"/>
          <w:szCs w:val="24"/>
        </w:rPr>
      </w:pPr>
      <w:bookmarkStart w:id="28" w:name="_Hlk49342362"/>
      <w:r>
        <w:rPr>
          <w:rFonts w:hAnsi="宋体"/>
          <w:b/>
          <w:kern w:val="0"/>
          <w:sz w:val="24"/>
          <w:szCs w:val="24"/>
        </w:rPr>
        <w:t>（一）申购和赎回的场所</w:t>
      </w:r>
    </w:p>
    <w:p>
      <w:pPr>
        <w:pStyle w:val="4"/>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pPr>
        <w:pStyle w:val="4"/>
        <w:autoSpaceDE w:val="0"/>
        <w:autoSpaceDN w:val="0"/>
        <w:adjustRightInd w:val="0"/>
        <w:snapToGrid w:val="0"/>
        <w:spacing w:line="360" w:lineRule="auto"/>
        <w:ind w:firstLine="480"/>
        <w:outlineLvl w:val="2"/>
        <w:rPr>
          <w:sz w:val="24"/>
          <w:szCs w:val="24"/>
        </w:rPr>
      </w:pPr>
      <w:r>
        <w:rPr>
          <w:sz w:val="24"/>
          <w:szCs w:val="24"/>
        </w:rPr>
        <w:t>1</w:t>
      </w:r>
      <w:r>
        <w:rPr>
          <w:rFonts w:hAnsi="宋体"/>
          <w:sz w:val="24"/>
          <w:szCs w:val="24"/>
        </w:rPr>
        <w:t>、本基金管理人的直销机构</w:t>
      </w:r>
    </w:p>
    <w:p>
      <w:pPr>
        <w:widowControl/>
        <w:adjustRightInd w:val="0"/>
        <w:snapToGrid w:val="0"/>
        <w:spacing w:line="360" w:lineRule="auto"/>
        <w:ind w:firstLine="480" w:firstLineChars="200"/>
        <w:rPr>
          <w:kern w:val="0"/>
          <w:sz w:val="24"/>
          <w:szCs w:val="24"/>
        </w:rPr>
      </w:pPr>
      <w:r>
        <w:rPr>
          <w:rFonts w:hAnsi="宋体"/>
          <w:kern w:val="0"/>
          <w:sz w:val="24"/>
          <w:szCs w:val="24"/>
        </w:rPr>
        <w:t>本基金直销机构为</w:t>
      </w:r>
      <w:r>
        <w:rPr>
          <w:rFonts w:hint="eastAsia" w:hAnsi="宋体"/>
          <w:sz w:val="24"/>
          <w:szCs w:val="24"/>
        </w:rPr>
        <w:t>基金管理人直销柜台以及基金管理人</w:t>
      </w:r>
      <w:r>
        <w:rPr>
          <w:rFonts w:hAnsi="宋体"/>
          <w:kern w:val="0"/>
          <w:sz w:val="24"/>
          <w:szCs w:val="24"/>
        </w:rPr>
        <w:t>的网上直销交易平台。</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名称：交银施罗德基金管理有限公司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住所：中国（上海）自由贸易试验区银城中路188号交通银行大楼二层（裙）</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办公地址：上海市浦东新区世纪大道8号国金中心二期21-22楼</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电话：（021）6105</w:t>
      </w:r>
      <w:r>
        <w:rPr>
          <w:rStyle w:val="31"/>
          <w:color w:val="auto"/>
          <w:sz w:val="24"/>
          <w:szCs w:val="24"/>
          <w:u w:val="none"/>
        </w:rPr>
        <w:t>5724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传真：（021）61055054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联系人：傅</w:t>
      </w:r>
      <w:r>
        <w:rPr>
          <w:rStyle w:val="31"/>
          <w:color w:val="auto"/>
          <w:sz w:val="24"/>
          <w:szCs w:val="24"/>
          <w:u w:val="none"/>
        </w:rPr>
        <w:t>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客户服务电话：400-700-5000（免长途话费），（021）61055000</w:t>
      </w:r>
    </w:p>
    <w:p>
      <w:pPr>
        <w:pStyle w:val="4"/>
        <w:autoSpaceDE w:val="0"/>
        <w:autoSpaceDN w:val="0"/>
        <w:adjustRightInd w:val="0"/>
        <w:snapToGrid w:val="0"/>
        <w:spacing w:line="360" w:lineRule="auto"/>
        <w:ind w:firstLine="480"/>
        <w:rPr>
          <w:sz w:val="24"/>
          <w:szCs w:val="24"/>
        </w:rPr>
      </w:pPr>
      <w:r>
        <w:rPr>
          <w:rStyle w:val="31"/>
          <w:rFonts w:hint="eastAsia"/>
          <w:color w:val="auto"/>
          <w:sz w:val="24"/>
          <w:szCs w:val="24"/>
          <w:u w:val="none"/>
        </w:rPr>
        <w:t>网址：www.fund001.com</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sz w:val="24"/>
          <w:szCs w:val="24"/>
        </w:rPr>
        <w:t>基金管理人</w:t>
      </w:r>
      <w:r>
        <w:rPr>
          <w:rFonts w:hAnsi="宋体"/>
          <w:kern w:val="0"/>
          <w:sz w:val="24"/>
          <w:szCs w:val="24"/>
        </w:rPr>
        <w:t>网上直销交易平台办理开户、本基金的申购、赎回等业务，具体交易细则请参阅</w:t>
      </w:r>
      <w:r>
        <w:rPr>
          <w:rFonts w:hint="eastAsia" w:hAnsi="宋体"/>
          <w:sz w:val="24"/>
          <w:szCs w:val="24"/>
        </w:rPr>
        <w:t>基金管理人</w:t>
      </w:r>
      <w:r>
        <w:rPr>
          <w:rFonts w:hAnsi="宋体"/>
          <w:kern w:val="0"/>
          <w:sz w:val="24"/>
          <w:szCs w:val="24"/>
        </w:rPr>
        <w:t>网站。</w:t>
      </w:r>
    </w:p>
    <w:p>
      <w:pPr>
        <w:pStyle w:val="4"/>
        <w:autoSpaceDE w:val="0"/>
        <w:autoSpaceDN w:val="0"/>
        <w:adjustRightInd w:val="0"/>
        <w:snapToGrid w:val="0"/>
        <w:spacing w:line="360" w:lineRule="auto"/>
        <w:ind w:firstLine="480"/>
      </w:pPr>
      <w:r>
        <w:rPr>
          <w:rFonts w:hAnsi="宋体"/>
          <w:kern w:val="0"/>
          <w:sz w:val="24"/>
          <w:szCs w:val="24"/>
        </w:rPr>
        <w:t>网上直销交易平台网址：</w:t>
      </w:r>
      <w:r>
        <w:rPr>
          <w:rStyle w:val="31"/>
          <w:color w:val="auto"/>
          <w:sz w:val="24"/>
          <w:szCs w:val="24"/>
          <w:u w:val="none"/>
        </w:rPr>
        <w:t>www.fund001.com</w:t>
      </w:r>
    </w:p>
    <w:p>
      <w:pPr>
        <w:pStyle w:val="4"/>
        <w:autoSpaceDE w:val="0"/>
        <w:autoSpaceDN w:val="0"/>
        <w:adjustRightInd w:val="0"/>
        <w:snapToGrid w:val="0"/>
        <w:spacing w:line="360" w:lineRule="auto"/>
        <w:ind w:firstLine="480"/>
        <w:outlineLvl w:val="2"/>
        <w:rPr>
          <w:kern w:val="0"/>
          <w:sz w:val="24"/>
          <w:szCs w:val="24"/>
        </w:rPr>
      </w:pPr>
      <w:r>
        <w:rPr>
          <w:kern w:val="0"/>
          <w:sz w:val="24"/>
        </w:rPr>
        <w:t>2、</w:t>
      </w:r>
      <w:r>
        <w:rPr>
          <w:rFonts w:hint="eastAsia"/>
          <w:kern w:val="0"/>
          <w:sz w:val="24"/>
        </w:rPr>
        <w:t>除基金管理人之外的其他销售</w:t>
      </w:r>
      <w:r>
        <w:rPr>
          <w:kern w:val="0"/>
          <w:sz w:val="24"/>
          <w:szCs w:val="24"/>
        </w:rPr>
        <w:t>机构</w:t>
      </w:r>
    </w:p>
    <w:p>
      <w:pPr>
        <w:adjustRightInd w:val="0"/>
        <w:snapToGrid w:val="0"/>
        <w:spacing w:line="360" w:lineRule="auto"/>
        <w:ind w:firstLine="480" w:firstLineChars="20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章节或拨打本公司客户服务电话进行咨询。</w:t>
      </w:r>
    </w:p>
    <w:p>
      <w:pPr>
        <w:adjustRightInd w:val="0"/>
        <w:snapToGrid w:val="0"/>
        <w:spacing w:line="360" w:lineRule="auto"/>
        <w:ind w:firstLine="480" w:firstLineChars="20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pPr>
        <w:adjustRightInd w:val="0"/>
        <w:snapToGrid w:val="0"/>
        <w:spacing w:line="360" w:lineRule="auto"/>
        <w:ind w:firstLine="480" w:firstLineChars="20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pPr>
        <w:adjustRightInd w:val="0"/>
        <w:snapToGrid w:val="0"/>
        <w:spacing w:line="360" w:lineRule="auto"/>
        <w:ind w:firstLine="482" w:firstLineChars="200"/>
        <w:outlineLvl w:val="1"/>
        <w:rPr>
          <w:sz w:val="24"/>
          <w:szCs w:val="24"/>
        </w:rPr>
      </w:pPr>
      <w:r>
        <w:rPr>
          <w:rFonts w:hAnsi="宋体"/>
          <w:b/>
          <w:kern w:val="0"/>
          <w:sz w:val="24"/>
          <w:szCs w:val="24"/>
        </w:rPr>
        <w:t>（二）申购和赎回的开放日及时间</w:t>
      </w:r>
    </w:p>
    <w:p>
      <w:pPr>
        <w:adjustRightInd w:val="0"/>
        <w:snapToGrid w:val="0"/>
        <w:spacing w:line="360" w:lineRule="auto"/>
        <w:ind w:firstLine="480" w:firstLineChars="200"/>
        <w:outlineLvl w:val="2"/>
        <w:rPr>
          <w:bCs/>
          <w:sz w:val="24"/>
          <w:szCs w:val="24"/>
        </w:rPr>
      </w:pPr>
      <w:r>
        <w:rPr>
          <w:bCs/>
          <w:sz w:val="24"/>
          <w:szCs w:val="24"/>
        </w:rPr>
        <w:t>1、开放日及开放时间</w:t>
      </w:r>
    </w:p>
    <w:p>
      <w:pPr>
        <w:adjustRightInd w:val="0"/>
        <w:snapToGrid w:val="0"/>
        <w:spacing w:line="360" w:lineRule="auto"/>
        <w:ind w:firstLine="480" w:firstLineChars="200"/>
        <w:rPr>
          <w:sz w:val="24"/>
          <w:szCs w:val="24"/>
        </w:rPr>
      </w:pPr>
      <w:r>
        <w:rPr>
          <w:rFonts w:hint="eastAsia"/>
          <w:sz w:val="24"/>
          <w:szCs w:val="24"/>
        </w:rPr>
        <w:t>投资人在开放日办理基金份额的申购和赎回，</w:t>
      </w:r>
      <w:r>
        <w:rPr>
          <w:rFonts w:hint="eastAsia"/>
          <w:bCs/>
          <w:sz w:val="24"/>
        </w:rPr>
        <w:t>但对于每份基金份额，基金份额持有人仅可在该份额最短持有期限届满后申请赎回，</w:t>
      </w:r>
      <w:r>
        <w:rPr>
          <w:rFonts w:hint="eastAsia"/>
          <w:sz w:val="24"/>
          <w:szCs w:val="24"/>
        </w:rPr>
        <w:t>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p>
    <w:p>
      <w:pPr>
        <w:adjustRightInd w:val="0"/>
        <w:snapToGrid w:val="0"/>
        <w:spacing w:line="360" w:lineRule="auto"/>
        <w:ind w:firstLine="480" w:firstLineChars="200"/>
        <w:rPr>
          <w:bCs/>
          <w:sz w:val="24"/>
          <w:szCs w:val="24"/>
        </w:rPr>
      </w:pPr>
      <w:r>
        <w:rPr>
          <w:rFonts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djustRightInd w:val="0"/>
        <w:snapToGrid w:val="0"/>
        <w:spacing w:line="360" w:lineRule="auto"/>
        <w:ind w:firstLine="480" w:firstLineChars="200"/>
        <w:outlineLvl w:val="2"/>
        <w:rPr>
          <w:bCs/>
          <w:sz w:val="24"/>
          <w:szCs w:val="24"/>
        </w:rPr>
      </w:pPr>
      <w:r>
        <w:rPr>
          <w:bCs/>
          <w:sz w:val="24"/>
          <w:szCs w:val="24"/>
        </w:rPr>
        <w:t>2、申购、赎回开始日及业务办理时间</w:t>
      </w:r>
    </w:p>
    <w:p>
      <w:pPr>
        <w:adjustRightInd w:val="0"/>
        <w:snapToGrid w:val="0"/>
        <w:spacing w:line="360" w:lineRule="auto"/>
        <w:ind w:firstLine="480" w:firstLineChars="200"/>
        <w:rPr>
          <w:sz w:val="24"/>
          <w:szCs w:val="24"/>
        </w:rPr>
      </w:pPr>
      <w:r>
        <w:rPr>
          <w:rFonts w:hint="eastAsia"/>
          <w:sz w:val="24"/>
          <w:szCs w:val="24"/>
        </w:rPr>
        <w:t>基金管理人自基金合同生效之日起不超过3个月开始办理申购，具体业务办理时间在申购开始公告中规定。</w:t>
      </w:r>
    </w:p>
    <w:p>
      <w:pPr>
        <w:adjustRightInd w:val="0"/>
        <w:snapToGrid w:val="0"/>
        <w:spacing w:line="360" w:lineRule="auto"/>
        <w:ind w:firstLine="480" w:firstLineChars="200"/>
        <w:rPr>
          <w:sz w:val="24"/>
          <w:szCs w:val="24"/>
        </w:rPr>
      </w:pPr>
      <w:r>
        <w:rPr>
          <w:rFonts w:hint="eastAsia"/>
          <w:sz w:val="24"/>
          <w:szCs w:val="24"/>
        </w:rPr>
        <w:t>基金管理人自基金合同生效之日起一年后的年度对日（含该日）开始办理赎回，具体业务办理时间在赎回开始公告中规定。对于每份基金份额，自其最短持有期限届满的下一工作日起（含该日），基金份额持有人方可就该基金份额提出赎回申请。</w:t>
      </w:r>
    </w:p>
    <w:p>
      <w:pPr>
        <w:adjustRightInd w:val="0"/>
        <w:snapToGrid w:val="0"/>
        <w:spacing w:line="360" w:lineRule="auto"/>
        <w:ind w:firstLine="480" w:firstLineChars="20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pPr>
        <w:adjustRightInd w:val="0"/>
        <w:snapToGrid w:val="0"/>
        <w:spacing w:line="360" w:lineRule="auto"/>
        <w:ind w:firstLine="480" w:firstLineChars="20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Pr>
          <w:rFonts w:hint="eastAsia"/>
          <w:bCs/>
          <w:sz w:val="24"/>
        </w:rPr>
        <w:t>投资人在最短持有期限内提出的赎回或转换申请，视为无效申请。</w:t>
      </w:r>
    </w:p>
    <w:p>
      <w:pPr>
        <w:adjustRightInd w:val="0"/>
        <w:snapToGrid w:val="0"/>
        <w:spacing w:line="360" w:lineRule="auto"/>
        <w:ind w:firstLine="482" w:firstLineChars="200"/>
        <w:outlineLvl w:val="1"/>
        <w:rPr>
          <w:sz w:val="24"/>
          <w:szCs w:val="24"/>
        </w:rPr>
      </w:pPr>
      <w:r>
        <w:rPr>
          <w:rFonts w:hAnsi="宋体"/>
          <w:b/>
          <w:kern w:val="0"/>
          <w:sz w:val="24"/>
          <w:szCs w:val="24"/>
        </w:rPr>
        <w:t>（三）申购</w:t>
      </w:r>
      <w:r>
        <w:rPr>
          <w:rFonts w:hint="eastAsia" w:hAnsi="宋体"/>
          <w:b/>
          <w:kern w:val="0"/>
          <w:sz w:val="24"/>
          <w:szCs w:val="24"/>
        </w:rPr>
        <w:t>与</w:t>
      </w:r>
      <w:r>
        <w:rPr>
          <w:rFonts w:hAnsi="宋体"/>
          <w:b/>
          <w:kern w:val="0"/>
          <w:sz w:val="24"/>
          <w:szCs w:val="24"/>
        </w:rPr>
        <w:t>赎回的原则</w:t>
      </w:r>
    </w:p>
    <w:p>
      <w:pPr>
        <w:adjustRightInd w:val="0"/>
        <w:snapToGrid w:val="0"/>
        <w:spacing w:line="360" w:lineRule="auto"/>
        <w:ind w:firstLine="480" w:firstLineChars="200"/>
        <w:rPr>
          <w:sz w:val="24"/>
          <w:szCs w:val="24"/>
        </w:rPr>
      </w:pPr>
      <w:r>
        <w:rPr>
          <w:rFonts w:hint="eastAsia"/>
          <w:sz w:val="24"/>
          <w:szCs w:val="24"/>
        </w:rPr>
        <w:t>1、“未知价”原则，即申购、赎回价格以申请当日收市后计算的基金份额净值为基准进行计算；</w:t>
      </w:r>
    </w:p>
    <w:p>
      <w:pPr>
        <w:adjustRightInd w:val="0"/>
        <w:snapToGrid w:val="0"/>
        <w:spacing w:line="360" w:lineRule="auto"/>
        <w:ind w:firstLine="480" w:firstLineChars="200"/>
        <w:rPr>
          <w:sz w:val="24"/>
          <w:szCs w:val="24"/>
        </w:rPr>
      </w:pPr>
      <w:r>
        <w:rPr>
          <w:rFonts w:hint="eastAsia"/>
          <w:sz w:val="24"/>
          <w:szCs w:val="24"/>
        </w:rPr>
        <w:t>2、“金额申购、份额赎回”原则，即申购以金额申请，赎回以份额申请；</w:t>
      </w:r>
    </w:p>
    <w:p>
      <w:pPr>
        <w:adjustRightInd w:val="0"/>
        <w:snapToGrid w:val="0"/>
        <w:spacing w:line="360" w:lineRule="auto"/>
        <w:ind w:firstLine="480" w:firstLineChars="200"/>
        <w:rPr>
          <w:sz w:val="24"/>
          <w:szCs w:val="24"/>
        </w:rPr>
      </w:pPr>
      <w:r>
        <w:rPr>
          <w:rFonts w:hint="eastAsia"/>
          <w:sz w:val="24"/>
          <w:szCs w:val="24"/>
        </w:rPr>
        <w:t>3、当日的申购与赎回申请可以在基金管理人规定的时间以内撤销，但申请经登记机构受理的不得撤销；</w:t>
      </w:r>
    </w:p>
    <w:p>
      <w:pPr>
        <w:adjustRightInd w:val="0"/>
        <w:snapToGrid w:val="0"/>
        <w:spacing w:line="360" w:lineRule="auto"/>
        <w:ind w:firstLine="480" w:firstLineChars="200"/>
        <w:rPr>
          <w:sz w:val="24"/>
          <w:szCs w:val="24"/>
        </w:rPr>
      </w:pPr>
      <w:r>
        <w:rPr>
          <w:rFonts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djustRightInd w:val="0"/>
        <w:snapToGrid w:val="0"/>
        <w:spacing w:line="360" w:lineRule="auto"/>
        <w:ind w:firstLine="480" w:firstLineChars="200"/>
        <w:rPr>
          <w:sz w:val="24"/>
          <w:szCs w:val="24"/>
        </w:rPr>
      </w:pPr>
      <w:r>
        <w:rPr>
          <w:rFonts w:hint="eastAsia"/>
          <w:sz w:val="24"/>
          <w:szCs w:val="24"/>
        </w:rPr>
        <w:t>5、办理申购、赎回业务时，应当遵循基金份额持有人利益优先原则，确保投资者的合法权益不受损害并得到公平对待。</w:t>
      </w:r>
    </w:p>
    <w:p>
      <w:pPr>
        <w:adjustRightInd w:val="0"/>
        <w:snapToGrid w:val="0"/>
        <w:spacing w:line="360" w:lineRule="auto"/>
        <w:ind w:firstLine="480" w:firstLineChars="20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（四）申购和赎回的数额限定</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、申购金额的限制</w:t>
      </w:r>
    </w:p>
    <w:p>
      <w:pPr>
        <w:widowControl/>
        <w:adjustRightInd w:val="0"/>
        <w:snapToGrid w:val="0"/>
        <w:spacing w:line="360" w:lineRule="auto"/>
        <w:ind w:firstLine="480" w:firstLineChars="200"/>
        <w:rPr>
          <w:rFonts w:ascii="宋体" w:hAnsi="宋体"/>
          <w:kern w:val="0"/>
          <w:sz w:val="24"/>
        </w:rPr>
      </w:pPr>
      <w:r>
        <w:rPr>
          <w:kern w:val="0"/>
          <w:sz w:val="24"/>
          <w:szCs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r>
        <w:rPr>
          <w:rFonts w:hint="eastAsia"/>
          <w:kern w:val="0"/>
          <w:sz w:val="24"/>
          <w:szCs w:val="24"/>
        </w:rPr>
        <w:t>其他销售机构</w:t>
      </w:r>
      <w:r>
        <w:rPr>
          <w:kern w:val="0"/>
          <w:sz w:val="24"/>
          <w:szCs w:val="24"/>
        </w:rPr>
        <w:t>接受申购申请的最低金额为单笔1元，如果</w:t>
      </w:r>
      <w:r>
        <w:rPr>
          <w:rFonts w:hint="eastAsia"/>
          <w:kern w:val="0"/>
          <w:sz w:val="24"/>
          <w:szCs w:val="24"/>
        </w:rPr>
        <w:t>销售</w:t>
      </w:r>
      <w:r>
        <w:rPr>
          <w:kern w:val="0"/>
          <w:sz w:val="24"/>
          <w:szCs w:val="24"/>
        </w:rPr>
        <w:t>机构业务规则规定的最低单笔申购金额高于1元，以</w:t>
      </w:r>
      <w:r>
        <w:rPr>
          <w:rFonts w:hint="eastAsia"/>
          <w:kern w:val="0"/>
          <w:sz w:val="24"/>
          <w:szCs w:val="24"/>
        </w:rPr>
        <w:t>该销售</w:t>
      </w:r>
      <w:r>
        <w:rPr>
          <w:kern w:val="0"/>
          <w:sz w:val="24"/>
          <w:szCs w:val="24"/>
        </w:rPr>
        <w:t>机构的规定为准。</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、赎回份额的限制</w:t>
      </w:r>
    </w:p>
    <w:p>
      <w:pPr>
        <w:widowControl/>
        <w:adjustRightInd w:val="0"/>
        <w:snapToGrid w:val="0"/>
        <w:spacing w:line="360" w:lineRule="auto"/>
        <w:ind w:firstLine="480" w:firstLineChars="20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int="eastAsia" w:hAnsi="宋体"/>
          <w:kern w:val="0"/>
          <w:sz w:val="24"/>
          <w:szCs w:val="24"/>
        </w:rPr>
        <w:t>，如果销售机构业务规则规定的最低单笔赎回份额高于1份，以该销售机构的规定为准。</w:t>
      </w:r>
    </w:p>
    <w:p>
      <w:pPr>
        <w:widowControl/>
        <w:adjustRightInd w:val="0"/>
        <w:snapToGrid w:val="0"/>
        <w:spacing w:line="360" w:lineRule="auto"/>
        <w:ind w:firstLine="480" w:firstLineChars="200"/>
        <w:rPr>
          <w:kern w:val="0"/>
          <w:sz w:val="24"/>
          <w:szCs w:val="24"/>
        </w:rPr>
      </w:pPr>
      <w:bookmarkStart w:id="29" w:name="OLE_LINK6"/>
      <w:r>
        <w:rPr>
          <w:kern w:val="0"/>
          <w:sz w:val="24"/>
          <w:szCs w:val="24"/>
        </w:rPr>
        <w:t>3</w:t>
      </w:r>
      <w:r>
        <w:rPr>
          <w:rFonts w:hAnsi="宋体"/>
          <w:kern w:val="0"/>
          <w:sz w:val="24"/>
          <w:szCs w:val="24"/>
        </w:rPr>
        <w:t>、最低</w:t>
      </w:r>
      <w:r>
        <w:rPr>
          <w:rFonts w:hint="eastAsia" w:hAnsi="宋体"/>
          <w:kern w:val="0"/>
          <w:sz w:val="24"/>
          <w:szCs w:val="24"/>
        </w:rPr>
        <w:t>基金份额</w:t>
      </w:r>
      <w:r>
        <w:rPr>
          <w:rFonts w:hAnsi="宋体"/>
          <w:kern w:val="0"/>
          <w:sz w:val="24"/>
          <w:szCs w:val="24"/>
        </w:rPr>
        <w:t>余额的限制</w:t>
      </w:r>
    </w:p>
    <w:bookmarkEnd w:id="29"/>
    <w:p>
      <w:pPr>
        <w:widowControl/>
        <w:adjustRightInd w:val="0"/>
        <w:snapToGrid w:val="0"/>
        <w:spacing w:line="360" w:lineRule="auto"/>
        <w:ind w:firstLine="480" w:firstLineChars="200"/>
        <w:rPr>
          <w:rFonts w:hAnsi="宋体"/>
          <w:sz w:val="24"/>
          <w:szCs w:val="24"/>
        </w:rPr>
      </w:pPr>
      <w:r>
        <w:rPr>
          <w:rFonts w:hint="eastAsia" w:hAnsi="宋体"/>
          <w:sz w:val="24"/>
          <w:szCs w:val="24"/>
        </w:rPr>
        <w:t>本基金暂无最低保留余额限制。</w:t>
      </w:r>
    </w:p>
    <w:p>
      <w:pPr>
        <w:widowControl/>
        <w:adjustRightInd w:val="0"/>
        <w:snapToGrid w:val="0"/>
        <w:spacing w:line="360" w:lineRule="auto"/>
        <w:ind w:firstLine="480" w:firstLineChars="200"/>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w:t>
      </w:r>
      <w:r>
        <w:rPr>
          <w:rFonts w:hint="eastAsia" w:hAnsi="宋体"/>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int="eastAsia" w:hAnsi="宋体"/>
          <w:kern w:val="0"/>
          <w:sz w:val="24"/>
          <w:szCs w:val="24"/>
        </w:rPr>
        <w:t>实施</w:t>
      </w:r>
      <w:r>
        <w:rPr>
          <w:rFonts w:hAnsi="宋体"/>
          <w:kern w:val="0"/>
          <w:sz w:val="24"/>
          <w:szCs w:val="24"/>
        </w:rPr>
        <w:t>前依照《信息披露办法》的有关规定在规定媒介上公告。</w:t>
      </w:r>
    </w:p>
    <w:p>
      <w:pPr>
        <w:adjustRightInd w:val="0"/>
        <w:snapToGrid w:val="0"/>
        <w:spacing w:line="360" w:lineRule="auto"/>
        <w:ind w:firstLine="482" w:firstLineChars="200"/>
        <w:outlineLvl w:val="1"/>
        <w:rPr>
          <w:sz w:val="24"/>
          <w:szCs w:val="24"/>
        </w:rPr>
      </w:pPr>
      <w:r>
        <w:rPr>
          <w:rFonts w:hAnsi="宋体"/>
          <w:b/>
          <w:kern w:val="0"/>
          <w:sz w:val="24"/>
          <w:szCs w:val="24"/>
        </w:rPr>
        <w:t>（五）申购和赎回的程序</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、申购和赎回的申请方式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申购和赎回的款项支付</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投资人申购基金份额时，必须全额交付申购款项，若申购资金在规定时间内未全额到账则申购不成立。投资人全额交付申购款项，申购成立；基金登记机构确认基金份额时，申购生效。</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基金份额持有人递交赎回申请，赎回成立；基金登记机构确认赎回时，赎回生效。投资者赎回申请生效后，基金管理人将在T</w:t>
      </w:r>
      <w:r>
        <w:rPr>
          <w:rFonts w:hAnsi="宋体"/>
          <w:kern w:val="0"/>
          <w:sz w:val="24"/>
          <w:szCs w:val="24"/>
        </w:rPr>
        <w:t>+</w:t>
      </w:r>
      <w:r>
        <w:rPr>
          <w:rFonts w:hint="eastAsia" w:hAnsi="宋体"/>
          <w:kern w:val="0"/>
          <w:sz w:val="24"/>
          <w:szCs w:val="24"/>
        </w:rPr>
        <w:t>7日（包括该日）内支付赎回款项。在发生巨额赎回或基金合同载明的其他暂停赎回或延缓支付赎回款项的情形时，款项的支付办法参照基金合同有关条款处理。</w:t>
      </w:r>
    </w:p>
    <w:p>
      <w:pPr>
        <w:widowControl/>
        <w:adjustRightInd w:val="0"/>
        <w:snapToGrid w:val="0"/>
        <w:spacing w:line="360" w:lineRule="auto"/>
        <w:ind w:firstLine="480" w:firstLineChars="200"/>
        <w:rPr>
          <w:bCs/>
          <w:sz w:val="24"/>
        </w:rPr>
      </w:pPr>
      <w:r>
        <w:rPr>
          <w:rFonts w:hint="eastAsia"/>
          <w:bCs/>
          <w:sz w:val="24"/>
        </w:rPr>
        <w:t>遇交易所或交易市场数据传输延迟、通讯系统故障、银行数据交换系统故障、港股通交易系统、港股通资金交收规则限制或其他非基金管理人及基金托管人所能控制的因素影响业务处理流程，则赎回款项划付时间相应顺延。</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3</w:t>
      </w:r>
      <w:r>
        <w:rPr>
          <w:rFonts w:hint="eastAsia" w:hAnsi="宋体"/>
          <w:kern w:val="0"/>
          <w:sz w:val="24"/>
          <w:szCs w:val="24"/>
        </w:rPr>
        <w:t>、</w:t>
      </w:r>
      <w:r>
        <w:rPr>
          <w:rFonts w:hAnsi="宋体"/>
          <w:kern w:val="0"/>
          <w:sz w:val="24"/>
          <w:szCs w:val="24"/>
        </w:rPr>
        <w:t>申购和赎回申请的确认</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基金管理人可在法律法规允许的范围内，依法对上述申购和赎回申请的确认时间进行调整，并必须在调整实施日前按照《信息披露办法》的有关规定在规定媒介上公告。</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pPr>
        <w:pStyle w:val="4"/>
        <w:autoSpaceDE w:val="0"/>
        <w:autoSpaceDN w:val="0"/>
        <w:adjustRightInd w:val="0"/>
        <w:snapToGrid w:val="0"/>
        <w:spacing w:line="360" w:lineRule="auto"/>
        <w:ind w:firstLine="480"/>
        <w:outlineLvl w:val="2"/>
        <w:rPr>
          <w:sz w:val="24"/>
          <w:szCs w:val="24"/>
        </w:rPr>
      </w:pPr>
      <w:r>
        <w:rPr>
          <w:sz w:val="24"/>
          <w:szCs w:val="24"/>
        </w:rPr>
        <w:t>4</w:t>
      </w:r>
      <w:r>
        <w:rPr>
          <w:rFonts w:hAnsi="宋体"/>
          <w:sz w:val="24"/>
          <w:szCs w:val="24"/>
        </w:rPr>
        <w:t>、申购和赎回的登记</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日为投资人增加权益并办理登记手续。投资人应及时查询有关申请的确认情况。</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（六）基金的申购费和赎回费</w:t>
      </w:r>
    </w:p>
    <w:p>
      <w:pPr>
        <w:widowControl/>
        <w:adjustRightInd w:val="0"/>
        <w:snapToGrid w:val="0"/>
        <w:spacing w:line="360" w:lineRule="auto"/>
        <w:ind w:firstLine="480" w:firstLineChars="200"/>
        <w:rPr>
          <w:rFonts w:hAnsi="宋体"/>
          <w:sz w:val="24"/>
          <w:szCs w:val="24"/>
        </w:rPr>
      </w:pPr>
      <w:r>
        <w:rPr>
          <w:rFonts w:hAnsi="宋体"/>
          <w:sz w:val="24"/>
          <w:szCs w:val="24"/>
        </w:rPr>
        <w:t>1、申购费用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本基金基金份额分为A类基金份额和C类基金份额，投资人申购A类基金份额在申购时支付申购费用；申购C类基金份额不支付申购费用，并从该类别基金资产中计提销售服务费。</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color w:val="000000"/>
          <w:sz w:val="24"/>
          <w:szCs w:val="24"/>
        </w:rPr>
        <w:t>A类基金份额</w:t>
      </w:r>
      <w:r>
        <w:rPr>
          <w:rFonts w:hAnsi="宋体"/>
          <w:sz w:val="24"/>
          <w:szCs w:val="24"/>
        </w:rPr>
        <w:t>的申购费用由</w:t>
      </w:r>
      <w:r>
        <w:rPr>
          <w:rFonts w:hint="eastAsia" w:hAnsi="宋体"/>
          <w:sz w:val="24"/>
          <w:szCs w:val="24"/>
        </w:rPr>
        <w:t>申购A类基金份额的</w:t>
      </w:r>
      <w:r>
        <w:rPr>
          <w:rFonts w:hAnsi="宋体"/>
          <w:sz w:val="24"/>
          <w:szCs w:val="24"/>
        </w:rPr>
        <w:t>基金申购人承担，不列入基金财产，主要用于本基金的市场推广、销售、登记等各项费用。</w:t>
      </w:r>
    </w:p>
    <w:p>
      <w:pPr>
        <w:widowControl/>
        <w:adjustRightInd w:val="0"/>
        <w:snapToGrid w:val="0"/>
        <w:spacing w:line="360" w:lineRule="auto"/>
        <w:ind w:firstLine="480" w:firstLineChars="200"/>
        <w:rPr>
          <w:rFonts w:hAnsi="宋体"/>
          <w:sz w:val="24"/>
          <w:szCs w:val="24"/>
        </w:rPr>
      </w:pPr>
      <w:r>
        <w:rPr>
          <w:rFonts w:hAnsi="宋体"/>
          <w:sz w:val="24"/>
          <w:szCs w:val="24"/>
        </w:rPr>
        <w:t>投资人可以多次申购本基金，申购费</w:t>
      </w:r>
      <w:r>
        <w:rPr>
          <w:rFonts w:hint="eastAsia" w:hAnsi="宋体"/>
          <w:sz w:val="24"/>
          <w:szCs w:val="24"/>
        </w:rPr>
        <w:t>用</w:t>
      </w:r>
      <w:r>
        <w:rPr>
          <w:rFonts w:hAnsi="宋体"/>
          <w:sz w:val="24"/>
          <w:szCs w:val="24"/>
        </w:rPr>
        <w:t>按每笔申购申请单独计算。</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sz w:val="24"/>
          <w:szCs w:val="24"/>
        </w:rPr>
        <w:t>A类基金份额</w:t>
      </w:r>
      <w:r>
        <w:rPr>
          <w:rFonts w:hint="eastAsia"/>
          <w:kern w:val="0"/>
          <w:sz w:val="24"/>
        </w:rPr>
        <w:t>（非养老金客户）</w:t>
      </w:r>
      <w:r>
        <w:rPr>
          <w:rFonts w:hAnsi="宋体"/>
          <w:sz w:val="24"/>
          <w:szCs w:val="24"/>
        </w:rPr>
        <w:t>的申购费率如下：</w:t>
      </w:r>
    </w:p>
    <w:tbl>
      <w:tblPr>
        <w:tblStyle w:val="28"/>
        <w:tblW w:w="7339"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407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4079" w:type="dxa"/>
            <w:shd w:val="clear" w:color="auto" w:fill="FFFFFF"/>
            <w:vAlign w:val="center"/>
          </w:tcPr>
          <w:p>
            <w:pPr>
              <w:adjustRightInd w:val="0"/>
              <w:snapToGrid w:val="0"/>
              <w:jc w:val="center"/>
              <w:rPr>
                <w:b/>
                <w:sz w:val="24"/>
              </w:rPr>
            </w:pPr>
            <w:r>
              <w:rPr>
                <w:rFonts w:hint="eastAsia"/>
                <w:b/>
                <w:sz w:val="24"/>
              </w:rPr>
              <w:t>A类基金份额</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w:t>
            </w:r>
            <w:r>
              <w:rPr>
                <w:rFonts w:hAnsi="宋体"/>
                <w:sz w:val="24"/>
              </w:rPr>
              <w:t>万元以下</w:t>
            </w:r>
          </w:p>
        </w:tc>
        <w:tc>
          <w:tcPr>
            <w:tcW w:w="4079" w:type="dxa"/>
          </w:tcPr>
          <w:p>
            <w:pPr>
              <w:adjustRightInd w:val="0"/>
              <w:snapToGrid w:val="0"/>
              <w:jc w:val="center"/>
              <w:rPr>
                <w:sz w:val="24"/>
              </w:rPr>
            </w:pPr>
            <w:r>
              <w:rPr>
                <w:sz w:val="24"/>
              </w:rPr>
              <w:t>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w:t>
            </w:r>
            <w:r>
              <w:rPr>
                <w:rFonts w:hAnsi="宋体"/>
                <w:sz w:val="24"/>
              </w:rPr>
              <w:t>万元（含）至2</w:t>
            </w:r>
            <w:r>
              <w:rPr>
                <w:sz w:val="24"/>
              </w:rPr>
              <w:t>00</w:t>
            </w:r>
            <w:r>
              <w:rPr>
                <w:rFonts w:hAnsi="宋体"/>
                <w:sz w:val="24"/>
              </w:rPr>
              <w:t>万元</w:t>
            </w:r>
          </w:p>
        </w:tc>
        <w:tc>
          <w:tcPr>
            <w:tcW w:w="4079" w:type="dxa"/>
          </w:tcPr>
          <w:p>
            <w:pPr>
              <w:adjustRightInd w:val="0"/>
              <w:snapToGrid w:val="0"/>
              <w:jc w:val="center"/>
              <w:rPr>
                <w:rFonts w:hAnsi="宋体"/>
                <w:sz w:val="24"/>
              </w:rPr>
            </w:pPr>
            <w:r>
              <w:rPr>
                <w:rFonts w:hint="eastAsia"/>
                <w:sz w:val="24"/>
              </w:rPr>
              <w:t>1</w:t>
            </w:r>
            <w:r>
              <w:rPr>
                <w:sz w:val="24"/>
              </w:rPr>
              <w:t>.2%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200</w:t>
            </w:r>
            <w:r>
              <w:rPr>
                <w:rFonts w:hAnsi="宋体"/>
                <w:sz w:val="24"/>
              </w:rPr>
              <w:t>万元（含）至</w:t>
            </w:r>
            <w:r>
              <w:rPr>
                <w:rFonts w:hint="eastAsia" w:hAnsi="宋体"/>
                <w:sz w:val="24"/>
              </w:rPr>
              <w:t>5</w:t>
            </w:r>
            <w:r>
              <w:rPr>
                <w:sz w:val="24"/>
              </w:rPr>
              <w:t>00</w:t>
            </w:r>
            <w:r>
              <w:rPr>
                <w:rFonts w:hAnsi="宋体"/>
                <w:sz w:val="24"/>
              </w:rPr>
              <w:t>万元</w:t>
            </w:r>
          </w:p>
        </w:tc>
        <w:tc>
          <w:tcPr>
            <w:tcW w:w="4079" w:type="dxa"/>
          </w:tcPr>
          <w:p>
            <w:pPr>
              <w:adjustRightInd w:val="0"/>
              <w:snapToGrid w:val="0"/>
              <w:jc w:val="center"/>
              <w:rPr>
                <w:rFonts w:hAnsi="宋体"/>
                <w:sz w:val="24"/>
              </w:rPr>
            </w:pPr>
            <w:r>
              <w:rPr>
                <w:rFonts w:hint="eastAsia"/>
                <w:sz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int="eastAsia" w:hAnsi="宋体"/>
                <w:sz w:val="24"/>
              </w:rPr>
              <w:t>元</w:t>
            </w:r>
            <w:r>
              <w:rPr>
                <w:rFonts w:hAnsi="宋体"/>
                <w:sz w:val="24"/>
              </w:rPr>
              <w:t>）</w:t>
            </w:r>
          </w:p>
        </w:tc>
        <w:tc>
          <w:tcPr>
            <w:tcW w:w="4079"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sz w:val="24"/>
          <w:szCs w:val="24"/>
        </w:rPr>
      </w:pPr>
      <w:r>
        <w:rPr>
          <w:rFonts w:hint="eastAsia" w:hAnsi="宋体"/>
          <w:sz w:val="24"/>
          <w:szCs w:val="24"/>
        </w:rPr>
        <w:t>持有A类基金份额的投资人因红利自动再投资而产生的A类基金份额，不收取相应的申购费用。</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本基金对通过基金管理人直销柜台</w:t>
      </w:r>
      <w:r>
        <w:rPr>
          <w:rFonts w:hint="eastAsia" w:hAnsi="宋体"/>
          <w:kern w:val="0"/>
          <w:sz w:val="24"/>
          <w:szCs w:val="24"/>
        </w:rPr>
        <w:t>申</w:t>
      </w:r>
      <w:r>
        <w:rPr>
          <w:rFonts w:hAnsi="宋体"/>
          <w:kern w:val="0"/>
          <w:sz w:val="24"/>
          <w:szCs w:val="24"/>
        </w:rPr>
        <w:t>购</w:t>
      </w:r>
      <w:r>
        <w:rPr>
          <w:rFonts w:hint="eastAsia" w:hAnsi="宋体"/>
          <w:kern w:val="0"/>
          <w:sz w:val="24"/>
          <w:szCs w:val="24"/>
        </w:rPr>
        <w:t>A类基金份额的养老金客户实施特定申购费率。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养老金客户指基本养老基金与依法成立的养老计划筹集的资金及其投资运营收益形成的补充养老基金等，具体包括：</w:t>
      </w:r>
    </w:p>
    <w:p>
      <w:pPr>
        <w:widowControl/>
        <w:adjustRightInd w:val="0"/>
        <w:snapToGrid w:val="0"/>
        <w:spacing w:line="360" w:lineRule="auto"/>
        <w:ind w:firstLine="480" w:firstLineChars="200"/>
        <w:rPr>
          <w:kern w:val="0"/>
          <w:sz w:val="24"/>
          <w:szCs w:val="24"/>
        </w:rPr>
      </w:pPr>
      <w:r>
        <w:rPr>
          <w:rFonts w:hint="eastAsia" w:hAnsi="宋体"/>
          <w:kern w:val="0"/>
          <w:sz w:val="24"/>
          <w:szCs w:val="24"/>
        </w:rPr>
        <w:t>1）</w:t>
      </w:r>
      <w:r>
        <w:rPr>
          <w:rFonts w:hAnsi="宋体"/>
          <w:kern w:val="0"/>
          <w:sz w:val="24"/>
          <w:szCs w:val="24"/>
        </w:rPr>
        <w:t>全国社会保障基金；</w:t>
      </w:r>
    </w:p>
    <w:p>
      <w:pPr>
        <w:widowControl/>
        <w:adjustRightInd w:val="0"/>
        <w:snapToGrid w:val="0"/>
        <w:spacing w:line="360" w:lineRule="auto"/>
        <w:ind w:firstLine="480" w:firstLineChars="200"/>
        <w:rPr>
          <w:kern w:val="0"/>
          <w:sz w:val="24"/>
          <w:szCs w:val="24"/>
        </w:rPr>
      </w:pPr>
      <w:r>
        <w:rPr>
          <w:kern w:val="0"/>
          <w:sz w:val="24"/>
          <w:szCs w:val="24"/>
        </w:rPr>
        <w:t>2</w:t>
      </w:r>
      <w:r>
        <w:rPr>
          <w:rFonts w:hint="eastAsia" w:hAnsi="宋体"/>
          <w:kern w:val="0"/>
          <w:sz w:val="24"/>
          <w:szCs w:val="24"/>
        </w:rPr>
        <w:t>）</w:t>
      </w:r>
      <w:r>
        <w:rPr>
          <w:rFonts w:hAnsi="宋体"/>
          <w:kern w:val="0"/>
          <w:sz w:val="24"/>
          <w:szCs w:val="24"/>
        </w:rPr>
        <w:t>可以投资基金的地方社会保障基金；</w:t>
      </w:r>
    </w:p>
    <w:p>
      <w:pPr>
        <w:widowControl/>
        <w:adjustRightInd w:val="0"/>
        <w:snapToGrid w:val="0"/>
        <w:spacing w:line="360" w:lineRule="auto"/>
        <w:ind w:firstLine="480" w:firstLineChars="200"/>
        <w:rPr>
          <w:kern w:val="0"/>
          <w:sz w:val="24"/>
          <w:szCs w:val="24"/>
        </w:rPr>
      </w:pPr>
      <w:r>
        <w:rPr>
          <w:kern w:val="0"/>
          <w:sz w:val="24"/>
          <w:szCs w:val="24"/>
        </w:rPr>
        <w:t>3</w:t>
      </w:r>
      <w:r>
        <w:rPr>
          <w:rFonts w:hint="eastAsia" w:hAnsi="宋体"/>
          <w:kern w:val="0"/>
          <w:sz w:val="24"/>
          <w:szCs w:val="24"/>
        </w:rPr>
        <w:t>）</w:t>
      </w:r>
      <w:r>
        <w:rPr>
          <w:rFonts w:hAnsi="宋体"/>
          <w:kern w:val="0"/>
          <w:sz w:val="24"/>
          <w:szCs w:val="24"/>
        </w:rPr>
        <w:t>企业年金单一计划以及集合计划</w:t>
      </w:r>
      <w:r>
        <w:rPr>
          <w:rFonts w:hint="eastAsia" w:hAnsi="宋体"/>
          <w:kern w:val="0"/>
          <w:sz w:val="24"/>
          <w:szCs w:val="24"/>
        </w:rPr>
        <w:t>；</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4）企业年金理事会委托的特定客户资产管理计划；</w:t>
      </w:r>
    </w:p>
    <w:p>
      <w:pPr>
        <w:widowControl/>
        <w:adjustRightInd w:val="0"/>
        <w:snapToGrid w:val="0"/>
        <w:spacing w:line="360" w:lineRule="auto"/>
        <w:ind w:firstLine="480" w:firstLineChars="200"/>
        <w:rPr>
          <w:kern w:val="0"/>
          <w:sz w:val="24"/>
          <w:szCs w:val="24"/>
        </w:rPr>
      </w:pPr>
      <w:r>
        <w:rPr>
          <w:rFonts w:hint="eastAsia" w:hAnsi="宋体"/>
          <w:kern w:val="0"/>
          <w:sz w:val="24"/>
          <w:szCs w:val="24"/>
        </w:rPr>
        <w:t>5）企业年金养老金产品。</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如将来出现经养老基金监管部门认可的新的养老基金类型，</w:t>
      </w:r>
      <w:r>
        <w:rPr>
          <w:rFonts w:hint="eastAsia" w:hAnsi="宋体"/>
          <w:kern w:val="0"/>
          <w:sz w:val="24"/>
          <w:szCs w:val="24"/>
        </w:rPr>
        <w:t>基金管理人可在招募说明书更新或</w:t>
      </w:r>
      <w:r>
        <w:rPr>
          <w:rFonts w:hAnsi="宋体"/>
          <w:kern w:val="0"/>
          <w:sz w:val="24"/>
          <w:szCs w:val="24"/>
        </w:rPr>
        <w:t>发布临时公告将其纳入养老金客户范围。</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通过基金管理人直销柜台申购本基金A类基金份额的养老金客户特定申购费率如下表：</w:t>
      </w:r>
    </w:p>
    <w:tbl>
      <w:tblPr>
        <w:tblStyle w:val="28"/>
        <w:tblW w:w="7198"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93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3938" w:type="dxa"/>
            <w:shd w:val="clear" w:color="auto" w:fill="FFFFFF"/>
            <w:vAlign w:val="center"/>
          </w:tcPr>
          <w:p>
            <w:pPr>
              <w:adjustRightInd w:val="0"/>
              <w:snapToGrid w:val="0"/>
              <w:jc w:val="center"/>
              <w:rPr>
                <w:b/>
                <w:sz w:val="24"/>
              </w:rPr>
            </w:pPr>
            <w:r>
              <w:rPr>
                <w:rFonts w:hint="eastAsia"/>
                <w:b/>
                <w:sz w:val="24"/>
              </w:rPr>
              <w:t>A类基金份额特定</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w:t>
            </w:r>
            <w:r>
              <w:rPr>
                <w:rFonts w:hAnsi="宋体"/>
                <w:sz w:val="24"/>
              </w:rPr>
              <w:t>万元以下</w:t>
            </w:r>
          </w:p>
        </w:tc>
        <w:tc>
          <w:tcPr>
            <w:tcW w:w="3938" w:type="dxa"/>
          </w:tcPr>
          <w:p>
            <w:pPr>
              <w:adjustRightInd w:val="0"/>
              <w:snapToGrid w:val="0"/>
              <w:jc w:val="center"/>
              <w:rPr>
                <w:sz w:val="24"/>
              </w:rPr>
            </w:pPr>
            <w:r>
              <w:rPr>
                <w:rFonts w:hint="eastAsia"/>
                <w:sz w:val="24"/>
              </w:rPr>
              <w:t>0.6</w:t>
            </w:r>
            <w:r>
              <w:rPr>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w:t>
            </w:r>
            <w:r>
              <w:rPr>
                <w:rFonts w:hAnsi="宋体"/>
                <w:sz w:val="24"/>
              </w:rPr>
              <w:t>万元（含）至2</w:t>
            </w:r>
            <w:r>
              <w:rPr>
                <w:sz w:val="24"/>
              </w:rPr>
              <w:t>00</w:t>
            </w:r>
            <w:r>
              <w:rPr>
                <w:rFonts w:hAnsi="宋体"/>
                <w:sz w:val="24"/>
              </w:rPr>
              <w:t>万元</w:t>
            </w:r>
          </w:p>
        </w:tc>
        <w:tc>
          <w:tcPr>
            <w:tcW w:w="3938" w:type="dxa"/>
          </w:tcPr>
          <w:p>
            <w:pPr>
              <w:adjustRightInd w:val="0"/>
              <w:snapToGrid w:val="0"/>
              <w:jc w:val="center"/>
              <w:rPr>
                <w:rFonts w:hAnsi="宋体"/>
                <w:sz w:val="24"/>
              </w:rPr>
            </w:pPr>
            <w:r>
              <w:rPr>
                <w:rFonts w:hint="eastAsia"/>
                <w:sz w:val="24"/>
              </w:rPr>
              <w:t>0</w:t>
            </w:r>
            <w:r>
              <w:rPr>
                <w:sz w:val="24"/>
              </w:rPr>
              <w:t>.36%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200</w:t>
            </w:r>
            <w:r>
              <w:rPr>
                <w:rFonts w:hAnsi="宋体"/>
                <w:sz w:val="24"/>
              </w:rPr>
              <w:t>万元（含）至</w:t>
            </w:r>
            <w:r>
              <w:rPr>
                <w:rFonts w:hint="eastAsia" w:hAnsi="宋体"/>
                <w:sz w:val="24"/>
              </w:rPr>
              <w:t>5</w:t>
            </w:r>
            <w:r>
              <w:rPr>
                <w:sz w:val="24"/>
              </w:rPr>
              <w:t>00</w:t>
            </w:r>
            <w:r>
              <w:rPr>
                <w:rFonts w:hAnsi="宋体"/>
                <w:sz w:val="24"/>
              </w:rPr>
              <w:t>万元</w:t>
            </w:r>
          </w:p>
        </w:tc>
        <w:tc>
          <w:tcPr>
            <w:tcW w:w="3938" w:type="dxa"/>
          </w:tcPr>
          <w:p>
            <w:pPr>
              <w:adjustRightInd w:val="0"/>
              <w:snapToGrid w:val="0"/>
              <w:jc w:val="center"/>
              <w:rPr>
                <w:rFonts w:hAnsi="宋体"/>
                <w:sz w:val="24"/>
              </w:rPr>
            </w:pPr>
            <w:r>
              <w:rPr>
                <w:rFonts w:hint="eastAsia"/>
                <w:sz w:val="24"/>
              </w:rPr>
              <w:t>0.12</w:t>
            </w:r>
            <w:r>
              <w:rPr>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int="eastAsia" w:hAnsi="宋体"/>
                <w:sz w:val="24"/>
              </w:rPr>
              <w:t>元</w:t>
            </w:r>
            <w:r>
              <w:rPr>
                <w:rFonts w:hAnsi="宋体"/>
                <w:sz w:val="24"/>
              </w:rPr>
              <w:t>）</w:t>
            </w:r>
          </w:p>
        </w:tc>
        <w:tc>
          <w:tcPr>
            <w:tcW w:w="3938"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kern w:val="0"/>
          <w:sz w:val="24"/>
          <w:szCs w:val="24"/>
        </w:rPr>
      </w:pPr>
      <w:r>
        <w:rPr>
          <w:rFonts w:hAnsi="宋体"/>
          <w:sz w:val="24"/>
          <w:szCs w:val="24"/>
        </w:rPr>
        <w:t>2、赎回费用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基金份额持有人持有的每份基金份额最短持有期限为一年，本基金不收取赎回费用。</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3、基金管理人可以在基金合同约定的范围内调整费率或收费方式，并最迟应于新的费率或收费方式实施日前依照《信息披露办法》的有关规定在规定媒介上公告。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、当本基金发生大额申购或赎回情形时，基金管理人可以采用摆动定价机制，以确保基金估值的公平性。具体处理原则与操作规范遵循相关法律法规以及监管部门、自律规则的规定。</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widowControl/>
        <w:adjustRightInd w:val="0"/>
        <w:snapToGrid w:val="0"/>
        <w:spacing w:line="360" w:lineRule="auto"/>
        <w:ind w:firstLine="482" w:firstLineChars="200"/>
        <w:outlineLvl w:val="1"/>
        <w:rPr>
          <w:b/>
          <w:kern w:val="0"/>
          <w:sz w:val="24"/>
          <w:szCs w:val="24"/>
        </w:rPr>
      </w:pPr>
      <w:bookmarkStart w:id="30" w:name="_Hlt90458725"/>
      <w:bookmarkEnd w:id="30"/>
      <w:bookmarkStart w:id="31" w:name="_Hlt91144389"/>
      <w:bookmarkEnd w:id="31"/>
      <w:bookmarkStart w:id="32" w:name="_Hlt81024033"/>
      <w:bookmarkEnd w:id="32"/>
      <w:r>
        <w:rPr>
          <w:rFonts w:hAnsi="宋体"/>
          <w:b/>
          <w:kern w:val="0"/>
          <w:sz w:val="24"/>
          <w:szCs w:val="24"/>
        </w:rPr>
        <w:t>（七）申购和赎回的数额和价格</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1、申购和赎回数额、余额的处理方式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w:t>
      </w:r>
      <w:r>
        <w:rPr>
          <w:sz w:val="24"/>
        </w:rPr>
        <w:t>A</w:t>
      </w:r>
      <w:r>
        <w:rPr>
          <w:rFonts w:hAnsi="宋体"/>
          <w:sz w:val="24"/>
        </w:rPr>
        <w:t>类基金份额</w:t>
      </w:r>
      <w:r>
        <w:rPr>
          <w:rFonts w:hint="eastAsia" w:hAnsi="宋体"/>
          <w:sz w:val="24"/>
        </w:rPr>
        <w:t>或C类基金份额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int="eastAsia" w:hAnsi="宋体"/>
          <w:kern w:val="0"/>
          <w:sz w:val="24"/>
          <w:szCs w:val="24"/>
        </w:rPr>
        <w:t>申购份额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（2）赎回金额为按实际确认的</w:t>
      </w:r>
      <w:r>
        <w:rPr>
          <w:rFonts w:hint="eastAsia" w:hAnsi="宋体"/>
          <w:kern w:val="0"/>
          <w:sz w:val="24"/>
          <w:szCs w:val="24"/>
        </w:rPr>
        <w:t>A类基金份额和C类基金份额</w:t>
      </w:r>
      <w:r>
        <w:rPr>
          <w:rFonts w:hAnsi="宋体"/>
          <w:kern w:val="0"/>
          <w:sz w:val="24"/>
          <w:szCs w:val="24"/>
        </w:rPr>
        <w:t>有效赎回份额乘以当日</w:t>
      </w:r>
      <w:r>
        <w:rPr>
          <w:rFonts w:hint="eastAsia"/>
          <w:bCs/>
          <w:sz w:val="24"/>
        </w:rPr>
        <w:t>该类</w:t>
      </w:r>
      <w:r>
        <w:rPr>
          <w:rFonts w:hAnsi="宋体"/>
          <w:kern w:val="0"/>
          <w:sz w:val="24"/>
          <w:szCs w:val="24"/>
        </w:rPr>
        <w:t>基金份额</w:t>
      </w:r>
      <w:r>
        <w:rPr>
          <w:rFonts w:hint="eastAsia"/>
          <w:bCs/>
          <w:sz w:val="24"/>
        </w:rPr>
        <w:t>的</w:t>
      </w:r>
      <w:r>
        <w:rPr>
          <w:rFonts w:hAnsi="宋体"/>
          <w:kern w:val="0"/>
          <w:sz w:val="24"/>
          <w:szCs w:val="24"/>
        </w:rPr>
        <w:t>基金份额净值并扣除相应的费用（如有），赎回金额单位为元。</w:t>
      </w:r>
      <w:r>
        <w:rPr>
          <w:rFonts w:hint="eastAsia" w:hAnsi="宋体"/>
          <w:kern w:val="0"/>
          <w:sz w:val="24"/>
          <w:szCs w:val="24"/>
        </w:rPr>
        <w:t>赎回金额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2、申购份额的计算</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A类基金份额的申购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净申购金额=申购总金额/（1+申购费率）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（注：对于适用固定金额申购费用的申购，净申购金额＝申购总金额－固定申购费用金额）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申购费用=申购总金额-净申购金额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（注：对于适用固定金额申购费用的申购，申购费用＝固定申购费用金额）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w:t>
      </w:r>
      <w:r>
        <w:rPr>
          <w:rFonts w:hint="eastAsia" w:ascii="宋体" w:hAnsi="宋体"/>
          <w:sz w:val="24"/>
        </w:rPr>
        <w:t>（申购总金额-申购费用）</w:t>
      </w:r>
      <w:r>
        <w:rPr>
          <w:rFonts w:hint="eastAsia" w:hAnsi="宋体"/>
          <w:kern w:val="0"/>
          <w:sz w:val="24"/>
          <w:szCs w:val="24"/>
        </w:rPr>
        <w:t>/T日A类基金份额净值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例四：某投资者（非养老金客户）投资</w:t>
      </w:r>
      <w:r>
        <w:rPr>
          <w:rFonts w:hAnsi="宋体"/>
          <w:kern w:val="0"/>
          <w:sz w:val="24"/>
          <w:szCs w:val="24"/>
        </w:rPr>
        <w:t>40,000</w:t>
      </w:r>
      <w:r>
        <w:rPr>
          <w:rFonts w:hint="eastAsia" w:hAnsi="宋体"/>
          <w:kern w:val="0"/>
          <w:sz w:val="24"/>
          <w:szCs w:val="24"/>
        </w:rPr>
        <w:t>元申购本基金A类基金份额，假设申购当日A类基金份额净值为1.04</w:t>
      </w:r>
      <w:r>
        <w:rPr>
          <w:rFonts w:hAnsi="宋体"/>
          <w:kern w:val="0"/>
          <w:sz w:val="24"/>
          <w:szCs w:val="24"/>
        </w:rPr>
        <w:t>0</w:t>
      </w:r>
      <w:r>
        <w:rPr>
          <w:rFonts w:hint="eastAsia" w:hAnsi="宋体"/>
          <w:kern w:val="0"/>
          <w:sz w:val="24"/>
          <w:szCs w:val="24"/>
        </w:rPr>
        <w:t>0元，申购费率为1.5%，则其可得到的申购份额为：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申购总金额＝40,000元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净申购金额=40,000/（1+1.5%）=39,408.87元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申购费用=40,000-39,408.87=591.13元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申购份额=（40,000-591.13）/1.0400=37,893.14份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即：某投资者（非养老金客户）投资</w:t>
      </w:r>
      <w:r>
        <w:rPr>
          <w:rFonts w:hAnsi="宋体"/>
          <w:kern w:val="0"/>
          <w:sz w:val="24"/>
          <w:szCs w:val="24"/>
        </w:rPr>
        <w:t>40,000</w:t>
      </w:r>
      <w:r>
        <w:rPr>
          <w:rFonts w:hint="eastAsia" w:hAnsi="宋体"/>
          <w:kern w:val="0"/>
          <w:sz w:val="24"/>
          <w:szCs w:val="24"/>
        </w:rPr>
        <w:t>元申购本基金A类基金份额，假设申购当日A类基金份额净值为1.0400元，则其可得到37,893.14份A类基金份额。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例</w:t>
      </w:r>
      <w:r>
        <w:rPr>
          <w:rFonts w:hint="eastAsia" w:hAnsi="宋体"/>
          <w:kern w:val="0"/>
          <w:sz w:val="24"/>
          <w:szCs w:val="24"/>
        </w:rPr>
        <w:t>五</w:t>
      </w:r>
      <w:r>
        <w:rPr>
          <w:rFonts w:hAnsi="宋体"/>
          <w:kern w:val="0"/>
          <w:sz w:val="24"/>
          <w:szCs w:val="24"/>
        </w:rPr>
        <w:t>：</w:t>
      </w:r>
      <w:r>
        <w:rPr>
          <w:rFonts w:hint="eastAsia" w:hAnsi="宋体"/>
          <w:kern w:val="0"/>
          <w:sz w:val="24"/>
          <w:szCs w:val="24"/>
        </w:rPr>
        <w:t>某养老金客户投资100,000元通过基金管理人的直销柜台申购本基金A类基金份额，</w:t>
      </w:r>
      <w:r>
        <w:rPr>
          <w:rFonts w:hAnsi="宋体"/>
          <w:kern w:val="0"/>
          <w:sz w:val="24"/>
          <w:szCs w:val="24"/>
        </w:rPr>
        <w:t>假设申购当日</w:t>
      </w:r>
      <w:r>
        <w:rPr>
          <w:rFonts w:hint="eastAsia" w:hAnsi="宋体"/>
          <w:kern w:val="0"/>
          <w:sz w:val="24"/>
          <w:szCs w:val="24"/>
        </w:rPr>
        <w:t>A类</w:t>
      </w:r>
      <w:r>
        <w:rPr>
          <w:rFonts w:hAnsi="宋体"/>
          <w:kern w:val="0"/>
          <w:sz w:val="24"/>
          <w:szCs w:val="24"/>
        </w:rPr>
        <w:t>基金份额净值为1.0400元，申购费率为</w:t>
      </w:r>
      <w:r>
        <w:rPr>
          <w:rFonts w:hint="eastAsia" w:hAnsi="宋体"/>
          <w:kern w:val="0"/>
          <w:sz w:val="24"/>
          <w:szCs w:val="24"/>
        </w:rPr>
        <w:t>0.6</w:t>
      </w:r>
      <w:r>
        <w:rPr>
          <w:rFonts w:hAnsi="宋体"/>
          <w:kern w:val="0"/>
          <w:sz w:val="24"/>
          <w:szCs w:val="24"/>
        </w:rPr>
        <w:t>%，则其可得到的申购份额为：</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申购总金额＝</w:t>
      </w:r>
      <w:r>
        <w:rPr>
          <w:rFonts w:hint="eastAsia" w:hAnsi="宋体"/>
          <w:kern w:val="0"/>
          <w:sz w:val="24"/>
          <w:szCs w:val="24"/>
        </w:rPr>
        <w:t>100</w:t>
      </w:r>
      <w:r>
        <w:rPr>
          <w:rFonts w:hAnsi="宋体"/>
          <w:kern w:val="0"/>
          <w:sz w:val="24"/>
          <w:szCs w:val="24"/>
        </w:rPr>
        <w:t>,000元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净申购金额=</w:t>
      </w:r>
      <w:r>
        <w:rPr>
          <w:rFonts w:hint="eastAsia" w:hAnsi="宋体"/>
          <w:kern w:val="0"/>
          <w:sz w:val="24"/>
          <w:szCs w:val="24"/>
        </w:rPr>
        <w:t>100</w:t>
      </w:r>
      <w:r>
        <w:rPr>
          <w:rFonts w:hAnsi="宋体"/>
          <w:kern w:val="0"/>
          <w:sz w:val="24"/>
          <w:szCs w:val="24"/>
        </w:rPr>
        <w:t>,000/（1+</w:t>
      </w:r>
      <w:r>
        <w:rPr>
          <w:rFonts w:hint="eastAsia" w:hAnsi="宋体"/>
          <w:kern w:val="0"/>
          <w:sz w:val="24"/>
          <w:szCs w:val="24"/>
        </w:rPr>
        <w:t>0.6</w:t>
      </w:r>
      <w:r>
        <w:rPr>
          <w:rFonts w:hAnsi="宋体"/>
          <w:kern w:val="0"/>
          <w:sz w:val="24"/>
          <w:szCs w:val="24"/>
        </w:rPr>
        <w:t>%）=</w:t>
      </w:r>
      <w:r>
        <w:rPr>
          <w:rFonts w:hint="eastAsia" w:hAnsi="宋体"/>
          <w:kern w:val="0"/>
          <w:sz w:val="24"/>
          <w:szCs w:val="24"/>
        </w:rPr>
        <w:t>99,403.58</w:t>
      </w:r>
      <w:r>
        <w:rPr>
          <w:rFonts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申购费用=</w:t>
      </w:r>
      <w:r>
        <w:rPr>
          <w:rFonts w:hint="eastAsia" w:hAnsi="宋体"/>
          <w:kern w:val="0"/>
          <w:sz w:val="24"/>
          <w:szCs w:val="24"/>
        </w:rPr>
        <w:t>100</w:t>
      </w:r>
      <w:r>
        <w:rPr>
          <w:rFonts w:hAnsi="宋体"/>
          <w:kern w:val="0"/>
          <w:sz w:val="24"/>
          <w:szCs w:val="24"/>
        </w:rPr>
        <w:t>,000-</w:t>
      </w:r>
      <w:r>
        <w:rPr>
          <w:rFonts w:hint="eastAsia" w:hAnsi="宋体"/>
          <w:kern w:val="0"/>
          <w:sz w:val="24"/>
          <w:szCs w:val="24"/>
        </w:rPr>
        <w:t>99</w:t>
      </w:r>
      <w:r>
        <w:rPr>
          <w:rFonts w:hAnsi="宋体"/>
          <w:kern w:val="0"/>
          <w:sz w:val="24"/>
          <w:szCs w:val="24"/>
        </w:rPr>
        <w:t>,</w:t>
      </w:r>
      <w:r>
        <w:rPr>
          <w:rFonts w:hint="eastAsia" w:hAnsi="宋体"/>
          <w:kern w:val="0"/>
          <w:sz w:val="24"/>
          <w:szCs w:val="24"/>
        </w:rPr>
        <w:t>403.58</w:t>
      </w:r>
      <w:r>
        <w:rPr>
          <w:rFonts w:hAnsi="宋体"/>
          <w:kern w:val="0"/>
          <w:sz w:val="24"/>
          <w:szCs w:val="24"/>
        </w:rPr>
        <w:t>=</w:t>
      </w:r>
      <w:r>
        <w:rPr>
          <w:rFonts w:hint="eastAsia" w:hAnsi="宋体"/>
          <w:kern w:val="0"/>
          <w:sz w:val="24"/>
          <w:szCs w:val="24"/>
        </w:rPr>
        <w:t>596.42</w:t>
      </w:r>
      <w:r>
        <w:rPr>
          <w:rFonts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申购份额=</w:t>
      </w:r>
      <w:r>
        <w:rPr>
          <w:rFonts w:hint="eastAsia" w:hAnsi="宋体"/>
          <w:kern w:val="0"/>
          <w:sz w:val="24"/>
          <w:szCs w:val="24"/>
        </w:rPr>
        <w:t>（100</w:t>
      </w:r>
      <w:r>
        <w:rPr>
          <w:rFonts w:hAnsi="宋体"/>
          <w:kern w:val="0"/>
          <w:sz w:val="24"/>
          <w:szCs w:val="24"/>
        </w:rPr>
        <w:t>,000</w:t>
      </w:r>
      <w:r>
        <w:rPr>
          <w:rFonts w:hint="eastAsia" w:hAnsi="宋体"/>
          <w:kern w:val="0"/>
          <w:sz w:val="24"/>
          <w:szCs w:val="24"/>
        </w:rPr>
        <w:t>-596.42）</w:t>
      </w:r>
      <w:r>
        <w:rPr>
          <w:rFonts w:hAnsi="宋体"/>
          <w:kern w:val="0"/>
          <w:sz w:val="24"/>
          <w:szCs w:val="24"/>
        </w:rPr>
        <w:t>/1.040</w:t>
      </w:r>
      <w:r>
        <w:rPr>
          <w:rFonts w:hint="eastAsia" w:hAnsi="宋体"/>
          <w:kern w:val="0"/>
          <w:sz w:val="24"/>
          <w:szCs w:val="24"/>
        </w:rPr>
        <w:t>0</w:t>
      </w:r>
      <w:r>
        <w:rPr>
          <w:rFonts w:hAnsi="宋体"/>
          <w:kern w:val="0"/>
          <w:sz w:val="24"/>
          <w:szCs w:val="24"/>
        </w:rPr>
        <w:t>=</w:t>
      </w:r>
      <w:r>
        <w:rPr>
          <w:rFonts w:hint="eastAsia" w:hAnsi="宋体"/>
          <w:kern w:val="0"/>
          <w:sz w:val="24"/>
          <w:szCs w:val="24"/>
        </w:rPr>
        <w:t>95,580.37</w:t>
      </w:r>
      <w:r>
        <w:rPr>
          <w:rFonts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即：该养老金客户投资100,000元通过基金管理人的直销柜台申购本基金A类基金份额，假设申购当日A类基金份额净值为1.0400元，则其可得到95,580.37份A类基金份额。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C类基金份额的申购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如果投资者选择申购C类基金份额，则申购份额的计算方法如下：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申购份额=申购总金额/T日C类基金份额净值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例六：某投资者投资100,000元申购本基金的C类基金份额，假设申购当日C类基金份额净值为1.0400元，则其可得到的申购份额为：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申购份额＝100,000/1.0400＝96,153.85份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即：投资者投资100,000元申购本基金的C类基金份额，假设申购当日C类基金份额净值为1.0400元，则其可得到96,153.85份C类基金份额。</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3、赎回金额的计算</w:t>
      </w:r>
    </w:p>
    <w:p>
      <w:pPr>
        <w:widowControl/>
        <w:adjustRightInd w:val="0"/>
        <w:snapToGrid w:val="0"/>
        <w:spacing w:line="360" w:lineRule="auto"/>
        <w:ind w:firstLine="480" w:firstLineChars="200"/>
        <w:rPr>
          <w:rFonts w:hAnsi="宋体"/>
          <w:sz w:val="24"/>
          <w:szCs w:val="24"/>
        </w:rPr>
      </w:pPr>
      <w:r>
        <w:rPr>
          <w:rFonts w:hint="eastAsia" w:hAnsi="宋体"/>
          <w:sz w:val="24"/>
          <w:szCs w:val="24"/>
        </w:rPr>
        <w:t>基金份额持有人持有的每份基金份额最短持有期限为一年，本基金不收取赎回费用。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赎回金额=赎回份额×T日基金份额净值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例七：某投资者赎回持有的10,000份基金份额，假设赎回当日基金份额净值是1.0160元，则其可得到的赎回金额为：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赎回金额=10,000×1.0160＝10,160.00元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即：投资者赎回本基金10,000份基金份额，假设赎回当日基金份额净值是1.0160元，则其可得到的赎回金额为10,160.00元。</w:t>
      </w:r>
    </w:p>
    <w:p>
      <w:pPr>
        <w:widowControl/>
        <w:adjustRightInd w:val="0"/>
        <w:snapToGrid w:val="0"/>
        <w:spacing w:line="360" w:lineRule="auto"/>
        <w:ind w:firstLine="480" w:firstLineChars="200"/>
        <w:outlineLvl w:val="2"/>
        <w:rPr>
          <w:kern w:val="0"/>
          <w:sz w:val="24"/>
          <w:szCs w:val="24"/>
        </w:rPr>
      </w:pPr>
      <w:r>
        <w:rPr>
          <w:kern w:val="0"/>
          <w:sz w:val="24"/>
          <w:szCs w:val="24"/>
        </w:rPr>
        <w:t>4</w:t>
      </w:r>
      <w:r>
        <w:rPr>
          <w:rFonts w:hAnsi="宋体"/>
          <w:kern w:val="0"/>
          <w:sz w:val="24"/>
          <w:szCs w:val="24"/>
        </w:rPr>
        <w:t>、基金份额净值的计算公式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A类基金份额净值＝A类基金份额的基金资产净值总额/发行在外的A类基金份额总数</w:t>
      </w:r>
    </w:p>
    <w:p>
      <w:pPr>
        <w:widowControl/>
        <w:adjustRightInd w:val="0"/>
        <w:snapToGrid w:val="0"/>
        <w:spacing w:line="360" w:lineRule="auto"/>
        <w:ind w:firstLine="480" w:firstLineChars="200"/>
        <w:rPr>
          <w:kern w:val="0"/>
          <w:sz w:val="24"/>
          <w:szCs w:val="24"/>
        </w:rPr>
      </w:pPr>
      <w:r>
        <w:rPr>
          <w:rFonts w:hint="eastAsia" w:hAnsi="宋体"/>
          <w:kern w:val="0"/>
          <w:sz w:val="24"/>
          <w:szCs w:val="24"/>
        </w:rPr>
        <w:t>C类基金份额净值＝C类基金份额的基金资产净值总额/发行在外的C类基金份额总数</w:t>
      </w:r>
    </w:p>
    <w:p>
      <w:pPr>
        <w:widowControl/>
        <w:adjustRightInd w:val="0"/>
        <w:snapToGrid w:val="0"/>
        <w:spacing w:line="360" w:lineRule="auto"/>
        <w:ind w:firstLine="480" w:firstLineChars="20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int="eastAsia" w:hAnsi="宋体"/>
          <w:kern w:val="0"/>
          <w:sz w:val="24"/>
          <w:szCs w:val="24"/>
        </w:rPr>
        <w:t>（包括该日）内</w:t>
      </w:r>
      <w:r>
        <w:rPr>
          <w:rFonts w:hAnsi="宋体"/>
          <w:kern w:val="0"/>
          <w:sz w:val="24"/>
          <w:szCs w:val="24"/>
        </w:rPr>
        <w:t>公告。遇特殊情况，经</w:t>
      </w:r>
      <w:r>
        <w:rPr>
          <w:rFonts w:hint="eastAsia" w:hAnsi="宋体"/>
          <w:kern w:val="0"/>
          <w:sz w:val="24"/>
          <w:szCs w:val="24"/>
        </w:rPr>
        <w:t>履行适当程序</w:t>
      </w:r>
      <w:r>
        <w:rPr>
          <w:rFonts w:hAnsi="宋体"/>
          <w:kern w:val="0"/>
          <w:sz w:val="24"/>
          <w:szCs w:val="24"/>
        </w:rPr>
        <w:t>，可以适当延迟计算或公告。</w:t>
      </w:r>
      <w:r>
        <w:rPr>
          <w:rFonts w:hAnsi="宋体"/>
          <w:sz w:val="24"/>
          <w:szCs w:val="24"/>
        </w:rPr>
        <w:t>本基金</w:t>
      </w:r>
      <w:r>
        <w:rPr>
          <w:rFonts w:hint="eastAsia" w:hAnsi="宋体"/>
          <w:sz w:val="24"/>
          <w:szCs w:val="24"/>
        </w:rPr>
        <w:t>A类基金份额和C类基金份额的</w:t>
      </w:r>
      <w:r>
        <w:rPr>
          <w:rFonts w:hAnsi="宋体"/>
          <w:sz w:val="24"/>
          <w:szCs w:val="24"/>
        </w:rPr>
        <w:t>份额净值的计算，</w:t>
      </w:r>
      <w:r>
        <w:rPr>
          <w:rFonts w:hint="eastAsia" w:hAnsi="宋体"/>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pPr>
        <w:adjustRightInd w:val="0"/>
        <w:snapToGrid w:val="0"/>
        <w:spacing w:line="360" w:lineRule="auto"/>
        <w:ind w:firstLine="482" w:firstLineChars="200"/>
        <w:outlineLvl w:val="1"/>
        <w:rPr>
          <w:rFonts w:hAnsi="宋体"/>
          <w:kern w:val="0"/>
          <w:sz w:val="24"/>
          <w:szCs w:val="24"/>
        </w:rPr>
      </w:pPr>
      <w:bookmarkStart w:id="33" w:name="_Toc79392615"/>
      <w:r>
        <w:rPr>
          <w:rFonts w:hAnsi="宋体"/>
          <w:b/>
          <w:kern w:val="0"/>
          <w:sz w:val="24"/>
          <w:szCs w:val="24"/>
        </w:rPr>
        <w:t>（八）拒绝或暂停申购的情形</w:t>
      </w:r>
      <w:bookmarkEnd w:id="33"/>
    </w:p>
    <w:p>
      <w:pPr>
        <w:widowControl/>
        <w:adjustRightInd w:val="0"/>
        <w:snapToGrid w:val="0"/>
        <w:spacing w:line="360" w:lineRule="auto"/>
        <w:ind w:firstLine="480" w:firstLineChars="200"/>
        <w:rPr>
          <w:rFonts w:hAnsi="宋体"/>
          <w:kern w:val="0"/>
          <w:sz w:val="24"/>
          <w:szCs w:val="24"/>
        </w:rPr>
      </w:pPr>
      <w:bookmarkStart w:id="34" w:name="_Hlt70481650"/>
      <w:bookmarkEnd w:id="34"/>
      <w:r>
        <w:rPr>
          <w:rFonts w:hint="eastAsia" w:hAnsi="宋体"/>
          <w:kern w:val="0"/>
          <w:sz w:val="24"/>
          <w:szCs w:val="24"/>
        </w:rPr>
        <w:t>发生下列情况时，基金管理人可拒绝或暂停接受投资人的申购申请：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1、因不可抗力导致基金无法正常运作。</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4、接受某笔或某些申购申请可能会影响或损害现有基金份额持有人利益时。</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5、基金资产规模过大，使基金管理人无法找到合适的投资品种，或其他可能对基金业绩产生负面影响，或发生其他损害现有基金份额持有人利益的情形。</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、当前一估值日基金资产净值50%以上的资产出现无可参考的活跃市场价格且采用估值技术仍导致公允价值存在重大不确定性时，经与基金托管人协商确认后，基金管理人应当暂停接受基金申购申请。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7、港股通交易每日额度不足。</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8</w:t>
      </w:r>
      <w:r>
        <w:rPr>
          <w:rFonts w:hint="eastAsia" w:hAnsi="宋体"/>
          <w:kern w:val="0"/>
          <w:sz w:val="24"/>
          <w:szCs w:val="24"/>
        </w:rPr>
        <w:t>、基金管理人接受某笔或者某些申购申请有可能导致单一投资者持有基金份额的比例超过50%，或者变相规避50%集中度的。出现上述情形时，基金管理人有权将上述申购申请全部或部分确认失败。</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9</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发生上述第</w:t>
      </w:r>
      <w:r>
        <w:rPr>
          <w:bCs/>
          <w:sz w:val="24"/>
        </w:rPr>
        <w:t>1、2、</w:t>
      </w:r>
      <w:r>
        <w:rPr>
          <w:rFonts w:hint="eastAsia"/>
          <w:bCs/>
          <w:sz w:val="24"/>
        </w:rPr>
        <w:t>3</w:t>
      </w:r>
      <w:r>
        <w:rPr>
          <w:bCs/>
          <w:sz w:val="24"/>
        </w:rPr>
        <w:t>、5</w:t>
      </w:r>
      <w:r>
        <w:rPr>
          <w:rFonts w:hint="eastAsia"/>
          <w:bCs/>
          <w:sz w:val="24"/>
        </w:rPr>
        <w:t>、6、7</w:t>
      </w:r>
      <w:r>
        <w:rPr>
          <w:bCs/>
          <w:sz w:val="24"/>
        </w:rPr>
        <w:t>、9</w:t>
      </w:r>
      <w:r>
        <w:rPr>
          <w:rFonts w:hint="eastAsia" w:hAnsi="宋体"/>
          <w:kern w:val="0"/>
          <w:sz w:val="24"/>
          <w:szCs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（九）暂停赎回或延缓支付赎回款项的情形</w:t>
      </w:r>
    </w:p>
    <w:p>
      <w:pPr>
        <w:widowControl/>
        <w:adjustRightInd w:val="0"/>
        <w:snapToGrid w:val="0"/>
        <w:spacing w:line="360" w:lineRule="auto"/>
        <w:ind w:firstLine="480" w:firstLineChars="200"/>
        <w:rPr>
          <w:rFonts w:hAnsi="宋体"/>
          <w:kern w:val="0"/>
          <w:sz w:val="24"/>
          <w:szCs w:val="24"/>
        </w:rPr>
      </w:pPr>
      <w:bookmarkStart w:id="35" w:name="_Toc79392616"/>
      <w:r>
        <w:rPr>
          <w:rFonts w:hint="eastAsia" w:hAnsi="宋体"/>
          <w:kern w:val="0"/>
          <w:sz w:val="24"/>
          <w:szCs w:val="24"/>
        </w:rPr>
        <w:t>发生下列情形时，基金管理人可暂停接受投资人的赎回申请或延缓支付赎回款项：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1、因不可抗力导致基金管理人不能支付赎回款项。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4、连续两个或两个以上开放日发生巨额赎回。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5、发生继续接受赎回申请将损害现有基金份额持有人利益的情形时，基金管理人可暂停接受基金份额持有人的赎回申请。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7</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发生上述情形之一且基金管理人决定暂停接受基金份额持有人的赎回申请或延缓支付赎回款项时，基金管理人应</w:t>
      </w:r>
      <w:r>
        <w:rPr>
          <w:rFonts w:hint="eastAsia"/>
          <w:bCs/>
          <w:sz w:val="24"/>
        </w:rPr>
        <w:t>及时</w:t>
      </w:r>
      <w:r>
        <w:rPr>
          <w:rFonts w:hint="eastAsia" w:hAnsi="宋体"/>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（十）巨额赎回的情形及处理方式</w:t>
      </w:r>
      <w:bookmarkEnd w:id="35"/>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w:t>
      </w:r>
      <w:r>
        <w:rPr>
          <w:rFonts w:hint="eastAsia" w:hAnsi="宋体"/>
          <w:kern w:val="0"/>
          <w:sz w:val="24"/>
          <w:szCs w:val="24"/>
        </w:rPr>
        <w:t>、</w:t>
      </w:r>
      <w:r>
        <w:rPr>
          <w:rFonts w:hAnsi="宋体"/>
          <w:kern w:val="0"/>
          <w:sz w:val="24"/>
          <w:szCs w:val="24"/>
        </w:rPr>
        <w:t>巨额赎回的认定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巨额赎回的处理方式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i/>
          <w:kern w:val="0"/>
          <w:sz w:val="24"/>
          <w:u w:val="single"/>
        </w:rPr>
      </w:pPr>
      <w:r>
        <w:rPr>
          <w:rFonts w:hAnsi="宋体"/>
          <w:kern w:val="0"/>
          <w:sz w:val="24"/>
          <w:szCs w:val="24"/>
        </w:rPr>
        <w:t>3</w:t>
      </w:r>
      <w:r>
        <w:rPr>
          <w:rFonts w:hint="eastAsia" w:hAnsi="宋体"/>
          <w:kern w:val="0"/>
          <w:sz w:val="24"/>
          <w:szCs w:val="24"/>
        </w:rPr>
        <w:t>、</w:t>
      </w:r>
      <w:r>
        <w:rPr>
          <w:rFonts w:hAnsi="宋体"/>
          <w:kern w:val="0"/>
          <w:sz w:val="24"/>
          <w:szCs w:val="24"/>
        </w:rPr>
        <w:t>巨额赎回的公告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当发生上述</w:t>
      </w:r>
      <w:r>
        <w:rPr>
          <w:rFonts w:hint="eastAsia" w:hAnsi="宋体"/>
          <w:bCs/>
          <w:kern w:val="0"/>
          <w:sz w:val="24"/>
          <w:szCs w:val="24"/>
        </w:rPr>
        <w:t>巨额</w:t>
      </w:r>
      <w:r>
        <w:rPr>
          <w:rFonts w:hAnsi="宋体"/>
          <w:kern w:val="0"/>
          <w:sz w:val="24"/>
          <w:szCs w:val="24"/>
        </w:rPr>
        <w:t>赎回并延期办理时，基金管理人应当通过邮寄、传真</w:t>
      </w:r>
      <w:r>
        <w:rPr>
          <w:rFonts w:hint="eastAsia" w:hAnsi="宋体"/>
          <w:kern w:val="0"/>
          <w:sz w:val="24"/>
          <w:szCs w:val="24"/>
        </w:rPr>
        <w:t>、刊登公告或者通知销售机构代为告知等</w:t>
      </w:r>
      <w:r>
        <w:rPr>
          <w:rFonts w:hAnsi="宋体"/>
          <w:kern w:val="0"/>
          <w:sz w:val="24"/>
          <w:szCs w:val="24"/>
        </w:rPr>
        <w:t>方式在</w:t>
      </w:r>
      <w:r>
        <w:rPr>
          <w:rFonts w:hint="eastAsia" w:hAnsi="宋体"/>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pPr>
        <w:widowControl/>
        <w:adjustRightInd w:val="0"/>
        <w:snapToGrid w:val="0"/>
        <w:spacing w:line="360" w:lineRule="auto"/>
        <w:ind w:firstLine="482" w:firstLineChars="200"/>
        <w:outlineLvl w:val="1"/>
        <w:rPr>
          <w:b/>
          <w:kern w:val="0"/>
          <w:sz w:val="24"/>
          <w:szCs w:val="24"/>
        </w:rPr>
      </w:pPr>
      <w:bookmarkStart w:id="36" w:name="_Toc79392617"/>
      <w:r>
        <w:rPr>
          <w:rFonts w:hAnsi="宋体"/>
          <w:b/>
          <w:kern w:val="0"/>
          <w:sz w:val="24"/>
          <w:szCs w:val="24"/>
        </w:rPr>
        <w:t>（十一）暂停申购或赎回的公告和重新开放申购或赎回的公告</w:t>
      </w:r>
      <w:bookmarkEnd w:id="36"/>
    </w:p>
    <w:p>
      <w:pPr>
        <w:widowControl/>
        <w:adjustRightInd w:val="0"/>
        <w:snapToGrid w:val="0"/>
        <w:spacing w:line="360" w:lineRule="auto"/>
        <w:ind w:firstLine="480" w:firstLineChars="200"/>
        <w:rPr>
          <w:rFonts w:hAnsi="宋体"/>
          <w:kern w:val="0"/>
          <w:sz w:val="24"/>
          <w:szCs w:val="24"/>
        </w:rPr>
      </w:pPr>
      <w:bookmarkStart w:id="37" w:name="_Toc59441259"/>
      <w:bookmarkStart w:id="38" w:name="_Toc15118274"/>
      <w:bookmarkStart w:id="39" w:name="_Toc79392618"/>
      <w:r>
        <w:rPr>
          <w:rFonts w:hint="eastAsia" w:hAnsi="宋体"/>
          <w:kern w:val="0"/>
          <w:sz w:val="24"/>
          <w:szCs w:val="24"/>
        </w:rPr>
        <w:t>1、发生上述暂停申购或赎回情况的，基金管理人应在规定期限内在规定媒介上刊登暂停公告。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2、如发生暂停的时间为1日，基金管理人应于重新开放日，在规定媒介上刊登基金重新开放申购或赎回公告，并公布最近1个开放日各类基金份额的基金份额净值。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37"/>
    <w:bookmarkEnd w:id="38"/>
    <w:bookmarkEnd w:id="39"/>
    <w:p>
      <w:pPr>
        <w:widowControl/>
        <w:adjustRightInd w:val="0"/>
        <w:snapToGrid w:val="0"/>
        <w:spacing w:line="360" w:lineRule="auto"/>
        <w:ind w:firstLine="482" w:firstLineChars="200"/>
        <w:outlineLvl w:val="1"/>
        <w:rPr>
          <w:b/>
          <w:kern w:val="0"/>
          <w:sz w:val="24"/>
          <w:szCs w:val="24"/>
        </w:rPr>
      </w:pPr>
      <w:bookmarkStart w:id="40" w:name="_Toc79392621"/>
      <w:r>
        <w:rPr>
          <w:rFonts w:hAnsi="宋体"/>
          <w:b/>
          <w:kern w:val="0"/>
          <w:sz w:val="24"/>
          <w:szCs w:val="24"/>
        </w:rPr>
        <w:t>（十二）基金转换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（十三）基金的非交易过户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int="eastAsia" w:hAnsi="宋体"/>
          <w:kern w:val="0"/>
          <w:sz w:val="24"/>
          <w:szCs w:val="24"/>
        </w:rPr>
        <w:t>非交易过户。无论在上述何种情况下，接受划转的主体必须是依法可以持有本基金基金份额的投资人。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（十四）基金的转托管</w:t>
      </w:r>
      <w:bookmarkEnd w:id="40"/>
    </w:p>
    <w:p>
      <w:pPr>
        <w:widowControl/>
        <w:adjustRightInd w:val="0"/>
        <w:snapToGrid w:val="0"/>
        <w:spacing w:line="360" w:lineRule="auto"/>
        <w:ind w:firstLine="480" w:firstLineChars="200"/>
        <w:rPr>
          <w:rFonts w:hAnsi="宋体"/>
          <w:kern w:val="0"/>
          <w:sz w:val="24"/>
          <w:szCs w:val="24"/>
        </w:rPr>
      </w:pPr>
      <w:bookmarkStart w:id="41" w:name="_Toc79392620"/>
      <w:r>
        <w:rPr>
          <w:rFonts w:hint="eastAsia" w:hAnsi="宋体"/>
          <w:kern w:val="0"/>
          <w:sz w:val="24"/>
          <w:szCs w:val="24"/>
        </w:rPr>
        <w:t>基金份额持有人可办理已持有基金份额在不同销售机构之间的转托管，基金销售机构可以按照规定的标准收取转托管费。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（十五）定期定额投资计划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（十六）</w:t>
      </w:r>
      <w:r>
        <w:rPr>
          <w:rFonts w:hAnsi="宋体"/>
          <w:b/>
          <w:sz w:val="24"/>
          <w:szCs w:val="24"/>
        </w:rPr>
        <w:t>基金份额的冻结和解冻</w:t>
      </w:r>
      <w:bookmarkEnd w:id="41"/>
    </w:p>
    <w:p>
      <w:pPr>
        <w:adjustRightInd w:val="0"/>
        <w:snapToGrid w:val="0"/>
        <w:spacing w:line="360" w:lineRule="auto"/>
        <w:ind w:firstLine="480" w:firstLineChars="200"/>
        <w:rPr>
          <w:rFonts w:hAnsi="宋体"/>
          <w:kern w:val="0"/>
          <w:sz w:val="24"/>
          <w:szCs w:val="24"/>
        </w:rPr>
      </w:pPr>
      <w:r>
        <w:rPr>
          <w:rFonts w:hint="eastAsia" w:hAnsi="宋体"/>
          <w:kern w:val="0"/>
          <w:sz w:val="24"/>
          <w:szCs w:val="24"/>
        </w:rPr>
        <w:t>基金登记机构只受理国家有权机关依法要求的基金份额的冻结与解冻，以及登记机构认可、符合法律法规的其他情况下的冻结与解冻。</w:t>
      </w:r>
    </w:p>
    <w:p>
      <w:pPr>
        <w:adjustRightInd w:val="0"/>
        <w:snapToGrid w:val="0"/>
        <w:spacing w:line="360" w:lineRule="auto"/>
        <w:ind w:firstLine="482" w:firstLineChars="200"/>
        <w:outlineLvl w:val="1"/>
        <w:rPr>
          <w:rFonts w:hAnsi="宋体"/>
          <w:b/>
          <w:sz w:val="24"/>
          <w:szCs w:val="24"/>
        </w:rPr>
      </w:pPr>
      <w:bookmarkStart w:id="42" w:name="_Toc66719557"/>
      <w:bookmarkStart w:id="43" w:name="_Toc66720082"/>
      <w:bookmarkStart w:id="44" w:name="_Toc109059024"/>
      <w:r>
        <w:rPr>
          <w:rFonts w:hint="eastAsia" w:hAnsi="宋体"/>
          <w:b/>
          <w:sz w:val="24"/>
          <w:szCs w:val="24"/>
        </w:rPr>
        <w:t>（十七）基金份额的转让</w:t>
      </w:r>
    </w:p>
    <w:p>
      <w:pPr>
        <w:adjustRightInd w:val="0"/>
        <w:snapToGrid w:val="0"/>
        <w:spacing w:line="360" w:lineRule="auto"/>
        <w:ind w:firstLine="480" w:firstLineChars="200"/>
        <w:rPr>
          <w:rFonts w:hAnsi="宋体"/>
          <w:sz w:val="24"/>
          <w:szCs w:val="24"/>
        </w:rPr>
      </w:pPr>
      <w:r>
        <w:rPr>
          <w:rFonts w:hint="eastAsia" w:hAnsi="宋体"/>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djustRightInd w:val="0"/>
        <w:snapToGrid w:val="0"/>
        <w:spacing w:line="360" w:lineRule="auto"/>
        <w:ind w:firstLine="482" w:firstLineChars="200"/>
        <w:outlineLvl w:val="1"/>
        <w:rPr>
          <w:rFonts w:hAnsi="宋体"/>
          <w:b/>
          <w:kern w:val="0"/>
          <w:sz w:val="24"/>
          <w:szCs w:val="24"/>
        </w:rPr>
      </w:pPr>
      <w:r>
        <w:rPr>
          <w:rFonts w:hAnsi="宋体"/>
          <w:b/>
          <w:kern w:val="0"/>
          <w:sz w:val="24"/>
          <w:szCs w:val="24"/>
        </w:rPr>
        <w:t>（十</w:t>
      </w:r>
      <w:r>
        <w:rPr>
          <w:rFonts w:hint="eastAsia" w:hAnsi="宋体"/>
          <w:b/>
          <w:kern w:val="0"/>
          <w:sz w:val="24"/>
          <w:szCs w:val="24"/>
        </w:rPr>
        <w:t>八</w:t>
      </w:r>
      <w:r>
        <w:rPr>
          <w:rFonts w:hAnsi="宋体"/>
          <w:b/>
          <w:kern w:val="0"/>
          <w:sz w:val="24"/>
          <w:szCs w:val="24"/>
        </w:rPr>
        <w:t>）</w:t>
      </w:r>
      <w:r>
        <w:rPr>
          <w:rFonts w:hint="eastAsia" w:hAnsi="宋体"/>
          <w:b/>
          <w:kern w:val="0"/>
          <w:sz w:val="24"/>
          <w:szCs w:val="24"/>
        </w:rPr>
        <w:t>实施侧袋机制期间本基金的申购与赎回</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本基金实施侧袋机制的，本基金的申购和赎回安排详见本招募说明书“侧袋机制”部分的规定或相关公告。</w:t>
      </w:r>
    </w:p>
    <w:p>
      <w:pPr>
        <w:adjustRightInd w:val="0"/>
        <w:snapToGrid w:val="0"/>
        <w:spacing w:line="360" w:lineRule="auto"/>
        <w:ind w:firstLine="482" w:firstLineChars="200"/>
        <w:outlineLvl w:val="1"/>
        <w:rPr>
          <w:rFonts w:hAnsi="宋体"/>
          <w:i/>
          <w:kern w:val="0"/>
          <w:sz w:val="24"/>
          <w:u w:val="single"/>
        </w:rPr>
      </w:pPr>
      <w:r>
        <w:rPr>
          <w:rFonts w:hint="eastAsia" w:hAnsi="宋体"/>
          <w:b/>
          <w:kern w:val="0"/>
          <w:sz w:val="24"/>
          <w:szCs w:val="24"/>
        </w:rPr>
        <w:t>（十九</w:t>
      </w:r>
      <w:r>
        <w:rPr>
          <w:rFonts w:hAnsi="宋体"/>
          <w:b/>
          <w:kern w:val="0"/>
          <w:sz w:val="24"/>
          <w:szCs w:val="24"/>
        </w:rPr>
        <w:t>）</w:t>
      </w:r>
      <w:r>
        <w:rPr>
          <w:rFonts w:hint="eastAsia" w:hAnsi="宋体"/>
          <w:b/>
          <w:sz w:val="24"/>
          <w:szCs w:val="24"/>
        </w:rPr>
        <w:t>其他业务</w:t>
      </w:r>
    </w:p>
    <w:p>
      <w:pPr>
        <w:adjustRightInd w:val="0"/>
        <w:snapToGrid w:val="0"/>
        <w:spacing w:line="360" w:lineRule="auto"/>
        <w:ind w:firstLine="480" w:firstLineChars="200"/>
        <w:rPr>
          <w:rFonts w:ascii="宋体" w:hAnsi="宋体"/>
          <w:sz w:val="24"/>
        </w:rPr>
      </w:pPr>
      <w:r>
        <w:rPr>
          <w:rFonts w:hint="eastAsia"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28"/>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45" w:name="_Toc48122010"/>
      <w:r>
        <w:rPr>
          <w:rFonts w:hint="eastAsia" w:ascii="宋体" w:hAnsi="宋体"/>
          <w:b/>
          <w:kern w:val="0"/>
          <w:sz w:val="30"/>
        </w:rPr>
        <w:t>九、基金的投资</w:t>
      </w:r>
      <w:bookmarkEnd w:id="45"/>
    </w:p>
    <w:p>
      <w:pPr>
        <w:adjustRightInd w:val="0"/>
        <w:snapToGrid w:val="0"/>
        <w:spacing w:line="360" w:lineRule="auto"/>
        <w:ind w:firstLine="482" w:firstLineChars="200"/>
        <w:outlineLvl w:val="1"/>
        <w:rPr>
          <w:rFonts w:hAnsi="宋体"/>
          <w:kern w:val="0"/>
          <w:sz w:val="24"/>
          <w:szCs w:val="24"/>
        </w:rPr>
      </w:pPr>
      <w:bookmarkStart w:id="46" w:name="_Hlk50018503"/>
      <w:r>
        <w:rPr>
          <w:rFonts w:hint="eastAsia"/>
          <w:b/>
          <w:bCs/>
          <w:sz w:val="24"/>
        </w:rPr>
        <w:t>（一）投资目标</w:t>
      </w:r>
    </w:p>
    <w:p>
      <w:pPr>
        <w:adjustRightInd w:val="0"/>
        <w:snapToGrid w:val="0"/>
        <w:spacing w:line="360" w:lineRule="auto"/>
        <w:ind w:firstLine="482"/>
        <w:rPr>
          <w:bCs/>
          <w:sz w:val="24"/>
        </w:rPr>
      </w:pPr>
      <w:r>
        <w:rPr>
          <w:rFonts w:hint="eastAsia"/>
          <w:bCs/>
          <w:sz w:val="24"/>
        </w:rPr>
        <w:t>本基金在严格控制风险的前提下，充分发挥专业研究与管理能力，追求超越业绩比较基准的投资收益，力争为投资者提供长期稳健的投资回报。</w:t>
      </w:r>
    </w:p>
    <w:p>
      <w:pPr>
        <w:adjustRightInd w:val="0"/>
        <w:snapToGrid w:val="0"/>
        <w:spacing w:line="360" w:lineRule="auto"/>
        <w:ind w:firstLine="482"/>
        <w:outlineLvl w:val="1"/>
        <w:rPr>
          <w:b/>
          <w:bCs/>
          <w:sz w:val="24"/>
        </w:rPr>
      </w:pPr>
      <w:r>
        <w:rPr>
          <w:rFonts w:hint="eastAsia"/>
          <w:b/>
          <w:bCs/>
          <w:sz w:val="24"/>
        </w:rPr>
        <w:t>（二）投资范围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本基金的投资范围为具有良好流动性的金融工具，包括国内依法发行上市的股票（含中小板、创业板及其他经中国证监会核准</w:t>
      </w:r>
      <w:r>
        <w:rPr>
          <w:rFonts w:hint="eastAsia"/>
          <w:bCs/>
          <w:sz w:val="24"/>
        </w:rPr>
        <w:t>或注册</w:t>
      </w:r>
      <w:r>
        <w:rPr>
          <w:rFonts w:hint="eastAsia" w:ascii="宋体" w:hAnsi="宋体"/>
          <w:bCs/>
          <w:sz w:val="24"/>
          <w:szCs w:val="24"/>
        </w:rPr>
        <w:t>上市的股票、存托凭证）、</w:t>
      </w:r>
      <w:r>
        <w:rPr>
          <w:rFonts w:hint="eastAsia"/>
          <w:bCs/>
          <w:sz w:val="24"/>
        </w:rPr>
        <w:t>港股通标的股票、</w:t>
      </w:r>
      <w:r>
        <w:rPr>
          <w:rFonts w:hint="eastAsia" w:ascii="宋体" w:hAnsi="宋体"/>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bCs/>
          <w:sz w:val="24"/>
          <w:szCs w:val="24"/>
        </w:rPr>
      </w:pPr>
      <w:r>
        <w:rPr>
          <w:rFonts w:hint="eastAsia" w:ascii="宋体" w:hAnsi="宋体"/>
          <w:bCs/>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基金的投资组合比例为：</w:t>
      </w:r>
      <w:r>
        <w:rPr>
          <w:rFonts w:hint="eastAsia"/>
          <w:bCs/>
          <w:sz w:val="24"/>
        </w:rPr>
        <w:t>股票投资（</w:t>
      </w:r>
      <w:r>
        <w:rPr>
          <w:bCs/>
          <w:sz w:val="24"/>
        </w:rPr>
        <w:t>含存托凭证</w:t>
      </w:r>
      <w:r>
        <w:rPr>
          <w:rFonts w:hint="eastAsia"/>
          <w:bCs/>
          <w:sz w:val="24"/>
        </w:rPr>
        <w:t>）占基金资产的比例为60%-95%（其中投资于港股通标的股票的比例占股票资产的0%-50%），投资于成长动力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r>
        <w:rPr>
          <w:rFonts w:hint="eastAsia" w:ascii="宋体" w:hAnsi="宋体"/>
          <w:bCs/>
          <w:sz w:val="24"/>
          <w:szCs w:val="24"/>
        </w:rPr>
        <w:t>。</w:t>
      </w:r>
    </w:p>
    <w:p>
      <w:pPr>
        <w:adjustRightInd w:val="0"/>
        <w:snapToGrid w:val="0"/>
        <w:spacing w:line="360" w:lineRule="auto"/>
        <w:ind w:firstLine="482"/>
        <w:rPr>
          <w:bCs/>
          <w:sz w:val="24"/>
        </w:rPr>
      </w:pPr>
      <w:r>
        <w:rPr>
          <w:rFonts w:hint="eastAsia" w:ascii="宋体" w:hAnsi="宋体"/>
          <w:bCs/>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firstLineChars="200"/>
        <w:outlineLvl w:val="1"/>
        <w:rPr>
          <w:rFonts w:hAnsi="宋体"/>
          <w:kern w:val="0"/>
          <w:sz w:val="24"/>
          <w:szCs w:val="24"/>
        </w:rPr>
      </w:pPr>
      <w:r>
        <w:rPr>
          <w:rFonts w:hint="eastAsia"/>
          <w:b/>
          <w:bCs/>
          <w:sz w:val="24"/>
        </w:rPr>
        <w:t>（三）投资策略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Pr>
          <w:rFonts w:hint="eastAsia"/>
          <w:bCs/>
          <w:sz w:val="24"/>
        </w:rPr>
        <w:t>个股和</w:t>
      </w:r>
      <w:r>
        <w:rPr>
          <w:rFonts w:hint="eastAsia" w:ascii="宋体" w:hAnsi="宋体"/>
          <w:bCs/>
          <w:sz w:val="24"/>
          <w:szCs w:val="24"/>
        </w:rPr>
        <w:t>个券；在保持总体风险水平相对稳定的基础上，力争获取投资组合的较高回报。</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1、大类资产配置</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本基金利用经交银施罗德研究团队修正后的投资时钟分析框架，通过“自上而下”的定性分析和定量分析相结合形成对不同资产市场表现的预测和判断，确定基金资产在</w:t>
      </w:r>
      <w:r>
        <w:rPr>
          <w:rFonts w:hint="eastAsia"/>
          <w:bCs/>
          <w:sz w:val="24"/>
        </w:rPr>
        <w:t>沪深A股、港股</w:t>
      </w:r>
      <w:r>
        <w:rPr>
          <w:rFonts w:hint="eastAsia" w:ascii="宋体" w:hAnsi="宋体"/>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2、股票投资策略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（1）“成长动力”主题界定</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随着第四次科技革命的发生和发展，万物互联时代到来，信息和数据成为决定性的生产工具之一。</w:t>
      </w:r>
      <w:r>
        <w:rPr>
          <w:rFonts w:hint="eastAsia"/>
          <w:bCs/>
          <w:sz w:val="24"/>
        </w:rPr>
        <w:t>经济</w:t>
      </w:r>
      <w:r>
        <w:rPr>
          <w:rFonts w:hint="eastAsia" w:ascii="宋体" w:hAnsi="宋体"/>
          <w:bCs/>
          <w:sz w:val="24"/>
          <w:szCs w:val="24"/>
        </w:rPr>
        <w:t>的发展动力从工业化、电气化转向科技创新，转向数字化和智能化。在把握住</w:t>
      </w:r>
      <w:r>
        <w:rPr>
          <w:rFonts w:hint="eastAsia"/>
          <w:bCs/>
          <w:sz w:val="24"/>
        </w:rPr>
        <w:t>经济</w:t>
      </w:r>
      <w:r>
        <w:rPr>
          <w:rFonts w:hint="eastAsia" w:ascii="宋体" w:hAnsi="宋体"/>
          <w:bCs/>
          <w:sz w:val="24"/>
          <w:szCs w:val="24"/>
        </w:rPr>
        <w:t>发展动力的前提下，优秀的企业才能够快速发展壮大，给投资者带来超额回报。本基金将重点投资</w:t>
      </w:r>
      <w:r>
        <w:rPr>
          <w:rFonts w:hint="eastAsia"/>
          <w:bCs/>
          <w:sz w:val="24"/>
        </w:rPr>
        <w:t>数字</w:t>
      </w:r>
      <w:r>
        <w:rPr>
          <w:rFonts w:hint="eastAsia" w:ascii="宋体" w:hAnsi="宋体"/>
          <w:bCs/>
          <w:sz w:val="24"/>
          <w:szCs w:val="24"/>
        </w:rPr>
        <w:t>时代发展大背景之下，反应时代</w:t>
      </w:r>
      <w:r>
        <w:rPr>
          <w:rFonts w:hint="eastAsia"/>
          <w:bCs/>
          <w:sz w:val="24"/>
        </w:rPr>
        <w:t>成长</w:t>
      </w:r>
      <w:r>
        <w:rPr>
          <w:rFonts w:hint="eastAsia" w:ascii="宋体" w:hAnsi="宋体"/>
          <w:bCs/>
          <w:sz w:val="24"/>
          <w:szCs w:val="24"/>
        </w:rPr>
        <w:t>特质和未来</w:t>
      </w:r>
      <w:r>
        <w:rPr>
          <w:rFonts w:hint="eastAsia"/>
          <w:bCs/>
          <w:sz w:val="24"/>
        </w:rPr>
        <w:t>成长</w:t>
      </w:r>
      <w:r>
        <w:rPr>
          <w:rFonts w:hint="eastAsia" w:ascii="宋体" w:hAnsi="宋体"/>
          <w:bCs/>
          <w:sz w:val="24"/>
          <w:szCs w:val="24"/>
        </w:rPr>
        <w:t>动力的优质企业。</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本基金对于“成长动力”主题覆盖的上市公司主要从两个方面进行筛选：一方面，本基金从</w:t>
      </w:r>
      <w:r>
        <w:rPr>
          <w:rFonts w:hint="eastAsia"/>
          <w:bCs/>
          <w:sz w:val="24"/>
        </w:rPr>
        <w:t>基本面</w:t>
      </w:r>
      <w:r>
        <w:rPr>
          <w:rFonts w:hint="eastAsia" w:ascii="宋体" w:hAnsi="宋体"/>
          <w:bCs/>
          <w:sz w:val="24"/>
          <w:szCs w:val="24"/>
        </w:rPr>
        <w:t>出发，注重挖掘当前发展过程当中重要的社会和科技发展趋势，所选择的行业和个股需要和当前的</w:t>
      </w:r>
      <w:r>
        <w:rPr>
          <w:rFonts w:hint="eastAsia"/>
          <w:bCs/>
          <w:sz w:val="24"/>
        </w:rPr>
        <w:t>成长</w:t>
      </w:r>
      <w:r>
        <w:rPr>
          <w:rFonts w:hint="eastAsia" w:ascii="宋体" w:hAnsi="宋体"/>
          <w:bCs/>
          <w:sz w:val="24"/>
          <w:szCs w:val="24"/>
        </w:rPr>
        <w:t>动力及方向相一致。另一方面，本基金将积极关注持续创新的企业和企业家，特别是通过不断的创新和商业化落地引领行业发展的企业。本基金将优先选择平台型商业模式、公司质地优秀的企业，这类企业较高的护城河，可以不断为投资者创造持续的价值。</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（2）个股投资策略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1）品质筛选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筛选出在公司治理、财务及管理品质上符合基本品质要求的公司，构建备选股票池。主要筛选指标包括：</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盈利能力指标：如市盈率（P/E）、市现率（P/Cash Flow）、股价与每股自由现金流比率（P/FCF）、市销率（P/S）、股价与每股息税前利润比率（P/EBIT）等；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经营效率指标：如净资产收益率（ROE）、资产收益率（ROA）、经营资产回报率（Return on operating assets）等；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财务状况指标：如资产负债率（D/A）、流动比率等；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研发投入指标：如研发投入与营业收入比率、科研人员数量及占比、专利数量及在同行业的占比等。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2）价值评估</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3）港股通标的股票投资策略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本基金可通过内地与香港股票市场交易互联互通机制投资于香港股票市场。本基金</w:t>
      </w:r>
      <w:r>
        <w:rPr>
          <w:rFonts w:hint="eastAsia"/>
          <w:bCs/>
          <w:sz w:val="24"/>
        </w:rPr>
        <w:t>将遵循成长动力主题相关股票的投资策略，</w:t>
      </w:r>
      <w:r>
        <w:rPr>
          <w:rFonts w:hint="eastAsia" w:ascii="宋体" w:hAnsi="宋体"/>
          <w:bCs/>
          <w:sz w:val="24"/>
          <w:szCs w:val="24"/>
        </w:rPr>
        <w:t>优先将基本面健康、业绩向上弹性较大、具有估值优势的港股纳入本基金的股票投资组合。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本基金可根据投资策略需要或不同配置地市场环境的变化，选择将部分基金资产投资于港股或选择不将基金资产投资于港股，基金资产并非必然投资港股。</w:t>
      </w:r>
    </w:p>
    <w:p>
      <w:pPr>
        <w:adjustRightInd w:val="0"/>
        <w:snapToGrid w:val="0"/>
        <w:spacing w:line="360" w:lineRule="auto"/>
        <w:ind w:firstLine="480" w:firstLineChars="200"/>
        <w:rPr>
          <w:bCs/>
          <w:sz w:val="24"/>
        </w:rPr>
      </w:pPr>
      <w:r>
        <w:rPr>
          <w:rFonts w:hint="eastAsia"/>
          <w:bCs/>
          <w:sz w:val="24"/>
        </w:rPr>
        <w:t>最后，本基金根据对个股价值的评估和市场机会的判断构建股票组合，其中投资于成长动力主题相关证券的比例不低于非现金基金资产的80%。</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4）存托凭证的投资策略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本基金投资存托凭证的策略依照境内上市交易的股票投资策略执行。</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3、债券投资策略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本基金的债券投资采取主动的投资管理方式，获得与风险相匹配的投资收益，以实现在一定程度上规避股票市场的系统性风险和保证基金资产的流动性。</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w:t>
      </w:r>
      <w:r>
        <w:rPr>
          <w:rFonts w:hint="eastAsia"/>
          <w:bCs/>
          <w:sz w:val="24"/>
        </w:rPr>
        <w:t>类属配置策略、</w:t>
      </w:r>
      <w:r>
        <w:rPr>
          <w:rFonts w:hint="eastAsia" w:ascii="宋体" w:hAnsi="宋体"/>
          <w:bCs/>
          <w:sz w:val="24"/>
          <w:szCs w:val="24"/>
        </w:rPr>
        <w:t>期限结构配置策略、</w:t>
      </w:r>
      <w:r>
        <w:rPr>
          <w:rFonts w:hint="eastAsia"/>
          <w:bCs/>
          <w:sz w:val="24"/>
        </w:rPr>
        <w:t>回购策略、信用债券投资策略、可转换债券投资策略</w:t>
      </w:r>
      <w:r>
        <w:rPr>
          <w:rFonts w:hint="eastAsia" w:ascii="宋体" w:hAnsi="宋体"/>
          <w:bCs/>
          <w:sz w:val="24"/>
          <w:szCs w:val="24"/>
        </w:rPr>
        <w:t>等多种策略，以期获取债券市场的长期稳定收益。</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4、资产支持证券投资策略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5</w:t>
      </w:r>
      <w:r>
        <w:rPr>
          <w:rFonts w:hint="eastAsia" w:ascii="宋体" w:hAnsi="宋体"/>
          <w:bCs/>
          <w:sz w:val="24"/>
          <w:szCs w:val="24"/>
        </w:rPr>
        <w:t>、股指期货投资策略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djustRightInd w:val="0"/>
        <w:snapToGrid w:val="0"/>
        <w:spacing w:line="360" w:lineRule="auto"/>
        <w:ind w:firstLine="482" w:firstLineChars="200"/>
        <w:outlineLvl w:val="1"/>
        <w:rPr>
          <w:rFonts w:hAnsi="宋体"/>
          <w:kern w:val="0"/>
          <w:sz w:val="24"/>
        </w:rPr>
      </w:pPr>
      <w:r>
        <w:rPr>
          <w:rFonts w:hint="eastAsia"/>
          <w:b/>
          <w:bCs/>
          <w:sz w:val="24"/>
        </w:rPr>
        <w:t>（四）投资限制</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1、组合限制</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基金的投资组合应遵循以下限制：</w:t>
      </w:r>
    </w:p>
    <w:p>
      <w:pPr>
        <w:adjustRightInd w:val="0"/>
        <w:snapToGrid w:val="0"/>
        <w:spacing w:line="360" w:lineRule="auto"/>
        <w:ind w:firstLine="480" w:firstLineChars="200"/>
        <w:rPr>
          <w:bCs/>
          <w:sz w:val="24"/>
        </w:rPr>
      </w:pPr>
      <w:r>
        <w:rPr>
          <w:rFonts w:hint="eastAsia"/>
          <w:bCs/>
          <w:sz w:val="24"/>
        </w:rPr>
        <w:t>（1）股票投资（</w:t>
      </w:r>
      <w:r>
        <w:rPr>
          <w:bCs/>
          <w:sz w:val="24"/>
        </w:rPr>
        <w:t>含存托凭证</w:t>
      </w:r>
      <w:r>
        <w:rPr>
          <w:rFonts w:hint="eastAsia"/>
          <w:bCs/>
          <w:sz w:val="24"/>
        </w:rPr>
        <w:t>）占基金资产的比例为</w:t>
      </w:r>
      <w:r>
        <w:rPr>
          <w:bCs/>
          <w:sz w:val="24"/>
        </w:rPr>
        <w:t>60</w:t>
      </w:r>
      <w:r>
        <w:rPr>
          <w:rFonts w:hint="eastAsia"/>
          <w:bCs/>
          <w:sz w:val="24"/>
        </w:rPr>
        <w:t>%-</w:t>
      </w:r>
      <w:r>
        <w:rPr>
          <w:bCs/>
          <w:sz w:val="24"/>
        </w:rPr>
        <w:t>9</w:t>
      </w:r>
      <w:r>
        <w:rPr>
          <w:rFonts w:hint="eastAsia"/>
          <w:bCs/>
          <w:sz w:val="24"/>
        </w:rPr>
        <w:t>5%（其中投资于港股通标的股票的比例占股票资产的0%-50%），投资于成长动力主题相关证券的比例不低于非现金基金资产的80%；</w:t>
      </w:r>
    </w:p>
    <w:p>
      <w:pPr>
        <w:adjustRightInd w:val="0"/>
        <w:snapToGrid w:val="0"/>
        <w:spacing w:line="360" w:lineRule="auto"/>
        <w:ind w:firstLine="480" w:firstLineChars="200"/>
        <w:rPr>
          <w:bCs/>
          <w:sz w:val="24"/>
        </w:rPr>
      </w:pPr>
      <w:r>
        <w:rPr>
          <w:rFonts w:hint="eastAsia"/>
          <w:bCs/>
          <w:sz w:val="24"/>
        </w:rPr>
        <w:t>（2）每个交易日日终在扣除股指期货合约需缴纳的交易保证金后，本基金持有</w:t>
      </w:r>
      <w:r>
        <w:rPr>
          <w:bCs/>
          <w:sz w:val="24"/>
        </w:rPr>
        <w:t>的现金或者到期日在一年以内的政府债券</w:t>
      </w:r>
      <w:r>
        <w:rPr>
          <w:rFonts w:hint="eastAsia"/>
          <w:bCs/>
          <w:sz w:val="24"/>
        </w:rPr>
        <w:t>的投资比例合计不低于基金资产净值的5%，</w:t>
      </w:r>
      <w:r>
        <w:rPr>
          <w:bCs/>
          <w:sz w:val="24"/>
        </w:rPr>
        <w:t>其中现金不包括结算备付金、存出保证金和应收申购款等</w:t>
      </w:r>
      <w:r>
        <w:rPr>
          <w:rFonts w:hint="eastAsia"/>
          <w:bCs/>
          <w:sz w:val="24"/>
        </w:rPr>
        <w:t>；</w:t>
      </w:r>
    </w:p>
    <w:p>
      <w:pPr>
        <w:adjustRightInd w:val="0"/>
        <w:snapToGrid w:val="0"/>
        <w:spacing w:line="360" w:lineRule="auto"/>
        <w:ind w:firstLine="480" w:firstLineChars="200"/>
        <w:rPr>
          <w:bCs/>
          <w:sz w:val="24"/>
        </w:rPr>
      </w:pPr>
      <w:r>
        <w:rPr>
          <w:rFonts w:hint="eastAsia"/>
          <w:bCs/>
          <w:sz w:val="24"/>
        </w:rPr>
        <w:t>（3）本基金持有一家公司发行的证券（同一家公司在内地和香港同时上市的A+H股合计计算），其市值不超过基金资产净值的10％；</w:t>
      </w:r>
    </w:p>
    <w:p>
      <w:pPr>
        <w:adjustRightInd w:val="0"/>
        <w:snapToGrid w:val="0"/>
        <w:spacing w:line="360" w:lineRule="auto"/>
        <w:ind w:firstLine="480" w:firstLineChars="200"/>
        <w:rPr>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adjustRightInd w:val="0"/>
        <w:snapToGrid w:val="0"/>
        <w:spacing w:line="360" w:lineRule="auto"/>
        <w:ind w:firstLine="480" w:firstLineChars="200"/>
        <w:rPr>
          <w:bCs/>
          <w:sz w:val="24"/>
        </w:rPr>
      </w:pPr>
      <w:r>
        <w:rPr>
          <w:rFonts w:hint="eastAsia"/>
          <w:bCs/>
          <w:sz w:val="24"/>
        </w:rPr>
        <w:t>（6）本基金持有的全部资产支持证券，其市值不得超过基金资产净值的20％；</w:t>
      </w:r>
    </w:p>
    <w:p>
      <w:pPr>
        <w:adjustRightInd w:val="0"/>
        <w:snapToGrid w:val="0"/>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adjustRightInd w:val="0"/>
        <w:snapToGrid w:val="0"/>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）本基金进入全国银行间同业市场进行债券回购的资金余额不得超过基金资产净值的40%，进入全国银行间同业市场进行债券回购的最长期限为1年，债券回购到期后不得展期；</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）本基金参与股指期货交易，则：</w:t>
      </w:r>
    </w:p>
    <w:p>
      <w:pPr>
        <w:adjustRightInd w:val="0"/>
        <w:snapToGrid w:val="0"/>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adjustRightInd w:val="0"/>
        <w:snapToGrid w:val="0"/>
        <w:spacing w:line="360" w:lineRule="auto"/>
        <w:ind w:firstLine="480" w:firstLineChars="200"/>
        <w:rPr>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adjustRightInd w:val="0"/>
        <w:snapToGrid w:val="0"/>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adjustRightInd w:val="0"/>
        <w:snapToGrid w:val="0"/>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）本基金资产总值不超过基金资产净值的140%；</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）本基金投资存托凭证的比例限制依照境内上市交易的股票执行；</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）法律法规及中国证监会规定的和《基金合同》约定的其他投资限制。</w:t>
      </w:r>
    </w:p>
    <w:p>
      <w:pPr>
        <w:adjustRightInd w:val="0"/>
        <w:snapToGrid w:val="0"/>
        <w:spacing w:line="360" w:lineRule="auto"/>
        <w:ind w:firstLine="480" w:firstLineChars="200"/>
        <w:rPr>
          <w:bCs/>
          <w:sz w:val="24"/>
        </w:rPr>
      </w:pPr>
      <w:r>
        <w:rPr>
          <w:rFonts w:hint="eastAsia"/>
          <w:bCs/>
          <w:sz w:val="24"/>
        </w:rPr>
        <w:t>除上述（2）、（9）、（1</w:t>
      </w:r>
      <w:r>
        <w:rPr>
          <w:bCs/>
          <w:sz w:val="24"/>
        </w:rPr>
        <w:t>3</w:t>
      </w:r>
      <w:r>
        <w:rPr>
          <w:rFonts w:hint="eastAsia"/>
          <w:bCs/>
          <w:sz w:val="24"/>
        </w:rPr>
        <w:t>）、（1</w:t>
      </w:r>
      <w:r>
        <w:rPr>
          <w:bCs/>
          <w:sz w:val="24"/>
        </w:rPr>
        <w:t>4</w:t>
      </w:r>
      <w:r>
        <w:rPr>
          <w:rFonts w:hint="eastAsia"/>
          <w:bCs/>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napToGrid w:val="0"/>
        <w:spacing w:line="360" w:lineRule="auto"/>
        <w:ind w:firstLine="480" w:firstLineChars="20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snapToGrid w:val="0"/>
        <w:spacing w:line="360" w:lineRule="auto"/>
        <w:ind w:firstLine="480" w:firstLineChars="200"/>
        <w:outlineLvl w:val="2"/>
        <w:rPr>
          <w:rFonts w:ascii="宋体" w:hAnsi="宋体"/>
          <w:sz w:val="24"/>
          <w:szCs w:val="24"/>
        </w:rPr>
      </w:pPr>
      <w:r>
        <w:rPr>
          <w:rFonts w:hint="eastAsia" w:ascii="宋体" w:hAnsi="宋体"/>
          <w:sz w:val="24"/>
          <w:szCs w:val="24"/>
        </w:rPr>
        <w:t>2、禁止行为</w:t>
      </w:r>
    </w:p>
    <w:p>
      <w:pPr>
        <w:snapToGrid w:val="0"/>
        <w:spacing w:line="360" w:lineRule="auto"/>
        <w:ind w:firstLine="480" w:firstLineChars="200"/>
        <w:rPr>
          <w:rFonts w:ascii="宋体" w:hAnsi="宋体"/>
          <w:sz w:val="24"/>
          <w:szCs w:val="24"/>
        </w:rPr>
      </w:pPr>
      <w:r>
        <w:rPr>
          <w:rFonts w:hint="eastAsia" w:ascii="宋体" w:hAnsi="宋体"/>
          <w:sz w:val="24"/>
          <w:szCs w:val="24"/>
        </w:rPr>
        <w:t>为维护基金份额持有人的合法权益，基金财产不得用于下列投资或者活动：</w:t>
      </w:r>
    </w:p>
    <w:p>
      <w:pPr>
        <w:snapToGrid w:val="0"/>
        <w:spacing w:line="360" w:lineRule="auto"/>
        <w:ind w:firstLine="480" w:firstLineChars="200"/>
        <w:rPr>
          <w:rFonts w:ascii="宋体" w:hAnsi="宋体"/>
          <w:sz w:val="24"/>
          <w:szCs w:val="24"/>
        </w:rPr>
      </w:pPr>
      <w:r>
        <w:rPr>
          <w:rFonts w:hint="eastAsia" w:ascii="宋体" w:hAnsi="宋体"/>
          <w:sz w:val="24"/>
          <w:szCs w:val="24"/>
        </w:rPr>
        <w:t>（1）承销证券；</w:t>
      </w:r>
    </w:p>
    <w:p>
      <w:pPr>
        <w:snapToGrid w:val="0"/>
        <w:spacing w:line="360" w:lineRule="auto"/>
        <w:ind w:firstLine="480" w:firstLineChars="200"/>
        <w:rPr>
          <w:rFonts w:ascii="宋体" w:hAnsi="宋体"/>
          <w:sz w:val="24"/>
          <w:szCs w:val="24"/>
        </w:rPr>
      </w:pPr>
      <w:r>
        <w:rPr>
          <w:rFonts w:hint="eastAsia" w:ascii="宋体" w:hAnsi="宋体"/>
          <w:sz w:val="24"/>
          <w:szCs w:val="24"/>
        </w:rPr>
        <w:t>（2）违反规定向他人贷款或者提供担保；</w:t>
      </w:r>
    </w:p>
    <w:p>
      <w:pPr>
        <w:snapToGrid w:val="0"/>
        <w:spacing w:line="360" w:lineRule="auto"/>
        <w:ind w:firstLine="480" w:firstLineChars="200"/>
        <w:rPr>
          <w:rFonts w:ascii="宋体" w:hAnsi="宋体"/>
          <w:sz w:val="24"/>
          <w:szCs w:val="24"/>
        </w:rPr>
      </w:pPr>
      <w:r>
        <w:rPr>
          <w:rFonts w:hint="eastAsia" w:ascii="宋体" w:hAnsi="宋体"/>
          <w:sz w:val="24"/>
          <w:szCs w:val="24"/>
        </w:rPr>
        <w:t>（3）从事承担无限责任的投资；</w:t>
      </w:r>
    </w:p>
    <w:p>
      <w:pPr>
        <w:snapToGrid w:val="0"/>
        <w:spacing w:line="360" w:lineRule="auto"/>
        <w:ind w:firstLine="480" w:firstLineChars="200"/>
        <w:rPr>
          <w:rFonts w:ascii="宋体" w:hAnsi="宋体"/>
          <w:sz w:val="24"/>
          <w:szCs w:val="24"/>
        </w:rPr>
      </w:pPr>
      <w:r>
        <w:rPr>
          <w:rFonts w:hint="eastAsia" w:ascii="宋体" w:hAnsi="宋体"/>
          <w:sz w:val="24"/>
          <w:szCs w:val="24"/>
        </w:rPr>
        <w:t>（4）买卖其他基金份额，但是中国证监会另有规定的除外；</w:t>
      </w:r>
    </w:p>
    <w:p>
      <w:pPr>
        <w:snapToGrid w:val="0"/>
        <w:spacing w:line="360" w:lineRule="auto"/>
        <w:ind w:firstLine="480" w:firstLineChars="200"/>
        <w:rPr>
          <w:rFonts w:ascii="宋体" w:hAnsi="宋体"/>
          <w:sz w:val="24"/>
          <w:szCs w:val="24"/>
        </w:rPr>
      </w:pPr>
      <w:r>
        <w:rPr>
          <w:rFonts w:hint="eastAsia" w:ascii="宋体" w:hAnsi="宋体"/>
          <w:sz w:val="24"/>
          <w:szCs w:val="24"/>
        </w:rPr>
        <w:t>（5）向其基金管理人、基金托管人出资；</w:t>
      </w:r>
    </w:p>
    <w:p>
      <w:pPr>
        <w:snapToGrid w:val="0"/>
        <w:spacing w:line="360" w:lineRule="auto"/>
        <w:ind w:firstLine="480" w:firstLineChars="200"/>
        <w:rPr>
          <w:rFonts w:ascii="宋体" w:hAnsi="宋体"/>
          <w:sz w:val="24"/>
          <w:szCs w:val="24"/>
        </w:rPr>
      </w:pPr>
      <w:r>
        <w:rPr>
          <w:rFonts w:hint="eastAsia" w:ascii="宋体" w:hAnsi="宋体"/>
          <w:sz w:val="24"/>
          <w:szCs w:val="24"/>
        </w:rPr>
        <w:t>（6）从事内幕交易、操纵证券交易价格及其他不正当的证券交易活动；</w:t>
      </w:r>
    </w:p>
    <w:p>
      <w:pPr>
        <w:snapToGrid w:val="0"/>
        <w:spacing w:line="360" w:lineRule="auto"/>
        <w:ind w:firstLine="480" w:firstLineChars="200"/>
        <w:rPr>
          <w:rFonts w:ascii="宋体" w:hAnsi="宋体"/>
          <w:sz w:val="24"/>
          <w:szCs w:val="24"/>
        </w:rPr>
      </w:pPr>
      <w:r>
        <w:rPr>
          <w:rFonts w:hint="eastAsia" w:ascii="宋体" w:hAnsi="宋体"/>
          <w:sz w:val="24"/>
          <w:szCs w:val="24"/>
        </w:rPr>
        <w:t>（7）法律、行政法规和中国证监会规定禁止的其他活动。</w:t>
      </w:r>
    </w:p>
    <w:p>
      <w:pPr>
        <w:snapToGrid w:val="0"/>
        <w:spacing w:line="360" w:lineRule="auto"/>
        <w:ind w:firstLine="480" w:firstLineChars="200"/>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napToGrid w:val="0"/>
        <w:spacing w:line="360" w:lineRule="auto"/>
        <w:ind w:firstLine="480" w:firstLineChars="200"/>
        <w:rPr>
          <w:rFonts w:ascii="宋体" w:hAnsi="宋体"/>
          <w:sz w:val="24"/>
          <w:szCs w:val="24"/>
        </w:rPr>
      </w:pPr>
      <w:r>
        <w:rPr>
          <w:rFonts w:hint="eastAsia" w:ascii="宋体" w:hAnsi="宋体"/>
          <w:sz w:val="24"/>
          <w:szCs w:val="24"/>
        </w:rPr>
        <w:t>如法律、行政法规或监管部门取消上述规定，如适用于本基金，基金管理人在履行适当程序后，本基金可不受上述规定的限制。</w:t>
      </w:r>
    </w:p>
    <w:p>
      <w:pPr>
        <w:adjustRightInd w:val="0"/>
        <w:snapToGrid w:val="0"/>
        <w:spacing w:line="360" w:lineRule="auto"/>
        <w:ind w:firstLine="482" w:firstLineChars="200"/>
        <w:outlineLvl w:val="1"/>
        <w:rPr>
          <w:rFonts w:hAnsi="宋体"/>
          <w:kern w:val="0"/>
          <w:sz w:val="24"/>
        </w:rPr>
      </w:pPr>
      <w:r>
        <w:rPr>
          <w:rFonts w:hint="eastAsia"/>
          <w:b/>
          <w:bCs/>
          <w:sz w:val="24"/>
        </w:rPr>
        <w:t>（五）业绩比较基准</w:t>
      </w:r>
    </w:p>
    <w:p>
      <w:pPr>
        <w:adjustRightInd w:val="0"/>
        <w:snapToGrid w:val="0"/>
        <w:spacing w:line="360" w:lineRule="auto"/>
        <w:ind w:firstLine="480" w:firstLineChars="200"/>
        <w:rPr>
          <w:bCs/>
          <w:sz w:val="24"/>
        </w:rPr>
      </w:pPr>
      <w:r>
        <w:rPr>
          <w:rFonts w:hint="eastAsia"/>
          <w:bCs/>
          <w:sz w:val="24"/>
        </w:rPr>
        <w:t>沪深300指数收益率×</w:t>
      </w:r>
      <w:r>
        <w:rPr>
          <w:bCs/>
          <w:sz w:val="24"/>
        </w:rPr>
        <w:t>70</w:t>
      </w:r>
      <w:r>
        <w:rPr>
          <w:rFonts w:hint="eastAsia"/>
          <w:bCs/>
          <w:sz w:val="24"/>
        </w:rPr>
        <w:t>%+恒生指数收益率×5%+中证综合债券指数收益率×</w:t>
      </w:r>
      <w:r>
        <w:rPr>
          <w:bCs/>
          <w:sz w:val="24"/>
        </w:rPr>
        <w:t>25</w:t>
      </w:r>
      <w:r>
        <w:rPr>
          <w:rFonts w:hint="eastAsia"/>
          <w:bCs/>
          <w:sz w:val="24"/>
        </w:rPr>
        <w:t>%</w:t>
      </w:r>
    </w:p>
    <w:p>
      <w:pPr>
        <w:adjustRightInd w:val="0"/>
        <w:snapToGrid w:val="0"/>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adjustRightInd w:val="0"/>
        <w:snapToGrid w:val="0"/>
        <w:spacing w:line="360" w:lineRule="auto"/>
        <w:ind w:firstLine="480" w:firstLineChars="200"/>
        <w:rPr>
          <w:bCs/>
          <w:sz w:val="24"/>
        </w:rPr>
      </w:pPr>
      <w:r>
        <w:rPr>
          <w:rFonts w:hint="eastAsia"/>
          <w:bCs/>
          <w:sz w:val="24"/>
        </w:rPr>
        <w:t>恒生指数是由恒生指数服务有限公司编制，以香港股票市场中的50家上市股票为成份股样本，以其发行量为权数的加权平均股价指数，是反映香港股市价幅趋势最有影响的一种股价指数。</w:t>
      </w:r>
    </w:p>
    <w:p>
      <w:pPr>
        <w:adjustRightInd w:val="0"/>
        <w:snapToGrid w:val="0"/>
        <w:spacing w:line="360" w:lineRule="auto"/>
        <w:ind w:firstLine="480" w:firstLineChars="20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adjustRightInd w:val="0"/>
        <w:snapToGrid w:val="0"/>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napToGrid w:val="0"/>
        <w:spacing w:line="360" w:lineRule="auto"/>
        <w:ind w:firstLine="480" w:firstLineChars="200"/>
        <w:rPr>
          <w:rFonts w:ascii="宋体" w:hAnsi="宋体"/>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adjustRightInd w:val="0"/>
        <w:snapToGrid w:val="0"/>
        <w:spacing w:line="360" w:lineRule="auto"/>
        <w:ind w:firstLine="482" w:firstLineChars="200"/>
        <w:outlineLvl w:val="1"/>
        <w:rPr>
          <w:rFonts w:hAnsi="宋体"/>
          <w:kern w:val="0"/>
          <w:sz w:val="24"/>
        </w:rPr>
      </w:pPr>
      <w:r>
        <w:rPr>
          <w:rFonts w:hint="eastAsia"/>
          <w:b/>
          <w:bCs/>
          <w:sz w:val="24"/>
        </w:rPr>
        <w:t>（六）风险收益特征</w:t>
      </w:r>
    </w:p>
    <w:p>
      <w:pPr>
        <w:adjustRightInd w:val="0"/>
        <w:snapToGrid w:val="0"/>
        <w:spacing w:line="360" w:lineRule="auto"/>
        <w:ind w:firstLine="480" w:firstLineChars="200"/>
        <w:rPr>
          <w:rFonts w:ascii="宋体" w:hAnsi="宋体"/>
          <w:sz w:val="24"/>
        </w:rPr>
      </w:pPr>
      <w:r>
        <w:rPr>
          <w:rFonts w:hint="eastAsia" w:ascii="宋体" w:hAnsi="宋体"/>
          <w:sz w:val="24"/>
        </w:rPr>
        <w:t>本基金是一只混合型基金，其预期风险和预期收益高于债券型基金和货币市场基金，低于股票型基金。</w:t>
      </w:r>
    </w:p>
    <w:p>
      <w:pPr>
        <w:adjustRightInd w:val="0"/>
        <w:snapToGrid w:val="0"/>
        <w:spacing w:line="360" w:lineRule="auto"/>
        <w:ind w:firstLine="480" w:firstLineChars="200"/>
        <w:rPr>
          <w:rFonts w:ascii="宋体" w:hAnsi="宋体"/>
          <w:sz w:val="24"/>
        </w:rPr>
      </w:pPr>
      <w:r>
        <w:rPr>
          <w:rFonts w:hint="eastAsia" w:ascii="宋体" w:hAnsi="宋体"/>
          <w:sz w:val="24"/>
        </w:rPr>
        <w:t>本基金可投资港股通标的股票，会面临港股通机制下因投资环境、投资标的、市场制度以及交易规则等差异带来的特有风险。</w:t>
      </w:r>
    </w:p>
    <w:p>
      <w:pPr>
        <w:adjustRightInd w:val="0"/>
        <w:snapToGrid w:val="0"/>
        <w:spacing w:line="360" w:lineRule="auto"/>
        <w:ind w:firstLine="482" w:firstLineChars="200"/>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pPr>
        <w:adjustRightInd w:val="0"/>
        <w:snapToGrid w:val="0"/>
        <w:spacing w:line="360" w:lineRule="auto"/>
        <w:ind w:firstLine="480" w:firstLineChars="200"/>
        <w:rPr>
          <w:rFonts w:ascii="宋体" w:hAnsi="宋体"/>
          <w:sz w:val="24"/>
        </w:rPr>
      </w:pPr>
      <w:r>
        <w:rPr>
          <w:rFonts w:hint="eastAsia" w:ascii="宋体" w:hAnsi="宋体"/>
          <w:sz w:val="24"/>
        </w:rPr>
        <w:t>1、基金管理人按照国家有关规定代表基金独立行使股东或债权人权利，保护基金份额持有人的利益；</w:t>
      </w:r>
    </w:p>
    <w:p>
      <w:pPr>
        <w:adjustRightInd w:val="0"/>
        <w:snapToGrid w:val="0"/>
        <w:spacing w:line="360" w:lineRule="auto"/>
        <w:ind w:firstLine="480" w:firstLineChars="200"/>
        <w:rPr>
          <w:rFonts w:ascii="宋体" w:hAnsi="宋体"/>
          <w:sz w:val="24"/>
        </w:rPr>
      </w:pPr>
      <w:r>
        <w:rPr>
          <w:rFonts w:hint="eastAsia" w:ascii="宋体" w:hAnsi="宋体"/>
          <w:sz w:val="24"/>
        </w:rPr>
        <w:t>2、不谋求对上市公司的控股；</w:t>
      </w:r>
    </w:p>
    <w:p>
      <w:pPr>
        <w:adjustRightInd w:val="0"/>
        <w:snapToGrid w:val="0"/>
        <w:spacing w:line="360" w:lineRule="auto"/>
        <w:ind w:firstLine="480" w:firstLineChars="200"/>
        <w:rPr>
          <w:rFonts w:ascii="宋体" w:hAnsi="宋体"/>
          <w:sz w:val="24"/>
        </w:rPr>
      </w:pPr>
      <w:r>
        <w:rPr>
          <w:rFonts w:hint="eastAsia" w:ascii="宋体" w:hAnsi="宋体"/>
          <w:sz w:val="24"/>
        </w:rPr>
        <w:t>3、有利于基金财产的安全与增值；</w:t>
      </w:r>
    </w:p>
    <w:p>
      <w:pPr>
        <w:adjustRightInd w:val="0"/>
        <w:snapToGrid w:val="0"/>
        <w:spacing w:line="360" w:lineRule="auto"/>
        <w:ind w:firstLine="480" w:firstLineChars="200"/>
        <w:rPr>
          <w:rFonts w:ascii="宋体" w:hAnsi="宋体"/>
          <w:sz w:val="24"/>
        </w:rPr>
      </w:pPr>
      <w:r>
        <w:rPr>
          <w:rFonts w:hint="eastAsia" w:ascii="宋体" w:hAnsi="宋体"/>
          <w:sz w:val="24"/>
        </w:rPr>
        <w:t>4、不通过关联交易为自身、雇员、授权代理人或任何存在利害关系的第三人牟取任何不当利益。</w:t>
      </w:r>
    </w:p>
    <w:bookmarkEnd w:id="42"/>
    <w:bookmarkEnd w:id="43"/>
    <w:bookmarkEnd w:id="44"/>
    <w:p>
      <w:pPr>
        <w:adjustRightInd w:val="0"/>
        <w:snapToGrid w:val="0"/>
        <w:spacing w:line="360" w:lineRule="auto"/>
        <w:ind w:firstLine="482" w:firstLineChars="200"/>
        <w:outlineLvl w:val="1"/>
        <w:rPr>
          <w:rFonts w:hAnsi="宋体"/>
          <w:b/>
          <w:sz w:val="24"/>
          <w:szCs w:val="24"/>
        </w:rPr>
      </w:pPr>
      <w:bookmarkStart w:id="47" w:name="_Hlt81033424"/>
      <w:bookmarkEnd w:id="47"/>
      <w:bookmarkStart w:id="48" w:name="_Hlt81033092"/>
      <w:bookmarkEnd w:id="48"/>
      <w:bookmarkStart w:id="49" w:name="_Toc109059036"/>
      <w:bookmarkEnd w:id="49"/>
      <w:bookmarkStart w:id="50" w:name="_Toc109059037"/>
      <w:bookmarkEnd w:id="50"/>
      <w:bookmarkStart w:id="51" w:name="_Hlt88281392"/>
      <w:bookmarkEnd w:id="51"/>
      <w:bookmarkStart w:id="52" w:name="_Toc109059025"/>
      <w:bookmarkEnd w:id="52"/>
      <w:bookmarkStart w:id="53" w:name="_Hlt5604240"/>
      <w:bookmarkEnd w:id="53"/>
      <w:bookmarkStart w:id="54" w:name="_Hlt5528681"/>
      <w:bookmarkEnd w:id="54"/>
      <w:bookmarkStart w:id="55" w:name="_Toc155690783"/>
      <w:bookmarkStart w:id="56" w:name="_Toc154909614"/>
      <w:r>
        <w:rPr>
          <w:rFonts w:hAnsi="宋体"/>
          <w:b/>
          <w:sz w:val="24"/>
          <w:szCs w:val="24"/>
        </w:rPr>
        <w:t>（</w:t>
      </w:r>
      <w:r>
        <w:rPr>
          <w:rFonts w:hint="eastAsia" w:hAnsi="宋体"/>
          <w:b/>
          <w:sz w:val="24"/>
          <w:szCs w:val="24"/>
        </w:rPr>
        <w:t>八</w:t>
      </w:r>
      <w:r>
        <w:rPr>
          <w:rFonts w:hAnsi="宋体"/>
          <w:b/>
          <w:sz w:val="24"/>
          <w:szCs w:val="24"/>
        </w:rPr>
        <w:t>）</w:t>
      </w:r>
      <w:r>
        <w:rPr>
          <w:rFonts w:hint="eastAsia" w:hAnsi="宋体"/>
          <w:b/>
          <w:sz w:val="24"/>
          <w:szCs w:val="24"/>
        </w:rPr>
        <w:t>侧袋机制的实施和投资运作安排</w:t>
      </w:r>
    </w:p>
    <w:p>
      <w:pPr>
        <w:adjustRightInd w:val="0"/>
        <w:snapToGrid w:val="0"/>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ascii="宋体" w:hAnsi="宋体"/>
          <w:sz w:val="24"/>
        </w:rPr>
      </w:pPr>
      <w:r>
        <w:rPr>
          <w:rFonts w:hint="eastAsia" w:ascii="宋体" w:hAnsi="宋体"/>
          <w:sz w:val="24"/>
        </w:rPr>
        <w:t>侧袋机制实施期间，本部分约定的投资组合比例、投资策略、组合限制、业绩比较基准、风险收益特征等约定仅适用于主袋账户。</w:t>
      </w:r>
    </w:p>
    <w:p>
      <w:pPr>
        <w:adjustRightInd w:val="0"/>
        <w:snapToGrid w:val="0"/>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hint="eastAsia" w:ascii="宋体" w:hAnsi="宋体"/>
          <w:sz w:val="24"/>
        </w:rPr>
        <w:t>部分的规定。</w:t>
      </w:r>
    </w:p>
    <w:p>
      <w:pPr>
        <w:adjustRightInd w:val="0"/>
        <w:snapToGrid w:val="0"/>
        <w:spacing w:line="360" w:lineRule="auto"/>
        <w:ind w:firstLine="482" w:firstLineChars="200"/>
        <w:outlineLvl w:val="1"/>
        <w:rPr>
          <w:b/>
          <w:sz w:val="24"/>
          <w:szCs w:val="24"/>
        </w:rPr>
      </w:pPr>
      <w:r>
        <w:rPr>
          <w:rFonts w:hint="eastAsia" w:hAnsi="宋体"/>
          <w:b/>
          <w:sz w:val="24"/>
          <w:szCs w:val="24"/>
        </w:rPr>
        <w:t>（九</w:t>
      </w:r>
      <w:r>
        <w:rPr>
          <w:rFonts w:hAnsi="宋体"/>
          <w:b/>
          <w:sz w:val="24"/>
          <w:szCs w:val="24"/>
        </w:rPr>
        <w:t>）投资决策依据和投资流程</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、投资决策依据</w:t>
      </w:r>
    </w:p>
    <w:p>
      <w:pPr>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pPr>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）公司投资及风险控制政策；</w:t>
      </w:r>
    </w:p>
    <w:p>
      <w:pPr>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pPr>
        <w:adjustRightInd w:val="0"/>
        <w:snapToGrid w:val="0"/>
        <w:spacing w:line="360" w:lineRule="auto"/>
        <w:ind w:firstLine="480" w:firstLineChars="20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pPr>
        <w:adjustRightInd w:val="0"/>
        <w:snapToGrid w:val="0"/>
        <w:spacing w:line="360" w:lineRule="auto"/>
        <w:ind w:firstLine="480" w:firstLineChars="200"/>
        <w:outlineLvl w:val="2"/>
        <w:rPr>
          <w:sz w:val="24"/>
          <w:szCs w:val="24"/>
        </w:rPr>
      </w:pPr>
      <w:r>
        <w:rPr>
          <w:sz w:val="24"/>
          <w:szCs w:val="24"/>
        </w:rPr>
        <w:t>2</w:t>
      </w:r>
      <w:r>
        <w:rPr>
          <w:rFonts w:hAnsi="宋体"/>
          <w:sz w:val="24"/>
          <w:szCs w:val="24"/>
        </w:rPr>
        <w:t>、投资决策机制</w:t>
      </w:r>
    </w:p>
    <w:p>
      <w:pPr>
        <w:adjustRightInd w:val="0"/>
        <w:snapToGrid w:val="0"/>
        <w:spacing w:line="360" w:lineRule="auto"/>
        <w:ind w:firstLine="480" w:firstLineChars="20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pPr>
        <w:adjustRightInd w:val="0"/>
        <w:snapToGrid w:val="0"/>
        <w:spacing w:line="360" w:lineRule="auto"/>
        <w:ind w:firstLine="480" w:firstLineChars="200"/>
        <w:rPr>
          <w:sz w:val="24"/>
          <w:szCs w:val="24"/>
        </w:rPr>
      </w:pPr>
      <w:r>
        <w:rPr>
          <w:rFonts w:hAnsi="宋体"/>
          <w:sz w:val="24"/>
          <w:szCs w:val="24"/>
        </w:rPr>
        <w:t>基金经理的主要职责是在投资决策委员会确定的资产配置范围内构建和调整投资组合，并向中央交易室下达投资指令。</w:t>
      </w:r>
    </w:p>
    <w:p>
      <w:pPr>
        <w:adjustRightInd w:val="0"/>
        <w:snapToGrid w:val="0"/>
        <w:spacing w:line="360" w:lineRule="auto"/>
        <w:ind w:firstLine="480" w:firstLineChars="20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pPr>
        <w:adjustRightInd w:val="0"/>
        <w:snapToGrid w:val="0"/>
        <w:spacing w:line="360" w:lineRule="auto"/>
        <w:ind w:firstLine="480" w:firstLineChars="200"/>
        <w:outlineLvl w:val="2"/>
        <w:rPr>
          <w:sz w:val="24"/>
          <w:szCs w:val="24"/>
        </w:rPr>
      </w:pPr>
      <w:r>
        <w:rPr>
          <w:sz w:val="24"/>
          <w:szCs w:val="24"/>
        </w:rPr>
        <w:t>3</w:t>
      </w:r>
      <w:r>
        <w:rPr>
          <w:rFonts w:hAnsi="宋体"/>
          <w:sz w:val="24"/>
          <w:szCs w:val="24"/>
        </w:rPr>
        <w:t>、投资管理流程</w:t>
      </w:r>
    </w:p>
    <w:p>
      <w:pPr>
        <w:adjustRightInd w:val="0"/>
        <w:snapToGrid w:val="0"/>
        <w:spacing w:line="360" w:lineRule="auto"/>
        <w:ind w:firstLine="480" w:firstLineChars="200"/>
        <w:rPr>
          <w:rFonts w:hAnsi="宋体"/>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pPr>
        <w:adjustRightInd w:val="0"/>
        <w:snapToGrid w:val="0"/>
        <w:spacing w:line="360" w:lineRule="auto"/>
        <w:ind w:firstLine="480" w:firstLineChars="200"/>
        <w:rPr>
          <w:rFonts w:hAnsi="宋体"/>
          <w:sz w:val="24"/>
          <w:szCs w:val="24"/>
        </w:rPr>
      </w:pPr>
      <w:r>
        <w:rPr>
          <w:rFonts w:hAnsi="宋体"/>
          <w:sz w:val="24"/>
          <w:szCs w:val="24"/>
        </w:rPr>
        <w:t>（1）研究部宏观分析师、策略分析师、行业分析师、信用分析师、数量分析师各自独立完成相应的研究报告，为投资决策提供依据；</w:t>
      </w:r>
    </w:p>
    <w:p>
      <w:pPr>
        <w:adjustRightInd w:val="0"/>
        <w:snapToGrid w:val="0"/>
        <w:spacing w:line="360" w:lineRule="auto"/>
        <w:ind w:firstLine="480" w:firstLineChars="200"/>
        <w:rPr>
          <w:rFonts w:hAnsi="宋体"/>
          <w:sz w:val="24"/>
          <w:szCs w:val="24"/>
        </w:rPr>
      </w:pPr>
      <w:r>
        <w:rPr>
          <w:rFonts w:hAnsi="宋体"/>
          <w:sz w:val="24"/>
          <w:szCs w:val="24"/>
        </w:rPr>
        <w:t>（2）投资决策委员会每月召开投资决策会议，对资产配置比例提出指导性意见，并讨论股票、债券的投资重点等；</w:t>
      </w:r>
    </w:p>
    <w:p>
      <w:pPr>
        <w:adjustRightInd w:val="0"/>
        <w:snapToGrid w:val="0"/>
        <w:spacing w:line="360" w:lineRule="auto"/>
        <w:ind w:firstLine="480" w:firstLineChars="200"/>
        <w:rPr>
          <w:rFonts w:hAnsi="宋体"/>
          <w:sz w:val="24"/>
          <w:szCs w:val="24"/>
        </w:rPr>
      </w:pPr>
      <w:r>
        <w:rPr>
          <w:rFonts w:hAnsi="宋体"/>
          <w:sz w:val="24"/>
          <w:szCs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pPr>
        <w:adjustRightInd w:val="0"/>
        <w:snapToGrid w:val="0"/>
        <w:spacing w:line="360" w:lineRule="auto"/>
        <w:ind w:firstLine="480" w:firstLineChars="200"/>
        <w:rPr>
          <w:rFonts w:hAnsi="宋体"/>
          <w:sz w:val="24"/>
          <w:szCs w:val="24"/>
        </w:rPr>
      </w:pPr>
      <w:r>
        <w:rPr>
          <w:rFonts w:hAnsi="宋体"/>
          <w:sz w:val="24"/>
          <w:szCs w:val="24"/>
        </w:rPr>
        <w:t>（4）基金经理根据基金投资组合方案，向中央交易室下达交易指令；</w:t>
      </w:r>
    </w:p>
    <w:p>
      <w:pPr>
        <w:adjustRightInd w:val="0"/>
        <w:snapToGrid w:val="0"/>
        <w:spacing w:line="360" w:lineRule="auto"/>
        <w:ind w:firstLine="480" w:firstLineChars="200"/>
        <w:rPr>
          <w:rFonts w:hAnsi="宋体"/>
          <w:sz w:val="24"/>
          <w:szCs w:val="24"/>
        </w:rPr>
      </w:pPr>
      <w:r>
        <w:rPr>
          <w:rFonts w:hAnsi="宋体"/>
          <w:sz w:val="24"/>
          <w:szCs w:val="24"/>
        </w:rPr>
        <w:t>（5）交易指令通过风控系统的自动合规核查后，由中央交易室执行，中央交易室对交易情况及时反馈；</w:t>
      </w:r>
    </w:p>
    <w:p>
      <w:pPr>
        <w:adjustRightInd w:val="0"/>
        <w:snapToGrid w:val="0"/>
        <w:spacing w:line="360" w:lineRule="auto"/>
        <w:ind w:firstLine="480" w:firstLineChars="200"/>
        <w:rPr>
          <w:rFonts w:hAnsi="宋体"/>
          <w:sz w:val="24"/>
          <w:szCs w:val="24"/>
        </w:rPr>
      </w:pPr>
      <w:r>
        <w:rPr>
          <w:rFonts w:hAnsi="宋体"/>
          <w:sz w:val="24"/>
          <w:szCs w:val="24"/>
        </w:rPr>
        <w:t>（6）基金经理对每日交易执行情况进行回顾，并审视基金投资组合的变动情况；</w:t>
      </w:r>
    </w:p>
    <w:p>
      <w:pPr>
        <w:adjustRightInd w:val="0"/>
        <w:snapToGrid w:val="0"/>
        <w:spacing w:line="360" w:lineRule="auto"/>
        <w:ind w:firstLine="480" w:firstLineChars="200"/>
        <w:rPr>
          <w:rFonts w:hAnsi="宋体"/>
          <w:sz w:val="24"/>
          <w:szCs w:val="24"/>
        </w:rPr>
      </w:pPr>
      <w:r>
        <w:rPr>
          <w:rFonts w:hAnsi="宋体"/>
          <w:sz w:val="24"/>
          <w:szCs w:val="24"/>
        </w:rPr>
        <w:t>（7）风险管理部定期完成有关投资风险监控报告，量化投资部定期完成基金业绩评估报告。</w:t>
      </w:r>
    </w:p>
    <w:p>
      <w:pPr>
        <w:adjustRightInd w:val="0"/>
        <w:snapToGrid w:val="0"/>
        <w:spacing w:line="360" w:lineRule="auto"/>
        <w:ind w:firstLine="480" w:firstLineChars="200"/>
        <w:rPr>
          <w:rFonts w:hAnsi="宋体"/>
          <w:sz w:val="24"/>
          <w:szCs w:val="24"/>
        </w:rPr>
      </w:pPr>
      <w:r>
        <w:rPr>
          <w:rFonts w:hAnsi="宋体"/>
          <w:sz w:val="24"/>
          <w:szCs w:val="24"/>
        </w:rPr>
        <w:t>投资决策委员会有权根据市场变化和实际情况的需要，对上述投资管理程序作出调整。</w:t>
      </w:r>
      <w:bookmarkEnd w:id="46"/>
      <w:bookmarkStart w:id="57" w:name="_Toc78208364"/>
    </w:p>
    <w:p>
      <w:pPr>
        <w:widowControl/>
        <w:adjustRightInd w:val="0"/>
        <w:snapToGrid w:val="0"/>
        <w:spacing w:before="143" w:beforeLines="50" w:after="143" w:afterLines="50" w:line="360" w:lineRule="auto"/>
        <w:jc w:val="center"/>
        <w:outlineLvl w:val="0"/>
        <w:rPr>
          <w:rFonts w:ascii="宋体" w:hAnsi="宋体"/>
          <w:b/>
          <w:kern w:val="0"/>
          <w:sz w:val="30"/>
        </w:rPr>
      </w:pPr>
      <w:r>
        <w:rPr>
          <w:rFonts w:hAnsi="宋体"/>
          <w:sz w:val="24"/>
          <w:szCs w:val="24"/>
        </w:rPr>
        <w:br w:type="page"/>
      </w:r>
      <w:bookmarkStart w:id="58" w:name="_Toc48122011"/>
      <w:r>
        <w:rPr>
          <w:rFonts w:hint="eastAsia" w:ascii="宋体" w:hAnsi="宋体"/>
          <w:b/>
          <w:kern w:val="0"/>
          <w:sz w:val="30"/>
        </w:rPr>
        <w:t>十、基金的财产</w:t>
      </w:r>
      <w:bookmarkEnd w:id="58"/>
    </w:p>
    <w:p>
      <w:pPr>
        <w:adjustRightInd w:val="0"/>
        <w:snapToGrid w:val="0"/>
        <w:spacing w:line="360" w:lineRule="auto"/>
        <w:ind w:firstLine="482"/>
        <w:outlineLvl w:val="1"/>
        <w:rPr>
          <w:b/>
          <w:bCs/>
          <w:sz w:val="24"/>
        </w:rPr>
      </w:pPr>
      <w:bookmarkStart w:id="59" w:name="_Hlk49343903"/>
      <w:r>
        <w:rPr>
          <w:b/>
          <w:bCs/>
          <w:sz w:val="24"/>
        </w:rPr>
        <w:t>（一）基金资产总值</w:t>
      </w:r>
    </w:p>
    <w:p>
      <w:pPr>
        <w:widowControl/>
        <w:adjustRightInd w:val="0"/>
        <w:snapToGrid w:val="0"/>
        <w:spacing w:line="360" w:lineRule="auto"/>
        <w:ind w:firstLine="480" w:firstLineChars="200"/>
        <w:rPr>
          <w:kern w:val="0"/>
          <w:sz w:val="24"/>
        </w:rPr>
      </w:pPr>
      <w:r>
        <w:rPr>
          <w:rFonts w:hint="eastAsia" w:hAnsi="宋体"/>
          <w:sz w:val="24"/>
          <w:szCs w:val="21"/>
        </w:rPr>
        <w:t>基金资产总值是指基金拥有的各类有价证券、股指期货合约、银行存款本息、基金应收款</w:t>
      </w:r>
      <w:r>
        <w:rPr>
          <w:rFonts w:hint="eastAsia"/>
          <w:bCs/>
          <w:sz w:val="24"/>
        </w:rPr>
        <w:t>项</w:t>
      </w:r>
      <w:r>
        <w:rPr>
          <w:rFonts w:hint="eastAsia" w:hAnsi="宋体"/>
          <w:sz w:val="24"/>
          <w:szCs w:val="21"/>
        </w:rPr>
        <w:t>及其他资产的价值总和。</w:t>
      </w:r>
      <w:bookmarkEnd w:id="57"/>
      <w:bookmarkStart w:id="60" w:name="_Toc311810245"/>
    </w:p>
    <w:p>
      <w:pPr>
        <w:adjustRightInd w:val="0"/>
        <w:snapToGrid w:val="0"/>
        <w:spacing w:line="360" w:lineRule="auto"/>
        <w:ind w:firstLine="482"/>
        <w:outlineLvl w:val="1"/>
        <w:rPr>
          <w:b/>
          <w:bCs/>
          <w:sz w:val="24"/>
        </w:rPr>
      </w:pPr>
      <w:r>
        <w:rPr>
          <w:b/>
          <w:bCs/>
          <w:sz w:val="24"/>
        </w:rPr>
        <w:t>（二）基金资</w:t>
      </w:r>
      <w:bookmarkEnd w:id="60"/>
      <w:r>
        <w:rPr>
          <w:b/>
          <w:bCs/>
          <w:sz w:val="24"/>
        </w:rPr>
        <w:t>产</w:t>
      </w:r>
      <w:bookmarkEnd w:id="55"/>
      <w:bookmarkEnd w:id="56"/>
      <w:r>
        <w:rPr>
          <w:b/>
          <w:bCs/>
          <w:sz w:val="24"/>
        </w:rPr>
        <w:t>净</w:t>
      </w:r>
      <w:bookmarkStart w:id="61" w:name="_Toc109537391"/>
      <w:r>
        <w:rPr>
          <w:b/>
          <w:bCs/>
          <w:sz w:val="24"/>
        </w:rPr>
        <w:t>值</w:t>
      </w:r>
    </w:p>
    <w:p>
      <w:pPr>
        <w:widowControl/>
        <w:adjustRightInd w:val="0"/>
        <w:snapToGrid w:val="0"/>
        <w:spacing w:line="360" w:lineRule="auto"/>
        <w:ind w:firstLine="480" w:firstLineChars="200"/>
        <w:rPr>
          <w:rFonts w:hAnsi="宋体"/>
          <w:sz w:val="24"/>
          <w:szCs w:val="21"/>
        </w:rPr>
      </w:pPr>
      <w:r>
        <w:rPr>
          <w:rFonts w:hAnsi="宋体"/>
          <w:sz w:val="24"/>
          <w:szCs w:val="21"/>
        </w:rPr>
        <w:t>基</w:t>
      </w:r>
      <w:bookmarkEnd w:id="61"/>
      <w:r>
        <w:rPr>
          <w:rFonts w:hAnsi="宋体"/>
          <w:sz w:val="24"/>
          <w:szCs w:val="21"/>
        </w:rPr>
        <w:t>金资产净值是指基金资产总值</w:t>
      </w:r>
      <w:bookmarkStart w:id="62" w:name="_Toc79392635"/>
      <w:bookmarkStart w:id="63" w:name="_Toc79556449"/>
      <w:r>
        <w:rPr>
          <w:rFonts w:hAnsi="宋体"/>
          <w:sz w:val="24"/>
          <w:szCs w:val="21"/>
        </w:rPr>
        <w:t>减去基金负债后的价值。</w:t>
      </w:r>
    </w:p>
    <w:p>
      <w:pPr>
        <w:adjustRightInd w:val="0"/>
        <w:snapToGrid w:val="0"/>
        <w:spacing w:line="360" w:lineRule="auto"/>
        <w:ind w:firstLine="482"/>
        <w:outlineLvl w:val="1"/>
        <w:rPr>
          <w:b/>
          <w:bCs/>
          <w:sz w:val="24"/>
        </w:rPr>
      </w:pPr>
      <w:r>
        <w:rPr>
          <w:b/>
          <w:bCs/>
          <w:sz w:val="24"/>
        </w:rPr>
        <w:t>（三）基金财产的账户</w:t>
      </w:r>
    </w:p>
    <w:p>
      <w:pPr>
        <w:widowControl/>
        <w:adjustRightInd w:val="0"/>
        <w:snapToGrid w:val="0"/>
        <w:spacing w:line="360" w:lineRule="auto"/>
        <w:ind w:firstLine="480" w:firstLineChars="200"/>
        <w:rPr>
          <w:kern w:val="0"/>
          <w:sz w:val="24"/>
        </w:rPr>
      </w:pPr>
      <w:r>
        <w:rPr>
          <w:bCs/>
          <w:sz w:val="24"/>
        </w:rPr>
        <w:t>基金托管人根据相关法律法规、规范性文件为本基金开立资金账户、证券账户</w:t>
      </w:r>
      <w:r>
        <w:rPr>
          <w:rFonts w:hint="eastAsia"/>
          <w:bCs/>
          <w:sz w:val="24"/>
        </w:rPr>
        <w:t>、期货结算账户以及投资所需的其他专用账户</w:t>
      </w:r>
      <w:r>
        <w:rPr>
          <w:bCs/>
          <w:sz w:val="24"/>
        </w:rPr>
        <w:t>。开立的基金专用账户与基金管理人、基</w:t>
      </w:r>
      <w:bookmarkEnd w:id="62"/>
      <w:bookmarkEnd w:id="63"/>
      <w:r>
        <w:rPr>
          <w:bCs/>
          <w:sz w:val="24"/>
        </w:rPr>
        <w:t>金托管人、基金销售机构和基金登记机构自有的财产账户以及其他基金财产账户相独立。</w:t>
      </w:r>
    </w:p>
    <w:p>
      <w:pPr>
        <w:adjustRightInd w:val="0"/>
        <w:snapToGrid w:val="0"/>
        <w:spacing w:line="360" w:lineRule="auto"/>
        <w:ind w:firstLine="482"/>
        <w:outlineLvl w:val="1"/>
        <w:rPr>
          <w:b/>
          <w:bCs/>
          <w:sz w:val="24"/>
        </w:rPr>
      </w:pPr>
      <w:r>
        <w:rPr>
          <w:b/>
          <w:bCs/>
          <w:sz w:val="24"/>
        </w:rPr>
        <w:t>（四）基金财产的保管</w:t>
      </w:r>
      <w:r>
        <w:rPr>
          <w:rFonts w:hint="eastAsia"/>
          <w:b/>
          <w:bCs/>
          <w:sz w:val="24"/>
        </w:rPr>
        <w:t>和</w:t>
      </w:r>
      <w:r>
        <w:rPr>
          <w:b/>
          <w:bCs/>
          <w:sz w:val="24"/>
        </w:rPr>
        <w:t>处分</w:t>
      </w:r>
    </w:p>
    <w:p>
      <w:pPr>
        <w:widowControl/>
        <w:adjustRightInd w:val="0"/>
        <w:snapToGrid w:val="0"/>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widowControl/>
        <w:adjustRightInd w:val="0"/>
        <w:snapToGrid w:val="0"/>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bookmarkEnd w:id="59"/>
    </w:p>
    <w:p>
      <w:pPr>
        <w:widowControl/>
        <w:adjustRightInd w:val="0"/>
        <w:snapToGrid w:val="0"/>
        <w:spacing w:line="360" w:lineRule="auto"/>
        <w:ind w:firstLine="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64" w:name="_Toc48122012"/>
      <w:r>
        <w:rPr>
          <w:rFonts w:hint="eastAsia" w:ascii="宋体" w:hAnsi="宋体"/>
          <w:b/>
          <w:kern w:val="0"/>
          <w:sz w:val="30"/>
        </w:rPr>
        <w:t>十一、基金资产的估值</w:t>
      </w:r>
      <w:bookmarkEnd w:id="64"/>
    </w:p>
    <w:p>
      <w:pPr>
        <w:adjustRightInd w:val="0"/>
        <w:snapToGrid w:val="0"/>
        <w:spacing w:line="360" w:lineRule="auto"/>
        <w:ind w:firstLine="482" w:firstLineChars="200"/>
        <w:outlineLvl w:val="1"/>
        <w:rPr>
          <w:b/>
          <w:sz w:val="24"/>
          <w:szCs w:val="24"/>
        </w:rPr>
      </w:pPr>
      <w:bookmarkStart w:id="65" w:name="_Hlk50017869"/>
      <w:bookmarkStart w:id="66" w:name="_Hlk54606108"/>
      <w:r>
        <w:rPr>
          <w:rFonts w:hAnsi="宋体"/>
          <w:b/>
          <w:sz w:val="24"/>
          <w:szCs w:val="24"/>
        </w:rPr>
        <w:t>（一）估值日</w:t>
      </w:r>
    </w:p>
    <w:p>
      <w:pPr>
        <w:adjustRightInd w:val="0"/>
        <w:snapToGrid w:val="0"/>
        <w:spacing w:line="360" w:lineRule="auto"/>
        <w:ind w:firstLine="480" w:firstLineChars="200"/>
        <w:rPr>
          <w:sz w:val="24"/>
          <w:szCs w:val="24"/>
        </w:rPr>
      </w:pPr>
      <w:r>
        <w:rPr>
          <w:rFonts w:hint="eastAsia" w:hAnsi="宋体"/>
          <w:sz w:val="24"/>
          <w:szCs w:val="24"/>
        </w:rPr>
        <w:t>本基金的估值日为本基金相关的证券交易场所的交易日以及国家法律法规规定需要对外披露基金净值的非交易日。</w:t>
      </w:r>
    </w:p>
    <w:p>
      <w:pPr>
        <w:adjustRightInd w:val="0"/>
        <w:snapToGrid w:val="0"/>
        <w:spacing w:line="360" w:lineRule="auto"/>
        <w:ind w:firstLine="482" w:firstLineChars="200"/>
        <w:outlineLvl w:val="1"/>
        <w:rPr>
          <w:b/>
          <w:bCs/>
          <w:sz w:val="24"/>
          <w:szCs w:val="24"/>
        </w:rPr>
      </w:pPr>
      <w:r>
        <w:rPr>
          <w:b/>
          <w:bCs/>
          <w:sz w:val="24"/>
          <w:szCs w:val="24"/>
        </w:rPr>
        <w:t>（二）估值对象</w:t>
      </w:r>
    </w:p>
    <w:p>
      <w:pPr>
        <w:adjustRightInd w:val="0"/>
        <w:snapToGrid w:val="0"/>
        <w:spacing w:line="360" w:lineRule="auto"/>
        <w:ind w:firstLine="480" w:firstLineChars="200"/>
        <w:rPr>
          <w:bCs/>
          <w:sz w:val="24"/>
          <w:szCs w:val="24"/>
        </w:rPr>
      </w:pPr>
      <w:r>
        <w:rPr>
          <w:rFonts w:hint="eastAsia"/>
          <w:bCs/>
          <w:sz w:val="24"/>
          <w:szCs w:val="24"/>
        </w:rPr>
        <w:t>基金所拥有的股票、债券、衍生工具和其他投资等持续以公允价值计量的金融资产及负债。</w:t>
      </w:r>
    </w:p>
    <w:p>
      <w:pPr>
        <w:adjustRightInd w:val="0"/>
        <w:snapToGrid w:val="0"/>
        <w:spacing w:line="360" w:lineRule="auto"/>
        <w:ind w:firstLine="482" w:firstLineChars="200"/>
        <w:outlineLvl w:val="1"/>
        <w:rPr>
          <w:rFonts w:hAnsi="宋体"/>
          <w:b/>
          <w:sz w:val="24"/>
          <w:szCs w:val="24"/>
        </w:rPr>
      </w:pPr>
      <w:r>
        <w:rPr>
          <w:rFonts w:hAnsi="宋体"/>
          <w:b/>
          <w:sz w:val="24"/>
          <w:szCs w:val="24"/>
        </w:rPr>
        <w:t>（三）估值</w:t>
      </w:r>
      <w:r>
        <w:rPr>
          <w:rFonts w:hint="eastAsia" w:hAnsi="宋体"/>
          <w:b/>
          <w:sz w:val="24"/>
          <w:szCs w:val="24"/>
        </w:rPr>
        <w:t>原则</w:t>
      </w:r>
    </w:p>
    <w:p>
      <w:pPr>
        <w:adjustRightInd w:val="0"/>
        <w:snapToGrid w:val="0"/>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adjustRightInd w:val="0"/>
        <w:snapToGrid w:val="0"/>
        <w:spacing w:line="360" w:lineRule="auto"/>
        <w:ind w:firstLine="480" w:firstLineChars="20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四</w:t>
      </w:r>
      <w:r>
        <w:rPr>
          <w:rFonts w:hAnsi="宋体"/>
          <w:b/>
          <w:sz w:val="24"/>
          <w:szCs w:val="24"/>
        </w:rPr>
        <w:t>）估值方法</w:t>
      </w:r>
    </w:p>
    <w:p>
      <w:pPr>
        <w:adjustRightInd w:val="0"/>
        <w:snapToGrid w:val="0"/>
        <w:spacing w:line="360" w:lineRule="auto"/>
        <w:ind w:firstLine="480" w:firstLineChars="200"/>
        <w:rPr>
          <w:sz w:val="24"/>
          <w:szCs w:val="24"/>
        </w:rPr>
      </w:pPr>
      <w:r>
        <w:rPr>
          <w:rFonts w:hint="eastAsia"/>
          <w:sz w:val="24"/>
          <w:szCs w:val="24"/>
        </w:rPr>
        <w:t>1、证券交易所上市的有价证券的估值</w:t>
      </w:r>
    </w:p>
    <w:p>
      <w:pPr>
        <w:adjustRightInd w:val="0"/>
        <w:snapToGrid w:val="0"/>
        <w:spacing w:line="360" w:lineRule="auto"/>
        <w:ind w:firstLine="480" w:firstLineChars="200"/>
        <w:rPr>
          <w:sz w:val="24"/>
          <w:szCs w:val="24"/>
        </w:rPr>
      </w:pPr>
      <w:r>
        <w:rPr>
          <w:rFonts w:hint="eastAsia"/>
          <w:sz w:val="24"/>
          <w:szCs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（2）交易所上市交易或挂牌转让的固定收益品种（另有规定的除外），选取估值日第三方估值机构提供的相应品种当日的估值净价进行估值；</w:t>
      </w:r>
    </w:p>
    <w:p>
      <w:pPr>
        <w:adjustRightInd w:val="0"/>
        <w:snapToGrid w:val="0"/>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（4）交易所上市实行全价交易的债券（可转债除外），选取第三方估值机构提供的估值全价减去估值全价中所含的债券（税后）应收利息得到的净价进行估值；</w:t>
      </w:r>
    </w:p>
    <w:p>
      <w:pPr>
        <w:adjustRightInd w:val="0"/>
        <w:snapToGrid w:val="0"/>
        <w:spacing w:line="360" w:lineRule="auto"/>
        <w:ind w:firstLine="480" w:firstLineChars="200"/>
        <w:rPr>
          <w:sz w:val="24"/>
          <w:szCs w:val="24"/>
        </w:rPr>
      </w:pPr>
      <w:r>
        <w:rPr>
          <w:rFonts w:hint="eastAsia"/>
          <w:sz w:val="24"/>
          <w:szCs w:val="24"/>
        </w:rPr>
        <w:t>（5）交易所上市不存在活跃市场的有价证券，采用估值技术确定公允价值。交易所市场挂牌转让的资产支持证券，采用估值技术确定公允价值；</w:t>
      </w:r>
    </w:p>
    <w:p>
      <w:pPr>
        <w:adjustRightInd w:val="0"/>
        <w:snapToGrid w:val="0"/>
        <w:spacing w:line="360" w:lineRule="auto"/>
        <w:ind w:firstLine="480" w:firstLineChars="200"/>
        <w:rPr>
          <w:sz w:val="24"/>
          <w:szCs w:val="24"/>
        </w:rPr>
      </w:pPr>
      <w:r>
        <w:rPr>
          <w:rFonts w:hint="eastAsia"/>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djustRightInd w:val="0"/>
        <w:snapToGrid w:val="0"/>
        <w:spacing w:line="360" w:lineRule="auto"/>
        <w:ind w:firstLine="480" w:firstLineChars="200"/>
        <w:rPr>
          <w:sz w:val="24"/>
          <w:szCs w:val="24"/>
        </w:rPr>
      </w:pPr>
      <w:r>
        <w:rPr>
          <w:rFonts w:hint="eastAsia"/>
          <w:sz w:val="24"/>
          <w:szCs w:val="24"/>
        </w:rPr>
        <w:t>2、</w:t>
      </w:r>
      <w:r>
        <w:rPr>
          <w:bCs/>
          <w:sz w:val="24"/>
        </w:rPr>
        <w:t>处于</w:t>
      </w:r>
      <w:r>
        <w:rPr>
          <w:rFonts w:hint="eastAsia"/>
          <w:sz w:val="24"/>
          <w:szCs w:val="24"/>
        </w:rPr>
        <w:t>未上市期间的有价证券应区分如下情况处理：</w:t>
      </w:r>
    </w:p>
    <w:p>
      <w:pPr>
        <w:adjustRightInd w:val="0"/>
        <w:snapToGrid w:val="0"/>
        <w:spacing w:line="360" w:lineRule="auto"/>
        <w:ind w:firstLine="480" w:firstLineChars="200"/>
        <w:rPr>
          <w:sz w:val="24"/>
          <w:szCs w:val="24"/>
        </w:rPr>
      </w:pPr>
      <w:r>
        <w:rPr>
          <w:rFonts w:hint="eastAsia"/>
          <w:sz w:val="24"/>
          <w:szCs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sz w:val="24"/>
          <w:szCs w:val="24"/>
        </w:rPr>
      </w:pPr>
      <w:r>
        <w:rPr>
          <w:rFonts w:hint="eastAsia"/>
          <w:sz w:val="24"/>
          <w:szCs w:val="24"/>
        </w:rPr>
        <w:t>（2）首次公开发行未上市的股票和债券，采用估值技术确定公允价值，在估值技术难以可靠计量公允价值的情况下，按成本估值；</w:t>
      </w:r>
    </w:p>
    <w:p>
      <w:pPr>
        <w:adjustRightInd w:val="0"/>
        <w:snapToGrid w:val="0"/>
        <w:spacing w:line="360" w:lineRule="auto"/>
        <w:ind w:firstLine="480" w:firstLineChars="200"/>
        <w:rPr>
          <w:sz w:val="24"/>
          <w:szCs w:val="24"/>
        </w:rPr>
      </w:pPr>
      <w:r>
        <w:rPr>
          <w:rFonts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sz w:val="24"/>
          <w:szCs w:val="24"/>
        </w:rPr>
      </w:pPr>
      <w:r>
        <w:rPr>
          <w:rFonts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djustRightInd w:val="0"/>
        <w:snapToGrid w:val="0"/>
        <w:spacing w:line="360" w:lineRule="auto"/>
        <w:ind w:firstLine="480" w:firstLineChars="200"/>
        <w:rPr>
          <w:sz w:val="24"/>
          <w:szCs w:val="24"/>
        </w:rPr>
      </w:pPr>
      <w:r>
        <w:rPr>
          <w:rFonts w:hint="eastAsia"/>
          <w:sz w:val="24"/>
          <w:szCs w:val="24"/>
        </w:rPr>
        <w:t>4、本基金投资股指期货合约，一般以估值当日结算价进行估值，估值当日无结算价的，且最近交易日后经济环境未发生重大变化的，采用最近交易日结算价估值。</w:t>
      </w:r>
    </w:p>
    <w:p>
      <w:pPr>
        <w:adjustRightInd w:val="0"/>
        <w:snapToGrid w:val="0"/>
        <w:spacing w:line="360" w:lineRule="auto"/>
        <w:ind w:firstLine="480" w:firstLineChars="200"/>
        <w:rPr>
          <w:sz w:val="24"/>
          <w:szCs w:val="24"/>
        </w:rPr>
      </w:pPr>
      <w:r>
        <w:rPr>
          <w:rFonts w:hint="eastAsia"/>
          <w:sz w:val="24"/>
          <w:szCs w:val="24"/>
        </w:rPr>
        <w:t>5、同一证券同时在两个或两个以上市场交易的，按证券所处的市场分别估值。</w:t>
      </w:r>
    </w:p>
    <w:p>
      <w:pPr>
        <w:adjustRightInd w:val="0"/>
        <w:snapToGrid w:val="0"/>
        <w:spacing w:line="360" w:lineRule="auto"/>
        <w:ind w:firstLine="480" w:firstLineChars="200"/>
        <w:rPr>
          <w:sz w:val="24"/>
          <w:szCs w:val="24"/>
        </w:rPr>
      </w:pPr>
      <w:r>
        <w:rPr>
          <w:sz w:val="24"/>
          <w:szCs w:val="24"/>
        </w:rPr>
        <w:t>6</w:t>
      </w:r>
      <w:r>
        <w:rPr>
          <w:rFonts w:hint="eastAsia"/>
          <w:sz w:val="24"/>
          <w:szCs w:val="24"/>
        </w:rPr>
        <w:t>、估值计算中涉及港币对人民币汇率的，将依据下列信息提供机构所提供的汇率为基准：当日中国人民银行</w:t>
      </w:r>
      <w:r>
        <w:rPr>
          <w:rFonts w:hint="eastAsia"/>
          <w:bCs/>
          <w:sz w:val="24"/>
        </w:rPr>
        <w:t>或其授权机构</w:t>
      </w:r>
      <w:r>
        <w:rPr>
          <w:rFonts w:hint="eastAsia"/>
          <w:sz w:val="24"/>
          <w:szCs w:val="24"/>
        </w:rPr>
        <w:t>公布的人民</w:t>
      </w:r>
      <w:r>
        <w:rPr>
          <w:rFonts w:hint="eastAsia"/>
          <w:bCs/>
          <w:sz w:val="24"/>
        </w:rPr>
        <w:t>币汇率</w:t>
      </w:r>
      <w:r>
        <w:rPr>
          <w:rFonts w:hint="eastAsia"/>
          <w:sz w:val="24"/>
          <w:szCs w:val="24"/>
        </w:rPr>
        <w:t>中间价。</w:t>
      </w:r>
    </w:p>
    <w:p>
      <w:pPr>
        <w:adjustRightInd w:val="0"/>
        <w:snapToGrid w:val="0"/>
        <w:spacing w:line="360" w:lineRule="auto"/>
        <w:ind w:firstLine="480" w:firstLineChars="200"/>
        <w:rPr>
          <w:sz w:val="24"/>
          <w:szCs w:val="24"/>
        </w:rPr>
      </w:pPr>
      <w:r>
        <w:rPr>
          <w:rFonts w:hint="eastAsia"/>
          <w:sz w:val="24"/>
          <w:szCs w:val="24"/>
        </w:rPr>
        <w:t>7、如有确凿证据表明按上述方法进行估值不能客观反映其公允价值的，基金管理人可根据具体情况与基金托管人商定后，按最能反映公允价值的价格估值。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sz w:val="24"/>
          <w:szCs w:val="24"/>
        </w:rPr>
      </w:pPr>
      <w:r>
        <w:rPr>
          <w:sz w:val="24"/>
          <w:szCs w:val="24"/>
        </w:rPr>
        <w:t>8</w:t>
      </w:r>
      <w:r>
        <w:rPr>
          <w:rFonts w:hint="eastAsia"/>
          <w:sz w:val="24"/>
          <w:szCs w:val="24"/>
        </w:rPr>
        <w:t>、当发生大额申购或赎回情形时，基金管理人可以采用摆动定价机制，以确保基金估值的公平性。</w:t>
      </w:r>
    </w:p>
    <w:p>
      <w:pPr>
        <w:adjustRightInd w:val="0"/>
        <w:snapToGrid w:val="0"/>
        <w:spacing w:line="360" w:lineRule="auto"/>
        <w:ind w:firstLine="480" w:firstLineChars="200"/>
        <w:rPr>
          <w:sz w:val="24"/>
          <w:szCs w:val="24"/>
        </w:rPr>
      </w:pPr>
      <w:r>
        <w:rPr>
          <w:sz w:val="24"/>
          <w:szCs w:val="24"/>
        </w:rPr>
        <w:t>9</w:t>
      </w:r>
      <w:r>
        <w:rPr>
          <w:rFonts w:hint="eastAsia"/>
          <w:sz w:val="24"/>
          <w:szCs w:val="24"/>
        </w:rPr>
        <w:t>、</w:t>
      </w:r>
      <w:r>
        <w:rPr>
          <w:rFonts w:hint="eastAsia"/>
          <w:bCs/>
          <w:sz w:val="24"/>
          <w:szCs w:val="24"/>
        </w:rPr>
        <w:t>本基金投资存托凭证的估值核算依照境内上市交易的股票执行。</w:t>
      </w:r>
    </w:p>
    <w:p>
      <w:pPr>
        <w:adjustRightInd w:val="0"/>
        <w:snapToGrid w:val="0"/>
        <w:spacing w:line="360" w:lineRule="auto"/>
        <w:ind w:firstLine="480" w:firstLineChars="200"/>
        <w:rPr>
          <w:sz w:val="24"/>
          <w:szCs w:val="24"/>
        </w:rPr>
      </w:pPr>
      <w:r>
        <w:rPr>
          <w:sz w:val="24"/>
          <w:szCs w:val="24"/>
        </w:rPr>
        <w:t>10</w:t>
      </w:r>
      <w:r>
        <w:rPr>
          <w:rFonts w:hint="eastAsia"/>
          <w:sz w:val="24"/>
          <w:szCs w:val="24"/>
        </w:rPr>
        <w:t>、相关法律法规以及监管部门有强制规定的，从其规定。如有新增事项，按国家最新规定估值。</w:t>
      </w:r>
    </w:p>
    <w:p>
      <w:pPr>
        <w:adjustRightInd w:val="0"/>
        <w:snapToGrid w:val="0"/>
        <w:spacing w:line="360" w:lineRule="auto"/>
        <w:ind w:firstLine="480" w:firstLineChars="20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五</w:t>
      </w:r>
      <w:r>
        <w:rPr>
          <w:rFonts w:hAnsi="宋体"/>
          <w:b/>
          <w:sz w:val="24"/>
          <w:szCs w:val="24"/>
        </w:rPr>
        <w:t>）估值程序</w:t>
      </w:r>
    </w:p>
    <w:p>
      <w:pPr>
        <w:adjustRightInd w:val="0"/>
        <w:snapToGrid w:val="0"/>
        <w:spacing w:line="360" w:lineRule="auto"/>
        <w:ind w:firstLine="480" w:firstLineChars="200"/>
        <w:rPr>
          <w:sz w:val="24"/>
          <w:szCs w:val="24"/>
        </w:rPr>
      </w:pPr>
      <w:r>
        <w:rPr>
          <w:rFonts w:hint="eastAsia"/>
          <w:sz w:val="24"/>
          <w:szCs w:val="24"/>
        </w:rPr>
        <w:t>1、</w:t>
      </w:r>
      <w:r>
        <w:rPr>
          <w:rFonts w:hint="eastAsia"/>
          <w:bCs/>
          <w:sz w:val="24"/>
        </w:rPr>
        <w:t>各类</w:t>
      </w:r>
      <w:r>
        <w:rPr>
          <w:bCs/>
          <w:sz w:val="24"/>
        </w:rPr>
        <w:t>基金份额</w:t>
      </w:r>
      <w:r>
        <w:rPr>
          <w:rFonts w:hint="eastAsia"/>
          <w:bCs/>
          <w:sz w:val="24"/>
        </w:rPr>
        <w:t>的</w:t>
      </w:r>
      <w:r>
        <w:rPr>
          <w:rFonts w:hint="eastAsia"/>
          <w:sz w:val="24"/>
          <w:szCs w:val="24"/>
        </w:rPr>
        <w:t>基金份额净值是按照每个工作日闭市后，</w:t>
      </w:r>
      <w:r>
        <w:rPr>
          <w:rFonts w:hint="eastAsia"/>
          <w:bCs/>
          <w:sz w:val="24"/>
        </w:rPr>
        <w:t>该类基金份额的</w:t>
      </w:r>
      <w:r>
        <w:rPr>
          <w:rFonts w:hint="eastAsia"/>
          <w:sz w:val="24"/>
          <w:szCs w:val="24"/>
        </w:rPr>
        <w:t>基金资产净值除以当日</w:t>
      </w:r>
      <w:r>
        <w:rPr>
          <w:rFonts w:hint="eastAsia"/>
          <w:bCs/>
          <w:sz w:val="24"/>
        </w:rPr>
        <w:t>该类</w:t>
      </w:r>
      <w:r>
        <w:rPr>
          <w:rFonts w:hint="eastAsia"/>
          <w:sz w:val="24"/>
          <w:szCs w:val="24"/>
        </w:rPr>
        <w:t>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sz w:val="24"/>
          <w:szCs w:val="24"/>
        </w:rPr>
      </w:pPr>
      <w:r>
        <w:rPr>
          <w:rFonts w:hint="eastAsia"/>
          <w:sz w:val="24"/>
          <w:szCs w:val="24"/>
        </w:rPr>
        <w:t>基金管理人于每个工作日计算</w:t>
      </w:r>
      <w:r>
        <w:rPr>
          <w:rFonts w:hint="eastAsia"/>
          <w:bCs/>
          <w:sz w:val="24"/>
        </w:rPr>
        <w:t>各类</w:t>
      </w:r>
      <w:r>
        <w:rPr>
          <w:bCs/>
          <w:sz w:val="24"/>
        </w:rPr>
        <w:t>基金</w:t>
      </w:r>
      <w:r>
        <w:rPr>
          <w:rFonts w:hint="eastAsia"/>
          <w:bCs/>
          <w:sz w:val="24"/>
        </w:rPr>
        <w:t>份额的</w:t>
      </w:r>
      <w:r>
        <w:rPr>
          <w:rFonts w:hint="eastAsia"/>
          <w:sz w:val="24"/>
          <w:szCs w:val="24"/>
        </w:rPr>
        <w:t>基金资产净值及基金份额净值，并按规定公告。如遇特殊情况，经履行适当程序，可以适当延迟计算或公告。</w:t>
      </w:r>
    </w:p>
    <w:p>
      <w:pPr>
        <w:adjustRightInd w:val="0"/>
        <w:snapToGrid w:val="0"/>
        <w:spacing w:line="360" w:lineRule="auto"/>
        <w:ind w:firstLine="480" w:firstLineChars="200"/>
        <w:rPr>
          <w:sz w:val="24"/>
          <w:szCs w:val="24"/>
        </w:rPr>
      </w:pPr>
      <w:r>
        <w:rPr>
          <w:rFonts w:hint="eastAsia"/>
          <w:sz w:val="24"/>
          <w:szCs w:val="24"/>
        </w:rPr>
        <w:t>2、基金管理人应每个工作日对基金资产估值。但基金管理人根据法律法规或基金合同的规定暂停估值时除外。基金管理人每个工作日对基金资产估值后，将</w:t>
      </w:r>
      <w:r>
        <w:rPr>
          <w:rFonts w:hint="eastAsia"/>
          <w:bCs/>
          <w:sz w:val="24"/>
        </w:rPr>
        <w:t>各类</w:t>
      </w:r>
      <w:r>
        <w:rPr>
          <w:rFonts w:hint="eastAsia"/>
          <w:sz w:val="24"/>
          <w:szCs w:val="24"/>
        </w:rPr>
        <w:t>基金份额净值结果发送基金托管人，经基金托管人复核无误后，由基金管理人依据基金合同和相关法律法规的规定对外公布。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六</w:t>
      </w:r>
      <w:r>
        <w:rPr>
          <w:rFonts w:hAnsi="宋体"/>
          <w:b/>
          <w:sz w:val="24"/>
          <w:szCs w:val="24"/>
        </w:rPr>
        <w:t>）估值错误的处理</w:t>
      </w:r>
    </w:p>
    <w:p>
      <w:pPr>
        <w:adjustRightInd w:val="0"/>
        <w:snapToGrid w:val="0"/>
        <w:spacing w:line="360" w:lineRule="auto"/>
        <w:ind w:firstLine="480" w:firstLineChars="200"/>
        <w:rPr>
          <w:rFonts w:hAnsi="宋体"/>
          <w:sz w:val="24"/>
          <w:szCs w:val="24"/>
        </w:rPr>
      </w:pPr>
      <w:r>
        <w:rPr>
          <w:rFonts w:hint="eastAsia" w:hAnsi="宋体"/>
          <w:sz w:val="24"/>
          <w:szCs w:val="24"/>
        </w:rPr>
        <w:t>基金管理人和基金托管人将采取必要、适当、合理的措施确保基金资产估值的准确性、及时性。当基金份额净值小数点后4位以内（含第4位）发生估值错误时，视为基金份额净值错误。</w:t>
      </w:r>
    </w:p>
    <w:p>
      <w:pPr>
        <w:adjustRightInd w:val="0"/>
        <w:snapToGrid w:val="0"/>
        <w:spacing w:line="360" w:lineRule="auto"/>
        <w:ind w:firstLine="480" w:firstLineChars="200"/>
        <w:rPr>
          <w:rFonts w:hAnsi="宋体"/>
          <w:sz w:val="24"/>
          <w:szCs w:val="24"/>
        </w:rPr>
      </w:pPr>
      <w:r>
        <w:rPr>
          <w:rFonts w:hint="eastAsia" w:hAnsi="宋体"/>
          <w:sz w:val="24"/>
          <w:szCs w:val="24"/>
        </w:rPr>
        <w:t>基金合同的当事人应按照以下约定处理：</w:t>
      </w:r>
    </w:p>
    <w:p>
      <w:pPr>
        <w:adjustRightInd w:val="0"/>
        <w:snapToGrid w:val="0"/>
        <w:spacing w:line="360" w:lineRule="auto"/>
        <w:ind w:firstLine="480" w:firstLineChars="200"/>
        <w:outlineLvl w:val="2"/>
        <w:rPr>
          <w:rFonts w:hAnsi="宋体"/>
          <w:sz w:val="24"/>
          <w:szCs w:val="24"/>
        </w:rPr>
      </w:pPr>
      <w:r>
        <w:rPr>
          <w:rFonts w:hint="eastAsia" w:hAnsi="宋体"/>
          <w:sz w:val="24"/>
          <w:szCs w:val="24"/>
        </w:rPr>
        <w:t>1、估值错误类型</w:t>
      </w:r>
    </w:p>
    <w:p>
      <w:pPr>
        <w:adjustRightInd w:val="0"/>
        <w:snapToGrid w:val="0"/>
        <w:spacing w:line="360" w:lineRule="auto"/>
        <w:ind w:firstLine="480" w:firstLineChars="200"/>
        <w:rPr>
          <w:rFonts w:hAnsi="宋体"/>
          <w:sz w:val="24"/>
          <w:szCs w:val="24"/>
        </w:rPr>
      </w:pPr>
      <w:r>
        <w:rPr>
          <w:rFonts w:hint="eastAsia"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djustRightInd w:val="0"/>
        <w:snapToGrid w:val="0"/>
        <w:spacing w:line="360" w:lineRule="auto"/>
        <w:ind w:firstLine="480" w:firstLineChars="200"/>
        <w:rPr>
          <w:rFonts w:hAnsi="宋体"/>
          <w:sz w:val="24"/>
          <w:szCs w:val="24"/>
        </w:rPr>
      </w:pPr>
      <w:r>
        <w:rPr>
          <w:rFonts w:hint="eastAsia" w:hAnsi="宋体"/>
          <w:sz w:val="24"/>
          <w:szCs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rFonts w:hAnsi="宋体"/>
          <w:sz w:val="24"/>
          <w:szCs w:val="24"/>
        </w:rPr>
      </w:pPr>
      <w:r>
        <w:rPr>
          <w:rFonts w:hint="eastAsia" w:hAnsi="宋体"/>
          <w:sz w:val="24"/>
          <w:szCs w:val="24"/>
        </w:rPr>
        <w:t>对于因技术原因引起的差错，若系同行业现有技术水平无法预见、无法避免、无法抗拒，则属不可抗力，按照下述规定执行。</w:t>
      </w:r>
    </w:p>
    <w:p>
      <w:pPr>
        <w:adjustRightInd w:val="0"/>
        <w:snapToGrid w:val="0"/>
        <w:spacing w:line="360" w:lineRule="auto"/>
        <w:ind w:firstLine="480" w:firstLineChars="200"/>
        <w:rPr>
          <w:rFonts w:hAnsi="宋体"/>
          <w:sz w:val="24"/>
          <w:szCs w:val="24"/>
        </w:rPr>
      </w:pPr>
      <w:r>
        <w:rPr>
          <w:rFonts w:hint="eastAsia" w:hAnsi="宋体"/>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djustRightInd w:val="0"/>
        <w:snapToGrid w:val="0"/>
        <w:spacing w:line="360" w:lineRule="auto"/>
        <w:ind w:firstLine="480" w:firstLineChars="200"/>
        <w:outlineLvl w:val="2"/>
        <w:rPr>
          <w:rFonts w:hAnsi="宋体"/>
          <w:sz w:val="24"/>
          <w:szCs w:val="24"/>
        </w:rPr>
      </w:pPr>
      <w:r>
        <w:rPr>
          <w:rFonts w:hint="eastAsia" w:hAnsi="宋体"/>
          <w:sz w:val="24"/>
          <w:szCs w:val="24"/>
        </w:rPr>
        <w:t>2、估值错误处理原则</w:t>
      </w:r>
    </w:p>
    <w:p>
      <w:pPr>
        <w:adjustRightInd w:val="0"/>
        <w:snapToGrid w:val="0"/>
        <w:spacing w:line="360" w:lineRule="auto"/>
        <w:ind w:firstLine="480" w:firstLineChars="200"/>
        <w:rPr>
          <w:rFonts w:hAnsi="宋体"/>
          <w:sz w:val="24"/>
          <w:szCs w:val="24"/>
        </w:rPr>
      </w:pPr>
      <w:r>
        <w:rPr>
          <w:rFonts w:hint="eastAsia"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rFonts w:hAnsi="宋体"/>
          <w:sz w:val="24"/>
          <w:szCs w:val="24"/>
        </w:rPr>
      </w:pPr>
      <w:r>
        <w:rPr>
          <w:rFonts w:hint="eastAsia" w:hAnsi="宋体"/>
          <w:sz w:val="24"/>
          <w:szCs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rFonts w:hAnsi="宋体"/>
          <w:sz w:val="24"/>
          <w:szCs w:val="24"/>
        </w:rPr>
      </w:pPr>
      <w:r>
        <w:rPr>
          <w:rFonts w:hint="eastAsia"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rFonts w:hAnsi="宋体"/>
          <w:sz w:val="24"/>
          <w:szCs w:val="24"/>
        </w:rPr>
      </w:pPr>
      <w:r>
        <w:rPr>
          <w:rFonts w:hint="eastAsia" w:hAnsi="宋体"/>
          <w:sz w:val="24"/>
          <w:szCs w:val="24"/>
        </w:rPr>
        <w:t>（4）估值错误调整采用尽量恢复至假设未发生估值错误的正确情形的方式。</w:t>
      </w:r>
    </w:p>
    <w:p>
      <w:pPr>
        <w:adjustRightInd w:val="0"/>
        <w:snapToGrid w:val="0"/>
        <w:spacing w:line="360" w:lineRule="auto"/>
        <w:ind w:firstLine="480" w:firstLineChars="200"/>
        <w:rPr>
          <w:rFonts w:hAnsi="宋体"/>
          <w:sz w:val="24"/>
          <w:szCs w:val="24"/>
        </w:rPr>
      </w:pPr>
      <w:r>
        <w:rPr>
          <w:rFonts w:hint="eastAsia" w:hAnsi="宋体"/>
          <w:sz w:val="24"/>
          <w:szCs w:val="24"/>
        </w:rPr>
        <w:t>（5）按法律法规规定的其他原则处理估值错误。</w:t>
      </w:r>
    </w:p>
    <w:p>
      <w:pPr>
        <w:adjustRightInd w:val="0"/>
        <w:snapToGrid w:val="0"/>
        <w:spacing w:line="360" w:lineRule="auto"/>
        <w:ind w:firstLine="480" w:firstLineChars="200"/>
        <w:outlineLvl w:val="2"/>
        <w:rPr>
          <w:rFonts w:hAnsi="宋体"/>
          <w:sz w:val="24"/>
          <w:szCs w:val="24"/>
        </w:rPr>
      </w:pPr>
      <w:r>
        <w:rPr>
          <w:rFonts w:hint="eastAsia" w:hAnsi="宋体"/>
          <w:sz w:val="24"/>
          <w:szCs w:val="24"/>
        </w:rPr>
        <w:t>3、估值错误处理程序</w:t>
      </w:r>
    </w:p>
    <w:p>
      <w:pPr>
        <w:adjustRightInd w:val="0"/>
        <w:snapToGrid w:val="0"/>
        <w:spacing w:line="360" w:lineRule="auto"/>
        <w:ind w:firstLine="480" w:firstLineChars="200"/>
        <w:rPr>
          <w:rFonts w:hAnsi="宋体"/>
          <w:sz w:val="24"/>
          <w:szCs w:val="24"/>
        </w:rPr>
      </w:pPr>
      <w:r>
        <w:rPr>
          <w:rFonts w:hint="eastAsia" w:hAnsi="宋体"/>
          <w:sz w:val="24"/>
          <w:szCs w:val="24"/>
        </w:rPr>
        <w:t>估值错误被发现后，有关的当事人应当及时进行处理，处理的程序如下：</w:t>
      </w:r>
    </w:p>
    <w:p>
      <w:pPr>
        <w:adjustRightInd w:val="0"/>
        <w:snapToGrid w:val="0"/>
        <w:spacing w:line="360" w:lineRule="auto"/>
        <w:ind w:firstLine="480" w:firstLineChars="200"/>
        <w:rPr>
          <w:rFonts w:hAnsi="宋体"/>
          <w:sz w:val="24"/>
          <w:szCs w:val="24"/>
        </w:rPr>
      </w:pPr>
      <w:r>
        <w:rPr>
          <w:rFonts w:hint="eastAsia" w:hAnsi="宋体"/>
          <w:sz w:val="24"/>
          <w:szCs w:val="24"/>
        </w:rPr>
        <w:t>（1）查明估值错误发生的原因，列明所有的当事人，并根据估值错误发生的原因确定估值错误的责任方；</w:t>
      </w:r>
    </w:p>
    <w:p>
      <w:pPr>
        <w:adjustRightInd w:val="0"/>
        <w:snapToGrid w:val="0"/>
        <w:spacing w:line="360" w:lineRule="auto"/>
        <w:ind w:firstLine="480" w:firstLineChars="200"/>
        <w:rPr>
          <w:rFonts w:hAnsi="宋体"/>
          <w:sz w:val="24"/>
          <w:szCs w:val="24"/>
        </w:rPr>
      </w:pPr>
      <w:r>
        <w:rPr>
          <w:rFonts w:hint="eastAsia" w:hAnsi="宋体"/>
          <w:sz w:val="24"/>
          <w:szCs w:val="24"/>
        </w:rPr>
        <w:t>（2）根据估值错误处理原则或当事人协商的方法对因估值错误造成的损失进行评估；</w:t>
      </w:r>
    </w:p>
    <w:p>
      <w:pPr>
        <w:adjustRightInd w:val="0"/>
        <w:snapToGrid w:val="0"/>
        <w:spacing w:line="360" w:lineRule="auto"/>
        <w:ind w:firstLine="480" w:firstLineChars="200"/>
        <w:rPr>
          <w:rFonts w:hAnsi="宋体"/>
          <w:sz w:val="24"/>
          <w:szCs w:val="24"/>
        </w:rPr>
      </w:pPr>
      <w:r>
        <w:rPr>
          <w:rFonts w:hint="eastAsia" w:hAnsi="宋体"/>
          <w:sz w:val="24"/>
          <w:szCs w:val="24"/>
        </w:rPr>
        <w:t>（3）根据估值错误处理原则或当事人协商的方法由估值错误的责任方进行更正和赔偿损失；</w:t>
      </w:r>
    </w:p>
    <w:p>
      <w:pPr>
        <w:adjustRightInd w:val="0"/>
        <w:snapToGrid w:val="0"/>
        <w:spacing w:line="360" w:lineRule="auto"/>
        <w:ind w:firstLine="480" w:firstLineChars="200"/>
        <w:rPr>
          <w:rFonts w:hAnsi="宋体"/>
          <w:sz w:val="24"/>
          <w:szCs w:val="24"/>
        </w:rPr>
      </w:pPr>
      <w:r>
        <w:rPr>
          <w:rFonts w:hint="eastAsia" w:hAnsi="宋体"/>
          <w:sz w:val="24"/>
          <w:szCs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outlineLvl w:val="2"/>
        <w:rPr>
          <w:rFonts w:hAnsi="宋体"/>
          <w:sz w:val="24"/>
          <w:szCs w:val="24"/>
        </w:rPr>
      </w:pPr>
      <w:r>
        <w:rPr>
          <w:rFonts w:hint="eastAsia" w:hAnsi="宋体"/>
          <w:sz w:val="24"/>
          <w:szCs w:val="24"/>
        </w:rPr>
        <w:t>4、基金份额净值估值错误处理的方法如下：</w:t>
      </w:r>
    </w:p>
    <w:p>
      <w:pPr>
        <w:adjustRightInd w:val="0"/>
        <w:snapToGrid w:val="0"/>
        <w:spacing w:line="360" w:lineRule="auto"/>
        <w:ind w:firstLine="480" w:firstLineChars="200"/>
        <w:rPr>
          <w:rFonts w:hAnsi="宋体"/>
          <w:sz w:val="24"/>
          <w:szCs w:val="24"/>
        </w:rPr>
      </w:pPr>
      <w:r>
        <w:rPr>
          <w:rFonts w:hint="eastAsia" w:hAnsi="宋体"/>
          <w:sz w:val="24"/>
          <w:szCs w:val="24"/>
        </w:rPr>
        <w:t>（1）基金份额净值计算出现错误时，基金管理人应当立即予以纠正，通报基金托管人，并采取合理的措施防止损失进一步扩大。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hAnsi="宋体"/>
          <w:sz w:val="24"/>
          <w:szCs w:val="24"/>
        </w:rPr>
      </w:pPr>
      <w:r>
        <w:rPr>
          <w:rFonts w:hint="eastAsia" w:hAnsi="宋体"/>
          <w:sz w:val="24"/>
          <w:szCs w:val="24"/>
        </w:rPr>
        <w:t>（2）错误偏差达到基金份额净值的0.25%时，基金管理人应当通报基金托管人并报中国证监会备案；错误偏差达到基金份额净值的0.5%时，基金管理人应当公告，并报中国证监会备案。</w:t>
      </w:r>
    </w:p>
    <w:p>
      <w:pPr>
        <w:adjustRightInd w:val="0"/>
        <w:snapToGrid w:val="0"/>
        <w:spacing w:line="360" w:lineRule="auto"/>
        <w:ind w:firstLine="480" w:firstLineChars="200"/>
        <w:rPr>
          <w:rFonts w:hAnsi="宋体"/>
          <w:sz w:val="24"/>
          <w:szCs w:val="24"/>
        </w:rPr>
      </w:pPr>
      <w:r>
        <w:rPr>
          <w:rFonts w:hint="eastAsia" w:hAnsi="宋体"/>
          <w:sz w:val="24"/>
          <w:szCs w:val="24"/>
        </w:rPr>
        <w:t>（3）前述内容如法律法规或监管机关另有规定的，从其规定处理。</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七</w:t>
      </w:r>
      <w:r>
        <w:rPr>
          <w:rFonts w:hAnsi="宋体"/>
          <w:b/>
          <w:sz w:val="24"/>
          <w:szCs w:val="24"/>
        </w:rPr>
        <w:t>）暂停估值的情形</w:t>
      </w:r>
    </w:p>
    <w:p>
      <w:pPr>
        <w:adjustRightInd w:val="0"/>
        <w:snapToGrid w:val="0"/>
        <w:spacing w:line="360" w:lineRule="auto"/>
        <w:ind w:firstLine="480" w:firstLineChars="200"/>
        <w:rPr>
          <w:sz w:val="24"/>
          <w:szCs w:val="24"/>
        </w:rPr>
      </w:pPr>
      <w:r>
        <w:rPr>
          <w:rFonts w:hint="eastAsia"/>
          <w:sz w:val="24"/>
          <w:szCs w:val="24"/>
        </w:rPr>
        <w:t>1、基金投资所涉及的证券、期货交易市场遇法定节假日或因其他原因暂停营业时；</w:t>
      </w:r>
    </w:p>
    <w:p>
      <w:pPr>
        <w:adjustRightInd w:val="0"/>
        <w:snapToGrid w:val="0"/>
        <w:spacing w:line="360" w:lineRule="auto"/>
        <w:ind w:firstLine="480" w:firstLineChars="200"/>
        <w:rPr>
          <w:sz w:val="24"/>
          <w:szCs w:val="24"/>
        </w:rPr>
      </w:pPr>
      <w:r>
        <w:rPr>
          <w:rFonts w:hint="eastAsia"/>
          <w:sz w:val="24"/>
          <w:szCs w:val="24"/>
        </w:rPr>
        <w:t>2、因不可抗力致使基金管理人、基金托管人无法准确评估基金资产价值时；</w:t>
      </w:r>
    </w:p>
    <w:p>
      <w:pPr>
        <w:adjustRightInd w:val="0"/>
        <w:snapToGrid w:val="0"/>
        <w:spacing w:line="360" w:lineRule="auto"/>
        <w:ind w:firstLine="480" w:firstLineChars="200"/>
        <w:rPr>
          <w:sz w:val="24"/>
          <w:szCs w:val="24"/>
        </w:rPr>
      </w:pPr>
      <w:r>
        <w:rPr>
          <w:rFonts w:hint="eastAsia"/>
          <w:sz w:val="24"/>
          <w:szCs w:val="24"/>
        </w:rPr>
        <w:t>3、当特定资产占前一估值日基金资产净值50%以上的，经与基金托管人协商确认后，基金管理人应当暂停估值；</w:t>
      </w:r>
    </w:p>
    <w:p>
      <w:pPr>
        <w:adjustRightInd w:val="0"/>
        <w:snapToGrid w:val="0"/>
        <w:spacing w:line="360" w:lineRule="auto"/>
        <w:ind w:firstLine="480" w:firstLineChars="200"/>
        <w:rPr>
          <w:sz w:val="24"/>
          <w:szCs w:val="24"/>
        </w:rPr>
      </w:pPr>
      <w:r>
        <w:rPr>
          <w:rFonts w:hint="eastAsia"/>
          <w:sz w:val="24"/>
          <w:szCs w:val="24"/>
        </w:rPr>
        <w:t>4、法律法规、中国证监会和基金合同认定的其它情形。</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八</w:t>
      </w:r>
      <w:r>
        <w:rPr>
          <w:rFonts w:hAnsi="宋体"/>
          <w:b/>
          <w:sz w:val="24"/>
          <w:szCs w:val="24"/>
        </w:rPr>
        <w:t>）基金净值的确认</w:t>
      </w:r>
    </w:p>
    <w:p>
      <w:pPr>
        <w:adjustRightInd w:val="0"/>
        <w:snapToGrid w:val="0"/>
        <w:spacing w:line="360" w:lineRule="auto"/>
        <w:ind w:firstLine="480" w:firstLineChars="200"/>
        <w:rPr>
          <w:sz w:val="24"/>
          <w:szCs w:val="24"/>
        </w:rPr>
      </w:pPr>
      <w:r>
        <w:rPr>
          <w:rFonts w:hint="eastAsia"/>
          <w:bCs/>
          <w:sz w:val="24"/>
        </w:rPr>
        <w:t>各类基金份额的</w:t>
      </w:r>
      <w:r>
        <w:rPr>
          <w:rFonts w:hint="eastAsia" w:hAnsi="宋体"/>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Pr>
          <w:rFonts w:hint="eastAsia" w:hAnsi="宋体"/>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九</w:t>
      </w:r>
      <w:r>
        <w:rPr>
          <w:rFonts w:hAnsi="宋体"/>
          <w:b/>
          <w:sz w:val="24"/>
          <w:szCs w:val="24"/>
        </w:rPr>
        <w:t>）特殊情</w:t>
      </w:r>
      <w:r>
        <w:rPr>
          <w:rFonts w:hint="eastAsia" w:hAnsi="宋体"/>
          <w:b/>
          <w:sz w:val="24"/>
          <w:szCs w:val="24"/>
        </w:rPr>
        <w:t>形</w:t>
      </w:r>
      <w:r>
        <w:rPr>
          <w:rFonts w:hAnsi="宋体"/>
          <w:b/>
          <w:sz w:val="24"/>
          <w:szCs w:val="24"/>
        </w:rPr>
        <w:t>的处理</w:t>
      </w:r>
    </w:p>
    <w:p>
      <w:pPr>
        <w:adjustRightInd w:val="0"/>
        <w:snapToGrid w:val="0"/>
        <w:spacing w:line="360" w:lineRule="auto"/>
        <w:ind w:firstLine="480" w:firstLineChars="200"/>
        <w:rPr>
          <w:sz w:val="24"/>
          <w:szCs w:val="24"/>
        </w:rPr>
      </w:pPr>
      <w:r>
        <w:rPr>
          <w:sz w:val="24"/>
          <w:szCs w:val="24"/>
        </w:rPr>
        <w:t>1</w:t>
      </w:r>
      <w:r>
        <w:rPr>
          <w:rFonts w:hint="eastAsia"/>
          <w:sz w:val="24"/>
          <w:szCs w:val="24"/>
        </w:rPr>
        <w:t>、基金管理人或基金托管人按估值方法的第</w:t>
      </w:r>
      <w:r>
        <w:rPr>
          <w:sz w:val="24"/>
          <w:szCs w:val="24"/>
        </w:rPr>
        <w:t>7</w:t>
      </w:r>
      <w:r>
        <w:rPr>
          <w:rFonts w:hint="eastAsia"/>
          <w:sz w:val="24"/>
          <w:szCs w:val="24"/>
        </w:rPr>
        <w:t>项进行估值时，所造成的误差不作为基金资产估值错误处理。</w:t>
      </w:r>
    </w:p>
    <w:p>
      <w:pPr>
        <w:adjustRightInd w:val="0"/>
        <w:snapToGrid w:val="0"/>
        <w:spacing w:line="360" w:lineRule="auto"/>
        <w:ind w:firstLine="480" w:firstLineChars="200"/>
        <w:rPr>
          <w:sz w:val="24"/>
          <w:szCs w:val="24"/>
        </w:rPr>
      </w:pPr>
      <w:r>
        <w:rPr>
          <w:sz w:val="24"/>
          <w:szCs w:val="24"/>
        </w:rPr>
        <w:t>2</w:t>
      </w:r>
      <w:r>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firstLineChars="200"/>
        <w:outlineLvl w:val="1"/>
        <w:rPr>
          <w:rFonts w:hAnsi="宋体"/>
          <w:b/>
          <w:sz w:val="24"/>
          <w:szCs w:val="24"/>
        </w:rPr>
      </w:pPr>
      <w:r>
        <w:rPr>
          <w:rFonts w:hint="eastAsia" w:hAnsi="宋体"/>
          <w:b/>
          <w:sz w:val="24"/>
          <w:szCs w:val="24"/>
        </w:rPr>
        <w:t>（十）实施侧袋机制期间的基金资产估值</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本基金实施侧袋机制的，应根据本部分的约定对主袋账户资产进行估值并披露主袋账户的基金净值信息，暂停披露侧袋账户份额净值。</w:t>
      </w:r>
      <w:bookmarkEnd w:id="65"/>
    </w:p>
    <w:bookmarkEnd w:id="66"/>
    <w:p>
      <w:pPr>
        <w:adjustRightInd w:val="0"/>
        <w:snapToGrid w:val="0"/>
        <w:spacing w:line="360" w:lineRule="auto"/>
        <w:jc w:val="center"/>
        <w:outlineLvl w:val="0"/>
        <w:rPr>
          <w:rFonts w:ascii="宋体" w:hAnsi="宋体"/>
          <w:b/>
          <w:kern w:val="0"/>
          <w:sz w:val="30"/>
        </w:rPr>
      </w:pPr>
      <w:r>
        <w:rPr>
          <w:sz w:val="24"/>
          <w:szCs w:val="24"/>
        </w:rPr>
        <w:br w:type="page"/>
      </w:r>
      <w:bookmarkStart w:id="67" w:name="_Toc48122013"/>
      <w:r>
        <w:rPr>
          <w:rFonts w:hint="eastAsia" w:ascii="宋体" w:hAnsi="宋体"/>
          <w:b/>
          <w:kern w:val="0"/>
          <w:sz w:val="30"/>
        </w:rPr>
        <w:t>十二、基金收益与分配</w:t>
      </w:r>
      <w:bookmarkEnd w:id="67"/>
    </w:p>
    <w:p>
      <w:pPr>
        <w:adjustRightInd w:val="0"/>
        <w:snapToGrid w:val="0"/>
        <w:spacing w:line="360" w:lineRule="auto"/>
        <w:ind w:firstLine="482" w:firstLineChars="200"/>
        <w:outlineLvl w:val="1"/>
        <w:rPr>
          <w:b/>
          <w:sz w:val="24"/>
        </w:rPr>
      </w:pPr>
      <w:bookmarkStart w:id="68" w:name="_Hlk49343954"/>
      <w:r>
        <w:rPr>
          <w:rFonts w:hAnsi="宋体"/>
          <w:b/>
          <w:sz w:val="24"/>
        </w:rPr>
        <w:t>（一）基金利润的构成</w:t>
      </w:r>
    </w:p>
    <w:p>
      <w:pPr>
        <w:adjustRightInd w:val="0"/>
        <w:snapToGrid w:val="0"/>
        <w:spacing w:line="360" w:lineRule="auto"/>
        <w:ind w:firstLine="480" w:firstLineChars="20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2" w:firstLineChars="200"/>
        <w:outlineLvl w:val="1"/>
        <w:rPr>
          <w:b/>
          <w:sz w:val="24"/>
        </w:rPr>
      </w:pPr>
      <w:r>
        <w:rPr>
          <w:rFonts w:hAnsi="宋体"/>
          <w:b/>
          <w:sz w:val="24"/>
        </w:rPr>
        <w:t>（二）基金可供分配利润</w:t>
      </w:r>
    </w:p>
    <w:p>
      <w:pPr>
        <w:adjustRightInd w:val="0"/>
        <w:snapToGrid w:val="0"/>
        <w:spacing w:line="360" w:lineRule="auto"/>
        <w:ind w:firstLine="480" w:firstLineChars="200"/>
        <w:rPr>
          <w:rFonts w:hAnsi="宋体"/>
          <w:sz w:val="24"/>
        </w:rPr>
      </w:pPr>
      <w:r>
        <w:rPr>
          <w:rFonts w:hAnsi="宋体"/>
          <w:sz w:val="24"/>
        </w:rPr>
        <w:t>基金可供分配利润指截至收益分</w:t>
      </w:r>
      <w:bookmarkStart w:id="69" w:name="_Hlt88900301"/>
      <w:bookmarkEnd w:id="69"/>
      <w:bookmarkStart w:id="70" w:name="_Hlt81129040"/>
      <w:bookmarkEnd w:id="70"/>
      <w:bookmarkStart w:id="71" w:name="_Hlt80435237"/>
      <w:bookmarkEnd w:id="71"/>
      <w:bookmarkStart w:id="72" w:name="_Toc15118286"/>
      <w:bookmarkStart w:id="73" w:name="_Toc109537392"/>
      <w:r>
        <w:rPr>
          <w:rFonts w:hAnsi="宋体"/>
          <w:sz w:val="24"/>
        </w:rPr>
        <w:t>配</w:t>
      </w:r>
      <w:bookmarkEnd w:id="72"/>
      <w:r>
        <w:rPr>
          <w:rFonts w:hAnsi="宋体"/>
          <w:sz w:val="24"/>
        </w:rPr>
        <w:t>基准日基金未分配利润与</w:t>
      </w:r>
      <w:bookmarkEnd w:id="73"/>
      <w:r>
        <w:rPr>
          <w:rFonts w:hAnsi="宋体"/>
          <w:sz w:val="24"/>
        </w:rPr>
        <w:t>未分配利润中已实现收益的孰低数。</w:t>
      </w:r>
    </w:p>
    <w:p>
      <w:pPr>
        <w:adjustRightInd w:val="0"/>
        <w:snapToGrid w:val="0"/>
        <w:spacing w:line="360" w:lineRule="auto"/>
        <w:ind w:firstLine="482" w:firstLineChars="200"/>
        <w:outlineLvl w:val="1"/>
        <w:rPr>
          <w:b/>
          <w:sz w:val="24"/>
        </w:rPr>
      </w:pPr>
      <w:r>
        <w:rPr>
          <w:rFonts w:hAnsi="宋体"/>
          <w:b/>
          <w:sz w:val="24"/>
        </w:rPr>
        <w:t>（三）</w:t>
      </w:r>
      <w:r>
        <w:rPr>
          <w:rFonts w:hint="eastAsia" w:hAnsi="宋体"/>
          <w:b/>
          <w:sz w:val="24"/>
        </w:rPr>
        <w:t>基金</w:t>
      </w:r>
      <w:r>
        <w:rPr>
          <w:rFonts w:hAnsi="宋体"/>
          <w:b/>
          <w:sz w:val="24"/>
        </w:rPr>
        <w:t>收益分配原则</w:t>
      </w:r>
    </w:p>
    <w:p>
      <w:pPr>
        <w:adjustRightInd w:val="0"/>
        <w:snapToGrid w:val="0"/>
        <w:spacing w:line="360" w:lineRule="auto"/>
        <w:ind w:firstLine="480" w:firstLineChars="200"/>
        <w:rPr>
          <w:rFonts w:ascii="宋体" w:hAnsi="宋体"/>
          <w:bCs/>
          <w:sz w:val="24"/>
          <w:szCs w:val="24"/>
        </w:rPr>
      </w:pPr>
      <w:bookmarkStart w:id="74" w:name="OLE_LINK72"/>
      <w:bookmarkStart w:id="75" w:name="OLE_LINK73"/>
      <w:r>
        <w:rPr>
          <w:rFonts w:hint="eastAsia" w:ascii="宋体" w:hAnsi="宋体"/>
          <w:bCs/>
          <w:sz w:val="24"/>
          <w:szCs w:val="24"/>
        </w:rPr>
        <w:t>1、由于本基金A类基金份额不收取销售服务费，C类基金份额收取销售服务费，各基金份额类别对应的可供分配利润将有所不同；</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Pr>
          <w:rFonts w:ascii="宋体" w:hAnsi="宋体"/>
          <w:bCs/>
          <w:sz w:val="24"/>
          <w:szCs w:val="24"/>
        </w:rPr>
        <w:t>基金份额进行再投资；若投资者不选择，本基金默认的收益分配方式是现金分红；</w:t>
      </w:r>
      <w:r>
        <w:rPr>
          <w:rFonts w:hAnsi="宋体"/>
          <w:sz w:val="24"/>
        </w:rPr>
        <w:t>基金份额持有人可对</w:t>
      </w:r>
      <w:r>
        <w:rPr>
          <w:rFonts w:hint="eastAsia" w:hAnsi="宋体"/>
          <w:sz w:val="24"/>
        </w:rPr>
        <w:t>其持有的</w:t>
      </w:r>
      <w:r>
        <w:rPr>
          <w:sz w:val="24"/>
        </w:rPr>
        <w:t>A</w:t>
      </w:r>
      <w:r>
        <w:rPr>
          <w:rFonts w:hAnsi="宋体"/>
          <w:sz w:val="24"/>
        </w:rPr>
        <w:t>类</w:t>
      </w:r>
      <w:r>
        <w:rPr>
          <w:rFonts w:hint="eastAsia"/>
          <w:bCs/>
          <w:sz w:val="24"/>
        </w:rPr>
        <w:t>基金份额</w:t>
      </w:r>
      <w:r>
        <w:rPr>
          <w:rFonts w:hint="eastAsia" w:hAnsi="宋体"/>
          <w:sz w:val="24"/>
        </w:rPr>
        <w:t>和</w:t>
      </w:r>
      <w:r>
        <w:rPr>
          <w:sz w:val="24"/>
        </w:rPr>
        <w:t>C</w:t>
      </w:r>
      <w:r>
        <w:rPr>
          <w:rFonts w:hAnsi="宋体"/>
          <w:sz w:val="24"/>
        </w:rPr>
        <w:t>类基金份额分别选择不同的收益分配方式</w:t>
      </w:r>
      <w:r>
        <w:rPr>
          <w:rFonts w:hint="eastAsia" w:ascii="宋体" w:hAnsi="宋体"/>
          <w:sz w:val="24"/>
        </w:rPr>
        <w:t>；</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、基金收益分配后</w:t>
      </w:r>
      <w:r>
        <w:rPr>
          <w:rFonts w:hint="eastAsia"/>
          <w:bCs/>
          <w:sz w:val="24"/>
        </w:rPr>
        <w:t>任一类</w:t>
      </w:r>
      <w:r>
        <w:rPr>
          <w:rFonts w:hint="eastAsia" w:ascii="宋体" w:hAnsi="宋体"/>
          <w:bCs/>
          <w:sz w:val="24"/>
          <w:szCs w:val="24"/>
        </w:rPr>
        <w:t>基金份额净值不能低于面值；即基金收益分配基准日的</w:t>
      </w:r>
      <w:r>
        <w:rPr>
          <w:rFonts w:hint="eastAsia"/>
          <w:bCs/>
          <w:sz w:val="24"/>
        </w:rPr>
        <w:t>任一类</w:t>
      </w:r>
      <w:r>
        <w:rPr>
          <w:rFonts w:hint="eastAsia" w:ascii="宋体" w:hAnsi="宋体"/>
          <w:bCs/>
          <w:sz w:val="24"/>
          <w:szCs w:val="24"/>
        </w:rPr>
        <w:t>基金份额净值减去</w:t>
      </w:r>
      <w:r>
        <w:rPr>
          <w:rFonts w:hint="eastAsia"/>
          <w:bCs/>
          <w:sz w:val="24"/>
        </w:rPr>
        <w:t>该类</w:t>
      </w:r>
      <w:r>
        <w:rPr>
          <w:rFonts w:hint="eastAsia" w:ascii="宋体" w:hAnsi="宋体"/>
          <w:bCs/>
          <w:sz w:val="24"/>
          <w:szCs w:val="24"/>
        </w:rPr>
        <w:t>每单位基金份额收益分配金额后不能低于面值；</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5、</w:t>
      </w:r>
      <w:r>
        <w:rPr>
          <w:rFonts w:hint="eastAsia"/>
          <w:bCs/>
          <w:sz w:val="24"/>
        </w:rPr>
        <w:t>本基金同一基金份额类别的</w:t>
      </w:r>
      <w:r>
        <w:rPr>
          <w:rFonts w:ascii="宋体" w:hAnsi="宋体"/>
          <w:bCs/>
          <w:sz w:val="24"/>
          <w:szCs w:val="24"/>
        </w:rPr>
        <w:t>每一基金份额享有同等分配权；</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6、法律法规或监管</w:t>
      </w:r>
      <w:r>
        <w:rPr>
          <w:rFonts w:hint="eastAsia" w:ascii="宋体" w:hAnsi="宋体"/>
          <w:bCs/>
          <w:sz w:val="24"/>
          <w:szCs w:val="24"/>
        </w:rPr>
        <w:t>机</w:t>
      </w:r>
      <w:r>
        <w:rPr>
          <w:rFonts w:ascii="宋体" w:hAnsi="宋体"/>
          <w:bCs/>
          <w:sz w:val="24"/>
          <w:szCs w:val="24"/>
        </w:rPr>
        <w:t>关另有规定的，从其规定。</w:t>
      </w:r>
    </w:p>
    <w:bookmarkEnd w:id="74"/>
    <w:bookmarkEnd w:id="75"/>
    <w:p>
      <w:pPr>
        <w:snapToGrid w:val="0"/>
        <w:spacing w:line="360" w:lineRule="auto"/>
        <w:ind w:firstLine="482" w:firstLineChars="200"/>
        <w:outlineLvl w:val="1"/>
        <w:rPr>
          <w:b/>
          <w:sz w:val="24"/>
        </w:rPr>
      </w:pPr>
      <w:r>
        <w:rPr>
          <w:rFonts w:hAnsi="宋体"/>
          <w:b/>
          <w:sz w:val="24"/>
        </w:rPr>
        <w:t>（四）收益分配方案</w:t>
      </w:r>
    </w:p>
    <w:p>
      <w:pPr>
        <w:adjustRightInd w:val="0"/>
        <w:snapToGrid w:val="0"/>
        <w:spacing w:line="360" w:lineRule="auto"/>
        <w:ind w:firstLine="480" w:firstLineChars="200"/>
        <w:rPr>
          <w:rFonts w:hAnsi="宋体"/>
          <w:sz w:val="24"/>
        </w:rPr>
      </w:pPr>
      <w:r>
        <w:rPr>
          <w:rFonts w:hAnsi="宋体"/>
          <w:sz w:val="24"/>
        </w:rPr>
        <w:t>基金收益分配方案中应载明截止收益分配基准日的可供分配利润、基金收益分配对象、分配时间、分配数额及比例、分配方式等内容。</w:t>
      </w:r>
    </w:p>
    <w:p>
      <w:pPr>
        <w:adjustRightInd w:val="0"/>
        <w:snapToGrid w:val="0"/>
        <w:spacing w:line="360" w:lineRule="auto"/>
        <w:ind w:firstLine="482" w:firstLineChars="200"/>
        <w:outlineLvl w:val="1"/>
        <w:rPr>
          <w:b/>
          <w:sz w:val="24"/>
        </w:rPr>
      </w:pPr>
      <w:r>
        <w:rPr>
          <w:rFonts w:hAnsi="宋体"/>
          <w:b/>
          <w:sz w:val="24"/>
        </w:rPr>
        <w:t>（五）收益分配方案的确定、公告与实施</w:t>
      </w:r>
    </w:p>
    <w:p>
      <w:pPr>
        <w:adjustRightInd w:val="0"/>
        <w:snapToGrid w:val="0"/>
        <w:spacing w:line="360" w:lineRule="auto"/>
        <w:ind w:firstLine="480" w:firstLineChars="200"/>
        <w:rPr>
          <w:bCs/>
          <w:sz w:val="24"/>
        </w:rPr>
      </w:pPr>
      <w:r>
        <w:rPr>
          <w:rFonts w:hint="eastAsia"/>
          <w:bCs/>
          <w:sz w:val="24"/>
        </w:rPr>
        <w:t>本基金收益分配方案由基金管理人拟定，并由基金托管人复核，依照《信息披露办法》的规定在规定媒介公告。</w:t>
      </w:r>
    </w:p>
    <w:p>
      <w:pPr>
        <w:adjustRightInd w:val="0"/>
        <w:snapToGrid w:val="0"/>
        <w:spacing w:line="360" w:lineRule="auto"/>
        <w:ind w:firstLine="480" w:firstLineChars="200"/>
        <w:rPr>
          <w:rFonts w:ascii="宋体" w:hAnsi="宋体"/>
          <w:sz w:val="24"/>
        </w:rPr>
      </w:pPr>
      <w:r>
        <w:rPr>
          <w:rFonts w:hint="eastAsia"/>
          <w:bCs/>
          <w:sz w:val="24"/>
        </w:rPr>
        <w:t>法律法规或监管机关另有规定的，从其规定。</w:t>
      </w:r>
    </w:p>
    <w:p>
      <w:pPr>
        <w:adjustRightInd w:val="0"/>
        <w:snapToGrid w:val="0"/>
        <w:spacing w:line="360" w:lineRule="auto"/>
        <w:ind w:firstLine="482" w:firstLineChars="200"/>
        <w:outlineLvl w:val="1"/>
        <w:rPr>
          <w:b/>
          <w:sz w:val="24"/>
        </w:rPr>
      </w:pPr>
      <w:r>
        <w:rPr>
          <w:b/>
          <w:sz w:val="24"/>
        </w:rPr>
        <w:t>（六）基金收益分配中发生的费用</w:t>
      </w:r>
    </w:p>
    <w:p>
      <w:pPr>
        <w:adjustRightInd w:val="0"/>
        <w:snapToGrid w:val="0"/>
        <w:spacing w:line="360" w:lineRule="auto"/>
        <w:ind w:firstLine="480" w:firstLineChars="20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djustRightInd w:val="0"/>
        <w:snapToGrid w:val="0"/>
        <w:spacing w:line="360" w:lineRule="auto"/>
        <w:ind w:firstLine="482" w:firstLineChars="200"/>
        <w:outlineLvl w:val="1"/>
        <w:rPr>
          <w:b/>
          <w:sz w:val="24"/>
        </w:rPr>
      </w:pPr>
      <w:r>
        <w:rPr>
          <w:b/>
          <w:sz w:val="24"/>
        </w:rPr>
        <w:t>（七）收益分配方式的修改</w:t>
      </w:r>
    </w:p>
    <w:p>
      <w:pPr>
        <w:adjustRightInd w:val="0"/>
        <w:snapToGrid w:val="0"/>
        <w:spacing w:line="360" w:lineRule="auto"/>
        <w:ind w:firstLine="480" w:firstLineChars="200"/>
        <w:rPr>
          <w:sz w:val="24"/>
        </w:rPr>
      </w:pPr>
      <w:r>
        <w:rPr>
          <w:sz w:val="24"/>
        </w:rPr>
        <w:t>投资人可至销售机构办理收益分配方式的修改，投资人对本基金不同的交易账户可设置不同的收益分配方式。</w:t>
      </w:r>
    </w:p>
    <w:p>
      <w:pPr>
        <w:adjustRightInd w:val="0"/>
        <w:snapToGrid w:val="0"/>
        <w:spacing w:line="360" w:lineRule="auto"/>
        <w:ind w:firstLine="480" w:firstLineChars="20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pPr>
        <w:adjustRightInd w:val="0"/>
        <w:snapToGrid w:val="0"/>
        <w:spacing w:line="360" w:lineRule="auto"/>
        <w:ind w:firstLine="482" w:firstLineChars="200"/>
        <w:outlineLvl w:val="1"/>
        <w:rPr>
          <w:b/>
          <w:sz w:val="24"/>
        </w:rPr>
      </w:pPr>
      <w:r>
        <w:rPr>
          <w:rFonts w:hint="eastAsia"/>
          <w:b/>
          <w:sz w:val="24"/>
        </w:rPr>
        <w:t>（八</w:t>
      </w:r>
      <w:r>
        <w:rPr>
          <w:b/>
          <w:sz w:val="24"/>
        </w:rPr>
        <w:t>）</w:t>
      </w:r>
      <w:r>
        <w:rPr>
          <w:rFonts w:hint="eastAsia"/>
          <w:b/>
          <w:sz w:val="24"/>
        </w:rPr>
        <w:t>实施侧袋机制期间的收益分配</w:t>
      </w:r>
    </w:p>
    <w:p>
      <w:pPr>
        <w:adjustRightInd w:val="0"/>
        <w:snapToGrid w:val="0"/>
        <w:spacing w:line="360" w:lineRule="auto"/>
        <w:ind w:firstLine="480" w:firstLineChars="200"/>
        <w:rPr>
          <w:sz w:val="24"/>
        </w:rPr>
      </w:pPr>
      <w:r>
        <w:rPr>
          <w:rFonts w:hint="eastAsia"/>
          <w:sz w:val="24"/>
        </w:rPr>
        <w:t>本基金实施侧袋机制的，侧袋账户不进行收益分配。</w:t>
      </w:r>
      <w:bookmarkEnd w:id="68"/>
    </w:p>
    <w:p>
      <w:pPr>
        <w:widowControl/>
        <w:adjustRightInd w:val="0"/>
        <w:snapToGrid w:val="0"/>
        <w:spacing w:line="360" w:lineRule="auto"/>
        <w:ind w:firstLine="200"/>
        <w:rPr>
          <w:rFonts w:ascii="宋体" w:hAnsi="宋体"/>
          <w:kern w:val="0"/>
          <w:sz w:val="24"/>
        </w:rPr>
      </w:pPr>
    </w:p>
    <w:p>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6" w:name="_Toc48122014"/>
      <w:r>
        <w:rPr>
          <w:rFonts w:hint="eastAsia" w:ascii="宋体" w:hAnsi="宋体"/>
          <w:b/>
          <w:kern w:val="0"/>
          <w:sz w:val="30"/>
        </w:rPr>
        <w:t>十三、基金的费用与税收</w:t>
      </w:r>
      <w:bookmarkEnd w:id="76"/>
    </w:p>
    <w:p>
      <w:pPr>
        <w:adjustRightInd w:val="0"/>
        <w:snapToGrid w:val="0"/>
        <w:spacing w:line="360" w:lineRule="auto"/>
        <w:ind w:firstLine="482" w:firstLineChars="200"/>
        <w:outlineLvl w:val="1"/>
        <w:rPr>
          <w:i/>
          <w:sz w:val="24"/>
          <w:u w:val="single"/>
        </w:rPr>
      </w:pPr>
      <w:bookmarkStart w:id="77" w:name="_Hlk49343964"/>
      <w:r>
        <w:rPr>
          <w:rFonts w:hAnsi="宋体"/>
          <w:b/>
          <w:sz w:val="24"/>
        </w:rPr>
        <w:t>（一）基金费用的种类</w:t>
      </w:r>
    </w:p>
    <w:p>
      <w:pPr>
        <w:adjustRightInd w:val="0"/>
        <w:snapToGrid w:val="0"/>
        <w:spacing w:line="360" w:lineRule="auto"/>
        <w:ind w:firstLine="480" w:firstLineChars="200"/>
        <w:rPr>
          <w:sz w:val="24"/>
        </w:rPr>
      </w:pPr>
      <w:r>
        <w:rPr>
          <w:sz w:val="24"/>
        </w:rPr>
        <w:t>1、基金管理人的管理费；</w:t>
      </w:r>
    </w:p>
    <w:p>
      <w:pPr>
        <w:adjustRightInd w:val="0"/>
        <w:snapToGrid w:val="0"/>
        <w:spacing w:line="360" w:lineRule="auto"/>
        <w:ind w:firstLine="480" w:firstLineChars="200"/>
        <w:rPr>
          <w:sz w:val="24"/>
        </w:rPr>
      </w:pPr>
      <w:r>
        <w:rPr>
          <w:rFonts w:hint="eastAsia"/>
          <w:sz w:val="24"/>
        </w:rPr>
        <w:t>2、基金托管人的托管费；</w:t>
      </w:r>
    </w:p>
    <w:p>
      <w:pPr>
        <w:adjustRightInd w:val="0"/>
        <w:snapToGrid w:val="0"/>
        <w:spacing w:line="360" w:lineRule="auto"/>
        <w:ind w:firstLine="480" w:firstLineChars="200"/>
        <w:rPr>
          <w:sz w:val="24"/>
        </w:rPr>
      </w:pPr>
      <w:r>
        <w:rPr>
          <w:rFonts w:hint="eastAsia"/>
          <w:sz w:val="24"/>
        </w:rPr>
        <w:t>3、《基金合同》生效后与基金相关的信息披露费用；</w:t>
      </w:r>
    </w:p>
    <w:p>
      <w:pPr>
        <w:adjustRightInd w:val="0"/>
        <w:snapToGrid w:val="0"/>
        <w:spacing w:line="360" w:lineRule="auto"/>
        <w:ind w:firstLine="480" w:firstLineChars="200"/>
        <w:rPr>
          <w:sz w:val="24"/>
        </w:rPr>
      </w:pPr>
      <w:r>
        <w:rPr>
          <w:rFonts w:hint="eastAsia"/>
          <w:sz w:val="24"/>
        </w:rPr>
        <w:t>4、《基金合同》生效后与基金相关的会计师费、律师费</w:t>
      </w:r>
      <w:r>
        <w:rPr>
          <w:rFonts w:hint="eastAsia"/>
          <w:bCs/>
          <w:sz w:val="24"/>
        </w:rPr>
        <w:t>、仲裁费</w:t>
      </w:r>
      <w:r>
        <w:rPr>
          <w:rFonts w:hint="eastAsia"/>
          <w:sz w:val="24"/>
        </w:rPr>
        <w:t>和诉讼费；</w:t>
      </w:r>
    </w:p>
    <w:p>
      <w:pPr>
        <w:adjustRightInd w:val="0"/>
        <w:snapToGrid w:val="0"/>
        <w:spacing w:line="360" w:lineRule="auto"/>
        <w:ind w:firstLine="480" w:firstLineChars="200"/>
        <w:rPr>
          <w:sz w:val="24"/>
        </w:rPr>
      </w:pPr>
      <w:r>
        <w:rPr>
          <w:rFonts w:hint="eastAsia"/>
          <w:sz w:val="24"/>
        </w:rPr>
        <w:t>5、基金份额持有人大会费用；</w:t>
      </w:r>
    </w:p>
    <w:p>
      <w:pPr>
        <w:adjustRightInd w:val="0"/>
        <w:snapToGrid w:val="0"/>
        <w:spacing w:line="360" w:lineRule="auto"/>
        <w:ind w:firstLine="480" w:firstLineChars="200"/>
        <w:rPr>
          <w:sz w:val="24"/>
        </w:rPr>
      </w:pPr>
      <w:r>
        <w:rPr>
          <w:rFonts w:hint="eastAsia"/>
          <w:sz w:val="24"/>
        </w:rPr>
        <w:t>6、基金的证券、期货交易费用；</w:t>
      </w:r>
    </w:p>
    <w:p>
      <w:pPr>
        <w:adjustRightInd w:val="0"/>
        <w:snapToGrid w:val="0"/>
        <w:spacing w:line="360" w:lineRule="auto"/>
        <w:ind w:firstLine="480" w:firstLineChars="200"/>
        <w:rPr>
          <w:sz w:val="24"/>
        </w:rPr>
      </w:pPr>
      <w:r>
        <w:rPr>
          <w:rFonts w:hint="eastAsia"/>
          <w:sz w:val="24"/>
        </w:rPr>
        <w:t>7、基金的银行汇划费用；</w:t>
      </w:r>
    </w:p>
    <w:p>
      <w:pPr>
        <w:adjustRightInd w:val="0"/>
        <w:snapToGrid w:val="0"/>
        <w:spacing w:line="360" w:lineRule="auto"/>
        <w:ind w:firstLine="480" w:firstLineChars="200"/>
        <w:rPr>
          <w:sz w:val="24"/>
        </w:rPr>
      </w:pPr>
      <w:r>
        <w:rPr>
          <w:rFonts w:hint="eastAsia"/>
          <w:sz w:val="24"/>
        </w:rPr>
        <w:t>8、基金的开户费用、账户维护费用；</w:t>
      </w:r>
    </w:p>
    <w:p>
      <w:pPr>
        <w:adjustRightInd w:val="0"/>
        <w:snapToGrid w:val="0"/>
        <w:spacing w:line="360" w:lineRule="auto"/>
        <w:ind w:firstLine="480" w:firstLineChars="200"/>
        <w:rPr>
          <w:sz w:val="24"/>
        </w:rPr>
      </w:pPr>
      <w:r>
        <w:rPr>
          <w:rFonts w:hint="eastAsia"/>
          <w:sz w:val="24"/>
        </w:rPr>
        <w:t>9、因投资港股通标的股票而产生的各项合理费用；</w:t>
      </w:r>
    </w:p>
    <w:p>
      <w:pPr>
        <w:adjustRightInd w:val="0"/>
        <w:snapToGrid w:val="0"/>
        <w:spacing w:line="360" w:lineRule="auto"/>
        <w:ind w:firstLine="480" w:firstLineChars="200"/>
        <w:rPr>
          <w:sz w:val="24"/>
        </w:rPr>
      </w:pPr>
      <w:r>
        <w:rPr>
          <w:sz w:val="24"/>
        </w:rPr>
        <w:t>10</w:t>
      </w:r>
      <w:r>
        <w:rPr>
          <w:rFonts w:hint="eastAsia"/>
          <w:sz w:val="24"/>
        </w:rPr>
        <w:t>、本基金从C类基金份额的基金财产中计提的销售服务费；</w:t>
      </w:r>
    </w:p>
    <w:p>
      <w:pPr>
        <w:adjustRightInd w:val="0"/>
        <w:snapToGrid w:val="0"/>
        <w:spacing w:line="360" w:lineRule="auto"/>
        <w:ind w:firstLine="480" w:firstLineChars="200"/>
        <w:rPr>
          <w:sz w:val="24"/>
        </w:rPr>
      </w:pPr>
      <w:r>
        <w:rPr>
          <w:rFonts w:hint="eastAsia"/>
          <w:sz w:val="24"/>
        </w:rPr>
        <w:t>11、按照国家有关规定和《基金合同》约定，可以在基金财产中列支的其他费用。</w:t>
      </w:r>
    </w:p>
    <w:p>
      <w:pPr>
        <w:adjustRightInd w:val="0"/>
        <w:snapToGrid w:val="0"/>
        <w:spacing w:line="360" w:lineRule="auto"/>
        <w:ind w:firstLine="482"/>
        <w:outlineLvl w:val="1"/>
        <w:rPr>
          <w:b/>
          <w:bCs/>
          <w:sz w:val="24"/>
        </w:rPr>
      </w:pPr>
      <w:r>
        <w:rPr>
          <w:b/>
          <w:bCs/>
          <w:sz w:val="24"/>
        </w:rPr>
        <w:t>（二）基金费用计提方法、计提标准和支付方式</w:t>
      </w:r>
    </w:p>
    <w:p>
      <w:pPr>
        <w:adjustRightInd w:val="0"/>
        <w:snapToGrid w:val="0"/>
        <w:spacing w:line="360" w:lineRule="auto"/>
        <w:ind w:firstLine="480" w:firstLineChars="200"/>
        <w:outlineLvl w:val="2"/>
        <w:rPr>
          <w:sz w:val="24"/>
        </w:rPr>
      </w:pPr>
      <w:r>
        <w:rPr>
          <w:rFonts w:hint="eastAsia"/>
          <w:sz w:val="24"/>
        </w:rPr>
        <w:t>1、与基金运作有关的费用</w:t>
      </w:r>
    </w:p>
    <w:p>
      <w:pPr>
        <w:adjustRightInd w:val="0"/>
        <w:snapToGrid w:val="0"/>
        <w:spacing w:line="360" w:lineRule="auto"/>
        <w:ind w:firstLine="480" w:firstLineChars="200"/>
        <w:rPr>
          <w:sz w:val="24"/>
        </w:rPr>
      </w:pPr>
      <w:r>
        <w:rPr>
          <w:rFonts w:hint="eastAsia"/>
          <w:sz w:val="24"/>
        </w:rPr>
        <w:t>（</w:t>
      </w:r>
      <w:r>
        <w:rPr>
          <w:sz w:val="24"/>
        </w:rPr>
        <w:t>1</w:t>
      </w:r>
      <w:r>
        <w:rPr>
          <w:rFonts w:hint="eastAsia" w:hAnsi="宋体"/>
          <w:sz w:val="24"/>
        </w:rPr>
        <w:t>）</w:t>
      </w:r>
      <w:r>
        <w:rPr>
          <w:rFonts w:hAnsi="宋体"/>
          <w:sz w:val="24"/>
        </w:rPr>
        <w:t>基金管理人的管理费</w:t>
      </w:r>
    </w:p>
    <w:p>
      <w:pPr>
        <w:adjustRightInd w:val="0"/>
        <w:snapToGrid w:val="0"/>
        <w:spacing w:line="360" w:lineRule="auto"/>
        <w:ind w:firstLine="480" w:firstLineChars="200"/>
        <w:rPr>
          <w:bCs/>
          <w:sz w:val="24"/>
        </w:rPr>
      </w:pPr>
      <w:r>
        <w:rPr>
          <w:rFonts w:hint="eastAsia"/>
          <w:bCs/>
          <w:sz w:val="24"/>
        </w:rPr>
        <w:t>本基金的管理费按前一日基金资产净值的</w:t>
      </w:r>
      <w:r>
        <w:rPr>
          <w:bCs/>
          <w:sz w:val="24"/>
        </w:rPr>
        <w:t>1.5</w:t>
      </w:r>
      <w:r>
        <w:rPr>
          <w:rFonts w:hint="eastAsia"/>
          <w:bCs/>
          <w:sz w:val="24"/>
        </w:rPr>
        <w:t>%年费率计提。管理费的计算方法如下：</w:t>
      </w:r>
    </w:p>
    <w:p>
      <w:pPr>
        <w:adjustRightInd w:val="0"/>
        <w:snapToGrid w:val="0"/>
        <w:spacing w:line="360" w:lineRule="auto"/>
        <w:ind w:firstLine="480" w:firstLineChars="200"/>
        <w:rPr>
          <w:bCs/>
          <w:sz w:val="24"/>
        </w:rPr>
      </w:pPr>
      <w:r>
        <w:rPr>
          <w:rFonts w:hint="eastAsia"/>
          <w:bCs/>
          <w:sz w:val="24"/>
        </w:rPr>
        <w:t>H＝E×年管理费率÷当年天数</w:t>
      </w:r>
    </w:p>
    <w:p>
      <w:pPr>
        <w:adjustRightInd w:val="0"/>
        <w:snapToGrid w:val="0"/>
        <w:spacing w:line="360" w:lineRule="auto"/>
        <w:ind w:firstLine="480" w:firstLineChars="200"/>
        <w:rPr>
          <w:bCs/>
          <w:sz w:val="24"/>
        </w:rPr>
      </w:pPr>
      <w:r>
        <w:rPr>
          <w:rFonts w:hint="eastAsia"/>
          <w:bCs/>
          <w:sz w:val="24"/>
        </w:rPr>
        <w:t>H为每日应计提的基金管理费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管理费每日计提，逐日累计至每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adjustRightInd w:val="0"/>
        <w:snapToGrid w:val="0"/>
        <w:spacing w:line="360" w:lineRule="auto"/>
        <w:ind w:firstLine="480" w:firstLineChars="200"/>
        <w:rPr>
          <w:sz w:val="24"/>
        </w:rPr>
      </w:pPr>
      <w:r>
        <w:rPr>
          <w:rFonts w:hint="eastAsia"/>
          <w:sz w:val="24"/>
        </w:rPr>
        <w:t>（</w:t>
      </w:r>
      <w:r>
        <w:rPr>
          <w:sz w:val="24"/>
        </w:rPr>
        <w:t>2</w:t>
      </w:r>
      <w:r>
        <w:rPr>
          <w:rFonts w:hint="eastAsia" w:hAnsi="宋体"/>
          <w:sz w:val="24"/>
        </w:rPr>
        <w:t>）</w:t>
      </w:r>
      <w:r>
        <w:rPr>
          <w:rFonts w:hAnsi="宋体"/>
          <w:sz w:val="24"/>
        </w:rPr>
        <w:t>基金托管人的托管费</w:t>
      </w:r>
    </w:p>
    <w:p>
      <w:pPr>
        <w:adjustRightInd w:val="0"/>
        <w:snapToGrid w:val="0"/>
        <w:spacing w:line="360" w:lineRule="auto"/>
        <w:ind w:firstLine="480" w:firstLineChars="200"/>
        <w:rPr>
          <w:bCs/>
          <w:sz w:val="24"/>
        </w:rPr>
      </w:pPr>
      <w:r>
        <w:rPr>
          <w:rFonts w:hint="eastAsia"/>
          <w:bCs/>
          <w:sz w:val="24"/>
        </w:rPr>
        <w:t>本基金的托管费按前一日基金资产净值的0.2</w:t>
      </w:r>
      <w:r>
        <w:rPr>
          <w:bCs/>
          <w:sz w:val="24"/>
        </w:rPr>
        <w:t>5</w:t>
      </w:r>
      <w:r>
        <w:rPr>
          <w:rFonts w:hint="eastAsia"/>
          <w:bCs/>
          <w:sz w:val="24"/>
        </w:rPr>
        <w:t>%年费率计提。托管费的计算方法如下：</w:t>
      </w:r>
    </w:p>
    <w:p>
      <w:pPr>
        <w:adjustRightInd w:val="0"/>
        <w:snapToGrid w:val="0"/>
        <w:spacing w:line="360" w:lineRule="auto"/>
        <w:ind w:firstLine="480" w:firstLineChars="200"/>
        <w:rPr>
          <w:bCs/>
          <w:sz w:val="24"/>
        </w:rPr>
      </w:pPr>
      <w:r>
        <w:rPr>
          <w:rFonts w:hint="eastAsia"/>
          <w:bCs/>
          <w:sz w:val="24"/>
        </w:rPr>
        <w:t>H＝E×年托管费率÷当年天数</w:t>
      </w:r>
    </w:p>
    <w:p>
      <w:pPr>
        <w:adjustRightInd w:val="0"/>
        <w:snapToGrid w:val="0"/>
        <w:spacing w:line="360" w:lineRule="auto"/>
        <w:ind w:firstLine="480" w:firstLineChars="200"/>
        <w:rPr>
          <w:bCs/>
          <w:sz w:val="24"/>
        </w:rPr>
      </w:pPr>
      <w:r>
        <w:rPr>
          <w:rFonts w:hint="eastAsia"/>
          <w:bCs/>
          <w:sz w:val="24"/>
        </w:rPr>
        <w:t>H为每日应计提的基金托管费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djustRightInd w:val="0"/>
        <w:snapToGrid w:val="0"/>
        <w:spacing w:line="360" w:lineRule="auto"/>
        <w:ind w:firstLine="480" w:firstLineChars="200"/>
        <w:rPr>
          <w:bCs/>
          <w:sz w:val="24"/>
        </w:rPr>
      </w:pPr>
      <w:r>
        <w:rPr>
          <w:rFonts w:hint="eastAsia"/>
          <w:bCs/>
          <w:sz w:val="24"/>
        </w:rPr>
        <w:t>（</w:t>
      </w:r>
      <w:r>
        <w:rPr>
          <w:bCs/>
          <w:sz w:val="24"/>
        </w:rPr>
        <w:t>3</w:t>
      </w:r>
      <w:r>
        <w:rPr>
          <w:rFonts w:hint="eastAsia"/>
          <w:bCs/>
          <w:sz w:val="24"/>
        </w:rPr>
        <w:t>）C类基金份额的销售服务费</w:t>
      </w:r>
    </w:p>
    <w:p>
      <w:pPr>
        <w:adjustRightInd w:val="0"/>
        <w:snapToGrid w:val="0"/>
        <w:spacing w:line="360" w:lineRule="auto"/>
        <w:ind w:firstLine="480" w:firstLineChars="200"/>
        <w:rPr>
          <w:bCs/>
          <w:sz w:val="24"/>
        </w:rPr>
      </w:pPr>
      <w:r>
        <w:rPr>
          <w:rFonts w:hint="eastAsia"/>
          <w:bCs/>
          <w:sz w:val="24"/>
        </w:rPr>
        <w:t>本基金A类基金份额不收取销售服务费，C类基金份额的销售服务费按前一日C类基金资产净值的0.</w:t>
      </w:r>
      <w:r>
        <w:rPr>
          <w:bCs/>
          <w:sz w:val="24"/>
        </w:rPr>
        <w:t>6</w:t>
      </w:r>
      <w:r>
        <w:rPr>
          <w:rFonts w:hint="eastAsia"/>
          <w:bCs/>
          <w:sz w:val="24"/>
        </w:rPr>
        <w:t>%年费率计提。计算方法如下：</w:t>
      </w:r>
    </w:p>
    <w:p>
      <w:pPr>
        <w:adjustRightInd w:val="0"/>
        <w:snapToGrid w:val="0"/>
        <w:spacing w:line="360" w:lineRule="auto"/>
        <w:ind w:firstLine="480" w:firstLineChars="200"/>
        <w:rPr>
          <w:bCs/>
          <w:sz w:val="24"/>
        </w:rPr>
      </w:pPr>
      <w:r>
        <w:rPr>
          <w:rFonts w:hint="eastAsia"/>
          <w:bCs/>
          <w:sz w:val="24"/>
        </w:rPr>
        <w:t>H＝E×0.</w:t>
      </w:r>
      <w:r>
        <w:rPr>
          <w:bCs/>
          <w:sz w:val="24"/>
        </w:rPr>
        <w:t>6</w:t>
      </w:r>
      <w:r>
        <w:rPr>
          <w:rFonts w:hint="eastAsia"/>
          <w:bCs/>
          <w:sz w:val="24"/>
        </w:rPr>
        <w:t>%÷当年天数</w:t>
      </w:r>
    </w:p>
    <w:p>
      <w:pPr>
        <w:adjustRightInd w:val="0"/>
        <w:snapToGrid w:val="0"/>
        <w:spacing w:line="360" w:lineRule="auto"/>
        <w:ind w:firstLine="480" w:firstLineChars="200"/>
        <w:rPr>
          <w:bCs/>
          <w:sz w:val="24"/>
        </w:rPr>
      </w:pPr>
      <w:r>
        <w:rPr>
          <w:rFonts w:hint="eastAsia"/>
          <w:bCs/>
          <w:sz w:val="24"/>
        </w:rPr>
        <w:t>H为C类基金份额每日应计提的销售服务费</w:t>
      </w:r>
    </w:p>
    <w:p>
      <w:pPr>
        <w:adjustRightInd w:val="0"/>
        <w:snapToGrid w:val="0"/>
        <w:spacing w:line="360" w:lineRule="auto"/>
        <w:ind w:firstLine="480" w:firstLineChars="200"/>
        <w:rPr>
          <w:bCs/>
          <w:sz w:val="24"/>
        </w:rPr>
      </w:pPr>
      <w:r>
        <w:rPr>
          <w:rFonts w:hint="eastAsia"/>
          <w:bCs/>
          <w:sz w:val="24"/>
        </w:rPr>
        <w:t>E为C类基金份额前一日基金资产净值</w:t>
      </w:r>
    </w:p>
    <w:p>
      <w:pPr>
        <w:adjustRightInd w:val="0"/>
        <w:snapToGrid w:val="0"/>
        <w:spacing w:line="360" w:lineRule="auto"/>
        <w:ind w:firstLine="480" w:firstLineChars="200"/>
        <w:rPr>
          <w:bCs/>
          <w:sz w:val="24"/>
        </w:rPr>
      </w:pPr>
      <w:r>
        <w:rPr>
          <w:rFonts w:hint="eastAsia"/>
          <w:bCs/>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pPr>
        <w:adjustRightInd w:val="0"/>
        <w:snapToGrid w:val="0"/>
        <w:spacing w:line="360" w:lineRule="auto"/>
        <w:ind w:firstLine="480" w:firstLineChars="200"/>
        <w:rPr>
          <w:bCs/>
          <w:sz w:val="24"/>
        </w:rPr>
      </w:pPr>
      <w:r>
        <w:rPr>
          <w:rFonts w:hint="eastAsia"/>
          <w:bCs/>
          <w:sz w:val="24"/>
        </w:rPr>
        <w:t>C类基金份额的销售服务费将专门用于本基金的市场推广、销售与基金份额持有人服务。</w:t>
      </w:r>
    </w:p>
    <w:p>
      <w:pPr>
        <w:adjustRightInd w:val="0"/>
        <w:snapToGrid w:val="0"/>
        <w:spacing w:line="360" w:lineRule="auto"/>
        <w:ind w:firstLine="480" w:firstLineChars="200"/>
        <w:rPr>
          <w:sz w:val="24"/>
        </w:rPr>
      </w:pPr>
      <w:r>
        <w:rPr>
          <w:rFonts w:hint="eastAsia"/>
          <w:bCs/>
          <w:sz w:val="24"/>
        </w:rPr>
        <w:t>（4）</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中第3</w:t>
      </w:r>
      <w:r>
        <w:rPr>
          <w:rFonts w:hint="eastAsia"/>
          <w:bCs/>
          <w:sz w:val="24"/>
        </w:rPr>
        <w:t>－9项、第11</w:t>
      </w:r>
      <w:r>
        <w:rPr>
          <w:bCs/>
          <w:sz w:val="24"/>
        </w:rPr>
        <w:t>项费用，根据有关法规及相应协议规定，按费用实际支出金额列入当期费用，由基金托管人从基金财产中支付。</w:t>
      </w:r>
    </w:p>
    <w:p>
      <w:pPr>
        <w:adjustRightInd w:val="0"/>
        <w:snapToGrid w:val="0"/>
        <w:spacing w:line="360" w:lineRule="auto"/>
        <w:ind w:firstLine="480" w:firstLineChars="200"/>
        <w:outlineLvl w:val="2"/>
        <w:rPr>
          <w:bCs/>
          <w:sz w:val="24"/>
        </w:rPr>
      </w:pPr>
      <w:r>
        <w:rPr>
          <w:bCs/>
          <w:sz w:val="24"/>
        </w:rPr>
        <w:t>2、与基金销售有关的费用</w:t>
      </w:r>
    </w:p>
    <w:p>
      <w:pPr>
        <w:adjustRightInd w:val="0"/>
        <w:snapToGrid w:val="0"/>
        <w:spacing w:line="360" w:lineRule="auto"/>
        <w:ind w:firstLine="480" w:firstLineChars="200"/>
        <w:rPr>
          <w:bCs/>
          <w:sz w:val="24"/>
        </w:rPr>
      </w:pPr>
      <w:r>
        <w:rPr>
          <w:bCs/>
          <w:sz w:val="24"/>
        </w:rPr>
        <w:t>（1）申购费</w:t>
      </w:r>
    </w:p>
    <w:p>
      <w:pPr>
        <w:adjustRightInd w:val="0"/>
        <w:snapToGrid w:val="0"/>
        <w:spacing w:line="360" w:lineRule="auto"/>
        <w:ind w:firstLine="480" w:firstLineChars="20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0" w:firstLineChars="200"/>
        <w:rPr>
          <w:bCs/>
          <w:sz w:val="24"/>
        </w:rPr>
      </w:pPr>
      <w:r>
        <w:rPr>
          <w:bCs/>
          <w:sz w:val="24"/>
        </w:rPr>
        <w:t>（2）赎回费</w:t>
      </w:r>
    </w:p>
    <w:p>
      <w:pPr>
        <w:adjustRightInd w:val="0"/>
        <w:snapToGrid w:val="0"/>
        <w:spacing w:line="360" w:lineRule="auto"/>
        <w:ind w:firstLine="480" w:firstLineChars="20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2"/>
        <w:outlineLvl w:val="1"/>
        <w:rPr>
          <w:b/>
          <w:bCs/>
          <w:sz w:val="24"/>
        </w:rPr>
      </w:pPr>
      <w:r>
        <w:rPr>
          <w:b/>
          <w:bCs/>
          <w:sz w:val="24"/>
        </w:rPr>
        <w:t>（三）不列入基金费用的项目</w:t>
      </w:r>
    </w:p>
    <w:p>
      <w:pPr>
        <w:adjustRightInd w:val="0"/>
        <w:snapToGrid w:val="0"/>
        <w:spacing w:line="360" w:lineRule="auto"/>
        <w:ind w:firstLine="480" w:firstLineChars="200"/>
        <w:rPr>
          <w:rFonts w:hAnsi="宋体"/>
          <w:sz w:val="24"/>
          <w:szCs w:val="21"/>
        </w:rPr>
      </w:pPr>
      <w:r>
        <w:rPr>
          <w:rFonts w:hAnsi="宋体"/>
          <w:sz w:val="24"/>
          <w:szCs w:val="21"/>
        </w:rPr>
        <w:t>下列费用不列入基金费用：</w:t>
      </w:r>
    </w:p>
    <w:p>
      <w:pPr>
        <w:adjustRightInd w:val="0"/>
        <w:snapToGrid w:val="0"/>
        <w:spacing w:line="360" w:lineRule="auto"/>
        <w:ind w:firstLine="480" w:firstLineChars="200"/>
        <w:rPr>
          <w:rFonts w:hAnsi="宋体"/>
          <w:sz w:val="24"/>
          <w:szCs w:val="21"/>
        </w:rPr>
      </w:pPr>
      <w:r>
        <w:rPr>
          <w:rFonts w:hAnsi="宋体"/>
          <w:sz w:val="24"/>
          <w:szCs w:val="21"/>
        </w:rPr>
        <w:t>1、基金管理人和基金托管人因未履行或未完全履行义务导致的费用支出或基金财产的损失；</w:t>
      </w:r>
    </w:p>
    <w:p>
      <w:pPr>
        <w:adjustRightInd w:val="0"/>
        <w:snapToGrid w:val="0"/>
        <w:spacing w:line="360" w:lineRule="auto"/>
        <w:ind w:firstLine="480" w:firstLineChars="200"/>
        <w:rPr>
          <w:rFonts w:hAnsi="宋体"/>
          <w:sz w:val="24"/>
          <w:szCs w:val="21"/>
        </w:rPr>
      </w:pPr>
      <w:r>
        <w:rPr>
          <w:rFonts w:hAnsi="宋体"/>
          <w:sz w:val="24"/>
          <w:szCs w:val="21"/>
        </w:rPr>
        <w:t>2、基金管理人和基金托管人处理与基金运作无关的事项发生的费用；</w:t>
      </w:r>
    </w:p>
    <w:p>
      <w:pPr>
        <w:adjustRightInd w:val="0"/>
        <w:snapToGrid w:val="0"/>
        <w:spacing w:line="360" w:lineRule="auto"/>
        <w:ind w:firstLine="480" w:firstLineChars="200"/>
        <w:rPr>
          <w:rFonts w:hAnsi="宋体"/>
          <w:sz w:val="24"/>
          <w:szCs w:val="21"/>
        </w:rPr>
      </w:pPr>
      <w:r>
        <w:rPr>
          <w:rFonts w:hAnsi="宋体"/>
          <w:sz w:val="24"/>
          <w:szCs w:val="21"/>
        </w:rPr>
        <w:t>3、</w:t>
      </w:r>
      <w:r>
        <w:rPr>
          <w:rFonts w:hint="eastAsia" w:hAnsi="宋体"/>
          <w:sz w:val="24"/>
          <w:szCs w:val="21"/>
        </w:rPr>
        <w:t>《</w:t>
      </w:r>
      <w:r>
        <w:rPr>
          <w:rFonts w:hAnsi="宋体"/>
          <w:sz w:val="24"/>
          <w:szCs w:val="21"/>
        </w:rPr>
        <w:t>基金合同</w:t>
      </w:r>
      <w:r>
        <w:rPr>
          <w:rFonts w:hint="eastAsia" w:hAnsi="宋体"/>
          <w:sz w:val="24"/>
          <w:szCs w:val="21"/>
        </w:rPr>
        <w:t>》</w:t>
      </w:r>
      <w:r>
        <w:rPr>
          <w:rFonts w:hAnsi="宋体"/>
          <w:sz w:val="24"/>
          <w:szCs w:val="21"/>
        </w:rPr>
        <w:t>生效前的相关费用；</w:t>
      </w:r>
    </w:p>
    <w:p>
      <w:pPr>
        <w:adjustRightInd w:val="0"/>
        <w:snapToGrid w:val="0"/>
        <w:spacing w:line="360" w:lineRule="auto"/>
        <w:ind w:firstLine="480" w:firstLineChars="200"/>
        <w:rPr>
          <w:rFonts w:hAnsi="宋体"/>
          <w:sz w:val="24"/>
          <w:szCs w:val="21"/>
        </w:rPr>
      </w:pPr>
      <w:bookmarkStart w:id="78" w:name="_Hlt81193394"/>
      <w:bookmarkEnd w:id="78"/>
      <w:r>
        <w:rPr>
          <w:rFonts w:hAnsi="宋体"/>
          <w:sz w:val="24"/>
          <w:szCs w:val="21"/>
        </w:rPr>
        <w:t>4、其他根据相关法律法规及中国证监会的有关规定不得列入基金费用的项目。</w:t>
      </w:r>
    </w:p>
    <w:p>
      <w:pPr>
        <w:adjustRightInd w:val="0"/>
        <w:snapToGrid w:val="0"/>
        <w:spacing w:line="360" w:lineRule="auto"/>
        <w:ind w:firstLine="482"/>
        <w:outlineLvl w:val="1"/>
        <w:rPr>
          <w:b/>
          <w:bCs/>
          <w:sz w:val="24"/>
        </w:rPr>
      </w:pPr>
      <w:r>
        <w:rPr>
          <w:rFonts w:hint="eastAsia"/>
          <w:b/>
          <w:bCs/>
          <w:sz w:val="24"/>
        </w:rPr>
        <w:t>（</w:t>
      </w:r>
      <w:r>
        <w:rPr>
          <w:b/>
          <w:bCs/>
          <w:sz w:val="24"/>
        </w:rPr>
        <w:t>四</w:t>
      </w:r>
      <w:r>
        <w:rPr>
          <w:rFonts w:hint="eastAsia"/>
          <w:b/>
          <w:bCs/>
          <w:sz w:val="24"/>
        </w:rPr>
        <w:t>）实施侧袋机制期间的基金费用</w:t>
      </w:r>
    </w:p>
    <w:p>
      <w:pPr>
        <w:adjustRightInd w:val="0"/>
        <w:snapToGrid w:val="0"/>
        <w:spacing w:line="360" w:lineRule="auto"/>
        <w:ind w:firstLine="480" w:firstLineChars="200"/>
        <w:rPr>
          <w:rFonts w:hAnsi="宋体"/>
          <w:sz w:val="24"/>
          <w:szCs w:val="21"/>
        </w:rPr>
      </w:pPr>
      <w:r>
        <w:rPr>
          <w:rFonts w:hint="eastAsia" w:hAnsi="宋体"/>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pPr>
        <w:adjustRightInd w:val="0"/>
        <w:snapToGrid w:val="0"/>
        <w:spacing w:line="360" w:lineRule="auto"/>
        <w:ind w:firstLine="482"/>
        <w:outlineLvl w:val="1"/>
        <w:rPr>
          <w:b/>
          <w:bCs/>
          <w:sz w:val="24"/>
        </w:rPr>
      </w:pPr>
      <w:r>
        <w:rPr>
          <w:rFonts w:hint="eastAsia"/>
          <w:b/>
          <w:bCs/>
          <w:sz w:val="24"/>
        </w:rPr>
        <w:t>（五）</w:t>
      </w:r>
      <w:r>
        <w:rPr>
          <w:b/>
          <w:bCs/>
          <w:sz w:val="24"/>
        </w:rPr>
        <w:t>基金税收</w:t>
      </w:r>
    </w:p>
    <w:p>
      <w:pPr>
        <w:adjustRightInd w:val="0"/>
        <w:snapToGrid w:val="0"/>
        <w:spacing w:line="360" w:lineRule="auto"/>
        <w:ind w:firstLine="480" w:firstLineChars="200"/>
        <w:rPr>
          <w:rFonts w:ascii="宋体" w:hAnsi="宋体"/>
          <w:b/>
          <w:kern w:val="0"/>
          <w:sz w:val="30"/>
        </w:rPr>
      </w:pPr>
      <w:r>
        <w:rPr>
          <w:rFonts w:hint="eastAsia" w:hAnsi="宋体"/>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7"/>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79" w:name="_Toc48122015"/>
      <w:r>
        <w:rPr>
          <w:rFonts w:hint="eastAsia" w:ascii="宋体" w:hAnsi="宋体"/>
          <w:b/>
          <w:kern w:val="0"/>
          <w:sz w:val="30"/>
        </w:rPr>
        <w:t>十四、基金的会计与审计</w:t>
      </w:r>
      <w:bookmarkEnd w:id="79"/>
    </w:p>
    <w:p>
      <w:pPr>
        <w:adjustRightInd w:val="0"/>
        <w:snapToGrid w:val="0"/>
        <w:spacing w:line="360" w:lineRule="auto"/>
        <w:ind w:firstLine="482"/>
        <w:outlineLvl w:val="1"/>
        <w:rPr>
          <w:b/>
          <w:bCs/>
          <w:sz w:val="24"/>
        </w:rPr>
      </w:pPr>
      <w:bookmarkStart w:id="80" w:name="_Hlk49344167"/>
      <w:r>
        <w:rPr>
          <w:b/>
          <w:bCs/>
          <w:sz w:val="24"/>
        </w:rPr>
        <w:t>（一）基金会计政策</w:t>
      </w:r>
    </w:p>
    <w:p>
      <w:pPr>
        <w:adjustRightInd w:val="0"/>
        <w:snapToGrid w:val="0"/>
        <w:spacing w:line="360" w:lineRule="auto"/>
        <w:ind w:firstLine="480" w:firstLineChars="200"/>
        <w:rPr>
          <w:sz w:val="24"/>
          <w:szCs w:val="18"/>
        </w:rPr>
      </w:pPr>
      <w:r>
        <w:rPr>
          <w:sz w:val="24"/>
        </w:rPr>
        <w:t>1</w:t>
      </w:r>
      <w:r>
        <w:rPr>
          <w:rFonts w:hAnsi="宋体"/>
          <w:sz w:val="24"/>
        </w:rPr>
        <w:t>、基金管理人为本基金的基金会计责任方；</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基金的会计年度为公历年度的1月1日至12月31日；基金首次募集的会计年度按如下原则：如果《基金合同》生效少于2个月，可以并入下一个会计年度披露；</w:t>
      </w:r>
    </w:p>
    <w:p>
      <w:pPr>
        <w:adjustRightInd w:val="0"/>
        <w:snapToGrid w:val="0"/>
        <w:spacing w:line="360" w:lineRule="auto"/>
        <w:ind w:firstLine="480" w:firstLineChars="200"/>
        <w:rPr>
          <w:sz w:val="24"/>
          <w:szCs w:val="18"/>
        </w:rPr>
      </w:pPr>
      <w:bookmarkStart w:id="81" w:name="_Toc109537394"/>
      <w:r>
        <w:rPr>
          <w:sz w:val="24"/>
        </w:rPr>
        <w:t>3</w:t>
      </w:r>
      <w:r>
        <w:rPr>
          <w:rFonts w:hAnsi="宋体"/>
          <w:sz w:val="24"/>
        </w:rPr>
        <w:t>、</w:t>
      </w:r>
      <w:r>
        <w:rPr>
          <w:rFonts w:hAnsi="宋体"/>
          <w:sz w:val="24"/>
          <w:szCs w:val="21"/>
        </w:rPr>
        <w:t>基金核</w:t>
      </w:r>
      <w:bookmarkEnd w:id="81"/>
      <w:r>
        <w:rPr>
          <w:rFonts w:hAnsi="宋体"/>
          <w:sz w:val="24"/>
          <w:szCs w:val="21"/>
        </w:rPr>
        <w:t>算以人民币为记账本位币，以人民币元为记账单位；</w:t>
      </w:r>
    </w:p>
    <w:p>
      <w:pPr>
        <w:adjustRightInd w:val="0"/>
        <w:snapToGrid w:val="0"/>
        <w:spacing w:line="360" w:lineRule="auto"/>
        <w:ind w:firstLine="480" w:firstLineChars="200"/>
        <w:rPr>
          <w:sz w:val="24"/>
          <w:szCs w:val="18"/>
        </w:rPr>
      </w:pPr>
      <w:r>
        <w:rPr>
          <w:sz w:val="24"/>
        </w:rPr>
        <w:t>4</w:t>
      </w:r>
      <w:r>
        <w:rPr>
          <w:rFonts w:hAnsi="宋体"/>
          <w:sz w:val="24"/>
        </w:rPr>
        <w:t>、会计制度执行国家有关会计制度；</w:t>
      </w:r>
    </w:p>
    <w:p>
      <w:pPr>
        <w:adjustRightInd w:val="0"/>
        <w:snapToGrid w:val="0"/>
        <w:spacing w:line="360" w:lineRule="auto"/>
        <w:ind w:firstLine="480" w:firstLineChars="200"/>
        <w:rPr>
          <w:sz w:val="24"/>
          <w:szCs w:val="18"/>
        </w:rPr>
      </w:pPr>
      <w:r>
        <w:rPr>
          <w:sz w:val="24"/>
        </w:rPr>
        <w:t>5</w:t>
      </w:r>
      <w:r>
        <w:rPr>
          <w:rFonts w:hAnsi="宋体"/>
          <w:sz w:val="24"/>
        </w:rPr>
        <w:t>、本基金独立建账、独立核算；</w:t>
      </w:r>
    </w:p>
    <w:p>
      <w:pPr>
        <w:adjustRightInd w:val="0"/>
        <w:snapToGrid w:val="0"/>
        <w:spacing w:line="360" w:lineRule="auto"/>
        <w:ind w:firstLine="480" w:firstLineChars="20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pPr>
        <w:adjustRightInd w:val="0"/>
        <w:snapToGrid w:val="0"/>
        <w:spacing w:line="360" w:lineRule="auto"/>
        <w:ind w:firstLine="480" w:firstLineChars="200"/>
        <w:rPr>
          <w:sz w:val="24"/>
        </w:rPr>
      </w:pPr>
      <w:r>
        <w:rPr>
          <w:sz w:val="24"/>
          <w:szCs w:val="18"/>
        </w:rPr>
        <w:t>7</w:t>
      </w:r>
      <w:r>
        <w:rPr>
          <w:rFonts w:hAnsi="宋体"/>
          <w:sz w:val="24"/>
          <w:szCs w:val="18"/>
        </w:rPr>
        <w:t>、基金托管人每月与基金管理人就基金的会计核算、报表编制等进行核对并以书面方式</w:t>
      </w:r>
      <w:r>
        <w:rPr>
          <w:rFonts w:hint="eastAsia"/>
          <w:bCs/>
          <w:sz w:val="24"/>
        </w:rPr>
        <w:t>或双方认可的其他方式</w:t>
      </w:r>
      <w:r>
        <w:rPr>
          <w:rFonts w:hAnsi="宋体"/>
          <w:sz w:val="24"/>
          <w:szCs w:val="18"/>
        </w:rPr>
        <w:t>确认。</w:t>
      </w:r>
    </w:p>
    <w:p>
      <w:pPr>
        <w:adjustRightInd w:val="0"/>
        <w:snapToGrid w:val="0"/>
        <w:spacing w:line="360" w:lineRule="auto"/>
        <w:ind w:firstLine="482"/>
        <w:outlineLvl w:val="1"/>
        <w:rPr>
          <w:b/>
          <w:bCs/>
          <w:sz w:val="24"/>
        </w:rPr>
      </w:pPr>
      <w:r>
        <w:rPr>
          <w:b/>
          <w:bCs/>
          <w:sz w:val="24"/>
        </w:rPr>
        <w:t>（二）基金的年度审计</w:t>
      </w:r>
    </w:p>
    <w:p>
      <w:pPr>
        <w:adjustRightInd w:val="0"/>
        <w:snapToGrid w:val="0"/>
        <w:spacing w:line="360" w:lineRule="auto"/>
        <w:ind w:firstLine="480" w:firstLineChars="200"/>
        <w:rPr>
          <w:rFonts w:hAnsi="宋体"/>
          <w:sz w:val="24"/>
          <w:szCs w:val="18"/>
        </w:rPr>
      </w:pPr>
      <w:r>
        <w:rPr>
          <w:rFonts w:hAnsi="宋体"/>
          <w:sz w:val="24"/>
          <w:szCs w:val="18"/>
        </w:rPr>
        <w:t>1、基金管理人聘请与基金管理人、基金托管人相互独立的符合《中华人民共和国证券法》规定的会计师事务所及其注册会计师对本基金的年度财务报表进行审计。</w:t>
      </w:r>
    </w:p>
    <w:p>
      <w:pPr>
        <w:adjustRightInd w:val="0"/>
        <w:snapToGrid w:val="0"/>
        <w:spacing w:line="360" w:lineRule="auto"/>
        <w:ind w:firstLine="480" w:firstLineChars="200"/>
        <w:rPr>
          <w:rFonts w:hAnsi="宋体"/>
          <w:sz w:val="24"/>
          <w:szCs w:val="18"/>
        </w:rPr>
      </w:pPr>
      <w:r>
        <w:rPr>
          <w:rFonts w:hAnsi="宋体"/>
          <w:sz w:val="24"/>
          <w:szCs w:val="18"/>
        </w:rPr>
        <w:t>2、会计师事务所更换经办注册会计师，应事先征得基金管理人同意。</w:t>
      </w:r>
    </w:p>
    <w:p>
      <w:pPr>
        <w:adjustRightInd w:val="0"/>
        <w:snapToGrid w:val="0"/>
        <w:spacing w:line="360" w:lineRule="auto"/>
        <w:ind w:firstLine="480" w:firstLineChars="200"/>
        <w:rPr>
          <w:rFonts w:hAnsi="宋体"/>
          <w:sz w:val="24"/>
          <w:szCs w:val="18"/>
        </w:rPr>
      </w:pPr>
      <w:r>
        <w:rPr>
          <w:rFonts w:hAnsi="宋体"/>
          <w:sz w:val="24"/>
          <w:szCs w:val="18"/>
        </w:rPr>
        <w:t>3、</w:t>
      </w:r>
      <w:bookmarkStart w:id="82" w:name="_Hlt4221115"/>
      <w:bookmarkEnd w:id="82"/>
      <w:r>
        <w:rPr>
          <w:rFonts w:hAnsi="宋体"/>
          <w:sz w:val="24"/>
          <w:szCs w:val="18"/>
        </w:rPr>
        <w:t>基金管理人认为有充足理由更换会计师事务所，须通报基金托管人。更换会计师事务所需</w:t>
      </w:r>
      <w:r>
        <w:rPr>
          <w:rFonts w:hint="eastAsia" w:hAnsi="宋体"/>
          <w:sz w:val="24"/>
          <w:szCs w:val="18"/>
        </w:rPr>
        <w:t>依照《信息披露办法》的规定</w:t>
      </w:r>
      <w:r>
        <w:rPr>
          <w:rFonts w:hAnsi="宋体"/>
          <w:sz w:val="24"/>
          <w:szCs w:val="18"/>
        </w:rPr>
        <w:t>在</w:t>
      </w:r>
      <w:r>
        <w:rPr>
          <w:rFonts w:hint="eastAsia" w:hAnsi="宋体"/>
          <w:sz w:val="24"/>
          <w:szCs w:val="18"/>
        </w:rPr>
        <w:t>规定媒介</w:t>
      </w:r>
      <w:r>
        <w:rPr>
          <w:rFonts w:hAnsi="宋体"/>
          <w:sz w:val="24"/>
          <w:szCs w:val="18"/>
        </w:rPr>
        <w:t>公告。</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3" w:name="_Toc48122016"/>
      <w:r>
        <w:rPr>
          <w:rFonts w:hint="eastAsia" w:ascii="宋体" w:hAnsi="宋体"/>
          <w:b/>
          <w:kern w:val="0"/>
          <w:sz w:val="30"/>
        </w:rPr>
        <w:t>十五、基金的信息披露</w:t>
      </w:r>
      <w:bookmarkEnd w:id="83"/>
    </w:p>
    <w:p>
      <w:pPr>
        <w:adjustRightInd w:val="0"/>
        <w:snapToGrid w:val="0"/>
        <w:spacing w:line="360" w:lineRule="auto"/>
        <w:ind w:firstLine="482" w:firstLineChars="200"/>
        <w:rPr>
          <w:rFonts w:hAnsi="宋体"/>
          <w:sz w:val="24"/>
        </w:rPr>
      </w:pPr>
      <w:r>
        <w:rPr>
          <w:rFonts w:hAnsi="宋体"/>
          <w:b/>
          <w:sz w:val="24"/>
        </w:rPr>
        <w:t>（一）</w:t>
      </w:r>
      <w:r>
        <w:rPr>
          <w:rFonts w:hint="eastAsia" w:hAnsi="宋体"/>
          <w:sz w:val="24"/>
        </w:rPr>
        <w:t>本基金的信息披露应符合《基金法》、《运作办法》、《信息披露办法》、《流动性风险管理规定》、《基金合同》及其他有关规定。</w:t>
      </w:r>
    </w:p>
    <w:p>
      <w:pPr>
        <w:adjustRightInd w:val="0"/>
        <w:snapToGrid w:val="0"/>
        <w:spacing w:line="360" w:lineRule="auto"/>
        <w:ind w:firstLine="482" w:firstLineChars="200"/>
        <w:rPr>
          <w:b/>
          <w:sz w:val="24"/>
        </w:rPr>
      </w:pPr>
      <w:r>
        <w:rPr>
          <w:b/>
          <w:bCs/>
          <w:sz w:val="24"/>
        </w:rPr>
        <w:t>（二）信息披露义务人</w:t>
      </w:r>
    </w:p>
    <w:p>
      <w:pPr>
        <w:adjustRightInd w:val="0"/>
        <w:snapToGrid w:val="0"/>
        <w:spacing w:line="360" w:lineRule="auto"/>
        <w:ind w:firstLine="480" w:firstLineChars="200"/>
        <w:rPr>
          <w:rFonts w:hAnsi="宋体"/>
          <w:sz w:val="24"/>
        </w:rPr>
      </w:pPr>
      <w:r>
        <w:rPr>
          <w:rFonts w:hAnsi="宋体"/>
          <w:sz w:val="24"/>
        </w:rPr>
        <w:t>本基金信息披露义务人包括基金管理人、基金托管人、召集基金份额持有人大会的基金份额持有人等法律</w:t>
      </w:r>
      <w:r>
        <w:rPr>
          <w:rFonts w:hint="eastAsia" w:hAnsi="宋体"/>
          <w:sz w:val="24"/>
        </w:rPr>
        <w:t>、</w:t>
      </w:r>
      <w:r>
        <w:rPr>
          <w:rFonts w:hAnsi="宋体"/>
          <w:sz w:val="24"/>
        </w:rPr>
        <w:t>行政法规和中国证监会规定的自然人、法人和</w:t>
      </w:r>
      <w:r>
        <w:rPr>
          <w:rFonts w:hint="eastAsia"/>
          <w:bCs/>
          <w:sz w:val="24"/>
        </w:rPr>
        <w:t>非法人</w:t>
      </w:r>
      <w:r>
        <w:rPr>
          <w:rFonts w:hAnsi="宋体"/>
          <w:sz w:val="24"/>
        </w:rPr>
        <w:t>组织。</w:t>
      </w:r>
    </w:p>
    <w:p>
      <w:pPr>
        <w:adjustRightInd w:val="0"/>
        <w:snapToGrid w:val="0"/>
        <w:spacing w:line="360" w:lineRule="auto"/>
        <w:ind w:firstLine="480" w:firstLineChars="20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int="eastAsia" w:hAnsi="宋体"/>
          <w:sz w:val="24"/>
        </w:rPr>
        <w:t>、</w:t>
      </w:r>
      <w:r>
        <w:rPr>
          <w:rFonts w:hAnsi="宋体"/>
          <w:sz w:val="24"/>
        </w:rPr>
        <w:t>完整性</w:t>
      </w:r>
      <w:r>
        <w:rPr>
          <w:rFonts w:hint="eastAsia"/>
          <w:bCs/>
          <w:sz w:val="24"/>
        </w:rPr>
        <w:t>、及时性、简明性和易得性</w:t>
      </w:r>
      <w:r>
        <w:rPr>
          <w:rFonts w:hAnsi="宋体"/>
          <w:sz w:val="24"/>
        </w:rPr>
        <w:t>。</w:t>
      </w:r>
    </w:p>
    <w:p>
      <w:pPr>
        <w:adjustRightInd w:val="0"/>
        <w:snapToGrid w:val="0"/>
        <w:spacing w:line="360" w:lineRule="auto"/>
        <w:ind w:firstLine="480" w:firstLineChars="200"/>
        <w:rPr>
          <w:rFonts w:hAnsi="宋体"/>
          <w:sz w:val="24"/>
        </w:rPr>
      </w:pPr>
      <w:r>
        <w:rPr>
          <w:rFonts w:hint="eastAsia"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pPr>
        <w:adjustRightInd w:val="0"/>
        <w:snapToGrid w:val="0"/>
        <w:spacing w:line="360" w:lineRule="auto"/>
        <w:ind w:firstLine="482" w:firstLineChars="200"/>
        <w:rPr>
          <w:b/>
          <w:sz w:val="24"/>
        </w:rPr>
      </w:pPr>
      <w:r>
        <w:rPr>
          <w:rFonts w:hAnsi="宋体"/>
          <w:b/>
          <w:sz w:val="24"/>
        </w:rPr>
        <w:t>（三）本基金信息披露义务人承诺公开披露的基金信息，不得有下列行为：</w:t>
      </w:r>
    </w:p>
    <w:p>
      <w:pPr>
        <w:adjustRightInd w:val="0"/>
        <w:snapToGrid w:val="0"/>
        <w:spacing w:line="360" w:lineRule="auto"/>
        <w:ind w:firstLine="480" w:firstLineChars="200"/>
        <w:rPr>
          <w:rFonts w:hAnsi="宋体"/>
          <w:sz w:val="24"/>
        </w:rPr>
      </w:pPr>
      <w:r>
        <w:rPr>
          <w:rFonts w:hAnsi="宋体"/>
          <w:sz w:val="24"/>
        </w:rPr>
        <w:t>1、虚假记载、误导性陈述或者重大遗漏；</w:t>
      </w:r>
    </w:p>
    <w:p>
      <w:pPr>
        <w:adjustRightInd w:val="0"/>
        <w:snapToGrid w:val="0"/>
        <w:spacing w:line="360" w:lineRule="auto"/>
        <w:ind w:firstLine="480" w:firstLineChars="200"/>
        <w:rPr>
          <w:rFonts w:hAnsi="宋体"/>
          <w:sz w:val="24"/>
        </w:rPr>
      </w:pPr>
      <w:r>
        <w:rPr>
          <w:rFonts w:hAnsi="宋体"/>
          <w:sz w:val="24"/>
        </w:rPr>
        <w:t>2、对证券投资业绩进行预测；</w:t>
      </w:r>
    </w:p>
    <w:p>
      <w:pPr>
        <w:adjustRightInd w:val="0"/>
        <w:snapToGrid w:val="0"/>
        <w:spacing w:line="360" w:lineRule="auto"/>
        <w:ind w:firstLine="480" w:firstLineChars="200"/>
        <w:rPr>
          <w:rFonts w:hAnsi="宋体"/>
          <w:sz w:val="24"/>
        </w:rPr>
      </w:pPr>
      <w:r>
        <w:rPr>
          <w:rFonts w:hAnsi="宋体"/>
          <w:sz w:val="24"/>
        </w:rPr>
        <w:t>3、违规承诺收益或者承担损失；</w:t>
      </w:r>
    </w:p>
    <w:p>
      <w:pPr>
        <w:adjustRightInd w:val="0"/>
        <w:snapToGrid w:val="0"/>
        <w:spacing w:line="360" w:lineRule="auto"/>
        <w:ind w:firstLine="480" w:firstLineChars="200"/>
        <w:rPr>
          <w:rFonts w:hAnsi="宋体"/>
          <w:sz w:val="24"/>
        </w:rPr>
      </w:pPr>
      <w:r>
        <w:rPr>
          <w:rFonts w:hAnsi="宋体"/>
          <w:sz w:val="24"/>
        </w:rPr>
        <w:t>4、诋毁其他基金管理人、基金托管人或者基金销售机构；</w:t>
      </w:r>
    </w:p>
    <w:p>
      <w:pPr>
        <w:adjustRightInd w:val="0"/>
        <w:snapToGrid w:val="0"/>
        <w:spacing w:line="360" w:lineRule="auto"/>
        <w:ind w:firstLine="480" w:firstLineChars="200"/>
        <w:rPr>
          <w:rFonts w:hAnsi="宋体"/>
          <w:sz w:val="24"/>
        </w:rPr>
      </w:pPr>
      <w:r>
        <w:rPr>
          <w:rFonts w:hAnsi="宋体"/>
          <w:sz w:val="24"/>
        </w:rPr>
        <w:t>5、登载任何自然人、法人</w:t>
      </w:r>
      <w:r>
        <w:rPr>
          <w:rFonts w:hint="eastAsia"/>
          <w:bCs/>
          <w:sz w:val="24"/>
        </w:rPr>
        <w:t>和非法人</w:t>
      </w:r>
      <w:r>
        <w:rPr>
          <w:rFonts w:hAnsi="宋体"/>
          <w:sz w:val="24"/>
        </w:rPr>
        <w:t>组织的祝贺性、恭维性或推荐性的文字；</w:t>
      </w:r>
    </w:p>
    <w:p>
      <w:pPr>
        <w:adjustRightInd w:val="0"/>
        <w:snapToGrid w:val="0"/>
        <w:spacing w:line="360" w:lineRule="auto"/>
        <w:ind w:firstLine="480" w:firstLineChars="200"/>
        <w:rPr>
          <w:rFonts w:hAnsi="宋体"/>
          <w:sz w:val="24"/>
        </w:rPr>
      </w:pPr>
      <w:r>
        <w:rPr>
          <w:rFonts w:hAnsi="宋体"/>
          <w:sz w:val="24"/>
        </w:rPr>
        <w:t>6、中国证监会禁止的其他行为。</w:t>
      </w:r>
    </w:p>
    <w:p>
      <w:pPr>
        <w:adjustRightInd w:val="0"/>
        <w:snapToGrid w:val="0"/>
        <w:spacing w:line="360" w:lineRule="auto"/>
        <w:ind w:firstLine="482" w:firstLineChars="200"/>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int="eastAsia" w:hAnsi="宋体"/>
          <w:sz w:val="24"/>
        </w:rPr>
        <w:t>之间</w:t>
      </w:r>
      <w:r>
        <w:rPr>
          <w:rFonts w:hAnsi="宋体"/>
          <w:sz w:val="24"/>
        </w:rPr>
        <w:t>发生歧义的，以中文文本为准。</w:t>
      </w:r>
    </w:p>
    <w:p>
      <w:pPr>
        <w:adjustRightInd w:val="0"/>
        <w:snapToGrid w:val="0"/>
        <w:spacing w:line="360" w:lineRule="auto"/>
        <w:ind w:firstLine="480" w:firstLineChars="200"/>
        <w:rPr>
          <w:sz w:val="24"/>
        </w:rPr>
      </w:pPr>
      <w:r>
        <w:rPr>
          <w:rFonts w:hAnsi="宋体"/>
          <w:sz w:val="24"/>
        </w:rPr>
        <w:t>本基金公开披露的信息采用阿拉伯数字；除特别说明外，货币单位为人民币元。</w:t>
      </w:r>
    </w:p>
    <w:p>
      <w:pPr>
        <w:adjustRightInd w:val="0"/>
        <w:snapToGrid w:val="0"/>
        <w:spacing w:line="360" w:lineRule="auto"/>
        <w:ind w:firstLine="482" w:firstLineChars="200"/>
        <w:rPr>
          <w:b/>
          <w:sz w:val="24"/>
        </w:rPr>
      </w:pPr>
      <w:r>
        <w:rPr>
          <w:rFonts w:hAnsi="宋体"/>
          <w:b/>
          <w:sz w:val="24"/>
        </w:rPr>
        <w:t>（五）公开披露的基金信息</w:t>
      </w:r>
    </w:p>
    <w:p>
      <w:pPr>
        <w:adjustRightInd w:val="0"/>
        <w:snapToGrid w:val="0"/>
        <w:spacing w:line="360" w:lineRule="auto"/>
        <w:ind w:firstLine="480" w:firstLineChars="200"/>
        <w:rPr>
          <w:b/>
          <w:bCs/>
          <w:sz w:val="24"/>
        </w:rPr>
      </w:pPr>
      <w:r>
        <w:rPr>
          <w:bCs/>
          <w:sz w:val="24"/>
        </w:rPr>
        <w:t>公开披露的基金信息包括：</w:t>
      </w:r>
    </w:p>
    <w:p>
      <w:pPr>
        <w:adjustRightInd w:val="0"/>
        <w:snapToGrid w:val="0"/>
        <w:spacing w:line="360" w:lineRule="auto"/>
        <w:ind w:firstLine="480" w:firstLineChars="200"/>
        <w:rPr>
          <w:bCs/>
          <w:sz w:val="24"/>
        </w:rPr>
      </w:pPr>
      <w:r>
        <w:rPr>
          <w:bCs/>
          <w:sz w:val="24"/>
        </w:rPr>
        <w:t>1、基金招募说明书、《基金合同》、基金托管协议</w:t>
      </w:r>
      <w:r>
        <w:rPr>
          <w:rFonts w:hint="eastAsia"/>
          <w:bCs/>
          <w:sz w:val="24"/>
        </w:rPr>
        <w:t>、基金产品资料概要</w:t>
      </w:r>
    </w:p>
    <w:p>
      <w:pPr>
        <w:adjustRightInd w:val="0"/>
        <w:snapToGrid w:val="0"/>
        <w:spacing w:line="360" w:lineRule="auto"/>
        <w:ind w:firstLine="480" w:firstLineChars="200"/>
        <w:rPr>
          <w:rFonts w:hAnsi="宋体"/>
          <w:sz w:val="24"/>
        </w:rPr>
      </w:pPr>
      <w:r>
        <w:rPr>
          <w:rFonts w:hAnsi="宋体"/>
          <w:sz w:val="24"/>
        </w:rPr>
        <w:t>（1）《基金合同》是界定《基金合同》当事人的各项权利、义务关系，明确基金份额持有人大会召开的规则及具体程序，说明基金产品的特性等涉及基金投资者重大利益的事项的法律文件。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hAnsi="宋体"/>
          <w:sz w:val="24"/>
        </w:rPr>
      </w:pPr>
      <w:r>
        <w:rPr>
          <w:rFonts w:hAnsi="宋体"/>
          <w:sz w:val="24"/>
        </w:rPr>
        <w:t>（2）基金招募说明书应当最大限度地披露影响基金投资者决策的全部事项，说明基金认购、申购和赎回安排、基金投资、基金产品特性、风险揭示、信息披露及基金份额持有人服务等内容。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pPr>
        <w:adjustRightInd w:val="0"/>
        <w:snapToGrid w:val="0"/>
        <w:spacing w:line="360" w:lineRule="auto"/>
        <w:ind w:firstLine="480" w:firstLineChars="200"/>
        <w:rPr>
          <w:bCs/>
          <w:sz w:val="24"/>
        </w:rPr>
      </w:pPr>
      <w:r>
        <w:rPr>
          <w:rFonts w:hAnsi="宋体"/>
          <w:sz w:val="24"/>
        </w:rPr>
        <w:t>（3）基金托管协议是界定基金托管人和基金管理人在基金财产保管及基金运作监督等活动中的权利、义务关系的法律文件。</w:t>
      </w:r>
    </w:p>
    <w:p>
      <w:pPr>
        <w:adjustRightInd w:val="0"/>
        <w:snapToGrid w:val="0"/>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rFonts w:hAnsi="宋体"/>
          <w:sz w:val="24"/>
        </w:rPr>
      </w:pPr>
      <w:r>
        <w:rPr>
          <w:rFonts w:hint="eastAsia" w:hAnsi="宋体"/>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int="eastAsia" w:hAnsi="宋体"/>
          <w:sz w:val="24"/>
        </w:rPr>
        <w:t>报刊上，将基金份额发售公告、基金招募说明书、基金产品资料概要、《基金合同》和基金托管协议登载在</w:t>
      </w:r>
      <w:r>
        <w:rPr>
          <w:rFonts w:hint="eastAsia"/>
          <w:bCs/>
          <w:sz w:val="24"/>
        </w:rPr>
        <w:t>规定</w:t>
      </w:r>
      <w:r>
        <w:rPr>
          <w:rFonts w:hint="eastAsia" w:hAnsi="宋体"/>
          <w:sz w:val="24"/>
        </w:rPr>
        <w:t>网站上，并将基金产品资料概要登载在基金销售机构网站或营业网点；基金托管人应当同时将《基金合同》、基金托管协议登载在网站上。</w:t>
      </w:r>
    </w:p>
    <w:p>
      <w:pPr>
        <w:adjustRightInd w:val="0"/>
        <w:snapToGrid w:val="0"/>
        <w:spacing w:line="360" w:lineRule="auto"/>
        <w:ind w:firstLine="480" w:firstLineChars="200"/>
        <w:rPr>
          <w:sz w:val="24"/>
        </w:rPr>
      </w:pPr>
      <w:r>
        <w:rPr>
          <w:sz w:val="24"/>
        </w:rPr>
        <w:t>2</w:t>
      </w:r>
      <w:r>
        <w:rPr>
          <w:rFonts w:hAnsi="宋体"/>
          <w:sz w:val="24"/>
        </w:rPr>
        <w:t>、基金份额发售公告</w:t>
      </w:r>
    </w:p>
    <w:p>
      <w:pPr>
        <w:adjustRightInd w:val="0"/>
        <w:snapToGrid w:val="0"/>
        <w:spacing w:line="360" w:lineRule="auto"/>
        <w:ind w:firstLine="480" w:firstLineChars="200"/>
        <w:rPr>
          <w:rFonts w:hAnsi="宋体"/>
          <w:sz w:val="24"/>
        </w:rPr>
      </w:pPr>
      <w:r>
        <w:rPr>
          <w:rFonts w:hAnsi="宋体"/>
          <w:sz w:val="24"/>
        </w:rPr>
        <w:t>基金管理人应当就基金份额发售的具体事宜编制基金份额发售公告，并在披露招募说明书的当日登载于规定媒介上。</w:t>
      </w:r>
    </w:p>
    <w:p>
      <w:pPr>
        <w:adjustRightInd w:val="0"/>
        <w:snapToGrid w:val="0"/>
        <w:spacing w:line="360" w:lineRule="auto"/>
        <w:ind w:firstLine="480" w:firstLineChars="200"/>
        <w:rPr>
          <w:sz w:val="24"/>
        </w:rPr>
      </w:pPr>
      <w:r>
        <w:rPr>
          <w:sz w:val="24"/>
        </w:rPr>
        <w:t>3</w:t>
      </w:r>
      <w:r>
        <w:rPr>
          <w:rFonts w:hAnsi="宋体"/>
          <w:sz w:val="24"/>
        </w:rPr>
        <w:t>、</w:t>
      </w:r>
      <w:r>
        <w:rPr>
          <w:bCs/>
          <w:sz w:val="24"/>
        </w:rPr>
        <w:t>《基金合同》</w:t>
      </w:r>
      <w:r>
        <w:rPr>
          <w:rFonts w:hAnsi="宋体"/>
          <w:sz w:val="24"/>
        </w:rPr>
        <w:t>生效公告</w:t>
      </w:r>
    </w:p>
    <w:p>
      <w:pPr>
        <w:adjustRightInd w:val="0"/>
        <w:snapToGrid w:val="0"/>
        <w:spacing w:line="360" w:lineRule="auto"/>
        <w:ind w:firstLine="480" w:firstLineChars="200"/>
        <w:rPr>
          <w:rFonts w:hAnsi="宋体"/>
          <w:sz w:val="24"/>
        </w:rPr>
      </w:pPr>
      <w:r>
        <w:rPr>
          <w:rFonts w:hAnsi="宋体"/>
          <w:sz w:val="24"/>
        </w:rPr>
        <w:t>基金管理人应当在收到中国证监会确认文件的次日在规定媒介上登载《基金合同》生效公告。</w:t>
      </w:r>
    </w:p>
    <w:p>
      <w:pPr>
        <w:adjustRightInd w:val="0"/>
        <w:snapToGrid w:val="0"/>
        <w:spacing w:line="360" w:lineRule="auto"/>
        <w:ind w:firstLine="480" w:firstLineChars="200"/>
        <w:rPr>
          <w:sz w:val="24"/>
        </w:rPr>
      </w:pPr>
      <w:r>
        <w:rPr>
          <w:sz w:val="24"/>
        </w:rPr>
        <w:t>4</w:t>
      </w:r>
      <w:r>
        <w:rPr>
          <w:rFonts w:hAnsi="宋体"/>
          <w:sz w:val="24"/>
        </w:rPr>
        <w:t>、基金</w:t>
      </w:r>
      <w:r>
        <w:rPr>
          <w:rFonts w:hint="eastAsia"/>
          <w:bCs/>
          <w:sz w:val="24"/>
        </w:rPr>
        <w:t>净值信息</w:t>
      </w:r>
    </w:p>
    <w:p>
      <w:pPr>
        <w:adjustRightInd w:val="0"/>
        <w:snapToGrid w:val="0"/>
        <w:spacing w:line="360" w:lineRule="auto"/>
        <w:ind w:firstLine="480" w:firstLineChars="200"/>
        <w:rPr>
          <w:bCs/>
          <w:sz w:val="24"/>
        </w:rPr>
      </w:pPr>
      <w:r>
        <w:rPr>
          <w:rFonts w:hint="eastAsia"/>
          <w:bCs/>
          <w:sz w:val="24"/>
        </w:rPr>
        <w:t>《基金合同》生效后，在开始办理基金份额申购或者赎回前，基金管理人应当至少每周在规定网站分别披露一次A类基金份额和C类基金份额所对应的基金份额净值和基金份额累计净值。</w:t>
      </w:r>
    </w:p>
    <w:p>
      <w:pPr>
        <w:adjustRightInd w:val="0"/>
        <w:snapToGrid w:val="0"/>
        <w:spacing w:line="360" w:lineRule="auto"/>
        <w:ind w:firstLine="480" w:firstLineChars="200"/>
        <w:rPr>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sz w:val="24"/>
        </w:rPr>
        <w:t>A</w:t>
      </w:r>
      <w:r>
        <w:rPr>
          <w:rFonts w:hAnsi="宋体"/>
          <w:sz w:val="24"/>
        </w:rPr>
        <w:t>类基金份额和</w:t>
      </w:r>
      <w:r>
        <w:rPr>
          <w:sz w:val="24"/>
        </w:rPr>
        <w:t>C</w:t>
      </w:r>
      <w:r>
        <w:rPr>
          <w:rFonts w:hAnsi="宋体"/>
          <w:sz w:val="24"/>
        </w:rPr>
        <w:t>类基金份额所对应</w:t>
      </w:r>
      <w:r>
        <w:rPr>
          <w:rFonts w:hint="eastAsia" w:hAnsi="宋体"/>
          <w:sz w:val="24"/>
        </w:rPr>
        <w:t>的</w:t>
      </w:r>
      <w:r>
        <w:rPr>
          <w:rFonts w:hint="eastAsia"/>
          <w:bCs/>
          <w:sz w:val="24"/>
        </w:rPr>
        <w:t>基金份额净值和基金份额累计净值。</w:t>
      </w:r>
    </w:p>
    <w:p>
      <w:pPr>
        <w:adjustRightInd w:val="0"/>
        <w:snapToGrid w:val="0"/>
        <w:spacing w:line="360" w:lineRule="auto"/>
        <w:ind w:firstLine="480" w:firstLineChars="200"/>
        <w:rPr>
          <w:rFonts w:hAnsi="宋体"/>
          <w:sz w:val="24"/>
        </w:rPr>
      </w:pPr>
      <w:r>
        <w:rPr>
          <w:rFonts w:hint="eastAsia"/>
          <w:bCs/>
          <w:sz w:val="24"/>
        </w:rPr>
        <w:t>基金管理人应当在不晚于半年度和年度最后一日的次日，在规定网站披露半年度和年度最后一日A类基金份额和C类基金份额所对应的基金份额净值和基金份额累计净值。</w:t>
      </w:r>
    </w:p>
    <w:p>
      <w:pPr>
        <w:adjustRightInd w:val="0"/>
        <w:snapToGrid w:val="0"/>
        <w:spacing w:line="360" w:lineRule="auto"/>
        <w:ind w:firstLine="480" w:firstLineChars="200"/>
        <w:rPr>
          <w:sz w:val="24"/>
        </w:rPr>
      </w:pPr>
      <w:r>
        <w:rPr>
          <w:sz w:val="24"/>
        </w:rPr>
        <w:t>5</w:t>
      </w:r>
      <w:r>
        <w:rPr>
          <w:rFonts w:hAnsi="宋体"/>
          <w:sz w:val="24"/>
        </w:rPr>
        <w:t>、基金份额申购、赎回价格</w:t>
      </w:r>
    </w:p>
    <w:p>
      <w:pPr>
        <w:adjustRightInd w:val="0"/>
        <w:snapToGrid w:val="0"/>
        <w:spacing w:line="360" w:lineRule="auto"/>
        <w:ind w:firstLine="480" w:firstLineChars="20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int="eastAsia" w:hAnsi="宋体"/>
          <w:bCs/>
          <w:sz w:val="24"/>
        </w:rPr>
        <w:t>销售机构</w:t>
      </w:r>
      <w:r>
        <w:rPr>
          <w:rFonts w:hint="eastAsia"/>
          <w:bCs/>
          <w:sz w:val="24"/>
        </w:rPr>
        <w:t>网站或营业网点</w:t>
      </w:r>
      <w:r>
        <w:rPr>
          <w:rFonts w:hAnsi="宋体"/>
          <w:sz w:val="24"/>
        </w:rPr>
        <w:t>查阅或者复制前述信息资料。</w:t>
      </w:r>
    </w:p>
    <w:p>
      <w:pPr>
        <w:adjustRightInd w:val="0"/>
        <w:snapToGrid w:val="0"/>
        <w:spacing w:line="360" w:lineRule="auto"/>
        <w:ind w:firstLine="480" w:firstLineChars="20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pPr>
        <w:adjustRightInd w:val="0"/>
        <w:snapToGrid w:val="0"/>
        <w:spacing w:line="360" w:lineRule="auto"/>
        <w:ind w:firstLine="480" w:firstLineChars="200"/>
        <w:rPr>
          <w:rFonts w:hAnsi="宋体"/>
          <w:sz w:val="24"/>
        </w:rPr>
      </w:pPr>
      <w:r>
        <w:rPr>
          <w:rFonts w:hint="eastAsia" w:hAnsi="宋体"/>
          <w:sz w:val="24"/>
        </w:rPr>
        <w:t>基金管理人应当在每年结束之日起三个月内，编制完成基金年度报告，将年度报告登载在规定网站上，并将年度报告提示性公告登载在</w:t>
      </w:r>
      <w:r>
        <w:rPr>
          <w:rFonts w:hint="eastAsia"/>
          <w:bCs/>
          <w:sz w:val="24"/>
        </w:rPr>
        <w:t>规定</w:t>
      </w:r>
      <w:r>
        <w:rPr>
          <w:rFonts w:hint="eastAsia" w:hAnsi="宋体"/>
          <w:sz w:val="24"/>
        </w:rPr>
        <w:t>报刊上。基金年度报告中的财务会计报告应当经过符合《中华人民共和国证券法》规定的会计师事务所审计。</w:t>
      </w:r>
    </w:p>
    <w:p>
      <w:pPr>
        <w:adjustRightInd w:val="0"/>
        <w:snapToGrid w:val="0"/>
        <w:spacing w:line="360" w:lineRule="auto"/>
        <w:ind w:firstLine="480" w:firstLineChars="200"/>
        <w:rPr>
          <w:rFonts w:hAnsi="宋体"/>
          <w:sz w:val="24"/>
        </w:rPr>
      </w:pPr>
      <w:r>
        <w:rPr>
          <w:rFonts w:hint="eastAsia" w:hAnsi="宋体"/>
          <w:sz w:val="24"/>
        </w:rPr>
        <w:t>基金管理人应当在上半年结束之日起两个月内，编制完成基金中期报告，将中期报告登载在规定网站上，并将中期报告提示性公告登载在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基金管理人应当在季度结束之日起15个工作日内，编制完成基金季度报告，将季度报告登载在规定网站上，并将季度报告提示性公告登载在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《基金合同》生效不足2个月的，基金管理人可以不编制当期季度报告、中期报告或者年度报告。</w:t>
      </w:r>
    </w:p>
    <w:p>
      <w:pPr>
        <w:adjustRightInd w:val="0"/>
        <w:snapToGrid w:val="0"/>
        <w:spacing w:line="360" w:lineRule="auto"/>
        <w:ind w:firstLine="480" w:firstLineChars="200"/>
        <w:rPr>
          <w:rFonts w:hAnsi="宋体"/>
          <w:sz w:val="24"/>
        </w:rPr>
      </w:pPr>
      <w:r>
        <w:rPr>
          <w:rFonts w:hint="eastAsia"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hAnsi="宋体"/>
          <w:sz w:val="24"/>
        </w:rPr>
      </w:pPr>
      <w:r>
        <w:rPr>
          <w:rFonts w:hint="eastAsia" w:hAnsi="宋体"/>
          <w:sz w:val="24"/>
        </w:rPr>
        <w:t>基金管理人应当在基金年度报告和</w:t>
      </w:r>
      <w:r>
        <w:rPr>
          <w:rFonts w:hint="eastAsia"/>
          <w:bCs/>
          <w:sz w:val="24"/>
        </w:rPr>
        <w:t>中期</w:t>
      </w:r>
      <w:r>
        <w:rPr>
          <w:rFonts w:hint="eastAsia" w:hAnsi="宋体"/>
          <w:sz w:val="24"/>
        </w:rPr>
        <w:t>报告中披露基金组合资产情况及其流动性风险分析等。</w:t>
      </w:r>
    </w:p>
    <w:p>
      <w:pPr>
        <w:adjustRightInd w:val="0"/>
        <w:snapToGrid w:val="0"/>
        <w:spacing w:line="360" w:lineRule="auto"/>
        <w:ind w:firstLine="480" w:firstLineChars="200"/>
        <w:rPr>
          <w:sz w:val="24"/>
        </w:rPr>
      </w:pPr>
      <w:r>
        <w:rPr>
          <w:sz w:val="24"/>
        </w:rPr>
        <w:t>7</w:t>
      </w:r>
      <w:r>
        <w:rPr>
          <w:rFonts w:hAnsi="宋体"/>
          <w:sz w:val="24"/>
        </w:rPr>
        <w:t>、临时报告</w:t>
      </w:r>
    </w:p>
    <w:p>
      <w:pPr>
        <w:adjustRightInd w:val="0"/>
        <w:snapToGrid w:val="0"/>
        <w:spacing w:line="360" w:lineRule="auto"/>
        <w:ind w:firstLine="480" w:firstLineChars="200"/>
        <w:rPr>
          <w:rFonts w:hAnsi="宋体"/>
          <w:sz w:val="24"/>
        </w:rPr>
      </w:pPr>
      <w:r>
        <w:rPr>
          <w:rFonts w:hAnsi="宋体"/>
          <w:sz w:val="24"/>
        </w:rPr>
        <w:t>本基金发生重大事件，有关信息披露义务人应当</w:t>
      </w:r>
      <w:r>
        <w:rPr>
          <w:rFonts w:hint="eastAsia" w:hAnsi="宋体"/>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pPr>
        <w:adjustRightInd w:val="0"/>
        <w:snapToGrid w:val="0"/>
        <w:spacing w:line="360" w:lineRule="auto"/>
        <w:ind w:firstLine="480" w:firstLineChars="200"/>
        <w:rPr>
          <w:rFonts w:hAnsi="宋体"/>
          <w:sz w:val="24"/>
        </w:rPr>
      </w:pPr>
      <w:r>
        <w:rPr>
          <w:rFonts w:hAnsi="宋体"/>
          <w:sz w:val="24"/>
        </w:rPr>
        <w:t>前款所称重大事件，是指可能对基金份额持有人权益或者基金份额的价格产生重大影响的下列事件：</w:t>
      </w:r>
    </w:p>
    <w:p>
      <w:pPr>
        <w:adjustRightInd w:val="0"/>
        <w:snapToGrid w:val="0"/>
        <w:spacing w:line="360" w:lineRule="auto"/>
        <w:ind w:firstLine="480" w:firstLineChars="200"/>
        <w:rPr>
          <w:bCs/>
          <w:sz w:val="24"/>
        </w:rPr>
      </w:pPr>
      <w:r>
        <w:rPr>
          <w:rFonts w:hint="eastAsia"/>
          <w:bCs/>
          <w:sz w:val="24"/>
        </w:rPr>
        <w:t>（1）基金份额持有人大会的召开及决定的事项；</w:t>
      </w:r>
    </w:p>
    <w:p>
      <w:pPr>
        <w:adjustRightInd w:val="0"/>
        <w:snapToGrid w:val="0"/>
        <w:spacing w:line="360" w:lineRule="auto"/>
        <w:ind w:firstLine="480" w:firstLineChars="200"/>
        <w:rPr>
          <w:bCs/>
          <w:sz w:val="24"/>
        </w:rPr>
      </w:pPr>
      <w:r>
        <w:rPr>
          <w:rFonts w:hint="eastAsia"/>
          <w:bCs/>
          <w:sz w:val="24"/>
        </w:rPr>
        <w:t>（2）《基金合同》终止、基金清算；</w:t>
      </w:r>
    </w:p>
    <w:p>
      <w:pPr>
        <w:adjustRightInd w:val="0"/>
        <w:snapToGrid w:val="0"/>
        <w:spacing w:line="360" w:lineRule="auto"/>
        <w:ind w:firstLine="480" w:firstLineChars="200"/>
        <w:rPr>
          <w:bCs/>
          <w:sz w:val="24"/>
        </w:rPr>
      </w:pPr>
      <w:r>
        <w:rPr>
          <w:rFonts w:hint="eastAsia"/>
          <w:bCs/>
          <w:sz w:val="24"/>
        </w:rPr>
        <w:t>（3）转换基金运作方式、基金合并；</w:t>
      </w:r>
    </w:p>
    <w:p>
      <w:pPr>
        <w:adjustRightInd w:val="0"/>
        <w:snapToGrid w:val="0"/>
        <w:spacing w:line="360" w:lineRule="auto"/>
        <w:ind w:firstLine="480" w:firstLineChars="200"/>
        <w:rPr>
          <w:bCs/>
          <w:sz w:val="24"/>
        </w:rPr>
      </w:pPr>
      <w:r>
        <w:rPr>
          <w:rFonts w:hint="eastAsia"/>
          <w:bCs/>
          <w:sz w:val="24"/>
        </w:rPr>
        <w:t>（4）更换基金管理人、基金托管人、基金份额登记机构，基金改聘会计师事务所；</w:t>
      </w:r>
    </w:p>
    <w:p>
      <w:pPr>
        <w:adjustRightInd w:val="0"/>
        <w:snapToGrid w:val="0"/>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bCs/>
          <w:sz w:val="24"/>
        </w:rPr>
      </w:pPr>
      <w:r>
        <w:rPr>
          <w:rFonts w:hint="eastAsia"/>
          <w:bCs/>
          <w:sz w:val="24"/>
        </w:rPr>
        <w:t>（6）基金管理人、基金托管人的法定名称、住所发生变更；</w:t>
      </w:r>
    </w:p>
    <w:p>
      <w:pPr>
        <w:adjustRightInd w:val="0"/>
        <w:snapToGrid w:val="0"/>
        <w:spacing w:line="360" w:lineRule="auto"/>
        <w:ind w:firstLine="480" w:firstLineChars="200"/>
        <w:rPr>
          <w:bCs/>
          <w:sz w:val="24"/>
        </w:rPr>
      </w:pPr>
      <w:r>
        <w:rPr>
          <w:rFonts w:hint="eastAsia"/>
          <w:bCs/>
          <w:sz w:val="24"/>
        </w:rPr>
        <w:t>（7）基金管理人变更持有百分之五以上股权的股东、基金管理人的实际控制人变更；</w:t>
      </w:r>
    </w:p>
    <w:p>
      <w:pPr>
        <w:adjustRightInd w:val="0"/>
        <w:snapToGrid w:val="0"/>
        <w:spacing w:line="360" w:lineRule="auto"/>
        <w:ind w:firstLine="480" w:firstLineChars="200"/>
        <w:rPr>
          <w:bCs/>
          <w:sz w:val="24"/>
        </w:rPr>
      </w:pPr>
      <w:r>
        <w:rPr>
          <w:rFonts w:hint="eastAsia"/>
          <w:bCs/>
          <w:sz w:val="24"/>
        </w:rPr>
        <w:t>（8）基金募集期延长或提前结束募集；</w:t>
      </w:r>
    </w:p>
    <w:p>
      <w:pPr>
        <w:adjustRightInd w:val="0"/>
        <w:snapToGrid w:val="0"/>
        <w:spacing w:line="360" w:lineRule="auto"/>
        <w:ind w:firstLine="480" w:firstLineChars="200"/>
        <w:rPr>
          <w:bCs/>
          <w:sz w:val="24"/>
        </w:rPr>
      </w:pPr>
      <w:r>
        <w:rPr>
          <w:rFonts w:hint="eastAsia"/>
          <w:bCs/>
          <w:sz w:val="24"/>
        </w:rPr>
        <w:t>（9）基金管理人的高级管理人员、基金经理和基金托管人专门基金托管部门负责人发生变动；</w:t>
      </w:r>
    </w:p>
    <w:p>
      <w:pPr>
        <w:adjustRightInd w:val="0"/>
        <w:snapToGrid w:val="0"/>
        <w:spacing w:line="360" w:lineRule="auto"/>
        <w:ind w:firstLine="480" w:firstLineChars="200"/>
        <w:rPr>
          <w:bCs/>
          <w:sz w:val="24"/>
        </w:rPr>
      </w:pPr>
      <w:r>
        <w:rPr>
          <w:rFonts w:hint="eastAsia"/>
          <w:bCs/>
          <w:sz w:val="24"/>
        </w:rPr>
        <w:t>（10）基金管理人的董事在最近12个月内变更超过百分之五十，基金管理人、基金托管人专门基金托管部门的主要业务人员在最近12个月内变动超过百分之三十；</w:t>
      </w:r>
    </w:p>
    <w:p>
      <w:pPr>
        <w:adjustRightInd w:val="0"/>
        <w:snapToGrid w:val="0"/>
        <w:spacing w:line="360" w:lineRule="auto"/>
        <w:ind w:firstLine="480" w:firstLineChars="200"/>
        <w:rPr>
          <w:bCs/>
          <w:sz w:val="24"/>
        </w:rPr>
      </w:pPr>
      <w:r>
        <w:rPr>
          <w:rFonts w:hint="eastAsia"/>
          <w:bCs/>
          <w:sz w:val="24"/>
        </w:rPr>
        <w:t>（11）涉及基金财产、基金管理业务、基金托管业务的诉讼或仲裁；</w:t>
      </w:r>
    </w:p>
    <w:p>
      <w:pPr>
        <w:adjustRightInd w:val="0"/>
        <w:snapToGrid w:val="0"/>
        <w:spacing w:line="360" w:lineRule="auto"/>
        <w:ind w:firstLine="480" w:firstLineChars="200"/>
        <w:rPr>
          <w:bCs/>
          <w:sz w:val="24"/>
        </w:rPr>
      </w:pPr>
      <w:r>
        <w:rPr>
          <w:rFonts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djustRightInd w:val="0"/>
        <w:snapToGrid w:val="0"/>
        <w:spacing w:line="360" w:lineRule="auto"/>
        <w:ind w:firstLine="480" w:firstLineChars="200"/>
        <w:rPr>
          <w:bCs/>
          <w:sz w:val="24"/>
        </w:rPr>
      </w:pPr>
      <w:r>
        <w:rPr>
          <w:rFonts w:hint="eastAsia"/>
          <w:bCs/>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djustRightInd w:val="0"/>
        <w:snapToGrid w:val="0"/>
        <w:spacing w:line="360" w:lineRule="auto"/>
        <w:ind w:firstLine="480" w:firstLineChars="200"/>
        <w:rPr>
          <w:bCs/>
          <w:sz w:val="24"/>
        </w:rPr>
      </w:pPr>
      <w:r>
        <w:rPr>
          <w:rFonts w:hint="eastAsia"/>
          <w:bCs/>
          <w:sz w:val="24"/>
        </w:rPr>
        <w:t>（14）基金收益分配事项；</w:t>
      </w:r>
    </w:p>
    <w:p>
      <w:pPr>
        <w:adjustRightInd w:val="0"/>
        <w:snapToGrid w:val="0"/>
        <w:spacing w:line="360" w:lineRule="auto"/>
        <w:ind w:firstLine="480" w:firstLineChars="200"/>
        <w:rPr>
          <w:bCs/>
          <w:sz w:val="24"/>
        </w:rPr>
      </w:pPr>
      <w:r>
        <w:rPr>
          <w:rFonts w:hint="eastAsia"/>
          <w:bCs/>
          <w:sz w:val="24"/>
        </w:rPr>
        <w:t>（15）管理费、托管费、销售服务费、申购费、赎回费等费用计提标准、计提方式和费率发生变更；</w:t>
      </w:r>
    </w:p>
    <w:p>
      <w:pPr>
        <w:adjustRightInd w:val="0"/>
        <w:snapToGrid w:val="0"/>
        <w:spacing w:line="360" w:lineRule="auto"/>
        <w:ind w:firstLine="480" w:firstLineChars="200"/>
        <w:rPr>
          <w:bCs/>
          <w:sz w:val="24"/>
        </w:rPr>
      </w:pPr>
      <w:r>
        <w:rPr>
          <w:rFonts w:hint="eastAsia"/>
          <w:bCs/>
          <w:sz w:val="24"/>
        </w:rPr>
        <w:t>（16）任一类基金份额净值计价错误达该类基金份额净值百分之零点五；</w:t>
      </w:r>
    </w:p>
    <w:p>
      <w:pPr>
        <w:adjustRightInd w:val="0"/>
        <w:snapToGrid w:val="0"/>
        <w:spacing w:line="360" w:lineRule="auto"/>
        <w:ind w:firstLine="480" w:firstLineChars="200"/>
        <w:rPr>
          <w:bCs/>
          <w:sz w:val="24"/>
        </w:rPr>
      </w:pPr>
      <w:r>
        <w:rPr>
          <w:rFonts w:hint="eastAsia"/>
          <w:bCs/>
          <w:sz w:val="24"/>
        </w:rPr>
        <w:t>（17）本基金开始办理申购、赎回；</w:t>
      </w:r>
    </w:p>
    <w:p>
      <w:pPr>
        <w:adjustRightInd w:val="0"/>
        <w:snapToGrid w:val="0"/>
        <w:spacing w:line="360" w:lineRule="auto"/>
        <w:ind w:firstLine="480" w:firstLineChars="200"/>
        <w:rPr>
          <w:bCs/>
          <w:sz w:val="24"/>
        </w:rPr>
      </w:pPr>
      <w:r>
        <w:rPr>
          <w:rFonts w:hint="eastAsia"/>
          <w:bCs/>
          <w:sz w:val="24"/>
        </w:rPr>
        <w:t>（18）本基金发生巨额赎回并延期办理；</w:t>
      </w:r>
    </w:p>
    <w:p>
      <w:pPr>
        <w:adjustRightInd w:val="0"/>
        <w:snapToGrid w:val="0"/>
        <w:spacing w:line="360" w:lineRule="auto"/>
        <w:ind w:firstLine="480" w:firstLineChars="200"/>
        <w:rPr>
          <w:bCs/>
          <w:sz w:val="24"/>
        </w:rPr>
      </w:pPr>
      <w:r>
        <w:rPr>
          <w:rFonts w:hint="eastAsia"/>
          <w:bCs/>
          <w:sz w:val="24"/>
        </w:rPr>
        <w:t>（19）本基金连续发生巨额赎回并暂停接受赎回申请或延缓支付赎回款项；</w:t>
      </w:r>
    </w:p>
    <w:p>
      <w:pPr>
        <w:adjustRightInd w:val="0"/>
        <w:snapToGrid w:val="0"/>
        <w:spacing w:line="360" w:lineRule="auto"/>
        <w:ind w:firstLine="480" w:firstLineChars="200"/>
        <w:rPr>
          <w:bCs/>
          <w:sz w:val="24"/>
        </w:rPr>
      </w:pPr>
      <w:r>
        <w:rPr>
          <w:rFonts w:hint="eastAsia"/>
          <w:bCs/>
          <w:sz w:val="24"/>
        </w:rPr>
        <w:t>（20）本基金暂停接受申购、赎回申请或重新接受申购、赎回申请；</w:t>
      </w:r>
    </w:p>
    <w:p>
      <w:pPr>
        <w:adjustRightInd w:val="0"/>
        <w:snapToGrid w:val="0"/>
        <w:spacing w:line="360" w:lineRule="auto"/>
        <w:ind w:firstLine="480" w:firstLineChars="200"/>
        <w:rPr>
          <w:bCs/>
          <w:sz w:val="24"/>
        </w:rPr>
      </w:pPr>
      <w:r>
        <w:rPr>
          <w:rFonts w:hint="eastAsia"/>
          <w:bCs/>
          <w:sz w:val="24"/>
        </w:rPr>
        <w:t>（21）发生涉及基金申购、赎回事项调整或潜在影响投资者赎回等重大事项时；</w:t>
      </w:r>
    </w:p>
    <w:p>
      <w:pPr>
        <w:adjustRightInd w:val="0"/>
        <w:snapToGrid w:val="0"/>
        <w:spacing w:line="360" w:lineRule="auto"/>
        <w:ind w:firstLine="480" w:firstLineChars="200"/>
        <w:rPr>
          <w:bCs/>
          <w:sz w:val="24"/>
        </w:rPr>
      </w:pPr>
      <w:r>
        <w:rPr>
          <w:rFonts w:hint="eastAsia"/>
          <w:bCs/>
          <w:sz w:val="24"/>
        </w:rPr>
        <w:t>（22）基金管理人采用摆动定价机制进行估值；</w:t>
      </w:r>
    </w:p>
    <w:p>
      <w:pPr>
        <w:adjustRightInd w:val="0"/>
        <w:snapToGrid w:val="0"/>
        <w:spacing w:line="360" w:lineRule="auto"/>
        <w:ind w:firstLine="480" w:firstLineChars="200"/>
        <w:rPr>
          <w:bCs/>
          <w:sz w:val="24"/>
        </w:rPr>
      </w:pPr>
      <w:r>
        <w:rPr>
          <w:rFonts w:hint="eastAsia"/>
          <w:bCs/>
          <w:sz w:val="24"/>
        </w:rPr>
        <w:t>（23）本基金增加或调整基金份额类别；</w:t>
      </w:r>
    </w:p>
    <w:p>
      <w:pPr>
        <w:adjustRightInd w:val="0"/>
        <w:snapToGrid w:val="0"/>
        <w:spacing w:line="360" w:lineRule="auto"/>
        <w:ind w:firstLine="480" w:firstLineChars="200"/>
        <w:rPr>
          <w:bCs/>
          <w:sz w:val="24"/>
        </w:rPr>
      </w:pPr>
      <w:r>
        <w:rPr>
          <w:rFonts w:hint="eastAsia"/>
          <w:bCs/>
          <w:sz w:val="24"/>
        </w:rPr>
        <w:t>（24）本基金推出新业务或服务；</w:t>
      </w:r>
    </w:p>
    <w:p>
      <w:pPr>
        <w:adjustRightInd w:val="0"/>
        <w:snapToGrid w:val="0"/>
        <w:spacing w:line="360" w:lineRule="auto"/>
        <w:ind w:firstLine="480" w:firstLineChars="200"/>
        <w:rPr>
          <w:bCs/>
          <w:sz w:val="24"/>
        </w:rPr>
      </w:pPr>
      <w:r>
        <w:rPr>
          <w:rFonts w:hint="eastAsia"/>
          <w:bCs/>
          <w:sz w:val="24"/>
        </w:rPr>
        <w:t>（25）本基金连续30个工作日、40个工作日、45个工作日出现基金份额持有人数量不满200人或者基金资产净值低于5000万元情形的；</w:t>
      </w:r>
    </w:p>
    <w:p>
      <w:pPr>
        <w:adjustRightInd w:val="0"/>
        <w:snapToGrid w:val="0"/>
        <w:spacing w:line="360" w:lineRule="auto"/>
        <w:ind w:firstLine="480" w:firstLineChars="200"/>
        <w:rPr>
          <w:bCs/>
          <w:sz w:val="24"/>
        </w:rPr>
      </w:pPr>
      <w:r>
        <w:rPr>
          <w:rFonts w:hint="eastAsia"/>
          <w:bCs/>
          <w:sz w:val="24"/>
        </w:rPr>
        <w:t>（26）基金信息披露义务人认为可能对基金份额持有人权益或者基金份额的价格产生重大影响的其他事项或中国证监会规定和基金合同约定的其他事项。</w:t>
      </w:r>
    </w:p>
    <w:p>
      <w:pPr>
        <w:adjustRightInd w:val="0"/>
        <w:snapToGrid w:val="0"/>
        <w:spacing w:line="360" w:lineRule="auto"/>
        <w:ind w:firstLine="480" w:firstLineChars="200"/>
        <w:rPr>
          <w:sz w:val="24"/>
        </w:rPr>
      </w:pPr>
      <w:r>
        <w:rPr>
          <w:sz w:val="24"/>
        </w:rPr>
        <w:t>8</w:t>
      </w:r>
      <w:r>
        <w:rPr>
          <w:rFonts w:hAnsi="宋体"/>
          <w:sz w:val="24"/>
        </w:rPr>
        <w:t>、澄清公告</w:t>
      </w:r>
    </w:p>
    <w:p>
      <w:pPr>
        <w:adjustRightInd w:val="0"/>
        <w:snapToGrid w:val="0"/>
        <w:spacing w:line="360" w:lineRule="auto"/>
        <w:ind w:firstLine="480" w:firstLineChars="20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的，相关信息披露义务人知悉后应当立即对该消息进行公开澄清，并将有关情况立即报告中国证监会。</w:t>
      </w:r>
    </w:p>
    <w:p>
      <w:pPr>
        <w:adjustRightInd w:val="0"/>
        <w:snapToGrid w:val="0"/>
        <w:spacing w:line="360" w:lineRule="auto"/>
        <w:ind w:firstLine="480" w:firstLineChars="200"/>
        <w:rPr>
          <w:sz w:val="24"/>
        </w:rPr>
      </w:pPr>
      <w:r>
        <w:rPr>
          <w:sz w:val="24"/>
        </w:rPr>
        <w:t>9</w:t>
      </w:r>
      <w:r>
        <w:rPr>
          <w:rFonts w:hAnsi="宋体"/>
          <w:sz w:val="24"/>
        </w:rPr>
        <w:t>、基金份额持有人大会决议</w:t>
      </w:r>
    </w:p>
    <w:p>
      <w:pPr>
        <w:adjustRightInd w:val="0"/>
        <w:snapToGrid w:val="0"/>
        <w:spacing w:line="360" w:lineRule="auto"/>
        <w:ind w:firstLine="480" w:firstLineChars="200"/>
        <w:rPr>
          <w:bCs/>
          <w:sz w:val="24"/>
        </w:rPr>
      </w:pPr>
      <w:r>
        <w:rPr>
          <w:rFonts w:hint="eastAsia"/>
          <w:bCs/>
          <w:sz w:val="24"/>
        </w:rPr>
        <w:t>基金份额持有人大会决定的事项，应当依法报中国证监会备案，并予以公告。</w:t>
      </w:r>
    </w:p>
    <w:p>
      <w:pPr>
        <w:adjustRightInd w:val="0"/>
        <w:snapToGrid w:val="0"/>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adjustRightInd w:val="0"/>
        <w:snapToGrid w:val="0"/>
        <w:spacing w:line="360" w:lineRule="auto"/>
        <w:ind w:firstLine="480" w:firstLineChars="200"/>
        <w:rPr>
          <w:sz w:val="24"/>
        </w:rPr>
      </w:pPr>
      <w:r>
        <w:rPr>
          <w:rFonts w:hint="eastAsia"/>
          <w:sz w:val="24"/>
        </w:rPr>
        <w:t>1</w:t>
      </w:r>
      <w:r>
        <w:rPr>
          <w:sz w:val="24"/>
        </w:rPr>
        <w:t>0、</w:t>
      </w:r>
      <w:r>
        <w:rPr>
          <w:rFonts w:hint="eastAsia"/>
          <w:sz w:val="24"/>
        </w:rPr>
        <w:t>实施侧袋机制期间的信息披露</w:t>
      </w:r>
    </w:p>
    <w:p>
      <w:pPr>
        <w:adjustRightInd w:val="0"/>
        <w:snapToGrid w:val="0"/>
        <w:spacing w:line="360" w:lineRule="auto"/>
        <w:ind w:firstLine="480" w:firstLineChars="200"/>
        <w:rPr>
          <w:sz w:val="24"/>
        </w:rPr>
      </w:pPr>
      <w:r>
        <w:rPr>
          <w:rFonts w:hint="eastAsia"/>
          <w:sz w:val="24"/>
        </w:rPr>
        <w:t>本基金实施侧袋机制的，相关信息披露义务人应当根据法律法规、基金合同和招募说明书的规定进行信息披露，详见本招募说明书“侧袋</w:t>
      </w:r>
      <w:r>
        <w:rPr>
          <w:sz w:val="24"/>
        </w:rPr>
        <w:t>机制</w:t>
      </w:r>
      <w:r>
        <w:rPr>
          <w:rFonts w:hint="eastAsia"/>
          <w:sz w:val="24"/>
        </w:rPr>
        <w:t>”部分的规定。</w:t>
      </w:r>
    </w:p>
    <w:p>
      <w:pPr>
        <w:adjustRightInd w:val="0"/>
        <w:snapToGrid w:val="0"/>
        <w:spacing w:line="360" w:lineRule="auto"/>
        <w:ind w:firstLine="480" w:firstLineChars="200"/>
        <w:rPr>
          <w:sz w:val="24"/>
        </w:rPr>
      </w:pPr>
      <w:r>
        <w:rPr>
          <w:rFonts w:hint="eastAsia"/>
          <w:sz w:val="24"/>
        </w:rPr>
        <w:t>11、清算报告</w:t>
      </w:r>
    </w:p>
    <w:p>
      <w:pPr>
        <w:adjustRightInd w:val="0"/>
        <w:snapToGrid w:val="0"/>
        <w:spacing w:line="360" w:lineRule="auto"/>
        <w:ind w:firstLine="480" w:firstLineChars="200"/>
        <w:rPr>
          <w:sz w:val="24"/>
        </w:rPr>
      </w:pPr>
      <w:r>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pPr>
        <w:adjustRightInd w:val="0"/>
        <w:snapToGrid w:val="0"/>
        <w:spacing w:line="360" w:lineRule="auto"/>
        <w:ind w:firstLine="480" w:firstLineChars="200"/>
        <w:rPr>
          <w:sz w:val="24"/>
        </w:rPr>
      </w:pPr>
      <w:r>
        <w:rPr>
          <w:rFonts w:hint="eastAsia"/>
          <w:sz w:val="24"/>
        </w:rPr>
        <w:t>1</w:t>
      </w:r>
      <w:r>
        <w:rPr>
          <w:sz w:val="24"/>
        </w:rPr>
        <w:t>2、</w:t>
      </w:r>
      <w:r>
        <w:rPr>
          <w:rFonts w:hint="eastAsia"/>
          <w:sz w:val="24"/>
        </w:rPr>
        <w:t>基金投资资产支持证券情况</w:t>
      </w:r>
    </w:p>
    <w:p>
      <w:pPr>
        <w:adjustRightInd w:val="0"/>
        <w:snapToGrid w:val="0"/>
        <w:spacing w:line="360" w:lineRule="auto"/>
        <w:ind w:firstLine="480" w:firstLineChars="200"/>
        <w:rPr>
          <w:sz w:val="24"/>
        </w:rPr>
      </w:pPr>
      <w:r>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sz w:val="24"/>
        </w:rPr>
      </w:pPr>
      <w:r>
        <w:rPr>
          <w:rFonts w:hint="eastAsia"/>
          <w:sz w:val="24"/>
        </w:rPr>
        <w:t>1</w:t>
      </w:r>
      <w:r>
        <w:rPr>
          <w:sz w:val="24"/>
        </w:rPr>
        <w:t>3、</w:t>
      </w:r>
      <w:r>
        <w:rPr>
          <w:rFonts w:hint="eastAsia"/>
          <w:sz w:val="24"/>
        </w:rPr>
        <w:t>基金投资股指期货情况</w:t>
      </w:r>
    </w:p>
    <w:p>
      <w:pPr>
        <w:adjustRightInd w:val="0"/>
        <w:snapToGrid w:val="0"/>
        <w:spacing w:line="360" w:lineRule="auto"/>
        <w:ind w:firstLine="480" w:firstLineChars="200"/>
        <w:rPr>
          <w:sz w:val="24"/>
        </w:rPr>
      </w:pPr>
      <w:r>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sz w:val="24"/>
        </w:rPr>
      </w:pPr>
      <w:r>
        <w:rPr>
          <w:rFonts w:hint="eastAsia"/>
          <w:sz w:val="24"/>
        </w:rPr>
        <w:t>1</w:t>
      </w:r>
      <w:r>
        <w:rPr>
          <w:sz w:val="24"/>
        </w:rPr>
        <w:t>4、</w:t>
      </w:r>
      <w:r>
        <w:rPr>
          <w:rFonts w:hint="eastAsia"/>
          <w:sz w:val="24"/>
        </w:rPr>
        <w:t>基金投资港股通标的股票情况</w:t>
      </w:r>
    </w:p>
    <w:p>
      <w:pPr>
        <w:adjustRightInd w:val="0"/>
        <w:snapToGrid w:val="0"/>
        <w:spacing w:line="360" w:lineRule="auto"/>
        <w:ind w:firstLine="480" w:firstLineChars="200"/>
        <w:rPr>
          <w:rFonts w:hAnsi="宋体"/>
          <w:sz w:val="24"/>
        </w:rPr>
      </w:pPr>
      <w:r>
        <w:rPr>
          <w:rFonts w:hint="eastAsia"/>
          <w:sz w:val="24"/>
        </w:rPr>
        <w:t>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rPr>
          <w:sz w:val="24"/>
        </w:rPr>
      </w:pPr>
      <w:r>
        <w:rPr>
          <w:rFonts w:hint="eastAsia" w:hAnsi="宋体"/>
          <w:sz w:val="24"/>
        </w:rPr>
        <w:t>1</w:t>
      </w:r>
      <w:r>
        <w:rPr>
          <w:rFonts w:hAnsi="宋体"/>
          <w:sz w:val="24"/>
        </w:rPr>
        <w:t>5</w:t>
      </w:r>
      <w:r>
        <w:rPr>
          <w:rFonts w:hint="eastAsia" w:hAnsi="宋体"/>
          <w:sz w:val="24"/>
        </w:rPr>
        <w:t>、</w:t>
      </w:r>
      <w:r>
        <w:rPr>
          <w:rFonts w:hAnsi="宋体"/>
          <w:sz w:val="24"/>
        </w:rPr>
        <w:t>中国证监会规定的其他信息</w:t>
      </w:r>
      <w:r>
        <w:rPr>
          <w:rFonts w:hint="eastAsia" w:hAnsi="宋体"/>
          <w:sz w:val="24"/>
        </w:rPr>
        <w:t>。</w:t>
      </w:r>
    </w:p>
    <w:p>
      <w:pPr>
        <w:adjustRightInd w:val="0"/>
        <w:snapToGrid w:val="0"/>
        <w:spacing w:line="360" w:lineRule="auto"/>
        <w:ind w:firstLine="482" w:firstLineChars="200"/>
        <w:rPr>
          <w:b/>
          <w:bCs/>
          <w:sz w:val="24"/>
        </w:rPr>
      </w:pPr>
      <w:r>
        <w:rPr>
          <w:b/>
          <w:bCs/>
          <w:sz w:val="24"/>
        </w:rPr>
        <w:t>（六）信息披露事务管理</w:t>
      </w:r>
    </w:p>
    <w:p>
      <w:pPr>
        <w:adjustRightInd w:val="0"/>
        <w:snapToGrid w:val="0"/>
        <w:spacing w:line="360" w:lineRule="auto"/>
        <w:ind w:firstLine="480" w:firstLineChars="200"/>
        <w:rPr>
          <w:rFonts w:hAnsi="宋体"/>
          <w:sz w:val="24"/>
        </w:rPr>
      </w:pPr>
      <w:r>
        <w:rPr>
          <w:rFonts w:hint="eastAsia" w:hAnsi="宋体"/>
          <w:sz w:val="24"/>
        </w:rPr>
        <w:t>基金管理人、基金托管人应当建立健全信息披露管理制度，指定</w:t>
      </w:r>
      <w:r>
        <w:rPr>
          <w:rFonts w:hint="eastAsia"/>
          <w:bCs/>
          <w:sz w:val="24"/>
        </w:rPr>
        <w:t>专门部门及高级管理人员</w:t>
      </w:r>
      <w:r>
        <w:rPr>
          <w:rFonts w:hint="eastAsia" w:hAnsi="宋体"/>
          <w:sz w:val="24"/>
        </w:rPr>
        <w:t>负责管理信息披露事务。</w:t>
      </w:r>
    </w:p>
    <w:p>
      <w:pPr>
        <w:adjustRightInd w:val="0"/>
        <w:snapToGrid w:val="0"/>
        <w:spacing w:line="360" w:lineRule="auto"/>
        <w:ind w:firstLine="480" w:firstLineChars="200"/>
        <w:rPr>
          <w:rFonts w:hAnsi="宋体"/>
          <w:sz w:val="24"/>
        </w:rPr>
      </w:pPr>
      <w:r>
        <w:rPr>
          <w:rFonts w:hint="eastAsia" w:hAnsi="宋体"/>
          <w:sz w:val="24"/>
        </w:rPr>
        <w:t>基金信息披露义务人公开披露基金信息，应当符合中国证监会相关基金信息披露内容与格式准则</w:t>
      </w:r>
      <w:r>
        <w:rPr>
          <w:rFonts w:hint="eastAsia"/>
          <w:bCs/>
          <w:sz w:val="24"/>
        </w:rPr>
        <w:t>等法规</w:t>
      </w:r>
      <w:r>
        <w:rPr>
          <w:rFonts w:hint="eastAsia" w:hAnsi="宋体"/>
          <w:sz w:val="24"/>
        </w:rPr>
        <w:t>的规定。</w:t>
      </w:r>
    </w:p>
    <w:p>
      <w:pPr>
        <w:adjustRightInd w:val="0"/>
        <w:snapToGrid w:val="0"/>
        <w:spacing w:line="360" w:lineRule="auto"/>
        <w:ind w:firstLine="480" w:firstLineChars="200"/>
        <w:rPr>
          <w:rFonts w:hAnsi="宋体"/>
          <w:sz w:val="24"/>
        </w:rPr>
      </w:pPr>
      <w:r>
        <w:rPr>
          <w:rFonts w:hint="eastAsia" w:hAnsi="宋体"/>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rFonts w:hint="eastAsia" w:hAnsi="宋体"/>
          <w:sz w:val="24"/>
        </w:rPr>
        <w:t>更新的招募说明书</w:t>
      </w:r>
      <w:r>
        <w:rPr>
          <w:rFonts w:hint="eastAsia"/>
          <w:bCs/>
          <w:sz w:val="24"/>
        </w:rPr>
        <w:t>、基金产品资料概要、基金清算报告</w:t>
      </w:r>
      <w:r>
        <w:rPr>
          <w:rFonts w:hint="eastAsia" w:hAnsi="宋体"/>
          <w:sz w:val="24"/>
        </w:rPr>
        <w:t>等相关基金信息进行复核、审查，并向基金管理人</w:t>
      </w:r>
      <w:r>
        <w:rPr>
          <w:rFonts w:hint="eastAsia"/>
          <w:bCs/>
          <w:sz w:val="24"/>
        </w:rPr>
        <w:t>进行书面或电子</w:t>
      </w:r>
      <w:r>
        <w:rPr>
          <w:rFonts w:hint="eastAsia" w:hAnsi="宋体"/>
          <w:sz w:val="24"/>
        </w:rPr>
        <w:t>确认。</w:t>
      </w:r>
    </w:p>
    <w:p>
      <w:pPr>
        <w:adjustRightInd w:val="0"/>
        <w:snapToGrid w:val="0"/>
        <w:spacing w:line="360" w:lineRule="auto"/>
        <w:ind w:firstLine="480" w:firstLineChars="200"/>
        <w:rPr>
          <w:rFonts w:hAnsi="宋体"/>
          <w:sz w:val="24"/>
        </w:rPr>
      </w:pPr>
      <w:r>
        <w:rPr>
          <w:rFonts w:hint="eastAsia" w:hAnsi="宋体"/>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int="eastAsia" w:hAnsi="宋体"/>
          <w:sz w:val="24"/>
        </w:rPr>
        <w:t>。</w:t>
      </w:r>
    </w:p>
    <w:p>
      <w:pPr>
        <w:adjustRightInd w:val="0"/>
        <w:snapToGrid w:val="0"/>
        <w:spacing w:line="360" w:lineRule="auto"/>
        <w:ind w:firstLine="480" w:firstLineChars="200"/>
        <w:rPr>
          <w:rFonts w:hAnsi="宋体"/>
          <w:sz w:val="24"/>
        </w:rPr>
      </w:pPr>
      <w:r>
        <w:rPr>
          <w:rFonts w:hint="eastAsia"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djustRightInd w:val="0"/>
        <w:snapToGrid w:val="0"/>
        <w:spacing w:line="360" w:lineRule="auto"/>
        <w:ind w:firstLine="480" w:firstLineChars="200"/>
        <w:rPr>
          <w:rFonts w:hAnsi="宋体"/>
          <w:sz w:val="24"/>
        </w:rPr>
      </w:pPr>
      <w:r>
        <w:rPr>
          <w:rFonts w:hint="eastAsia" w:hAnsi="宋体"/>
          <w:sz w:val="24"/>
        </w:rPr>
        <w:t>为基金信息披露义务人公开披露的基金信息出具审计报告、法律意见书的专业机构，应当制作工作底稿，并将相关档案至少保存到《基金合同》终止后10年。</w:t>
      </w:r>
    </w:p>
    <w:p>
      <w:pPr>
        <w:adjustRightInd w:val="0"/>
        <w:snapToGrid w:val="0"/>
        <w:spacing w:line="360" w:lineRule="auto"/>
        <w:ind w:firstLine="480" w:firstLineChars="200"/>
        <w:rPr>
          <w:rFonts w:hAnsi="宋体"/>
          <w:sz w:val="24"/>
        </w:rPr>
      </w:pPr>
      <w:r>
        <w:rPr>
          <w:rFonts w:hint="eastAsia"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djustRightInd w:val="0"/>
        <w:snapToGrid w:val="0"/>
        <w:spacing w:line="360" w:lineRule="auto"/>
        <w:ind w:firstLine="482" w:firstLineChars="200"/>
        <w:rPr>
          <w:b/>
          <w:sz w:val="24"/>
        </w:rPr>
      </w:pPr>
      <w:r>
        <w:rPr>
          <w:rFonts w:hAnsi="宋体"/>
          <w:b/>
          <w:sz w:val="24"/>
        </w:rPr>
        <w:t>（七）信息披露文件的存放与查阅</w:t>
      </w:r>
    </w:p>
    <w:p>
      <w:pPr>
        <w:adjustRightInd w:val="0"/>
        <w:snapToGrid w:val="0"/>
        <w:spacing w:line="360" w:lineRule="auto"/>
        <w:ind w:firstLine="480" w:firstLineChars="200"/>
      </w:pPr>
      <w:r>
        <w:rPr>
          <w:rFonts w:hint="eastAsia"/>
          <w:bCs/>
          <w:sz w:val="24"/>
        </w:rPr>
        <w:t>依法必须披露的信息发布后，基金管理人、基金托管人应当按照相关法律法规规定将信息置备于各自办公场所，供社会公众查阅、复制</w:t>
      </w:r>
      <w:r>
        <w:rPr>
          <w:bCs/>
          <w:sz w:val="24"/>
        </w:rPr>
        <w:t>。</w:t>
      </w:r>
      <w:bookmarkEnd w:id="80"/>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4" w:name="_Toc48122017"/>
      <w:r>
        <w:rPr>
          <w:rFonts w:hint="eastAsia" w:ascii="宋体" w:hAnsi="宋体"/>
          <w:b/>
          <w:kern w:val="0"/>
          <w:sz w:val="30"/>
        </w:rPr>
        <w:t>十六、侧袋机制</w:t>
      </w:r>
      <w:bookmarkEnd w:id="84"/>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（一）侧袋机制的实施条件</w:t>
      </w:r>
    </w:p>
    <w:p>
      <w:pPr>
        <w:adjustRightInd w:val="0"/>
        <w:snapToGrid w:val="0"/>
        <w:spacing w:line="360" w:lineRule="auto"/>
        <w:ind w:firstLine="480" w:firstLineChars="200"/>
        <w:rPr>
          <w:rFonts w:hAnsi="宋体"/>
          <w:bCs/>
          <w:sz w:val="24"/>
          <w:szCs w:val="24"/>
        </w:rPr>
      </w:pPr>
      <w:r>
        <w:rPr>
          <w:rFonts w:hint="eastAsia" w:hAnsi="宋体"/>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基金管理人应当在启用侧袋机制后及时发布临时公告，</w:t>
      </w:r>
      <w:bookmarkStart w:id="85" w:name="_Hlk45746268"/>
      <w:r>
        <w:rPr>
          <w:rFonts w:hint="eastAsia" w:hAnsi="宋体"/>
          <w:bCs/>
          <w:sz w:val="24"/>
          <w:szCs w:val="24"/>
        </w:rPr>
        <w:t>并在</w:t>
      </w:r>
      <w:bookmarkStart w:id="86" w:name="_Hlk45746204"/>
      <w:r>
        <w:rPr>
          <w:rFonts w:hint="eastAsia" w:hAnsi="宋体"/>
          <w:bCs/>
          <w:sz w:val="24"/>
          <w:szCs w:val="24"/>
        </w:rPr>
        <w:t>五个工作日内</w:t>
      </w:r>
      <w:bookmarkEnd w:id="85"/>
      <w:bookmarkEnd w:id="86"/>
      <w:r>
        <w:rPr>
          <w:rFonts w:hint="eastAsia" w:hAnsi="宋体"/>
          <w:bCs/>
          <w:sz w:val="24"/>
          <w:szCs w:val="24"/>
        </w:rPr>
        <w:t>聘请</w:t>
      </w:r>
      <w:bookmarkStart w:id="87" w:name="_Hlk45746277"/>
      <w:r>
        <w:rPr>
          <w:rFonts w:hint="eastAsia" w:hAnsi="宋体"/>
          <w:bCs/>
          <w:sz w:val="24"/>
          <w:szCs w:val="24"/>
        </w:rPr>
        <w:t>侧袋机制启用日发表意见且</w:t>
      </w:r>
      <w:bookmarkEnd w:id="87"/>
      <w:r>
        <w:rPr>
          <w:rFonts w:hint="eastAsia" w:hAnsi="宋体"/>
          <w:bCs/>
          <w:sz w:val="24"/>
          <w:szCs w:val="24"/>
        </w:rPr>
        <w:t>符合《中华人民共和国证券法》规定的会计师事务所</w:t>
      </w:r>
      <w:bookmarkStart w:id="88" w:name="_Hlk45746299"/>
      <w:r>
        <w:rPr>
          <w:rFonts w:hint="eastAsia" w:hAnsi="宋体"/>
          <w:bCs/>
          <w:sz w:val="24"/>
          <w:szCs w:val="24"/>
        </w:rPr>
        <w:t>进行审计并披露</w:t>
      </w:r>
      <w:bookmarkEnd w:id="88"/>
      <w:r>
        <w:rPr>
          <w:rFonts w:hint="eastAsia" w:hAnsi="宋体"/>
          <w:bCs/>
          <w:sz w:val="24"/>
          <w:szCs w:val="24"/>
        </w:rPr>
        <w:t>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（二）实施侧袋机制期间基金份额的申购与赎回</w:t>
      </w:r>
    </w:p>
    <w:p>
      <w:pPr>
        <w:adjustRightInd w:val="0"/>
        <w:snapToGrid w:val="0"/>
        <w:spacing w:line="360" w:lineRule="auto"/>
        <w:ind w:firstLine="480" w:firstLineChars="200"/>
        <w:rPr>
          <w:rFonts w:hAnsi="宋体"/>
          <w:bCs/>
          <w:sz w:val="24"/>
          <w:szCs w:val="24"/>
        </w:rPr>
      </w:pPr>
      <w:r>
        <w:rPr>
          <w:rFonts w:hint="eastAsia" w:hAnsi="宋体"/>
          <w:bCs/>
          <w:sz w:val="24"/>
          <w:szCs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int="eastAsia" w:hAnsi="宋体"/>
          <w:bCs/>
          <w:sz w:val="24"/>
          <w:szCs w:val="24"/>
        </w:rPr>
        <w:t>%认定。</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（三）实施侧袋机制期间的基金投资</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侧袋机制实施期间，招募说明书“基金的投资”部分约定的</w:t>
      </w:r>
      <w:r>
        <w:rPr>
          <w:rFonts w:hAnsi="宋体"/>
          <w:bCs/>
          <w:sz w:val="24"/>
          <w:szCs w:val="24"/>
        </w:rPr>
        <w:t>投资组合比例</w:t>
      </w:r>
      <w:r>
        <w:rPr>
          <w:rFonts w:hint="eastAsia" w:hAnsi="宋体"/>
          <w:bCs/>
          <w:sz w:val="24"/>
          <w:szCs w:val="24"/>
        </w:rPr>
        <w:t>、投资策略、</w:t>
      </w:r>
      <w:r>
        <w:rPr>
          <w:rFonts w:hAnsi="宋体"/>
          <w:bCs/>
          <w:sz w:val="24"/>
          <w:szCs w:val="24"/>
        </w:rPr>
        <w:t>组合限制</w:t>
      </w:r>
      <w:r>
        <w:rPr>
          <w:rFonts w:hint="eastAsia" w:hAnsi="宋体"/>
          <w:bCs/>
          <w:sz w:val="24"/>
          <w:szCs w:val="24"/>
        </w:rPr>
        <w:t>、业绩比较基准、风险收益特征等约定仅适用于主袋账户。基金管理人计算各项投资运作指标和基金业绩指标时仅需考虑主袋账户资产。</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基金管理人原则上应当在侧袋</w:t>
      </w:r>
      <w:r>
        <w:rPr>
          <w:rFonts w:hAnsi="宋体"/>
          <w:bCs/>
          <w:sz w:val="24"/>
          <w:szCs w:val="24"/>
        </w:rPr>
        <w:t>机制启用后20个交易日内完成对主袋账户投资组合的调整，</w:t>
      </w:r>
      <w:r>
        <w:rPr>
          <w:rFonts w:hint="eastAsia" w:hAnsi="宋体"/>
          <w:bCs/>
          <w:sz w:val="24"/>
          <w:szCs w:val="24"/>
        </w:rPr>
        <w:t>因资产流动性受限等中国证监会规定的情形除外。</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基金管理人不得在侧袋账户中进行除特定资产处置变现以外的其他投资操作。</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（四）实施侧袋机制期间的基金估值</w:t>
      </w:r>
    </w:p>
    <w:p>
      <w:pPr>
        <w:adjustRightInd w:val="0"/>
        <w:snapToGrid w:val="0"/>
        <w:spacing w:line="360" w:lineRule="auto"/>
        <w:ind w:firstLine="480" w:firstLineChars="200"/>
        <w:rPr>
          <w:rFonts w:hAnsi="宋体"/>
          <w:bCs/>
          <w:sz w:val="24"/>
          <w:szCs w:val="24"/>
        </w:rPr>
      </w:pPr>
      <w:r>
        <w:rPr>
          <w:rFonts w:hint="eastAsia" w:hAnsi="宋体"/>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（五）实施侧袋账户期间的基金费用</w:t>
      </w:r>
    </w:p>
    <w:p>
      <w:pPr>
        <w:adjustRightInd w:val="0"/>
        <w:snapToGrid w:val="0"/>
        <w:spacing w:line="360" w:lineRule="auto"/>
        <w:ind w:firstLine="480" w:firstLineChars="200"/>
        <w:rPr>
          <w:rFonts w:hAnsi="宋体"/>
          <w:bCs/>
          <w:sz w:val="24"/>
          <w:szCs w:val="24"/>
        </w:rPr>
      </w:pPr>
      <w:r>
        <w:rPr>
          <w:rFonts w:hint="eastAsia" w:hAnsi="宋体"/>
          <w:bCs/>
          <w:sz w:val="24"/>
          <w:szCs w:val="24"/>
        </w:rPr>
        <w:t>1、本基金实施侧袋机制的，管理费、托管费按主袋账户基金资产净值作为基数计提。</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、与侧袋账户有关的费用可从侧袋账户中列支，但应待侧袋账户资产变现后方可列支，有关费用可酌情收取或减免，但不得收取管理费。</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（六）侧袋账户中特定资产的处置变现和支付</w:t>
      </w:r>
    </w:p>
    <w:p>
      <w:pPr>
        <w:adjustRightInd w:val="0"/>
        <w:snapToGrid w:val="0"/>
        <w:spacing w:line="360" w:lineRule="auto"/>
        <w:ind w:firstLine="480" w:firstLineChars="200"/>
        <w:rPr>
          <w:rFonts w:hAnsi="宋体"/>
          <w:bCs/>
          <w:sz w:val="24"/>
          <w:szCs w:val="24"/>
        </w:rPr>
      </w:pPr>
      <w:r>
        <w:rPr>
          <w:rFonts w:hint="eastAsia" w:hAnsi="宋体"/>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侧袋账户资产全部完成变现并终止侧袋机制后，基金管理人应及时聘请符合《中华人民共和国证券法》规定的会计师事务所进行审计并披露专项审计意见。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（七）侧袋机制的信息披露</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1、临时公告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在启用侧袋机制、处置特定资产、终止侧袋机制以及发生其他可能对投资者利益产生重大影响的事项后基金管理人应及时发布临时公告。</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2、基金净值信息</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3、定期报告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侧袋机制实施期间，基金管理人应当在基金定期报告中披露报告期内侧袋账户相关信息，基金定期报告中的基金会计报表仅需针对主袋账户进行编制。</w:t>
      </w:r>
      <w:bookmarkStart w:id="89" w:name="_Hlk45747214"/>
      <w:r>
        <w:rPr>
          <w:rFonts w:hint="eastAsia" w:hAnsi="宋体"/>
          <w:bCs/>
          <w:sz w:val="24"/>
          <w:szCs w:val="24"/>
        </w:rPr>
        <w:t>会计师事务所对基金年度报告进行审计时，应对报告期内基金侧袋机制运行相关的会计核算和年度报告披露等发表审计意见。</w:t>
      </w:r>
      <w:bookmarkEnd w:id="89"/>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90" w:name="_Toc48122018"/>
      <w:r>
        <w:rPr>
          <w:rFonts w:hint="eastAsia" w:ascii="宋体" w:hAnsi="宋体"/>
          <w:b/>
          <w:kern w:val="0"/>
          <w:sz w:val="30"/>
        </w:rPr>
        <w:t>十七、风险揭示</w:t>
      </w:r>
      <w:bookmarkEnd w:id="90"/>
    </w:p>
    <w:p>
      <w:pPr>
        <w:adjustRightInd w:val="0"/>
        <w:snapToGrid w:val="0"/>
        <w:spacing w:line="360" w:lineRule="auto"/>
        <w:ind w:firstLine="480" w:firstLineChars="20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1" w:name="_Hlt88901012"/>
      <w:bookmarkEnd w:id="91"/>
      <w:bookmarkStart w:id="92" w:name="_Hlt91150550"/>
      <w:bookmarkEnd w:id="92"/>
      <w:bookmarkStart w:id="93" w:name="_Toc109537396"/>
      <w:r>
        <w:rPr>
          <w:rFonts w:hAnsi="宋体"/>
          <w:sz w:val="24"/>
          <w:szCs w:val="24"/>
        </w:rPr>
        <w:t>生的收益，也可能承担</w:t>
      </w:r>
      <w:bookmarkEnd w:id="93"/>
      <w:r>
        <w:rPr>
          <w:rFonts w:hAnsi="宋体"/>
          <w:sz w:val="24"/>
          <w:szCs w:val="24"/>
        </w:rPr>
        <w:t>基金投资所带来的损失。</w:t>
      </w:r>
    </w:p>
    <w:p>
      <w:pPr>
        <w:adjustRightInd w:val="0"/>
        <w:snapToGrid w:val="0"/>
        <w:spacing w:line="360" w:lineRule="auto"/>
        <w:ind w:firstLine="480" w:firstLineChars="20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int="eastAsia" w:hAnsi="宋体"/>
          <w:sz w:val="24"/>
          <w:szCs w:val="24"/>
        </w:rPr>
        <w:t>开放</w:t>
      </w:r>
      <w:r>
        <w:rPr>
          <w:rFonts w:hAnsi="宋体"/>
          <w:sz w:val="24"/>
          <w:szCs w:val="24"/>
        </w:rPr>
        <w:t>日基金的净赎回申请（赎回申请份额总数加上基金转换中转出申请份额总数</w:t>
      </w:r>
      <w:r>
        <w:rPr>
          <w:rFonts w:hint="eastAsia" w:hAnsi="宋体"/>
          <w:sz w:val="24"/>
          <w:szCs w:val="24"/>
        </w:rPr>
        <w:t>后</w:t>
      </w:r>
      <w:r>
        <w:rPr>
          <w:rFonts w:hAnsi="宋体"/>
          <w:sz w:val="24"/>
          <w:szCs w:val="24"/>
        </w:rPr>
        <w:t>扣除申购申请份额总数及基金转换中转入申请份额总数后的余额）超过</w:t>
      </w:r>
      <w:r>
        <w:rPr>
          <w:rFonts w:hint="eastAsia" w:hAnsi="宋体"/>
          <w:sz w:val="24"/>
          <w:szCs w:val="24"/>
        </w:rPr>
        <w:t>上一开放日</w:t>
      </w:r>
      <w:r>
        <w:rPr>
          <w:rFonts w:hAnsi="宋体"/>
          <w:sz w:val="24"/>
          <w:szCs w:val="24"/>
        </w:rPr>
        <w:t>基金总份额的百分之十时，投资人将可能无法及时赎回持有的全部基金份额。基金分为股票</w:t>
      </w:r>
      <w:r>
        <w:rPr>
          <w:rFonts w:hint="eastAsia" w:hAnsi="宋体"/>
          <w:sz w:val="24"/>
          <w:szCs w:val="24"/>
        </w:rPr>
        <w:t>型</w:t>
      </w:r>
      <w:r>
        <w:rPr>
          <w:rFonts w:hAnsi="宋体"/>
          <w:sz w:val="24"/>
          <w:szCs w:val="24"/>
        </w:rPr>
        <w:t>基金、混合</w:t>
      </w:r>
      <w:r>
        <w:rPr>
          <w:rFonts w:hint="eastAsia" w:hAnsi="宋体"/>
          <w:sz w:val="24"/>
          <w:szCs w:val="24"/>
        </w:rPr>
        <w:t>型</w:t>
      </w:r>
      <w:r>
        <w:rPr>
          <w:rFonts w:hAnsi="宋体"/>
          <w:sz w:val="24"/>
          <w:szCs w:val="24"/>
        </w:rPr>
        <w:t>基金、债券</w:t>
      </w:r>
      <w:r>
        <w:rPr>
          <w:rFonts w:hint="eastAsia" w:hAnsi="宋体"/>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pPr>
        <w:adjustRightInd w:val="0"/>
        <w:snapToGrid w:val="0"/>
        <w:spacing w:line="360" w:lineRule="auto"/>
        <w:ind w:firstLine="480" w:firstLineChars="200"/>
        <w:rPr>
          <w:sz w:val="24"/>
          <w:szCs w:val="24"/>
        </w:rPr>
      </w:pPr>
      <w:r>
        <w:rPr>
          <w:rFonts w:hAnsi="宋体"/>
          <w:sz w:val="24"/>
          <w:szCs w:val="24"/>
        </w:rPr>
        <w:t>投资人应当认真阅读《基金合同》、《招募说明书》、</w:t>
      </w:r>
      <w:r>
        <w:rPr>
          <w:rFonts w:hint="eastAsia" w:hAnsi="宋体"/>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widowControl/>
        <w:adjustRightInd w:val="0"/>
        <w:snapToGrid w:val="0"/>
        <w:spacing w:line="360" w:lineRule="auto"/>
        <w:ind w:firstLine="480" w:firstLineChars="200"/>
        <w:rPr>
          <w:sz w:val="24"/>
          <w:szCs w:val="24"/>
        </w:rPr>
      </w:pPr>
      <w:r>
        <w:rPr>
          <w:rFonts w:hAnsi="宋体"/>
          <w:sz w:val="24"/>
          <w:szCs w:val="24"/>
        </w:rPr>
        <w:t>因</w:t>
      </w:r>
      <w:r>
        <w:rPr>
          <w:rFonts w:hint="eastAsia" w:hAnsi="宋体"/>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int="eastAsia" w:hAnsi="宋体"/>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pPr>
        <w:widowControl/>
        <w:adjustRightInd w:val="0"/>
        <w:snapToGrid w:val="0"/>
        <w:spacing w:line="360" w:lineRule="auto"/>
        <w:ind w:firstLine="480" w:firstLineChars="20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pPr>
        <w:widowControl/>
        <w:adjustRightInd w:val="0"/>
        <w:snapToGrid w:val="0"/>
        <w:spacing w:line="360" w:lineRule="auto"/>
        <w:ind w:firstLine="480" w:firstLineChars="200"/>
        <w:rPr>
          <w:kern w:val="0"/>
          <w:sz w:val="24"/>
          <w:szCs w:val="24"/>
        </w:rPr>
      </w:pPr>
      <w:r>
        <w:rPr>
          <w:rFonts w:hAnsi="宋体"/>
          <w:kern w:val="0"/>
          <w:sz w:val="24"/>
          <w:szCs w:val="24"/>
        </w:rPr>
        <w:t>基金份额持有人须了解并承受以下风险：</w:t>
      </w:r>
    </w:p>
    <w:p>
      <w:pPr>
        <w:adjustRightInd w:val="0"/>
        <w:snapToGrid w:val="0"/>
        <w:spacing w:line="360" w:lineRule="auto"/>
        <w:ind w:firstLine="482"/>
        <w:outlineLvl w:val="1"/>
        <w:rPr>
          <w:b/>
          <w:bCs/>
          <w:sz w:val="24"/>
        </w:rPr>
      </w:pPr>
      <w:r>
        <w:rPr>
          <w:b/>
          <w:bCs/>
          <w:sz w:val="24"/>
        </w:rPr>
        <w:t>（一）市场风险</w:t>
      </w:r>
    </w:p>
    <w:p>
      <w:pPr>
        <w:widowControl/>
        <w:adjustRightInd w:val="0"/>
        <w:snapToGrid w:val="0"/>
        <w:spacing w:line="360" w:lineRule="auto"/>
        <w:ind w:firstLine="480" w:firstLineChars="20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pPr>
        <w:adjustRightInd w:val="0"/>
        <w:snapToGrid w:val="0"/>
        <w:spacing w:line="360" w:lineRule="auto"/>
        <w:ind w:firstLine="482"/>
        <w:outlineLvl w:val="1"/>
        <w:rPr>
          <w:b/>
          <w:bCs/>
          <w:sz w:val="24"/>
        </w:rPr>
      </w:pPr>
      <w:r>
        <w:rPr>
          <w:b/>
          <w:bCs/>
          <w:sz w:val="24"/>
        </w:rPr>
        <w:t>（二）管理风险</w:t>
      </w:r>
    </w:p>
    <w:p>
      <w:pPr>
        <w:widowControl/>
        <w:adjustRightInd w:val="0"/>
        <w:snapToGrid w:val="0"/>
        <w:spacing w:line="360" w:lineRule="auto"/>
        <w:ind w:firstLine="480" w:firstLineChars="20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djustRightInd w:val="0"/>
        <w:snapToGrid w:val="0"/>
        <w:spacing w:line="360" w:lineRule="auto"/>
        <w:ind w:firstLine="482"/>
        <w:outlineLvl w:val="1"/>
        <w:rPr>
          <w:b/>
          <w:bCs/>
          <w:sz w:val="24"/>
        </w:rPr>
      </w:pPr>
      <w:r>
        <w:rPr>
          <w:b/>
          <w:bCs/>
          <w:sz w:val="24"/>
        </w:rPr>
        <w:t>（三）流动性风险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本基金属于开放式基金，</w:t>
      </w:r>
      <w:r>
        <w:rPr>
          <w:rFonts w:hint="eastAsia" w:hAnsi="宋体"/>
          <w:kern w:val="0"/>
          <w:sz w:val="24"/>
          <w:szCs w:val="24"/>
        </w:rPr>
        <w:t>基金份额持有人持有的每份基金份额最短持有期限为一年，对于满足最短持有期限的投资人，</w:t>
      </w:r>
      <w:r>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1、本基金的申购、赎回安排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本基金采用开放方式运作，基金管理人在开放日办理基金份额的申购和赎回，</w:t>
      </w:r>
      <w:r>
        <w:rPr>
          <w:rFonts w:hint="eastAsia" w:hAnsi="宋体"/>
          <w:bCs/>
          <w:kern w:val="0"/>
          <w:sz w:val="24"/>
          <w:szCs w:val="24"/>
        </w:rPr>
        <w:t>但对于每份基金份额，基金份额持有人仅可在该份额最短持有期限届满后申请赎回，</w:t>
      </w:r>
      <w:r>
        <w:rPr>
          <w:rFonts w:hint="eastAsia" w:hAnsi="宋体"/>
          <w:kern w:val="0"/>
          <w:sz w:val="24"/>
          <w:szCs w:val="24"/>
        </w:rPr>
        <w:t>具体办理时间为上海证券交易所、深圳证券交易所的正常交易日的交易时间（若该工作日为非港股通交易日，则本基金可不开放），但基金管理人根据法律法规、中国证监会的要求或基金合同的规定公告暂停申购、赎回时除外。基金管理人自基金合同生效之日起不超过3个月开始办理申购业务，具体业务办理时间在申购开始公告中规定。基金管理人自基金合同生效之日起一年后的年度对日（含该日）开始办理赎回，具体业务办理时间在赎回开始公告中规定。对于每份基金份额，自其最短持有期限届满的下一工作日起（含该日），基金份额持有人方可就该基金份额提出赎回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基金份额持有人多次认购或申购本基金导致持有多笔不同期限的本基金份额时，基金份额持有人在赎回时需特别关注申请赎回的基金份额数量，若申请赎回的基金份额超过了该基金份额持有人持续持有超过一年的基金份额数量，则基金份额持有人的赎回申请将全部被予以拒绝。基金份额持有人需承担赎回申请失败的风险。</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2、投资市场、行业及资产的流动性风险评估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3、巨额赎回情形下的流动性风险管理措施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4、实施备用的流动性风险管理工具的情形、程序及对投资者的潜在影响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本基金在面临大规模赎回的情况下有可能因为无法变现造成流动性风险。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基金管理人将根据主袋账户运作情况合理确定申购政策，因此实施侧袋机制后主袋账户份额存在暂停申购的可能。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djustRightInd w:val="0"/>
        <w:snapToGrid w:val="0"/>
        <w:spacing w:line="360" w:lineRule="auto"/>
        <w:ind w:firstLine="482"/>
        <w:outlineLvl w:val="1"/>
        <w:rPr>
          <w:b/>
          <w:bCs/>
          <w:sz w:val="24"/>
        </w:rPr>
      </w:pPr>
      <w:r>
        <w:rPr>
          <w:b/>
          <w:bCs/>
          <w:sz w:val="24"/>
        </w:rPr>
        <w:t>（四）信用风险</w:t>
      </w:r>
    </w:p>
    <w:p>
      <w:pPr>
        <w:widowControl/>
        <w:adjustRightInd w:val="0"/>
        <w:snapToGrid w:val="0"/>
        <w:spacing w:line="360" w:lineRule="auto"/>
        <w:ind w:firstLine="480" w:firstLineChars="200"/>
        <w:rPr>
          <w:kern w:val="0"/>
          <w:sz w:val="24"/>
          <w:szCs w:val="24"/>
        </w:rPr>
      </w:pPr>
      <w:r>
        <w:rPr>
          <w:rFonts w:hAnsi="宋体"/>
          <w:kern w:val="0"/>
          <w:sz w:val="24"/>
          <w:szCs w:val="24"/>
        </w:rPr>
        <w:t>基金在交易过程</w:t>
      </w:r>
      <w:r>
        <w:rPr>
          <w:rFonts w:hint="eastAsia" w:hAnsi="宋体"/>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pPr>
        <w:adjustRightInd w:val="0"/>
        <w:snapToGrid w:val="0"/>
        <w:spacing w:line="360" w:lineRule="auto"/>
        <w:ind w:firstLine="482"/>
        <w:outlineLvl w:val="1"/>
        <w:rPr>
          <w:b/>
          <w:bCs/>
          <w:sz w:val="24"/>
        </w:rPr>
      </w:pPr>
      <w:r>
        <w:rPr>
          <w:b/>
          <w:bCs/>
          <w:sz w:val="24"/>
        </w:rPr>
        <w:t>（五）本基金的</w:t>
      </w:r>
      <w:r>
        <w:rPr>
          <w:rFonts w:hint="eastAsia"/>
          <w:b/>
          <w:bCs/>
          <w:sz w:val="24"/>
        </w:rPr>
        <w:t>特有</w:t>
      </w:r>
      <w:r>
        <w:rPr>
          <w:b/>
          <w:bCs/>
          <w:sz w:val="24"/>
        </w:rPr>
        <w:t>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w:t>
      </w:r>
      <w:r>
        <w:rPr>
          <w:rFonts w:hAnsi="宋体"/>
          <w:kern w:val="0"/>
          <w:sz w:val="24"/>
          <w:szCs w:val="24"/>
        </w:rPr>
        <w:t>本基金属于混合型基金，</w:t>
      </w:r>
      <w:r>
        <w:rPr>
          <w:rFonts w:hint="eastAsia" w:hAnsi="宋体"/>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、本基金每份基金份额的最短持有期限为一年，</w:t>
      </w:r>
      <w:r>
        <w:rPr>
          <w:rFonts w:hint="eastAsia"/>
          <w:bCs/>
          <w:sz w:val="24"/>
        </w:rPr>
        <w:t>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r>
        <w:rPr>
          <w:rFonts w:hint="eastAsia" w:hAnsi="宋体"/>
          <w:kern w:val="0"/>
          <w:sz w:val="24"/>
          <w:szCs w:val="24"/>
        </w:rPr>
        <w:t>。因此，对于基金份额持有人而言，存在投资本基金后一年内无法赎回的风险。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、基金合同提前终止风险。连续50个工作日出现基金份额持有人数量不满200人或者基金资产净值低于5000万元情形的，基金合同终止，不需召开基金份额持有人大会。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5、本基金可投资创业板股票，创业板个股上市后的前五个交易日不设价格涨跌幅限制，第六个交易日开始涨跌幅限制比例为20%。</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w:t>
      </w:r>
      <w:r>
        <w:rPr>
          <w:rFonts w:hint="eastAsia" w:hAnsi="宋体"/>
          <w:b/>
          <w:kern w:val="0"/>
          <w:sz w:val="24"/>
          <w:szCs w:val="24"/>
        </w:rPr>
        <w:t>六</w:t>
      </w:r>
      <w:r>
        <w:rPr>
          <w:rFonts w:hAnsi="宋体"/>
          <w:b/>
          <w:kern w:val="0"/>
          <w:sz w:val="24"/>
          <w:szCs w:val="24"/>
        </w:rPr>
        <w:t>）投资股指期货的特定风险</w:t>
      </w:r>
    </w:p>
    <w:p>
      <w:pPr>
        <w:widowControl/>
        <w:adjustRightInd w:val="0"/>
        <w:snapToGrid w:val="0"/>
        <w:spacing w:line="360" w:lineRule="auto"/>
        <w:ind w:firstLine="480" w:firstLineChars="20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pPr>
        <w:widowControl/>
        <w:adjustRightInd w:val="0"/>
        <w:snapToGrid w:val="0"/>
        <w:spacing w:line="360" w:lineRule="auto"/>
        <w:ind w:firstLine="480" w:firstLineChars="20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w:t>
      </w:r>
      <w:r>
        <w:rPr>
          <w:rFonts w:hint="eastAsia" w:hAnsi="宋体"/>
          <w:b/>
          <w:kern w:val="0"/>
          <w:sz w:val="24"/>
          <w:szCs w:val="24"/>
        </w:rPr>
        <w:t>七</w:t>
      </w:r>
      <w:r>
        <w:rPr>
          <w:rFonts w:hAnsi="宋体"/>
          <w:b/>
          <w:kern w:val="0"/>
          <w:sz w:val="24"/>
          <w:szCs w:val="24"/>
        </w:rPr>
        <w:t>）投资</w:t>
      </w:r>
      <w:r>
        <w:rPr>
          <w:rFonts w:hint="eastAsia" w:hAnsi="宋体"/>
          <w:b/>
          <w:kern w:val="0"/>
          <w:sz w:val="24"/>
          <w:szCs w:val="24"/>
        </w:rPr>
        <w:t>资产支持证券</w:t>
      </w:r>
      <w:r>
        <w:rPr>
          <w:rFonts w:hAnsi="宋体"/>
          <w:b/>
          <w:kern w:val="0"/>
          <w:sz w:val="24"/>
          <w:szCs w:val="24"/>
        </w:rPr>
        <w:t>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（八）投资流通受限证券的特定风险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adjustRightInd w:val="0"/>
        <w:snapToGrid w:val="0"/>
        <w:spacing w:line="360" w:lineRule="auto"/>
        <w:ind w:firstLine="482"/>
        <w:outlineLvl w:val="1"/>
        <w:rPr>
          <w:b/>
          <w:bCs/>
          <w:sz w:val="24"/>
        </w:rPr>
      </w:pPr>
      <w:r>
        <w:rPr>
          <w:rFonts w:hint="eastAsia"/>
          <w:b/>
          <w:bCs/>
          <w:sz w:val="24"/>
        </w:rPr>
        <w:t>（九）投资港股通标的股票的特定风险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本基金可投资港股通标的股票，会面临港股通机制下因投资环境、投资标的、市场制度以及交易规则等差异带来的特有风险，具体如下：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（1）港股交易失败风险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（2）汇率风险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（3）境外市场的风险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2）香港市场交易规则有别于内地A股市场规则，此外，在“内地与香港股票市场交易互联互通机制”下参与香港股票投资还将面临包括但不限于如下特殊风险：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a）香港市场实行T+0回转交易机制（即当日买入的股票，在交收前可以于当日卖出），且证券交易价格并无涨跌幅上下限的规定，因此每日涨跌幅空间相对较大，可能表现出比A股更为剧烈的股价波动；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c）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d）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（4）本基金可根据投资策略需要或不同配置地市场环境的变化，选择将部分基金资产投资于港股或选择不将基金资产投资于港股，基金资产并非必然投资港股。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以上所述因素可能会给本基金投资带来特殊交易风险。</w:t>
      </w:r>
    </w:p>
    <w:p>
      <w:pPr>
        <w:pStyle w:val="50"/>
        <w:widowControl/>
        <w:numPr>
          <w:ilvl w:val="0"/>
          <w:numId w:val="2"/>
        </w:numPr>
        <w:adjustRightInd w:val="0"/>
        <w:snapToGrid w:val="0"/>
        <w:spacing w:line="360" w:lineRule="auto"/>
        <w:ind w:firstLineChars="0"/>
        <w:outlineLvl w:val="1"/>
        <w:rPr>
          <w:rFonts w:hAnsi="宋体"/>
          <w:b/>
          <w:bCs/>
          <w:kern w:val="0"/>
          <w:sz w:val="24"/>
          <w:szCs w:val="24"/>
        </w:rPr>
      </w:pPr>
      <w:r>
        <w:rPr>
          <w:rFonts w:hint="eastAsia" w:hAnsi="宋体"/>
          <w:b/>
          <w:bCs/>
          <w:kern w:val="0"/>
          <w:sz w:val="24"/>
          <w:szCs w:val="24"/>
        </w:rPr>
        <w:t>投资存托凭证的特定风险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具体风险包括：</w:t>
      </w:r>
      <w:r>
        <w:rPr>
          <w:rFonts w:hint="eastAsia" w:hAnsi="宋体"/>
          <w:bCs/>
          <w:kern w:val="0"/>
          <w:sz w:val="24"/>
          <w:szCs w:val="24"/>
          <w:u w:val="single"/>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widowControl/>
        <w:adjustRightInd w:val="0"/>
        <w:snapToGrid w:val="0"/>
        <w:spacing w:line="360" w:lineRule="auto"/>
        <w:ind w:firstLine="480" w:firstLineChars="200"/>
        <w:rPr>
          <w:rFonts w:hAnsi="宋体"/>
          <w:kern w:val="0"/>
          <w:sz w:val="24"/>
          <w:szCs w:val="24"/>
        </w:rPr>
      </w:pPr>
      <w:r>
        <w:rPr>
          <w:rFonts w:hint="eastAsia" w:hAnsi="宋体"/>
          <w:bCs/>
          <w:kern w:val="0"/>
          <w:sz w:val="24"/>
          <w:szCs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2" w:firstLineChars="200"/>
        <w:outlineLvl w:val="1"/>
        <w:rPr>
          <w:b/>
          <w:kern w:val="0"/>
          <w:sz w:val="24"/>
          <w:szCs w:val="24"/>
        </w:rPr>
      </w:pPr>
      <w:r>
        <w:rPr>
          <w:rFonts w:hint="eastAsia" w:hAnsi="宋体"/>
          <w:b/>
          <w:kern w:val="0"/>
          <w:sz w:val="24"/>
          <w:szCs w:val="24"/>
        </w:rPr>
        <w:t>（十一）</w:t>
      </w:r>
      <w:r>
        <w:rPr>
          <w:rFonts w:hAnsi="宋体"/>
          <w:b/>
          <w:kern w:val="0"/>
          <w:sz w:val="24"/>
          <w:szCs w:val="24"/>
        </w:rPr>
        <w:t>其他风险</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、因技术因素而产生的风险，如电脑系统不可靠产生的风险；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、因人为因素而产生的风险、如内幕交易、欺诈行为等产生的风险；</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、对主要业务人员如基金经理的依赖而可能产生的风险；</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、因业务竞争压力可能产生的风险；</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pPr>
        <w:widowControl/>
        <w:adjustRightInd w:val="0"/>
        <w:snapToGrid w:val="0"/>
        <w:spacing w:line="360" w:lineRule="auto"/>
        <w:ind w:firstLine="480" w:firstLineChars="200"/>
        <w:rPr>
          <w:kern w:val="0"/>
          <w:sz w:val="24"/>
        </w:rPr>
      </w:pPr>
      <w:r>
        <w:rPr>
          <w:kern w:val="0"/>
          <w:sz w:val="24"/>
          <w:szCs w:val="24"/>
        </w:rPr>
        <w:t>7</w:t>
      </w:r>
      <w:r>
        <w:rPr>
          <w:rFonts w:hAnsi="宋体"/>
          <w:kern w:val="0"/>
          <w:sz w:val="24"/>
          <w:szCs w:val="24"/>
        </w:rPr>
        <w:t>、其他意外导致的风险。</w:t>
      </w:r>
      <w:bookmarkStart w:id="94" w:name="OLE_LINK15"/>
    </w:p>
    <w:p>
      <w:pPr>
        <w:widowControl/>
        <w:adjustRightInd w:val="0"/>
        <w:snapToGrid w:val="0"/>
        <w:spacing w:before="143" w:beforeLines="50" w:after="143" w:afterLines="50" w:line="360" w:lineRule="auto"/>
        <w:jc w:val="center"/>
        <w:outlineLvl w:val="0"/>
        <w:rPr>
          <w:b/>
          <w:kern w:val="0"/>
          <w:sz w:val="30"/>
        </w:rPr>
      </w:pPr>
      <w:r>
        <w:rPr>
          <w:rFonts w:hAnsi="宋体"/>
          <w:b/>
          <w:kern w:val="0"/>
          <w:sz w:val="30"/>
        </w:rPr>
        <w:br w:type="page"/>
      </w:r>
      <w:bookmarkStart w:id="95" w:name="_Toc48122019"/>
      <w:r>
        <w:rPr>
          <w:rFonts w:hint="eastAsia" w:hAnsi="宋体"/>
          <w:b/>
          <w:kern w:val="0"/>
          <w:sz w:val="30"/>
        </w:rPr>
        <w:t>十八</w:t>
      </w:r>
      <w:r>
        <w:rPr>
          <w:rFonts w:hAnsi="宋体"/>
          <w:b/>
          <w:kern w:val="0"/>
          <w:sz w:val="30"/>
        </w:rPr>
        <w:t>、基金合同的变更、终止与基金财</w:t>
      </w:r>
      <w:bookmarkEnd w:id="94"/>
      <w:r>
        <w:rPr>
          <w:rFonts w:hAnsi="宋体"/>
          <w:b/>
          <w:kern w:val="0"/>
          <w:sz w:val="30"/>
        </w:rPr>
        <w:t>产的清算</w:t>
      </w:r>
      <w:bookmarkEnd w:id="95"/>
    </w:p>
    <w:p>
      <w:pPr>
        <w:adjustRightInd w:val="0"/>
        <w:snapToGrid w:val="0"/>
        <w:spacing w:line="360" w:lineRule="auto"/>
        <w:ind w:firstLine="482"/>
        <w:outlineLvl w:val="1"/>
        <w:rPr>
          <w:b/>
          <w:bCs/>
          <w:sz w:val="24"/>
        </w:rPr>
      </w:pPr>
      <w:r>
        <w:rPr>
          <w:b/>
          <w:bCs/>
          <w:sz w:val="24"/>
        </w:rPr>
        <w:t>（一）《基金合同》的变更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w:t>
      </w:r>
      <w:r>
        <w:rPr>
          <w:rFonts w:hAnsi="宋体"/>
          <w:bCs/>
          <w:kern w:val="0"/>
          <w:sz w:val="24"/>
        </w:rPr>
        <w:t>自</w:t>
      </w:r>
      <w:r>
        <w:rPr>
          <w:rFonts w:hint="eastAsia" w:hAnsi="宋体"/>
          <w:bCs/>
          <w:kern w:val="0"/>
          <w:sz w:val="24"/>
        </w:rPr>
        <w:t>决议</w:t>
      </w:r>
      <w:r>
        <w:rPr>
          <w:rFonts w:hint="eastAsia" w:hAnsi="宋体"/>
          <w:kern w:val="0"/>
          <w:sz w:val="24"/>
        </w:rPr>
        <w:t>生效后依照《信息披露办法》的规定在规定媒介公告。</w:t>
      </w:r>
    </w:p>
    <w:p>
      <w:pPr>
        <w:adjustRightInd w:val="0"/>
        <w:snapToGrid w:val="0"/>
        <w:spacing w:line="360" w:lineRule="auto"/>
        <w:ind w:firstLine="482"/>
        <w:outlineLvl w:val="1"/>
        <w:rPr>
          <w:b/>
          <w:bCs/>
          <w:sz w:val="24"/>
        </w:rPr>
      </w:pPr>
      <w:r>
        <w:rPr>
          <w:b/>
          <w:bCs/>
          <w:sz w:val="24"/>
        </w:rPr>
        <w:t>（二）《基金合同》的终止事由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w:t>
      </w:r>
      <w:r>
        <w:rPr>
          <w:rFonts w:hint="eastAsia"/>
          <w:bCs/>
          <w:sz w:val="24"/>
        </w:rPr>
        <w:t>经履行相关程序后，</w:t>
      </w:r>
      <w:r>
        <w:rPr>
          <w:rFonts w:hint="eastAsia" w:hAnsi="宋体"/>
          <w:kern w:val="0"/>
          <w:sz w:val="24"/>
        </w:rPr>
        <w:t>《基金合同》应当终止：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2、基金管理人、基金托管人职责终止，在6个月内没有新基金管理人、新基金托管人承接的；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3、</w:t>
      </w:r>
      <w:r>
        <w:rPr>
          <w:rFonts w:hint="eastAsia" w:hAnsi="宋体"/>
          <w:bCs/>
          <w:kern w:val="0"/>
          <w:sz w:val="24"/>
        </w:rPr>
        <w:t>连续50个工作日出现基金份额持有人数量不满200人或者基金资产净值低于5000万元情形的，基金合同终止，不需召开基金份额持有人大会；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4、《基金合同》约定的其他情形；</w:t>
      </w:r>
    </w:p>
    <w:p>
      <w:pPr>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、相关法律法规和中国证监会规定的其他情况。</w:t>
      </w:r>
    </w:p>
    <w:p>
      <w:pPr>
        <w:adjustRightInd w:val="0"/>
        <w:snapToGrid w:val="0"/>
        <w:spacing w:line="360" w:lineRule="auto"/>
        <w:ind w:firstLine="482"/>
        <w:outlineLvl w:val="1"/>
        <w:rPr>
          <w:b/>
          <w:bCs/>
          <w:sz w:val="24"/>
        </w:rPr>
      </w:pPr>
      <w:r>
        <w:rPr>
          <w:b/>
          <w:bCs/>
          <w:sz w:val="24"/>
        </w:rPr>
        <w:t>（三）基金财产的清算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w:t>
      </w:r>
      <w:r>
        <w:rPr>
          <w:bCs/>
          <w:sz w:val="24"/>
        </w:rPr>
        <w:t>符合</w:t>
      </w:r>
      <w:r>
        <w:rPr>
          <w:rFonts w:hint="eastAsia"/>
          <w:bCs/>
          <w:sz w:val="24"/>
        </w:rPr>
        <w:t>《中华人民共和国证券法》规定</w:t>
      </w:r>
      <w:r>
        <w:rPr>
          <w:rFonts w:hint="eastAsia" w:hAnsi="宋体"/>
          <w:kern w:val="0"/>
          <w:sz w:val="24"/>
        </w:rPr>
        <w:t>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adjustRightInd w:val="0"/>
        <w:snapToGrid w:val="0"/>
        <w:spacing w:line="360" w:lineRule="auto"/>
        <w:ind w:firstLine="482"/>
        <w:outlineLvl w:val="1"/>
        <w:rPr>
          <w:b/>
          <w:bCs/>
          <w:sz w:val="24"/>
        </w:rPr>
      </w:pPr>
      <w:r>
        <w:rPr>
          <w:b/>
          <w:bCs/>
          <w:sz w:val="24"/>
        </w:rPr>
        <w:t>（四）清算费用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2"/>
        <w:outlineLvl w:val="1"/>
        <w:rPr>
          <w:b/>
          <w:bCs/>
          <w:sz w:val="24"/>
        </w:rPr>
      </w:pPr>
      <w:r>
        <w:rPr>
          <w:b/>
          <w:bCs/>
          <w:sz w:val="24"/>
        </w:rPr>
        <w:t>（五）基金财产清算剩余资产的分配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adjustRightInd w:val="0"/>
        <w:snapToGrid w:val="0"/>
        <w:spacing w:line="360" w:lineRule="auto"/>
        <w:ind w:firstLine="482"/>
        <w:outlineLvl w:val="1"/>
        <w:rPr>
          <w:b/>
          <w:bCs/>
          <w:sz w:val="24"/>
        </w:rPr>
      </w:pPr>
      <w:r>
        <w:rPr>
          <w:b/>
          <w:bCs/>
          <w:sz w:val="24"/>
        </w:rPr>
        <w:t>（六）基金财产清算的公告</w:t>
      </w:r>
    </w:p>
    <w:p>
      <w:pPr>
        <w:adjustRightInd w:val="0"/>
        <w:snapToGrid w:val="0"/>
        <w:spacing w:line="360" w:lineRule="auto"/>
        <w:ind w:firstLine="480" w:firstLineChars="200"/>
        <w:rPr>
          <w:rFonts w:hAnsi="宋体"/>
          <w:kern w:val="0"/>
          <w:sz w:val="24"/>
          <w:szCs w:val="24"/>
        </w:rPr>
      </w:pPr>
      <w:r>
        <w:rPr>
          <w:rFonts w:hint="eastAsia"/>
          <w:sz w:val="24"/>
          <w:szCs w:val="24"/>
        </w:rPr>
        <w:t>清算过程中的有关重大事项须及时公告；基金财产清算报告经</w:t>
      </w:r>
      <w:r>
        <w:rPr>
          <w:rFonts w:hint="eastAsia"/>
          <w:bCs/>
          <w:sz w:val="24"/>
        </w:rPr>
        <w:t>符合《中华人民共和国证券法》规定的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pPr>
        <w:adjustRightInd w:val="0"/>
        <w:snapToGrid w:val="0"/>
        <w:spacing w:line="360" w:lineRule="auto"/>
        <w:ind w:firstLine="482"/>
        <w:outlineLvl w:val="1"/>
        <w:rPr>
          <w:b/>
          <w:bCs/>
          <w:sz w:val="24"/>
        </w:rPr>
      </w:pPr>
      <w:r>
        <w:rPr>
          <w:b/>
          <w:bCs/>
          <w:sz w:val="24"/>
        </w:rPr>
        <w:t>（七）基金财产清算账册及文件的保存</w:t>
      </w:r>
    </w:p>
    <w:p>
      <w:pPr>
        <w:adjustRightInd w:val="0"/>
        <w:snapToGrid w:val="0"/>
        <w:spacing w:line="360" w:lineRule="auto"/>
        <w:ind w:firstLine="480" w:firstLineChars="200"/>
        <w:rPr>
          <w:rFonts w:ascii="宋体" w:hAnsi="宋体"/>
          <w:kern w:val="0"/>
          <w:sz w:val="24"/>
        </w:rPr>
      </w:pPr>
      <w:r>
        <w:rPr>
          <w:rFonts w:hint="eastAsia" w:hAnsi="宋体"/>
          <w:kern w:val="0"/>
          <w:sz w:val="24"/>
        </w:rPr>
        <w:t>基金财产清算账册及有关文件由基金托管人保存</w:t>
      </w:r>
      <w:r>
        <w:rPr>
          <w:rFonts w:hint="eastAsia"/>
          <w:bCs/>
          <w:sz w:val="24"/>
        </w:rPr>
        <w:t>不低于法律法规规定的最低期限</w:t>
      </w:r>
      <w:r>
        <w:rPr>
          <w:rFonts w:hint="eastAsia" w:hAnsi="宋体"/>
          <w:kern w:val="0"/>
          <w:sz w:val="24"/>
        </w:rPr>
        <w:t>。</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6" w:name="_Toc48122020"/>
      <w:r>
        <w:rPr>
          <w:rFonts w:hint="eastAsia" w:ascii="宋体" w:hAnsi="宋体"/>
          <w:b/>
          <w:kern w:val="0"/>
          <w:sz w:val="30"/>
        </w:rPr>
        <w:t>十九、基金合同内容摘要</w:t>
      </w:r>
      <w:bookmarkEnd w:id="96"/>
    </w:p>
    <w:p>
      <w:pPr>
        <w:adjustRightInd w:val="0"/>
        <w:snapToGrid w:val="0"/>
        <w:spacing w:line="360" w:lineRule="auto"/>
        <w:ind w:firstLine="482"/>
        <w:outlineLvl w:val="1"/>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pPr>
        <w:adjustRightInd w:val="0"/>
        <w:snapToGrid w:val="0"/>
        <w:spacing w:line="360" w:lineRule="auto"/>
        <w:ind w:firstLine="480" w:firstLineChars="200"/>
        <w:outlineLvl w:val="2"/>
        <w:rPr>
          <w:bCs/>
          <w:sz w:val="24"/>
        </w:rPr>
      </w:pPr>
      <w:r>
        <w:rPr>
          <w:bCs/>
          <w:sz w:val="24"/>
        </w:rPr>
        <w:t>1、基金管理人的权利与义务</w:t>
      </w:r>
    </w:p>
    <w:p>
      <w:pPr>
        <w:adjustRightInd w:val="0"/>
        <w:snapToGrid w:val="0"/>
        <w:spacing w:line="360" w:lineRule="auto"/>
        <w:ind w:firstLine="480" w:firstLineChars="200"/>
        <w:rPr>
          <w:bCs/>
          <w:sz w:val="24"/>
        </w:rPr>
      </w:pPr>
      <w:r>
        <w:rPr>
          <w:bCs/>
          <w:sz w:val="24"/>
        </w:rPr>
        <w:t>根据《基金法》、《运作办法》及其他有关规定，基金管理人的权利包括但不限于：</w:t>
      </w:r>
    </w:p>
    <w:p>
      <w:pPr>
        <w:adjustRightInd w:val="0"/>
        <w:snapToGrid w:val="0"/>
        <w:spacing w:line="360" w:lineRule="auto"/>
        <w:ind w:firstLine="480" w:firstLineChars="200"/>
        <w:rPr>
          <w:bCs/>
          <w:sz w:val="24"/>
        </w:rPr>
      </w:pPr>
      <w:r>
        <w:rPr>
          <w:bCs/>
          <w:sz w:val="24"/>
        </w:rPr>
        <w:t>（1）依法募集</w:t>
      </w:r>
      <w:r>
        <w:rPr>
          <w:rFonts w:hint="eastAsia"/>
          <w:bCs/>
          <w:sz w:val="24"/>
        </w:rPr>
        <w:t>资</w:t>
      </w:r>
      <w:r>
        <w:rPr>
          <w:bCs/>
          <w:sz w:val="24"/>
        </w:rPr>
        <w:t>金；</w:t>
      </w:r>
    </w:p>
    <w:p>
      <w:pPr>
        <w:adjustRightInd w:val="0"/>
        <w:snapToGrid w:val="0"/>
        <w:spacing w:line="360" w:lineRule="auto"/>
        <w:ind w:firstLine="480" w:firstLineChars="200"/>
        <w:rPr>
          <w:bCs/>
          <w:sz w:val="24"/>
        </w:rPr>
      </w:pPr>
      <w:r>
        <w:rPr>
          <w:bCs/>
          <w:sz w:val="24"/>
        </w:rPr>
        <w:t>（2）自《基金合同》生效之日起，根据法律法规和《基金合同》独立运用并管理基金财产；</w:t>
      </w:r>
    </w:p>
    <w:p>
      <w:pPr>
        <w:adjustRightInd w:val="0"/>
        <w:snapToGrid w:val="0"/>
        <w:spacing w:line="360" w:lineRule="auto"/>
        <w:ind w:firstLine="480" w:firstLineChars="200"/>
        <w:rPr>
          <w:bCs/>
          <w:sz w:val="24"/>
        </w:rPr>
      </w:pPr>
      <w:r>
        <w:rPr>
          <w:bCs/>
          <w:sz w:val="24"/>
        </w:rPr>
        <w:t>（3）依照《基金合同》收取基金管理费以及法律法规规定或中国证监会批准的其他费用；</w:t>
      </w:r>
    </w:p>
    <w:p>
      <w:pPr>
        <w:adjustRightInd w:val="0"/>
        <w:snapToGrid w:val="0"/>
        <w:spacing w:line="360" w:lineRule="auto"/>
        <w:ind w:firstLine="480" w:firstLineChars="200"/>
        <w:rPr>
          <w:bCs/>
          <w:sz w:val="24"/>
        </w:rPr>
      </w:pPr>
      <w:r>
        <w:rPr>
          <w:bCs/>
          <w:sz w:val="24"/>
        </w:rPr>
        <w:t>（4）销售基金份额；</w:t>
      </w:r>
    </w:p>
    <w:p>
      <w:pPr>
        <w:adjustRightInd w:val="0"/>
        <w:snapToGrid w:val="0"/>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adjustRightInd w:val="0"/>
        <w:snapToGrid w:val="0"/>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bCs/>
          <w:sz w:val="24"/>
        </w:rPr>
      </w:pPr>
      <w:r>
        <w:rPr>
          <w:bCs/>
          <w:sz w:val="24"/>
        </w:rPr>
        <w:t>（7）在基金托管人更换时，提名新的基金托管人；</w:t>
      </w:r>
    </w:p>
    <w:p>
      <w:pPr>
        <w:adjustRightInd w:val="0"/>
        <w:snapToGrid w:val="0"/>
        <w:spacing w:line="360" w:lineRule="auto"/>
        <w:ind w:firstLine="480" w:firstLineChars="200"/>
        <w:rPr>
          <w:bCs/>
          <w:sz w:val="24"/>
        </w:rPr>
      </w:pPr>
      <w:r>
        <w:rPr>
          <w:bCs/>
          <w:sz w:val="24"/>
        </w:rPr>
        <w:t>（8）选择、更换基金销售机构，对基金销售机构的相关行为进行监督和处理；</w:t>
      </w:r>
    </w:p>
    <w:p>
      <w:pPr>
        <w:adjustRightInd w:val="0"/>
        <w:snapToGrid w:val="0"/>
        <w:spacing w:line="360" w:lineRule="auto"/>
        <w:ind w:firstLine="480" w:firstLineChars="200"/>
        <w:rPr>
          <w:bCs/>
          <w:sz w:val="24"/>
        </w:rPr>
      </w:pPr>
      <w:r>
        <w:rPr>
          <w:bCs/>
          <w:sz w:val="24"/>
        </w:rPr>
        <w:t>（9）担任或委托其他符合条件的机构担任基金登记机构办理基金登记业务并获得《基金合同》规定的费用；</w:t>
      </w:r>
    </w:p>
    <w:p>
      <w:pPr>
        <w:adjustRightInd w:val="0"/>
        <w:snapToGrid w:val="0"/>
        <w:spacing w:line="360" w:lineRule="auto"/>
        <w:ind w:firstLine="480" w:firstLineChars="200"/>
        <w:rPr>
          <w:bCs/>
          <w:sz w:val="24"/>
        </w:rPr>
      </w:pPr>
      <w:r>
        <w:rPr>
          <w:bCs/>
          <w:sz w:val="24"/>
        </w:rPr>
        <w:t>（10）依据《基金合同》及有关法律规定决定基金收益的分配方案；</w:t>
      </w:r>
    </w:p>
    <w:p>
      <w:pPr>
        <w:adjustRightInd w:val="0"/>
        <w:snapToGrid w:val="0"/>
        <w:spacing w:line="360" w:lineRule="auto"/>
        <w:ind w:firstLine="480" w:firstLineChars="200"/>
        <w:rPr>
          <w:bCs/>
          <w:sz w:val="24"/>
        </w:rPr>
      </w:pPr>
      <w:r>
        <w:rPr>
          <w:bCs/>
          <w:sz w:val="24"/>
        </w:rPr>
        <w:t>（11）在《基金合同》约定的范围内，拒绝或暂停受理申购与赎回申请；</w:t>
      </w:r>
    </w:p>
    <w:p>
      <w:pPr>
        <w:adjustRightInd w:val="0"/>
        <w:snapToGrid w:val="0"/>
        <w:spacing w:line="360" w:lineRule="auto"/>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adjustRightInd w:val="0"/>
        <w:snapToGrid w:val="0"/>
        <w:spacing w:line="360" w:lineRule="auto"/>
        <w:ind w:firstLine="480" w:firstLineChars="200"/>
        <w:rPr>
          <w:bCs/>
          <w:sz w:val="24"/>
        </w:rPr>
      </w:pPr>
      <w:r>
        <w:rPr>
          <w:bCs/>
          <w:sz w:val="24"/>
        </w:rPr>
        <w:t>（13）在法律法规允许的前提下，为基金的利益依法为基金进行融资；</w:t>
      </w:r>
    </w:p>
    <w:p>
      <w:pPr>
        <w:adjustRightInd w:val="0"/>
        <w:snapToGrid w:val="0"/>
        <w:spacing w:line="360" w:lineRule="auto"/>
        <w:ind w:firstLine="480" w:firstLineChars="200"/>
        <w:rPr>
          <w:bCs/>
          <w:sz w:val="24"/>
        </w:rPr>
      </w:pPr>
      <w:r>
        <w:rPr>
          <w:bCs/>
          <w:sz w:val="24"/>
        </w:rPr>
        <w:t>（14）以基金管理人的名义，代表基金份额持有人的利益行使诉讼权利或者实施其他法律行为；</w:t>
      </w:r>
      <w:r>
        <w:rPr>
          <w:bCs/>
          <w:sz w:val="24"/>
        </w:rPr>
        <w:tab/>
      </w:r>
    </w:p>
    <w:p>
      <w:pPr>
        <w:adjustRightInd w:val="0"/>
        <w:snapToGrid w:val="0"/>
        <w:spacing w:line="360" w:lineRule="auto"/>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adjustRightInd w:val="0"/>
        <w:snapToGrid w:val="0"/>
        <w:spacing w:line="360" w:lineRule="auto"/>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adjustRightInd w:val="0"/>
        <w:snapToGrid w:val="0"/>
        <w:spacing w:line="360" w:lineRule="auto"/>
        <w:ind w:firstLine="480" w:firstLineChars="200"/>
        <w:rPr>
          <w:bCs/>
          <w:sz w:val="24"/>
        </w:rPr>
      </w:pPr>
      <w:r>
        <w:rPr>
          <w:bCs/>
          <w:sz w:val="24"/>
        </w:rPr>
        <w:t>（17）法律法规及中国证监会规定的和《基金合同》约定的其他权利。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根据《基金法》、《运作办法》及其他有关规定，基金管理人的义务包括但不限于：</w:t>
      </w:r>
    </w:p>
    <w:p>
      <w:pPr>
        <w:adjustRightInd w:val="0"/>
        <w:snapToGrid w:val="0"/>
        <w:spacing w:line="360" w:lineRule="auto"/>
        <w:ind w:firstLine="480" w:firstLineChars="200"/>
        <w:rPr>
          <w:bCs/>
          <w:sz w:val="24"/>
        </w:rPr>
      </w:pPr>
      <w:bookmarkStart w:id="97" w:name="_Hlt88897298"/>
      <w:bookmarkEnd w:id="97"/>
      <w:r>
        <w:rPr>
          <w:rFonts w:hint="eastAsia"/>
          <w:bCs/>
          <w:sz w:val="24"/>
        </w:rPr>
        <w:t>（1）依法募集资金，办理或者委托经中国证监会认定的其他机构办理基金份额的发售、申购、赎回和登记事宜；</w:t>
      </w:r>
    </w:p>
    <w:p>
      <w:pPr>
        <w:adjustRightInd w:val="0"/>
        <w:snapToGrid w:val="0"/>
        <w:spacing w:line="360" w:lineRule="auto"/>
        <w:ind w:firstLine="480" w:firstLineChars="200"/>
        <w:rPr>
          <w:bCs/>
          <w:sz w:val="24"/>
        </w:rPr>
      </w:pPr>
      <w:r>
        <w:rPr>
          <w:rFonts w:hint="eastAsia"/>
          <w:bCs/>
          <w:sz w:val="24"/>
        </w:rPr>
        <w:t>（2）办理基金备案手续；</w:t>
      </w:r>
    </w:p>
    <w:p>
      <w:pPr>
        <w:adjustRightInd w:val="0"/>
        <w:snapToGrid w:val="0"/>
        <w:spacing w:line="360" w:lineRule="auto"/>
        <w:ind w:firstLine="480" w:firstLineChars="200"/>
        <w:rPr>
          <w:bCs/>
          <w:sz w:val="24"/>
        </w:rPr>
      </w:pPr>
      <w:r>
        <w:rPr>
          <w:rFonts w:hint="eastAsia"/>
          <w:bCs/>
          <w:sz w:val="24"/>
        </w:rPr>
        <w:t>（3）自《基金合同》生效之日起，以诚实信用、谨慎勤勉的原则管理和运用基金财产；</w:t>
      </w:r>
    </w:p>
    <w:p>
      <w:pPr>
        <w:adjustRightInd w:val="0"/>
        <w:snapToGrid w:val="0"/>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adjustRightInd w:val="0"/>
        <w:snapToGrid w:val="0"/>
        <w:spacing w:line="360" w:lineRule="auto"/>
        <w:ind w:firstLine="480" w:firstLineChars="200"/>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adjustRightInd w:val="0"/>
        <w:snapToGrid w:val="0"/>
        <w:spacing w:line="360" w:lineRule="auto"/>
        <w:ind w:firstLine="480" w:firstLineChars="200"/>
        <w:rPr>
          <w:bCs/>
          <w:sz w:val="24"/>
        </w:rPr>
      </w:pPr>
      <w:r>
        <w:rPr>
          <w:rFonts w:hint="eastAsia"/>
          <w:bCs/>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bCs/>
          <w:sz w:val="24"/>
        </w:rPr>
      </w:pPr>
      <w:r>
        <w:rPr>
          <w:rFonts w:hint="eastAsia"/>
          <w:bCs/>
          <w:sz w:val="24"/>
        </w:rPr>
        <w:t>（7）依法接受基金托管人的监督；</w:t>
      </w:r>
    </w:p>
    <w:p>
      <w:pPr>
        <w:adjustRightInd w:val="0"/>
        <w:snapToGrid w:val="0"/>
        <w:spacing w:line="360" w:lineRule="auto"/>
        <w:ind w:firstLine="480" w:firstLineChars="200"/>
        <w:rPr>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bCs/>
          <w:sz w:val="24"/>
        </w:rPr>
      </w:pPr>
      <w:r>
        <w:rPr>
          <w:rFonts w:hint="eastAsia"/>
          <w:bCs/>
          <w:sz w:val="24"/>
        </w:rPr>
        <w:t>（9）进行基金会计核算并编制基金财务会计报告；</w:t>
      </w:r>
    </w:p>
    <w:p>
      <w:pPr>
        <w:adjustRightInd w:val="0"/>
        <w:snapToGrid w:val="0"/>
        <w:spacing w:line="360" w:lineRule="auto"/>
        <w:ind w:firstLine="480" w:firstLineChars="200"/>
        <w:rPr>
          <w:bCs/>
          <w:sz w:val="24"/>
        </w:rPr>
      </w:pPr>
      <w:r>
        <w:rPr>
          <w:rFonts w:hint="eastAsia"/>
          <w:bCs/>
          <w:sz w:val="24"/>
        </w:rPr>
        <w:t>（10）编制季度报告、中期报告和年度报告；</w:t>
      </w:r>
    </w:p>
    <w:p>
      <w:pPr>
        <w:adjustRightInd w:val="0"/>
        <w:snapToGrid w:val="0"/>
        <w:spacing w:line="360" w:lineRule="auto"/>
        <w:ind w:firstLine="480" w:firstLineChars="200"/>
        <w:rPr>
          <w:bCs/>
          <w:sz w:val="24"/>
        </w:rPr>
      </w:pPr>
      <w:r>
        <w:rPr>
          <w:rFonts w:hint="eastAsia"/>
          <w:bCs/>
          <w:sz w:val="24"/>
        </w:rPr>
        <w:t>（11）严格按照《基金法》、《基金合同》及其他有关规定，履行信息披露及报告义务；</w:t>
      </w:r>
    </w:p>
    <w:p>
      <w:pPr>
        <w:adjustRightInd w:val="0"/>
        <w:snapToGrid w:val="0"/>
        <w:spacing w:line="360" w:lineRule="auto"/>
        <w:ind w:firstLine="480" w:firstLineChars="200"/>
        <w:rPr>
          <w:bCs/>
          <w:sz w:val="24"/>
        </w:rPr>
      </w:pPr>
      <w:r>
        <w:rPr>
          <w:rFonts w:hint="eastAsia"/>
          <w:bCs/>
          <w:sz w:val="24"/>
        </w:rPr>
        <w:t>（12）保守基金商业秘密，不泄露基金投资计划、投资意向等。除《基金法》、《基金合同》及其他有关规定另有规定外，在基金信息公开披露前应予保密，不向他人泄露；</w:t>
      </w:r>
    </w:p>
    <w:p>
      <w:pPr>
        <w:adjustRightInd w:val="0"/>
        <w:snapToGrid w:val="0"/>
        <w:spacing w:line="360" w:lineRule="auto"/>
        <w:ind w:firstLine="480" w:firstLineChars="200"/>
        <w:rPr>
          <w:bCs/>
          <w:sz w:val="24"/>
        </w:rPr>
      </w:pPr>
      <w:r>
        <w:rPr>
          <w:rFonts w:hint="eastAsia"/>
          <w:bCs/>
          <w:sz w:val="24"/>
        </w:rPr>
        <w:t>（13）按《基金合同》的约定确定基金收益分配方案，及时向基金份额持有人分配基金收益；</w:t>
      </w:r>
    </w:p>
    <w:p>
      <w:pPr>
        <w:adjustRightInd w:val="0"/>
        <w:snapToGrid w:val="0"/>
        <w:spacing w:line="360" w:lineRule="auto"/>
        <w:ind w:firstLine="480" w:firstLineChars="200"/>
        <w:rPr>
          <w:bCs/>
          <w:sz w:val="24"/>
        </w:rPr>
      </w:pPr>
      <w:r>
        <w:rPr>
          <w:rFonts w:hint="eastAsia"/>
          <w:bCs/>
          <w:sz w:val="24"/>
        </w:rPr>
        <w:t>（14）按规定受理申购与赎回申请，及时、足额支付赎回款项；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bCs/>
          <w:sz w:val="24"/>
        </w:rPr>
      </w:pPr>
      <w:r>
        <w:rPr>
          <w:rFonts w:hint="eastAsia"/>
          <w:bCs/>
          <w:sz w:val="24"/>
        </w:rPr>
        <w:t>（16）按规定保存基金财产管理业务活动的会计账册、报表、记录和其他相关资料不低于法律法规规定的最低期限；</w:t>
      </w:r>
    </w:p>
    <w:p>
      <w:pPr>
        <w:adjustRightInd w:val="0"/>
        <w:snapToGrid w:val="0"/>
        <w:spacing w:line="360" w:lineRule="auto"/>
        <w:ind w:firstLine="480" w:firstLineChars="200"/>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bCs/>
          <w:sz w:val="24"/>
        </w:rPr>
      </w:pPr>
      <w:r>
        <w:rPr>
          <w:rFonts w:hint="eastAsia"/>
          <w:bCs/>
          <w:sz w:val="24"/>
        </w:rPr>
        <w:t>（18）组织并参加基金财产清算小组，参与基金财产的保管、清理、估价、变现和分配；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（19）面临解散、依法被撤销或者被依法宣告破产时，及时报告中国证监会并通知基金托管人；</w:t>
      </w:r>
    </w:p>
    <w:p>
      <w:pPr>
        <w:adjustRightInd w:val="0"/>
        <w:snapToGrid w:val="0"/>
        <w:spacing w:line="360" w:lineRule="auto"/>
        <w:ind w:firstLine="480" w:firstLineChars="200"/>
        <w:rPr>
          <w:bCs/>
          <w:sz w:val="24"/>
        </w:rPr>
      </w:pPr>
      <w:r>
        <w:rPr>
          <w:rFonts w:hint="eastAsia"/>
          <w:bCs/>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bCs/>
          <w:sz w:val="24"/>
        </w:rPr>
      </w:pPr>
      <w:r>
        <w:rPr>
          <w:rFonts w:hint="eastAsia"/>
          <w:bCs/>
          <w:sz w:val="24"/>
        </w:rPr>
        <w:t>（22）当基金管理人将其义务委托第三方处理时，应当对第三方处理有关基金事务的行为承担责任；</w:t>
      </w:r>
    </w:p>
    <w:p>
      <w:pPr>
        <w:adjustRightInd w:val="0"/>
        <w:snapToGrid w:val="0"/>
        <w:spacing w:line="360" w:lineRule="auto"/>
        <w:ind w:firstLine="480" w:firstLineChars="200"/>
        <w:rPr>
          <w:bCs/>
          <w:sz w:val="24"/>
        </w:rPr>
      </w:pPr>
      <w:r>
        <w:rPr>
          <w:rFonts w:hint="eastAsia"/>
          <w:bCs/>
          <w:sz w:val="24"/>
        </w:rPr>
        <w:t>（23）以基金管理人名义，代表基金份额持有人利益行使诉讼权利或实施其他法律行为；</w:t>
      </w:r>
      <w:r>
        <w:rPr>
          <w:rFonts w:hint="eastAsia"/>
          <w:bCs/>
          <w:sz w:val="24"/>
        </w:rPr>
        <w:tab/>
      </w:r>
    </w:p>
    <w:p>
      <w:pPr>
        <w:adjustRightInd w:val="0"/>
        <w:snapToGrid w:val="0"/>
        <w:spacing w:line="360" w:lineRule="auto"/>
        <w:ind w:firstLine="480" w:firstLineChars="200"/>
        <w:rPr>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djustRightInd w:val="0"/>
        <w:snapToGrid w:val="0"/>
        <w:spacing w:line="360" w:lineRule="auto"/>
        <w:ind w:firstLine="480" w:firstLineChars="200"/>
        <w:rPr>
          <w:bCs/>
          <w:sz w:val="24"/>
        </w:rPr>
      </w:pPr>
      <w:r>
        <w:rPr>
          <w:rFonts w:hint="eastAsia"/>
          <w:bCs/>
          <w:sz w:val="24"/>
        </w:rPr>
        <w:t>（25）执行生效的基金份额持有人大会的决议；</w:t>
      </w:r>
    </w:p>
    <w:p>
      <w:pPr>
        <w:adjustRightInd w:val="0"/>
        <w:snapToGrid w:val="0"/>
        <w:spacing w:line="360" w:lineRule="auto"/>
        <w:ind w:firstLine="480" w:firstLineChars="200"/>
        <w:rPr>
          <w:bCs/>
          <w:sz w:val="24"/>
        </w:rPr>
      </w:pPr>
      <w:r>
        <w:rPr>
          <w:rFonts w:hint="eastAsia"/>
          <w:bCs/>
          <w:sz w:val="24"/>
        </w:rPr>
        <w:t>（26）建立并保存基金份额持有人名册；</w:t>
      </w:r>
    </w:p>
    <w:p>
      <w:pPr>
        <w:adjustRightInd w:val="0"/>
        <w:snapToGrid w:val="0"/>
        <w:spacing w:line="360" w:lineRule="auto"/>
        <w:ind w:firstLine="480" w:firstLineChars="200"/>
        <w:rPr>
          <w:bCs/>
          <w:sz w:val="24"/>
        </w:rPr>
      </w:pPr>
      <w:r>
        <w:rPr>
          <w:rFonts w:hint="eastAsia"/>
          <w:bCs/>
          <w:sz w:val="24"/>
        </w:rPr>
        <w:t>（27）法律法规及中国证监会规定的和《基金合同》约定的其他义务。</w:t>
      </w:r>
    </w:p>
    <w:p>
      <w:pPr>
        <w:adjustRightInd w:val="0"/>
        <w:snapToGrid w:val="0"/>
        <w:spacing w:line="360" w:lineRule="auto"/>
        <w:ind w:firstLine="480" w:firstLineChars="200"/>
        <w:outlineLvl w:val="2"/>
        <w:rPr>
          <w:bCs/>
          <w:sz w:val="24"/>
        </w:rPr>
      </w:pPr>
      <w:r>
        <w:rPr>
          <w:bCs/>
          <w:sz w:val="24"/>
        </w:rPr>
        <w:t>2、基金托管人的权利与义务</w:t>
      </w:r>
    </w:p>
    <w:p>
      <w:pPr>
        <w:adjustRightInd w:val="0"/>
        <w:snapToGrid w:val="0"/>
        <w:spacing w:line="360" w:lineRule="auto"/>
        <w:ind w:firstLine="480" w:firstLineChars="200"/>
        <w:rPr>
          <w:bCs/>
          <w:sz w:val="24"/>
        </w:rPr>
      </w:pPr>
      <w:r>
        <w:rPr>
          <w:bCs/>
          <w:sz w:val="24"/>
        </w:rPr>
        <w:t>根据《基金法》、《运作办法》及其他有关规定，基金托管人的权利包括但不限于：</w:t>
      </w:r>
    </w:p>
    <w:p>
      <w:pPr>
        <w:adjustRightInd w:val="0"/>
        <w:snapToGrid w:val="0"/>
        <w:spacing w:line="360" w:lineRule="auto"/>
        <w:ind w:firstLine="480" w:firstLineChars="200"/>
        <w:rPr>
          <w:bCs/>
          <w:sz w:val="24"/>
        </w:rPr>
      </w:pPr>
      <w:r>
        <w:rPr>
          <w:rFonts w:hint="eastAsia"/>
          <w:bCs/>
          <w:sz w:val="24"/>
        </w:rPr>
        <w:t>（1）自《基金合同》生效之日起，依法律法规和《基金合同》的规定安全保管基金财产；</w:t>
      </w:r>
    </w:p>
    <w:p>
      <w:pPr>
        <w:adjustRightInd w:val="0"/>
        <w:snapToGrid w:val="0"/>
        <w:spacing w:line="360" w:lineRule="auto"/>
        <w:ind w:firstLine="480" w:firstLineChars="200"/>
        <w:rPr>
          <w:bCs/>
          <w:sz w:val="24"/>
        </w:rPr>
      </w:pPr>
      <w:r>
        <w:rPr>
          <w:rFonts w:hint="eastAsia"/>
          <w:bCs/>
          <w:sz w:val="24"/>
        </w:rPr>
        <w:t>（2）依《基金合同》约定获得基金托管费以及法律法规规定或监管部门批准的其他费用；</w:t>
      </w:r>
    </w:p>
    <w:p>
      <w:pPr>
        <w:adjustRightInd w:val="0"/>
        <w:snapToGrid w:val="0"/>
        <w:spacing w:line="360" w:lineRule="auto"/>
        <w:ind w:firstLine="480" w:firstLineChars="200"/>
        <w:rPr>
          <w:bCs/>
          <w:sz w:val="24"/>
        </w:rPr>
      </w:pPr>
      <w:r>
        <w:rPr>
          <w:rFonts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bCs/>
          <w:sz w:val="24"/>
        </w:rPr>
      </w:pPr>
      <w:r>
        <w:rPr>
          <w:rFonts w:hint="eastAsia"/>
          <w:bCs/>
          <w:sz w:val="24"/>
        </w:rPr>
        <w:t>（4）根据相关市场规则，为基金开设资金账户、证券账户、期货结算账户等投资所需账户，为基金办理证券交易资金清算；</w:t>
      </w:r>
    </w:p>
    <w:p>
      <w:pPr>
        <w:adjustRightInd w:val="0"/>
        <w:snapToGrid w:val="0"/>
        <w:spacing w:line="360" w:lineRule="auto"/>
        <w:ind w:firstLine="480" w:firstLineChars="200"/>
        <w:rPr>
          <w:bCs/>
          <w:sz w:val="24"/>
        </w:rPr>
      </w:pPr>
      <w:r>
        <w:rPr>
          <w:rFonts w:hint="eastAsia"/>
          <w:bCs/>
          <w:sz w:val="24"/>
        </w:rPr>
        <w:t>（5）提议召开或召集基金份额持有人大会；</w:t>
      </w:r>
    </w:p>
    <w:p>
      <w:pPr>
        <w:adjustRightInd w:val="0"/>
        <w:snapToGrid w:val="0"/>
        <w:spacing w:line="360" w:lineRule="auto"/>
        <w:ind w:firstLine="480" w:firstLineChars="200"/>
        <w:rPr>
          <w:bCs/>
          <w:sz w:val="24"/>
        </w:rPr>
      </w:pPr>
      <w:r>
        <w:rPr>
          <w:rFonts w:hint="eastAsia"/>
          <w:bCs/>
          <w:sz w:val="24"/>
        </w:rPr>
        <w:t>（6）在基金管理人更换时，提名新的基金管理人；</w:t>
      </w:r>
    </w:p>
    <w:p>
      <w:pPr>
        <w:adjustRightInd w:val="0"/>
        <w:snapToGrid w:val="0"/>
        <w:spacing w:line="360" w:lineRule="auto"/>
        <w:ind w:firstLine="480" w:firstLineChars="200"/>
        <w:rPr>
          <w:bCs/>
          <w:sz w:val="24"/>
        </w:rPr>
      </w:pPr>
      <w:r>
        <w:rPr>
          <w:rFonts w:hint="eastAsia"/>
          <w:bCs/>
          <w:sz w:val="24"/>
        </w:rPr>
        <w:t>（7）法律法规及中国证监会规定的和《基金合同》约定的其他权利。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根据《基金法》、《运作办法》及其他有关规定，基金托管人的义务包括但不限于：</w:t>
      </w:r>
    </w:p>
    <w:p>
      <w:pPr>
        <w:adjustRightInd w:val="0"/>
        <w:snapToGrid w:val="0"/>
        <w:spacing w:line="360" w:lineRule="auto"/>
        <w:ind w:firstLine="480" w:firstLineChars="200"/>
        <w:rPr>
          <w:bCs/>
          <w:sz w:val="24"/>
        </w:rPr>
      </w:pPr>
      <w:r>
        <w:rPr>
          <w:rFonts w:hint="eastAsia"/>
          <w:bCs/>
          <w:sz w:val="24"/>
        </w:rPr>
        <w:t>（1）以诚实信用、勤勉尽责的原则持有并安全保管基金财产；</w:t>
      </w:r>
    </w:p>
    <w:p>
      <w:pPr>
        <w:adjustRightInd w:val="0"/>
        <w:snapToGrid w:val="0"/>
        <w:spacing w:line="360" w:lineRule="auto"/>
        <w:ind w:firstLine="480" w:firstLineChars="200"/>
        <w:rPr>
          <w:bCs/>
          <w:sz w:val="24"/>
        </w:rPr>
      </w:pPr>
      <w:r>
        <w:rPr>
          <w:rFonts w:hint="eastAsia"/>
          <w:bCs/>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bCs/>
          <w:sz w:val="24"/>
        </w:rPr>
      </w:pPr>
      <w:r>
        <w:rPr>
          <w:rFonts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bCs/>
          <w:sz w:val="24"/>
        </w:rPr>
      </w:pPr>
      <w:r>
        <w:rPr>
          <w:rFonts w:hint="eastAsia"/>
          <w:bCs/>
          <w:sz w:val="24"/>
        </w:rPr>
        <w:t>（4）除依据《基金法》、《基金合同》及其他有关规定外，不得利用基金财产为自己及任何第三人谋取利益，不得委托第三人托管基金财产；</w:t>
      </w:r>
    </w:p>
    <w:p>
      <w:pPr>
        <w:adjustRightInd w:val="0"/>
        <w:snapToGrid w:val="0"/>
        <w:spacing w:line="360" w:lineRule="auto"/>
        <w:ind w:firstLine="480" w:firstLineChars="200"/>
        <w:rPr>
          <w:bCs/>
          <w:sz w:val="24"/>
        </w:rPr>
      </w:pPr>
      <w:r>
        <w:rPr>
          <w:rFonts w:hint="eastAsia"/>
          <w:bCs/>
          <w:sz w:val="24"/>
        </w:rPr>
        <w:t>（5）保管由基金管理人代表基金签订的与基金有关的重大合同及有关凭证；</w:t>
      </w:r>
    </w:p>
    <w:p>
      <w:pPr>
        <w:adjustRightInd w:val="0"/>
        <w:snapToGrid w:val="0"/>
        <w:spacing w:line="360" w:lineRule="auto"/>
        <w:ind w:firstLine="480" w:firstLineChars="200"/>
        <w:rPr>
          <w:bCs/>
          <w:sz w:val="24"/>
        </w:rPr>
      </w:pPr>
      <w:r>
        <w:rPr>
          <w:rFonts w:hint="eastAsia"/>
          <w:bCs/>
          <w:sz w:val="24"/>
        </w:rPr>
        <w:t>（6）按规定开设基金财产的资金账户、证券账户和期货结算账户等投资所需账户，按照《基金合同》的约定，根据基金管理人的投资指令，及时办理清算、交割事宜；</w:t>
      </w:r>
    </w:p>
    <w:p>
      <w:pPr>
        <w:adjustRightInd w:val="0"/>
        <w:snapToGrid w:val="0"/>
        <w:spacing w:line="360" w:lineRule="auto"/>
        <w:ind w:firstLine="480" w:firstLineChars="200"/>
        <w:rPr>
          <w:bCs/>
          <w:sz w:val="24"/>
        </w:rPr>
      </w:pPr>
      <w:r>
        <w:rPr>
          <w:rFonts w:hint="eastAsia"/>
          <w:bCs/>
          <w:sz w:val="24"/>
        </w:rPr>
        <w:t>（7）保守基金商业秘密，除《基金法》、《基金合同》及其他有关规定另有规定外，在基金信息公开披露前予以保密，不得向他人泄露；</w:t>
      </w:r>
    </w:p>
    <w:p>
      <w:pPr>
        <w:adjustRightInd w:val="0"/>
        <w:snapToGrid w:val="0"/>
        <w:spacing w:line="360" w:lineRule="auto"/>
        <w:ind w:firstLine="480" w:firstLineChars="200"/>
        <w:rPr>
          <w:bCs/>
          <w:sz w:val="24"/>
        </w:rPr>
      </w:pPr>
      <w:r>
        <w:rPr>
          <w:rFonts w:hint="eastAsia"/>
          <w:bCs/>
          <w:sz w:val="24"/>
        </w:rPr>
        <w:t>（8）复核、审查基金管理人计算的基金资产净值、基金份额净值、基金份额申购、赎回价格；</w:t>
      </w:r>
    </w:p>
    <w:p>
      <w:pPr>
        <w:adjustRightInd w:val="0"/>
        <w:snapToGrid w:val="0"/>
        <w:spacing w:line="360" w:lineRule="auto"/>
        <w:ind w:firstLine="480" w:firstLineChars="200"/>
        <w:rPr>
          <w:bCs/>
          <w:sz w:val="24"/>
        </w:rPr>
      </w:pPr>
      <w:r>
        <w:rPr>
          <w:rFonts w:hint="eastAsia"/>
          <w:bCs/>
          <w:sz w:val="24"/>
        </w:rPr>
        <w:t>（9）办理与基金托管业务活动有关的信息披露事项；</w:t>
      </w:r>
    </w:p>
    <w:p>
      <w:pPr>
        <w:adjustRightInd w:val="0"/>
        <w:snapToGrid w:val="0"/>
        <w:spacing w:line="360" w:lineRule="auto"/>
        <w:ind w:firstLine="480" w:firstLineChars="200"/>
        <w:rPr>
          <w:bCs/>
          <w:sz w:val="24"/>
        </w:rPr>
      </w:pPr>
      <w:r>
        <w:rPr>
          <w:rFonts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bCs/>
          <w:sz w:val="24"/>
        </w:rPr>
      </w:pPr>
      <w:r>
        <w:rPr>
          <w:rFonts w:hint="eastAsia"/>
          <w:bCs/>
          <w:sz w:val="24"/>
        </w:rPr>
        <w:t>（11）保存基金托管业务活动的记录、账册、报表和其他相关资料不低于法律法规规定的最低期限；</w:t>
      </w:r>
    </w:p>
    <w:p>
      <w:pPr>
        <w:adjustRightInd w:val="0"/>
        <w:snapToGrid w:val="0"/>
        <w:spacing w:line="360" w:lineRule="auto"/>
        <w:ind w:firstLine="480" w:firstLineChars="200"/>
        <w:rPr>
          <w:bCs/>
          <w:sz w:val="24"/>
        </w:rPr>
      </w:pPr>
      <w:r>
        <w:rPr>
          <w:rFonts w:hint="eastAsia"/>
          <w:bCs/>
          <w:sz w:val="24"/>
        </w:rPr>
        <w:t>（12）建立并保存基金份额持有人名册；</w:t>
      </w:r>
    </w:p>
    <w:p>
      <w:pPr>
        <w:adjustRightInd w:val="0"/>
        <w:snapToGrid w:val="0"/>
        <w:spacing w:line="360" w:lineRule="auto"/>
        <w:ind w:firstLine="480" w:firstLineChars="200"/>
        <w:rPr>
          <w:bCs/>
          <w:sz w:val="24"/>
        </w:rPr>
      </w:pPr>
      <w:r>
        <w:rPr>
          <w:rFonts w:hint="eastAsia"/>
          <w:bCs/>
          <w:sz w:val="24"/>
        </w:rPr>
        <w:t>（13）按规定制作相关账册并与基金管理人核对；</w:t>
      </w:r>
    </w:p>
    <w:p>
      <w:pPr>
        <w:adjustRightInd w:val="0"/>
        <w:snapToGrid w:val="0"/>
        <w:spacing w:line="360" w:lineRule="auto"/>
        <w:ind w:firstLine="480" w:firstLineChars="200"/>
        <w:rPr>
          <w:bCs/>
          <w:sz w:val="24"/>
        </w:rPr>
      </w:pPr>
      <w:r>
        <w:rPr>
          <w:rFonts w:hint="eastAsia"/>
          <w:bCs/>
          <w:sz w:val="24"/>
        </w:rPr>
        <w:t>（14）依据基金管理人的指令或有关规定向基金份额持有人支付基金收益和赎回款项；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bCs/>
          <w:sz w:val="24"/>
        </w:rPr>
      </w:pPr>
      <w:r>
        <w:rPr>
          <w:rFonts w:hint="eastAsia"/>
          <w:bCs/>
          <w:sz w:val="24"/>
        </w:rPr>
        <w:t>（16）按照法律法规和《基金合同》的规定监督基金管理人的投资运作；</w:t>
      </w:r>
    </w:p>
    <w:p>
      <w:pPr>
        <w:adjustRightInd w:val="0"/>
        <w:snapToGrid w:val="0"/>
        <w:spacing w:line="360" w:lineRule="auto"/>
        <w:ind w:firstLine="480" w:firstLineChars="200"/>
        <w:rPr>
          <w:bCs/>
          <w:sz w:val="24"/>
        </w:rPr>
      </w:pPr>
      <w:r>
        <w:rPr>
          <w:rFonts w:hint="eastAsia"/>
          <w:bCs/>
          <w:sz w:val="24"/>
        </w:rPr>
        <w:t>（17）参加基金财产清算小组，参与基金财产的保管、清理、估价、变现和分配；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（18）面临解散、依法被撤销或者被依法宣告破产时，及时报告中国证监会和银行业监督管理机构，并通知基金管理人；</w:t>
      </w:r>
    </w:p>
    <w:p>
      <w:pPr>
        <w:adjustRightInd w:val="0"/>
        <w:snapToGrid w:val="0"/>
        <w:spacing w:line="360" w:lineRule="auto"/>
        <w:ind w:firstLine="480" w:firstLineChars="200"/>
        <w:rPr>
          <w:bCs/>
          <w:sz w:val="24"/>
        </w:rPr>
      </w:pPr>
      <w:r>
        <w:rPr>
          <w:rFonts w:hint="eastAsia"/>
          <w:bCs/>
          <w:sz w:val="24"/>
        </w:rPr>
        <w:t>（19）因违反《基金合同》导致基金财产损失时，应承担赔偿责任，其赔偿责任不因其退任而免除；</w:t>
      </w:r>
    </w:p>
    <w:p>
      <w:pPr>
        <w:adjustRightInd w:val="0"/>
        <w:snapToGrid w:val="0"/>
        <w:spacing w:line="360" w:lineRule="auto"/>
        <w:ind w:firstLine="480" w:firstLineChars="200"/>
        <w:rPr>
          <w:bCs/>
          <w:sz w:val="24"/>
        </w:rPr>
      </w:pPr>
      <w:r>
        <w:rPr>
          <w:rFonts w:hint="eastAsia"/>
          <w:bCs/>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bCs/>
          <w:sz w:val="24"/>
        </w:rPr>
      </w:pPr>
      <w:r>
        <w:rPr>
          <w:rFonts w:hint="eastAsia"/>
          <w:bCs/>
          <w:sz w:val="24"/>
        </w:rPr>
        <w:t>（21）执行生效的基金份额持有人大会的决议；</w:t>
      </w:r>
    </w:p>
    <w:p>
      <w:pPr>
        <w:adjustRightInd w:val="0"/>
        <w:snapToGrid w:val="0"/>
        <w:spacing w:line="360" w:lineRule="auto"/>
        <w:ind w:firstLine="480" w:firstLineChars="200"/>
        <w:rPr>
          <w:bCs/>
          <w:sz w:val="24"/>
        </w:rPr>
      </w:pPr>
      <w:r>
        <w:rPr>
          <w:rFonts w:hint="eastAsia"/>
          <w:bCs/>
          <w:sz w:val="24"/>
        </w:rPr>
        <w:t>（22）法律法规及中国证监会规定的和《基金合同》约定的其他义务。</w:t>
      </w:r>
    </w:p>
    <w:p>
      <w:pPr>
        <w:adjustRightInd w:val="0"/>
        <w:snapToGrid w:val="0"/>
        <w:spacing w:line="360" w:lineRule="auto"/>
        <w:ind w:firstLine="480" w:firstLineChars="200"/>
        <w:outlineLvl w:val="2"/>
        <w:rPr>
          <w:bCs/>
          <w:sz w:val="24"/>
        </w:rPr>
      </w:pPr>
      <w:r>
        <w:rPr>
          <w:bCs/>
          <w:sz w:val="24"/>
        </w:rPr>
        <w:t>3、基金份额持有人的权利与义务</w:t>
      </w:r>
    </w:p>
    <w:p>
      <w:pPr>
        <w:adjustRightInd w:val="0"/>
        <w:snapToGrid w:val="0"/>
        <w:spacing w:line="360" w:lineRule="auto"/>
        <w:ind w:firstLine="480" w:firstLineChars="200"/>
        <w:rPr>
          <w:bCs/>
          <w:sz w:val="24"/>
        </w:rPr>
      </w:pPr>
      <w:r>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bCs/>
          <w:sz w:val="24"/>
        </w:rPr>
      </w:pPr>
      <w:r>
        <w:rPr>
          <w:rFonts w:hint="eastAsia"/>
          <w:bCs/>
          <w:sz w:val="24"/>
        </w:rPr>
        <w:t>同一类别每份基金份额具有同等的合法权益。</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根据《基金法》、《运作办法》及其他有关规定，基金份额持有人的权利包括但不限于：</w:t>
      </w:r>
    </w:p>
    <w:p>
      <w:pPr>
        <w:adjustRightInd w:val="0"/>
        <w:snapToGrid w:val="0"/>
        <w:spacing w:line="360" w:lineRule="auto"/>
        <w:ind w:firstLine="480" w:firstLineChars="200"/>
        <w:rPr>
          <w:bCs/>
          <w:sz w:val="24"/>
        </w:rPr>
      </w:pPr>
      <w:r>
        <w:rPr>
          <w:rFonts w:hint="eastAsia"/>
          <w:bCs/>
          <w:sz w:val="24"/>
        </w:rPr>
        <w:t>（1）分享基金财产收益；</w:t>
      </w:r>
    </w:p>
    <w:p>
      <w:pPr>
        <w:adjustRightInd w:val="0"/>
        <w:snapToGrid w:val="0"/>
        <w:spacing w:line="360" w:lineRule="auto"/>
        <w:ind w:firstLine="480" w:firstLineChars="200"/>
        <w:rPr>
          <w:bCs/>
          <w:sz w:val="24"/>
        </w:rPr>
      </w:pPr>
      <w:r>
        <w:rPr>
          <w:rFonts w:hint="eastAsia"/>
          <w:bCs/>
          <w:sz w:val="24"/>
        </w:rPr>
        <w:t>（2）参与分配清算后的剩余基金财产；</w:t>
      </w:r>
    </w:p>
    <w:p>
      <w:pPr>
        <w:adjustRightInd w:val="0"/>
        <w:snapToGrid w:val="0"/>
        <w:spacing w:line="360" w:lineRule="auto"/>
        <w:ind w:firstLine="480" w:firstLineChars="200"/>
        <w:rPr>
          <w:bCs/>
          <w:sz w:val="24"/>
        </w:rPr>
      </w:pPr>
      <w:r>
        <w:rPr>
          <w:rFonts w:hint="eastAsia"/>
          <w:bCs/>
          <w:sz w:val="24"/>
        </w:rPr>
        <w:t>（3）依法并按照基金合同和招募说明书的规定转让或者申请赎回其持有的基金份额；</w:t>
      </w:r>
    </w:p>
    <w:p>
      <w:pPr>
        <w:adjustRightInd w:val="0"/>
        <w:snapToGrid w:val="0"/>
        <w:spacing w:line="360" w:lineRule="auto"/>
        <w:ind w:firstLine="480" w:firstLineChars="200"/>
        <w:rPr>
          <w:bCs/>
          <w:sz w:val="24"/>
        </w:rPr>
      </w:pPr>
      <w:r>
        <w:rPr>
          <w:rFonts w:hint="eastAsia"/>
          <w:bCs/>
          <w:sz w:val="24"/>
        </w:rPr>
        <w:t>（4）按照规定要求召开基金份额持有人大会或者召集基金份额持有人大会；</w:t>
      </w:r>
    </w:p>
    <w:p>
      <w:pPr>
        <w:adjustRightInd w:val="0"/>
        <w:snapToGrid w:val="0"/>
        <w:spacing w:line="360" w:lineRule="auto"/>
        <w:ind w:firstLine="480" w:firstLineChars="200"/>
        <w:rPr>
          <w:bCs/>
          <w:sz w:val="24"/>
        </w:rPr>
      </w:pPr>
      <w:r>
        <w:rPr>
          <w:rFonts w:hint="eastAsia"/>
          <w:bCs/>
          <w:sz w:val="24"/>
        </w:rPr>
        <w:t>（5）出席或者委派代表出席基金份额持有人大会，对基金份额持有人大会审议事项行使表决权；</w:t>
      </w:r>
    </w:p>
    <w:p>
      <w:pPr>
        <w:adjustRightInd w:val="0"/>
        <w:snapToGrid w:val="0"/>
        <w:spacing w:line="360" w:lineRule="auto"/>
        <w:ind w:firstLine="480" w:firstLineChars="200"/>
        <w:rPr>
          <w:bCs/>
          <w:sz w:val="24"/>
        </w:rPr>
      </w:pPr>
      <w:r>
        <w:rPr>
          <w:rFonts w:hint="eastAsia"/>
          <w:bCs/>
          <w:sz w:val="24"/>
        </w:rPr>
        <w:t>（6）查阅或者复制公开披露的基金信息资料；</w:t>
      </w:r>
    </w:p>
    <w:p>
      <w:pPr>
        <w:adjustRightInd w:val="0"/>
        <w:snapToGrid w:val="0"/>
        <w:spacing w:line="360" w:lineRule="auto"/>
        <w:ind w:firstLine="480" w:firstLineChars="200"/>
        <w:rPr>
          <w:bCs/>
          <w:sz w:val="24"/>
        </w:rPr>
      </w:pPr>
      <w:r>
        <w:rPr>
          <w:rFonts w:hint="eastAsia"/>
          <w:bCs/>
          <w:sz w:val="24"/>
        </w:rPr>
        <w:t>（7）监督基金管理人的投资运作；</w:t>
      </w:r>
    </w:p>
    <w:p>
      <w:pPr>
        <w:adjustRightInd w:val="0"/>
        <w:snapToGrid w:val="0"/>
        <w:spacing w:line="360" w:lineRule="auto"/>
        <w:ind w:firstLine="480" w:firstLineChars="200"/>
        <w:rPr>
          <w:bCs/>
          <w:sz w:val="24"/>
        </w:rPr>
      </w:pPr>
      <w:r>
        <w:rPr>
          <w:rFonts w:hint="eastAsia"/>
          <w:bCs/>
          <w:sz w:val="24"/>
        </w:rPr>
        <w:t>（8）对基金管理人、基金托管人、基金服务机构损害其合法权益的行为依法提起诉讼或仲裁；</w:t>
      </w:r>
    </w:p>
    <w:p>
      <w:pPr>
        <w:adjustRightInd w:val="0"/>
        <w:snapToGrid w:val="0"/>
        <w:spacing w:line="360" w:lineRule="auto"/>
        <w:ind w:firstLine="480" w:firstLineChars="200"/>
        <w:rPr>
          <w:bCs/>
          <w:sz w:val="24"/>
        </w:rPr>
      </w:pPr>
      <w:r>
        <w:rPr>
          <w:rFonts w:hint="eastAsia"/>
          <w:bCs/>
          <w:sz w:val="24"/>
        </w:rPr>
        <w:t>（9）法律法规及中国证监会规定的和《基金合同》约定的其他权利。</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根据《基金法》、《运作办法》及其他有关规定，基金份额持有人的义务包括但不限于：</w:t>
      </w:r>
    </w:p>
    <w:p>
      <w:pPr>
        <w:adjustRightInd w:val="0"/>
        <w:snapToGrid w:val="0"/>
        <w:spacing w:line="360" w:lineRule="auto"/>
        <w:ind w:firstLine="480" w:firstLineChars="200"/>
        <w:rPr>
          <w:bCs/>
          <w:sz w:val="24"/>
        </w:rPr>
      </w:pPr>
      <w:r>
        <w:rPr>
          <w:rFonts w:hint="eastAsia"/>
          <w:bCs/>
          <w:sz w:val="24"/>
        </w:rPr>
        <w:t>（1）认真阅读并遵守《基金合同》、招募说明书等信息披露文件；</w:t>
      </w:r>
    </w:p>
    <w:p>
      <w:pPr>
        <w:adjustRightInd w:val="0"/>
        <w:snapToGrid w:val="0"/>
        <w:spacing w:line="360" w:lineRule="auto"/>
        <w:ind w:firstLine="480" w:firstLineChars="200"/>
        <w:rPr>
          <w:bCs/>
          <w:sz w:val="24"/>
        </w:rPr>
      </w:pPr>
      <w:r>
        <w:rPr>
          <w:rFonts w:hint="eastAsia"/>
          <w:bCs/>
          <w:sz w:val="24"/>
        </w:rPr>
        <w:t>（2）了解所投资基金产品，了解自身风险承受能力，自主判断基金的投资价值，自主做出投资决策，自行承担投资风险；</w:t>
      </w:r>
    </w:p>
    <w:p>
      <w:pPr>
        <w:adjustRightInd w:val="0"/>
        <w:snapToGrid w:val="0"/>
        <w:spacing w:line="360" w:lineRule="auto"/>
        <w:ind w:firstLine="480" w:firstLineChars="200"/>
        <w:rPr>
          <w:bCs/>
          <w:sz w:val="24"/>
        </w:rPr>
      </w:pPr>
      <w:r>
        <w:rPr>
          <w:rFonts w:hint="eastAsia"/>
          <w:bCs/>
          <w:sz w:val="24"/>
        </w:rPr>
        <w:t>（3）关注基金信息披露，及时行使权利和履行义务；</w:t>
      </w:r>
    </w:p>
    <w:p>
      <w:pPr>
        <w:adjustRightInd w:val="0"/>
        <w:snapToGrid w:val="0"/>
        <w:spacing w:line="360" w:lineRule="auto"/>
        <w:ind w:firstLine="480" w:firstLineChars="200"/>
        <w:rPr>
          <w:bCs/>
          <w:sz w:val="24"/>
        </w:rPr>
      </w:pPr>
      <w:r>
        <w:rPr>
          <w:rFonts w:hint="eastAsia"/>
          <w:bCs/>
          <w:sz w:val="24"/>
        </w:rPr>
        <w:t>（4）交纳基金认购、申购款项及法律法规和《基金合同》所规定的费用；</w:t>
      </w:r>
    </w:p>
    <w:p>
      <w:pPr>
        <w:adjustRightInd w:val="0"/>
        <w:snapToGrid w:val="0"/>
        <w:spacing w:line="360" w:lineRule="auto"/>
        <w:ind w:firstLine="480" w:firstLineChars="200"/>
        <w:rPr>
          <w:bCs/>
          <w:sz w:val="24"/>
        </w:rPr>
      </w:pPr>
      <w:r>
        <w:rPr>
          <w:rFonts w:hint="eastAsia"/>
          <w:bCs/>
          <w:sz w:val="24"/>
        </w:rPr>
        <w:t>（5）在其持有的基金份额范围内，承担基金亏损或者《基金合同》终止的有限责任；</w:t>
      </w:r>
    </w:p>
    <w:p>
      <w:pPr>
        <w:adjustRightInd w:val="0"/>
        <w:snapToGrid w:val="0"/>
        <w:spacing w:line="360" w:lineRule="auto"/>
        <w:ind w:firstLine="480" w:firstLineChars="200"/>
        <w:rPr>
          <w:bCs/>
          <w:sz w:val="24"/>
        </w:rPr>
      </w:pPr>
      <w:r>
        <w:rPr>
          <w:rFonts w:hint="eastAsia"/>
          <w:bCs/>
          <w:sz w:val="24"/>
        </w:rPr>
        <w:t>（6）不从事任何有损基金及其他《基金合同》当事人合法权益的活动；</w:t>
      </w:r>
    </w:p>
    <w:p>
      <w:pPr>
        <w:adjustRightInd w:val="0"/>
        <w:snapToGrid w:val="0"/>
        <w:spacing w:line="360" w:lineRule="auto"/>
        <w:ind w:firstLine="480" w:firstLineChars="200"/>
        <w:rPr>
          <w:bCs/>
          <w:sz w:val="24"/>
        </w:rPr>
      </w:pPr>
      <w:r>
        <w:rPr>
          <w:rFonts w:hint="eastAsia"/>
          <w:bCs/>
          <w:sz w:val="24"/>
        </w:rPr>
        <w:t>（7）执行生效的基金份额持有人大会的决议；</w:t>
      </w:r>
    </w:p>
    <w:p>
      <w:pPr>
        <w:adjustRightInd w:val="0"/>
        <w:snapToGrid w:val="0"/>
        <w:spacing w:line="360" w:lineRule="auto"/>
        <w:ind w:firstLine="480" w:firstLineChars="200"/>
        <w:rPr>
          <w:bCs/>
          <w:sz w:val="24"/>
        </w:rPr>
      </w:pPr>
      <w:r>
        <w:rPr>
          <w:rFonts w:hint="eastAsia"/>
          <w:bCs/>
          <w:sz w:val="24"/>
        </w:rPr>
        <w:t>（8）返还在基金交易过程中因任何原因获得的不当得利；</w:t>
      </w:r>
    </w:p>
    <w:p>
      <w:pPr>
        <w:adjustRightInd w:val="0"/>
        <w:snapToGrid w:val="0"/>
        <w:spacing w:line="360" w:lineRule="auto"/>
        <w:ind w:firstLine="480" w:firstLineChars="200"/>
        <w:rPr>
          <w:bCs/>
          <w:sz w:val="24"/>
        </w:rPr>
      </w:pPr>
      <w:r>
        <w:rPr>
          <w:rFonts w:hint="eastAsia"/>
          <w:bCs/>
          <w:sz w:val="24"/>
        </w:rPr>
        <w:t>（9）遵守基金管理人、基金托管人、销售机构和登记机构的相关交易及业务规则；</w:t>
      </w:r>
    </w:p>
    <w:p>
      <w:pPr>
        <w:adjustRightInd w:val="0"/>
        <w:snapToGrid w:val="0"/>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adjustRightInd w:val="0"/>
        <w:snapToGrid w:val="0"/>
        <w:spacing w:line="360" w:lineRule="auto"/>
        <w:ind w:firstLine="480" w:firstLineChars="200"/>
        <w:rPr>
          <w:bCs/>
          <w:sz w:val="24"/>
        </w:rPr>
      </w:pPr>
      <w:r>
        <w:rPr>
          <w:rFonts w:hint="eastAsia"/>
          <w:bCs/>
          <w:sz w:val="24"/>
        </w:rPr>
        <w:t>（11）法律法规及中国证监会规定的和《基金合同》约定的其他义务。</w:t>
      </w:r>
    </w:p>
    <w:p>
      <w:pPr>
        <w:adjustRightInd w:val="0"/>
        <w:snapToGrid w:val="0"/>
        <w:spacing w:line="360" w:lineRule="auto"/>
        <w:ind w:firstLine="482"/>
        <w:outlineLvl w:val="1"/>
        <w:rPr>
          <w:b/>
          <w:bCs/>
          <w:sz w:val="24"/>
        </w:rPr>
      </w:pPr>
      <w:r>
        <w:rPr>
          <w:b/>
          <w:bCs/>
          <w:sz w:val="24"/>
        </w:rPr>
        <w:t>（二）基金份额持有人大会</w:t>
      </w:r>
      <w:r>
        <w:rPr>
          <w:rFonts w:hint="eastAsia"/>
          <w:b/>
          <w:bCs/>
          <w:sz w:val="24"/>
        </w:rPr>
        <w:t>召集、议事及表决的程序和规则</w:t>
      </w:r>
    </w:p>
    <w:p>
      <w:pPr>
        <w:adjustRightInd w:val="0"/>
        <w:snapToGrid w:val="0"/>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adjustRightInd w:val="0"/>
        <w:snapToGrid w:val="0"/>
        <w:spacing w:line="360" w:lineRule="auto"/>
        <w:ind w:firstLine="480" w:firstLineChars="200"/>
        <w:rPr>
          <w:bCs/>
          <w:sz w:val="24"/>
        </w:rPr>
      </w:pPr>
      <w:r>
        <w:rPr>
          <w:rFonts w:hint="eastAsia"/>
          <w:bCs/>
          <w:sz w:val="24"/>
        </w:rPr>
        <w:t>本基金份额持有人大会不设日常机构。</w:t>
      </w:r>
    </w:p>
    <w:p>
      <w:pPr>
        <w:adjustRightInd w:val="0"/>
        <w:snapToGrid w:val="0"/>
        <w:spacing w:line="360" w:lineRule="auto"/>
        <w:ind w:firstLine="480" w:firstLineChars="200"/>
        <w:rPr>
          <w:bCs/>
          <w:sz w:val="24"/>
        </w:rPr>
      </w:pPr>
      <w:r>
        <w:rPr>
          <w:bCs/>
          <w:sz w:val="24"/>
        </w:rPr>
        <w:t>1、召开事由</w:t>
      </w:r>
    </w:p>
    <w:p>
      <w:pPr>
        <w:adjustRightInd w:val="0"/>
        <w:snapToGrid w:val="0"/>
        <w:spacing w:line="360" w:lineRule="auto"/>
        <w:ind w:firstLine="480" w:firstLineChars="200"/>
        <w:rPr>
          <w:bCs/>
          <w:sz w:val="24"/>
        </w:rPr>
      </w:pPr>
      <w:r>
        <w:rPr>
          <w:rFonts w:hint="eastAsia"/>
          <w:bCs/>
          <w:sz w:val="24"/>
        </w:rPr>
        <w:t>（1）当出现或需要决定下列事由之一的，应当召开基金份额持有人大会，法律法规、基金合同和中国证监会另有规定的除外：</w:t>
      </w:r>
    </w:p>
    <w:p>
      <w:pPr>
        <w:adjustRightInd w:val="0"/>
        <w:snapToGrid w:val="0"/>
        <w:spacing w:line="360" w:lineRule="auto"/>
        <w:ind w:firstLine="480" w:firstLineChars="200"/>
        <w:rPr>
          <w:bCs/>
          <w:sz w:val="24"/>
        </w:rPr>
      </w:pPr>
      <w:r>
        <w:rPr>
          <w:rFonts w:hint="eastAsia"/>
          <w:bCs/>
          <w:sz w:val="24"/>
        </w:rPr>
        <w:t>1）终止《基金合同》；</w:t>
      </w:r>
    </w:p>
    <w:p>
      <w:pPr>
        <w:adjustRightInd w:val="0"/>
        <w:snapToGrid w:val="0"/>
        <w:spacing w:line="360" w:lineRule="auto"/>
        <w:ind w:firstLine="480" w:firstLineChars="200"/>
        <w:rPr>
          <w:bCs/>
          <w:sz w:val="24"/>
        </w:rPr>
      </w:pPr>
      <w:r>
        <w:rPr>
          <w:rFonts w:hint="eastAsia"/>
          <w:bCs/>
          <w:sz w:val="24"/>
        </w:rPr>
        <w:t>2）更换基金管理人；</w:t>
      </w:r>
    </w:p>
    <w:p>
      <w:pPr>
        <w:adjustRightInd w:val="0"/>
        <w:snapToGrid w:val="0"/>
        <w:spacing w:line="360" w:lineRule="auto"/>
        <w:ind w:firstLine="480" w:firstLineChars="200"/>
        <w:rPr>
          <w:bCs/>
          <w:sz w:val="24"/>
        </w:rPr>
      </w:pPr>
      <w:r>
        <w:rPr>
          <w:rFonts w:hint="eastAsia"/>
          <w:bCs/>
          <w:sz w:val="24"/>
        </w:rPr>
        <w:t>3）更换基金托管人；</w:t>
      </w:r>
    </w:p>
    <w:p>
      <w:pPr>
        <w:adjustRightInd w:val="0"/>
        <w:snapToGrid w:val="0"/>
        <w:spacing w:line="360" w:lineRule="auto"/>
        <w:ind w:firstLine="480" w:firstLineChars="200"/>
        <w:rPr>
          <w:bCs/>
          <w:sz w:val="24"/>
        </w:rPr>
      </w:pPr>
      <w:r>
        <w:rPr>
          <w:rFonts w:hint="eastAsia"/>
          <w:bCs/>
          <w:sz w:val="24"/>
        </w:rPr>
        <w:t>4）转换基金运作方式；</w:t>
      </w:r>
    </w:p>
    <w:p>
      <w:pPr>
        <w:adjustRightInd w:val="0"/>
        <w:snapToGrid w:val="0"/>
        <w:spacing w:line="360" w:lineRule="auto"/>
        <w:ind w:firstLine="480" w:firstLineChars="200"/>
        <w:rPr>
          <w:bCs/>
          <w:sz w:val="24"/>
        </w:rPr>
      </w:pPr>
      <w:r>
        <w:rPr>
          <w:rFonts w:hint="eastAsia"/>
          <w:bCs/>
          <w:sz w:val="24"/>
        </w:rPr>
        <w:t>5）调整基金管理人、基金托管人的报酬标准或提高销售服务费率；</w:t>
      </w:r>
    </w:p>
    <w:p>
      <w:pPr>
        <w:adjustRightInd w:val="0"/>
        <w:snapToGrid w:val="0"/>
        <w:spacing w:line="360" w:lineRule="auto"/>
        <w:ind w:firstLine="480" w:firstLineChars="200"/>
        <w:rPr>
          <w:bCs/>
          <w:sz w:val="24"/>
        </w:rPr>
      </w:pPr>
      <w:r>
        <w:rPr>
          <w:rFonts w:hint="eastAsia"/>
          <w:bCs/>
          <w:sz w:val="24"/>
        </w:rPr>
        <w:t>6）变更基金类别；</w:t>
      </w:r>
    </w:p>
    <w:p>
      <w:pPr>
        <w:adjustRightInd w:val="0"/>
        <w:snapToGrid w:val="0"/>
        <w:spacing w:line="360" w:lineRule="auto"/>
        <w:ind w:firstLine="480" w:firstLineChars="200"/>
        <w:rPr>
          <w:bCs/>
          <w:sz w:val="24"/>
        </w:rPr>
      </w:pPr>
      <w:r>
        <w:rPr>
          <w:rFonts w:hint="eastAsia"/>
          <w:bCs/>
          <w:sz w:val="24"/>
        </w:rPr>
        <w:t>7）本基金与其他基金的合并；</w:t>
      </w:r>
    </w:p>
    <w:p>
      <w:pPr>
        <w:adjustRightInd w:val="0"/>
        <w:snapToGrid w:val="0"/>
        <w:spacing w:line="360" w:lineRule="auto"/>
        <w:ind w:firstLine="480" w:firstLineChars="200"/>
        <w:rPr>
          <w:bCs/>
          <w:sz w:val="24"/>
        </w:rPr>
      </w:pPr>
      <w:r>
        <w:rPr>
          <w:rFonts w:hint="eastAsia"/>
          <w:bCs/>
          <w:sz w:val="24"/>
        </w:rPr>
        <w:t>8）变更基金投资目标、范围或策略；</w:t>
      </w:r>
    </w:p>
    <w:p>
      <w:pPr>
        <w:adjustRightInd w:val="0"/>
        <w:snapToGrid w:val="0"/>
        <w:spacing w:line="360" w:lineRule="auto"/>
        <w:ind w:firstLine="480" w:firstLineChars="200"/>
        <w:rPr>
          <w:bCs/>
          <w:sz w:val="24"/>
        </w:rPr>
      </w:pPr>
      <w:r>
        <w:rPr>
          <w:rFonts w:hint="eastAsia"/>
          <w:bCs/>
          <w:sz w:val="24"/>
        </w:rPr>
        <w:t>9）变更基金份额持有人大会程序；</w:t>
      </w:r>
    </w:p>
    <w:p>
      <w:pPr>
        <w:adjustRightInd w:val="0"/>
        <w:snapToGrid w:val="0"/>
        <w:spacing w:line="360" w:lineRule="auto"/>
        <w:ind w:firstLine="480" w:firstLineChars="200"/>
        <w:rPr>
          <w:bCs/>
          <w:sz w:val="24"/>
        </w:rPr>
      </w:pPr>
      <w:r>
        <w:rPr>
          <w:rFonts w:hint="eastAsia"/>
          <w:bCs/>
          <w:sz w:val="24"/>
        </w:rPr>
        <w:t>10）基金管理人或基金托管人要求召开基金份额持有人大会；</w:t>
      </w:r>
    </w:p>
    <w:p>
      <w:pPr>
        <w:adjustRightInd w:val="0"/>
        <w:snapToGrid w:val="0"/>
        <w:spacing w:line="360" w:lineRule="auto"/>
        <w:ind w:firstLine="480" w:firstLineChars="200"/>
        <w:rPr>
          <w:bCs/>
          <w:sz w:val="24"/>
        </w:rPr>
      </w:pPr>
      <w:r>
        <w:rPr>
          <w:rFonts w:hint="eastAsia"/>
          <w:bCs/>
          <w:sz w:val="24"/>
        </w:rPr>
        <w:t>11）单独或合计持有本基金总份额10%以上（含10%）基金份额的基金份额持有人（以基金管理人收到提议当日的基金份额计算，下同）就同一事项书面要求召开基金份额持有人大会；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bCs/>
          <w:sz w:val="24"/>
        </w:rPr>
      </w:pPr>
      <w:r>
        <w:rPr>
          <w:rFonts w:hint="eastAsia"/>
          <w:bCs/>
          <w:sz w:val="24"/>
        </w:rPr>
        <w:t>12）对基金合同当事人权利和义务产生重大影响的其他事项；</w:t>
      </w:r>
    </w:p>
    <w:p>
      <w:pPr>
        <w:adjustRightInd w:val="0"/>
        <w:snapToGrid w:val="0"/>
        <w:spacing w:line="360" w:lineRule="auto"/>
        <w:ind w:firstLine="480" w:firstLineChars="200"/>
        <w:rPr>
          <w:bCs/>
          <w:sz w:val="24"/>
        </w:rPr>
      </w:pPr>
      <w:r>
        <w:rPr>
          <w:rFonts w:hint="eastAsia"/>
          <w:bCs/>
          <w:sz w:val="24"/>
        </w:rPr>
        <w:t>13）法律法规、《基金合同》或中国证监会规定的其他应当召开基金份额持有人大会的事项。</w:t>
      </w:r>
    </w:p>
    <w:p>
      <w:pPr>
        <w:adjustRightInd w:val="0"/>
        <w:snapToGrid w:val="0"/>
        <w:spacing w:line="360" w:lineRule="auto"/>
        <w:ind w:firstLine="480" w:firstLineChars="200"/>
        <w:rPr>
          <w:bCs/>
          <w:sz w:val="24"/>
        </w:rPr>
      </w:pPr>
      <w:r>
        <w:rPr>
          <w:rFonts w:hint="eastAsia"/>
          <w:bCs/>
          <w:sz w:val="24"/>
        </w:rPr>
        <w:t>（2）在法律法规规定和《基金合同》约定的范围内且对基金份额持有人利益无实质性不利影响的前提下，以下情况可由基金管理人和基金托管人协商后修改，不需召开基金份额持有人大会：</w:t>
      </w:r>
    </w:p>
    <w:p>
      <w:pPr>
        <w:adjustRightInd w:val="0"/>
        <w:snapToGrid w:val="0"/>
        <w:spacing w:line="360" w:lineRule="auto"/>
        <w:ind w:firstLine="480" w:firstLineChars="200"/>
        <w:rPr>
          <w:bCs/>
          <w:sz w:val="24"/>
        </w:rPr>
      </w:pPr>
      <w:r>
        <w:rPr>
          <w:rFonts w:hint="eastAsia"/>
          <w:bCs/>
          <w:sz w:val="24"/>
        </w:rPr>
        <w:t>1）调低基金销售服务费；</w:t>
      </w:r>
    </w:p>
    <w:p>
      <w:pPr>
        <w:adjustRightInd w:val="0"/>
        <w:snapToGrid w:val="0"/>
        <w:spacing w:line="360" w:lineRule="auto"/>
        <w:ind w:firstLine="480" w:firstLineChars="200"/>
        <w:rPr>
          <w:bCs/>
          <w:sz w:val="24"/>
        </w:rPr>
      </w:pPr>
      <w:r>
        <w:rPr>
          <w:rFonts w:hint="eastAsia"/>
          <w:bCs/>
          <w:sz w:val="24"/>
        </w:rPr>
        <w:t>2）法律法规要求增加的基金费用的收取；</w:t>
      </w:r>
    </w:p>
    <w:p>
      <w:pPr>
        <w:adjustRightInd w:val="0"/>
        <w:snapToGrid w:val="0"/>
        <w:spacing w:line="360" w:lineRule="auto"/>
        <w:ind w:firstLine="480" w:firstLineChars="200"/>
        <w:rPr>
          <w:bCs/>
          <w:sz w:val="24"/>
        </w:rPr>
      </w:pPr>
      <w:r>
        <w:rPr>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pPr>
        <w:adjustRightInd w:val="0"/>
        <w:snapToGrid w:val="0"/>
        <w:spacing w:line="360" w:lineRule="auto"/>
        <w:ind w:firstLine="480" w:firstLineChars="200"/>
        <w:rPr>
          <w:bCs/>
          <w:sz w:val="24"/>
        </w:rPr>
      </w:pPr>
      <w:r>
        <w:rPr>
          <w:bCs/>
          <w:sz w:val="24"/>
        </w:rPr>
        <w:t>4</w:t>
      </w:r>
      <w:r>
        <w:rPr>
          <w:rFonts w:hint="eastAsia"/>
          <w:bCs/>
          <w:sz w:val="24"/>
        </w:rPr>
        <w:t>）因相应的法律法规、登记机构的相关业务规则发生变动而应当对《基金合同》进行修改；</w:t>
      </w:r>
    </w:p>
    <w:p>
      <w:pPr>
        <w:adjustRightInd w:val="0"/>
        <w:snapToGrid w:val="0"/>
        <w:spacing w:line="360" w:lineRule="auto"/>
        <w:ind w:firstLine="480" w:firstLineChars="200"/>
        <w:rPr>
          <w:bCs/>
          <w:sz w:val="24"/>
        </w:rPr>
      </w:pPr>
      <w:r>
        <w:rPr>
          <w:bCs/>
          <w:sz w:val="24"/>
        </w:rPr>
        <w:t>5</w:t>
      </w:r>
      <w:r>
        <w:rPr>
          <w:rFonts w:hint="eastAsia"/>
          <w:bCs/>
          <w:sz w:val="24"/>
        </w:rPr>
        <w:t>）对《基金合同》的修改对基金份额持有人利益无实质性不利影响或修改不涉及《基金合同》当事人权利义务关系发生重大变化；</w:t>
      </w:r>
    </w:p>
    <w:p>
      <w:pPr>
        <w:adjustRightInd w:val="0"/>
        <w:snapToGrid w:val="0"/>
        <w:spacing w:line="360" w:lineRule="auto"/>
        <w:ind w:firstLine="480" w:firstLineChars="200"/>
        <w:rPr>
          <w:bCs/>
          <w:sz w:val="24"/>
        </w:rPr>
      </w:pPr>
      <w:r>
        <w:rPr>
          <w:bCs/>
          <w:sz w:val="24"/>
        </w:rPr>
        <w:t>6</w:t>
      </w:r>
      <w:r>
        <w:rPr>
          <w:rFonts w:hint="eastAsia"/>
          <w:bCs/>
          <w:sz w:val="24"/>
        </w:rPr>
        <w:t>）在法律法规允许的情况下，且在对现有基金份额持有人利益无实质性不利影响的前提下，基金推出新业务或服务；</w:t>
      </w:r>
    </w:p>
    <w:p>
      <w:pPr>
        <w:adjustRightInd w:val="0"/>
        <w:snapToGrid w:val="0"/>
        <w:spacing w:line="360" w:lineRule="auto"/>
        <w:ind w:firstLine="480" w:firstLineChars="200"/>
        <w:rPr>
          <w:bCs/>
          <w:sz w:val="24"/>
        </w:rPr>
      </w:pPr>
      <w:r>
        <w:rPr>
          <w:bCs/>
          <w:sz w:val="24"/>
        </w:rPr>
        <w:t>7</w:t>
      </w:r>
      <w:r>
        <w:rPr>
          <w:rFonts w:hint="eastAsia"/>
          <w:bCs/>
          <w:sz w:val="24"/>
        </w:rPr>
        <w:t>）在符合法律法规及本基金合同规定、并且对基金份额持有人利益无实质不利影响的前提下，调整本基金份额类别的设置；</w:t>
      </w:r>
    </w:p>
    <w:p>
      <w:pPr>
        <w:adjustRightInd w:val="0"/>
        <w:snapToGrid w:val="0"/>
        <w:spacing w:line="360" w:lineRule="auto"/>
        <w:ind w:firstLine="480" w:firstLineChars="200"/>
        <w:rPr>
          <w:bCs/>
          <w:sz w:val="24"/>
        </w:rPr>
      </w:pPr>
      <w:r>
        <w:rPr>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pPr>
        <w:adjustRightInd w:val="0"/>
        <w:snapToGrid w:val="0"/>
        <w:spacing w:line="360" w:lineRule="auto"/>
        <w:ind w:firstLine="480" w:firstLineChars="200"/>
        <w:rPr>
          <w:bCs/>
          <w:sz w:val="24"/>
        </w:rPr>
      </w:pPr>
      <w:r>
        <w:rPr>
          <w:bCs/>
          <w:sz w:val="24"/>
        </w:rPr>
        <w:t>9</w:t>
      </w:r>
      <w:r>
        <w:rPr>
          <w:rFonts w:hint="eastAsia"/>
          <w:bCs/>
          <w:sz w:val="24"/>
        </w:rPr>
        <w:t>）按照法律法规和《基金合同》规定不需召开基金份额持有人大会的其他情形。</w:t>
      </w:r>
    </w:p>
    <w:p>
      <w:pPr>
        <w:adjustRightInd w:val="0"/>
        <w:snapToGrid w:val="0"/>
        <w:spacing w:line="360" w:lineRule="auto"/>
        <w:ind w:firstLine="480" w:firstLineChars="200"/>
        <w:rPr>
          <w:bCs/>
          <w:sz w:val="24"/>
        </w:rPr>
      </w:pPr>
      <w:r>
        <w:rPr>
          <w:rFonts w:hint="eastAsia"/>
          <w:bCs/>
          <w:sz w:val="24"/>
        </w:rPr>
        <w:t>2、会议召集人及召集方式</w:t>
      </w:r>
    </w:p>
    <w:p>
      <w:pPr>
        <w:adjustRightInd w:val="0"/>
        <w:snapToGrid w:val="0"/>
        <w:spacing w:line="360" w:lineRule="auto"/>
        <w:ind w:firstLine="480" w:firstLineChars="200"/>
        <w:rPr>
          <w:bCs/>
          <w:sz w:val="24"/>
        </w:rPr>
      </w:pPr>
      <w:r>
        <w:rPr>
          <w:rFonts w:hint="eastAsia"/>
          <w:bCs/>
          <w:sz w:val="24"/>
        </w:rPr>
        <w:t>（1）除法律法规规定或《基金合同》另有约定外，基金份额持有人大会由基金管理人召集；</w:t>
      </w:r>
    </w:p>
    <w:p>
      <w:pPr>
        <w:adjustRightInd w:val="0"/>
        <w:snapToGrid w:val="0"/>
        <w:spacing w:line="360" w:lineRule="auto"/>
        <w:ind w:firstLine="480" w:firstLineChars="200"/>
        <w:rPr>
          <w:bCs/>
          <w:sz w:val="24"/>
        </w:rPr>
      </w:pPr>
      <w:r>
        <w:rPr>
          <w:rFonts w:hint="eastAsia"/>
          <w:bCs/>
          <w:sz w:val="24"/>
        </w:rPr>
        <w:t>（2）基金管理人未按规定召集或不能召集时，由基金托管人召集；</w:t>
      </w:r>
    </w:p>
    <w:p>
      <w:pPr>
        <w:adjustRightInd w:val="0"/>
        <w:snapToGrid w:val="0"/>
        <w:spacing w:line="360" w:lineRule="auto"/>
        <w:ind w:firstLine="480" w:firstLineChars="200"/>
        <w:rPr>
          <w:bCs/>
          <w:sz w:val="24"/>
        </w:rPr>
      </w:pPr>
      <w:r>
        <w:rPr>
          <w:rFonts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bCs/>
          <w:sz w:val="24"/>
        </w:rPr>
      </w:pPr>
      <w:r>
        <w:rPr>
          <w:rFonts w:hint="eastAsia"/>
          <w:bCs/>
          <w:sz w:val="24"/>
        </w:rPr>
        <w:t>（6）基金份额持有人会议的召集人负责选择确定开会时间、地点、方式和权益登记日。</w:t>
      </w:r>
    </w:p>
    <w:p>
      <w:pPr>
        <w:adjustRightInd w:val="0"/>
        <w:snapToGrid w:val="0"/>
        <w:spacing w:line="360" w:lineRule="auto"/>
        <w:ind w:firstLine="480" w:firstLineChars="200"/>
        <w:rPr>
          <w:bCs/>
          <w:sz w:val="24"/>
        </w:rPr>
      </w:pPr>
      <w:r>
        <w:rPr>
          <w:rFonts w:hint="eastAsia"/>
          <w:bCs/>
          <w:sz w:val="24"/>
        </w:rPr>
        <w:t>3、召开基金份额持有人大会的通知时间、通知内容、通知方式</w:t>
      </w:r>
    </w:p>
    <w:p>
      <w:pPr>
        <w:adjustRightInd w:val="0"/>
        <w:snapToGrid w:val="0"/>
        <w:spacing w:line="360" w:lineRule="auto"/>
        <w:ind w:firstLine="480" w:firstLineChars="200"/>
        <w:rPr>
          <w:bCs/>
          <w:sz w:val="24"/>
        </w:rPr>
      </w:pPr>
      <w:r>
        <w:rPr>
          <w:rFonts w:hint="eastAsia"/>
          <w:bCs/>
          <w:sz w:val="24"/>
        </w:rPr>
        <w:t>（1）召开基金份额持有人大会，召集人应于会议召开前30日，在规定媒介公告。基金份额持有人大会通知应至少载明以下内容：</w:t>
      </w:r>
    </w:p>
    <w:p>
      <w:pPr>
        <w:adjustRightInd w:val="0"/>
        <w:snapToGrid w:val="0"/>
        <w:spacing w:line="360" w:lineRule="auto"/>
        <w:ind w:firstLine="480" w:firstLineChars="200"/>
        <w:rPr>
          <w:bCs/>
          <w:sz w:val="24"/>
        </w:rPr>
      </w:pPr>
      <w:r>
        <w:rPr>
          <w:rFonts w:hint="eastAsia"/>
          <w:bCs/>
          <w:sz w:val="24"/>
        </w:rPr>
        <w:t>1）会议召开的时间、地点和会议形式；</w:t>
      </w:r>
    </w:p>
    <w:p>
      <w:pPr>
        <w:adjustRightInd w:val="0"/>
        <w:snapToGrid w:val="0"/>
        <w:spacing w:line="360" w:lineRule="auto"/>
        <w:ind w:firstLine="480" w:firstLineChars="200"/>
        <w:rPr>
          <w:bCs/>
          <w:sz w:val="24"/>
        </w:rPr>
      </w:pPr>
      <w:r>
        <w:rPr>
          <w:rFonts w:hint="eastAsia"/>
          <w:bCs/>
          <w:sz w:val="24"/>
        </w:rPr>
        <w:t>2）会议拟审议的事项、议事程序和表决方式；</w:t>
      </w:r>
    </w:p>
    <w:p>
      <w:pPr>
        <w:adjustRightInd w:val="0"/>
        <w:snapToGrid w:val="0"/>
        <w:spacing w:line="360" w:lineRule="auto"/>
        <w:ind w:firstLine="480" w:firstLineChars="200"/>
        <w:rPr>
          <w:bCs/>
          <w:sz w:val="24"/>
        </w:rPr>
      </w:pPr>
      <w:r>
        <w:rPr>
          <w:rFonts w:hint="eastAsia"/>
          <w:bCs/>
          <w:sz w:val="24"/>
        </w:rPr>
        <w:t>3）有权出席基金份额持有人大会的基金份额持有人的权益登记日；</w:t>
      </w:r>
    </w:p>
    <w:p>
      <w:pPr>
        <w:adjustRightInd w:val="0"/>
        <w:snapToGrid w:val="0"/>
        <w:spacing w:line="360" w:lineRule="auto"/>
        <w:ind w:firstLine="480" w:firstLineChars="200"/>
        <w:rPr>
          <w:bCs/>
          <w:sz w:val="24"/>
        </w:rPr>
      </w:pPr>
      <w:r>
        <w:rPr>
          <w:rFonts w:hint="eastAsia"/>
          <w:bCs/>
          <w:sz w:val="24"/>
        </w:rPr>
        <w:t>4）授权委托证明的内容要求（包括但不限于代理人身份，代理权限和代理有效期限等）、送达时间和地点；</w:t>
      </w:r>
    </w:p>
    <w:p>
      <w:pPr>
        <w:adjustRightInd w:val="0"/>
        <w:snapToGrid w:val="0"/>
        <w:spacing w:line="360" w:lineRule="auto"/>
        <w:ind w:firstLine="480" w:firstLineChars="200"/>
        <w:rPr>
          <w:bCs/>
          <w:sz w:val="24"/>
        </w:rPr>
      </w:pPr>
      <w:r>
        <w:rPr>
          <w:rFonts w:hint="eastAsia"/>
          <w:bCs/>
          <w:sz w:val="24"/>
        </w:rPr>
        <w:t>5）会务常设联系人姓名及联系电话；</w:t>
      </w:r>
    </w:p>
    <w:p>
      <w:pPr>
        <w:adjustRightInd w:val="0"/>
        <w:snapToGrid w:val="0"/>
        <w:spacing w:line="360" w:lineRule="auto"/>
        <w:ind w:firstLine="480" w:firstLineChars="200"/>
        <w:rPr>
          <w:bCs/>
          <w:sz w:val="24"/>
        </w:rPr>
      </w:pPr>
      <w:r>
        <w:rPr>
          <w:rFonts w:hint="eastAsia"/>
          <w:bCs/>
          <w:sz w:val="24"/>
        </w:rPr>
        <w:t>6）出席会议者必须准备的文件和必须履行的手续；</w:t>
      </w:r>
    </w:p>
    <w:p>
      <w:pPr>
        <w:adjustRightInd w:val="0"/>
        <w:snapToGrid w:val="0"/>
        <w:spacing w:line="360" w:lineRule="auto"/>
        <w:ind w:firstLine="480" w:firstLineChars="200"/>
        <w:rPr>
          <w:bCs/>
          <w:sz w:val="24"/>
        </w:rPr>
      </w:pPr>
      <w:r>
        <w:rPr>
          <w:rFonts w:hint="eastAsia"/>
          <w:bCs/>
          <w:sz w:val="24"/>
        </w:rPr>
        <w:t>7）召集人需要通知的其他事项。</w:t>
      </w:r>
    </w:p>
    <w:p>
      <w:pPr>
        <w:adjustRightInd w:val="0"/>
        <w:snapToGrid w:val="0"/>
        <w:spacing w:line="360" w:lineRule="auto"/>
        <w:ind w:firstLine="480" w:firstLineChars="200"/>
        <w:rPr>
          <w:bCs/>
          <w:sz w:val="24"/>
        </w:rPr>
      </w:pPr>
      <w:r>
        <w:rPr>
          <w:rFonts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bCs/>
          <w:sz w:val="24"/>
        </w:rPr>
      </w:pPr>
      <w:r>
        <w:rPr>
          <w:rFonts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rPr>
          <w:bCs/>
          <w:sz w:val="24"/>
        </w:rPr>
      </w:pPr>
      <w:r>
        <w:rPr>
          <w:rFonts w:hint="eastAsia"/>
          <w:bCs/>
          <w:sz w:val="24"/>
        </w:rPr>
        <w:t>4、基金份额持有人出席会议的方式</w:t>
      </w:r>
    </w:p>
    <w:p>
      <w:pPr>
        <w:adjustRightInd w:val="0"/>
        <w:snapToGrid w:val="0"/>
        <w:spacing w:line="360" w:lineRule="auto"/>
        <w:ind w:firstLine="480" w:firstLineChars="200"/>
        <w:rPr>
          <w:bCs/>
          <w:sz w:val="24"/>
        </w:rPr>
      </w:pPr>
      <w:r>
        <w:rPr>
          <w:rFonts w:hint="eastAsia"/>
          <w:bCs/>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bCs/>
          <w:sz w:val="24"/>
        </w:rPr>
      </w:pPr>
      <w:r>
        <w:rPr>
          <w:rFonts w:hint="eastAsia"/>
          <w:bCs/>
          <w:sz w:val="24"/>
        </w:rPr>
        <w:t>（2）通讯开会。通讯开会系指基金份额持有人将其对表决事项的投票以会议通知载明的形式或基金合同约定的其他方式在表决截止日以前送达至召集人指定的地址或系统。</w:t>
      </w:r>
    </w:p>
    <w:p>
      <w:pPr>
        <w:adjustRightInd w:val="0"/>
        <w:snapToGrid w:val="0"/>
        <w:spacing w:line="360" w:lineRule="auto"/>
        <w:ind w:firstLine="480" w:firstLineChars="200"/>
        <w:rPr>
          <w:bCs/>
          <w:sz w:val="24"/>
        </w:rPr>
      </w:pPr>
      <w:r>
        <w:rPr>
          <w:rFonts w:hint="eastAsia"/>
          <w:bCs/>
          <w:sz w:val="24"/>
        </w:rPr>
        <w:t>在同时符合以下条件时，通讯开会的方式视为有效：</w:t>
      </w:r>
    </w:p>
    <w:p>
      <w:pPr>
        <w:adjustRightInd w:val="0"/>
        <w:snapToGrid w:val="0"/>
        <w:spacing w:line="360" w:lineRule="auto"/>
        <w:ind w:firstLine="480" w:firstLineChars="200"/>
        <w:rPr>
          <w:bCs/>
          <w:sz w:val="24"/>
        </w:rPr>
      </w:pPr>
      <w:r>
        <w:rPr>
          <w:rFonts w:hint="eastAsia"/>
          <w:bCs/>
          <w:sz w:val="24"/>
        </w:rPr>
        <w:t>1）会议召集人按《基金合同》约定公布会议通知后，在2个工作日内连续公布相关提示性公告；</w:t>
      </w:r>
    </w:p>
    <w:p>
      <w:pPr>
        <w:adjustRightInd w:val="0"/>
        <w:snapToGrid w:val="0"/>
        <w:spacing w:line="360" w:lineRule="auto"/>
        <w:ind w:firstLine="480" w:firstLineChars="200"/>
        <w:rPr>
          <w:bCs/>
          <w:sz w:val="24"/>
        </w:rPr>
      </w:pPr>
      <w:r>
        <w:rPr>
          <w:rFonts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bCs/>
          <w:sz w:val="24"/>
        </w:rPr>
      </w:pPr>
      <w:r>
        <w:rPr>
          <w:rFonts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djustRightInd w:val="0"/>
        <w:snapToGrid w:val="0"/>
        <w:spacing w:line="360" w:lineRule="auto"/>
        <w:ind w:firstLine="480" w:firstLineChars="200"/>
        <w:rPr>
          <w:bCs/>
          <w:sz w:val="24"/>
        </w:rPr>
      </w:pPr>
      <w:r>
        <w:rPr>
          <w:rFonts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djustRightInd w:val="0"/>
        <w:snapToGrid w:val="0"/>
        <w:spacing w:line="360" w:lineRule="auto"/>
        <w:ind w:firstLine="480" w:firstLineChars="200"/>
        <w:rPr>
          <w:bCs/>
          <w:sz w:val="24"/>
        </w:rPr>
      </w:pPr>
      <w:r>
        <w:rPr>
          <w:rFonts w:hint="eastAsia"/>
          <w:bCs/>
          <w:sz w:val="24"/>
        </w:rPr>
        <w:t>5、议事内容与程序</w:t>
      </w:r>
    </w:p>
    <w:p>
      <w:pPr>
        <w:adjustRightInd w:val="0"/>
        <w:snapToGrid w:val="0"/>
        <w:spacing w:line="360" w:lineRule="auto"/>
        <w:ind w:firstLine="480" w:firstLineChars="200"/>
        <w:outlineLvl w:val="2"/>
        <w:rPr>
          <w:bCs/>
          <w:sz w:val="24"/>
        </w:rPr>
      </w:pPr>
      <w:r>
        <w:rPr>
          <w:rFonts w:hint="eastAsia"/>
          <w:bCs/>
          <w:sz w:val="24"/>
        </w:rPr>
        <w:t>（1）议事内容及提案权</w:t>
      </w:r>
    </w:p>
    <w:p>
      <w:pPr>
        <w:adjustRightInd w:val="0"/>
        <w:snapToGrid w:val="0"/>
        <w:spacing w:line="360" w:lineRule="auto"/>
        <w:ind w:firstLine="480" w:firstLineChars="20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djustRightInd w:val="0"/>
        <w:snapToGrid w:val="0"/>
        <w:spacing w:line="360" w:lineRule="auto"/>
        <w:ind w:firstLine="480" w:firstLineChars="200"/>
        <w:rPr>
          <w:bCs/>
          <w:sz w:val="24"/>
        </w:rPr>
      </w:pPr>
      <w:r>
        <w:rPr>
          <w:rFonts w:hint="eastAsia"/>
          <w:bCs/>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bCs/>
          <w:sz w:val="24"/>
        </w:rPr>
      </w:pPr>
      <w:r>
        <w:rPr>
          <w:rFonts w:hint="eastAsia"/>
          <w:bCs/>
          <w:sz w:val="24"/>
        </w:rPr>
        <w:t>基金份额持有人大会不得对未事先公告的议事内容进行表决。</w:t>
      </w:r>
    </w:p>
    <w:p>
      <w:pPr>
        <w:adjustRightInd w:val="0"/>
        <w:snapToGrid w:val="0"/>
        <w:spacing w:line="360" w:lineRule="auto"/>
        <w:ind w:firstLine="480" w:firstLineChars="200"/>
        <w:outlineLvl w:val="2"/>
        <w:rPr>
          <w:bCs/>
          <w:sz w:val="24"/>
        </w:rPr>
      </w:pPr>
      <w:r>
        <w:rPr>
          <w:rFonts w:hint="eastAsia"/>
          <w:bCs/>
          <w:sz w:val="24"/>
        </w:rPr>
        <w:t>（2）议事程序</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adjustRightInd w:val="0"/>
        <w:snapToGrid w:val="0"/>
        <w:spacing w:line="360" w:lineRule="auto"/>
        <w:ind w:firstLine="480" w:firstLineChars="200"/>
        <w:rPr>
          <w:bCs/>
          <w:sz w:val="24"/>
        </w:rPr>
      </w:pPr>
      <w:r>
        <w:rPr>
          <w:rFonts w:hint="eastAsia"/>
          <w:bCs/>
          <w:sz w:val="24"/>
        </w:rPr>
        <w:t>6、表决</w:t>
      </w:r>
    </w:p>
    <w:p>
      <w:pPr>
        <w:adjustRightInd w:val="0"/>
        <w:snapToGrid w:val="0"/>
        <w:spacing w:line="360" w:lineRule="auto"/>
        <w:ind w:firstLine="480" w:firstLineChars="200"/>
        <w:rPr>
          <w:bCs/>
          <w:sz w:val="24"/>
        </w:rPr>
      </w:pPr>
      <w:r>
        <w:rPr>
          <w:rFonts w:hint="eastAsia"/>
          <w:bCs/>
          <w:sz w:val="24"/>
        </w:rPr>
        <w:t>基金份额持有人所持每份基金份额有一票表决权。</w:t>
      </w:r>
    </w:p>
    <w:p>
      <w:pPr>
        <w:adjustRightInd w:val="0"/>
        <w:snapToGrid w:val="0"/>
        <w:spacing w:line="360" w:lineRule="auto"/>
        <w:ind w:firstLine="480" w:firstLineChars="200"/>
        <w:rPr>
          <w:bCs/>
          <w:sz w:val="24"/>
        </w:rPr>
      </w:pPr>
      <w:r>
        <w:rPr>
          <w:rFonts w:hint="eastAsia"/>
          <w:bCs/>
          <w:sz w:val="24"/>
        </w:rPr>
        <w:t>基金份额持有人大会决议分为一般决议和特别决议：</w:t>
      </w:r>
    </w:p>
    <w:p>
      <w:pPr>
        <w:adjustRightInd w:val="0"/>
        <w:snapToGrid w:val="0"/>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djustRightInd w:val="0"/>
        <w:snapToGrid w:val="0"/>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djustRightInd w:val="0"/>
        <w:snapToGrid w:val="0"/>
        <w:spacing w:line="360" w:lineRule="auto"/>
        <w:ind w:firstLine="480" w:firstLineChars="200"/>
        <w:rPr>
          <w:bCs/>
          <w:sz w:val="24"/>
        </w:rPr>
      </w:pPr>
      <w:r>
        <w:rPr>
          <w:rFonts w:hint="eastAsia"/>
          <w:bCs/>
          <w:sz w:val="24"/>
        </w:rPr>
        <w:t>基金份额持有人大会采取记名方式进行投票表决。</w:t>
      </w:r>
    </w:p>
    <w:p>
      <w:pPr>
        <w:adjustRightInd w:val="0"/>
        <w:snapToGrid w:val="0"/>
        <w:spacing w:line="360" w:lineRule="auto"/>
        <w:ind w:firstLine="480" w:firstLineChars="20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adjustRightInd w:val="0"/>
        <w:snapToGrid w:val="0"/>
        <w:spacing w:line="360" w:lineRule="auto"/>
        <w:ind w:firstLine="480" w:firstLineChars="200"/>
        <w:rPr>
          <w:bCs/>
          <w:sz w:val="24"/>
        </w:rPr>
      </w:pPr>
      <w:r>
        <w:rPr>
          <w:rFonts w:hint="eastAsia"/>
          <w:bCs/>
          <w:sz w:val="24"/>
        </w:rPr>
        <w:t>7、计票</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djustRightInd w:val="0"/>
        <w:snapToGrid w:val="0"/>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adjustRightInd w:val="0"/>
        <w:snapToGrid w:val="0"/>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rPr>
          <w:bCs/>
          <w:sz w:val="24"/>
        </w:rPr>
      </w:pPr>
      <w:r>
        <w:rPr>
          <w:rFonts w:hint="eastAsia"/>
          <w:bCs/>
          <w:sz w:val="24"/>
        </w:rPr>
        <w:t>8、生效与公告</w:t>
      </w:r>
    </w:p>
    <w:p>
      <w:pPr>
        <w:adjustRightInd w:val="0"/>
        <w:snapToGrid w:val="0"/>
        <w:spacing w:line="360" w:lineRule="auto"/>
        <w:ind w:firstLine="480" w:firstLineChars="200"/>
        <w:rPr>
          <w:bCs/>
          <w:sz w:val="24"/>
        </w:rPr>
      </w:pPr>
      <w:r>
        <w:rPr>
          <w:rFonts w:hint="eastAsia"/>
          <w:bCs/>
          <w:sz w:val="24"/>
        </w:rPr>
        <w:t>基金份额持有人大会的决议，召集人应当自通过之日起5日内报中国证监会备案。</w:t>
      </w:r>
    </w:p>
    <w:p>
      <w:pPr>
        <w:adjustRightInd w:val="0"/>
        <w:snapToGrid w:val="0"/>
        <w:spacing w:line="360" w:lineRule="auto"/>
        <w:ind w:firstLine="480" w:firstLineChars="200"/>
        <w:rPr>
          <w:bCs/>
          <w:sz w:val="24"/>
        </w:rPr>
      </w:pPr>
      <w:r>
        <w:rPr>
          <w:rFonts w:hint="eastAsia"/>
          <w:bCs/>
          <w:sz w:val="24"/>
        </w:rPr>
        <w:t>基金份额持有人大会的决议自表决通过之日起生效。法律法规另有规定的，从其规定。</w:t>
      </w:r>
    </w:p>
    <w:p>
      <w:pPr>
        <w:adjustRightInd w:val="0"/>
        <w:snapToGrid w:val="0"/>
        <w:spacing w:line="360" w:lineRule="auto"/>
        <w:ind w:firstLine="480" w:firstLineChars="20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adjustRightInd w:val="0"/>
        <w:snapToGrid w:val="0"/>
        <w:spacing w:line="360" w:lineRule="auto"/>
        <w:ind w:firstLine="480" w:firstLineChars="200"/>
        <w:rPr>
          <w:bCs/>
          <w:sz w:val="24"/>
        </w:rPr>
      </w:pPr>
      <w:r>
        <w:rPr>
          <w:rFonts w:hint="eastAsia"/>
          <w:bCs/>
          <w:sz w:val="24"/>
        </w:rPr>
        <w:t>9、实施侧袋机制期间基金份额持有人大会的特殊约定</w:t>
      </w:r>
    </w:p>
    <w:p>
      <w:pPr>
        <w:adjustRightInd w:val="0"/>
        <w:snapToGrid w:val="0"/>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djustRightInd w:val="0"/>
        <w:snapToGrid w:val="0"/>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pPr>
        <w:adjustRightInd w:val="0"/>
        <w:snapToGrid w:val="0"/>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adjustRightInd w:val="0"/>
        <w:snapToGrid w:val="0"/>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adjustRightInd w:val="0"/>
        <w:snapToGrid w:val="0"/>
        <w:spacing w:line="360" w:lineRule="auto"/>
        <w:ind w:firstLine="480" w:firstLineChars="200"/>
        <w:rPr>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djustRightInd w:val="0"/>
        <w:snapToGrid w:val="0"/>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5、现场开会由出席大会的基金份额持有人和代理人所持表决权的50%以上（含50%）选举产生一名基金份额持有人或代理人作为该次基金份额持有人大会的主持人；</w:t>
      </w:r>
    </w:p>
    <w:p>
      <w:pPr>
        <w:adjustRightInd w:val="0"/>
        <w:snapToGrid w:val="0"/>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pPr>
        <w:adjustRightInd w:val="0"/>
        <w:snapToGrid w:val="0"/>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pPr>
        <w:adjustRightInd w:val="0"/>
        <w:snapToGrid w:val="0"/>
        <w:spacing w:line="360" w:lineRule="auto"/>
        <w:ind w:firstLine="480" w:firstLineChars="200"/>
        <w:rPr>
          <w:bCs/>
          <w:sz w:val="24"/>
        </w:rPr>
      </w:pPr>
      <w:r>
        <w:rPr>
          <w:rFonts w:hint="eastAsia"/>
          <w:bCs/>
          <w:sz w:val="24"/>
        </w:rPr>
        <w:t>同一主侧袋账户内的每份基金份额具有平等的表决权。</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adjustRightInd w:val="0"/>
        <w:snapToGrid w:val="0"/>
        <w:spacing w:line="360" w:lineRule="auto"/>
        <w:ind w:firstLine="482"/>
        <w:outlineLvl w:val="1"/>
        <w:rPr>
          <w:b/>
          <w:bCs/>
          <w:sz w:val="24"/>
        </w:rPr>
      </w:pPr>
      <w:r>
        <w:rPr>
          <w:rFonts w:hint="eastAsia"/>
          <w:b/>
          <w:bCs/>
          <w:sz w:val="24"/>
        </w:rPr>
        <w:t>（三）基金合同解除和终止的事由、程序</w:t>
      </w:r>
    </w:p>
    <w:p>
      <w:pPr>
        <w:adjustRightInd w:val="0"/>
        <w:snapToGrid w:val="0"/>
        <w:spacing w:line="360" w:lineRule="auto"/>
        <w:ind w:firstLine="480" w:firstLineChars="200"/>
        <w:outlineLvl w:val="2"/>
        <w:rPr>
          <w:bCs/>
          <w:sz w:val="24"/>
        </w:rPr>
      </w:pPr>
      <w:r>
        <w:rPr>
          <w:bCs/>
          <w:sz w:val="24"/>
        </w:rPr>
        <w:t>1、《基金合同》的变更</w:t>
      </w:r>
    </w:p>
    <w:p>
      <w:pPr>
        <w:adjustRightInd w:val="0"/>
        <w:snapToGrid w:val="0"/>
        <w:spacing w:line="360" w:lineRule="auto"/>
        <w:ind w:firstLine="480" w:firstLineChars="200"/>
        <w:rPr>
          <w:bCs/>
          <w:sz w:val="24"/>
        </w:rPr>
      </w:pPr>
      <w:r>
        <w:rPr>
          <w:rFonts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bCs/>
          <w:sz w:val="24"/>
        </w:rPr>
      </w:pPr>
      <w:r>
        <w:rPr>
          <w:rFonts w:hint="eastAsia"/>
          <w:bCs/>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0" w:firstLineChars="200"/>
        <w:outlineLvl w:val="2"/>
        <w:rPr>
          <w:bCs/>
          <w:sz w:val="24"/>
        </w:rPr>
      </w:pPr>
      <w:r>
        <w:rPr>
          <w:bCs/>
          <w:sz w:val="24"/>
        </w:rPr>
        <w:t>2、《基金合同》的终止事由</w:t>
      </w:r>
    </w:p>
    <w:p>
      <w:pPr>
        <w:adjustRightInd w:val="0"/>
        <w:snapToGrid w:val="0"/>
        <w:spacing w:line="360" w:lineRule="auto"/>
        <w:ind w:firstLine="480" w:firstLineChars="200"/>
        <w:rPr>
          <w:bCs/>
          <w:sz w:val="24"/>
        </w:rPr>
      </w:pPr>
      <w:r>
        <w:rPr>
          <w:rFonts w:hint="eastAsia"/>
          <w:bCs/>
          <w:sz w:val="24"/>
        </w:rPr>
        <w:t>有下列情形之一的，经履行相关程序后，《基金合同》应当终止：</w:t>
      </w:r>
    </w:p>
    <w:p>
      <w:pPr>
        <w:adjustRightInd w:val="0"/>
        <w:snapToGrid w:val="0"/>
        <w:spacing w:line="360" w:lineRule="auto"/>
        <w:ind w:firstLine="480" w:firstLineChars="200"/>
        <w:rPr>
          <w:bCs/>
          <w:sz w:val="24"/>
        </w:rPr>
      </w:pPr>
      <w:r>
        <w:rPr>
          <w:rFonts w:hint="eastAsia"/>
          <w:bCs/>
          <w:sz w:val="24"/>
        </w:rPr>
        <w:t>（1）基金份额持有人大会决定终止的；</w:t>
      </w:r>
    </w:p>
    <w:p>
      <w:pPr>
        <w:adjustRightInd w:val="0"/>
        <w:snapToGrid w:val="0"/>
        <w:spacing w:line="360" w:lineRule="auto"/>
        <w:ind w:firstLine="480" w:firstLineChars="200"/>
        <w:rPr>
          <w:bCs/>
          <w:sz w:val="24"/>
        </w:rPr>
      </w:pPr>
      <w:r>
        <w:rPr>
          <w:rFonts w:hint="eastAsia"/>
          <w:bCs/>
          <w:sz w:val="24"/>
        </w:rPr>
        <w:t>（2）基金管理人、基金托管人职责终止，在6个月内没有新基金管理人、新基金托管人承接的；</w:t>
      </w:r>
    </w:p>
    <w:p>
      <w:pPr>
        <w:adjustRightInd w:val="0"/>
        <w:snapToGrid w:val="0"/>
        <w:spacing w:line="360" w:lineRule="auto"/>
        <w:ind w:firstLine="480" w:firstLineChars="200"/>
        <w:rPr>
          <w:bCs/>
          <w:sz w:val="24"/>
        </w:rPr>
      </w:pPr>
      <w:r>
        <w:rPr>
          <w:rFonts w:hint="eastAsia"/>
          <w:bCs/>
          <w:sz w:val="24"/>
        </w:rPr>
        <w:t>（3）连续50个工作日出现基金份额持有人数量不满200人或者基金资产净值低于5000万元情形的，基金合同终止，不需召开基金份额持有人大会；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bCs/>
          <w:sz w:val="24"/>
        </w:rPr>
      </w:pPr>
      <w:r>
        <w:rPr>
          <w:rFonts w:hint="eastAsia"/>
          <w:bCs/>
          <w:sz w:val="24"/>
        </w:rPr>
        <w:t>（4）《基金合同》约定的其他情形；</w:t>
      </w:r>
    </w:p>
    <w:p>
      <w:pPr>
        <w:adjustRightInd w:val="0"/>
        <w:snapToGrid w:val="0"/>
        <w:spacing w:line="360" w:lineRule="auto"/>
        <w:ind w:firstLine="480" w:firstLineChars="200"/>
        <w:rPr>
          <w:bCs/>
          <w:sz w:val="24"/>
        </w:rPr>
      </w:pPr>
      <w:r>
        <w:rPr>
          <w:rFonts w:hint="eastAsia"/>
          <w:bCs/>
          <w:sz w:val="24"/>
        </w:rPr>
        <w:t>（5）相关法律法规和中国证监会规定的其他情况。</w:t>
      </w:r>
    </w:p>
    <w:p>
      <w:pPr>
        <w:adjustRightInd w:val="0"/>
        <w:snapToGrid w:val="0"/>
        <w:spacing w:line="360" w:lineRule="auto"/>
        <w:ind w:firstLine="480" w:firstLineChars="200"/>
        <w:outlineLvl w:val="2"/>
        <w:rPr>
          <w:bCs/>
          <w:sz w:val="24"/>
        </w:rPr>
      </w:pPr>
      <w:r>
        <w:rPr>
          <w:rFonts w:hint="eastAsia"/>
          <w:bCs/>
          <w:sz w:val="24"/>
        </w:rPr>
        <w:t>3</w:t>
      </w:r>
      <w:r>
        <w:rPr>
          <w:bCs/>
          <w:sz w:val="24"/>
        </w:rPr>
        <w:t>、基金财产的清算</w:t>
      </w:r>
    </w:p>
    <w:p>
      <w:pPr>
        <w:adjustRightInd w:val="0"/>
        <w:snapToGrid w:val="0"/>
        <w:spacing w:line="360" w:lineRule="auto"/>
        <w:ind w:firstLine="480" w:firstLineChars="200"/>
        <w:rPr>
          <w:bCs/>
          <w:sz w:val="24"/>
        </w:rPr>
      </w:pPr>
      <w:r>
        <w:rPr>
          <w:rFonts w:hint="eastAsia"/>
          <w:bCs/>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bCs/>
          <w:sz w:val="24"/>
        </w:rPr>
      </w:pPr>
      <w:r>
        <w:rPr>
          <w:rFonts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bCs/>
          <w:sz w:val="24"/>
        </w:rPr>
      </w:pPr>
      <w:r>
        <w:rPr>
          <w:rFonts w:hint="eastAsia"/>
          <w:bCs/>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bCs/>
          <w:sz w:val="24"/>
        </w:rPr>
      </w:pPr>
      <w:r>
        <w:rPr>
          <w:rFonts w:hint="eastAsia"/>
          <w:bCs/>
          <w:sz w:val="24"/>
        </w:rPr>
        <w:t>（4）基金财产清算程序：</w:t>
      </w:r>
    </w:p>
    <w:p>
      <w:pPr>
        <w:adjustRightInd w:val="0"/>
        <w:snapToGrid w:val="0"/>
        <w:spacing w:line="360" w:lineRule="auto"/>
        <w:ind w:firstLine="480" w:firstLineChars="200"/>
        <w:rPr>
          <w:bCs/>
          <w:sz w:val="24"/>
        </w:rPr>
      </w:pPr>
      <w:r>
        <w:rPr>
          <w:rFonts w:hint="eastAsia"/>
          <w:bCs/>
          <w:sz w:val="24"/>
        </w:rPr>
        <w:t>1）《基金合同》终止情形出现时，由基金财产清算小组统一接管基金；</w:t>
      </w:r>
    </w:p>
    <w:p>
      <w:pPr>
        <w:adjustRightInd w:val="0"/>
        <w:snapToGrid w:val="0"/>
        <w:spacing w:line="360" w:lineRule="auto"/>
        <w:ind w:firstLine="480" w:firstLineChars="200"/>
        <w:rPr>
          <w:bCs/>
          <w:sz w:val="24"/>
        </w:rPr>
      </w:pPr>
      <w:r>
        <w:rPr>
          <w:rFonts w:hint="eastAsia"/>
          <w:bCs/>
          <w:sz w:val="24"/>
        </w:rPr>
        <w:t>2）对基金财产和债权债务进行清理和确认；</w:t>
      </w:r>
    </w:p>
    <w:p>
      <w:pPr>
        <w:adjustRightInd w:val="0"/>
        <w:snapToGrid w:val="0"/>
        <w:spacing w:line="360" w:lineRule="auto"/>
        <w:ind w:firstLine="480" w:firstLineChars="200"/>
        <w:rPr>
          <w:bCs/>
          <w:sz w:val="24"/>
        </w:rPr>
      </w:pPr>
      <w:r>
        <w:rPr>
          <w:rFonts w:hint="eastAsia"/>
          <w:bCs/>
          <w:sz w:val="24"/>
        </w:rPr>
        <w:t>3）对基金财产进行估值和变现；</w:t>
      </w:r>
    </w:p>
    <w:p>
      <w:pPr>
        <w:adjustRightInd w:val="0"/>
        <w:snapToGrid w:val="0"/>
        <w:spacing w:line="360" w:lineRule="auto"/>
        <w:ind w:firstLine="480" w:firstLineChars="200"/>
        <w:rPr>
          <w:bCs/>
          <w:sz w:val="24"/>
        </w:rPr>
      </w:pPr>
      <w:r>
        <w:rPr>
          <w:rFonts w:hint="eastAsia"/>
          <w:bCs/>
          <w:sz w:val="24"/>
        </w:rPr>
        <w:t>4）制作清算报告；</w:t>
      </w:r>
    </w:p>
    <w:p>
      <w:pPr>
        <w:adjustRightInd w:val="0"/>
        <w:snapToGrid w:val="0"/>
        <w:spacing w:line="360" w:lineRule="auto"/>
        <w:ind w:firstLine="480" w:firstLineChars="200"/>
        <w:rPr>
          <w:bCs/>
          <w:sz w:val="24"/>
        </w:rPr>
      </w:pPr>
      <w:r>
        <w:rPr>
          <w:rFonts w:hint="eastAsia"/>
          <w:bCs/>
          <w:sz w:val="24"/>
        </w:rPr>
        <w:t>5）聘请会计师事务所对清算报告进行外部审计，聘请律师事务所对清算报告出具法律意见书；</w:t>
      </w:r>
    </w:p>
    <w:p>
      <w:pPr>
        <w:adjustRightInd w:val="0"/>
        <w:snapToGrid w:val="0"/>
        <w:spacing w:line="360" w:lineRule="auto"/>
        <w:ind w:firstLine="480" w:firstLineChars="200"/>
        <w:rPr>
          <w:bCs/>
          <w:sz w:val="24"/>
        </w:rPr>
      </w:pPr>
      <w:r>
        <w:rPr>
          <w:rFonts w:hint="eastAsia"/>
          <w:bCs/>
          <w:sz w:val="24"/>
        </w:rPr>
        <w:t>6）将清算报告报中国证监会备案并公告；</w:t>
      </w:r>
    </w:p>
    <w:p>
      <w:pPr>
        <w:adjustRightInd w:val="0"/>
        <w:snapToGrid w:val="0"/>
        <w:spacing w:line="360" w:lineRule="auto"/>
        <w:ind w:firstLine="480" w:firstLineChars="200"/>
        <w:rPr>
          <w:bCs/>
          <w:sz w:val="24"/>
        </w:rPr>
      </w:pPr>
      <w:r>
        <w:rPr>
          <w:rFonts w:hint="eastAsia"/>
          <w:bCs/>
          <w:sz w:val="24"/>
        </w:rPr>
        <w:t>7）对基金剩余财产进行分配。</w:t>
      </w:r>
    </w:p>
    <w:p>
      <w:pPr>
        <w:adjustRightInd w:val="0"/>
        <w:snapToGrid w:val="0"/>
        <w:spacing w:line="360" w:lineRule="auto"/>
        <w:ind w:firstLine="480" w:firstLineChars="200"/>
        <w:rPr>
          <w:bCs/>
          <w:sz w:val="24"/>
        </w:rPr>
      </w:pPr>
      <w:r>
        <w:rPr>
          <w:rFonts w:hint="eastAsia"/>
          <w:bCs/>
          <w:sz w:val="24"/>
        </w:rPr>
        <w:t>（5）基金财产清算的期限为6个月，但因本基金所持证券的流动性受到限制而不能及时变现的，清算期限相应顺延。</w:t>
      </w:r>
    </w:p>
    <w:p>
      <w:pPr>
        <w:adjustRightInd w:val="0"/>
        <w:snapToGrid w:val="0"/>
        <w:spacing w:line="360" w:lineRule="auto"/>
        <w:ind w:firstLine="480" w:firstLineChars="200"/>
        <w:outlineLvl w:val="2"/>
        <w:rPr>
          <w:bCs/>
          <w:sz w:val="24"/>
        </w:rPr>
      </w:pPr>
      <w:r>
        <w:rPr>
          <w:rFonts w:hint="eastAsia"/>
          <w:bCs/>
          <w:sz w:val="24"/>
        </w:rPr>
        <w:t>4</w:t>
      </w:r>
      <w:r>
        <w:rPr>
          <w:bCs/>
          <w:sz w:val="24"/>
        </w:rPr>
        <w:t>、清算费用</w:t>
      </w:r>
    </w:p>
    <w:p>
      <w:pPr>
        <w:adjustRightInd w:val="0"/>
        <w:snapToGrid w:val="0"/>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0" w:firstLineChars="200"/>
        <w:outlineLvl w:val="2"/>
        <w:rPr>
          <w:bCs/>
          <w:sz w:val="24"/>
        </w:rPr>
      </w:pPr>
      <w:r>
        <w:rPr>
          <w:rFonts w:hint="eastAsia"/>
          <w:bCs/>
          <w:sz w:val="24"/>
        </w:rPr>
        <w:t>5</w:t>
      </w:r>
      <w:r>
        <w:rPr>
          <w:bCs/>
          <w:sz w:val="24"/>
        </w:rPr>
        <w:t>、基金财产清算剩余资产的分配</w:t>
      </w:r>
    </w:p>
    <w:p>
      <w:pPr>
        <w:adjustRightInd w:val="0"/>
        <w:snapToGrid w:val="0"/>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pPr>
        <w:adjustRightInd w:val="0"/>
        <w:snapToGrid w:val="0"/>
        <w:spacing w:line="360" w:lineRule="auto"/>
        <w:ind w:firstLine="480" w:firstLineChars="200"/>
        <w:outlineLvl w:val="2"/>
        <w:rPr>
          <w:bCs/>
          <w:sz w:val="24"/>
        </w:rPr>
      </w:pPr>
      <w:r>
        <w:rPr>
          <w:rFonts w:hint="eastAsia"/>
          <w:bCs/>
          <w:sz w:val="24"/>
        </w:rPr>
        <w:t>6</w:t>
      </w:r>
      <w:r>
        <w:rPr>
          <w:bCs/>
          <w:sz w:val="24"/>
        </w:rPr>
        <w:t>、基金财产清算的公告</w:t>
      </w:r>
    </w:p>
    <w:p>
      <w:pPr>
        <w:adjustRightInd w:val="0"/>
        <w:snapToGrid w:val="0"/>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adjustRightInd w:val="0"/>
        <w:snapToGrid w:val="0"/>
        <w:spacing w:line="360" w:lineRule="auto"/>
        <w:ind w:firstLine="480" w:firstLineChars="200"/>
        <w:outlineLvl w:val="2"/>
        <w:rPr>
          <w:bCs/>
          <w:sz w:val="24"/>
        </w:rPr>
      </w:pPr>
      <w:r>
        <w:rPr>
          <w:rFonts w:hint="eastAsia"/>
          <w:bCs/>
          <w:sz w:val="24"/>
        </w:rPr>
        <w:t>7</w:t>
      </w:r>
      <w:r>
        <w:rPr>
          <w:bCs/>
          <w:sz w:val="24"/>
        </w:rPr>
        <w:t>、基金财产清算账册及文件的保存</w:t>
      </w:r>
    </w:p>
    <w:p>
      <w:pPr>
        <w:widowControl/>
        <w:adjustRightInd w:val="0"/>
        <w:snapToGrid w:val="0"/>
        <w:spacing w:line="360" w:lineRule="auto"/>
        <w:ind w:firstLine="480" w:firstLineChars="200"/>
        <w:rPr>
          <w:bCs/>
          <w:sz w:val="24"/>
        </w:rPr>
      </w:pPr>
      <w:r>
        <w:rPr>
          <w:rFonts w:hint="eastAsia"/>
          <w:bCs/>
          <w:sz w:val="24"/>
        </w:rPr>
        <w:t>基金财产清算账册及有关文件由基金托管人保存不低于法律法规规定的最低期限。</w:t>
      </w:r>
    </w:p>
    <w:p>
      <w:pPr>
        <w:adjustRightInd w:val="0"/>
        <w:snapToGrid w:val="0"/>
        <w:spacing w:line="360" w:lineRule="auto"/>
        <w:ind w:firstLine="482"/>
        <w:outlineLvl w:val="1"/>
        <w:rPr>
          <w:b/>
          <w:bCs/>
          <w:sz w:val="24"/>
        </w:rPr>
      </w:pPr>
      <w:r>
        <w:rPr>
          <w:b/>
          <w:bCs/>
          <w:sz w:val="24"/>
        </w:rPr>
        <w:t>（四）争议</w:t>
      </w:r>
      <w:r>
        <w:rPr>
          <w:rFonts w:hint="eastAsia"/>
          <w:b/>
          <w:bCs/>
          <w:sz w:val="24"/>
        </w:rPr>
        <w:t>解决方式</w:t>
      </w:r>
    </w:p>
    <w:p>
      <w:pPr>
        <w:adjustRightInd w:val="0"/>
        <w:snapToGrid w:val="0"/>
        <w:spacing w:line="360" w:lineRule="auto"/>
        <w:ind w:firstLine="480" w:firstLineChars="200"/>
        <w:rPr>
          <w:bCs/>
          <w:sz w:val="24"/>
        </w:rPr>
      </w:pPr>
      <w:r>
        <w:rPr>
          <w:rFonts w:hint="eastAsia"/>
          <w:bCs/>
          <w:sz w:val="24"/>
        </w:rPr>
        <w:t>各方当事人同意，因《基金合同》而产生的或与《基金合同》有关的一切争议，如经友好协商未能解决的，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由败诉方承担。</w:t>
      </w:r>
    </w:p>
    <w:p>
      <w:pPr>
        <w:adjustRightInd w:val="0"/>
        <w:snapToGrid w:val="0"/>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adjustRightInd w:val="0"/>
        <w:snapToGrid w:val="0"/>
        <w:spacing w:line="360" w:lineRule="auto"/>
        <w:ind w:firstLine="480" w:firstLineChars="200"/>
        <w:rPr>
          <w:bCs/>
          <w:sz w:val="24"/>
        </w:rPr>
      </w:pPr>
      <w:r>
        <w:rPr>
          <w:rFonts w:hint="eastAsia"/>
          <w:bCs/>
          <w:sz w:val="24"/>
        </w:rPr>
        <w:t>《基金合同》受中国法律（不含港澳台地区法律）管辖。</w:t>
      </w:r>
    </w:p>
    <w:p>
      <w:pPr>
        <w:adjustRightInd w:val="0"/>
        <w:snapToGrid w:val="0"/>
        <w:spacing w:line="360" w:lineRule="auto"/>
        <w:ind w:firstLine="482"/>
        <w:outlineLvl w:val="1"/>
        <w:rPr>
          <w:b/>
          <w:bCs/>
          <w:sz w:val="24"/>
        </w:rPr>
      </w:pPr>
      <w:bookmarkStart w:id="98" w:name="_Toc523711688"/>
      <w:r>
        <w:rPr>
          <w:b/>
          <w:bCs/>
          <w:sz w:val="24"/>
        </w:rPr>
        <w:t>（五）基金合同存放地和投资者取得基金合同的方式</w:t>
      </w:r>
    </w:p>
    <w:bookmarkEnd w:id="98"/>
    <w:p>
      <w:pPr>
        <w:adjustRightInd w:val="0"/>
        <w:snapToGrid w:val="0"/>
        <w:spacing w:line="360" w:lineRule="auto"/>
        <w:ind w:firstLine="480" w:firstLineChars="200"/>
        <w:rPr>
          <w:bCs/>
          <w:sz w:val="24"/>
        </w:rPr>
      </w:pPr>
      <w:r>
        <w:rPr>
          <w:rFonts w:hint="eastAsia"/>
          <w:bCs/>
          <w:sz w:val="24"/>
        </w:rPr>
        <w:t>《基金合同》正本</w:t>
      </w:r>
      <w:r>
        <w:rPr>
          <w:bCs/>
          <w:sz w:val="24"/>
        </w:rPr>
        <w:t>一式</w:t>
      </w:r>
      <w:r>
        <w:rPr>
          <w:rFonts w:hint="eastAsia"/>
          <w:bCs/>
          <w:sz w:val="24"/>
        </w:rPr>
        <w:t>六</w:t>
      </w:r>
      <w:r>
        <w:rPr>
          <w:bCs/>
          <w:sz w:val="24"/>
        </w:rPr>
        <w:t>份</w:t>
      </w:r>
      <w:r>
        <w:rPr>
          <w:rFonts w:hint="eastAsia"/>
          <w:bCs/>
          <w:sz w:val="24"/>
        </w:rPr>
        <w:t>，除上报有关监管机构</w:t>
      </w:r>
      <w:r>
        <w:rPr>
          <w:bCs/>
          <w:sz w:val="24"/>
        </w:rPr>
        <w:t>一式</w:t>
      </w:r>
      <w:r>
        <w:rPr>
          <w:rFonts w:hint="eastAsia"/>
          <w:bCs/>
          <w:sz w:val="24"/>
        </w:rPr>
        <w:t>二</w:t>
      </w:r>
      <w:r>
        <w:rPr>
          <w:bCs/>
          <w:sz w:val="24"/>
        </w:rPr>
        <w:t>份</w:t>
      </w:r>
      <w:r>
        <w:rPr>
          <w:rFonts w:hint="eastAsia"/>
          <w:bCs/>
          <w:sz w:val="24"/>
        </w:rPr>
        <w:t>外，基金管理人、基金托管人各持有二份，每份具有同等的法律效力。</w:t>
      </w:r>
    </w:p>
    <w:p>
      <w:pPr>
        <w:adjustRightInd w:val="0"/>
        <w:snapToGrid w:val="0"/>
        <w:spacing w:line="360" w:lineRule="auto"/>
        <w:ind w:firstLine="480" w:firstLineChars="200"/>
        <w:rPr>
          <w:rFonts w:ascii="宋体" w:hAnsi="宋体"/>
          <w:sz w:val="24"/>
        </w:rPr>
      </w:pPr>
      <w:r>
        <w:rPr>
          <w:rFonts w:hint="eastAsia"/>
          <w:bCs/>
          <w:sz w:val="24"/>
        </w:rPr>
        <w:t>《基金合同》可印制成册，供投资者在基金管理人、基金托管人、销售机构的办公场所和营业场所查阅，但应以《基金合同》正本为准。</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9" w:name="_Toc48122021"/>
      <w:r>
        <w:rPr>
          <w:rFonts w:hint="eastAsia" w:ascii="宋体" w:hAnsi="宋体"/>
          <w:b/>
          <w:kern w:val="0"/>
          <w:sz w:val="30"/>
        </w:rPr>
        <w:t>二十、托管协议的内容摘要</w:t>
      </w:r>
      <w:bookmarkEnd w:id="99"/>
    </w:p>
    <w:p>
      <w:pPr>
        <w:adjustRightInd w:val="0"/>
        <w:snapToGrid w:val="0"/>
        <w:spacing w:line="360" w:lineRule="auto"/>
        <w:ind w:firstLine="482"/>
        <w:outlineLvl w:val="1"/>
        <w:rPr>
          <w:b/>
          <w:bCs/>
          <w:sz w:val="24"/>
        </w:rPr>
      </w:pPr>
      <w:r>
        <w:rPr>
          <w:rFonts w:hint="eastAsia"/>
          <w:b/>
          <w:bCs/>
          <w:sz w:val="24"/>
        </w:rPr>
        <w:t>（一）托管协议当事人</w:t>
      </w:r>
    </w:p>
    <w:p>
      <w:pPr>
        <w:widowControl/>
        <w:adjustRightInd w:val="0"/>
        <w:snapToGrid w:val="0"/>
        <w:spacing w:line="360" w:lineRule="auto"/>
        <w:ind w:firstLine="480" w:firstLineChars="200"/>
        <w:outlineLvl w:val="2"/>
        <w:rPr>
          <w:bCs/>
          <w:sz w:val="24"/>
        </w:rPr>
      </w:pPr>
      <w:r>
        <w:rPr>
          <w:rFonts w:hint="eastAsia"/>
          <w:bCs/>
          <w:sz w:val="24"/>
        </w:rPr>
        <w:t>1、基金管理人：交银施罗德基金管理有限公司</w:t>
      </w:r>
    </w:p>
    <w:p>
      <w:pPr>
        <w:widowControl/>
        <w:adjustRightInd w:val="0"/>
        <w:snapToGrid w:val="0"/>
        <w:spacing w:line="360" w:lineRule="auto"/>
        <w:ind w:firstLine="480" w:firstLineChars="200"/>
        <w:rPr>
          <w:bCs/>
          <w:sz w:val="24"/>
        </w:rPr>
      </w:pPr>
      <w:r>
        <w:rPr>
          <w:rFonts w:hint="eastAsia"/>
          <w:bCs/>
          <w:sz w:val="24"/>
        </w:rPr>
        <w:t>住所：中国（上海）自由贸易试验区银城中路188号交通银行大楼二层（裙）</w:t>
      </w:r>
    </w:p>
    <w:p>
      <w:pPr>
        <w:widowControl/>
        <w:adjustRightInd w:val="0"/>
        <w:snapToGrid w:val="0"/>
        <w:spacing w:line="360" w:lineRule="auto"/>
        <w:ind w:firstLine="480" w:firstLineChars="200"/>
        <w:rPr>
          <w:bCs/>
          <w:sz w:val="24"/>
        </w:rPr>
      </w:pPr>
      <w:r>
        <w:rPr>
          <w:rFonts w:hint="eastAsia"/>
          <w:bCs/>
          <w:sz w:val="24"/>
        </w:rPr>
        <w:t>法定代表人：阮红</w:t>
      </w:r>
    </w:p>
    <w:p>
      <w:pPr>
        <w:widowControl/>
        <w:adjustRightInd w:val="0"/>
        <w:snapToGrid w:val="0"/>
        <w:spacing w:line="360" w:lineRule="auto"/>
        <w:ind w:firstLine="480" w:firstLineChars="200"/>
        <w:rPr>
          <w:bCs/>
          <w:sz w:val="24"/>
        </w:rPr>
      </w:pPr>
      <w:r>
        <w:rPr>
          <w:rFonts w:hint="eastAsia"/>
          <w:bCs/>
          <w:sz w:val="24"/>
        </w:rPr>
        <w:t>成立时间：2005年8月4日</w:t>
      </w:r>
    </w:p>
    <w:p>
      <w:pPr>
        <w:widowControl/>
        <w:adjustRightInd w:val="0"/>
        <w:snapToGrid w:val="0"/>
        <w:spacing w:line="360" w:lineRule="auto"/>
        <w:ind w:firstLine="480" w:firstLineChars="200"/>
        <w:rPr>
          <w:bCs/>
          <w:sz w:val="24"/>
        </w:rPr>
      </w:pPr>
      <w:r>
        <w:rPr>
          <w:rFonts w:hint="eastAsia"/>
          <w:bCs/>
          <w:sz w:val="24"/>
        </w:rPr>
        <w:t>批准设立机关及批准设立文号：中国证监会证监基金字[2005]128号</w:t>
      </w:r>
    </w:p>
    <w:p>
      <w:pPr>
        <w:widowControl/>
        <w:adjustRightInd w:val="0"/>
        <w:snapToGrid w:val="0"/>
        <w:spacing w:line="360" w:lineRule="auto"/>
        <w:ind w:firstLine="480" w:firstLineChars="200"/>
        <w:rPr>
          <w:bCs/>
          <w:sz w:val="24"/>
        </w:rPr>
      </w:pPr>
      <w:r>
        <w:rPr>
          <w:rFonts w:hint="eastAsia"/>
          <w:bCs/>
          <w:sz w:val="24"/>
        </w:rPr>
        <w:t>注册资本：2亿元人民币</w:t>
      </w:r>
    </w:p>
    <w:p>
      <w:pPr>
        <w:widowControl/>
        <w:adjustRightInd w:val="0"/>
        <w:snapToGrid w:val="0"/>
        <w:spacing w:line="360" w:lineRule="auto"/>
        <w:ind w:firstLine="480" w:firstLineChars="200"/>
        <w:rPr>
          <w:bCs/>
          <w:sz w:val="24"/>
        </w:rPr>
      </w:pPr>
      <w:r>
        <w:rPr>
          <w:rFonts w:hint="eastAsia"/>
          <w:bCs/>
          <w:sz w:val="24"/>
        </w:rPr>
        <w:t>组织形式: 有限责任公司</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0" w:firstLineChars="200"/>
        <w:rPr>
          <w:bCs/>
          <w:sz w:val="24"/>
        </w:rPr>
      </w:pPr>
      <w:r>
        <w:rPr>
          <w:rFonts w:hint="eastAsia"/>
          <w:bCs/>
          <w:sz w:val="24"/>
        </w:rPr>
        <w:t>电话：（021）61055050</w:t>
      </w:r>
    </w:p>
    <w:p>
      <w:pPr>
        <w:widowControl/>
        <w:adjustRightInd w:val="0"/>
        <w:snapToGrid w:val="0"/>
        <w:spacing w:line="360" w:lineRule="auto"/>
        <w:ind w:firstLine="480" w:firstLineChars="200"/>
        <w:outlineLvl w:val="2"/>
        <w:rPr>
          <w:bCs/>
          <w:sz w:val="24"/>
        </w:rPr>
      </w:pPr>
      <w:r>
        <w:rPr>
          <w:rFonts w:hint="eastAsia"/>
          <w:bCs/>
          <w:sz w:val="24"/>
        </w:rPr>
        <w:t>2、基金托管人：上海浦东发展银行股份有限公司</w:t>
      </w:r>
    </w:p>
    <w:p>
      <w:pPr>
        <w:widowControl/>
        <w:adjustRightInd w:val="0"/>
        <w:snapToGrid w:val="0"/>
        <w:spacing w:line="360" w:lineRule="auto"/>
        <w:ind w:firstLine="480" w:firstLineChars="200"/>
        <w:rPr>
          <w:bCs/>
          <w:sz w:val="24"/>
        </w:rPr>
      </w:pPr>
      <w:r>
        <w:rPr>
          <w:rFonts w:hint="eastAsia"/>
          <w:bCs/>
          <w:sz w:val="24"/>
        </w:rPr>
        <w:t>办公地址：上海市中山东一路12号</w:t>
      </w:r>
    </w:p>
    <w:p>
      <w:pPr>
        <w:widowControl/>
        <w:adjustRightInd w:val="0"/>
        <w:snapToGrid w:val="0"/>
        <w:spacing w:line="360" w:lineRule="auto"/>
        <w:ind w:firstLine="480" w:firstLineChars="200"/>
        <w:rPr>
          <w:bCs/>
          <w:sz w:val="24"/>
        </w:rPr>
      </w:pPr>
      <w:r>
        <w:rPr>
          <w:rFonts w:hint="eastAsia"/>
          <w:bCs/>
          <w:sz w:val="24"/>
        </w:rPr>
        <w:t>法定代表人：郑杨</w:t>
      </w:r>
    </w:p>
    <w:p>
      <w:pPr>
        <w:widowControl/>
        <w:adjustRightInd w:val="0"/>
        <w:snapToGrid w:val="0"/>
        <w:spacing w:line="360" w:lineRule="auto"/>
        <w:ind w:firstLine="480" w:firstLineChars="200"/>
        <w:rPr>
          <w:bCs/>
          <w:sz w:val="24"/>
        </w:rPr>
      </w:pPr>
      <w:r>
        <w:rPr>
          <w:rFonts w:hint="eastAsia"/>
          <w:bCs/>
          <w:sz w:val="24"/>
        </w:rPr>
        <w:t>成立日期：1992年10月19日</w:t>
      </w:r>
    </w:p>
    <w:p>
      <w:pPr>
        <w:widowControl/>
        <w:adjustRightInd w:val="0"/>
        <w:snapToGrid w:val="0"/>
        <w:spacing w:line="360" w:lineRule="auto"/>
        <w:ind w:firstLine="480" w:firstLineChars="200"/>
        <w:rPr>
          <w:bCs/>
          <w:sz w:val="24"/>
        </w:rPr>
      </w:pPr>
      <w:r>
        <w:rPr>
          <w:rFonts w:hint="eastAsia"/>
          <w:bCs/>
          <w:sz w:val="24"/>
        </w:rPr>
        <w:t>基金托管业务资格批准机关：中国证监会</w:t>
      </w:r>
    </w:p>
    <w:p>
      <w:pPr>
        <w:widowControl/>
        <w:adjustRightInd w:val="0"/>
        <w:snapToGrid w:val="0"/>
        <w:spacing w:line="360" w:lineRule="auto"/>
        <w:ind w:firstLine="480" w:firstLineChars="200"/>
        <w:rPr>
          <w:bCs/>
          <w:sz w:val="24"/>
        </w:rPr>
      </w:pPr>
      <w:r>
        <w:rPr>
          <w:rFonts w:hint="eastAsia"/>
          <w:bCs/>
          <w:sz w:val="24"/>
        </w:rPr>
        <w:t>基金托管业务资格文号：证监基金字[2003]105号</w:t>
      </w:r>
    </w:p>
    <w:p>
      <w:pPr>
        <w:widowControl/>
        <w:adjustRightInd w:val="0"/>
        <w:snapToGrid w:val="0"/>
        <w:spacing w:line="360" w:lineRule="auto"/>
        <w:ind w:firstLine="480" w:firstLineChars="200"/>
        <w:rPr>
          <w:bCs/>
          <w:sz w:val="24"/>
        </w:rPr>
      </w:pPr>
      <w:r>
        <w:rPr>
          <w:rFonts w:hint="eastAsia"/>
          <w:bCs/>
          <w:sz w:val="24"/>
        </w:rPr>
        <w:t>组织形式：股份有限公司（上市）</w:t>
      </w:r>
    </w:p>
    <w:p>
      <w:pPr>
        <w:widowControl/>
        <w:adjustRightInd w:val="0"/>
        <w:snapToGrid w:val="0"/>
        <w:spacing w:line="360" w:lineRule="auto"/>
        <w:ind w:firstLine="480" w:firstLineChars="200"/>
        <w:rPr>
          <w:bCs/>
          <w:sz w:val="24"/>
        </w:rPr>
      </w:pPr>
      <w:r>
        <w:rPr>
          <w:rFonts w:hint="eastAsia"/>
          <w:bCs/>
          <w:sz w:val="24"/>
        </w:rPr>
        <w:t>注册资本：人民币293.52亿元</w:t>
      </w:r>
    </w:p>
    <w:p>
      <w:pPr>
        <w:widowControl/>
        <w:adjustRightInd w:val="0"/>
        <w:snapToGrid w:val="0"/>
        <w:spacing w:line="360" w:lineRule="auto"/>
        <w:ind w:firstLine="480" w:firstLineChars="200"/>
        <w:rPr>
          <w:bCs/>
          <w:sz w:val="24"/>
        </w:rPr>
      </w:pPr>
      <w:r>
        <w:rPr>
          <w:rFonts w:hint="eastAsia"/>
          <w:bCs/>
          <w:sz w:val="24"/>
        </w:rPr>
        <w:t>经营期限：永久存续</w:t>
      </w:r>
    </w:p>
    <w:p>
      <w:pPr>
        <w:adjustRightInd w:val="0"/>
        <w:snapToGrid w:val="0"/>
        <w:spacing w:line="360" w:lineRule="auto"/>
        <w:ind w:firstLine="482"/>
        <w:outlineLvl w:val="1"/>
        <w:rPr>
          <w:b/>
          <w:bCs/>
          <w:sz w:val="24"/>
        </w:rPr>
      </w:pPr>
      <w:r>
        <w:rPr>
          <w:rFonts w:hint="eastAsia"/>
          <w:b/>
          <w:bCs/>
          <w:sz w:val="24"/>
        </w:rPr>
        <w:t>（二）基金托管人对基金管理人的业务监督和核查</w:t>
      </w:r>
    </w:p>
    <w:p>
      <w:pPr>
        <w:adjustRightInd w:val="0"/>
        <w:snapToGrid w:val="0"/>
        <w:spacing w:line="360" w:lineRule="auto"/>
        <w:ind w:firstLine="482"/>
        <w:rPr>
          <w:rFonts w:ascii="宋体" w:hAnsi="宋体"/>
          <w:sz w:val="24"/>
          <w:szCs w:val="24"/>
        </w:rPr>
      </w:pPr>
      <w:r>
        <w:rPr>
          <w:rFonts w:hint="eastAsia" w:ascii="宋体" w:hAnsi="宋体"/>
          <w:sz w:val="24"/>
          <w:szCs w:val="24"/>
        </w:rPr>
        <w:t>1、基金托管人根据有关法律法规的规定和《基金合同》的约定，对下述基金投资范围、投资对象进行监督。</w:t>
      </w:r>
    </w:p>
    <w:p>
      <w:pPr>
        <w:adjustRightInd w:val="0"/>
        <w:snapToGrid w:val="0"/>
        <w:spacing w:line="360" w:lineRule="auto"/>
        <w:ind w:firstLine="482"/>
        <w:rPr>
          <w:rFonts w:ascii="宋体" w:hAnsi="宋体"/>
          <w:sz w:val="24"/>
          <w:szCs w:val="24"/>
        </w:rPr>
      </w:pPr>
      <w:bookmarkStart w:id="100" w:name="_Hlk50019036"/>
      <w:r>
        <w:rPr>
          <w:rFonts w:hint="eastAsia" w:ascii="宋体" w:hAnsi="宋体"/>
          <w:sz w:val="24"/>
          <w:szCs w:val="24"/>
        </w:rPr>
        <w:t>本基金将投资于以下金融工具：</w:t>
      </w:r>
    </w:p>
    <w:p>
      <w:pPr>
        <w:adjustRightInd w:val="0"/>
        <w:snapToGrid w:val="0"/>
        <w:spacing w:line="360" w:lineRule="auto"/>
        <w:ind w:firstLine="482"/>
        <w:rPr>
          <w:rFonts w:ascii="宋体" w:hAnsi="宋体"/>
          <w:sz w:val="24"/>
          <w:szCs w:val="24"/>
        </w:rPr>
      </w:pPr>
      <w:r>
        <w:rPr>
          <w:rFonts w:hint="eastAsia" w:ascii="宋体" w:hAnsi="宋体"/>
          <w:sz w:val="24"/>
          <w:szCs w:val="24"/>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sz w:val="24"/>
          <w:szCs w:val="24"/>
        </w:rPr>
      </w:pPr>
      <w:r>
        <w:rPr>
          <w:rFonts w:hint="eastAsia" w:ascii="宋体" w:hAnsi="宋体"/>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sz w:val="24"/>
          <w:szCs w:val="24"/>
        </w:rPr>
      </w:pPr>
      <w:r>
        <w:rPr>
          <w:rFonts w:hint="eastAsia" w:ascii="宋体" w:hAnsi="宋体"/>
          <w:sz w:val="24"/>
          <w:szCs w:val="24"/>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adjustRightInd w:val="0"/>
        <w:snapToGrid w:val="0"/>
        <w:spacing w:line="360" w:lineRule="auto"/>
        <w:ind w:firstLine="482"/>
        <w:rPr>
          <w:rFonts w:ascii="宋体" w:hAnsi="宋体"/>
          <w:sz w:val="24"/>
          <w:szCs w:val="24"/>
        </w:rPr>
      </w:pPr>
      <w:r>
        <w:rPr>
          <w:rFonts w:hint="eastAsia" w:ascii="宋体" w:hAnsi="宋体"/>
          <w:sz w:val="24"/>
          <w:szCs w:val="24"/>
        </w:rPr>
        <w:t>本基金不得投资于相关法律、法规、部门规章及《基金合同》禁止投资的投资工具。</w:t>
      </w:r>
    </w:p>
    <w:p>
      <w:pPr>
        <w:adjustRightInd w:val="0"/>
        <w:snapToGrid w:val="0"/>
        <w:spacing w:line="360" w:lineRule="auto"/>
        <w:ind w:firstLine="482"/>
        <w:rPr>
          <w:rFonts w:ascii="宋体" w:hAnsi="宋体"/>
          <w:sz w:val="24"/>
          <w:szCs w:val="24"/>
        </w:rPr>
      </w:pPr>
      <w:r>
        <w:rPr>
          <w:rFonts w:hint="eastAsia" w:ascii="宋体" w:hAnsi="宋体"/>
          <w:sz w:val="24"/>
          <w:szCs w:val="24"/>
        </w:rPr>
        <w:t>2.基金托管人根据有关法律法规的规定及《基金合同》的约定对下述基金投融资比例进行监督：</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（1）按法律法规的规定及《基金合同》的约定，本基金的投资资产配置比例为：</w:t>
      </w:r>
    </w:p>
    <w:p>
      <w:pPr>
        <w:adjustRightInd w:val="0"/>
        <w:snapToGrid w:val="0"/>
        <w:spacing w:line="360" w:lineRule="auto"/>
        <w:ind w:firstLine="482"/>
        <w:rPr>
          <w:rFonts w:ascii="宋体" w:hAnsi="宋体"/>
          <w:sz w:val="24"/>
          <w:szCs w:val="24"/>
        </w:rPr>
      </w:pPr>
      <w:r>
        <w:rPr>
          <w:rFonts w:hint="eastAsia" w:ascii="宋体" w:hAnsi="宋体"/>
          <w:sz w:val="24"/>
          <w:szCs w:val="24"/>
        </w:rPr>
        <w:t>基金的投资组合比例为：股票投资（含存托凭证）占基金资产的比例为60%-95%（其中投资于港股通标的股票的比例占股票资产的0%-50%），投资于成长动力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adjustRightInd w:val="0"/>
        <w:snapToGrid w:val="0"/>
        <w:spacing w:line="360" w:lineRule="auto"/>
        <w:ind w:firstLine="482"/>
        <w:rPr>
          <w:rFonts w:ascii="宋体" w:hAnsi="宋体"/>
          <w:sz w:val="24"/>
          <w:szCs w:val="24"/>
        </w:rPr>
      </w:pPr>
      <w:r>
        <w:rPr>
          <w:rFonts w:hint="eastAsia" w:ascii="宋体" w:hAnsi="宋体"/>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rPr>
          <w:rFonts w:ascii="宋体" w:hAnsi="宋体"/>
          <w:sz w:val="24"/>
          <w:szCs w:val="24"/>
        </w:rPr>
      </w:pPr>
      <w:r>
        <w:rPr>
          <w:rFonts w:hint="eastAsia" w:ascii="宋体" w:hAnsi="宋体"/>
          <w:sz w:val="24"/>
          <w:szCs w:val="24"/>
        </w:rPr>
        <w:t>因基金规模或市场变化等因素导致投资组合不符合上述规定的，基金管理人应在合理的期限内调整基金的投资组合，以符合上述比例限定。法律法规另有规定时，从其规定。</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 xml:space="preserve">（2）根据法律法规的规定及《基金合同》的约定，本基金投资组合遵循以下投资限制： </w:t>
      </w:r>
    </w:p>
    <w:p>
      <w:pPr>
        <w:adjustRightInd w:val="0"/>
        <w:snapToGrid w:val="0"/>
        <w:spacing w:line="360" w:lineRule="auto"/>
        <w:ind w:firstLine="482"/>
        <w:rPr>
          <w:rFonts w:ascii="宋体" w:hAnsi="宋体"/>
          <w:sz w:val="24"/>
          <w:szCs w:val="24"/>
        </w:rPr>
      </w:pPr>
      <w:r>
        <w:rPr>
          <w:rFonts w:hint="eastAsia" w:ascii="宋体" w:hAnsi="宋体"/>
          <w:sz w:val="24"/>
          <w:szCs w:val="24"/>
        </w:rPr>
        <w:t>1）股票投资（含存托凭证）占基金资产的比例为60%-95%（其中投资于港股通标的股票的比例占股票资产的0%-50%），投资于成长动力主题相关证券的比例不低于非现金基金资产的80%；</w:t>
      </w:r>
    </w:p>
    <w:p>
      <w:pPr>
        <w:adjustRightInd w:val="0"/>
        <w:snapToGrid w:val="0"/>
        <w:spacing w:line="360" w:lineRule="auto"/>
        <w:ind w:firstLine="482"/>
        <w:rPr>
          <w:rFonts w:ascii="宋体" w:hAnsi="宋体"/>
          <w:sz w:val="24"/>
          <w:szCs w:val="24"/>
        </w:rPr>
      </w:pPr>
      <w:r>
        <w:rPr>
          <w:rFonts w:hint="eastAsia" w:ascii="宋体" w:hAnsi="宋体"/>
          <w:sz w:val="24"/>
          <w:szCs w:val="24"/>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pPr>
        <w:adjustRightInd w:val="0"/>
        <w:snapToGrid w:val="0"/>
        <w:spacing w:line="360" w:lineRule="auto"/>
        <w:ind w:firstLine="482"/>
        <w:rPr>
          <w:rFonts w:ascii="宋体" w:hAnsi="宋体"/>
          <w:sz w:val="24"/>
          <w:szCs w:val="24"/>
        </w:rPr>
      </w:pPr>
      <w:r>
        <w:rPr>
          <w:rFonts w:hint="eastAsia" w:ascii="宋体" w:hAnsi="宋体"/>
          <w:sz w:val="24"/>
          <w:szCs w:val="24"/>
        </w:rPr>
        <w:t>3）本基金持有一家公司发行的证券（同一家公司在内地和香港同时上市的A+H股合计计算），其市值不超过基金资产净值的10％；</w:t>
      </w:r>
    </w:p>
    <w:p>
      <w:pPr>
        <w:adjustRightInd w:val="0"/>
        <w:snapToGrid w:val="0"/>
        <w:spacing w:line="360" w:lineRule="auto"/>
        <w:ind w:firstLine="482"/>
        <w:rPr>
          <w:rFonts w:ascii="宋体" w:hAnsi="宋体"/>
          <w:sz w:val="24"/>
          <w:szCs w:val="24"/>
        </w:rPr>
      </w:pPr>
      <w:r>
        <w:rPr>
          <w:rFonts w:hint="eastAsia" w:ascii="宋体" w:hAnsi="宋体"/>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2"/>
        <w:rPr>
          <w:rFonts w:ascii="宋体" w:hAnsi="宋体"/>
          <w:sz w:val="24"/>
          <w:szCs w:val="24"/>
        </w:rPr>
      </w:pPr>
      <w:r>
        <w:rPr>
          <w:rFonts w:hint="eastAsia" w:ascii="宋体" w:hAnsi="宋体"/>
          <w:sz w:val="24"/>
          <w:szCs w:val="24"/>
        </w:rPr>
        <w:t>5）本基金投资于同一原始权益人的各类资产支持证券的比例，不得超过基金资产净值的10％；</w:t>
      </w:r>
    </w:p>
    <w:p>
      <w:pPr>
        <w:adjustRightInd w:val="0"/>
        <w:snapToGrid w:val="0"/>
        <w:spacing w:line="360" w:lineRule="auto"/>
        <w:ind w:firstLine="482"/>
        <w:rPr>
          <w:rFonts w:ascii="宋体" w:hAnsi="宋体"/>
          <w:sz w:val="24"/>
          <w:szCs w:val="24"/>
        </w:rPr>
      </w:pPr>
      <w:r>
        <w:rPr>
          <w:rFonts w:hint="eastAsia" w:ascii="宋体" w:hAnsi="宋体"/>
          <w:sz w:val="24"/>
          <w:szCs w:val="24"/>
        </w:rPr>
        <w:t>6）本基金持有的全部资产支持证券，其市值不得超过基金资产净值的20％；</w:t>
      </w:r>
    </w:p>
    <w:p>
      <w:pPr>
        <w:adjustRightInd w:val="0"/>
        <w:snapToGrid w:val="0"/>
        <w:spacing w:line="360" w:lineRule="auto"/>
        <w:ind w:firstLine="482"/>
        <w:rPr>
          <w:rFonts w:ascii="宋体" w:hAnsi="宋体"/>
          <w:sz w:val="24"/>
          <w:szCs w:val="24"/>
        </w:rPr>
      </w:pPr>
      <w:r>
        <w:rPr>
          <w:rFonts w:hint="eastAsia" w:ascii="宋体" w:hAnsi="宋体"/>
          <w:sz w:val="24"/>
          <w:szCs w:val="24"/>
        </w:rPr>
        <w:t>7）本基金持有的同一（指同一信用级别）资产支持证券的比例，不得超过该资产支持证券规模的10％；</w:t>
      </w:r>
    </w:p>
    <w:p>
      <w:pPr>
        <w:adjustRightInd w:val="0"/>
        <w:snapToGrid w:val="0"/>
        <w:spacing w:line="360" w:lineRule="auto"/>
        <w:ind w:firstLine="482"/>
        <w:rPr>
          <w:rFonts w:ascii="宋体" w:hAnsi="宋体"/>
          <w:sz w:val="24"/>
          <w:szCs w:val="24"/>
        </w:rPr>
      </w:pPr>
      <w:r>
        <w:rPr>
          <w:rFonts w:hint="eastAsia" w:ascii="宋体" w:hAnsi="宋体"/>
          <w:sz w:val="24"/>
          <w:szCs w:val="24"/>
        </w:rPr>
        <w:t>8）本基金管理人管理的全部基金投资于同一原始权益人的各类资产支持证券，不得超过其各类资产支持证券合计规模的10％；</w:t>
      </w:r>
    </w:p>
    <w:p>
      <w:pPr>
        <w:adjustRightInd w:val="0"/>
        <w:snapToGrid w:val="0"/>
        <w:spacing w:line="360" w:lineRule="auto"/>
        <w:ind w:firstLine="482"/>
        <w:rPr>
          <w:rFonts w:ascii="宋体" w:hAnsi="宋体"/>
          <w:sz w:val="24"/>
          <w:szCs w:val="24"/>
        </w:rPr>
      </w:pPr>
      <w:r>
        <w:rPr>
          <w:rFonts w:hint="eastAsia" w:ascii="宋体" w:hAnsi="宋体"/>
          <w:sz w:val="24"/>
          <w:szCs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2"/>
        <w:rPr>
          <w:rFonts w:ascii="宋体" w:hAnsi="宋体"/>
          <w:sz w:val="24"/>
          <w:szCs w:val="24"/>
        </w:rPr>
      </w:pPr>
      <w:r>
        <w:rPr>
          <w:rFonts w:hint="eastAsia" w:ascii="宋体" w:hAnsi="宋体"/>
          <w:sz w:val="24"/>
          <w:szCs w:val="24"/>
        </w:rPr>
        <w:t>10）基金财产参与股票发行申购，本基金所申报的金额不超过本基金的总资产，本基金所申报的股票数量不超过拟发行股票公司本次发行股票的总量；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2"/>
        <w:rPr>
          <w:rFonts w:ascii="宋体" w:hAnsi="宋体"/>
          <w:sz w:val="24"/>
          <w:szCs w:val="24"/>
        </w:rPr>
      </w:pPr>
      <w:r>
        <w:rPr>
          <w:rFonts w:hint="eastAsia" w:ascii="宋体" w:hAnsi="宋体"/>
          <w:sz w:val="24"/>
          <w:szCs w:val="24"/>
        </w:rPr>
        <w:t>11）本基金进入全国银行间同业市场进行债券回购的资金余额不得超过基金资产净值的40%，进入全国银行间同业市场进行债券回购的最长期限为1年，债券回购到期后不得展期；</w:t>
      </w:r>
    </w:p>
    <w:p>
      <w:pPr>
        <w:adjustRightInd w:val="0"/>
        <w:snapToGrid w:val="0"/>
        <w:spacing w:line="360" w:lineRule="auto"/>
        <w:ind w:firstLine="482"/>
        <w:rPr>
          <w:rFonts w:ascii="宋体" w:hAnsi="宋体"/>
          <w:sz w:val="24"/>
          <w:szCs w:val="24"/>
        </w:rPr>
      </w:pPr>
      <w:r>
        <w:rPr>
          <w:rFonts w:hint="eastAsia" w:ascii="宋体" w:hAnsi="宋体"/>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2"/>
        <w:rPr>
          <w:rFonts w:ascii="宋体" w:hAnsi="宋体"/>
          <w:sz w:val="24"/>
          <w:szCs w:val="24"/>
        </w:rPr>
      </w:pPr>
      <w:r>
        <w:rPr>
          <w:rFonts w:hint="eastAsia" w:ascii="宋体" w:hAnsi="宋体"/>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2"/>
        <w:rPr>
          <w:rFonts w:ascii="宋体" w:hAnsi="宋体"/>
          <w:sz w:val="24"/>
          <w:szCs w:val="24"/>
        </w:rPr>
      </w:pPr>
      <w:r>
        <w:rPr>
          <w:rFonts w:hint="eastAsia" w:ascii="宋体" w:hAnsi="宋体"/>
          <w:sz w:val="24"/>
          <w:szCs w:val="24"/>
        </w:rPr>
        <w:t>14）本基金与私募类证券资管产品及中国证监会认定的其他主体为交易对手开展逆回购交易的，可接受质押品的资质要求应当与基金合同约定的投资范围保持一致；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2"/>
        <w:rPr>
          <w:rFonts w:ascii="宋体" w:hAnsi="宋体"/>
          <w:sz w:val="24"/>
          <w:szCs w:val="24"/>
        </w:rPr>
      </w:pPr>
      <w:r>
        <w:rPr>
          <w:rFonts w:hint="eastAsia" w:ascii="宋体" w:hAnsi="宋体"/>
          <w:sz w:val="24"/>
          <w:szCs w:val="24"/>
        </w:rPr>
        <w:t>15）本基金参与股指期货交易，则：</w:t>
      </w:r>
    </w:p>
    <w:p>
      <w:pPr>
        <w:adjustRightInd w:val="0"/>
        <w:snapToGrid w:val="0"/>
        <w:spacing w:line="360" w:lineRule="auto"/>
        <w:ind w:firstLine="482"/>
        <w:rPr>
          <w:rFonts w:ascii="宋体" w:hAnsi="宋体"/>
          <w:sz w:val="24"/>
          <w:szCs w:val="24"/>
        </w:rPr>
      </w:pPr>
      <w:r>
        <w:rPr>
          <w:rFonts w:hint="eastAsia" w:ascii="宋体" w:hAnsi="宋体"/>
          <w:sz w:val="24"/>
          <w:szCs w:val="24"/>
        </w:rPr>
        <w:t>①本基金在任何交易日日终，持有的买入股指期货合约价值，不得超过基金资产净值的10%；</w:t>
      </w:r>
    </w:p>
    <w:p>
      <w:pPr>
        <w:adjustRightInd w:val="0"/>
        <w:snapToGrid w:val="0"/>
        <w:spacing w:line="360" w:lineRule="auto"/>
        <w:ind w:firstLine="482"/>
        <w:rPr>
          <w:rFonts w:ascii="宋体" w:hAnsi="宋体"/>
          <w:sz w:val="24"/>
          <w:szCs w:val="24"/>
        </w:rPr>
      </w:pPr>
      <w:r>
        <w:rPr>
          <w:rFonts w:hint="eastAsia" w:ascii="宋体" w:hAnsi="宋体"/>
          <w:sz w:val="24"/>
          <w:szCs w:val="24"/>
        </w:rPr>
        <w:t>②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2"/>
        <w:rPr>
          <w:rFonts w:ascii="宋体" w:hAnsi="宋体"/>
          <w:sz w:val="24"/>
          <w:szCs w:val="24"/>
        </w:rPr>
      </w:pPr>
      <w:r>
        <w:rPr>
          <w:rFonts w:hint="eastAsia" w:ascii="宋体" w:hAnsi="宋体"/>
          <w:sz w:val="24"/>
          <w:szCs w:val="24"/>
        </w:rPr>
        <w:t>③本基金在任何交易日日终，持有的卖出股指期货合约价值不得超过基金持有的股票总市值的20%；</w:t>
      </w:r>
    </w:p>
    <w:p>
      <w:pPr>
        <w:adjustRightInd w:val="0"/>
        <w:snapToGrid w:val="0"/>
        <w:spacing w:line="360" w:lineRule="auto"/>
        <w:ind w:firstLine="482"/>
        <w:rPr>
          <w:rFonts w:ascii="宋体" w:hAnsi="宋体"/>
          <w:sz w:val="24"/>
          <w:szCs w:val="24"/>
        </w:rPr>
      </w:pPr>
      <w:r>
        <w:rPr>
          <w:rFonts w:hint="eastAsia" w:ascii="宋体" w:hAnsi="宋体"/>
          <w:sz w:val="24"/>
          <w:szCs w:val="24"/>
        </w:rPr>
        <w:t>④本基金所持有的股票市值和买入、卖出股指期货合约价值，合计（轧差计算）应当符合基金合同关于股票投资比例的有关约定；</w:t>
      </w:r>
    </w:p>
    <w:p>
      <w:pPr>
        <w:adjustRightInd w:val="0"/>
        <w:snapToGrid w:val="0"/>
        <w:spacing w:line="360" w:lineRule="auto"/>
        <w:ind w:firstLine="482"/>
        <w:rPr>
          <w:rFonts w:ascii="宋体" w:hAnsi="宋体"/>
          <w:sz w:val="24"/>
          <w:szCs w:val="24"/>
        </w:rPr>
      </w:pPr>
      <w:r>
        <w:rPr>
          <w:rFonts w:hint="eastAsia" w:ascii="宋体" w:hAnsi="宋体"/>
          <w:sz w:val="24"/>
          <w:szCs w:val="24"/>
        </w:rPr>
        <w:t>⑤本基金在任何交易日内交易（不包括平仓）的股指期货合约的成交金额不得超过上一交易日基金资产净值的20%；</w:t>
      </w:r>
    </w:p>
    <w:p>
      <w:pPr>
        <w:adjustRightInd w:val="0"/>
        <w:snapToGrid w:val="0"/>
        <w:spacing w:line="360" w:lineRule="auto"/>
        <w:ind w:firstLine="482"/>
        <w:rPr>
          <w:rFonts w:ascii="宋体" w:hAnsi="宋体"/>
          <w:sz w:val="24"/>
          <w:szCs w:val="24"/>
        </w:rPr>
      </w:pPr>
      <w:r>
        <w:rPr>
          <w:rFonts w:hint="eastAsia" w:ascii="宋体" w:hAnsi="宋体"/>
          <w:sz w:val="24"/>
          <w:szCs w:val="24"/>
        </w:rPr>
        <w:t>16）本基金资产总值不超过基金资产净值的140%；</w:t>
      </w:r>
    </w:p>
    <w:p>
      <w:pPr>
        <w:adjustRightInd w:val="0"/>
        <w:snapToGrid w:val="0"/>
        <w:spacing w:line="360" w:lineRule="auto"/>
        <w:ind w:firstLine="482"/>
        <w:rPr>
          <w:rFonts w:ascii="宋体" w:hAnsi="宋体"/>
          <w:sz w:val="24"/>
          <w:szCs w:val="24"/>
        </w:rPr>
      </w:pPr>
      <w:r>
        <w:rPr>
          <w:rFonts w:hint="eastAsia" w:ascii="宋体" w:hAnsi="宋体"/>
          <w:sz w:val="24"/>
          <w:szCs w:val="24"/>
        </w:rPr>
        <w:t>17）本基金投资存托凭证的比例限制依照境内上市交易的股票执行；</w:t>
      </w:r>
    </w:p>
    <w:p>
      <w:pPr>
        <w:adjustRightInd w:val="0"/>
        <w:snapToGrid w:val="0"/>
        <w:spacing w:line="360" w:lineRule="auto"/>
        <w:ind w:firstLine="482"/>
        <w:rPr>
          <w:rFonts w:ascii="宋体" w:hAnsi="宋体"/>
          <w:sz w:val="24"/>
          <w:szCs w:val="24"/>
        </w:rPr>
      </w:pPr>
      <w:r>
        <w:rPr>
          <w:rFonts w:hint="eastAsia" w:ascii="宋体" w:hAnsi="宋体"/>
          <w:sz w:val="24"/>
          <w:szCs w:val="24"/>
        </w:rPr>
        <w:t>18）法律法规及中国证监会规定的和《基金合同》约定的其他投资限制。</w:t>
      </w:r>
    </w:p>
    <w:p>
      <w:pPr>
        <w:adjustRightInd w:val="0"/>
        <w:snapToGrid w:val="0"/>
        <w:spacing w:line="360" w:lineRule="auto"/>
        <w:ind w:firstLine="482"/>
        <w:rPr>
          <w:rFonts w:ascii="宋体" w:hAnsi="宋体"/>
          <w:sz w:val="24"/>
          <w:szCs w:val="24"/>
        </w:rPr>
      </w:pPr>
      <w:r>
        <w:rPr>
          <w:rFonts w:hint="eastAsia" w:ascii="宋体" w:hAnsi="宋体"/>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对上述指标的监督义务，仅限于监督由基金管理人管理且由托管人托管的全部公募基金是否符合上述比例限制。《基金法》及其他有关法律法规或监管部门取消上述限制的，如适用于本基金，基金管理人在履行适当程序后，则本基金投资不再受相关限制。</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基金管理人应在出现可预见资产规模大幅变动的情况下，至少提前2个工作日正式向基金托管人发函说明基金可能的变动规模和公司应对措施，便于基金托管人实施交易监督。</w:t>
      </w:r>
    </w:p>
    <w:bookmarkEnd w:id="100"/>
    <w:p>
      <w:pPr>
        <w:adjustRightInd w:val="0"/>
        <w:snapToGrid w:val="0"/>
        <w:spacing w:line="360" w:lineRule="auto"/>
        <w:ind w:firstLine="482"/>
        <w:rPr>
          <w:rFonts w:ascii="宋体" w:hAnsi="宋体"/>
          <w:sz w:val="24"/>
          <w:szCs w:val="24"/>
        </w:rPr>
      </w:pPr>
      <w:r>
        <w:rPr>
          <w:rFonts w:hint="eastAsia" w:ascii="宋体" w:hAnsi="宋体"/>
          <w:sz w:val="24"/>
          <w:szCs w:val="24"/>
        </w:rPr>
        <w:t xml:space="preserve">3.基金托管人根据有关法律法规的规定及《基金合同》的约定对下述基金投资禁止行为进行监督： </w:t>
      </w:r>
    </w:p>
    <w:p>
      <w:pPr>
        <w:adjustRightInd w:val="0"/>
        <w:snapToGrid w:val="0"/>
        <w:spacing w:line="360" w:lineRule="auto"/>
        <w:ind w:firstLine="482"/>
        <w:rPr>
          <w:rFonts w:ascii="宋体" w:hAnsi="宋体"/>
          <w:sz w:val="24"/>
          <w:szCs w:val="24"/>
        </w:rPr>
      </w:pPr>
      <w:r>
        <w:rPr>
          <w:rFonts w:hint="eastAsia" w:ascii="宋体" w:hAnsi="宋体"/>
          <w:sz w:val="24"/>
          <w:szCs w:val="24"/>
        </w:rPr>
        <w:t>根据法律法规的规定及《基金合同》的约定，本基金禁止从事下列行为：</w:t>
      </w:r>
    </w:p>
    <w:p>
      <w:pPr>
        <w:adjustRightInd w:val="0"/>
        <w:snapToGrid w:val="0"/>
        <w:spacing w:line="360" w:lineRule="auto"/>
        <w:ind w:firstLine="482"/>
        <w:rPr>
          <w:rFonts w:ascii="宋体" w:hAnsi="宋体"/>
          <w:sz w:val="24"/>
          <w:szCs w:val="24"/>
        </w:rPr>
      </w:pPr>
      <w:r>
        <w:rPr>
          <w:rFonts w:hint="eastAsia" w:ascii="宋体" w:hAnsi="宋体"/>
          <w:sz w:val="24"/>
          <w:szCs w:val="24"/>
        </w:rPr>
        <w:t>（1）承销证券；</w:t>
      </w:r>
    </w:p>
    <w:p>
      <w:pPr>
        <w:adjustRightInd w:val="0"/>
        <w:snapToGrid w:val="0"/>
        <w:spacing w:line="360" w:lineRule="auto"/>
        <w:ind w:firstLine="482"/>
        <w:rPr>
          <w:rFonts w:ascii="宋体" w:hAnsi="宋体"/>
          <w:sz w:val="24"/>
          <w:szCs w:val="24"/>
        </w:rPr>
      </w:pPr>
      <w:r>
        <w:rPr>
          <w:rFonts w:hint="eastAsia" w:ascii="宋体" w:hAnsi="宋体"/>
          <w:sz w:val="24"/>
          <w:szCs w:val="24"/>
        </w:rPr>
        <w:t>（2）违反规定向他人贷款或者提供担保；</w:t>
      </w:r>
    </w:p>
    <w:p>
      <w:pPr>
        <w:adjustRightInd w:val="0"/>
        <w:snapToGrid w:val="0"/>
        <w:spacing w:line="360" w:lineRule="auto"/>
        <w:ind w:firstLine="482"/>
        <w:rPr>
          <w:rFonts w:ascii="宋体" w:hAnsi="宋体"/>
          <w:sz w:val="24"/>
          <w:szCs w:val="24"/>
        </w:rPr>
      </w:pPr>
      <w:r>
        <w:rPr>
          <w:rFonts w:hint="eastAsia" w:ascii="宋体" w:hAnsi="宋体"/>
          <w:sz w:val="24"/>
          <w:szCs w:val="24"/>
        </w:rPr>
        <w:t>（3）从事承担无限责任的投资；</w:t>
      </w:r>
    </w:p>
    <w:p>
      <w:pPr>
        <w:adjustRightInd w:val="0"/>
        <w:snapToGrid w:val="0"/>
        <w:spacing w:line="360" w:lineRule="auto"/>
        <w:ind w:firstLine="482"/>
        <w:rPr>
          <w:rFonts w:ascii="宋体" w:hAnsi="宋体"/>
          <w:sz w:val="24"/>
          <w:szCs w:val="24"/>
        </w:rPr>
      </w:pPr>
      <w:r>
        <w:rPr>
          <w:rFonts w:hint="eastAsia" w:ascii="宋体" w:hAnsi="宋体"/>
          <w:sz w:val="24"/>
          <w:szCs w:val="24"/>
        </w:rPr>
        <w:t>（4）买卖其他基金份额，但是中国证监会另有规定的除外；</w:t>
      </w:r>
    </w:p>
    <w:p>
      <w:pPr>
        <w:adjustRightInd w:val="0"/>
        <w:snapToGrid w:val="0"/>
        <w:spacing w:line="360" w:lineRule="auto"/>
        <w:ind w:firstLine="482"/>
        <w:rPr>
          <w:rFonts w:ascii="宋体" w:hAnsi="宋体"/>
          <w:sz w:val="24"/>
          <w:szCs w:val="24"/>
        </w:rPr>
      </w:pPr>
      <w:r>
        <w:rPr>
          <w:rFonts w:hint="eastAsia" w:ascii="宋体" w:hAnsi="宋体"/>
          <w:sz w:val="24"/>
          <w:szCs w:val="24"/>
        </w:rPr>
        <w:t>（5）向其基金管理人、基金托管人出资；</w:t>
      </w:r>
    </w:p>
    <w:p>
      <w:pPr>
        <w:adjustRightInd w:val="0"/>
        <w:snapToGrid w:val="0"/>
        <w:spacing w:line="360" w:lineRule="auto"/>
        <w:ind w:firstLine="482"/>
        <w:rPr>
          <w:rFonts w:ascii="宋体" w:hAnsi="宋体"/>
          <w:sz w:val="24"/>
          <w:szCs w:val="24"/>
        </w:rPr>
      </w:pPr>
      <w:r>
        <w:rPr>
          <w:rFonts w:hint="eastAsia" w:ascii="宋体" w:hAnsi="宋体"/>
          <w:sz w:val="24"/>
          <w:szCs w:val="24"/>
        </w:rPr>
        <w:t>（6）从事内幕交易、操纵证券交易价格及其他不正当的证券交易活动；</w:t>
      </w:r>
    </w:p>
    <w:p>
      <w:pPr>
        <w:adjustRightInd w:val="0"/>
        <w:snapToGrid w:val="0"/>
        <w:spacing w:line="360" w:lineRule="auto"/>
        <w:ind w:firstLine="482"/>
        <w:rPr>
          <w:rFonts w:ascii="宋体" w:hAnsi="宋体"/>
          <w:sz w:val="24"/>
          <w:szCs w:val="24"/>
        </w:rPr>
      </w:pPr>
      <w:r>
        <w:rPr>
          <w:rFonts w:hint="eastAsia" w:ascii="宋体" w:hAnsi="宋体"/>
          <w:sz w:val="24"/>
          <w:szCs w:val="24"/>
        </w:rPr>
        <w:t>（7）法律、行政法规和中国证监会规定禁止的其他活动。</w:t>
      </w:r>
    </w:p>
    <w:p>
      <w:pPr>
        <w:adjustRightInd w:val="0"/>
        <w:snapToGrid w:val="0"/>
        <w:spacing w:line="360" w:lineRule="auto"/>
        <w:ind w:firstLine="482"/>
        <w:rPr>
          <w:rFonts w:ascii="宋体" w:hAnsi="宋体"/>
          <w:sz w:val="24"/>
          <w:szCs w:val="24"/>
        </w:rPr>
      </w:pPr>
      <w:r>
        <w:rPr>
          <w:rFonts w:hint="eastAsia" w:ascii="宋体" w:hAnsi="宋体"/>
          <w:sz w:val="24"/>
          <w:szCs w:val="24"/>
        </w:rPr>
        <w:t>如法律、行政法规或监管部门取消或变更上述禁止性规定，如适用于本基金，基金管理人在履行适当程序后可不受上述规定的限制。</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4.基金托管人依据有关法律法规的规定和《基金合同》的约定对于基金关联投资限制进行监督。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2"/>
        <w:rPr>
          <w:rFonts w:ascii="宋体" w:hAnsi="宋体"/>
          <w:sz w:val="24"/>
          <w:szCs w:val="24"/>
        </w:rPr>
      </w:pPr>
      <w:r>
        <w:rPr>
          <w:rFonts w:hint="eastAsia" w:ascii="宋体" w:hAnsi="宋体"/>
          <w:sz w:val="24"/>
          <w:szCs w:val="24"/>
        </w:rPr>
        <w:t>如法律、行政法规或监管部门取消上述规定，如适用于本基金，基金管理人在履行适当程序后，本基金可不受上述规定的限制。</w:t>
      </w:r>
    </w:p>
    <w:p>
      <w:pPr>
        <w:adjustRightInd w:val="0"/>
        <w:snapToGrid w:val="0"/>
        <w:spacing w:line="360" w:lineRule="auto"/>
        <w:ind w:firstLine="482"/>
        <w:rPr>
          <w:rFonts w:ascii="宋体" w:hAnsi="宋体"/>
          <w:sz w:val="24"/>
          <w:szCs w:val="24"/>
        </w:rPr>
      </w:pPr>
      <w:r>
        <w:rPr>
          <w:rFonts w:hint="eastAsia" w:ascii="宋体" w:hAnsi="宋体"/>
          <w:sz w:val="24"/>
          <w:szCs w:val="24"/>
        </w:rPr>
        <w:t>如法律、法规或《基金合同》有关于基金从事关联交易的规定，基金管理人和基金托管人事先相互提供与本机构有控股关系的股东、与本机构有其他重大利害关系的公司名单及有关关联方发行的证券清单,加盖公章并书面提交。基金管理人有责任确保其向基金托管人提供的关联交易名单的真实性、准确性、完整性，并负责及时将更新后的名单发送给基金托管人。基金管理人的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5.基金托管人依据有关法律法规的规定和《基金合同》的约定对基金管理人参与银行间债券市场进行监督。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基金托管人根据基金管理人提供的银行间债券市场交易对手名单进行监督。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6. 基金托管人依据有关法律法规的规定和《基金合同》的约定，对基金银行存款业务进行监督。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如果基金托管人在运作过程中遵循有关法律法规的规定和《基金合同》的约定监督流程，则对于由于存款银行信用风险引起的损失，不承担赔偿责任。</w:t>
      </w:r>
    </w:p>
    <w:p>
      <w:pPr>
        <w:adjustRightInd w:val="0"/>
        <w:snapToGrid w:val="0"/>
        <w:spacing w:line="360" w:lineRule="auto"/>
        <w:ind w:firstLine="482"/>
        <w:rPr>
          <w:rFonts w:ascii="宋体" w:hAnsi="宋体"/>
          <w:sz w:val="24"/>
          <w:szCs w:val="24"/>
        </w:rPr>
      </w:pPr>
      <w:r>
        <w:rPr>
          <w:rFonts w:hint="eastAsia" w:ascii="宋体" w:hAnsi="宋体"/>
          <w:sz w:val="24"/>
          <w:szCs w:val="24"/>
        </w:rPr>
        <w:t>7.基金托管人对基金投资流通受限证券的监督</w:t>
      </w:r>
    </w:p>
    <w:p>
      <w:pPr>
        <w:adjustRightInd w:val="0"/>
        <w:snapToGrid w:val="0"/>
        <w:spacing w:line="360" w:lineRule="auto"/>
        <w:ind w:firstLine="482"/>
        <w:rPr>
          <w:rFonts w:ascii="宋体" w:hAnsi="宋体"/>
          <w:sz w:val="24"/>
          <w:szCs w:val="24"/>
        </w:rPr>
      </w:pPr>
      <w:r>
        <w:rPr>
          <w:rFonts w:hint="eastAsia" w:ascii="宋体" w:hAnsi="宋体"/>
          <w:sz w:val="24"/>
          <w:szCs w:val="24"/>
        </w:rPr>
        <w:t>如下所指“流通受限证券”与本协议以及基金合同所指“流动性受限资产”定义存在不同。就流动性受限资产定义，请参照基金合同的“第二部分 释义”部分。</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任何责任。如因基金管理人原因导致本基金出现损失的，基金托管人不承担任何责任。</w:t>
      </w:r>
    </w:p>
    <w:p>
      <w:pPr>
        <w:adjustRightInd w:val="0"/>
        <w:snapToGrid w:val="0"/>
        <w:spacing w:line="360" w:lineRule="auto"/>
        <w:ind w:firstLine="482"/>
        <w:rPr>
          <w:rFonts w:ascii="宋体" w:hAnsi="宋体"/>
          <w:sz w:val="24"/>
          <w:szCs w:val="24"/>
        </w:rPr>
      </w:pPr>
      <w:r>
        <w:rPr>
          <w:rFonts w:hint="eastAsia" w:ascii="宋体" w:hAnsi="宋体"/>
          <w:sz w:val="24"/>
          <w:szCs w:val="24"/>
        </w:rPr>
        <w:t>（3）基金管理人应在基金投资非公开发行股票后两个交易日内，在中国证监会规定媒介披露所投资非公开发行股票的名称、数量、总成本、账面价值，以及总成本和账面价值占基金资产净值的比例、锁定期等信息。</w:t>
      </w:r>
    </w:p>
    <w:p>
      <w:pPr>
        <w:adjustRightInd w:val="0"/>
        <w:snapToGrid w:val="0"/>
        <w:spacing w:line="360" w:lineRule="auto"/>
        <w:ind w:firstLine="482"/>
        <w:rPr>
          <w:rFonts w:ascii="宋体" w:hAnsi="宋体"/>
          <w:sz w:val="24"/>
          <w:szCs w:val="24"/>
        </w:rPr>
      </w:pPr>
      <w:r>
        <w:rPr>
          <w:rFonts w:hint="eastAsia" w:ascii="宋体" w:hAnsi="宋体"/>
          <w:sz w:val="24"/>
          <w:szCs w:val="24"/>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pPr>
        <w:adjustRightInd w:val="0"/>
        <w:snapToGrid w:val="0"/>
        <w:spacing w:line="360" w:lineRule="auto"/>
        <w:ind w:firstLine="482"/>
        <w:rPr>
          <w:rFonts w:ascii="宋体" w:hAnsi="宋体"/>
          <w:sz w:val="24"/>
          <w:szCs w:val="24"/>
        </w:rPr>
      </w:pPr>
      <w:r>
        <w:rPr>
          <w:rFonts w:hint="eastAsia" w:ascii="宋体" w:hAnsi="宋体"/>
          <w:sz w:val="24"/>
          <w:szCs w:val="24"/>
        </w:rPr>
        <w:t>如基金管理人未遵守相关制度、流动性风险处置方案以及投资额度和比例限制要求，导致基金出现风险使基金托管人承担连带赔偿责任的，若基金托管人此前已切实履行监督职责的，基金管理人应赔偿基金托管人由此遭受的损失。</w:t>
      </w:r>
    </w:p>
    <w:p>
      <w:pPr>
        <w:adjustRightInd w:val="0"/>
        <w:snapToGrid w:val="0"/>
        <w:spacing w:line="360" w:lineRule="auto"/>
        <w:ind w:firstLine="482"/>
        <w:rPr>
          <w:rFonts w:ascii="宋体" w:hAnsi="宋体"/>
          <w:sz w:val="24"/>
          <w:szCs w:val="24"/>
        </w:rPr>
      </w:pPr>
      <w:r>
        <w:rPr>
          <w:rFonts w:hint="eastAsia" w:ascii="宋体" w:hAnsi="宋体"/>
          <w:sz w:val="24"/>
          <w:szCs w:val="24"/>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pPr>
        <w:adjustRightInd w:val="0"/>
        <w:snapToGrid w:val="0"/>
        <w:spacing w:line="360" w:lineRule="auto"/>
        <w:ind w:firstLine="482"/>
        <w:rPr>
          <w:rFonts w:ascii="宋体" w:hAnsi="宋体"/>
          <w:sz w:val="24"/>
          <w:szCs w:val="24"/>
        </w:rPr>
      </w:pPr>
      <w:r>
        <w:rPr>
          <w:rFonts w:hint="eastAsia" w:ascii="宋体" w:hAnsi="宋体"/>
          <w:sz w:val="24"/>
          <w:szCs w:val="24"/>
        </w:rPr>
        <w:t>1）中国证监会批准发行非公开发行股票的批准文件。</w:t>
      </w:r>
    </w:p>
    <w:p>
      <w:pPr>
        <w:adjustRightInd w:val="0"/>
        <w:snapToGrid w:val="0"/>
        <w:spacing w:line="360" w:lineRule="auto"/>
        <w:ind w:firstLine="482"/>
        <w:rPr>
          <w:rFonts w:ascii="宋体" w:hAnsi="宋体"/>
          <w:sz w:val="24"/>
          <w:szCs w:val="24"/>
        </w:rPr>
      </w:pPr>
      <w:r>
        <w:rPr>
          <w:rFonts w:hint="eastAsia" w:ascii="宋体" w:hAnsi="宋体"/>
          <w:sz w:val="24"/>
          <w:szCs w:val="24"/>
        </w:rPr>
        <w:t>2）有关非公开发行股票的发行数量、发行价格、锁定期等发行资料。</w:t>
      </w:r>
    </w:p>
    <w:p>
      <w:pPr>
        <w:adjustRightInd w:val="0"/>
        <w:snapToGrid w:val="0"/>
        <w:spacing w:line="360" w:lineRule="auto"/>
        <w:ind w:firstLine="482"/>
        <w:rPr>
          <w:rFonts w:ascii="宋体" w:hAnsi="宋体"/>
          <w:sz w:val="24"/>
          <w:szCs w:val="24"/>
        </w:rPr>
      </w:pPr>
      <w:r>
        <w:rPr>
          <w:rFonts w:hint="eastAsia" w:ascii="宋体" w:hAnsi="宋体"/>
          <w:sz w:val="24"/>
          <w:szCs w:val="24"/>
        </w:rPr>
        <w:t>3）基金拟认购的数量、价格、总成本、账面价值。</w:t>
      </w:r>
    </w:p>
    <w:p>
      <w:pPr>
        <w:adjustRightInd w:val="0"/>
        <w:snapToGrid w:val="0"/>
        <w:spacing w:line="360" w:lineRule="auto"/>
        <w:ind w:firstLine="482"/>
        <w:rPr>
          <w:rFonts w:ascii="宋体" w:hAnsi="宋体"/>
          <w:sz w:val="24"/>
          <w:szCs w:val="24"/>
        </w:rPr>
      </w:pPr>
      <w:r>
        <w:rPr>
          <w:rFonts w:hint="eastAsia" w:ascii="宋体" w:hAnsi="宋体"/>
          <w:sz w:val="24"/>
          <w:szCs w:val="24"/>
        </w:rPr>
        <w:t>4）该基金投资流通受限证券的投资额度和投资比例控制</w:t>
      </w:r>
    </w:p>
    <w:p>
      <w:pPr>
        <w:adjustRightInd w:val="0"/>
        <w:snapToGrid w:val="0"/>
        <w:spacing w:line="360" w:lineRule="auto"/>
        <w:ind w:firstLine="482"/>
        <w:rPr>
          <w:rFonts w:ascii="宋体" w:hAnsi="宋体"/>
          <w:sz w:val="24"/>
          <w:szCs w:val="24"/>
        </w:rPr>
      </w:pPr>
      <w:r>
        <w:rPr>
          <w:rFonts w:hint="eastAsia" w:ascii="宋体" w:hAnsi="宋体"/>
          <w:sz w:val="24"/>
          <w:szCs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pPr>
        <w:adjustRightInd w:val="0"/>
        <w:snapToGrid w:val="0"/>
        <w:spacing w:line="360" w:lineRule="auto"/>
        <w:ind w:firstLine="482"/>
        <w:rPr>
          <w:rFonts w:ascii="宋体" w:hAnsi="宋体"/>
          <w:sz w:val="24"/>
          <w:szCs w:val="24"/>
        </w:rPr>
      </w:pPr>
      <w:r>
        <w:rPr>
          <w:rFonts w:hint="eastAsia" w:ascii="宋体" w:hAnsi="宋体"/>
          <w:sz w:val="24"/>
          <w:szCs w:val="24"/>
        </w:rPr>
        <w:t>如基金管理人和基金托管人无法就上述问题达成一致，应及时上报中国证监会请求解决。基金托管人履行了本协议规定的监督职责后，不承担任何责任。</w:t>
      </w:r>
    </w:p>
    <w:p>
      <w:pPr>
        <w:adjustRightInd w:val="0"/>
        <w:snapToGrid w:val="0"/>
        <w:spacing w:line="360" w:lineRule="auto"/>
        <w:ind w:firstLine="482"/>
        <w:rPr>
          <w:rFonts w:ascii="宋体" w:hAnsi="宋体"/>
          <w:sz w:val="24"/>
          <w:szCs w:val="24"/>
        </w:rPr>
      </w:pPr>
      <w:r>
        <w:rPr>
          <w:rFonts w:hint="eastAsia" w:ascii="宋体" w:hAnsi="宋体"/>
          <w:sz w:val="24"/>
          <w:szCs w:val="24"/>
        </w:rPr>
        <w:t>(5)相关法律法规对基金投资流通受限证券有新规定的，从其规定。</w:t>
      </w:r>
    </w:p>
    <w:p>
      <w:pPr>
        <w:adjustRightInd w:val="0"/>
        <w:snapToGrid w:val="0"/>
        <w:spacing w:line="360" w:lineRule="auto"/>
        <w:ind w:firstLine="480"/>
        <w:rPr>
          <w:rFonts w:ascii="宋体" w:hAnsi="宋体"/>
          <w:sz w:val="24"/>
          <w:szCs w:val="24"/>
        </w:rPr>
      </w:pPr>
      <w:r>
        <w:rPr>
          <w:rFonts w:hint="eastAsia" w:ascii="宋体" w:hAnsi="宋体"/>
          <w:sz w:val="24"/>
          <w:szCs w:val="24"/>
        </w:rPr>
        <w:t>8. 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人原因导致基金出现损失的，基金托管人不承担任何责任。</w:t>
      </w:r>
    </w:p>
    <w:p>
      <w:pPr>
        <w:adjustRightInd w:val="0"/>
        <w:snapToGrid w:val="0"/>
        <w:spacing w:line="360" w:lineRule="auto"/>
        <w:ind w:firstLine="480"/>
        <w:rPr>
          <w:rFonts w:ascii="宋体" w:hAnsi="宋体"/>
          <w:sz w:val="24"/>
          <w:szCs w:val="24"/>
        </w:rPr>
      </w:pPr>
      <w:r>
        <w:rPr>
          <w:rFonts w:hint="eastAsia" w:ascii="宋体" w:hAnsi="宋体"/>
          <w:sz w:val="24"/>
          <w:szCs w:val="24"/>
        </w:rPr>
        <w:t>9.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adjustRightInd w:val="0"/>
        <w:snapToGrid w:val="0"/>
        <w:spacing w:line="360" w:lineRule="auto"/>
        <w:ind w:firstLine="48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p>
    <w:p>
      <w:pPr>
        <w:adjustRightInd w:val="0"/>
        <w:snapToGrid w:val="0"/>
        <w:spacing w:line="360" w:lineRule="auto"/>
        <w:ind w:firstLine="480"/>
        <w:rPr>
          <w:rFonts w:ascii="宋体" w:hAnsi="宋体"/>
          <w:sz w:val="24"/>
          <w:szCs w:val="24"/>
        </w:rPr>
      </w:pPr>
      <w:r>
        <w:rPr>
          <w:rFonts w:hint="eastAsia" w:ascii="宋体" w:hAnsi="宋体"/>
          <w:sz w:val="24"/>
          <w:szCs w:val="24"/>
        </w:rPr>
        <w:t>在限期内，基金托管人有权随时对通知事项进行复查，督促基金管理人改正。基金管理人对基金托管人通知的违规事项未能在限期内纠正的，基金托管人应报告中国证监会。</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pPr>
        <w:adjustRightInd w:val="0"/>
        <w:snapToGrid w:val="0"/>
        <w:spacing w:line="360" w:lineRule="auto"/>
        <w:ind w:firstLine="480"/>
        <w:rPr>
          <w:rFonts w:ascii="宋体" w:hAnsi="宋体"/>
          <w:sz w:val="24"/>
          <w:szCs w:val="24"/>
        </w:rPr>
      </w:pPr>
      <w:r>
        <w:rPr>
          <w:rFonts w:hint="eastAsia" w:ascii="宋体" w:hAnsi="宋体"/>
          <w:sz w:val="24"/>
          <w:szCs w:val="24"/>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adjustRightInd w:val="0"/>
        <w:snapToGrid w:val="0"/>
        <w:spacing w:line="360" w:lineRule="auto"/>
        <w:ind w:firstLine="480"/>
        <w:rPr>
          <w:rFonts w:ascii="宋体" w:hAnsi="宋体"/>
          <w:sz w:val="24"/>
          <w:szCs w:val="24"/>
        </w:rPr>
      </w:pPr>
      <w:r>
        <w:rPr>
          <w:rFonts w:hint="eastAsia" w:ascii="宋体" w:hAnsi="宋体"/>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pPr>
        <w:adjustRightInd w:val="0"/>
        <w:snapToGrid w:val="0"/>
        <w:spacing w:line="360" w:lineRule="auto"/>
        <w:ind w:firstLine="480"/>
        <w:rPr>
          <w:rFonts w:ascii="宋体" w:hAnsi="宋体"/>
          <w:sz w:val="24"/>
          <w:szCs w:val="24"/>
        </w:rPr>
      </w:pPr>
      <w:r>
        <w:rPr>
          <w:rFonts w:hint="eastAsia" w:ascii="宋体" w:hAnsi="宋体"/>
          <w:sz w:val="24"/>
          <w:szCs w:val="24"/>
        </w:rPr>
        <w:t>基金托管人发现基金管理人有重大违规行为，应立即报告中国证监会，同时通知基金管理人限期纠正。</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adjustRightInd w:val="0"/>
        <w:snapToGrid w:val="0"/>
        <w:spacing w:line="360" w:lineRule="auto"/>
        <w:ind w:firstLine="482"/>
        <w:outlineLvl w:val="1"/>
        <w:rPr>
          <w:b/>
          <w:bCs/>
          <w:sz w:val="24"/>
        </w:rPr>
      </w:pPr>
      <w:r>
        <w:rPr>
          <w:rFonts w:hint="eastAsia"/>
          <w:b/>
          <w:bCs/>
          <w:sz w:val="24"/>
        </w:rPr>
        <w:t>（三）基金管理人对基金托管人的业务核查</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基金托管人应积极配合基金管理人的核查行为，包括但不限于：提交相关资料以供基金管理人核查托管财产的完整性和真实性，在规定时间内答复基金管理人并改正。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adjustRightInd w:val="0"/>
        <w:snapToGrid w:val="0"/>
        <w:spacing w:line="360" w:lineRule="auto"/>
        <w:ind w:firstLine="482"/>
        <w:outlineLvl w:val="1"/>
        <w:rPr>
          <w:b/>
          <w:bCs/>
          <w:sz w:val="24"/>
        </w:rPr>
      </w:pPr>
      <w:r>
        <w:rPr>
          <w:rFonts w:hint="eastAsia"/>
          <w:b/>
          <w:bCs/>
          <w:sz w:val="24"/>
        </w:rPr>
        <w:t>（四）基金财产保管</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1、基金财产保管的原则</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1</w:t>
      </w:r>
      <w:r>
        <w:rPr>
          <w:rFonts w:hint="eastAsia"/>
          <w:color w:val="0D0D0D"/>
          <w:sz w:val="24"/>
          <w:szCs w:val="24"/>
        </w:rPr>
        <w:t>）</w:t>
      </w:r>
      <w:r>
        <w:rPr>
          <w:rFonts w:hint="eastAsia" w:ascii="宋体" w:hAnsi="宋体"/>
          <w:sz w:val="24"/>
          <w:szCs w:val="24"/>
        </w:rPr>
        <w:t>基金财产应独立于基金管理人、基金托管人的固有财产。</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2</w:t>
      </w:r>
      <w:r>
        <w:rPr>
          <w:rFonts w:hint="eastAsia"/>
          <w:color w:val="0D0D0D"/>
          <w:sz w:val="24"/>
          <w:szCs w:val="24"/>
        </w:rPr>
        <w:t>）</w:t>
      </w:r>
      <w:r>
        <w:rPr>
          <w:rFonts w:hint="eastAsia" w:ascii="宋体" w:hAnsi="宋体"/>
          <w:sz w:val="24"/>
          <w:szCs w:val="24"/>
        </w:rPr>
        <w:t>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3</w:t>
      </w:r>
      <w:r>
        <w:rPr>
          <w:rFonts w:hint="eastAsia"/>
          <w:color w:val="0D0D0D"/>
          <w:sz w:val="24"/>
          <w:szCs w:val="24"/>
        </w:rPr>
        <w:t>）</w:t>
      </w:r>
      <w:r>
        <w:rPr>
          <w:rFonts w:hint="eastAsia" w:ascii="宋体" w:hAnsi="宋体"/>
          <w:sz w:val="24"/>
          <w:szCs w:val="24"/>
        </w:rPr>
        <w:t>基金托管人按照规定为托管的基金财产开设资金账户、证券账户、期货结算账户及投资所需其他账户。</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4</w:t>
      </w:r>
      <w:r>
        <w:rPr>
          <w:rFonts w:hint="eastAsia"/>
          <w:color w:val="0D0D0D"/>
          <w:sz w:val="24"/>
          <w:szCs w:val="24"/>
        </w:rPr>
        <w:t>）</w:t>
      </w:r>
      <w:r>
        <w:rPr>
          <w:rFonts w:hint="eastAsia" w:ascii="宋体" w:hAnsi="宋体"/>
          <w:sz w:val="24"/>
          <w:szCs w:val="24"/>
        </w:rPr>
        <w:t>基金托管人对所托管的不同基金财产分别设置账户，与基金托管人的其他业务和其他基金的托管业务实行严格的分账管理，确保基金财产的完整与独立。</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5</w:t>
      </w:r>
      <w:r>
        <w:rPr>
          <w:rFonts w:hint="eastAsia"/>
          <w:color w:val="0D0D0D"/>
          <w:sz w:val="24"/>
          <w:szCs w:val="24"/>
        </w:rPr>
        <w:t>）</w:t>
      </w:r>
      <w:r>
        <w:rPr>
          <w:rFonts w:hint="eastAsia" w:ascii="宋体" w:hAnsi="宋体"/>
          <w:sz w:val="24"/>
          <w:szCs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2、募集资金的验证</w:t>
      </w:r>
    </w:p>
    <w:p>
      <w:pPr>
        <w:adjustRightInd w:val="0"/>
        <w:snapToGrid w:val="0"/>
        <w:spacing w:line="360" w:lineRule="auto"/>
        <w:ind w:firstLine="482"/>
        <w:rPr>
          <w:rFonts w:ascii="宋体" w:hAnsi="宋体"/>
          <w:sz w:val="24"/>
          <w:szCs w:val="24"/>
        </w:rPr>
      </w:pPr>
      <w:r>
        <w:rPr>
          <w:rFonts w:hint="eastAsia" w:ascii="宋体" w:hAnsi="宋体"/>
          <w:sz w:val="24"/>
          <w:szCs w:val="24"/>
        </w:rPr>
        <w:t>募集期内销售机构按销售与服务协议的约定，将认购资金划入基金管理人在具有托管资格的商业银行开设的“交银施罗德基金管理有限公司基金认购专户”。该账户由基金管理人开立并管理。基金募集期满或基金管理人宣布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adjustRightInd w:val="0"/>
        <w:snapToGrid w:val="0"/>
        <w:spacing w:line="360" w:lineRule="auto"/>
        <w:ind w:firstLine="482"/>
        <w:rPr>
          <w:rFonts w:ascii="宋体" w:hAnsi="宋体"/>
          <w:sz w:val="24"/>
          <w:szCs w:val="24"/>
        </w:rPr>
      </w:pPr>
      <w:r>
        <w:rPr>
          <w:rFonts w:hint="eastAsia" w:ascii="宋体" w:hAnsi="宋体"/>
          <w:sz w:val="24"/>
          <w:szCs w:val="24"/>
        </w:rPr>
        <w:t>若基金募集期限届满，未能达到《基金合同》生效的条件，由基金管理人按规定办理退款事宜，基金托管人应提供充分协助。</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3、基金资产托管专户的开立和管理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刻制、保管和使用。</w:t>
      </w:r>
    </w:p>
    <w:p>
      <w:pPr>
        <w:adjustRightInd w:val="0"/>
        <w:snapToGrid w:val="0"/>
        <w:spacing w:line="360" w:lineRule="auto"/>
        <w:ind w:firstLine="482"/>
        <w:rPr>
          <w:rFonts w:ascii="宋体" w:hAnsi="宋体"/>
          <w:sz w:val="24"/>
          <w:szCs w:val="24"/>
        </w:rPr>
      </w:pPr>
      <w:r>
        <w:rPr>
          <w:rFonts w:hint="eastAsia" w:ascii="宋体" w:hAnsi="宋体"/>
          <w:sz w:val="24"/>
          <w:szCs w:val="24"/>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pPr>
        <w:adjustRightInd w:val="0"/>
        <w:snapToGrid w:val="0"/>
        <w:spacing w:line="360" w:lineRule="auto"/>
        <w:ind w:firstLine="482"/>
        <w:rPr>
          <w:rFonts w:ascii="宋体" w:hAnsi="宋体"/>
          <w:sz w:val="24"/>
          <w:szCs w:val="24"/>
        </w:rPr>
      </w:pPr>
      <w:r>
        <w:rPr>
          <w:rFonts w:hint="eastAsia" w:ascii="宋体" w:hAnsi="宋体"/>
          <w:sz w:val="24"/>
          <w:szCs w:val="24"/>
        </w:rPr>
        <w:t>资产托管专户的管理应符合《人民币银行结算账户管理办法》、《现金管理暂行条例》、《人民币利率管理规定》、《利率管理暂行规定》、《支付结算办法》以及银行业监督管理机构的其他有关规定。</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4、基金证券账户与证券交易资金账户的开设和管理</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基金托管人以基金托管人和本基金联名的方式在中国证券登记结算有限责任公司上海分公司/深圳分公司开立专门的证券账户。</w:t>
      </w:r>
    </w:p>
    <w:p>
      <w:pPr>
        <w:adjustRightInd w:val="0"/>
        <w:snapToGrid w:val="0"/>
        <w:spacing w:line="360" w:lineRule="auto"/>
        <w:ind w:firstLine="482"/>
        <w:rPr>
          <w:rFonts w:ascii="宋体" w:hAnsi="宋体"/>
          <w:sz w:val="24"/>
          <w:szCs w:val="24"/>
        </w:rPr>
      </w:pPr>
      <w:r>
        <w:rPr>
          <w:rFonts w:hint="eastAsia" w:ascii="宋体" w:hAnsi="宋体"/>
          <w:sz w:val="24"/>
          <w:szCs w:val="24"/>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adjustRightInd w:val="0"/>
        <w:snapToGrid w:val="0"/>
        <w:spacing w:line="360" w:lineRule="auto"/>
        <w:ind w:firstLine="482"/>
        <w:rPr>
          <w:rFonts w:ascii="宋体" w:hAnsi="宋体"/>
          <w:sz w:val="24"/>
          <w:szCs w:val="24"/>
        </w:rPr>
      </w:pPr>
      <w:r>
        <w:rPr>
          <w:rFonts w:hint="eastAsia" w:ascii="宋体" w:hAnsi="宋体"/>
          <w:sz w:val="24"/>
          <w:szCs w:val="24"/>
        </w:rPr>
        <w:t>基金证券账户的开立和原始开户材料的保管由基金托管人负责，账户资产的管理和运用由基金管理人负责。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5、银行间市场债券托管和资金结算专户的开立和管理及市场准入备案</w:t>
      </w:r>
    </w:p>
    <w:p>
      <w:pPr>
        <w:adjustRightInd w:val="0"/>
        <w:snapToGrid w:val="0"/>
        <w:spacing w:line="360" w:lineRule="auto"/>
        <w:ind w:firstLine="482"/>
        <w:rPr>
          <w:rFonts w:ascii="宋体" w:hAnsi="宋体"/>
          <w:sz w:val="24"/>
          <w:szCs w:val="24"/>
        </w:rPr>
      </w:pPr>
      <w:r>
        <w:rPr>
          <w:rFonts w:hint="eastAsia" w:ascii="宋体" w:hAnsi="宋体"/>
          <w:sz w:val="24"/>
          <w:szCs w:val="24"/>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6、其他账户的开设和管理</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1</w:t>
      </w:r>
      <w:r>
        <w:rPr>
          <w:rFonts w:hint="eastAsia"/>
          <w:color w:val="0D0D0D"/>
          <w:sz w:val="24"/>
          <w:szCs w:val="24"/>
        </w:rPr>
        <w:t>）</w:t>
      </w:r>
      <w:r>
        <w:rPr>
          <w:rFonts w:hint="eastAsia" w:ascii="宋体" w:hAnsi="宋体"/>
          <w:sz w:val="24"/>
          <w:szCs w:val="24"/>
        </w:rPr>
        <w:t>因业务发展而需要开立的其它账户，可以根据《基金合同》或有关法律法规的规定，经基金管理人和基金托管人协商一致后，由基金托管人负责为基金开立。新账户按有关规则使用并管理。</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2</w:t>
      </w:r>
      <w:r>
        <w:rPr>
          <w:rFonts w:hint="eastAsia"/>
          <w:color w:val="0D0D0D"/>
          <w:sz w:val="24"/>
          <w:szCs w:val="24"/>
        </w:rPr>
        <w:t>）</w:t>
      </w:r>
      <w:r>
        <w:rPr>
          <w:rFonts w:hint="eastAsia" w:ascii="宋体" w:hAnsi="宋体"/>
          <w:sz w:val="24"/>
          <w:szCs w:val="24"/>
        </w:rPr>
        <w:t>法律、法规等有关规定对相关账户的开立和管理另有规定的，从其规定办理。</w:t>
      </w:r>
    </w:p>
    <w:p>
      <w:pPr>
        <w:adjustRightInd w:val="0"/>
        <w:snapToGrid w:val="0"/>
        <w:spacing w:line="360" w:lineRule="auto"/>
        <w:ind w:firstLine="482"/>
        <w:outlineLvl w:val="2"/>
        <w:rPr>
          <w:rFonts w:ascii="宋体" w:hAnsi="宋体"/>
          <w:sz w:val="24"/>
          <w:szCs w:val="24"/>
        </w:rPr>
      </w:pPr>
      <w:r>
        <w:rPr>
          <w:rFonts w:ascii="宋体" w:hAnsi="宋体"/>
          <w:sz w:val="24"/>
          <w:szCs w:val="24"/>
        </w:rPr>
        <w:t>7</w:t>
      </w:r>
      <w:r>
        <w:rPr>
          <w:rFonts w:hint="eastAsia" w:ascii="宋体" w:hAnsi="宋体"/>
          <w:sz w:val="24"/>
          <w:szCs w:val="24"/>
        </w:rPr>
        <w:t>、基金投资银行存款账户的开立和管理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基金投资银行定期存款，基金管理人与基金托管人应比照相关规定，就本基金投资银行存款业务签订书面协议。</w:t>
      </w:r>
    </w:p>
    <w:p>
      <w:pPr>
        <w:adjustRightInd w:val="0"/>
        <w:snapToGrid w:val="0"/>
        <w:spacing w:line="360" w:lineRule="auto"/>
        <w:ind w:firstLine="482"/>
        <w:rPr>
          <w:rFonts w:ascii="宋体" w:hAnsi="宋体"/>
          <w:sz w:val="24"/>
          <w:szCs w:val="24"/>
        </w:rPr>
      </w:pPr>
      <w:r>
        <w:rPr>
          <w:rFonts w:hint="eastAsia" w:ascii="宋体" w:hAnsi="宋体"/>
          <w:sz w:val="24"/>
          <w:szCs w:val="24"/>
        </w:rPr>
        <w:t>存款账户必须以基金名义开立，账户名称为基金名称，存款账户开户文件上加盖预留印鉴及基金管理人公章。</w:t>
      </w:r>
    </w:p>
    <w:p>
      <w:pPr>
        <w:adjustRightInd w:val="0"/>
        <w:snapToGrid w:val="0"/>
        <w:spacing w:line="360" w:lineRule="auto"/>
        <w:ind w:firstLine="482"/>
        <w:rPr>
          <w:rFonts w:ascii="宋体" w:hAnsi="宋体"/>
          <w:sz w:val="24"/>
          <w:szCs w:val="24"/>
        </w:rPr>
      </w:pPr>
      <w:r>
        <w:rPr>
          <w:rFonts w:hint="eastAsia" w:ascii="宋体" w:hAnsi="宋体"/>
          <w:sz w:val="24"/>
          <w:szCs w:val="24"/>
        </w:rPr>
        <w:t>本基金投资银行存款时，基金管理人应当与存款银行签订具体存款协议，明确存款的类型、期限、利率、金额、账号、对账方式、支取方式、账户管理等细则。</w:t>
      </w:r>
    </w:p>
    <w:p>
      <w:pPr>
        <w:adjustRightInd w:val="0"/>
        <w:snapToGrid w:val="0"/>
        <w:spacing w:line="360" w:lineRule="auto"/>
        <w:ind w:firstLine="482"/>
        <w:rPr>
          <w:rFonts w:ascii="宋体" w:hAnsi="宋体"/>
          <w:sz w:val="24"/>
          <w:szCs w:val="24"/>
        </w:rPr>
      </w:pPr>
      <w:r>
        <w:rPr>
          <w:rFonts w:hint="eastAsia" w:ascii="宋体" w:hAnsi="宋体"/>
          <w:sz w:val="24"/>
          <w:szCs w:val="24"/>
        </w:rPr>
        <w:t>为防范特殊情况下的流动性风险，定期存款协议中应当约定提前支取条款。</w:t>
      </w:r>
    </w:p>
    <w:p>
      <w:pPr>
        <w:adjustRightInd w:val="0"/>
        <w:snapToGrid w:val="0"/>
        <w:spacing w:line="360" w:lineRule="auto"/>
        <w:ind w:firstLine="482"/>
        <w:rPr>
          <w:rFonts w:ascii="宋体" w:hAnsi="宋体"/>
          <w:sz w:val="24"/>
          <w:szCs w:val="24"/>
        </w:rPr>
      </w:pPr>
      <w:r>
        <w:rPr>
          <w:rFonts w:hint="eastAsia" w:ascii="宋体" w:hAnsi="宋体"/>
          <w:sz w:val="24"/>
          <w:szCs w:val="24"/>
        </w:rPr>
        <w:t>基金所投资定期存款存续期间，基金管理人、基金托管人应当与存款银行建立定期对账机制，确保基金银行存款业务账目及核对的真实、准确。</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8、基金财产投资的有关实物证券、银行定期存款存单等有价凭证的保管</w:t>
      </w:r>
    </w:p>
    <w:p>
      <w:pPr>
        <w:adjustRightInd w:val="0"/>
        <w:snapToGrid w:val="0"/>
        <w:spacing w:line="360" w:lineRule="auto"/>
        <w:ind w:firstLine="482"/>
        <w:rPr>
          <w:rFonts w:ascii="宋体" w:hAnsi="宋体"/>
          <w:sz w:val="24"/>
          <w:szCs w:val="24"/>
        </w:rPr>
      </w:pPr>
      <w:r>
        <w:rPr>
          <w:rFonts w:hint="eastAsia" w:ascii="宋体" w:hAnsi="宋体"/>
          <w:sz w:val="24"/>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9、与基金财产有关的重大合同的保管</w:t>
      </w:r>
    </w:p>
    <w:p>
      <w:pPr>
        <w:adjustRightInd w:val="0"/>
        <w:snapToGrid w:val="0"/>
        <w:spacing w:line="360" w:lineRule="auto"/>
        <w:ind w:firstLine="482"/>
        <w:rPr>
          <w:rFonts w:ascii="宋体" w:hAnsi="宋体"/>
          <w:sz w:val="24"/>
          <w:szCs w:val="24"/>
        </w:rPr>
      </w:pPr>
      <w:r>
        <w:rPr>
          <w:rFonts w:hint="eastAsia" w:ascii="宋体" w:hAnsi="宋体"/>
          <w:sz w:val="24"/>
          <w:szCs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30个工作日内通过专人送达、挂号邮寄等安全方式将合同原件送达基金托管人处。合同原件应存放于基金管理人和基金托管人各自文件保管部门，保管期限不低于法律法规规定的最低期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对于无法取得二份以上的正本的，基金管理人应向基金托管人提供与合同原件核对一致的并加盖基金管理人公章的合同传真件或复印件，未经双方协商一致，合同原件不得转移。</w:t>
      </w:r>
    </w:p>
    <w:p>
      <w:pPr>
        <w:adjustRightInd w:val="0"/>
        <w:snapToGrid w:val="0"/>
        <w:spacing w:line="360" w:lineRule="auto"/>
        <w:ind w:firstLine="482"/>
        <w:outlineLvl w:val="1"/>
        <w:rPr>
          <w:b/>
          <w:bCs/>
          <w:sz w:val="24"/>
        </w:rPr>
      </w:pPr>
      <w:r>
        <w:rPr>
          <w:b/>
          <w:bCs/>
          <w:sz w:val="24"/>
        </w:rPr>
        <w:t>（五）基金资产净值</w:t>
      </w:r>
      <w:r>
        <w:rPr>
          <w:rFonts w:hint="eastAsia"/>
          <w:b/>
          <w:bCs/>
          <w:sz w:val="24"/>
        </w:rPr>
        <w:t>计算、估值和会计核算</w:t>
      </w:r>
    </w:p>
    <w:p>
      <w:pPr>
        <w:adjustRightInd w:val="0"/>
        <w:snapToGrid w:val="0"/>
        <w:spacing w:line="360" w:lineRule="auto"/>
        <w:ind w:firstLine="482"/>
        <w:outlineLvl w:val="2"/>
        <w:rPr>
          <w:rFonts w:ascii="宋体" w:hAnsi="宋体"/>
          <w:sz w:val="24"/>
        </w:rPr>
      </w:pPr>
      <w:r>
        <w:rPr>
          <w:rFonts w:hint="eastAsia" w:ascii="宋体" w:hAnsi="宋体"/>
          <w:sz w:val="24"/>
        </w:rPr>
        <w:t>1、基金资产净值的计算、复核的时间和程序</w:t>
      </w:r>
    </w:p>
    <w:p>
      <w:pPr>
        <w:adjustRightInd w:val="0"/>
        <w:snapToGrid w:val="0"/>
        <w:spacing w:line="360" w:lineRule="auto"/>
        <w:ind w:firstLine="482"/>
        <w:rPr>
          <w:rFonts w:ascii="宋体" w:hAnsi="宋体"/>
          <w:sz w:val="24"/>
        </w:rPr>
      </w:pPr>
      <w:r>
        <w:rPr>
          <w:rFonts w:hint="eastAsia" w:ascii="宋体" w:hAnsi="宋体"/>
          <w:sz w:val="24"/>
        </w:rPr>
        <w:t>基金资产净值是指基金资产总值减去负债后的价值。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2"/>
        <w:rPr>
          <w:rFonts w:ascii="宋体" w:hAnsi="宋体"/>
          <w:sz w:val="24"/>
        </w:rPr>
      </w:pPr>
      <w:r>
        <w:rPr>
          <w:rFonts w:hint="eastAsia" w:ascii="宋体" w:hAnsi="宋体"/>
          <w:sz w:val="24"/>
        </w:rPr>
        <w:t>每个工作日，基金管理人应对基金资产估值。但基金管理人根据法律法规或基金合同的规定暂停估值时除外。估值原则应符合《基金合同》、《证券投资基金会计核算业务指引》及其他法律、法规的规定。基金管理人应于每个工作日交易结束后计算当日的各类基金份额净值和基金资产净值并以双方认可的方式发送给基金托管人。基金托管人对净值计算结果复核后以双方认可的方式发送给基金管理人，由基金管理人约定对外公布。</w:t>
      </w:r>
    </w:p>
    <w:p>
      <w:pPr>
        <w:adjustRightInd w:val="0"/>
        <w:snapToGrid w:val="0"/>
        <w:spacing w:line="360" w:lineRule="auto"/>
        <w:ind w:firstLine="482"/>
        <w:rPr>
          <w:rFonts w:ascii="宋体" w:hAnsi="宋体"/>
          <w:sz w:val="24"/>
        </w:rPr>
      </w:pPr>
      <w:r>
        <w:rPr>
          <w:rFonts w:hint="eastAsia" w:ascii="宋体" w:hAnsi="宋体"/>
          <w:sz w:val="24"/>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pPr>
        <w:adjustRightInd w:val="0"/>
        <w:snapToGrid w:val="0"/>
        <w:spacing w:line="360" w:lineRule="auto"/>
        <w:ind w:firstLine="482"/>
        <w:outlineLvl w:val="2"/>
        <w:rPr>
          <w:rFonts w:ascii="宋体" w:hAnsi="宋体"/>
          <w:sz w:val="24"/>
        </w:rPr>
      </w:pPr>
      <w:r>
        <w:rPr>
          <w:rFonts w:hint="eastAsia" w:ascii="宋体" w:hAnsi="宋体"/>
          <w:sz w:val="24"/>
        </w:rPr>
        <w:t>2、基金资产估值</w:t>
      </w:r>
    </w:p>
    <w:p>
      <w:pPr>
        <w:adjustRightInd w:val="0"/>
        <w:snapToGrid w:val="0"/>
        <w:spacing w:line="360" w:lineRule="auto"/>
        <w:ind w:firstLine="482"/>
        <w:rPr>
          <w:rFonts w:ascii="宋体" w:hAnsi="宋体"/>
          <w:sz w:val="24"/>
        </w:rPr>
      </w:pPr>
      <w:r>
        <w:rPr>
          <w:rFonts w:hint="eastAsia" w:ascii="宋体" w:hAnsi="宋体"/>
          <w:sz w:val="24"/>
        </w:rPr>
        <w:t>估值原则应符合《基金合同》、《证券投资基金会计核算业务指引》及其他法律法规的规定的约定。</w:t>
      </w:r>
    </w:p>
    <w:p>
      <w:pPr>
        <w:adjustRightInd w:val="0"/>
        <w:snapToGrid w:val="0"/>
        <w:spacing w:line="360" w:lineRule="auto"/>
        <w:ind w:firstLine="482"/>
        <w:rPr>
          <w:rFonts w:ascii="宋体" w:hAnsi="宋体"/>
          <w:sz w:val="24"/>
        </w:rPr>
      </w:pPr>
      <w:r>
        <w:rPr>
          <w:rFonts w:hint="eastAsia" w:ascii="宋体" w:hAnsi="宋体"/>
          <w:sz w:val="24"/>
        </w:rPr>
        <w:t>当相关法律法规或《基金合同》规定的估值方法不能客观反映基金财产公允价值时，基金管理人可根据具体情况，并与基金托管人商定后，按最能反映公允价值的价格估值。</w:t>
      </w:r>
    </w:p>
    <w:p>
      <w:pPr>
        <w:adjustRightInd w:val="0"/>
        <w:snapToGrid w:val="0"/>
        <w:spacing w:line="360" w:lineRule="auto"/>
        <w:ind w:firstLine="482"/>
        <w:outlineLvl w:val="2"/>
        <w:rPr>
          <w:rFonts w:ascii="宋体" w:hAnsi="宋体"/>
          <w:sz w:val="24"/>
        </w:rPr>
      </w:pPr>
      <w:r>
        <w:rPr>
          <w:rFonts w:hint="eastAsia" w:ascii="宋体" w:hAnsi="宋体"/>
          <w:sz w:val="24"/>
        </w:rPr>
        <w:t>3、估值错误处理</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1</w:t>
      </w:r>
      <w:r>
        <w:rPr>
          <w:rFonts w:hint="eastAsia"/>
          <w:color w:val="0D0D0D"/>
          <w:sz w:val="24"/>
          <w:szCs w:val="24"/>
        </w:rPr>
        <w:t>）</w:t>
      </w:r>
      <w:r>
        <w:rPr>
          <w:rFonts w:hint="eastAsia" w:ascii="宋体" w:hAnsi="宋体"/>
          <w:sz w:val="24"/>
        </w:rPr>
        <w:t>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任何责任。</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2</w:t>
      </w:r>
      <w:r>
        <w:rPr>
          <w:rFonts w:hint="eastAsia"/>
          <w:color w:val="0D0D0D"/>
          <w:sz w:val="24"/>
          <w:szCs w:val="24"/>
        </w:rPr>
        <w:t>）</w:t>
      </w:r>
      <w:r>
        <w:rPr>
          <w:rFonts w:hint="eastAsia" w:ascii="宋体" w:hAnsi="宋体"/>
          <w:sz w:val="24"/>
        </w:rPr>
        <w:t>当因基金管理人和基金托管人原因致使基金份额净值计算差错给基金和基金份额持有人造成损失需要进行赔偿时，基金管理人和基金托管人应根据实际情况界定双方承担的责任，经确认后按以下条款进行赔偿：</w:t>
      </w:r>
    </w:p>
    <w:p>
      <w:pPr>
        <w:adjustRightInd w:val="0"/>
        <w:snapToGrid w:val="0"/>
        <w:spacing w:line="360" w:lineRule="auto"/>
        <w:ind w:firstLine="482"/>
        <w:rPr>
          <w:rFonts w:ascii="宋体" w:hAnsi="宋体"/>
          <w:sz w:val="24"/>
        </w:rPr>
      </w:pPr>
      <w:r>
        <w:rPr>
          <w:rFonts w:hint="eastAsia" w:ascii="宋体" w:hAnsi="宋体"/>
          <w:sz w:val="24"/>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3</w:t>
      </w:r>
      <w:r>
        <w:rPr>
          <w:rFonts w:hint="eastAsia"/>
          <w:color w:val="0D0D0D"/>
          <w:sz w:val="24"/>
          <w:szCs w:val="24"/>
        </w:rPr>
        <w:t>）</w:t>
      </w:r>
      <w:r>
        <w:rPr>
          <w:rFonts w:hint="eastAsia" w:ascii="宋体" w:hAnsi="宋体"/>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4</w:t>
      </w:r>
      <w:r>
        <w:rPr>
          <w:rFonts w:hint="eastAsia"/>
          <w:color w:val="0D0D0D"/>
          <w:sz w:val="24"/>
          <w:szCs w:val="24"/>
        </w:rPr>
        <w:t>）</w:t>
      </w:r>
      <w:r>
        <w:rPr>
          <w:rFonts w:hint="eastAsia" w:ascii="宋体" w:hAnsi="宋体"/>
          <w:sz w:val="24"/>
        </w:rPr>
        <w:t>基金管理人和基金托管人由于各自技术系统设置而产生的净值计算尾差，以基金管理人计算结果为准。</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5</w:t>
      </w:r>
      <w:r>
        <w:rPr>
          <w:rFonts w:hint="eastAsia"/>
          <w:color w:val="0D0D0D"/>
          <w:sz w:val="24"/>
          <w:szCs w:val="24"/>
        </w:rPr>
        <w:t>）</w:t>
      </w:r>
      <w:r>
        <w:rPr>
          <w:rFonts w:hint="eastAsia" w:ascii="宋体" w:hAnsi="宋体"/>
          <w:sz w:val="24"/>
        </w:rPr>
        <w:t>前述内容如法律法规或者监管部门另有规定的，从其规定。如果行业另有通行做法，双方当事人应本着平等和保护基金份额持有人利益的原则进行协商。</w:t>
      </w:r>
    </w:p>
    <w:p>
      <w:pPr>
        <w:adjustRightInd w:val="0"/>
        <w:snapToGrid w:val="0"/>
        <w:spacing w:line="360" w:lineRule="auto"/>
        <w:ind w:firstLine="482"/>
        <w:outlineLvl w:val="2"/>
        <w:rPr>
          <w:rFonts w:ascii="宋体" w:hAnsi="宋体"/>
          <w:sz w:val="24"/>
        </w:rPr>
      </w:pPr>
      <w:r>
        <w:rPr>
          <w:rFonts w:hint="eastAsia" w:ascii="宋体" w:hAnsi="宋体"/>
          <w:sz w:val="24"/>
        </w:rPr>
        <w:t>4、暂停估值与公告基金份额净值的情形</w:t>
      </w:r>
    </w:p>
    <w:p>
      <w:pPr>
        <w:adjustRightInd w:val="0"/>
        <w:snapToGrid w:val="0"/>
        <w:spacing w:line="360" w:lineRule="auto"/>
        <w:ind w:firstLine="482"/>
        <w:rPr>
          <w:rFonts w:ascii="宋体" w:hAnsi="宋体"/>
          <w:sz w:val="24"/>
        </w:rPr>
      </w:pPr>
      <w:r>
        <w:rPr>
          <w:rFonts w:hint="eastAsia"/>
          <w:color w:val="0D0D0D"/>
          <w:sz w:val="24"/>
          <w:szCs w:val="24"/>
        </w:rPr>
        <w:t>（1）</w:t>
      </w:r>
      <w:r>
        <w:rPr>
          <w:rFonts w:hint="eastAsia" w:ascii="宋体" w:hAnsi="宋体"/>
          <w:sz w:val="24"/>
        </w:rPr>
        <w:t>基金投资所涉及的证券、期货交易市场遇法定节假日或因其他原因暂停营业时；</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2</w:t>
      </w:r>
      <w:r>
        <w:rPr>
          <w:rFonts w:hint="eastAsia"/>
          <w:color w:val="0D0D0D"/>
          <w:sz w:val="24"/>
          <w:szCs w:val="24"/>
        </w:rPr>
        <w:t>）</w:t>
      </w:r>
      <w:r>
        <w:rPr>
          <w:rFonts w:hint="eastAsia" w:ascii="宋体" w:hAnsi="宋体"/>
          <w:sz w:val="24"/>
        </w:rPr>
        <w:t>因不可抗力致使基金管理人、基金托管人无法准确评估基金资产价值时；</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3</w:t>
      </w:r>
      <w:r>
        <w:rPr>
          <w:rFonts w:hint="eastAsia"/>
          <w:color w:val="0D0D0D"/>
          <w:sz w:val="24"/>
          <w:szCs w:val="24"/>
        </w:rPr>
        <w:t>）</w:t>
      </w:r>
      <w:r>
        <w:rPr>
          <w:rFonts w:hint="eastAsia" w:ascii="宋体" w:hAnsi="宋体"/>
          <w:sz w:val="24"/>
        </w:rPr>
        <w:t>当特定资产占前一估值日基金资产净值50%以上的，经与基金托管人协商确认后，基金管理人应当暂停估值；</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4</w:t>
      </w:r>
      <w:r>
        <w:rPr>
          <w:rFonts w:hint="eastAsia"/>
          <w:color w:val="0D0D0D"/>
          <w:sz w:val="24"/>
          <w:szCs w:val="24"/>
        </w:rPr>
        <w:t>）</w:t>
      </w:r>
      <w:r>
        <w:rPr>
          <w:rFonts w:hint="eastAsia" w:ascii="宋体" w:hAnsi="宋体"/>
          <w:sz w:val="24"/>
        </w:rPr>
        <w:t xml:space="preserve"> 法律法规、中国证监会和《基金合同》认定的其他情形。</w:t>
      </w:r>
    </w:p>
    <w:p>
      <w:pPr>
        <w:adjustRightInd w:val="0"/>
        <w:snapToGrid w:val="0"/>
        <w:spacing w:line="360" w:lineRule="auto"/>
        <w:ind w:firstLine="482"/>
        <w:outlineLvl w:val="2"/>
        <w:rPr>
          <w:rFonts w:ascii="宋体" w:hAnsi="宋体"/>
          <w:sz w:val="24"/>
        </w:rPr>
      </w:pPr>
      <w:r>
        <w:rPr>
          <w:rFonts w:hint="eastAsia" w:ascii="宋体" w:hAnsi="宋体"/>
          <w:sz w:val="24"/>
        </w:rPr>
        <w:t>5、基金账册的建立</w:t>
      </w:r>
    </w:p>
    <w:p>
      <w:pPr>
        <w:adjustRightInd w:val="0"/>
        <w:snapToGrid w:val="0"/>
        <w:spacing w:line="360" w:lineRule="auto"/>
        <w:ind w:firstLine="482"/>
        <w:rPr>
          <w:rFonts w:ascii="宋体" w:hAnsi="宋体"/>
          <w:sz w:val="24"/>
        </w:rPr>
      </w:pPr>
      <w:r>
        <w:rPr>
          <w:rFonts w:hint="eastAsia"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adjustRightInd w:val="0"/>
        <w:snapToGrid w:val="0"/>
        <w:spacing w:line="360" w:lineRule="auto"/>
        <w:ind w:firstLine="482"/>
        <w:rPr>
          <w:rFonts w:ascii="宋体" w:hAnsi="宋体"/>
          <w:sz w:val="24"/>
        </w:rPr>
      </w:pPr>
      <w:r>
        <w:rPr>
          <w:rFonts w:hint="eastAsia" w:ascii="宋体" w:hAnsi="宋体"/>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pPr>
        <w:adjustRightInd w:val="0"/>
        <w:snapToGrid w:val="0"/>
        <w:spacing w:line="360" w:lineRule="auto"/>
        <w:ind w:firstLine="482"/>
        <w:outlineLvl w:val="2"/>
        <w:rPr>
          <w:rFonts w:ascii="宋体" w:hAnsi="宋体"/>
          <w:sz w:val="24"/>
        </w:rPr>
      </w:pPr>
      <w:r>
        <w:rPr>
          <w:rFonts w:hint="eastAsia" w:ascii="宋体" w:hAnsi="宋体"/>
          <w:sz w:val="24"/>
        </w:rPr>
        <w:t>6、基金定期报告、基金招募说明书的编制和复核</w:t>
      </w:r>
    </w:p>
    <w:p>
      <w:pPr>
        <w:adjustRightInd w:val="0"/>
        <w:snapToGrid w:val="0"/>
        <w:spacing w:line="360" w:lineRule="auto"/>
        <w:ind w:firstLine="482"/>
        <w:rPr>
          <w:rFonts w:ascii="宋体" w:hAnsi="宋体"/>
          <w:sz w:val="24"/>
        </w:rPr>
      </w:pPr>
      <w:r>
        <w:rPr>
          <w:rFonts w:hint="eastAsia" w:ascii="宋体" w:hAnsi="宋体"/>
          <w:sz w:val="24"/>
        </w:rPr>
        <w:t>基金财务报表由基金管理人和基金托管人每月分别独立编制。月度报表的编制，应于每月终了后5个工作日内完成。</w:t>
      </w:r>
    </w:p>
    <w:p>
      <w:pPr>
        <w:adjustRightInd w:val="0"/>
        <w:snapToGrid w:val="0"/>
        <w:spacing w:line="360" w:lineRule="auto"/>
        <w:ind w:firstLine="482"/>
        <w:rPr>
          <w:rFonts w:ascii="宋体" w:hAnsi="宋体"/>
          <w:sz w:val="24"/>
        </w:rPr>
      </w:pPr>
      <w:r>
        <w:rPr>
          <w:rFonts w:hint="eastAsia" w:ascii="宋体" w:hAnsi="宋体"/>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管理人在季度结束之日起15个工作日内完成季度报告编制并公告；在上半年结束之日起两个月内完成中期报告编制并公告；在每年结束之日起三个月内完成年度报告编制并公告。</w:t>
      </w:r>
    </w:p>
    <w:p>
      <w:pPr>
        <w:adjustRightInd w:val="0"/>
        <w:snapToGrid w:val="0"/>
        <w:spacing w:line="360" w:lineRule="auto"/>
        <w:ind w:firstLine="482"/>
        <w:rPr>
          <w:rFonts w:ascii="宋体" w:hAnsi="宋体"/>
          <w:sz w:val="24"/>
        </w:rPr>
      </w:pPr>
      <w:r>
        <w:rPr>
          <w:rFonts w:hint="eastAsia" w:ascii="宋体" w:hAnsi="宋体"/>
          <w:sz w:val="24"/>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中期报告，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pPr>
        <w:adjustRightInd w:val="0"/>
        <w:snapToGrid w:val="0"/>
        <w:spacing w:line="360" w:lineRule="auto"/>
        <w:ind w:firstLine="482"/>
        <w:rPr>
          <w:rFonts w:ascii="宋体" w:hAnsi="宋体"/>
          <w:sz w:val="24"/>
        </w:rPr>
      </w:pPr>
      <w:r>
        <w:rPr>
          <w:rFonts w:hint="eastAsia" w:ascii="宋体" w:hAnsi="宋体"/>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中国证监会备案。</w:t>
      </w:r>
    </w:p>
    <w:p>
      <w:pPr>
        <w:adjustRightInd w:val="0"/>
        <w:snapToGrid w:val="0"/>
        <w:spacing w:line="360" w:lineRule="auto"/>
        <w:ind w:firstLine="482"/>
        <w:rPr>
          <w:rFonts w:ascii="宋体" w:hAnsi="宋体"/>
          <w:sz w:val="24"/>
        </w:rPr>
      </w:pPr>
      <w:r>
        <w:rPr>
          <w:rFonts w:hint="eastAsia" w:ascii="宋体" w:hAnsi="宋体"/>
          <w:sz w:val="24"/>
        </w:rPr>
        <w:t>基金托管人在对财务会计报告、中期报告或年度报告复核完毕后，需盖章确认或出具相应的复核确认书，以备有权机构对相关文件审核时提示。</w:t>
      </w:r>
    </w:p>
    <w:p>
      <w:pPr>
        <w:adjustRightInd w:val="0"/>
        <w:snapToGrid w:val="0"/>
        <w:spacing w:line="360" w:lineRule="auto"/>
        <w:ind w:firstLine="482"/>
        <w:outlineLvl w:val="1"/>
        <w:rPr>
          <w:b/>
          <w:bCs/>
          <w:sz w:val="24"/>
        </w:rPr>
      </w:pPr>
      <w:r>
        <w:rPr>
          <w:b/>
          <w:bCs/>
          <w:sz w:val="24"/>
        </w:rPr>
        <w:t>（六）基金份额持有人名册的保管</w:t>
      </w:r>
    </w:p>
    <w:p>
      <w:pPr>
        <w:adjustRightInd w:val="0"/>
        <w:snapToGrid w:val="0"/>
        <w:spacing w:line="360" w:lineRule="auto"/>
        <w:ind w:firstLine="482"/>
        <w:rPr>
          <w:rFonts w:ascii="宋体" w:hAnsi="宋体"/>
          <w:kern w:val="0"/>
          <w:sz w:val="24"/>
        </w:rPr>
      </w:pPr>
      <w:r>
        <w:rPr>
          <w:rFonts w:hint="eastAsia" w:ascii="宋体" w:hAnsi="宋体"/>
          <w:kern w:val="0"/>
          <w:sz w:val="24"/>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pPr>
        <w:adjustRightInd w:val="0"/>
        <w:snapToGrid w:val="0"/>
        <w:spacing w:line="360" w:lineRule="auto"/>
        <w:ind w:firstLine="482"/>
        <w:rPr>
          <w:rFonts w:ascii="宋体" w:hAnsi="宋体"/>
          <w:kern w:val="0"/>
          <w:sz w:val="24"/>
        </w:rPr>
      </w:pPr>
      <w:r>
        <w:rPr>
          <w:rFonts w:hint="eastAsia" w:ascii="宋体" w:hAnsi="宋体"/>
          <w:kern w:val="0"/>
          <w:sz w:val="24"/>
        </w:rPr>
        <w:t>基金份额持有人名册由基金的基金登记机构根据基金管理人的指令编制和保管，基金管理人应按照目前相关规则保管基金份额持有人名册。保管方式可以采用电子或文档的形式。保管期限不低于法律法规规定的最低期限。</w:t>
      </w:r>
    </w:p>
    <w:p>
      <w:pPr>
        <w:adjustRightInd w:val="0"/>
        <w:snapToGrid w:val="0"/>
        <w:spacing w:line="360" w:lineRule="auto"/>
        <w:ind w:firstLine="480" w:firstLineChars="200"/>
        <w:rPr>
          <w:rFonts w:ascii="宋体" w:hAnsi="宋体"/>
          <w:strike/>
          <w:kern w:val="0"/>
          <w:sz w:val="24"/>
        </w:rPr>
      </w:pPr>
      <w:r>
        <w:rPr>
          <w:rFonts w:hint="eastAsia" w:ascii="宋体" w:hAnsi="宋体"/>
          <w:kern w:val="0"/>
          <w:sz w:val="24"/>
        </w:rPr>
        <w:t>在基金托管人编制中期报告和年度报告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pPr>
        <w:adjustRightInd w:val="0"/>
        <w:snapToGrid w:val="0"/>
        <w:spacing w:line="360" w:lineRule="auto"/>
        <w:ind w:firstLine="482"/>
        <w:outlineLvl w:val="1"/>
        <w:rPr>
          <w:b/>
          <w:bCs/>
          <w:sz w:val="24"/>
        </w:rPr>
      </w:pPr>
      <w:r>
        <w:rPr>
          <w:b/>
          <w:bCs/>
          <w:sz w:val="24"/>
        </w:rPr>
        <w:t>（七）争议解决方式</w:t>
      </w:r>
    </w:p>
    <w:p>
      <w:pPr>
        <w:adjustRightInd w:val="0"/>
        <w:snapToGrid w:val="0"/>
        <w:spacing w:line="360" w:lineRule="auto"/>
        <w:ind w:firstLine="482"/>
        <w:rPr>
          <w:rFonts w:ascii="宋体" w:hAnsi="宋体"/>
          <w:color w:val="0D0D0D"/>
          <w:sz w:val="24"/>
          <w:szCs w:val="24"/>
        </w:rPr>
      </w:pPr>
      <w:r>
        <w:rPr>
          <w:rFonts w:hint="eastAsia" w:ascii="宋体" w:hAnsi="宋体"/>
          <w:color w:val="0D0D0D"/>
          <w:sz w:val="24"/>
          <w:szCs w:val="24"/>
        </w:rPr>
        <w:t>1、本协议适用中华人民共和国法律（为本协议之目的，在此不包括香港、澳门特别行政区和台湾地区法律），并从其解释。</w:t>
      </w:r>
    </w:p>
    <w:p>
      <w:pPr>
        <w:adjustRightInd w:val="0"/>
        <w:snapToGrid w:val="0"/>
        <w:spacing w:line="360" w:lineRule="auto"/>
        <w:ind w:firstLine="482"/>
        <w:rPr>
          <w:rFonts w:ascii="宋体" w:hAnsi="宋体"/>
          <w:color w:val="0D0D0D"/>
          <w:sz w:val="24"/>
          <w:szCs w:val="24"/>
        </w:rPr>
      </w:pPr>
      <w:r>
        <w:rPr>
          <w:rFonts w:hint="eastAsia" w:ascii="宋体" w:hAnsi="宋体"/>
          <w:color w:val="0D0D0D"/>
          <w:sz w:val="24"/>
          <w:szCs w:val="24"/>
        </w:rPr>
        <w:t>2、双方当事人同意，因本协议而产生的或与本协议有关的一切争议，除经友好协商可以解决的，任何一方均有权将争议提交上海国际经济贸易仲裁委员会，根据该会届时有效的仲裁规则进行仲裁，仲裁的地点在上海，仲裁裁决是终局性的并对双方均有约束力，除非仲裁裁决另有规定，仲裁费用由败诉方承担。</w:t>
      </w:r>
    </w:p>
    <w:p>
      <w:pPr>
        <w:adjustRightInd w:val="0"/>
        <w:snapToGrid w:val="0"/>
        <w:spacing w:line="360" w:lineRule="auto"/>
        <w:ind w:firstLine="480" w:firstLineChars="200"/>
        <w:rPr>
          <w:rFonts w:ascii="宋体" w:hAnsi="宋体"/>
          <w:color w:val="0D0D0D"/>
          <w:sz w:val="24"/>
          <w:szCs w:val="24"/>
        </w:rPr>
      </w:pPr>
      <w:r>
        <w:rPr>
          <w:rFonts w:hint="eastAsia" w:ascii="宋体" w:hAnsi="宋体"/>
          <w:color w:val="0D0D0D"/>
          <w:sz w:val="24"/>
          <w:szCs w:val="24"/>
        </w:rPr>
        <w:t>争议处理期间，双方当事人应恪守基金管理人和基金托管人职责，继续忠实、勤勉、尽责地履行《基金合同》和本托管协议规定的义务，维护基金份额持有人的合法权益。</w:t>
      </w:r>
    </w:p>
    <w:p>
      <w:pPr>
        <w:adjustRightInd w:val="0"/>
        <w:snapToGrid w:val="0"/>
        <w:spacing w:line="360" w:lineRule="auto"/>
        <w:ind w:firstLine="482" w:firstLineChars="200"/>
        <w:outlineLvl w:val="1"/>
        <w:rPr>
          <w:rFonts w:ascii="宋体" w:hAnsi="宋体"/>
          <w:b/>
          <w:kern w:val="0"/>
          <w:sz w:val="24"/>
          <w:szCs w:val="24"/>
        </w:rPr>
      </w:pPr>
      <w:r>
        <w:rPr>
          <w:rFonts w:ascii="宋体" w:hAnsi="宋体"/>
          <w:b/>
          <w:kern w:val="0"/>
          <w:sz w:val="24"/>
          <w:szCs w:val="24"/>
        </w:rPr>
        <w:t>（八）托管协议</w:t>
      </w:r>
      <w:r>
        <w:rPr>
          <w:rFonts w:hint="eastAsia" w:ascii="宋体" w:hAnsi="宋体"/>
          <w:b/>
          <w:kern w:val="0"/>
          <w:sz w:val="24"/>
          <w:szCs w:val="24"/>
        </w:rPr>
        <w:t>的变更、终止与基金财产的清算</w:t>
      </w:r>
    </w:p>
    <w:p>
      <w:pPr>
        <w:adjustRightInd w:val="0"/>
        <w:snapToGrid w:val="0"/>
        <w:spacing w:line="360" w:lineRule="auto"/>
        <w:ind w:firstLine="480" w:firstLineChars="200"/>
        <w:outlineLvl w:val="2"/>
        <w:rPr>
          <w:color w:val="0D0D0D"/>
          <w:sz w:val="24"/>
          <w:szCs w:val="24"/>
        </w:rPr>
      </w:pPr>
      <w:r>
        <w:rPr>
          <w:rFonts w:hint="eastAsia"/>
          <w:color w:val="0D0D0D"/>
          <w:sz w:val="24"/>
          <w:szCs w:val="24"/>
        </w:rPr>
        <w:t>1、托管协议的变更与终止</w:t>
      </w:r>
    </w:p>
    <w:p>
      <w:pPr>
        <w:adjustRightInd w:val="0"/>
        <w:snapToGrid w:val="0"/>
        <w:spacing w:line="360" w:lineRule="auto"/>
        <w:ind w:firstLine="480" w:firstLineChars="200"/>
        <w:rPr>
          <w:color w:val="0D0D0D"/>
          <w:sz w:val="24"/>
          <w:szCs w:val="24"/>
        </w:rPr>
      </w:pPr>
      <w:r>
        <w:rPr>
          <w:rFonts w:hint="eastAsia"/>
          <w:color w:val="0D0D0D"/>
          <w:sz w:val="24"/>
          <w:szCs w:val="24"/>
        </w:rPr>
        <w:t>（1）托管协议的变更程序</w:t>
      </w:r>
    </w:p>
    <w:p>
      <w:pPr>
        <w:adjustRightInd w:val="0"/>
        <w:snapToGrid w:val="0"/>
        <w:spacing w:line="360" w:lineRule="auto"/>
        <w:ind w:firstLine="480" w:firstLineChars="200"/>
        <w:rPr>
          <w:color w:val="0D0D0D"/>
          <w:sz w:val="24"/>
          <w:szCs w:val="24"/>
        </w:rPr>
      </w:pPr>
      <w:r>
        <w:rPr>
          <w:rFonts w:hint="eastAsia"/>
          <w:color w:val="0D0D0D"/>
          <w:sz w:val="24"/>
          <w:szCs w:val="24"/>
        </w:rPr>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更报中国证监会备案。</w:t>
      </w:r>
    </w:p>
    <w:p>
      <w:pPr>
        <w:adjustRightInd w:val="0"/>
        <w:snapToGrid w:val="0"/>
        <w:spacing w:line="360" w:lineRule="auto"/>
        <w:ind w:firstLine="480" w:firstLineChars="200"/>
        <w:rPr>
          <w:color w:val="0D0D0D"/>
          <w:sz w:val="24"/>
          <w:szCs w:val="24"/>
        </w:rPr>
      </w:pPr>
      <w:r>
        <w:rPr>
          <w:rFonts w:hint="eastAsia"/>
          <w:color w:val="0D0D0D"/>
          <w:sz w:val="24"/>
          <w:szCs w:val="24"/>
        </w:rPr>
        <w:t>（2）基金托管协议终止的情形</w:t>
      </w:r>
    </w:p>
    <w:p>
      <w:pPr>
        <w:adjustRightInd w:val="0"/>
        <w:snapToGrid w:val="0"/>
        <w:spacing w:line="360" w:lineRule="auto"/>
        <w:ind w:firstLine="480" w:firstLineChars="200"/>
        <w:rPr>
          <w:color w:val="0D0D0D"/>
          <w:sz w:val="24"/>
          <w:szCs w:val="24"/>
        </w:rPr>
      </w:pPr>
      <w:r>
        <w:rPr>
          <w:rFonts w:hint="eastAsia"/>
          <w:color w:val="0D0D0D"/>
          <w:sz w:val="24"/>
          <w:szCs w:val="24"/>
        </w:rPr>
        <w:t>发生以下情况，本托管协议终止：</w:t>
      </w:r>
    </w:p>
    <w:p>
      <w:pPr>
        <w:adjustRightInd w:val="0"/>
        <w:snapToGrid w:val="0"/>
        <w:spacing w:line="360" w:lineRule="auto"/>
        <w:ind w:firstLine="480" w:firstLineChars="200"/>
        <w:rPr>
          <w:color w:val="0D0D0D"/>
          <w:sz w:val="24"/>
          <w:szCs w:val="24"/>
        </w:rPr>
      </w:pPr>
      <w:r>
        <w:rPr>
          <w:rFonts w:hint="eastAsia"/>
          <w:color w:val="0D0D0D"/>
          <w:sz w:val="24"/>
          <w:szCs w:val="24"/>
        </w:rPr>
        <w:t>1）《基金合同》终止；</w:t>
      </w:r>
    </w:p>
    <w:p>
      <w:pPr>
        <w:adjustRightInd w:val="0"/>
        <w:snapToGrid w:val="0"/>
        <w:spacing w:line="360" w:lineRule="auto"/>
        <w:ind w:firstLine="480" w:firstLineChars="200"/>
        <w:rPr>
          <w:color w:val="0D0D0D"/>
          <w:sz w:val="24"/>
          <w:szCs w:val="24"/>
        </w:rPr>
      </w:pPr>
      <w:r>
        <w:rPr>
          <w:rFonts w:hint="eastAsia"/>
          <w:color w:val="0D0D0D"/>
          <w:sz w:val="24"/>
          <w:szCs w:val="24"/>
        </w:rPr>
        <w:t>2）基金托管人解散、依法被撤销、破产或有其他基金托管人接管基金资产；</w:t>
      </w:r>
    </w:p>
    <w:p>
      <w:pPr>
        <w:adjustRightInd w:val="0"/>
        <w:snapToGrid w:val="0"/>
        <w:spacing w:line="360" w:lineRule="auto"/>
        <w:ind w:firstLine="480" w:firstLineChars="200"/>
        <w:rPr>
          <w:color w:val="0D0D0D"/>
          <w:sz w:val="24"/>
          <w:szCs w:val="24"/>
        </w:rPr>
      </w:pPr>
      <w:r>
        <w:rPr>
          <w:rFonts w:hint="eastAsia"/>
          <w:color w:val="0D0D0D"/>
          <w:sz w:val="24"/>
          <w:szCs w:val="24"/>
        </w:rPr>
        <w:t>3）基金管理人解散、依法被撤销、破产或有其他基金管理人接管基金管理权；</w:t>
      </w:r>
    </w:p>
    <w:p>
      <w:pPr>
        <w:adjustRightInd w:val="0"/>
        <w:snapToGrid w:val="0"/>
        <w:spacing w:line="360" w:lineRule="auto"/>
        <w:ind w:firstLine="480" w:firstLineChars="200"/>
        <w:rPr>
          <w:color w:val="0D0D0D"/>
          <w:sz w:val="24"/>
          <w:szCs w:val="24"/>
        </w:rPr>
      </w:pPr>
      <w:r>
        <w:rPr>
          <w:rFonts w:hint="eastAsia"/>
          <w:color w:val="0D0D0D"/>
          <w:sz w:val="24"/>
          <w:szCs w:val="24"/>
        </w:rPr>
        <w:t>4）发生法律法规或《基金合同》规定的终止事项。</w:t>
      </w:r>
    </w:p>
    <w:p>
      <w:pPr>
        <w:adjustRightInd w:val="0"/>
        <w:snapToGrid w:val="0"/>
        <w:spacing w:line="360" w:lineRule="auto"/>
        <w:ind w:firstLine="480" w:firstLineChars="200"/>
        <w:outlineLvl w:val="2"/>
        <w:rPr>
          <w:color w:val="0D0D0D"/>
          <w:sz w:val="24"/>
          <w:szCs w:val="24"/>
        </w:rPr>
      </w:pPr>
      <w:r>
        <w:rPr>
          <w:rFonts w:hint="eastAsia"/>
          <w:color w:val="0D0D0D"/>
          <w:sz w:val="24"/>
          <w:szCs w:val="24"/>
        </w:rPr>
        <w:t>2、基金财产的清算</w:t>
      </w:r>
    </w:p>
    <w:p>
      <w:pPr>
        <w:adjustRightInd w:val="0"/>
        <w:snapToGrid w:val="0"/>
        <w:spacing w:line="360" w:lineRule="auto"/>
        <w:ind w:firstLine="480" w:firstLineChars="200"/>
        <w:rPr>
          <w:color w:val="0D0D0D"/>
          <w:sz w:val="24"/>
          <w:szCs w:val="24"/>
        </w:rPr>
      </w:pPr>
      <w:r>
        <w:rPr>
          <w:rFonts w:hint="eastAsia"/>
          <w:color w:val="0D0D0D"/>
          <w:sz w:val="24"/>
          <w:szCs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2</w:t>
      </w:r>
      <w:r>
        <w:rPr>
          <w:rFonts w:hint="eastAsia"/>
          <w:color w:val="0D0D0D"/>
          <w:sz w:val="24"/>
          <w:szCs w:val="24"/>
        </w:rPr>
        <w:t>）在基金财产清算小组接管基金财产之前，基金管理人和基金托管人应按照《基金合同》和本托管协议的规定继续履行保护基金财产安全的职责。</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3</w:t>
      </w:r>
      <w:r>
        <w:rPr>
          <w:rFonts w:hint="eastAsia"/>
          <w:color w:val="0D0D0D"/>
          <w:sz w:val="24"/>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4</w:t>
      </w:r>
      <w:r>
        <w:rPr>
          <w:rFonts w:hint="eastAsia"/>
          <w:color w:val="0D0D0D"/>
          <w:sz w:val="24"/>
          <w:szCs w:val="24"/>
        </w:rPr>
        <w:t>）基金财产清算小组职责：基金财产清算小组负责基金财产的保管、清理、估价、变现和分配。基金财产清算小组可以依法进行必要的民事活动。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5</w:t>
      </w:r>
      <w:r>
        <w:rPr>
          <w:rFonts w:hint="eastAsia"/>
          <w:color w:val="0D0D0D"/>
          <w:sz w:val="24"/>
          <w:szCs w:val="24"/>
        </w:rPr>
        <w:t>）基金财产清算程序：</w:t>
      </w:r>
      <w:r>
        <w:rPr>
          <w:rFonts w:hint="eastAsia"/>
          <w:color w:val="0D0D0D"/>
          <w:sz w:val="24"/>
          <w:szCs w:val="24"/>
        </w:rPr>
        <w:tab/>
      </w:r>
    </w:p>
    <w:p>
      <w:pPr>
        <w:adjustRightInd w:val="0"/>
        <w:snapToGrid w:val="0"/>
        <w:spacing w:line="360" w:lineRule="auto"/>
        <w:ind w:firstLine="480" w:firstLineChars="200"/>
        <w:rPr>
          <w:color w:val="0D0D0D"/>
          <w:sz w:val="24"/>
          <w:szCs w:val="24"/>
        </w:rPr>
      </w:pPr>
      <w:r>
        <w:rPr>
          <w:rFonts w:hint="eastAsia"/>
          <w:color w:val="0D0D0D"/>
          <w:sz w:val="24"/>
          <w:szCs w:val="24"/>
        </w:rPr>
        <w:t>1）《基金合同》终止情形出现时，由基金财产清算小组统一接管基金；</w:t>
      </w:r>
    </w:p>
    <w:p>
      <w:pPr>
        <w:adjustRightInd w:val="0"/>
        <w:snapToGrid w:val="0"/>
        <w:spacing w:line="360" w:lineRule="auto"/>
        <w:ind w:firstLine="480" w:firstLineChars="200"/>
        <w:rPr>
          <w:color w:val="0D0D0D"/>
          <w:sz w:val="24"/>
          <w:szCs w:val="24"/>
        </w:rPr>
      </w:pPr>
      <w:r>
        <w:rPr>
          <w:rFonts w:hint="eastAsia"/>
          <w:color w:val="0D0D0D"/>
          <w:sz w:val="24"/>
          <w:szCs w:val="24"/>
        </w:rPr>
        <w:t>2）对基金财产和债权债务进行清理和确认；</w:t>
      </w:r>
    </w:p>
    <w:p>
      <w:pPr>
        <w:adjustRightInd w:val="0"/>
        <w:snapToGrid w:val="0"/>
        <w:spacing w:line="360" w:lineRule="auto"/>
        <w:ind w:firstLine="480" w:firstLineChars="200"/>
        <w:rPr>
          <w:color w:val="0D0D0D"/>
          <w:sz w:val="24"/>
          <w:szCs w:val="24"/>
        </w:rPr>
      </w:pPr>
      <w:r>
        <w:rPr>
          <w:rFonts w:hint="eastAsia"/>
          <w:color w:val="0D0D0D"/>
          <w:sz w:val="24"/>
          <w:szCs w:val="24"/>
        </w:rPr>
        <w:t>3）对基金财产进行估值和变现；</w:t>
      </w:r>
    </w:p>
    <w:p>
      <w:pPr>
        <w:adjustRightInd w:val="0"/>
        <w:snapToGrid w:val="0"/>
        <w:spacing w:line="360" w:lineRule="auto"/>
        <w:ind w:firstLine="480" w:firstLineChars="200"/>
        <w:rPr>
          <w:color w:val="0D0D0D"/>
          <w:sz w:val="24"/>
          <w:szCs w:val="24"/>
        </w:rPr>
      </w:pPr>
      <w:r>
        <w:rPr>
          <w:rFonts w:hint="eastAsia"/>
          <w:color w:val="0D0D0D"/>
          <w:sz w:val="24"/>
          <w:szCs w:val="24"/>
        </w:rPr>
        <w:t>4）制作清算报告；</w:t>
      </w:r>
    </w:p>
    <w:p>
      <w:pPr>
        <w:adjustRightInd w:val="0"/>
        <w:snapToGrid w:val="0"/>
        <w:spacing w:line="360" w:lineRule="auto"/>
        <w:ind w:firstLine="480" w:firstLineChars="200"/>
        <w:rPr>
          <w:color w:val="0D0D0D"/>
          <w:sz w:val="24"/>
          <w:szCs w:val="24"/>
        </w:rPr>
      </w:pPr>
      <w:r>
        <w:rPr>
          <w:rFonts w:hint="eastAsia"/>
          <w:color w:val="0D0D0D"/>
          <w:sz w:val="24"/>
          <w:szCs w:val="24"/>
        </w:rPr>
        <w:t>5）聘请会计师事务所对清算报告进行外部审计，聘请律师事务所对清算报告出具法律意见书；</w:t>
      </w:r>
    </w:p>
    <w:p>
      <w:pPr>
        <w:adjustRightInd w:val="0"/>
        <w:snapToGrid w:val="0"/>
        <w:spacing w:line="360" w:lineRule="auto"/>
        <w:ind w:firstLine="480" w:firstLineChars="200"/>
        <w:rPr>
          <w:color w:val="0D0D0D"/>
          <w:sz w:val="24"/>
          <w:szCs w:val="24"/>
        </w:rPr>
      </w:pPr>
      <w:r>
        <w:rPr>
          <w:rFonts w:hint="eastAsia"/>
          <w:color w:val="0D0D0D"/>
          <w:sz w:val="24"/>
          <w:szCs w:val="24"/>
        </w:rPr>
        <w:t>6）将清算报告报中国证监会备案并公告；</w:t>
      </w:r>
    </w:p>
    <w:p>
      <w:pPr>
        <w:adjustRightInd w:val="0"/>
        <w:snapToGrid w:val="0"/>
        <w:spacing w:line="360" w:lineRule="auto"/>
        <w:ind w:firstLine="480" w:firstLineChars="200"/>
        <w:rPr>
          <w:color w:val="0D0D0D"/>
          <w:sz w:val="24"/>
          <w:szCs w:val="24"/>
        </w:rPr>
      </w:pPr>
      <w:r>
        <w:rPr>
          <w:rFonts w:hint="eastAsia"/>
          <w:color w:val="0D0D0D"/>
          <w:sz w:val="24"/>
          <w:szCs w:val="24"/>
        </w:rPr>
        <w:t>7）对基金剩余财产进行分配。</w:t>
      </w:r>
    </w:p>
    <w:p>
      <w:pPr>
        <w:adjustRightInd w:val="0"/>
        <w:snapToGrid w:val="0"/>
        <w:spacing w:line="360" w:lineRule="auto"/>
        <w:ind w:firstLine="480" w:firstLineChars="200"/>
        <w:rPr>
          <w:color w:val="0D0D0D"/>
          <w:sz w:val="24"/>
          <w:szCs w:val="24"/>
        </w:rPr>
      </w:pPr>
      <w:r>
        <w:rPr>
          <w:rFonts w:hint="eastAsia"/>
          <w:color w:val="0D0D0D"/>
          <w:sz w:val="24"/>
          <w:szCs w:val="24"/>
        </w:rPr>
        <w:t>基金财产清算的期限为6个月，但因本基金所持证券的流动性受到限制而不能及时变现的，清算期限相应顺延。</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6</w:t>
      </w:r>
      <w:r>
        <w:rPr>
          <w:rFonts w:hint="eastAsia"/>
          <w:color w:val="0D0D0D"/>
          <w:sz w:val="24"/>
          <w:szCs w:val="24"/>
        </w:rPr>
        <w:t>）清算费用</w:t>
      </w:r>
    </w:p>
    <w:p>
      <w:pPr>
        <w:adjustRightInd w:val="0"/>
        <w:snapToGrid w:val="0"/>
        <w:spacing w:line="360" w:lineRule="auto"/>
        <w:ind w:firstLine="480" w:firstLineChars="200"/>
        <w:rPr>
          <w:color w:val="0D0D0D"/>
          <w:sz w:val="24"/>
          <w:szCs w:val="24"/>
        </w:rPr>
      </w:pPr>
      <w:r>
        <w:rPr>
          <w:rFonts w:hint="eastAsia"/>
          <w:color w:val="0D0D0D"/>
          <w:sz w:val="24"/>
          <w:szCs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0" w:firstLineChars="200"/>
        <w:rPr>
          <w:color w:val="0D0D0D"/>
          <w:sz w:val="24"/>
          <w:szCs w:val="24"/>
        </w:rPr>
      </w:pPr>
      <w:r>
        <w:rPr>
          <w:rFonts w:hint="eastAsia"/>
          <w:color w:val="0D0D0D"/>
          <w:sz w:val="24"/>
          <w:szCs w:val="24"/>
        </w:rPr>
        <w:t>（7）基金财产按下列顺序清偿：</w:t>
      </w:r>
    </w:p>
    <w:p>
      <w:pPr>
        <w:adjustRightInd w:val="0"/>
        <w:snapToGrid w:val="0"/>
        <w:spacing w:line="360" w:lineRule="auto"/>
        <w:ind w:firstLine="480" w:firstLineChars="200"/>
        <w:rPr>
          <w:color w:val="0D0D0D"/>
          <w:sz w:val="24"/>
          <w:szCs w:val="24"/>
        </w:rPr>
      </w:pPr>
      <w:r>
        <w:rPr>
          <w:rFonts w:hint="eastAsia"/>
          <w:color w:val="0D0D0D"/>
          <w:sz w:val="24"/>
          <w:szCs w:val="24"/>
        </w:rPr>
        <w:t>1）支付清算费用；</w:t>
      </w:r>
    </w:p>
    <w:p>
      <w:pPr>
        <w:adjustRightInd w:val="0"/>
        <w:snapToGrid w:val="0"/>
        <w:spacing w:line="360" w:lineRule="auto"/>
        <w:ind w:firstLine="480" w:firstLineChars="200"/>
        <w:rPr>
          <w:color w:val="0D0D0D"/>
          <w:sz w:val="24"/>
          <w:szCs w:val="24"/>
        </w:rPr>
      </w:pPr>
      <w:r>
        <w:rPr>
          <w:color w:val="0D0D0D"/>
          <w:sz w:val="24"/>
          <w:szCs w:val="24"/>
        </w:rPr>
        <w:t>2</w:t>
      </w:r>
      <w:r>
        <w:rPr>
          <w:rFonts w:hint="eastAsia"/>
          <w:color w:val="0D0D0D"/>
          <w:sz w:val="24"/>
          <w:szCs w:val="24"/>
        </w:rPr>
        <w:t>）交纳所欠税款；</w:t>
      </w:r>
    </w:p>
    <w:p>
      <w:pPr>
        <w:adjustRightInd w:val="0"/>
        <w:snapToGrid w:val="0"/>
        <w:spacing w:line="360" w:lineRule="auto"/>
        <w:ind w:firstLine="480" w:firstLineChars="200"/>
        <w:rPr>
          <w:color w:val="0D0D0D"/>
          <w:sz w:val="24"/>
          <w:szCs w:val="24"/>
        </w:rPr>
      </w:pPr>
      <w:r>
        <w:rPr>
          <w:color w:val="0D0D0D"/>
          <w:sz w:val="24"/>
          <w:szCs w:val="24"/>
        </w:rPr>
        <w:t>3</w:t>
      </w:r>
      <w:r>
        <w:rPr>
          <w:rFonts w:hint="eastAsia"/>
          <w:color w:val="0D0D0D"/>
          <w:sz w:val="24"/>
          <w:szCs w:val="24"/>
        </w:rPr>
        <w:t>）清偿基金债务；</w:t>
      </w:r>
    </w:p>
    <w:p>
      <w:pPr>
        <w:adjustRightInd w:val="0"/>
        <w:snapToGrid w:val="0"/>
        <w:spacing w:line="360" w:lineRule="auto"/>
        <w:ind w:firstLine="480" w:firstLineChars="200"/>
        <w:rPr>
          <w:color w:val="0D0D0D"/>
          <w:sz w:val="24"/>
          <w:szCs w:val="24"/>
        </w:rPr>
      </w:pPr>
      <w:r>
        <w:rPr>
          <w:color w:val="0D0D0D"/>
          <w:sz w:val="24"/>
          <w:szCs w:val="24"/>
        </w:rPr>
        <w:t>4</w:t>
      </w:r>
      <w:r>
        <w:rPr>
          <w:rFonts w:hint="eastAsia"/>
          <w:color w:val="0D0D0D"/>
          <w:sz w:val="24"/>
          <w:szCs w:val="24"/>
        </w:rPr>
        <w:t>）按基金份额持有人持有的基金份额比例进行分配。</w:t>
      </w:r>
    </w:p>
    <w:p>
      <w:pPr>
        <w:adjustRightInd w:val="0"/>
        <w:snapToGrid w:val="0"/>
        <w:spacing w:line="360" w:lineRule="auto"/>
        <w:ind w:firstLine="480" w:firstLineChars="200"/>
        <w:rPr>
          <w:color w:val="0D0D0D"/>
          <w:sz w:val="24"/>
          <w:szCs w:val="24"/>
        </w:rPr>
      </w:pPr>
      <w:r>
        <w:rPr>
          <w:rFonts w:hint="eastAsia"/>
          <w:color w:val="0D0D0D"/>
          <w:sz w:val="24"/>
          <w:szCs w:val="24"/>
        </w:rPr>
        <w:t>基金财产未按前款1)－3)项规定清偿前，不分配给基金份额持有人。</w:t>
      </w:r>
    </w:p>
    <w:p>
      <w:pPr>
        <w:adjustRightInd w:val="0"/>
        <w:snapToGrid w:val="0"/>
        <w:spacing w:line="360" w:lineRule="auto"/>
        <w:ind w:firstLine="480" w:firstLineChars="200"/>
        <w:outlineLvl w:val="2"/>
        <w:rPr>
          <w:color w:val="0D0D0D"/>
          <w:sz w:val="24"/>
          <w:szCs w:val="24"/>
        </w:rPr>
      </w:pPr>
      <w:r>
        <w:rPr>
          <w:rFonts w:hint="eastAsia"/>
          <w:color w:val="0D0D0D"/>
          <w:sz w:val="24"/>
          <w:szCs w:val="24"/>
        </w:rPr>
        <w:t>3、基金财产清算的公告</w:t>
      </w:r>
    </w:p>
    <w:p>
      <w:pPr>
        <w:adjustRightInd w:val="0"/>
        <w:snapToGrid w:val="0"/>
        <w:spacing w:line="360" w:lineRule="auto"/>
        <w:ind w:firstLine="480" w:firstLineChars="200"/>
        <w:rPr>
          <w:color w:val="0D0D0D"/>
          <w:sz w:val="24"/>
          <w:szCs w:val="24"/>
        </w:rPr>
      </w:pPr>
      <w:r>
        <w:rPr>
          <w:rFonts w:hint="eastAsia"/>
          <w:color w:val="0D0D0D"/>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djustRightInd w:val="0"/>
        <w:snapToGrid w:val="0"/>
        <w:spacing w:line="360" w:lineRule="auto"/>
        <w:ind w:firstLine="480" w:firstLineChars="200"/>
        <w:outlineLvl w:val="2"/>
        <w:rPr>
          <w:color w:val="0D0D0D"/>
          <w:sz w:val="24"/>
          <w:szCs w:val="24"/>
        </w:rPr>
      </w:pPr>
      <w:r>
        <w:rPr>
          <w:rFonts w:hint="eastAsia"/>
          <w:color w:val="0D0D0D"/>
          <w:sz w:val="24"/>
          <w:szCs w:val="24"/>
        </w:rPr>
        <w:t>4、基金财产清算账册及文件的保存</w:t>
      </w:r>
    </w:p>
    <w:p>
      <w:pPr>
        <w:adjustRightInd w:val="0"/>
        <w:snapToGrid w:val="0"/>
        <w:spacing w:line="360" w:lineRule="auto"/>
        <w:ind w:firstLine="480" w:firstLineChars="200"/>
        <w:rPr>
          <w:rFonts w:ascii="宋体" w:hAnsi="宋体"/>
          <w:sz w:val="24"/>
        </w:rPr>
      </w:pPr>
      <w:r>
        <w:rPr>
          <w:rFonts w:hint="eastAsia"/>
          <w:color w:val="0D0D0D"/>
          <w:sz w:val="24"/>
          <w:szCs w:val="24"/>
        </w:rPr>
        <w:t>基金财产清算账册及有关文件由基金托管人保存不低于法律法规规定的最低期限</w:t>
      </w:r>
      <w:r>
        <w:rPr>
          <w:rFonts w:hint="eastAsia" w:ascii="宋体" w:hAnsi="宋体"/>
          <w:sz w:val="24"/>
        </w:rPr>
        <w:t>。</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1" w:name="_Toc48122022"/>
      <w:r>
        <w:rPr>
          <w:rFonts w:hint="eastAsia" w:ascii="宋体" w:hAnsi="宋体"/>
          <w:b/>
          <w:kern w:val="0"/>
          <w:sz w:val="30"/>
        </w:rPr>
        <w:t>二十一、对基金份额持有人的服务</w:t>
      </w:r>
      <w:bookmarkEnd w:id="101"/>
    </w:p>
    <w:p>
      <w:pPr>
        <w:widowControl/>
        <w:adjustRightInd w:val="0"/>
        <w:snapToGrid w:val="0"/>
        <w:spacing w:line="360" w:lineRule="auto"/>
        <w:ind w:firstLine="480" w:firstLineChars="20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pPr>
        <w:widowControl/>
        <w:adjustRightInd w:val="0"/>
        <w:snapToGrid w:val="0"/>
        <w:spacing w:line="360" w:lineRule="auto"/>
        <w:ind w:firstLine="482" w:firstLineChars="200"/>
        <w:rPr>
          <w:rFonts w:hAnsi="宋体"/>
          <w:b/>
          <w:kern w:val="0"/>
          <w:sz w:val="24"/>
        </w:rPr>
      </w:pPr>
      <w:r>
        <w:rPr>
          <w:rFonts w:hAnsi="宋体"/>
          <w:b/>
          <w:kern w:val="0"/>
          <w:sz w:val="24"/>
        </w:rPr>
        <w:t>（一）</w:t>
      </w:r>
      <w:r>
        <w:rPr>
          <w:rFonts w:hint="eastAsia" w:hAnsi="宋体"/>
          <w:b/>
          <w:kern w:val="0"/>
          <w:sz w:val="24"/>
        </w:rPr>
        <w:t>基金募集客户服务相关准备工作</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基金管理人将通过客户服务电话、公司网站、手机短信及其他服务形式，向投资者提供关于基金募集的信息咨询服务，并为投资者办理基金募集相关业务提供协助。</w:t>
      </w:r>
    </w:p>
    <w:p>
      <w:pPr>
        <w:widowControl/>
        <w:adjustRightInd w:val="0"/>
        <w:snapToGrid w:val="0"/>
        <w:spacing w:line="360" w:lineRule="auto"/>
        <w:ind w:firstLine="482" w:firstLineChars="200"/>
        <w:rPr>
          <w:rFonts w:hAnsi="宋体"/>
          <w:b/>
          <w:kern w:val="0"/>
          <w:sz w:val="24"/>
        </w:rPr>
      </w:pPr>
      <w:r>
        <w:rPr>
          <w:rFonts w:hAnsi="宋体"/>
          <w:b/>
          <w:kern w:val="0"/>
          <w:sz w:val="24"/>
        </w:rPr>
        <w:t>（二）网上</w:t>
      </w:r>
      <w:r>
        <w:rPr>
          <w:rFonts w:hint="eastAsia" w:hAnsi="宋体"/>
          <w:b/>
          <w:kern w:val="0"/>
          <w:sz w:val="24"/>
        </w:rPr>
        <w:t>直销</w:t>
      </w:r>
      <w:r>
        <w:rPr>
          <w:rFonts w:hAnsi="宋体"/>
          <w:b/>
          <w:kern w:val="0"/>
          <w:sz w:val="24"/>
        </w:rPr>
        <w:t>服务</w:t>
      </w:r>
    </w:p>
    <w:p>
      <w:pPr>
        <w:widowControl/>
        <w:adjustRightInd w:val="0"/>
        <w:snapToGrid w:val="0"/>
        <w:spacing w:line="360" w:lineRule="auto"/>
        <w:ind w:firstLine="480" w:firstLineChars="200"/>
        <w:rPr>
          <w:rFonts w:hAnsi="宋体"/>
          <w:kern w:val="0"/>
          <w:sz w:val="24"/>
        </w:rPr>
      </w:pPr>
      <w:r>
        <w:rPr>
          <w:rFonts w:hAnsi="宋体"/>
          <w:kern w:val="0"/>
          <w:sz w:val="24"/>
        </w:rPr>
        <w:t>本基金管理人已开通基金网上直销</w:t>
      </w:r>
      <w:r>
        <w:rPr>
          <w:rFonts w:hint="eastAsia" w:hAnsi="宋体"/>
          <w:kern w:val="0"/>
          <w:sz w:val="24"/>
        </w:rPr>
        <w:t>服务</w:t>
      </w:r>
      <w:r>
        <w:rPr>
          <w:rFonts w:hAnsi="宋体"/>
          <w:kern w:val="0"/>
          <w:sz w:val="24"/>
        </w:rPr>
        <w:t>，个人投资者可以直接通过本基金管理人的</w:t>
      </w:r>
      <w:r>
        <w:rPr>
          <w:rFonts w:hint="eastAsia" w:hAnsi="宋体"/>
          <w:kern w:val="0"/>
          <w:sz w:val="24"/>
        </w:rPr>
        <w:t>网上直销交易平台</w:t>
      </w:r>
      <w:r>
        <w:rPr>
          <w:rFonts w:hAnsi="宋体"/>
          <w:kern w:val="0"/>
          <w:sz w:val="24"/>
        </w:rPr>
        <w:t>办理开户手续，并在本基金募集期间</w:t>
      </w:r>
      <w:r>
        <w:rPr>
          <w:rFonts w:hint="eastAsia" w:hAnsi="宋体"/>
          <w:kern w:val="0"/>
          <w:sz w:val="24"/>
        </w:rPr>
        <w:t>通过网上直销交易平台</w:t>
      </w:r>
      <w:r>
        <w:rPr>
          <w:rFonts w:hAnsi="宋体"/>
          <w:kern w:val="0"/>
          <w:sz w:val="24"/>
        </w:rPr>
        <w:t>办理</w:t>
      </w:r>
      <w:r>
        <w:rPr>
          <w:rFonts w:hint="eastAsia" w:hAnsi="宋体"/>
          <w:kern w:val="0"/>
          <w:sz w:val="24"/>
        </w:rPr>
        <w:t>本基金的认购业务，在本基金</w:t>
      </w:r>
      <w:r>
        <w:rPr>
          <w:rFonts w:hAnsi="宋体"/>
          <w:kern w:val="0"/>
          <w:sz w:val="24"/>
        </w:rPr>
        <w:t>开放日常申购和赎回等业务后</w:t>
      </w:r>
      <w:r>
        <w:rPr>
          <w:rFonts w:hint="eastAsia" w:hAnsi="宋体"/>
          <w:kern w:val="0"/>
          <w:sz w:val="24"/>
        </w:rPr>
        <w:t>通过网上直销交易平台</w:t>
      </w:r>
      <w:r>
        <w:rPr>
          <w:rFonts w:hAnsi="宋体"/>
          <w:kern w:val="0"/>
          <w:sz w:val="24"/>
        </w:rPr>
        <w:t>办理</w:t>
      </w:r>
      <w:r>
        <w:rPr>
          <w:rFonts w:hint="eastAsia" w:hAnsi="宋体"/>
          <w:kern w:val="0"/>
          <w:sz w:val="24"/>
        </w:rPr>
        <w:t>本基金的申购和赎回等业务</w:t>
      </w:r>
      <w:r>
        <w:rPr>
          <w:rFonts w:hAnsi="宋体"/>
          <w:kern w:val="0"/>
          <w:sz w:val="24"/>
        </w:rPr>
        <w:t>，有关详情可参见相关公告。</w:t>
      </w:r>
    </w:p>
    <w:p>
      <w:pPr>
        <w:widowControl/>
        <w:adjustRightInd w:val="0"/>
        <w:snapToGrid w:val="0"/>
        <w:spacing w:line="360" w:lineRule="auto"/>
        <w:ind w:firstLine="480" w:firstLineChars="200"/>
        <w:rPr>
          <w:rFonts w:hAnsi="宋体"/>
          <w:kern w:val="0"/>
          <w:sz w:val="24"/>
        </w:rPr>
      </w:pPr>
      <w:r>
        <w:rPr>
          <w:rFonts w:hAnsi="宋体"/>
          <w:kern w:val="0"/>
          <w:sz w:val="24"/>
        </w:rPr>
        <w:t>基金网上直销</w:t>
      </w:r>
      <w:r>
        <w:rPr>
          <w:rFonts w:hint="eastAsia" w:hAnsi="宋体"/>
          <w:kern w:val="0"/>
          <w:sz w:val="24"/>
        </w:rPr>
        <w:t>交易平台</w:t>
      </w:r>
      <w:r>
        <w:rPr>
          <w:rFonts w:hAnsi="宋体"/>
          <w:kern w:val="0"/>
          <w:sz w:val="24"/>
        </w:rPr>
        <w:t>已开通的银行卡及各银行卡交易金额限额请参阅本</w:t>
      </w:r>
      <w:r>
        <w:rPr>
          <w:rFonts w:hint="eastAsia" w:hAnsi="宋体"/>
          <w:kern w:val="0"/>
          <w:sz w:val="24"/>
        </w:rPr>
        <w:t>基金管理人</w:t>
      </w:r>
      <w:r>
        <w:rPr>
          <w:rFonts w:hAnsi="宋体"/>
          <w:kern w:val="0"/>
          <w:sz w:val="24"/>
        </w:rPr>
        <w:t>网站。</w:t>
      </w:r>
    </w:p>
    <w:p>
      <w:pPr>
        <w:widowControl/>
        <w:adjustRightInd w:val="0"/>
        <w:snapToGrid w:val="0"/>
        <w:spacing w:line="360" w:lineRule="auto"/>
        <w:ind w:firstLine="480" w:firstLineChars="200"/>
        <w:rPr>
          <w:rFonts w:hAnsi="宋体"/>
          <w:kern w:val="0"/>
          <w:sz w:val="24"/>
        </w:rPr>
      </w:pPr>
      <w:r>
        <w:rPr>
          <w:rFonts w:hAnsi="宋体"/>
          <w:kern w:val="0"/>
          <w:sz w:val="24"/>
        </w:rPr>
        <w:t>在条件成熟的时候，本基金管理人将根据基金网上</w:t>
      </w:r>
      <w:r>
        <w:rPr>
          <w:rFonts w:hint="eastAsia" w:hAnsi="宋体"/>
          <w:kern w:val="0"/>
          <w:sz w:val="24"/>
        </w:rPr>
        <w:t>直销</w:t>
      </w:r>
      <w:r>
        <w:rPr>
          <w:rFonts w:hAnsi="宋体"/>
          <w:kern w:val="0"/>
          <w:sz w:val="24"/>
        </w:rPr>
        <w:t>业务的发展状况，适时</w:t>
      </w:r>
      <w:r>
        <w:rPr>
          <w:rFonts w:hint="eastAsia" w:hAnsi="宋体"/>
          <w:kern w:val="0"/>
          <w:sz w:val="24"/>
        </w:rPr>
        <w:t>调整</w:t>
      </w:r>
      <w:r>
        <w:rPr>
          <w:rFonts w:hAnsi="宋体"/>
          <w:kern w:val="0"/>
          <w:sz w:val="24"/>
        </w:rPr>
        <w:t>可用于</w:t>
      </w:r>
      <w:r>
        <w:rPr>
          <w:rFonts w:hint="eastAsia" w:hAnsi="宋体"/>
          <w:kern w:val="0"/>
          <w:sz w:val="24"/>
        </w:rPr>
        <w:t>网上直销交易平台</w:t>
      </w:r>
      <w:r>
        <w:rPr>
          <w:rFonts w:hAnsi="宋体"/>
          <w:kern w:val="0"/>
          <w:sz w:val="24"/>
        </w:rPr>
        <w:t>的银行卡种类，敬请投资人留意相关公告。</w:t>
      </w:r>
    </w:p>
    <w:p>
      <w:pPr>
        <w:widowControl/>
        <w:adjustRightInd w:val="0"/>
        <w:snapToGrid w:val="0"/>
        <w:spacing w:line="360" w:lineRule="auto"/>
        <w:ind w:firstLine="482" w:firstLineChars="200"/>
        <w:rPr>
          <w:rFonts w:hAnsi="宋体"/>
          <w:b/>
          <w:kern w:val="0"/>
          <w:sz w:val="24"/>
        </w:rPr>
      </w:pPr>
      <w:r>
        <w:rPr>
          <w:rFonts w:hAnsi="宋体"/>
          <w:b/>
          <w:kern w:val="0"/>
          <w:sz w:val="24"/>
        </w:rPr>
        <w:t>（三）信息咨询、查询服务</w:t>
      </w:r>
    </w:p>
    <w:p>
      <w:pPr>
        <w:widowControl/>
        <w:adjustRightInd w:val="0"/>
        <w:snapToGrid w:val="0"/>
        <w:spacing w:line="360" w:lineRule="auto"/>
        <w:ind w:firstLine="480" w:firstLineChars="20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pPr>
        <w:widowControl/>
        <w:adjustRightInd w:val="0"/>
        <w:snapToGrid w:val="0"/>
        <w:spacing w:line="360" w:lineRule="auto"/>
        <w:ind w:firstLine="480" w:firstLineChars="20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pPr>
        <w:widowControl/>
        <w:adjustRightInd w:val="0"/>
        <w:snapToGrid w:val="0"/>
        <w:spacing w:line="360" w:lineRule="auto"/>
        <w:ind w:firstLine="480" w:firstLineChars="200"/>
        <w:rPr>
          <w:kern w:val="0"/>
          <w:sz w:val="24"/>
        </w:rPr>
      </w:pPr>
      <w:r>
        <w:rPr>
          <w:kern w:val="0"/>
          <w:sz w:val="24"/>
        </w:rPr>
        <w:t>投资人可以拨打本基金管理人客户服务电话投诉直销机构的人员和服务。</w:t>
      </w:r>
    </w:p>
    <w:p>
      <w:pPr>
        <w:widowControl/>
        <w:adjustRightInd w:val="0"/>
        <w:snapToGrid w:val="0"/>
        <w:spacing w:line="360" w:lineRule="auto"/>
        <w:ind w:firstLine="482" w:firstLineChars="200"/>
        <w:rPr>
          <w:rFonts w:hAnsi="宋体"/>
          <w:b/>
          <w:kern w:val="0"/>
          <w:sz w:val="24"/>
        </w:rPr>
      </w:pPr>
      <w:r>
        <w:rPr>
          <w:rFonts w:hAnsi="宋体"/>
          <w:b/>
          <w:kern w:val="0"/>
          <w:sz w:val="24"/>
        </w:rPr>
        <w:t>（四）基金红利再投资</w:t>
      </w:r>
    </w:p>
    <w:p>
      <w:pPr>
        <w:widowControl/>
        <w:adjustRightInd w:val="0"/>
        <w:snapToGrid w:val="0"/>
        <w:spacing w:line="360" w:lineRule="auto"/>
        <w:ind w:firstLine="480" w:firstLineChars="200"/>
        <w:rPr>
          <w:kern w:val="0"/>
          <w:sz w:val="24"/>
        </w:rPr>
      </w:pPr>
      <w:r>
        <w:rPr>
          <w:kern w:val="0"/>
          <w:sz w:val="24"/>
        </w:rPr>
        <w:t>本基金收益分配时，</w:t>
      </w:r>
      <w:r>
        <w:rPr>
          <w:rFonts w:hint="eastAsia"/>
          <w:kern w:val="0"/>
          <w:sz w:val="24"/>
        </w:rPr>
        <w:t>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相应类别的基金份额，并免收申购费用。</w:t>
      </w:r>
    </w:p>
    <w:p>
      <w:pPr>
        <w:widowControl/>
        <w:adjustRightInd w:val="0"/>
        <w:snapToGrid w:val="0"/>
        <w:spacing w:line="360" w:lineRule="auto"/>
        <w:ind w:firstLine="482" w:firstLineChars="200"/>
        <w:rPr>
          <w:rFonts w:hAnsi="宋体"/>
          <w:b/>
          <w:kern w:val="0"/>
          <w:sz w:val="24"/>
        </w:rPr>
      </w:pPr>
      <w:r>
        <w:rPr>
          <w:rFonts w:hAnsi="宋体"/>
          <w:b/>
          <w:kern w:val="0"/>
          <w:sz w:val="24"/>
        </w:rPr>
        <w:t>（五）定期定额投资计划</w:t>
      </w:r>
    </w:p>
    <w:p>
      <w:pPr>
        <w:widowControl/>
        <w:adjustRightInd w:val="0"/>
        <w:snapToGrid w:val="0"/>
        <w:spacing w:line="360" w:lineRule="auto"/>
        <w:ind w:firstLine="480" w:firstLineChars="200"/>
        <w:rPr>
          <w:kern w:val="0"/>
          <w:sz w:val="24"/>
        </w:rPr>
      </w:pPr>
      <w:r>
        <w:rPr>
          <w:kern w:val="0"/>
          <w:sz w:val="24"/>
        </w:rPr>
        <w:t>待技术条件成熟时，基金</w:t>
      </w:r>
      <w:bookmarkStart w:id="102" w:name="OLE_LINK11"/>
      <w:r>
        <w:rPr>
          <w:kern w:val="0"/>
          <w:sz w:val="24"/>
        </w:rPr>
        <w:t>管理人可通过销售机构为投资人提供定期定额投资的服务。通过定期定额</w:t>
      </w:r>
      <w:bookmarkEnd w:id="102"/>
      <w:r>
        <w:rPr>
          <w:kern w:val="0"/>
          <w:sz w:val="24"/>
        </w:rPr>
        <w:t>投资计划，投资人可以定期定额申购基金份额，具体实施方法另行公告。</w:t>
      </w:r>
    </w:p>
    <w:p>
      <w:pPr>
        <w:widowControl/>
        <w:adjustRightInd w:val="0"/>
        <w:snapToGrid w:val="0"/>
        <w:spacing w:line="360" w:lineRule="auto"/>
        <w:ind w:firstLine="480" w:firstLineChars="200"/>
        <w:rPr>
          <w:kern w:val="0"/>
          <w:sz w:val="24"/>
        </w:rPr>
      </w:pPr>
      <w:r>
        <w:rPr>
          <w:rFonts w:hAnsi="宋体"/>
          <w:kern w:val="0"/>
          <w:sz w:val="24"/>
        </w:rPr>
        <w:t>服务联系方式：</w:t>
      </w:r>
    </w:p>
    <w:p>
      <w:pPr>
        <w:widowControl/>
        <w:adjustRightInd w:val="0"/>
        <w:snapToGrid w:val="0"/>
        <w:spacing w:line="360" w:lineRule="auto"/>
        <w:ind w:firstLine="480" w:firstLineChars="200"/>
        <w:rPr>
          <w:kern w:val="0"/>
          <w:sz w:val="24"/>
        </w:rPr>
      </w:pPr>
      <w:r>
        <w:rPr>
          <w:rFonts w:hAnsi="宋体"/>
          <w:kern w:val="0"/>
          <w:sz w:val="24"/>
        </w:rPr>
        <w:t>本基金管理人的互联网地址及电子信箱</w:t>
      </w:r>
    </w:p>
    <w:p>
      <w:pPr>
        <w:widowControl/>
        <w:adjustRightInd w:val="0"/>
        <w:snapToGrid w:val="0"/>
        <w:spacing w:line="360" w:lineRule="auto"/>
        <w:ind w:firstLine="480" w:firstLineChars="200"/>
        <w:rPr>
          <w:kern w:val="0"/>
          <w:sz w:val="24"/>
        </w:rPr>
      </w:pPr>
      <w:r>
        <w:rPr>
          <w:rFonts w:hAnsi="宋体"/>
          <w:kern w:val="0"/>
          <w:sz w:val="24"/>
        </w:rPr>
        <w:t>网址：</w:t>
      </w:r>
      <w:r>
        <w:fldChar w:fldCharType="begin"/>
      </w:r>
      <w:r>
        <w:instrText xml:space="preserve"> HYPERLINK "http://www.jysld.com或www.bocomschroder.com" </w:instrText>
      </w:r>
      <w:r>
        <w:fldChar w:fldCharType="separate"/>
      </w:r>
      <w:r>
        <w:rPr>
          <w:sz w:val="24"/>
        </w:rPr>
        <w:t>www.fund001.com</w:t>
      </w:r>
      <w:r>
        <w:rPr>
          <w:sz w:val="24"/>
        </w:rPr>
        <w:fldChar w:fldCharType="end"/>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电子信箱：</w:t>
      </w:r>
      <w:r>
        <w:rPr>
          <w:sz w:val="24"/>
        </w:rPr>
        <w:t>services@jysld.com</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投资者也可登录本基金管理人网站，直接提出有关本基金的问题和建议。</w:t>
      </w:r>
    </w:p>
    <w:p>
      <w:pPr>
        <w:widowControl/>
        <w:adjustRightInd w:val="0"/>
        <w:snapToGrid w:val="0"/>
        <w:spacing w:line="360" w:lineRule="auto"/>
        <w:ind w:firstLine="482" w:firstLineChars="200"/>
        <w:rPr>
          <w:rFonts w:ascii="宋体" w:hAnsi="宋体"/>
          <w:b/>
          <w:kern w:val="0"/>
          <w:sz w:val="24"/>
        </w:rPr>
      </w:pPr>
      <w:r>
        <w:rPr>
          <w:rFonts w:hint="eastAsia" w:hAnsi="宋体"/>
          <w:b/>
          <w:kern w:val="0"/>
          <w:sz w:val="24"/>
        </w:rPr>
        <w:t>（六）如本招募说明书存在任何您</w:t>
      </w:r>
      <w:r>
        <w:rPr>
          <w:rFonts w:hAnsi="宋体"/>
          <w:b/>
          <w:kern w:val="0"/>
          <w:sz w:val="24"/>
        </w:rPr>
        <w:t>/</w:t>
      </w:r>
      <w:r>
        <w:rPr>
          <w:rFonts w:hint="eastAsia" w:hAnsi="宋体"/>
          <w:b/>
          <w:kern w:val="0"/>
          <w:sz w:val="24"/>
        </w:rPr>
        <w:t>贵机构无法理解的内容，请通过上述方式联系基金管理人。请确保投资前，您</w:t>
      </w:r>
      <w:r>
        <w:rPr>
          <w:rFonts w:hAnsi="宋体"/>
          <w:b/>
          <w:kern w:val="0"/>
          <w:sz w:val="24"/>
        </w:rPr>
        <w:t>/</w:t>
      </w:r>
      <w:r>
        <w:rPr>
          <w:rFonts w:hint="eastAsia" w:hAnsi="宋体"/>
          <w:b/>
          <w:kern w:val="0"/>
          <w:sz w:val="24"/>
        </w:rPr>
        <w:t>贵机构已经全面理解了本招募说明书。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3" w:name="_Toc48122023"/>
      <w:r>
        <w:rPr>
          <w:rFonts w:hint="eastAsia" w:ascii="宋体" w:hAnsi="宋体"/>
          <w:b/>
          <w:kern w:val="0"/>
          <w:sz w:val="30"/>
        </w:rPr>
        <w:t>二十二、其他应披露事项</w:t>
      </w:r>
      <w:bookmarkEnd w:id="103"/>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基金合同如有未尽事宜，由基金合同当事人各方按有关法律法规协商解决。</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4" w:name="_Toc48122024"/>
      <w:r>
        <w:rPr>
          <w:rFonts w:hint="eastAsia" w:ascii="宋体" w:hAnsi="宋体"/>
          <w:b/>
          <w:kern w:val="0"/>
          <w:sz w:val="30"/>
        </w:rPr>
        <w:t>二十三、招募说明书的存放及查阅方式</w:t>
      </w:r>
      <w:bookmarkEnd w:id="104"/>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hint="eastAsia" w:ascii="宋体" w:hAnsi="宋体"/>
          <w:kern w:val="0"/>
          <w:sz w:val="24"/>
        </w:rPr>
        <w:t>办公</w:t>
      </w:r>
      <w:r>
        <w:rPr>
          <w:rFonts w:ascii="宋体" w:hAnsi="宋体"/>
          <w:kern w:val="0"/>
          <w:sz w:val="24"/>
        </w:rPr>
        <w:t>场所，投资人可在办公时间查阅；投资人在支付工本费后，可在合理时</w:t>
      </w:r>
      <w:bookmarkStart w:id="105" w:name="_Toc109537401"/>
      <w:r>
        <w:rPr>
          <w:rFonts w:ascii="宋体" w:hAnsi="宋体"/>
          <w:kern w:val="0"/>
          <w:sz w:val="24"/>
        </w:rPr>
        <w:t>间内取得上述文件复制件</w:t>
      </w:r>
      <w:bookmarkEnd w:id="105"/>
      <w:r>
        <w:rPr>
          <w:rFonts w:ascii="宋体" w:hAnsi="宋体"/>
          <w:kern w:val="0"/>
          <w:sz w:val="24"/>
        </w:rPr>
        <w:t>或复印件。对投资人按此种方式所获得的文件及其复印件，基金管理人和基金托管人</w:t>
      </w:r>
      <w:bookmarkStart w:id="106" w:name="_Toc109537402"/>
      <w:r>
        <w:rPr>
          <w:rFonts w:ascii="宋体" w:hAnsi="宋体"/>
          <w:kern w:val="0"/>
          <w:sz w:val="24"/>
        </w:rPr>
        <w:t>保证文本的内容与所公告的内容完全一</w:t>
      </w:r>
      <w:bookmarkEnd w:id="106"/>
      <w:r>
        <w:rPr>
          <w:rFonts w:ascii="宋体" w:hAnsi="宋体"/>
          <w:kern w:val="0"/>
          <w:sz w:val="24"/>
        </w:rPr>
        <w:t>致。</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投资人还可以直接登录基金管理人的网站（</w:t>
      </w:r>
      <w:r>
        <w:fldChar w:fldCharType="begin"/>
      </w:r>
      <w:r>
        <w:instrText xml:space="preserve"> HYPERLINK "http://www.fund001.com，www.bocomschroder.com" </w:instrText>
      </w:r>
      <w:r>
        <w:fldChar w:fldCharType="separate"/>
      </w:r>
      <w:r>
        <w:rPr>
          <w:rStyle w:val="31"/>
          <w:color w:val="auto"/>
          <w:sz w:val="24"/>
          <w:u w:val="none"/>
        </w:rPr>
        <w:t>www.fund001.com</w:t>
      </w:r>
      <w:r>
        <w:rPr>
          <w:rStyle w:val="31"/>
          <w:color w:val="auto"/>
          <w:sz w:val="24"/>
          <w:u w:val="none"/>
        </w:rPr>
        <w:fldChar w:fldCharType="end"/>
      </w:r>
      <w:r>
        <w:rPr>
          <w:rStyle w:val="31"/>
          <w:color w:val="auto"/>
          <w:u w:val="none"/>
        </w:rPr>
        <w:t>）</w:t>
      </w:r>
      <w:r>
        <w:rPr>
          <w:rFonts w:ascii="宋体" w:hAnsi="宋体"/>
          <w:kern w:val="0"/>
          <w:sz w:val="24"/>
        </w:rPr>
        <w:t>查阅和下载招募说明书。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7" w:name="_Toc48122025"/>
      <w:r>
        <w:rPr>
          <w:rFonts w:hint="eastAsia" w:ascii="宋体" w:hAnsi="宋体"/>
          <w:b/>
          <w:kern w:val="0"/>
          <w:sz w:val="30"/>
        </w:rPr>
        <w:t>二十四、备查文件</w:t>
      </w:r>
      <w:bookmarkEnd w:id="107"/>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以下备查文件存放在基金管理人的办公场所，在办公时间可供免费查阅。</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（一）中国证监会</w:t>
      </w:r>
      <w:r>
        <w:rPr>
          <w:rFonts w:hint="eastAsia" w:ascii="宋体" w:hAnsi="宋体"/>
          <w:kern w:val="0"/>
          <w:sz w:val="24"/>
          <w:szCs w:val="24"/>
        </w:rPr>
        <w:t>准予</w:t>
      </w:r>
      <w:r>
        <w:rPr>
          <w:rFonts w:ascii="宋体" w:hAnsi="宋体"/>
          <w:kern w:val="0"/>
          <w:sz w:val="24"/>
        </w:rPr>
        <w:t>交银施罗德成长动力</w:t>
      </w:r>
      <w:r>
        <w:rPr>
          <w:rFonts w:hint="eastAsia"/>
          <w:bCs/>
          <w:sz w:val="24"/>
        </w:rPr>
        <w:t>一年持有期</w:t>
      </w:r>
      <w:r>
        <w:rPr>
          <w:rFonts w:ascii="宋体" w:hAnsi="宋体"/>
          <w:kern w:val="0"/>
          <w:sz w:val="24"/>
        </w:rPr>
        <w:t>混合型证券投资基金募集</w:t>
      </w:r>
      <w:r>
        <w:rPr>
          <w:rFonts w:hint="eastAsia" w:ascii="宋体" w:hAnsi="宋体"/>
          <w:kern w:val="0"/>
          <w:sz w:val="24"/>
          <w:szCs w:val="24"/>
        </w:rPr>
        <w:t>注册</w:t>
      </w:r>
      <w:r>
        <w:rPr>
          <w:rFonts w:ascii="宋体" w:hAnsi="宋体"/>
          <w:kern w:val="0"/>
          <w:sz w:val="24"/>
        </w:rPr>
        <w:t>的文件</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（二）《交银施罗德成长动力</w:t>
      </w:r>
      <w:r>
        <w:rPr>
          <w:rFonts w:hint="eastAsia"/>
          <w:bCs/>
          <w:sz w:val="24"/>
        </w:rPr>
        <w:t>一年持有期</w:t>
      </w:r>
      <w:r>
        <w:rPr>
          <w:rFonts w:ascii="宋体" w:hAnsi="宋体"/>
          <w:kern w:val="0"/>
          <w:sz w:val="24"/>
        </w:rPr>
        <w:t>混合型证券投资基金基金合同》</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三</w:t>
      </w:r>
      <w:r>
        <w:rPr>
          <w:rFonts w:hint="eastAsia" w:ascii="宋体" w:hAnsi="宋体"/>
          <w:kern w:val="0"/>
          <w:sz w:val="24"/>
        </w:rPr>
        <w:t>）</w:t>
      </w:r>
      <w:r>
        <w:rPr>
          <w:rFonts w:ascii="宋体" w:hAnsi="宋体"/>
          <w:kern w:val="0"/>
          <w:sz w:val="24"/>
        </w:rPr>
        <w:t>《交银施罗德成长动力</w:t>
      </w:r>
      <w:r>
        <w:rPr>
          <w:rFonts w:hint="eastAsia"/>
          <w:bCs/>
          <w:sz w:val="24"/>
        </w:rPr>
        <w:t>一年持有期</w:t>
      </w:r>
      <w:r>
        <w:rPr>
          <w:rFonts w:ascii="宋体" w:hAnsi="宋体"/>
          <w:kern w:val="0"/>
          <w:sz w:val="24"/>
        </w:rPr>
        <w:t>混合型证券投资基金托管协议》</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（四）</w:t>
      </w:r>
      <w:r>
        <w:rPr>
          <w:rFonts w:ascii="宋体" w:hAnsi="宋体"/>
          <w:kern w:val="0"/>
          <w:sz w:val="24"/>
        </w:rPr>
        <w:t>基金管理人业务资格批件、营业执照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五</w:t>
      </w:r>
      <w:r>
        <w:rPr>
          <w:rFonts w:ascii="宋体" w:hAnsi="宋体"/>
          <w:kern w:val="0"/>
          <w:sz w:val="24"/>
        </w:rPr>
        <w:t>）基金托管人业务资格批件、营业执照</w:t>
      </w:r>
    </w:p>
    <w:p>
      <w:pPr>
        <w:widowControl/>
        <w:adjustRightInd w:val="0"/>
        <w:snapToGrid w:val="0"/>
        <w:spacing w:line="360" w:lineRule="auto"/>
        <w:ind w:firstLine="480" w:firstLineChars="200"/>
      </w:pPr>
      <w:r>
        <w:rPr>
          <w:rFonts w:ascii="宋体" w:hAnsi="宋体"/>
          <w:kern w:val="0"/>
          <w:sz w:val="24"/>
        </w:rPr>
        <w:t>（</w:t>
      </w:r>
      <w:r>
        <w:rPr>
          <w:rFonts w:hint="eastAsia" w:ascii="宋体" w:hAnsi="宋体"/>
          <w:kern w:val="0"/>
          <w:sz w:val="24"/>
        </w:rPr>
        <w:t>六</w:t>
      </w:r>
      <w:r>
        <w:rPr>
          <w:rFonts w:ascii="宋体" w:hAnsi="宋体"/>
          <w:kern w:val="0"/>
          <w:sz w:val="24"/>
        </w:rPr>
        <w:t>）关于</w:t>
      </w:r>
      <w:r>
        <w:rPr>
          <w:rFonts w:hint="eastAsia" w:ascii="宋体" w:hAnsi="宋体"/>
          <w:kern w:val="0"/>
          <w:sz w:val="24"/>
        </w:rPr>
        <w:t>申请</w:t>
      </w:r>
      <w:r>
        <w:rPr>
          <w:rFonts w:ascii="宋体" w:hAnsi="宋体"/>
          <w:kern w:val="0"/>
          <w:sz w:val="24"/>
        </w:rPr>
        <w:t>募集</w:t>
      </w:r>
      <w:r>
        <w:rPr>
          <w:rFonts w:hint="eastAsia" w:ascii="宋体" w:hAnsi="宋体"/>
          <w:kern w:val="0"/>
          <w:sz w:val="24"/>
          <w:szCs w:val="24"/>
        </w:rPr>
        <w:t>注册</w:t>
      </w:r>
      <w:r>
        <w:rPr>
          <w:rFonts w:ascii="宋体" w:hAnsi="宋体"/>
          <w:kern w:val="0"/>
          <w:sz w:val="24"/>
        </w:rPr>
        <w:t>交银施罗德成长动力</w:t>
      </w:r>
      <w:r>
        <w:rPr>
          <w:rFonts w:hint="eastAsia"/>
          <w:bCs/>
          <w:sz w:val="24"/>
        </w:rPr>
        <w:t>一年持有期</w:t>
      </w:r>
      <w:r>
        <w:rPr>
          <w:rFonts w:ascii="宋体" w:hAnsi="宋体"/>
          <w:kern w:val="0"/>
          <w:sz w:val="24"/>
        </w:rPr>
        <w:t>混合型证券投资基金</w:t>
      </w:r>
      <w:r>
        <w:rPr>
          <w:rFonts w:hint="eastAsia" w:ascii="宋体" w:hAnsi="宋体"/>
          <w:kern w:val="0"/>
          <w:sz w:val="24"/>
        </w:rPr>
        <w:t>的</w:t>
      </w:r>
      <w:r>
        <w:rPr>
          <w:rFonts w:ascii="宋体" w:hAnsi="宋体"/>
          <w:kern w:val="0"/>
          <w:sz w:val="24"/>
        </w:rPr>
        <w:t>法律意见书</w:t>
      </w:r>
    </w:p>
    <w:sectPr>
      <w:headerReference r:id="rId3" w:type="default"/>
      <w:footerReference r:id="rId4" w:type="default"/>
      <w:pgSz w:w="12240" w:h="15840"/>
      <w:pgMar w:top="1440" w:right="1800" w:bottom="1440" w:left="1800" w:header="720" w:footer="720"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五">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5</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交银施罗德成长动力一年持有期混合型证券投资基金招募说明书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415BF"/>
    <w:multiLevelType w:val="multilevel"/>
    <w:tmpl w:val="4AC415B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74B6284A"/>
    <w:multiLevelType w:val="multilevel"/>
    <w:tmpl w:val="74B6284A"/>
    <w:lvl w:ilvl="0" w:tentative="0">
      <w:start w:val="10"/>
      <w:numFmt w:val="japaneseCounting"/>
      <w:lvlText w:val="（%1）"/>
      <w:lvlJc w:val="left"/>
      <w:pPr>
        <w:ind w:left="1232" w:hanging="75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3380"/>
    <w:rsid w:val="00013CF1"/>
    <w:rsid w:val="00014138"/>
    <w:rsid w:val="000141E9"/>
    <w:rsid w:val="000142D4"/>
    <w:rsid w:val="000142FC"/>
    <w:rsid w:val="00014A8B"/>
    <w:rsid w:val="00015379"/>
    <w:rsid w:val="00015550"/>
    <w:rsid w:val="00015DB8"/>
    <w:rsid w:val="00016BA8"/>
    <w:rsid w:val="00021295"/>
    <w:rsid w:val="0002132B"/>
    <w:rsid w:val="00021950"/>
    <w:rsid w:val="00022409"/>
    <w:rsid w:val="00023E32"/>
    <w:rsid w:val="00023E75"/>
    <w:rsid w:val="000248AB"/>
    <w:rsid w:val="00025D7E"/>
    <w:rsid w:val="00026566"/>
    <w:rsid w:val="0003244B"/>
    <w:rsid w:val="00032B65"/>
    <w:rsid w:val="00032ED5"/>
    <w:rsid w:val="00033D71"/>
    <w:rsid w:val="00034F61"/>
    <w:rsid w:val="0003520D"/>
    <w:rsid w:val="00035769"/>
    <w:rsid w:val="0003639E"/>
    <w:rsid w:val="00037275"/>
    <w:rsid w:val="000376EB"/>
    <w:rsid w:val="00041E92"/>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1F72"/>
    <w:rsid w:val="00062891"/>
    <w:rsid w:val="000635F3"/>
    <w:rsid w:val="00065B95"/>
    <w:rsid w:val="000663E4"/>
    <w:rsid w:val="0006649F"/>
    <w:rsid w:val="00066B5D"/>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2BA8"/>
    <w:rsid w:val="00084506"/>
    <w:rsid w:val="00084CED"/>
    <w:rsid w:val="0008593A"/>
    <w:rsid w:val="000866EF"/>
    <w:rsid w:val="00087169"/>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DC7"/>
    <w:rsid w:val="000A21D3"/>
    <w:rsid w:val="000A2FD3"/>
    <w:rsid w:val="000A3044"/>
    <w:rsid w:val="000A365C"/>
    <w:rsid w:val="000A36E6"/>
    <w:rsid w:val="000A3CA6"/>
    <w:rsid w:val="000A3FB4"/>
    <w:rsid w:val="000A553E"/>
    <w:rsid w:val="000A775B"/>
    <w:rsid w:val="000B07CA"/>
    <w:rsid w:val="000B086A"/>
    <w:rsid w:val="000B1A18"/>
    <w:rsid w:val="000B26A8"/>
    <w:rsid w:val="000B3D39"/>
    <w:rsid w:val="000B4C2D"/>
    <w:rsid w:val="000B4FB6"/>
    <w:rsid w:val="000B6967"/>
    <w:rsid w:val="000B78FB"/>
    <w:rsid w:val="000C0148"/>
    <w:rsid w:val="000C1A8D"/>
    <w:rsid w:val="000C2295"/>
    <w:rsid w:val="000C2DD2"/>
    <w:rsid w:val="000C2E07"/>
    <w:rsid w:val="000C4E01"/>
    <w:rsid w:val="000C650A"/>
    <w:rsid w:val="000C7711"/>
    <w:rsid w:val="000C7F7F"/>
    <w:rsid w:val="000D0D52"/>
    <w:rsid w:val="000D0ED3"/>
    <w:rsid w:val="000D1375"/>
    <w:rsid w:val="000D37C6"/>
    <w:rsid w:val="000D3A89"/>
    <w:rsid w:val="000D49D5"/>
    <w:rsid w:val="000D52A6"/>
    <w:rsid w:val="000D5329"/>
    <w:rsid w:val="000D5EB3"/>
    <w:rsid w:val="000D6B73"/>
    <w:rsid w:val="000D76D1"/>
    <w:rsid w:val="000E03C3"/>
    <w:rsid w:val="000E1BE0"/>
    <w:rsid w:val="000E32F8"/>
    <w:rsid w:val="000E3675"/>
    <w:rsid w:val="000E3794"/>
    <w:rsid w:val="000E3A6B"/>
    <w:rsid w:val="000E3F89"/>
    <w:rsid w:val="000E4049"/>
    <w:rsid w:val="000E4073"/>
    <w:rsid w:val="000E410D"/>
    <w:rsid w:val="000E456C"/>
    <w:rsid w:val="000E53EB"/>
    <w:rsid w:val="000E57A1"/>
    <w:rsid w:val="000F1899"/>
    <w:rsid w:val="000F2783"/>
    <w:rsid w:val="000F5072"/>
    <w:rsid w:val="000F525A"/>
    <w:rsid w:val="000F5363"/>
    <w:rsid w:val="000F603F"/>
    <w:rsid w:val="000F6855"/>
    <w:rsid w:val="000F7635"/>
    <w:rsid w:val="00100052"/>
    <w:rsid w:val="001005E7"/>
    <w:rsid w:val="0010062F"/>
    <w:rsid w:val="00100DB6"/>
    <w:rsid w:val="00100FB6"/>
    <w:rsid w:val="00101BCD"/>
    <w:rsid w:val="00101D6B"/>
    <w:rsid w:val="00101DDD"/>
    <w:rsid w:val="00102F17"/>
    <w:rsid w:val="001032A4"/>
    <w:rsid w:val="0010389E"/>
    <w:rsid w:val="00103B2F"/>
    <w:rsid w:val="00104092"/>
    <w:rsid w:val="00105E2F"/>
    <w:rsid w:val="00106936"/>
    <w:rsid w:val="00106E70"/>
    <w:rsid w:val="00107C20"/>
    <w:rsid w:val="00107D4B"/>
    <w:rsid w:val="00107D54"/>
    <w:rsid w:val="00107EED"/>
    <w:rsid w:val="001110CF"/>
    <w:rsid w:val="00111562"/>
    <w:rsid w:val="00111801"/>
    <w:rsid w:val="0011248F"/>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2012"/>
    <w:rsid w:val="001325E6"/>
    <w:rsid w:val="00132970"/>
    <w:rsid w:val="001336A1"/>
    <w:rsid w:val="00134304"/>
    <w:rsid w:val="001347F3"/>
    <w:rsid w:val="00135C0D"/>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77B"/>
    <w:rsid w:val="001551F2"/>
    <w:rsid w:val="00155489"/>
    <w:rsid w:val="0015580D"/>
    <w:rsid w:val="0015580E"/>
    <w:rsid w:val="00155C90"/>
    <w:rsid w:val="00155C9F"/>
    <w:rsid w:val="00156CDE"/>
    <w:rsid w:val="001577C7"/>
    <w:rsid w:val="00157AAF"/>
    <w:rsid w:val="00160163"/>
    <w:rsid w:val="001623B0"/>
    <w:rsid w:val="001629C9"/>
    <w:rsid w:val="001629DE"/>
    <w:rsid w:val="001648AA"/>
    <w:rsid w:val="001651A4"/>
    <w:rsid w:val="00165F32"/>
    <w:rsid w:val="00166E4B"/>
    <w:rsid w:val="00166E76"/>
    <w:rsid w:val="00167015"/>
    <w:rsid w:val="001670ED"/>
    <w:rsid w:val="0017072D"/>
    <w:rsid w:val="001723A3"/>
    <w:rsid w:val="00172632"/>
    <w:rsid w:val="00172A27"/>
    <w:rsid w:val="00172E25"/>
    <w:rsid w:val="00172E34"/>
    <w:rsid w:val="00172FA0"/>
    <w:rsid w:val="001732A9"/>
    <w:rsid w:val="001735DD"/>
    <w:rsid w:val="00174853"/>
    <w:rsid w:val="00175439"/>
    <w:rsid w:val="00175E1A"/>
    <w:rsid w:val="001760E1"/>
    <w:rsid w:val="00176574"/>
    <w:rsid w:val="00176E7D"/>
    <w:rsid w:val="001773F2"/>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978C7"/>
    <w:rsid w:val="001A1652"/>
    <w:rsid w:val="001A191E"/>
    <w:rsid w:val="001A2DD1"/>
    <w:rsid w:val="001A3878"/>
    <w:rsid w:val="001A39CE"/>
    <w:rsid w:val="001A401D"/>
    <w:rsid w:val="001A49AE"/>
    <w:rsid w:val="001A57CF"/>
    <w:rsid w:val="001A58FE"/>
    <w:rsid w:val="001A63B8"/>
    <w:rsid w:val="001B0D8E"/>
    <w:rsid w:val="001B2567"/>
    <w:rsid w:val="001B30C8"/>
    <w:rsid w:val="001B33A8"/>
    <w:rsid w:val="001B4357"/>
    <w:rsid w:val="001B46A1"/>
    <w:rsid w:val="001B480D"/>
    <w:rsid w:val="001B5948"/>
    <w:rsid w:val="001B63A2"/>
    <w:rsid w:val="001B65BB"/>
    <w:rsid w:val="001B7CA2"/>
    <w:rsid w:val="001C3484"/>
    <w:rsid w:val="001C3695"/>
    <w:rsid w:val="001C3EAB"/>
    <w:rsid w:val="001C5648"/>
    <w:rsid w:val="001C651B"/>
    <w:rsid w:val="001D06DB"/>
    <w:rsid w:val="001D0792"/>
    <w:rsid w:val="001D0A65"/>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F103E"/>
    <w:rsid w:val="001F1BCF"/>
    <w:rsid w:val="001F267C"/>
    <w:rsid w:val="001F2812"/>
    <w:rsid w:val="001F28DB"/>
    <w:rsid w:val="001F3D5E"/>
    <w:rsid w:val="001F4DF7"/>
    <w:rsid w:val="001F4EDB"/>
    <w:rsid w:val="001F52BC"/>
    <w:rsid w:val="001F6638"/>
    <w:rsid w:val="001F6E63"/>
    <w:rsid w:val="00200729"/>
    <w:rsid w:val="0020102F"/>
    <w:rsid w:val="00201A69"/>
    <w:rsid w:val="00201F37"/>
    <w:rsid w:val="002022D7"/>
    <w:rsid w:val="002027A1"/>
    <w:rsid w:val="00202A26"/>
    <w:rsid w:val="0020442C"/>
    <w:rsid w:val="00204B5D"/>
    <w:rsid w:val="002053F4"/>
    <w:rsid w:val="00205728"/>
    <w:rsid w:val="002065B3"/>
    <w:rsid w:val="00206F43"/>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E1A"/>
    <w:rsid w:val="0022028D"/>
    <w:rsid w:val="00220FBF"/>
    <w:rsid w:val="00221127"/>
    <w:rsid w:val="002213BF"/>
    <w:rsid w:val="00221F92"/>
    <w:rsid w:val="002224EC"/>
    <w:rsid w:val="002229B0"/>
    <w:rsid w:val="00222DC0"/>
    <w:rsid w:val="002233A2"/>
    <w:rsid w:val="00223DD8"/>
    <w:rsid w:val="0022464C"/>
    <w:rsid w:val="00225114"/>
    <w:rsid w:val="0022586B"/>
    <w:rsid w:val="00226E99"/>
    <w:rsid w:val="00227112"/>
    <w:rsid w:val="0022796A"/>
    <w:rsid w:val="002339A6"/>
    <w:rsid w:val="002344C9"/>
    <w:rsid w:val="00234677"/>
    <w:rsid w:val="0023502A"/>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77"/>
    <w:rsid w:val="002519BA"/>
    <w:rsid w:val="0025234F"/>
    <w:rsid w:val="00253250"/>
    <w:rsid w:val="0025340B"/>
    <w:rsid w:val="002535F7"/>
    <w:rsid w:val="00253CD8"/>
    <w:rsid w:val="002553F3"/>
    <w:rsid w:val="00256021"/>
    <w:rsid w:val="002564B8"/>
    <w:rsid w:val="00256ACE"/>
    <w:rsid w:val="0025795A"/>
    <w:rsid w:val="00261278"/>
    <w:rsid w:val="0026254E"/>
    <w:rsid w:val="002635EC"/>
    <w:rsid w:val="00264191"/>
    <w:rsid w:val="00264AD1"/>
    <w:rsid w:val="00265A1F"/>
    <w:rsid w:val="00265FD2"/>
    <w:rsid w:val="002661A3"/>
    <w:rsid w:val="00266ACE"/>
    <w:rsid w:val="00266B21"/>
    <w:rsid w:val="00272220"/>
    <w:rsid w:val="002724C0"/>
    <w:rsid w:val="00273181"/>
    <w:rsid w:val="00274DB0"/>
    <w:rsid w:val="002802E4"/>
    <w:rsid w:val="00281F8E"/>
    <w:rsid w:val="00282F4D"/>
    <w:rsid w:val="00283237"/>
    <w:rsid w:val="002860B5"/>
    <w:rsid w:val="002869FF"/>
    <w:rsid w:val="00287E74"/>
    <w:rsid w:val="00290B48"/>
    <w:rsid w:val="002920F3"/>
    <w:rsid w:val="00292156"/>
    <w:rsid w:val="0029355B"/>
    <w:rsid w:val="00293BC8"/>
    <w:rsid w:val="00296193"/>
    <w:rsid w:val="0029691D"/>
    <w:rsid w:val="002979EB"/>
    <w:rsid w:val="002A1944"/>
    <w:rsid w:val="002A25B1"/>
    <w:rsid w:val="002A2657"/>
    <w:rsid w:val="002A30AC"/>
    <w:rsid w:val="002A4A10"/>
    <w:rsid w:val="002A4E3E"/>
    <w:rsid w:val="002A5387"/>
    <w:rsid w:val="002A6364"/>
    <w:rsid w:val="002A6B5C"/>
    <w:rsid w:val="002B02A1"/>
    <w:rsid w:val="002B0DD7"/>
    <w:rsid w:val="002B0F37"/>
    <w:rsid w:val="002B180D"/>
    <w:rsid w:val="002B2AC2"/>
    <w:rsid w:val="002B2F63"/>
    <w:rsid w:val="002B37CD"/>
    <w:rsid w:val="002B537B"/>
    <w:rsid w:val="002B7181"/>
    <w:rsid w:val="002B74A2"/>
    <w:rsid w:val="002B78F9"/>
    <w:rsid w:val="002C01CE"/>
    <w:rsid w:val="002C08AA"/>
    <w:rsid w:val="002C0BB9"/>
    <w:rsid w:val="002C269B"/>
    <w:rsid w:val="002C4278"/>
    <w:rsid w:val="002C6411"/>
    <w:rsid w:val="002C77BA"/>
    <w:rsid w:val="002C7A89"/>
    <w:rsid w:val="002D17E5"/>
    <w:rsid w:val="002D193A"/>
    <w:rsid w:val="002D19CB"/>
    <w:rsid w:val="002D1D28"/>
    <w:rsid w:val="002D2527"/>
    <w:rsid w:val="002D355B"/>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6F"/>
    <w:rsid w:val="002F3DC0"/>
    <w:rsid w:val="002F5679"/>
    <w:rsid w:val="002F579F"/>
    <w:rsid w:val="002F5CD3"/>
    <w:rsid w:val="002F60EF"/>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43D5"/>
    <w:rsid w:val="0031526E"/>
    <w:rsid w:val="00316510"/>
    <w:rsid w:val="003166AE"/>
    <w:rsid w:val="00316DA0"/>
    <w:rsid w:val="00316FC1"/>
    <w:rsid w:val="00320B50"/>
    <w:rsid w:val="003221C1"/>
    <w:rsid w:val="00322B67"/>
    <w:rsid w:val="00322DA4"/>
    <w:rsid w:val="00323072"/>
    <w:rsid w:val="00323779"/>
    <w:rsid w:val="00327520"/>
    <w:rsid w:val="0033022C"/>
    <w:rsid w:val="00330610"/>
    <w:rsid w:val="0033142F"/>
    <w:rsid w:val="003315C6"/>
    <w:rsid w:val="00332FA9"/>
    <w:rsid w:val="0033329C"/>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7A5"/>
    <w:rsid w:val="00344829"/>
    <w:rsid w:val="00344A3B"/>
    <w:rsid w:val="00345DE5"/>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BA1"/>
    <w:rsid w:val="00364553"/>
    <w:rsid w:val="00365D8B"/>
    <w:rsid w:val="00366575"/>
    <w:rsid w:val="003665B0"/>
    <w:rsid w:val="0036688E"/>
    <w:rsid w:val="00367342"/>
    <w:rsid w:val="003709B2"/>
    <w:rsid w:val="003722A1"/>
    <w:rsid w:val="00372916"/>
    <w:rsid w:val="00372E5D"/>
    <w:rsid w:val="00372E9D"/>
    <w:rsid w:val="0037356F"/>
    <w:rsid w:val="003745A7"/>
    <w:rsid w:val="00374ABC"/>
    <w:rsid w:val="003750FA"/>
    <w:rsid w:val="00375104"/>
    <w:rsid w:val="00375A29"/>
    <w:rsid w:val="00375DCF"/>
    <w:rsid w:val="00375ECD"/>
    <w:rsid w:val="0037714B"/>
    <w:rsid w:val="003775BF"/>
    <w:rsid w:val="003805DF"/>
    <w:rsid w:val="00380AF9"/>
    <w:rsid w:val="00381452"/>
    <w:rsid w:val="0038287E"/>
    <w:rsid w:val="00383134"/>
    <w:rsid w:val="00384AEF"/>
    <w:rsid w:val="00384D22"/>
    <w:rsid w:val="00385221"/>
    <w:rsid w:val="00385C62"/>
    <w:rsid w:val="00385CDC"/>
    <w:rsid w:val="003874B9"/>
    <w:rsid w:val="00387671"/>
    <w:rsid w:val="00387ABE"/>
    <w:rsid w:val="003909E2"/>
    <w:rsid w:val="00391677"/>
    <w:rsid w:val="00392C8E"/>
    <w:rsid w:val="003931C6"/>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2B4A"/>
    <w:rsid w:val="003A333A"/>
    <w:rsid w:val="003A36DB"/>
    <w:rsid w:val="003A5CAC"/>
    <w:rsid w:val="003A63FD"/>
    <w:rsid w:val="003A74EE"/>
    <w:rsid w:val="003B0B0C"/>
    <w:rsid w:val="003B28BE"/>
    <w:rsid w:val="003B2C40"/>
    <w:rsid w:val="003B37E7"/>
    <w:rsid w:val="003B4153"/>
    <w:rsid w:val="003B64DF"/>
    <w:rsid w:val="003B66E3"/>
    <w:rsid w:val="003B7286"/>
    <w:rsid w:val="003C048E"/>
    <w:rsid w:val="003C0901"/>
    <w:rsid w:val="003C0ED9"/>
    <w:rsid w:val="003C0F87"/>
    <w:rsid w:val="003C2778"/>
    <w:rsid w:val="003C2DAE"/>
    <w:rsid w:val="003C2E24"/>
    <w:rsid w:val="003C354F"/>
    <w:rsid w:val="003C4D79"/>
    <w:rsid w:val="003C6226"/>
    <w:rsid w:val="003C7623"/>
    <w:rsid w:val="003D0009"/>
    <w:rsid w:val="003D08F8"/>
    <w:rsid w:val="003D0EF7"/>
    <w:rsid w:val="003D1A34"/>
    <w:rsid w:val="003D1D93"/>
    <w:rsid w:val="003D5261"/>
    <w:rsid w:val="003D5457"/>
    <w:rsid w:val="003D54ED"/>
    <w:rsid w:val="003D5728"/>
    <w:rsid w:val="003D5A80"/>
    <w:rsid w:val="003D7221"/>
    <w:rsid w:val="003E03BB"/>
    <w:rsid w:val="003E1676"/>
    <w:rsid w:val="003E1CAC"/>
    <w:rsid w:val="003E2863"/>
    <w:rsid w:val="003E33E0"/>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6A96"/>
    <w:rsid w:val="003F6DDA"/>
    <w:rsid w:val="003F6DDC"/>
    <w:rsid w:val="003F71DE"/>
    <w:rsid w:val="003F7771"/>
    <w:rsid w:val="003F7C6A"/>
    <w:rsid w:val="0040058D"/>
    <w:rsid w:val="004007B8"/>
    <w:rsid w:val="0040380B"/>
    <w:rsid w:val="004058F5"/>
    <w:rsid w:val="00406408"/>
    <w:rsid w:val="00407006"/>
    <w:rsid w:val="00407976"/>
    <w:rsid w:val="00407A35"/>
    <w:rsid w:val="004104FD"/>
    <w:rsid w:val="004106AA"/>
    <w:rsid w:val="004106FE"/>
    <w:rsid w:val="004112DB"/>
    <w:rsid w:val="00412865"/>
    <w:rsid w:val="00413E5F"/>
    <w:rsid w:val="0041460D"/>
    <w:rsid w:val="004151D7"/>
    <w:rsid w:val="0041611F"/>
    <w:rsid w:val="00420BF4"/>
    <w:rsid w:val="00423237"/>
    <w:rsid w:val="00423DC6"/>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90E"/>
    <w:rsid w:val="00443C68"/>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57F1F"/>
    <w:rsid w:val="004603A2"/>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1A4"/>
    <w:rsid w:val="00471F0A"/>
    <w:rsid w:val="0047277B"/>
    <w:rsid w:val="00472839"/>
    <w:rsid w:val="00473C4C"/>
    <w:rsid w:val="00473F40"/>
    <w:rsid w:val="004742B0"/>
    <w:rsid w:val="00476370"/>
    <w:rsid w:val="00482082"/>
    <w:rsid w:val="00485CB4"/>
    <w:rsid w:val="00486983"/>
    <w:rsid w:val="00486AEC"/>
    <w:rsid w:val="00487F1C"/>
    <w:rsid w:val="00490994"/>
    <w:rsid w:val="00490A0E"/>
    <w:rsid w:val="004915F3"/>
    <w:rsid w:val="00491993"/>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2829"/>
    <w:rsid w:val="004B2CD5"/>
    <w:rsid w:val="004B35FB"/>
    <w:rsid w:val="004B3EF9"/>
    <w:rsid w:val="004B4A08"/>
    <w:rsid w:val="004B550D"/>
    <w:rsid w:val="004B7AAA"/>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E192B"/>
    <w:rsid w:val="004E29FD"/>
    <w:rsid w:val="004E30A8"/>
    <w:rsid w:val="004E365D"/>
    <w:rsid w:val="004E47B0"/>
    <w:rsid w:val="004E5302"/>
    <w:rsid w:val="004E592A"/>
    <w:rsid w:val="004E66D9"/>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9DC"/>
    <w:rsid w:val="00501C88"/>
    <w:rsid w:val="00502B26"/>
    <w:rsid w:val="00502BFA"/>
    <w:rsid w:val="00503097"/>
    <w:rsid w:val="005036C2"/>
    <w:rsid w:val="00504BDF"/>
    <w:rsid w:val="00505A18"/>
    <w:rsid w:val="00505AE1"/>
    <w:rsid w:val="00505F1A"/>
    <w:rsid w:val="0050666F"/>
    <w:rsid w:val="00506A30"/>
    <w:rsid w:val="00506A86"/>
    <w:rsid w:val="005119F7"/>
    <w:rsid w:val="005120D4"/>
    <w:rsid w:val="005135AA"/>
    <w:rsid w:val="005145B4"/>
    <w:rsid w:val="00514DD4"/>
    <w:rsid w:val="005158B6"/>
    <w:rsid w:val="00515D02"/>
    <w:rsid w:val="005176CA"/>
    <w:rsid w:val="00517AF3"/>
    <w:rsid w:val="005204D3"/>
    <w:rsid w:val="00522E7B"/>
    <w:rsid w:val="0052347F"/>
    <w:rsid w:val="005243A5"/>
    <w:rsid w:val="00526D70"/>
    <w:rsid w:val="00530A28"/>
    <w:rsid w:val="00531600"/>
    <w:rsid w:val="00531CA1"/>
    <w:rsid w:val="0053310F"/>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BC2"/>
    <w:rsid w:val="00551290"/>
    <w:rsid w:val="00551870"/>
    <w:rsid w:val="00552A56"/>
    <w:rsid w:val="00552FC3"/>
    <w:rsid w:val="00552FD0"/>
    <w:rsid w:val="00554639"/>
    <w:rsid w:val="00554C85"/>
    <w:rsid w:val="005550E5"/>
    <w:rsid w:val="0055516B"/>
    <w:rsid w:val="005552C2"/>
    <w:rsid w:val="00555F2C"/>
    <w:rsid w:val="005565C9"/>
    <w:rsid w:val="00556A03"/>
    <w:rsid w:val="00557087"/>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36"/>
    <w:rsid w:val="005732A2"/>
    <w:rsid w:val="0057377B"/>
    <w:rsid w:val="00574190"/>
    <w:rsid w:val="00574893"/>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E60"/>
    <w:rsid w:val="005B20B8"/>
    <w:rsid w:val="005B2470"/>
    <w:rsid w:val="005B31F6"/>
    <w:rsid w:val="005B5BA9"/>
    <w:rsid w:val="005B65AC"/>
    <w:rsid w:val="005B7856"/>
    <w:rsid w:val="005C1554"/>
    <w:rsid w:val="005C1EA1"/>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A3"/>
    <w:rsid w:val="005D244A"/>
    <w:rsid w:val="005D3E58"/>
    <w:rsid w:val="005D50DE"/>
    <w:rsid w:val="005D5A7A"/>
    <w:rsid w:val="005D5D38"/>
    <w:rsid w:val="005D7F7E"/>
    <w:rsid w:val="005E114F"/>
    <w:rsid w:val="005E23A3"/>
    <w:rsid w:val="005E23C6"/>
    <w:rsid w:val="005E4189"/>
    <w:rsid w:val="005E4237"/>
    <w:rsid w:val="005E4D0A"/>
    <w:rsid w:val="005E5BAA"/>
    <w:rsid w:val="005E672A"/>
    <w:rsid w:val="005E6C6B"/>
    <w:rsid w:val="005F0530"/>
    <w:rsid w:val="005F1A0A"/>
    <w:rsid w:val="005F2CE0"/>
    <w:rsid w:val="005F3A68"/>
    <w:rsid w:val="005F3BD1"/>
    <w:rsid w:val="005F4D9E"/>
    <w:rsid w:val="005F505B"/>
    <w:rsid w:val="005F7265"/>
    <w:rsid w:val="0060212D"/>
    <w:rsid w:val="006022FE"/>
    <w:rsid w:val="00602DB2"/>
    <w:rsid w:val="00602EFA"/>
    <w:rsid w:val="00605792"/>
    <w:rsid w:val="00606059"/>
    <w:rsid w:val="00607BFE"/>
    <w:rsid w:val="0061036D"/>
    <w:rsid w:val="006104C3"/>
    <w:rsid w:val="00611F66"/>
    <w:rsid w:val="00613A1C"/>
    <w:rsid w:val="00614214"/>
    <w:rsid w:val="00614256"/>
    <w:rsid w:val="006147DD"/>
    <w:rsid w:val="00614933"/>
    <w:rsid w:val="00614FB2"/>
    <w:rsid w:val="00615406"/>
    <w:rsid w:val="006175E7"/>
    <w:rsid w:val="00620F08"/>
    <w:rsid w:val="00621D49"/>
    <w:rsid w:val="0062244C"/>
    <w:rsid w:val="00623C44"/>
    <w:rsid w:val="0062463B"/>
    <w:rsid w:val="00624A86"/>
    <w:rsid w:val="00626415"/>
    <w:rsid w:val="00626C74"/>
    <w:rsid w:val="00626E14"/>
    <w:rsid w:val="00627D7E"/>
    <w:rsid w:val="00630233"/>
    <w:rsid w:val="00632217"/>
    <w:rsid w:val="006336B5"/>
    <w:rsid w:val="006342EB"/>
    <w:rsid w:val="0063466A"/>
    <w:rsid w:val="00634A6B"/>
    <w:rsid w:val="0063532E"/>
    <w:rsid w:val="0063638D"/>
    <w:rsid w:val="00636B31"/>
    <w:rsid w:val="0064002B"/>
    <w:rsid w:val="0064179F"/>
    <w:rsid w:val="006423D5"/>
    <w:rsid w:val="00643AD4"/>
    <w:rsid w:val="00643F16"/>
    <w:rsid w:val="00645542"/>
    <w:rsid w:val="006456EC"/>
    <w:rsid w:val="00645D5F"/>
    <w:rsid w:val="0065008F"/>
    <w:rsid w:val="00650D60"/>
    <w:rsid w:val="00650E37"/>
    <w:rsid w:val="00652829"/>
    <w:rsid w:val="006529B8"/>
    <w:rsid w:val="00652EE1"/>
    <w:rsid w:val="00653919"/>
    <w:rsid w:val="00653AE2"/>
    <w:rsid w:val="00654F6A"/>
    <w:rsid w:val="00654FC7"/>
    <w:rsid w:val="006554D6"/>
    <w:rsid w:val="00655AEC"/>
    <w:rsid w:val="00655BE9"/>
    <w:rsid w:val="00655FDD"/>
    <w:rsid w:val="00657EB0"/>
    <w:rsid w:val="00660F7D"/>
    <w:rsid w:val="0066106E"/>
    <w:rsid w:val="006618D8"/>
    <w:rsid w:val="006621AB"/>
    <w:rsid w:val="00663EA5"/>
    <w:rsid w:val="00663FAA"/>
    <w:rsid w:val="0066474C"/>
    <w:rsid w:val="00665BB1"/>
    <w:rsid w:val="00665BEB"/>
    <w:rsid w:val="00666A5B"/>
    <w:rsid w:val="00666AB3"/>
    <w:rsid w:val="006674A2"/>
    <w:rsid w:val="00667F13"/>
    <w:rsid w:val="0067087C"/>
    <w:rsid w:val="00670F48"/>
    <w:rsid w:val="00671603"/>
    <w:rsid w:val="0067415B"/>
    <w:rsid w:val="006744F8"/>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192"/>
    <w:rsid w:val="006A3CDB"/>
    <w:rsid w:val="006A5AC9"/>
    <w:rsid w:val="006A5B90"/>
    <w:rsid w:val="006B11B3"/>
    <w:rsid w:val="006B162C"/>
    <w:rsid w:val="006B1DEF"/>
    <w:rsid w:val="006B2B50"/>
    <w:rsid w:val="006B357C"/>
    <w:rsid w:val="006B3BF6"/>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3EB0"/>
    <w:rsid w:val="006F4975"/>
    <w:rsid w:val="006F4E34"/>
    <w:rsid w:val="006F538A"/>
    <w:rsid w:val="006F576D"/>
    <w:rsid w:val="006F6440"/>
    <w:rsid w:val="0070029F"/>
    <w:rsid w:val="00700FE8"/>
    <w:rsid w:val="007012B3"/>
    <w:rsid w:val="007023A3"/>
    <w:rsid w:val="00702BB7"/>
    <w:rsid w:val="00703C5F"/>
    <w:rsid w:val="007051FF"/>
    <w:rsid w:val="00705F08"/>
    <w:rsid w:val="00706531"/>
    <w:rsid w:val="0070663B"/>
    <w:rsid w:val="00706AA1"/>
    <w:rsid w:val="00706E7C"/>
    <w:rsid w:val="00707BDA"/>
    <w:rsid w:val="0071075F"/>
    <w:rsid w:val="0071188A"/>
    <w:rsid w:val="00712521"/>
    <w:rsid w:val="0071254D"/>
    <w:rsid w:val="00713E7D"/>
    <w:rsid w:val="00714750"/>
    <w:rsid w:val="007153D6"/>
    <w:rsid w:val="00716394"/>
    <w:rsid w:val="00717AA3"/>
    <w:rsid w:val="007206F2"/>
    <w:rsid w:val="007216BB"/>
    <w:rsid w:val="007222F5"/>
    <w:rsid w:val="007222F9"/>
    <w:rsid w:val="007224C2"/>
    <w:rsid w:val="0072299B"/>
    <w:rsid w:val="0072353D"/>
    <w:rsid w:val="00723A1D"/>
    <w:rsid w:val="007240FE"/>
    <w:rsid w:val="00724315"/>
    <w:rsid w:val="007248A7"/>
    <w:rsid w:val="007254A0"/>
    <w:rsid w:val="00726653"/>
    <w:rsid w:val="00726CD6"/>
    <w:rsid w:val="00727095"/>
    <w:rsid w:val="0073053D"/>
    <w:rsid w:val="00731BC8"/>
    <w:rsid w:val="00731BD2"/>
    <w:rsid w:val="007337DC"/>
    <w:rsid w:val="007347DE"/>
    <w:rsid w:val="00735259"/>
    <w:rsid w:val="00735D1E"/>
    <w:rsid w:val="00736156"/>
    <w:rsid w:val="00736301"/>
    <w:rsid w:val="0073641B"/>
    <w:rsid w:val="00736743"/>
    <w:rsid w:val="00736F61"/>
    <w:rsid w:val="007405DF"/>
    <w:rsid w:val="00741040"/>
    <w:rsid w:val="00741F61"/>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61D8"/>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5D35"/>
    <w:rsid w:val="007766F4"/>
    <w:rsid w:val="00777A67"/>
    <w:rsid w:val="0078022D"/>
    <w:rsid w:val="00782355"/>
    <w:rsid w:val="007826AD"/>
    <w:rsid w:val="00783313"/>
    <w:rsid w:val="00783C52"/>
    <w:rsid w:val="00785158"/>
    <w:rsid w:val="007867E8"/>
    <w:rsid w:val="007868EC"/>
    <w:rsid w:val="00786C14"/>
    <w:rsid w:val="00786E0E"/>
    <w:rsid w:val="007875DD"/>
    <w:rsid w:val="00790DE4"/>
    <w:rsid w:val="00790E3F"/>
    <w:rsid w:val="00792185"/>
    <w:rsid w:val="007929A8"/>
    <w:rsid w:val="00792D39"/>
    <w:rsid w:val="00793126"/>
    <w:rsid w:val="00793F2F"/>
    <w:rsid w:val="007945B3"/>
    <w:rsid w:val="00795E0C"/>
    <w:rsid w:val="00795EB8"/>
    <w:rsid w:val="007960FA"/>
    <w:rsid w:val="007967CF"/>
    <w:rsid w:val="007A1A8E"/>
    <w:rsid w:val="007A3220"/>
    <w:rsid w:val="007A32D9"/>
    <w:rsid w:val="007A3D6D"/>
    <w:rsid w:val="007A3F9D"/>
    <w:rsid w:val="007A446D"/>
    <w:rsid w:val="007A4519"/>
    <w:rsid w:val="007A54EE"/>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4935"/>
    <w:rsid w:val="007B586C"/>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679D"/>
    <w:rsid w:val="007D6863"/>
    <w:rsid w:val="007D78E3"/>
    <w:rsid w:val="007E053E"/>
    <w:rsid w:val="007E0C0D"/>
    <w:rsid w:val="007E0EC6"/>
    <w:rsid w:val="007E0ED1"/>
    <w:rsid w:val="007E1C5A"/>
    <w:rsid w:val="007E20B7"/>
    <w:rsid w:val="007E28A0"/>
    <w:rsid w:val="007E3F4C"/>
    <w:rsid w:val="007E453F"/>
    <w:rsid w:val="007E4883"/>
    <w:rsid w:val="007E5806"/>
    <w:rsid w:val="007E6824"/>
    <w:rsid w:val="007E6D33"/>
    <w:rsid w:val="007E74CF"/>
    <w:rsid w:val="007E7DA7"/>
    <w:rsid w:val="007F142D"/>
    <w:rsid w:val="007F2154"/>
    <w:rsid w:val="007F2457"/>
    <w:rsid w:val="007F30AB"/>
    <w:rsid w:val="007F491D"/>
    <w:rsid w:val="007F6178"/>
    <w:rsid w:val="007F7A67"/>
    <w:rsid w:val="00800FB7"/>
    <w:rsid w:val="00800FEF"/>
    <w:rsid w:val="00801694"/>
    <w:rsid w:val="00801FF2"/>
    <w:rsid w:val="00802335"/>
    <w:rsid w:val="0080244C"/>
    <w:rsid w:val="00802616"/>
    <w:rsid w:val="00802901"/>
    <w:rsid w:val="00802B1A"/>
    <w:rsid w:val="00803291"/>
    <w:rsid w:val="008034A0"/>
    <w:rsid w:val="00804079"/>
    <w:rsid w:val="0080472B"/>
    <w:rsid w:val="00806A8D"/>
    <w:rsid w:val="00810770"/>
    <w:rsid w:val="00810C57"/>
    <w:rsid w:val="00812530"/>
    <w:rsid w:val="00813E21"/>
    <w:rsid w:val="00814089"/>
    <w:rsid w:val="008144C5"/>
    <w:rsid w:val="00814E15"/>
    <w:rsid w:val="00815D36"/>
    <w:rsid w:val="00816291"/>
    <w:rsid w:val="00817689"/>
    <w:rsid w:val="008178D3"/>
    <w:rsid w:val="00821779"/>
    <w:rsid w:val="0082285D"/>
    <w:rsid w:val="0082331F"/>
    <w:rsid w:val="00823DAC"/>
    <w:rsid w:val="008245F5"/>
    <w:rsid w:val="0082493F"/>
    <w:rsid w:val="00824C78"/>
    <w:rsid w:val="008264FD"/>
    <w:rsid w:val="00826C9B"/>
    <w:rsid w:val="00827184"/>
    <w:rsid w:val="0082751E"/>
    <w:rsid w:val="00827B78"/>
    <w:rsid w:val="008302D0"/>
    <w:rsid w:val="00831027"/>
    <w:rsid w:val="00833A06"/>
    <w:rsid w:val="00834F62"/>
    <w:rsid w:val="00835298"/>
    <w:rsid w:val="008359F4"/>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910"/>
    <w:rsid w:val="0084592E"/>
    <w:rsid w:val="00846FED"/>
    <w:rsid w:val="008475AC"/>
    <w:rsid w:val="00847B3F"/>
    <w:rsid w:val="00850D31"/>
    <w:rsid w:val="0085161C"/>
    <w:rsid w:val="00851999"/>
    <w:rsid w:val="00851A7D"/>
    <w:rsid w:val="00851F67"/>
    <w:rsid w:val="00851FF5"/>
    <w:rsid w:val="00853D16"/>
    <w:rsid w:val="008543A1"/>
    <w:rsid w:val="00854F1C"/>
    <w:rsid w:val="00856C51"/>
    <w:rsid w:val="00856DCD"/>
    <w:rsid w:val="00857A8E"/>
    <w:rsid w:val="00857D2C"/>
    <w:rsid w:val="0086069E"/>
    <w:rsid w:val="00861213"/>
    <w:rsid w:val="00861580"/>
    <w:rsid w:val="00861F57"/>
    <w:rsid w:val="00862C3D"/>
    <w:rsid w:val="0086454A"/>
    <w:rsid w:val="00864858"/>
    <w:rsid w:val="008653A5"/>
    <w:rsid w:val="00865690"/>
    <w:rsid w:val="00870343"/>
    <w:rsid w:val="00870BF4"/>
    <w:rsid w:val="00872066"/>
    <w:rsid w:val="00872620"/>
    <w:rsid w:val="00873F21"/>
    <w:rsid w:val="00876A5E"/>
    <w:rsid w:val="00877EF5"/>
    <w:rsid w:val="0088033A"/>
    <w:rsid w:val="00880954"/>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943"/>
    <w:rsid w:val="008B0B9D"/>
    <w:rsid w:val="008B4EF3"/>
    <w:rsid w:val="008B5E6E"/>
    <w:rsid w:val="008B6E82"/>
    <w:rsid w:val="008B7A5D"/>
    <w:rsid w:val="008B7EBB"/>
    <w:rsid w:val="008C08C9"/>
    <w:rsid w:val="008C14F3"/>
    <w:rsid w:val="008C3274"/>
    <w:rsid w:val="008C32A7"/>
    <w:rsid w:val="008C3356"/>
    <w:rsid w:val="008C35AD"/>
    <w:rsid w:val="008C41CA"/>
    <w:rsid w:val="008C44A1"/>
    <w:rsid w:val="008C47AB"/>
    <w:rsid w:val="008C4BE2"/>
    <w:rsid w:val="008C4DFF"/>
    <w:rsid w:val="008C55B3"/>
    <w:rsid w:val="008C56D8"/>
    <w:rsid w:val="008C780B"/>
    <w:rsid w:val="008D02E0"/>
    <w:rsid w:val="008D0349"/>
    <w:rsid w:val="008D0B42"/>
    <w:rsid w:val="008D0F82"/>
    <w:rsid w:val="008D2C09"/>
    <w:rsid w:val="008D319B"/>
    <w:rsid w:val="008D35A3"/>
    <w:rsid w:val="008D3A2B"/>
    <w:rsid w:val="008D3BDC"/>
    <w:rsid w:val="008D4293"/>
    <w:rsid w:val="008D484D"/>
    <w:rsid w:val="008D59D5"/>
    <w:rsid w:val="008D5FB4"/>
    <w:rsid w:val="008D6167"/>
    <w:rsid w:val="008E0605"/>
    <w:rsid w:val="008E1A59"/>
    <w:rsid w:val="008E4285"/>
    <w:rsid w:val="008E57BE"/>
    <w:rsid w:val="008E5973"/>
    <w:rsid w:val="008E5AD7"/>
    <w:rsid w:val="008E5C7F"/>
    <w:rsid w:val="008E5CFF"/>
    <w:rsid w:val="008E6EB2"/>
    <w:rsid w:val="008E7213"/>
    <w:rsid w:val="008E7649"/>
    <w:rsid w:val="008F0327"/>
    <w:rsid w:val="008F11E1"/>
    <w:rsid w:val="008F1CC2"/>
    <w:rsid w:val="008F216B"/>
    <w:rsid w:val="008F2CA9"/>
    <w:rsid w:val="008F3866"/>
    <w:rsid w:val="008F41B8"/>
    <w:rsid w:val="008F494C"/>
    <w:rsid w:val="008F4DE2"/>
    <w:rsid w:val="008F55C2"/>
    <w:rsid w:val="008F5642"/>
    <w:rsid w:val="008F5CC1"/>
    <w:rsid w:val="008F66A7"/>
    <w:rsid w:val="008F66F7"/>
    <w:rsid w:val="008F766D"/>
    <w:rsid w:val="00900079"/>
    <w:rsid w:val="00900654"/>
    <w:rsid w:val="00900E5D"/>
    <w:rsid w:val="009018CF"/>
    <w:rsid w:val="00902AA8"/>
    <w:rsid w:val="009035A7"/>
    <w:rsid w:val="009041CC"/>
    <w:rsid w:val="009050E8"/>
    <w:rsid w:val="00905DDB"/>
    <w:rsid w:val="0090615F"/>
    <w:rsid w:val="00907F7D"/>
    <w:rsid w:val="00912550"/>
    <w:rsid w:val="00912F7B"/>
    <w:rsid w:val="00913A29"/>
    <w:rsid w:val="009145E2"/>
    <w:rsid w:val="00914FFD"/>
    <w:rsid w:val="009166E5"/>
    <w:rsid w:val="00917019"/>
    <w:rsid w:val="00917398"/>
    <w:rsid w:val="0091747B"/>
    <w:rsid w:val="00917AF0"/>
    <w:rsid w:val="00921510"/>
    <w:rsid w:val="0092212C"/>
    <w:rsid w:val="00922324"/>
    <w:rsid w:val="009227B3"/>
    <w:rsid w:val="00923AE5"/>
    <w:rsid w:val="00925609"/>
    <w:rsid w:val="00925BCC"/>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506D"/>
    <w:rsid w:val="00956AB6"/>
    <w:rsid w:val="009570F1"/>
    <w:rsid w:val="009571A5"/>
    <w:rsid w:val="00957E9F"/>
    <w:rsid w:val="009606FC"/>
    <w:rsid w:val="00960781"/>
    <w:rsid w:val="00960B05"/>
    <w:rsid w:val="0096290E"/>
    <w:rsid w:val="00962AEA"/>
    <w:rsid w:val="00962C78"/>
    <w:rsid w:val="0096420F"/>
    <w:rsid w:val="00964438"/>
    <w:rsid w:val="00965FEE"/>
    <w:rsid w:val="009666A9"/>
    <w:rsid w:val="0096689D"/>
    <w:rsid w:val="009669CE"/>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66D2"/>
    <w:rsid w:val="00986E16"/>
    <w:rsid w:val="00987842"/>
    <w:rsid w:val="0099090C"/>
    <w:rsid w:val="00991A13"/>
    <w:rsid w:val="00992C1D"/>
    <w:rsid w:val="0099382D"/>
    <w:rsid w:val="009956EE"/>
    <w:rsid w:val="00995F4A"/>
    <w:rsid w:val="00996727"/>
    <w:rsid w:val="009968F4"/>
    <w:rsid w:val="009969D8"/>
    <w:rsid w:val="00997DAE"/>
    <w:rsid w:val="009A06AF"/>
    <w:rsid w:val="009A10BE"/>
    <w:rsid w:val="009A1660"/>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939"/>
    <w:rsid w:val="009C1C4F"/>
    <w:rsid w:val="009C1D6F"/>
    <w:rsid w:val="009C27C2"/>
    <w:rsid w:val="009C3318"/>
    <w:rsid w:val="009C3468"/>
    <w:rsid w:val="009C364D"/>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282B"/>
    <w:rsid w:val="009E3A70"/>
    <w:rsid w:val="009E4180"/>
    <w:rsid w:val="009E4F2B"/>
    <w:rsid w:val="009E7A88"/>
    <w:rsid w:val="009F057F"/>
    <w:rsid w:val="009F14E8"/>
    <w:rsid w:val="009F1F21"/>
    <w:rsid w:val="009F2DE9"/>
    <w:rsid w:val="009F2E3E"/>
    <w:rsid w:val="009F2E6E"/>
    <w:rsid w:val="009F2F79"/>
    <w:rsid w:val="009F3094"/>
    <w:rsid w:val="009F384E"/>
    <w:rsid w:val="009F40F3"/>
    <w:rsid w:val="009F494E"/>
    <w:rsid w:val="009F5613"/>
    <w:rsid w:val="009F5982"/>
    <w:rsid w:val="009F6DF8"/>
    <w:rsid w:val="009F78F8"/>
    <w:rsid w:val="00A0085F"/>
    <w:rsid w:val="00A027E6"/>
    <w:rsid w:val="00A02D54"/>
    <w:rsid w:val="00A03254"/>
    <w:rsid w:val="00A04962"/>
    <w:rsid w:val="00A05DCC"/>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5767"/>
    <w:rsid w:val="00A25A37"/>
    <w:rsid w:val="00A266F4"/>
    <w:rsid w:val="00A26CD4"/>
    <w:rsid w:val="00A27360"/>
    <w:rsid w:val="00A30308"/>
    <w:rsid w:val="00A30CE1"/>
    <w:rsid w:val="00A31184"/>
    <w:rsid w:val="00A31A5A"/>
    <w:rsid w:val="00A31FEB"/>
    <w:rsid w:val="00A32067"/>
    <w:rsid w:val="00A32D93"/>
    <w:rsid w:val="00A333B7"/>
    <w:rsid w:val="00A3346B"/>
    <w:rsid w:val="00A33AFD"/>
    <w:rsid w:val="00A33FEC"/>
    <w:rsid w:val="00A34D66"/>
    <w:rsid w:val="00A35636"/>
    <w:rsid w:val="00A372ED"/>
    <w:rsid w:val="00A379AC"/>
    <w:rsid w:val="00A4012E"/>
    <w:rsid w:val="00A40665"/>
    <w:rsid w:val="00A40BA6"/>
    <w:rsid w:val="00A43CB0"/>
    <w:rsid w:val="00A44A3C"/>
    <w:rsid w:val="00A44DE5"/>
    <w:rsid w:val="00A450C8"/>
    <w:rsid w:val="00A457AE"/>
    <w:rsid w:val="00A45D3B"/>
    <w:rsid w:val="00A46AE1"/>
    <w:rsid w:val="00A47447"/>
    <w:rsid w:val="00A50977"/>
    <w:rsid w:val="00A50FA4"/>
    <w:rsid w:val="00A5152F"/>
    <w:rsid w:val="00A51D39"/>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0D0"/>
    <w:rsid w:val="00A616D5"/>
    <w:rsid w:val="00A6252A"/>
    <w:rsid w:val="00A6254C"/>
    <w:rsid w:val="00A62782"/>
    <w:rsid w:val="00A62A1C"/>
    <w:rsid w:val="00A632CC"/>
    <w:rsid w:val="00A63A48"/>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C7A"/>
    <w:rsid w:val="00A821D1"/>
    <w:rsid w:val="00A83273"/>
    <w:rsid w:val="00A832CE"/>
    <w:rsid w:val="00A83F38"/>
    <w:rsid w:val="00A84008"/>
    <w:rsid w:val="00A84363"/>
    <w:rsid w:val="00A851E7"/>
    <w:rsid w:val="00A8651E"/>
    <w:rsid w:val="00A8673B"/>
    <w:rsid w:val="00A872BA"/>
    <w:rsid w:val="00A878EB"/>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181"/>
    <w:rsid w:val="00AD4EA7"/>
    <w:rsid w:val="00AD5C9E"/>
    <w:rsid w:val="00AE06AA"/>
    <w:rsid w:val="00AE16FA"/>
    <w:rsid w:val="00AE1CC8"/>
    <w:rsid w:val="00AE2794"/>
    <w:rsid w:val="00AE2CB9"/>
    <w:rsid w:val="00AE408C"/>
    <w:rsid w:val="00AE499C"/>
    <w:rsid w:val="00AE5C22"/>
    <w:rsid w:val="00AE66BF"/>
    <w:rsid w:val="00AE675E"/>
    <w:rsid w:val="00AE6D55"/>
    <w:rsid w:val="00AE7B92"/>
    <w:rsid w:val="00AF1B7B"/>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6A38"/>
    <w:rsid w:val="00B07069"/>
    <w:rsid w:val="00B073D5"/>
    <w:rsid w:val="00B128E2"/>
    <w:rsid w:val="00B1303D"/>
    <w:rsid w:val="00B15CA2"/>
    <w:rsid w:val="00B16080"/>
    <w:rsid w:val="00B16313"/>
    <w:rsid w:val="00B16C63"/>
    <w:rsid w:val="00B204AE"/>
    <w:rsid w:val="00B20E02"/>
    <w:rsid w:val="00B21A7B"/>
    <w:rsid w:val="00B21DE1"/>
    <w:rsid w:val="00B2294C"/>
    <w:rsid w:val="00B22951"/>
    <w:rsid w:val="00B22E33"/>
    <w:rsid w:val="00B2384B"/>
    <w:rsid w:val="00B248AC"/>
    <w:rsid w:val="00B2630A"/>
    <w:rsid w:val="00B26448"/>
    <w:rsid w:val="00B27A66"/>
    <w:rsid w:val="00B322DF"/>
    <w:rsid w:val="00B325D4"/>
    <w:rsid w:val="00B3463E"/>
    <w:rsid w:val="00B352D1"/>
    <w:rsid w:val="00B36727"/>
    <w:rsid w:val="00B36EF1"/>
    <w:rsid w:val="00B3700E"/>
    <w:rsid w:val="00B370EF"/>
    <w:rsid w:val="00B4085C"/>
    <w:rsid w:val="00B411A7"/>
    <w:rsid w:val="00B41977"/>
    <w:rsid w:val="00B41F96"/>
    <w:rsid w:val="00B430E7"/>
    <w:rsid w:val="00B43360"/>
    <w:rsid w:val="00B44032"/>
    <w:rsid w:val="00B44DEE"/>
    <w:rsid w:val="00B45190"/>
    <w:rsid w:val="00B45283"/>
    <w:rsid w:val="00B45981"/>
    <w:rsid w:val="00B465BD"/>
    <w:rsid w:val="00B47E88"/>
    <w:rsid w:val="00B503E6"/>
    <w:rsid w:val="00B52F38"/>
    <w:rsid w:val="00B55077"/>
    <w:rsid w:val="00B553C3"/>
    <w:rsid w:val="00B55824"/>
    <w:rsid w:val="00B56A7E"/>
    <w:rsid w:val="00B57DCF"/>
    <w:rsid w:val="00B57DDC"/>
    <w:rsid w:val="00B636B6"/>
    <w:rsid w:val="00B64865"/>
    <w:rsid w:val="00B65E77"/>
    <w:rsid w:val="00B674E1"/>
    <w:rsid w:val="00B67BE8"/>
    <w:rsid w:val="00B67DAF"/>
    <w:rsid w:val="00B67EF2"/>
    <w:rsid w:val="00B70622"/>
    <w:rsid w:val="00B70FCC"/>
    <w:rsid w:val="00B7113B"/>
    <w:rsid w:val="00B71C8B"/>
    <w:rsid w:val="00B72629"/>
    <w:rsid w:val="00B726EB"/>
    <w:rsid w:val="00B736A3"/>
    <w:rsid w:val="00B7397A"/>
    <w:rsid w:val="00B73E12"/>
    <w:rsid w:val="00B748FC"/>
    <w:rsid w:val="00B74F98"/>
    <w:rsid w:val="00B75485"/>
    <w:rsid w:val="00B76542"/>
    <w:rsid w:val="00B76F56"/>
    <w:rsid w:val="00B772DC"/>
    <w:rsid w:val="00B77495"/>
    <w:rsid w:val="00B77584"/>
    <w:rsid w:val="00B809ED"/>
    <w:rsid w:val="00B80D70"/>
    <w:rsid w:val="00B81433"/>
    <w:rsid w:val="00B81793"/>
    <w:rsid w:val="00B8196F"/>
    <w:rsid w:val="00B8225E"/>
    <w:rsid w:val="00B82710"/>
    <w:rsid w:val="00B82766"/>
    <w:rsid w:val="00B82D23"/>
    <w:rsid w:val="00B84E21"/>
    <w:rsid w:val="00B8669F"/>
    <w:rsid w:val="00B866CD"/>
    <w:rsid w:val="00B87008"/>
    <w:rsid w:val="00B876B5"/>
    <w:rsid w:val="00B876B6"/>
    <w:rsid w:val="00B877AC"/>
    <w:rsid w:val="00B877F7"/>
    <w:rsid w:val="00B91625"/>
    <w:rsid w:val="00B919E6"/>
    <w:rsid w:val="00B92CDA"/>
    <w:rsid w:val="00B93021"/>
    <w:rsid w:val="00B9445E"/>
    <w:rsid w:val="00B951C7"/>
    <w:rsid w:val="00B9566F"/>
    <w:rsid w:val="00B966E8"/>
    <w:rsid w:val="00B970AD"/>
    <w:rsid w:val="00B97956"/>
    <w:rsid w:val="00BA09B9"/>
    <w:rsid w:val="00BA0B4C"/>
    <w:rsid w:val="00BA1B67"/>
    <w:rsid w:val="00BA250C"/>
    <w:rsid w:val="00BA2B07"/>
    <w:rsid w:val="00BA2F6C"/>
    <w:rsid w:val="00BA2F9E"/>
    <w:rsid w:val="00BA31CC"/>
    <w:rsid w:val="00BA3FFE"/>
    <w:rsid w:val="00BA414E"/>
    <w:rsid w:val="00BA4DAC"/>
    <w:rsid w:val="00BA67A5"/>
    <w:rsid w:val="00BA7EF2"/>
    <w:rsid w:val="00BB0619"/>
    <w:rsid w:val="00BB09F8"/>
    <w:rsid w:val="00BB0B91"/>
    <w:rsid w:val="00BB23E5"/>
    <w:rsid w:val="00BB2D18"/>
    <w:rsid w:val="00BB3B73"/>
    <w:rsid w:val="00BB4AE7"/>
    <w:rsid w:val="00BB4F39"/>
    <w:rsid w:val="00BB4FB7"/>
    <w:rsid w:val="00BB5179"/>
    <w:rsid w:val="00BB544F"/>
    <w:rsid w:val="00BB71FF"/>
    <w:rsid w:val="00BC10BF"/>
    <w:rsid w:val="00BC4DBC"/>
    <w:rsid w:val="00BC59BD"/>
    <w:rsid w:val="00BC7181"/>
    <w:rsid w:val="00BC7ECA"/>
    <w:rsid w:val="00BD05EF"/>
    <w:rsid w:val="00BD07B0"/>
    <w:rsid w:val="00BD0B3B"/>
    <w:rsid w:val="00BD0D9C"/>
    <w:rsid w:val="00BD0FC2"/>
    <w:rsid w:val="00BD3F02"/>
    <w:rsid w:val="00BD4638"/>
    <w:rsid w:val="00BD486A"/>
    <w:rsid w:val="00BD4DE7"/>
    <w:rsid w:val="00BD5A9C"/>
    <w:rsid w:val="00BD772E"/>
    <w:rsid w:val="00BE0AF5"/>
    <w:rsid w:val="00BE2601"/>
    <w:rsid w:val="00BE304E"/>
    <w:rsid w:val="00BE36CD"/>
    <w:rsid w:val="00BE3C37"/>
    <w:rsid w:val="00BE3C45"/>
    <w:rsid w:val="00BE3C5B"/>
    <w:rsid w:val="00BE41F4"/>
    <w:rsid w:val="00BE47E9"/>
    <w:rsid w:val="00BE5578"/>
    <w:rsid w:val="00BE71CB"/>
    <w:rsid w:val="00BE7375"/>
    <w:rsid w:val="00BE7C20"/>
    <w:rsid w:val="00BE7FBE"/>
    <w:rsid w:val="00BF03A0"/>
    <w:rsid w:val="00BF088A"/>
    <w:rsid w:val="00BF0F73"/>
    <w:rsid w:val="00BF14FB"/>
    <w:rsid w:val="00BF2028"/>
    <w:rsid w:val="00BF2D81"/>
    <w:rsid w:val="00BF30E8"/>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9B2"/>
    <w:rsid w:val="00C11963"/>
    <w:rsid w:val="00C1263B"/>
    <w:rsid w:val="00C1329C"/>
    <w:rsid w:val="00C13671"/>
    <w:rsid w:val="00C139D5"/>
    <w:rsid w:val="00C13C02"/>
    <w:rsid w:val="00C13C48"/>
    <w:rsid w:val="00C1553E"/>
    <w:rsid w:val="00C16291"/>
    <w:rsid w:val="00C16C2D"/>
    <w:rsid w:val="00C171B2"/>
    <w:rsid w:val="00C1765E"/>
    <w:rsid w:val="00C176E9"/>
    <w:rsid w:val="00C177F5"/>
    <w:rsid w:val="00C20625"/>
    <w:rsid w:val="00C20931"/>
    <w:rsid w:val="00C2097C"/>
    <w:rsid w:val="00C21A8A"/>
    <w:rsid w:val="00C21BAF"/>
    <w:rsid w:val="00C22B1A"/>
    <w:rsid w:val="00C22E02"/>
    <w:rsid w:val="00C23DEB"/>
    <w:rsid w:val="00C24137"/>
    <w:rsid w:val="00C244B1"/>
    <w:rsid w:val="00C244C8"/>
    <w:rsid w:val="00C25CCC"/>
    <w:rsid w:val="00C260B4"/>
    <w:rsid w:val="00C2682D"/>
    <w:rsid w:val="00C309F3"/>
    <w:rsid w:val="00C31011"/>
    <w:rsid w:val="00C33DD7"/>
    <w:rsid w:val="00C33FEA"/>
    <w:rsid w:val="00C3459A"/>
    <w:rsid w:val="00C3588D"/>
    <w:rsid w:val="00C36293"/>
    <w:rsid w:val="00C372DC"/>
    <w:rsid w:val="00C37CB0"/>
    <w:rsid w:val="00C4081D"/>
    <w:rsid w:val="00C414B5"/>
    <w:rsid w:val="00C423FE"/>
    <w:rsid w:val="00C43FD1"/>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79B"/>
    <w:rsid w:val="00C60C8C"/>
    <w:rsid w:val="00C61E34"/>
    <w:rsid w:val="00C621FA"/>
    <w:rsid w:val="00C636AF"/>
    <w:rsid w:val="00C6413A"/>
    <w:rsid w:val="00C643E7"/>
    <w:rsid w:val="00C64C16"/>
    <w:rsid w:val="00C65558"/>
    <w:rsid w:val="00C65D0B"/>
    <w:rsid w:val="00C66A76"/>
    <w:rsid w:val="00C67508"/>
    <w:rsid w:val="00C70E50"/>
    <w:rsid w:val="00C729E5"/>
    <w:rsid w:val="00C73A63"/>
    <w:rsid w:val="00C73C4C"/>
    <w:rsid w:val="00C7451C"/>
    <w:rsid w:val="00C748D5"/>
    <w:rsid w:val="00C75204"/>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43D"/>
    <w:rsid w:val="00C957B2"/>
    <w:rsid w:val="00C9609D"/>
    <w:rsid w:val="00C9637C"/>
    <w:rsid w:val="00C96692"/>
    <w:rsid w:val="00C976AA"/>
    <w:rsid w:val="00C97BE9"/>
    <w:rsid w:val="00C97BED"/>
    <w:rsid w:val="00CA2A0D"/>
    <w:rsid w:val="00CA3FE2"/>
    <w:rsid w:val="00CA4C6D"/>
    <w:rsid w:val="00CA5EED"/>
    <w:rsid w:val="00CA6660"/>
    <w:rsid w:val="00CA6EBA"/>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C0C35"/>
    <w:rsid w:val="00CC0F22"/>
    <w:rsid w:val="00CC1820"/>
    <w:rsid w:val="00CC2431"/>
    <w:rsid w:val="00CC26A9"/>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3CE"/>
    <w:rsid w:val="00CD3215"/>
    <w:rsid w:val="00CD3561"/>
    <w:rsid w:val="00CD3FF3"/>
    <w:rsid w:val="00CD4FE0"/>
    <w:rsid w:val="00CD5ACE"/>
    <w:rsid w:val="00CD6316"/>
    <w:rsid w:val="00CD63A1"/>
    <w:rsid w:val="00CD6A81"/>
    <w:rsid w:val="00CD75E6"/>
    <w:rsid w:val="00CD77B5"/>
    <w:rsid w:val="00CD7EAF"/>
    <w:rsid w:val="00CE2152"/>
    <w:rsid w:val="00CE2189"/>
    <w:rsid w:val="00CE2315"/>
    <w:rsid w:val="00CE24FC"/>
    <w:rsid w:val="00CE2C57"/>
    <w:rsid w:val="00CE33A0"/>
    <w:rsid w:val="00CE3484"/>
    <w:rsid w:val="00CE42D0"/>
    <w:rsid w:val="00CE6A0A"/>
    <w:rsid w:val="00CF0594"/>
    <w:rsid w:val="00CF1C61"/>
    <w:rsid w:val="00CF1E73"/>
    <w:rsid w:val="00CF269F"/>
    <w:rsid w:val="00CF2735"/>
    <w:rsid w:val="00CF28B5"/>
    <w:rsid w:val="00CF3309"/>
    <w:rsid w:val="00CF3784"/>
    <w:rsid w:val="00CF5041"/>
    <w:rsid w:val="00CF6B92"/>
    <w:rsid w:val="00CF7667"/>
    <w:rsid w:val="00D00B45"/>
    <w:rsid w:val="00D01726"/>
    <w:rsid w:val="00D02C8B"/>
    <w:rsid w:val="00D02E65"/>
    <w:rsid w:val="00D0355B"/>
    <w:rsid w:val="00D04279"/>
    <w:rsid w:val="00D042E4"/>
    <w:rsid w:val="00D04693"/>
    <w:rsid w:val="00D046F9"/>
    <w:rsid w:val="00D04B59"/>
    <w:rsid w:val="00D0515E"/>
    <w:rsid w:val="00D05419"/>
    <w:rsid w:val="00D05889"/>
    <w:rsid w:val="00D071CA"/>
    <w:rsid w:val="00D07F30"/>
    <w:rsid w:val="00D10F9C"/>
    <w:rsid w:val="00D1170B"/>
    <w:rsid w:val="00D13089"/>
    <w:rsid w:val="00D142B7"/>
    <w:rsid w:val="00D14393"/>
    <w:rsid w:val="00D14E23"/>
    <w:rsid w:val="00D15497"/>
    <w:rsid w:val="00D154BF"/>
    <w:rsid w:val="00D15A96"/>
    <w:rsid w:val="00D15B43"/>
    <w:rsid w:val="00D16449"/>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5E8B"/>
    <w:rsid w:val="00D3601A"/>
    <w:rsid w:val="00D3608D"/>
    <w:rsid w:val="00D36C25"/>
    <w:rsid w:val="00D3771F"/>
    <w:rsid w:val="00D379EF"/>
    <w:rsid w:val="00D37FAB"/>
    <w:rsid w:val="00D40709"/>
    <w:rsid w:val="00D41FCE"/>
    <w:rsid w:val="00D422C4"/>
    <w:rsid w:val="00D4283C"/>
    <w:rsid w:val="00D431EA"/>
    <w:rsid w:val="00D46FC3"/>
    <w:rsid w:val="00D47749"/>
    <w:rsid w:val="00D47AFA"/>
    <w:rsid w:val="00D51887"/>
    <w:rsid w:val="00D5262B"/>
    <w:rsid w:val="00D53368"/>
    <w:rsid w:val="00D535B9"/>
    <w:rsid w:val="00D53D55"/>
    <w:rsid w:val="00D551BB"/>
    <w:rsid w:val="00D55B36"/>
    <w:rsid w:val="00D566F5"/>
    <w:rsid w:val="00D611E2"/>
    <w:rsid w:val="00D6121A"/>
    <w:rsid w:val="00D635EB"/>
    <w:rsid w:val="00D64358"/>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345"/>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4A"/>
    <w:rsid w:val="00DA5F54"/>
    <w:rsid w:val="00DA7EA2"/>
    <w:rsid w:val="00DB0999"/>
    <w:rsid w:val="00DB0FA2"/>
    <w:rsid w:val="00DB1D80"/>
    <w:rsid w:val="00DB1F56"/>
    <w:rsid w:val="00DB2204"/>
    <w:rsid w:val="00DB22EE"/>
    <w:rsid w:val="00DB272A"/>
    <w:rsid w:val="00DB3F2E"/>
    <w:rsid w:val="00DB429A"/>
    <w:rsid w:val="00DB5713"/>
    <w:rsid w:val="00DC0905"/>
    <w:rsid w:val="00DC2BAE"/>
    <w:rsid w:val="00DC2E5F"/>
    <w:rsid w:val="00DC3323"/>
    <w:rsid w:val="00DC34F0"/>
    <w:rsid w:val="00DC516A"/>
    <w:rsid w:val="00DC5A19"/>
    <w:rsid w:val="00DC6263"/>
    <w:rsid w:val="00DC7C4C"/>
    <w:rsid w:val="00DD04EC"/>
    <w:rsid w:val="00DD0508"/>
    <w:rsid w:val="00DD099C"/>
    <w:rsid w:val="00DD1444"/>
    <w:rsid w:val="00DD2240"/>
    <w:rsid w:val="00DD31ED"/>
    <w:rsid w:val="00DD3AAC"/>
    <w:rsid w:val="00DD446A"/>
    <w:rsid w:val="00DD45C1"/>
    <w:rsid w:val="00DD4734"/>
    <w:rsid w:val="00DD48A7"/>
    <w:rsid w:val="00DD4C5F"/>
    <w:rsid w:val="00DD6F66"/>
    <w:rsid w:val="00DE0279"/>
    <w:rsid w:val="00DE2175"/>
    <w:rsid w:val="00DE4720"/>
    <w:rsid w:val="00DE4E18"/>
    <w:rsid w:val="00DE5090"/>
    <w:rsid w:val="00DE57B7"/>
    <w:rsid w:val="00DE5A6D"/>
    <w:rsid w:val="00DE628B"/>
    <w:rsid w:val="00DE6322"/>
    <w:rsid w:val="00DE7250"/>
    <w:rsid w:val="00DE7FBB"/>
    <w:rsid w:val="00DF013D"/>
    <w:rsid w:val="00DF0356"/>
    <w:rsid w:val="00DF1093"/>
    <w:rsid w:val="00DF1252"/>
    <w:rsid w:val="00DF3540"/>
    <w:rsid w:val="00DF3A1D"/>
    <w:rsid w:val="00DF5570"/>
    <w:rsid w:val="00DF580A"/>
    <w:rsid w:val="00DF59BE"/>
    <w:rsid w:val="00DF5E16"/>
    <w:rsid w:val="00DF5E88"/>
    <w:rsid w:val="00DF63B6"/>
    <w:rsid w:val="00DF6733"/>
    <w:rsid w:val="00E00466"/>
    <w:rsid w:val="00E00770"/>
    <w:rsid w:val="00E00DB6"/>
    <w:rsid w:val="00E00E9B"/>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C21"/>
    <w:rsid w:val="00E24FAE"/>
    <w:rsid w:val="00E25241"/>
    <w:rsid w:val="00E25DE4"/>
    <w:rsid w:val="00E265A3"/>
    <w:rsid w:val="00E30B03"/>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23AA"/>
    <w:rsid w:val="00E42755"/>
    <w:rsid w:val="00E43424"/>
    <w:rsid w:val="00E43CF8"/>
    <w:rsid w:val="00E43EED"/>
    <w:rsid w:val="00E442AA"/>
    <w:rsid w:val="00E45BBE"/>
    <w:rsid w:val="00E46472"/>
    <w:rsid w:val="00E466A2"/>
    <w:rsid w:val="00E47853"/>
    <w:rsid w:val="00E47EA0"/>
    <w:rsid w:val="00E501D3"/>
    <w:rsid w:val="00E516A1"/>
    <w:rsid w:val="00E51AB2"/>
    <w:rsid w:val="00E53724"/>
    <w:rsid w:val="00E53C8F"/>
    <w:rsid w:val="00E5438D"/>
    <w:rsid w:val="00E56110"/>
    <w:rsid w:val="00E568B5"/>
    <w:rsid w:val="00E56D1B"/>
    <w:rsid w:val="00E5779D"/>
    <w:rsid w:val="00E6010F"/>
    <w:rsid w:val="00E60795"/>
    <w:rsid w:val="00E60A51"/>
    <w:rsid w:val="00E61E1A"/>
    <w:rsid w:val="00E621A3"/>
    <w:rsid w:val="00E6377B"/>
    <w:rsid w:val="00E64FBC"/>
    <w:rsid w:val="00E654C0"/>
    <w:rsid w:val="00E66087"/>
    <w:rsid w:val="00E67F75"/>
    <w:rsid w:val="00E7010D"/>
    <w:rsid w:val="00E7041A"/>
    <w:rsid w:val="00E70691"/>
    <w:rsid w:val="00E7078C"/>
    <w:rsid w:val="00E70A78"/>
    <w:rsid w:val="00E718AC"/>
    <w:rsid w:val="00E71A64"/>
    <w:rsid w:val="00E71EE2"/>
    <w:rsid w:val="00E72992"/>
    <w:rsid w:val="00E72EF2"/>
    <w:rsid w:val="00E73428"/>
    <w:rsid w:val="00E735AC"/>
    <w:rsid w:val="00E737CA"/>
    <w:rsid w:val="00E74A06"/>
    <w:rsid w:val="00E74ACA"/>
    <w:rsid w:val="00E7619B"/>
    <w:rsid w:val="00E765D0"/>
    <w:rsid w:val="00E7674A"/>
    <w:rsid w:val="00E77AA8"/>
    <w:rsid w:val="00E8065F"/>
    <w:rsid w:val="00E81A9C"/>
    <w:rsid w:val="00E82420"/>
    <w:rsid w:val="00E829DF"/>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F33"/>
    <w:rsid w:val="00EA2470"/>
    <w:rsid w:val="00EA3AF3"/>
    <w:rsid w:val="00EA3CE8"/>
    <w:rsid w:val="00EA4118"/>
    <w:rsid w:val="00EA479E"/>
    <w:rsid w:val="00EA71C2"/>
    <w:rsid w:val="00EA7517"/>
    <w:rsid w:val="00EB0137"/>
    <w:rsid w:val="00EB130D"/>
    <w:rsid w:val="00EB15F3"/>
    <w:rsid w:val="00EB1FDF"/>
    <w:rsid w:val="00EB2DEC"/>
    <w:rsid w:val="00EB37A7"/>
    <w:rsid w:val="00EB3900"/>
    <w:rsid w:val="00EB3CB7"/>
    <w:rsid w:val="00EB4C37"/>
    <w:rsid w:val="00EB4D22"/>
    <w:rsid w:val="00EB5A67"/>
    <w:rsid w:val="00EB6B22"/>
    <w:rsid w:val="00EB744A"/>
    <w:rsid w:val="00EB78E0"/>
    <w:rsid w:val="00EB7D34"/>
    <w:rsid w:val="00EC17C9"/>
    <w:rsid w:val="00EC1F35"/>
    <w:rsid w:val="00EC3F68"/>
    <w:rsid w:val="00EC447E"/>
    <w:rsid w:val="00EC52CA"/>
    <w:rsid w:val="00EC5CDC"/>
    <w:rsid w:val="00EC5E09"/>
    <w:rsid w:val="00EC70FF"/>
    <w:rsid w:val="00EC7B59"/>
    <w:rsid w:val="00ED0181"/>
    <w:rsid w:val="00ED099E"/>
    <w:rsid w:val="00ED0A7C"/>
    <w:rsid w:val="00ED2F51"/>
    <w:rsid w:val="00ED2FA8"/>
    <w:rsid w:val="00ED3825"/>
    <w:rsid w:val="00ED3B38"/>
    <w:rsid w:val="00ED4537"/>
    <w:rsid w:val="00ED528B"/>
    <w:rsid w:val="00ED5322"/>
    <w:rsid w:val="00ED5679"/>
    <w:rsid w:val="00ED5F98"/>
    <w:rsid w:val="00ED62BD"/>
    <w:rsid w:val="00ED7B82"/>
    <w:rsid w:val="00ED7C85"/>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7E8"/>
    <w:rsid w:val="00EE790C"/>
    <w:rsid w:val="00EF0042"/>
    <w:rsid w:val="00EF04CD"/>
    <w:rsid w:val="00EF0A71"/>
    <w:rsid w:val="00EF1570"/>
    <w:rsid w:val="00EF26F8"/>
    <w:rsid w:val="00EF2A6B"/>
    <w:rsid w:val="00EF34AA"/>
    <w:rsid w:val="00EF3FB5"/>
    <w:rsid w:val="00EF5A20"/>
    <w:rsid w:val="00EF5FD9"/>
    <w:rsid w:val="00EF656E"/>
    <w:rsid w:val="00EF6B4D"/>
    <w:rsid w:val="00EF797C"/>
    <w:rsid w:val="00F00549"/>
    <w:rsid w:val="00F013AE"/>
    <w:rsid w:val="00F01FAA"/>
    <w:rsid w:val="00F021E3"/>
    <w:rsid w:val="00F0245B"/>
    <w:rsid w:val="00F03026"/>
    <w:rsid w:val="00F04591"/>
    <w:rsid w:val="00F053DA"/>
    <w:rsid w:val="00F056A1"/>
    <w:rsid w:val="00F05AB1"/>
    <w:rsid w:val="00F06388"/>
    <w:rsid w:val="00F0674A"/>
    <w:rsid w:val="00F0680F"/>
    <w:rsid w:val="00F075A2"/>
    <w:rsid w:val="00F10872"/>
    <w:rsid w:val="00F11162"/>
    <w:rsid w:val="00F11244"/>
    <w:rsid w:val="00F11E2C"/>
    <w:rsid w:val="00F12245"/>
    <w:rsid w:val="00F127FB"/>
    <w:rsid w:val="00F129D2"/>
    <w:rsid w:val="00F129E8"/>
    <w:rsid w:val="00F12A2F"/>
    <w:rsid w:val="00F12EF3"/>
    <w:rsid w:val="00F13B2B"/>
    <w:rsid w:val="00F13CEA"/>
    <w:rsid w:val="00F1448B"/>
    <w:rsid w:val="00F1590C"/>
    <w:rsid w:val="00F15FF9"/>
    <w:rsid w:val="00F165E3"/>
    <w:rsid w:val="00F17D61"/>
    <w:rsid w:val="00F212AD"/>
    <w:rsid w:val="00F21712"/>
    <w:rsid w:val="00F2184C"/>
    <w:rsid w:val="00F2389D"/>
    <w:rsid w:val="00F23BE7"/>
    <w:rsid w:val="00F23F5C"/>
    <w:rsid w:val="00F259B1"/>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0744"/>
    <w:rsid w:val="00F4154F"/>
    <w:rsid w:val="00F41935"/>
    <w:rsid w:val="00F4315F"/>
    <w:rsid w:val="00F45029"/>
    <w:rsid w:val="00F46411"/>
    <w:rsid w:val="00F46D01"/>
    <w:rsid w:val="00F46EC7"/>
    <w:rsid w:val="00F4770C"/>
    <w:rsid w:val="00F47BB4"/>
    <w:rsid w:val="00F47E16"/>
    <w:rsid w:val="00F51877"/>
    <w:rsid w:val="00F51D4A"/>
    <w:rsid w:val="00F51EBD"/>
    <w:rsid w:val="00F527DF"/>
    <w:rsid w:val="00F541B7"/>
    <w:rsid w:val="00F54582"/>
    <w:rsid w:val="00F5686D"/>
    <w:rsid w:val="00F56F2E"/>
    <w:rsid w:val="00F57AD3"/>
    <w:rsid w:val="00F61699"/>
    <w:rsid w:val="00F61CD0"/>
    <w:rsid w:val="00F62810"/>
    <w:rsid w:val="00F63591"/>
    <w:rsid w:val="00F63EEB"/>
    <w:rsid w:val="00F64C0C"/>
    <w:rsid w:val="00F65362"/>
    <w:rsid w:val="00F66A6C"/>
    <w:rsid w:val="00F66C02"/>
    <w:rsid w:val="00F6708C"/>
    <w:rsid w:val="00F67B7E"/>
    <w:rsid w:val="00F7049A"/>
    <w:rsid w:val="00F706BE"/>
    <w:rsid w:val="00F7097A"/>
    <w:rsid w:val="00F71409"/>
    <w:rsid w:val="00F71451"/>
    <w:rsid w:val="00F71526"/>
    <w:rsid w:val="00F71817"/>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591E"/>
    <w:rsid w:val="00F86646"/>
    <w:rsid w:val="00F86FBB"/>
    <w:rsid w:val="00F87930"/>
    <w:rsid w:val="00F9038C"/>
    <w:rsid w:val="00F9087F"/>
    <w:rsid w:val="00F91184"/>
    <w:rsid w:val="00F9139B"/>
    <w:rsid w:val="00F916DB"/>
    <w:rsid w:val="00F91843"/>
    <w:rsid w:val="00F91B79"/>
    <w:rsid w:val="00F92B5B"/>
    <w:rsid w:val="00F92D84"/>
    <w:rsid w:val="00F9417B"/>
    <w:rsid w:val="00F942D1"/>
    <w:rsid w:val="00F94A47"/>
    <w:rsid w:val="00F94D75"/>
    <w:rsid w:val="00F953C6"/>
    <w:rsid w:val="00F9644C"/>
    <w:rsid w:val="00F96638"/>
    <w:rsid w:val="00FA02B5"/>
    <w:rsid w:val="00FA0A5B"/>
    <w:rsid w:val="00FA1253"/>
    <w:rsid w:val="00FA12BE"/>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D8D"/>
    <w:rsid w:val="00FB5898"/>
    <w:rsid w:val="00FB5A2E"/>
    <w:rsid w:val="00FB5C28"/>
    <w:rsid w:val="00FB702A"/>
    <w:rsid w:val="00FB732E"/>
    <w:rsid w:val="00FB7412"/>
    <w:rsid w:val="00FB7F7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4523"/>
    <w:rsid w:val="00FD5CEE"/>
    <w:rsid w:val="00FD62A1"/>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C56"/>
    <w:rsid w:val="00FE7F02"/>
    <w:rsid w:val="00FF0E6F"/>
    <w:rsid w:val="00FF110E"/>
    <w:rsid w:val="00FF13DE"/>
    <w:rsid w:val="00FF1437"/>
    <w:rsid w:val="00FF16AB"/>
    <w:rsid w:val="00FF1749"/>
    <w:rsid w:val="00FF21C1"/>
    <w:rsid w:val="00FF4695"/>
    <w:rsid w:val="00FF48B5"/>
    <w:rsid w:val="00FF5EC7"/>
    <w:rsid w:val="04E6066F"/>
    <w:rsid w:val="05910BF1"/>
    <w:rsid w:val="09852594"/>
    <w:rsid w:val="0D1246EC"/>
    <w:rsid w:val="0ECF5EFA"/>
    <w:rsid w:val="2F38492B"/>
    <w:rsid w:val="34F0095A"/>
    <w:rsid w:val="3F1C6CDA"/>
    <w:rsid w:val="44AE2DCF"/>
    <w:rsid w:val="4D3662C0"/>
    <w:rsid w:val="532278B2"/>
    <w:rsid w:val="563E2ACB"/>
    <w:rsid w:val="564F24E2"/>
    <w:rsid w:val="5AFA32A6"/>
    <w:rsid w:val="5D43732A"/>
    <w:rsid w:val="610007D1"/>
    <w:rsid w:val="63D329D3"/>
    <w:rsid w:val="664724DD"/>
    <w:rsid w:val="6EBA79B8"/>
    <w:rsid w:val="72810CBF"/>
    <w:rsid w:val="7B802519"/>
    <w:rsid w:val="7BCC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3">
    <w:name w:val="heading 2"/>
    <w:basedOn w:val="1"/>
    <w:next w:val="4"/>
    <w:qFormat/>
    <w:uiPriority w:val="0"/>
    <w:pPr>
      <w:keepNext/>
      <w:keepLines/>
      <w:tabs>
        <w:tab w:val="left" w:pos="456"/>
      </w:tabs>
      <w:spacing w:beforeLines="100" w:afterLines="100" w:line="360" w:lineRule="auto"/>
      <w:ind w:left="456" w:hanging="454"/>
      <w:outlineLvl w:val="1"/>
    </w:pPr>
    <w:rPr>
      <w:b/>
      <w:sz w:val="24"/>
    </w:rPr>
  </w:style>
  <w:style w:type="paragraph" w:styleId="5">
    <w:name w:val="heading 3"/>
    <w:basedOn w:val="1"/>
    <w:next w:val="4"/>
    <w:qFormat/>
    <w:uiPriority w:val="0"/>
    <w:pPr>
      <w:keepNext/>
      <w:keepLines/>
      <w:tabs>
        <w:tab w:val="left" w:pos="475"/>
      </w:tabs>
      <w:spacing w:beforeLines="50" w:afterLines="50" w:line="360" w:lineRule="auto"/>
      <w:ind w:left="102" w:firstLine="13"/>
      <w:outlineLvl w:val="2"/>
    </w:pPr>
    <w:rPr>
      <w:b/>
      <w:sz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qFormat/>
    <w:uiPriority w:val="0"/>
    <w:pPr>
      <w:keepNext/>
      <w:keepLines/>
      <w:tabs>
        <w:tab w:val="left" w:pos="462"/>
      </w:tabs>
      <w:spacing w:before="100" w:beforeAutospacing="1" w:after="100" w:afterAutospacing="1" w:line="360" w:lineRule="auto"/>
      <w:ind w:left="102"/>
      <w:outlineLvl w:val="4"/>
    </w:pPr>
    <w:rPr>
      <w:b/>
      <w:sz w:val="24"/>
    </w:rPr>
  </w:style>
  <w:style w:type="paragraph" w:styleId="8">
    <w:name w:val="heading 6"/>
    <w:basedOn w:val="1"/>
    <w:next w:val="4"/>
    <w:qFormat/>
    <w:uiPriority w:val="0"/>
    <w:pPr>
      <w:keepNext/>
      <w:keepLines/>
      <w:tabs>
        <w:tab w:val="left" w:pos="462"/>
      </w:tabs>
      <w:spacing w:before="100" w:beforeAutospacing="1" w:after="100" w:afterAutospacing="1" w:line="360" w:lineRule="auto"/>
      <w:ind w:left="102"/>
      <w:outlineLvl w:val="5"/>
    </w:pPr>
    <w:rPr>
      <w:b/>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link w:val="59"/>
    <w:semiHidden/>
    <w:unhideWhenUsed/>
    <w:qFormat/>
    <w:uiPriority w:val="99"/>
    <w:rPr>
      <w:rFonts w:ascii="宋体"/>
      <w:sz w:val="18"/>
      <w:szCs w:val="18"/>
      <w:lang w:val="zh-CN"/>
    </w:rPr>
  </w:style>
  <w:style w:type="paragraph" w:styleId="13">
    <w:name w:val="annotation text"/>
    <w:basedOn w:val="1"/>
    <w:link w:val="51"/>
    <w:qFormat/>
    <w:uiPriority w:val="0"/>
    <w:pPr>
      <w:jc w:val="left"/>
    </w:pPr>
    <w:rPr>
      <w:lang w:val="zh-CN"/>
    </w:rPr>
  </w:style>
  <w:style w:type="paragraph" w:styleId="14">
    <w:name w:val="Body Text"/>
    <w:basedOn w:val="1"/>
    <w:qFormat/>
    <w:uiPriority w:val="0"/>
    <w:pPr>
      <w:spacing w:after="120"/>
    </w:pPr>
  </w:style>
  <w:style w:type="paragraph" w:styleId="15">
    <w:name w:val="Body Text Indent"/>
    <w:basedOn w:val="1"/>
    <w:qFormat/>
    <w:uiPriority w:val="0"/>
    <w:pPr>
      <w:widowControl/>
      <w:spacing w:line="360" w:lineRule="auto"/>
      <w:ind w:right="-85" w:rightChars="-85" w:firstLine="360" w:firstLineChars="150"/>
      <w:jc w:val="left"/>
    </w:pPr>
    <w:rPr>
      <w:rFonts w:ascii="宋体" w:hAnsi="宋体"/>
      <w:sz w:val="24"/>
    </w:rPr>
  </w:style>
  <w:style w:type="paragraph" w:styleId="16">
    <w:name w:val="Plain Text"/>
    <w:basedOn w:val="1"/>
    <w:link w:val="36"/>
    <w:qFormat/>
    <w:uiPriority w:val="99"/>
    <w:pPr>
      <w:widowControl/>
      <w:jc w:val="left"/>
    </w:pPr>
    <w:rPr>
      <w:rFonts w:ascii="Courier New" w:hAnsi="Courier New"/>
      <w:kern w:val="0"/>
      <w:sz w:val="20"/>
      <w:lang w:val="zh-CN"/>
    </w:rPr>
  </w:style>
  <w:style w:type="paragraph" w:styleId="17">
    <w:name w:val="Date"/>
    <w:basedOn w:val="1"/>
    <w:next w:val="1"/>
    <w:link w:val="63"/>
    <w:semiHidden/>
    <w:unhideWhenUsed/>
    <w:qFormat/>
    <w:uiPriority w:val="99"/>
    <w:pPr>
      <w:ind w:left="100" w:leftChars="2500"/>
    </w:pPr>
    <w:rPr>
      <w:lang w:val="zh-CN"/>
    </w:rPr>
  </w:style>
  <w:style w:type="paragraph" w:styleId="18">
    <w:name w:val="Body Text Indent 2"/>
    <w:basedOn w:val="1"/>
    <w:qFormat/>
    <w:uiPriority w:val="0"/>
    <w:pPr>
      <w:widowControl/>
      <w:spacing w:before="100" w:beforeAutospacing="1" w:after="100" w:afterAutospacing="1"/>
      <w:ind w:right="-85" w:rightChars="-85" w:firstLine="480"/>
      <w:outlineLvl w:val="0"/>
    </w:pPr>
    <w:rPr>
      <w:rFonts w:ascii="宋体" w:hAnsi="宋体"/>
      <w:color w:val="000000"/>
      <w:sz w:val="24"/>
    </w:rPr>
  </w:style>
  <w:style w:type="paragraph" w:styleId="19">
    <w:name w:val="Balloon Text"/>
    <w:basedOn w:val="1"/>
    <w:qFormat/>
    <w:uiPriority w:val="0"/>
    <w:rPr>
      <w:sz w:val="18"/>
    </w:rPr>
  </w:style>
  <w:style w:type="paragraph" w:styleId="20">
    <w:name w:val="footer"/>
    <w:basedOn w:val="1"/>
    <w:link w:val="57"/>
    <w:qFormat/>
    <w:uiPriority w:val="99"/>
    <w:pPr>
      <w:tabs>
        <w:tab w:val="center" w:pos="4153"/>
        <w:tab w:val="right" w:pos="8306"/>
      </w:tabs>
      <w:snapToGrid w:val="0"/>
      <w:jc w:val="left"/>
    </w:pPr>
    <w:rPr>
      <w:sz w:val="18"/>
      <w:lang w:val="zh-CN"/>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tabs>
        <w:tab w:val="right" w:leader="dot" w:pos="8450"/>
      </w:tabs>
      <w:spacing w:line="360" w:lineRule="auto"/>
    </w:pPr>
    <w:rPr>
      <w:rFonts w:ascii="黑体" w:hAnsi="宋体" w:eastAsia="黑体"/>
      <w:sz w:val="24"/>
    </w:rPr>
  </w:style>
  <w:style w:type="paragraph" w:styleId="23">
    <w:name w:val="toc 2"/>
    <w:basedOn w:val="1"/>
    <w:next w:val="1"/>
    <w:qFormat/>
    <w:uiPriority w:val="0"/>
    <w:pPr>
      <w:ind w:left="420" w:leftChars="200"/>
    </w:pPr>
  </w:style>
  <w:style w:type="paragraph" w:styleId="24">
    <w:name w:val="Normal (Web)"/>
    <w:basedOn w:val="1"/>
    <w:qFormat/>
    <w:uiPriority w:val="0"/>
    <w:pPr>
      <w:widowControl/>
      <w:tabs>
        <w:tab w:val="left" w:pos="360"/>
      </w:tabs>
      <w:spacing w:before="100" w:beforeAutospacing="1" w:after="100" w:afterAutospacing="1"/>
      <w:jc w:val="left"/>
    </w:pPr>
    <w:rPr>
      <w:rFonts w:ascii="Arial Unicode MS" w:hAnsi="Arial Unicode MS" w:eastAsia="Arial Unicode MS"/>
      <w:kern w:val="0"/>
      <w:sz w:val="24"/>
    </w:rPr>
  </w:style>
  <w:style w:type="paragraph" w:styleId="25">
    <w:name w:val="Title"/>
    <w:basedOn w:val="14"/>
    <w:next w:val="14"/>
    <w:qFormat/>
    <w:uiPriority w:val="0"/>
    <w:pPr>
      <w:tabs>
        <w:tab w:val="left" w:pos="-540"/>
        <w:tab w:val="left" w:pos="1182"/>
      </w:tabs>
      <w:snapToGrid w:val="0"/>
      <w:spacing w:before="240" w:after="60" w:line="360" w:lineRule="auto"/>
      <w:ind w:left="527" w:hanging="425"/>
      <w:jc w:val="center"/>
      <w:outlineLvl w:val="0"/>
    </w:pPr>
    <w:rPr>
      <w:b/>
      <w:sz w:val="36"/>
    </w:rPr>
  </w:style>
  <w:style w:type="paragraph" w:styleId="26">
    <w:name w:val="annotation subject"/>
    <w:basedOn w:val="13"/>
    <w:next w:val="13"/>
    <w:qFormat/>
    <w:uiPriority w:val="0"/>
    <w:rPr>
      <w:b/>
    </w:rPr>
  </w:style>
  <w:style w:type="paragraph" w:styleId="27">
    <w:name w:val="Body Text First Indent"/>
    <w:basedOn w:val="14"/>
    <w:qFormat/>
    <w:uiPriority w:val="0"/>
    <w:pPr>
      <w:spacing w:line="300" w:lineRule="auto"/>
      <w:ind w:firstLine="425"/>
    </w:pPr>
  </w:style>
  <w:style w:type="character" w:styleId="30">
    <w:name w:val="page number"/>
    <w:basedOn w:val="29"/>
    <w:qFormat/>
    <w:uiPriority w:val="0"/>
  </w:style>
  <w:style w:type="character" w:styleId="31">
    <w:name w:val="Hyperlink"/>
    <w:qFormat/>
    <w:uiPriority w:val="99"/>
    <w:rPr>
      <w:color w:val="0000FF"/>
      <w:u w:val="single"/>
    </w:rPr>
  </w:style>
  <w:style w:type="character" w:styleId="32">
    <w:name w:val="annotation reference"/>
    <w:qFormat/>
    <w:uiPriority w:val="0"/>
    <w:rPr>
      <w:sz w:val="21"/>
    </w:rPr>
  </w:style>
  <w:style w:type="character" w:customStyle="1" w:styleId="33">
    <w:name w:val="read"/>
    <w:basedOn w:val="29"/>
    <w:qFormat/>
    <w:uiPriority w:val="0"/>
  </w:style>
  <w:style w:type="character" w:customStyle="1" w:styleId="34">
    <w:name w:val="已访问的超链接1"/>
    <w:qFormat/>
    <w:uiPriority w:val="0"/>
    <w:rPr>
      <w:color w:val="800080"/>
      <w:u w:val="single"/>
    </w:rPr>
  </w:style>
  <w:style w:type="character" w:customStyle="1" w:styleId="35">
    <w:name w:val="big1"/>
    <w:qFormat/>
    <w:uiPriority w:val="0"/>
    <w:rPr>
      <w:sz w:val="22"/>
    </w:rPr>
  </w:style>
  <w:style w:type="character" w:customStyle="1" w:styleId="36">
    <w:name w:val="纯文本 Char"/>
    <w:link w:val="16"/>
    <w:qFormat/>
    <w:uiPriority w:val="99"/>
    <w:rPr>
      <w:rFonts w:ascii="Courier New" w:hAnsi="Courier New"/>
    </w:rPr>
  </w:style>
  <w:style w:type="character" w:customStyle="1" w:styleId="37">
    <w:name w:val="ten51"/>
    <w:qFormat/>
    <w:uiPriority w:val="0"/>
    <w:rPr>
      <w:sz w:val="21"/>
    </w:rPr>
  </w:style>
  <w:style w:type="paragraph" w:customStyle="1" w:styleId="38">
    <w:name w:val="Char Char Char Char Char Char Char"/>
    <w:basedOn w:val="1"/>
    <w:qFormat/>
    <w:uiPriority w:val="0"/>
  </w:style>
  <w:style w:type="paragraph" w:customStyle="1" w:styleId="39">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40">
    <w:name w:val="xl22"/>
    <w:basedOn w:val="1"/>
    <w:qFormat/>
    <w:uiPriority w:val="0"/>
    <w:pPr>
      <w:widowControl/>
      <w:spacing w:before="100" w:beforeAutospacing="1" w:after="100" w:afterAutospacing="1"/>
      <w:textAlignment w:val="top"/>
    </w:pPr>
    <w:rPr>
      <w:rFonts w:hint="eastAsia" w:ascii="宋体" w:hAnsi="宋体"/>
      <w:kern w:val="0"/>
      <w:sz w:val="18"/>
    </w:rPr>
  </w:style>
  <w:style w:type="paragraph" w:customStyle="1" w:styleId="41">
    <w:name w:val="项目"/>
    <w:basedOn w:val="6"/>
    <w:qFormat/>
    <w:uiPriority w:val="0"/>
    <w:pPr>
      <w:snapToGrid w:val="0"/>
      <w:spacing w:before="120" w:after="120" w:line="360" w:lineRule="auto"/>
    </w:pPr>
    <w:rPr>
      <w:rFonts w:ascii="Times New Roman" w:hAnsi="Times New Roman" w:eastAsia="楷体_GB2312"/>
      <w:b w:val="0"/>
      <w:sz w:val="24"/>
    </w:rPr>
  </w:style>
  <w:style w:type="paragraph" w:customStyle="1" w:styleId="42">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43">
    <w:name w:val="表格正文"/>
    <w:basedOn w:val="4"/>
    <w:qFormat/>
    <w:uiPriority w:val="0"/>
    <w:pPr>
      <w:spacing w:beforeLines="50"/>
      <w:ind w:firstLine="0" w:firstLineChars="0"/>
      <w:jc w:val="center"/>
    </w:pPr>
    <w:rPr>
      <w:sz w:val="24"/>
    </w:rPr>
  </w:style>
  <w:style w:type="paragraph" w:customStyle="1" w:styleId="44">
    <w:name w:val="Char"/>
    <w:basedOn w:val="1"/>
    <w:qFormat/>
    <w:uiPriority w:val="0"/>
  </w:style>
  <w:style w:type="paragraph" w:customStyle="1" w:styleId="45">
    <w:name w:val="Char Char Char Char1 Char Char Char"/>
    <w:basedOn w:val="1"/>
    <w:qFormat/>
    <w:uiPriority w:val="0"/>
  </w:style>
  <w:style w:type="paragraph" w:customStyle="1" w:styleId="46">
    <w:name w:val="默认段落字体 Para Char Char Char Char Char Char"/>
    <w:basedOn w:val="1"/>
    <w:qFormat/>
    <w:uiPriority w:val="0"/>
    <w:pPr>
      <w:tabs>
        <w:tab w:val="left" w:pos="840"/>
      </w:tabs>
      <w:ind w:left="840" w:hanging="360"/>
    </w:pPr>
    <w:rPr>
      <w:sz w:val="24"/>
    </w:rPr>
  </w:style>
  <w:style w:type="paragraph" w:customStyle="1" w:styleId="47">
    <w:name w:val="报告署名"/>
    <w:basedOn w:val="1"/>
    <w:next w:val="1"/>
    <w:qFormat/>
    <w:uiPriority w:val="0"/>
    <w:pPr>
      <w:spacing w:line="360" w:lineRule="auto"/>
      <w:jc w:val="center"/>
    </w:pPr>
    <w:rPr>
      <w:rFonts w:ascii="宋体" w:hAnsi="宋体"/>
      <w:sz w:val="24"/>
    </w:rPr>
  </w:style>
  <w:style w:type="paragraph" w:customStyle="1" w:styleId="48">
    <w:name w:val="Char Char Char Char Char"/>
    <w:basedOn w:val="1"/>
    <w:qFormat/>
    <w:uiPriority w:val="0"/>
    <w:pPr>
      <w:tabs>
        <w:tab w:val="left" w:pos="840"/>
      </w:tabs>
      <w:ind w:left="840" w:hanging="360"/>
    </w:pPr>
    <w:rPr>
      <w:sz w:val="24"/>
    </w:rPr>
  </w:style>
  <w:style w:type="paragraph" w:customStyle="1" w:styleId="49">
    <w:name w:val="列表2"/>
    <w:basedOn w:val="1"/>
    <w:next w:val="25"/>
    <w:qFormat/>
    <w:uiPriority w:val="0"/>
    <w:pPr>
      <w:tabs>
        <w:tab w:val="left" w:pos="1125"/>
      </w:tabs>
      <w:spacing w:line="360" w:lineRule="auto"/>
      <w:ind w:left="1125" w:hanging="1125"/>
    </w:pPr>
    <w:rPr>
      <w:rFonts w:ascii="宋体"/>
    </w:rPr>
  </w:style>
  <w:style w:type="paragraph" w:styleId="50">
    <w:name w:val="List Paragraph"/>
    <w:basedOn w:val="1"/>
    <w:qFormat/>
    <w:uiPriority w:val="0"/>
    <w:pPr>
      <w:ind w:firstLine="420" w:firstLineChars="200"/>
    </w:pPr>
  </w:style>
  <w:style w:type="character" w:customStyle="1" w:styleId="51">
    <w:name w:val="批注文字 Char1"/>
    <w:link w:val="13"/>
    <w:qFormat/>
    <w:uiPriority w:val="0"/>
    <w:rPr>
      <w:kern w:val="2"/>
      <w:sz w:val="21"/>
    </w:rPr>
  </w:style>
  <w:style w:type="paragraph" w:customStyle="1" w:styleId="52">
    <w:name w:val="Char Char"/>
    <w:basedOn w:val="1"/>
    <w:qFormat/>
    <w:uiPriority w:val="0"/>
    <w:pPr>
      <w:tabs>
        <w:tab w:val="left" w:pos="840"/>
      </w:tabs>
      <w:ind w:left="840" w:hanging="360"/>
    </w:pPr>
    <w:rPr>
      <w:sz w:val="24"/>
      <w:szCs w:val="24"/>
    </w:rPr>
  </w:style>
  <w:style w:type="paragraph" w:customStyle="1" w:styleId="53">
    <w:name w:val="1 Char"/>
    <w:basedOn w:val="1"/>
    <w:semiHidden/>
    <w:qFormat/>
    <w:uiPriority w:val="0"/>
    <w:pPr>
      <w:tabs>
        <w:tab w:val="left" w:pos="360"/>
      </w:tabs>
    </w:pPr>
    <w:rPr>
      <w:sz w:val="24"/>
      <w:szCs w:val="24"/>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character" w:customStyle="1" w:styleId="55">
    <w:name w:val="unnamed11"/>
    <w:qFormat/>
    <w:uiPriority w:val="0"/>
    <w:rPr>
      <w:rFonts w:hint="eastAsia" w:ascii="宋体" w:hAnsi="宋体" w:eastAsia="宋体"/>
      <w:sz w:val="18"/>
      <w:szCs w:val="18"/>
    </w:rPr>
  </w:style>
  <w:style w:type="paragraph" w:customStyle="1" w:styleId="5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页脚 Char"/>
    <w:link w:val="20"/>
    <w:qFormat/>
    <w:uiPriority w:val="99"/>
    <w:rPr>
      <w:kern w:val="2"/>
      <w:sz w:val="18"/>
    </w:rPr>
  </w:style>
  <w:style w:type="paragraph" w:customStyle="1" w:styleId="58">
    <w:name w:val="Char1"/>
    <w:basedOn w:val="1"/>
    <w:qFormat/>
    <w:uiPriority w:val="0"/>
  </w:style>
  <w:style w:type="character" w:customStyle="1" w:styleId="59">
    <w:name w:val="文档结构图 Char"/>
    <w:link w:val="12"/>
    <w:semiHidden/>
    <w:qFormat/>
    <w:uiPriority w:val="99"/>
    <w:rPr>
      <w:rFonts w:ascii="宋体"/>
      <w:kern w:val="2"/>
      <w:sz w:val="18"/>
      <w:szCs w:val="18"/>
    </w:rPr>
  </w:style>
  <w:style w:type="character" w:customStyle="1" w:styleId="60">
    <w:name w:val="批注引用1"/>
    <w:qFormat/>
    <w:uiPriority w:val="0"/>
    <w:rPr>
      <w:sz w:val="21"/>
    </w:rPr>
  </w:style>
  <w:style w:type="paragraph" w:customStyle="1" w:styleId="61">
    <w:name w:val="Char Char Char1"/>
    <w:basedOn w:val="1"/>
    <w:qFormat/>
    <w:uiPriority w:val="0"/>
  </w:style>
  <w:style w:type="character" w:customStyle="1" w:styleId="62">
    <w:name w:val="批注引用2"/>
    <w:qFormat/>
    <w:uiPriority w:val="0"/>
    <w:rPr>
      <w:sz w:val="21"/>
      <w:szCs w:val="21"/>
    </w:rPr>
  </w:style>
  <w:style w:type="character" w:customStyle="1" w:styleId="63">
    <w:name w:val="日期 Char"/>
    <w:link w:val="17"/>
    <w:semiHidden/>
    <w:qFormat/>
    <w:uiPriority w:val="99"/>
    <w:rPr>
      <w:kern w:val="2"/>
      <w:sz w:val="21"/>
    </w:rPr>
  </w:style>
  <w:style w:type="character" w:customStyle="1" w:styleId="64">
    <w:name w:val="批注文字 Char"/>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7305F-1034-4E45-B876-245FEF7E9D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140</Pages>
  <Words>15064</Words>
  <Characters>85870</Characters>
  <Lines>715</Lines>
  <Paragraphs>201</Paragraphs>
  <TotalTime>1</TotalTime>
  <ScaleCrop>false</ScaleCrop>
  <LinksUpToDate>false</LinksUpToDate>
  <CharactersWithSpaces>100733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2020-11-09T06:09:00Z</dcterms:created>
  <dc:creator>张敏峻</dc:creator>
  <cp:lastModifiedBy>zhangminjun</cp:lastModifiedBy>
  <cp:lastPrinted>2019-12-02T02:12:00Z</cp:lastPrinted>
  <dcterms:modified xsi:type="dcterms:W3CDTF">2021-05-19T02:19:35Z</dcterms:modified>
  <dc:title>招募说明书</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