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b/>
          <w:bCs/>
          <w:sz w:val="28"/>
          <w:szCs w:val="28"/>
        </w:rPr>
      </w:pPr>
      <w:r>
        <w:rPr>
          <w:rFonts w:hint="eastAsia" w:ascii="宋体" w:hAnsi="宋体" w:cs="宋体"/>
          <w:b/>
          <w:bCs/>
          <w:sz w:val="28"/>
          <w:szCs w:val="28"/>
        </w:rPr>
        <w:t>交银施罗德成长动力一年持有期混合型证券投资基金基金份额发售公告</w:t>
      </w:r>
    </w:p>
    <w:p>
      <w:pPr>
        <w:adjustRightInd w:val="0"/>
        <w:snapToGrid w:val="0"/>
        <w:spacing w:before="120" w:line="360" w:lineRule="auto"/>
        <w:jc w:val="center"/>
        <w:rPr>
          <w:rFonts w:ascii="宋体" w:hAnsi="宋体"/>
          <w:b/>
          <w:sz w:val="24"/>
        </w:rPr>
      </w:pPr>
    </w:p>
    <w:p>
      <w:pPr>
        <w:adjustRightInd w:val="0"/>
        <w:snapToGrid w:val="0"/>
        <w:spacing w:before="120" w:line="360" w:lineRule="auto"/>
        <w:jc w:val="center"/>
        <w:outlineLvl w:val="0"/>
        <w:rPr>
          <w:rFonts w:ascii="宋体" w:hAnsi="宋体"/>
          <w:b/>
          <w:sz w:val="24"/>
        </w:rPr>
      </w:pPr>
      <w:r>
        <w:rPr>
          <w:rFonts w:hint="eastAsia" w:ascii="宋体" w:hAnsi="宋体"/>
          <w:b/>
          <w:sz w:val="24"/>
        </w:rPr>
        <w:t>重要提示</w:t>
      </w:r>
    </w:p>
    <w:p>
      <w:pPr>
        <w:adjustRightInd w:val="0"/>
        <w:snapToGrid w:val="0"/>
        <w:spacing w:line="360" w:lineRule="auto"/>
        <w:ind w:firstLine="480" w:firstLineChars="200"/>
        <w:rPr>
          <w:rFonts w:hAnsi="宋体"/>
          <w:sz w:val="24"/>
        </w:rPr>
      </w:pPr>
      <w:r>
        <w:rPr>
          <w:sz w:val="24"/>
        </w:rPr>
        <w:t>1</w:t>
      </w:r>
      <w:r>
        <w:rPr>
          <w:rFonts w:hAnsi="宋体"/>
          <w:sz w:val="24"/>
        </w:rPr>
        <w:t>、</w:t>
      </w:r>
      <w:r>
        <w:rPr>
          <w:rFonts w:hint="eastAsia" w:hAnsi="宋体"/>
          <w:sz w:val="24"/>
        </w:rPr>
        <w:t>交银施罗德成长动力一年持有期混合型证券投资基金</w:t>
      </w:r>
      <w:r>
        <w:rPr>
          <w:rFonts w:hAnsi="宋体"/>
          <w:sz w:val="24"/>
        </w:rPr>
        <w:t>（以下简称“本基金”）的募集已获中国证券监督管理委员会（以下简称“中国证监会”）证监许可【2020】</w:t>
      </w:r>
      <w:r>
        <w:rPr>
          <w:rFonts w:hint="eastAsia" w:hAnsi="宋体"/>
          <w:sz w:val="24"/>
        </w:rPr>
        <w:t>3454</w:t>
      </w:r>
      <w:r>
        <w:rPr>
          <w:rFonts w:hAnsi="宋体"/>
          <w:sz w:val="24"/>
        </w:rPr>
        <w:t>号文</w:t>
      </w:r>
      <w:r>
        <w:rPr>
          <w:rFonts w:hint="eastAsia" w:ascii="宋体" w:hAnsi="宋体"/>
          <w:sz w:val="24"/>
        </w:rPr>
        <w:t>予以注册</w:t>
      </w:r>
      <w:r>
        <w:rPr>
          <w:rFonts w:hAnsi="宋体"/>
          <w:sz w:val="24"/>
        </w:rPr>
        <w:t>。中国证监会对本基金</w:t>
      </w:r>
      <w:r>
        <w:rPr>
          <w:rFonts w:hint="eastAsia" w:hAnsi="宋体"/>
          <w:sz w:val="24"/>
        </w:rPr>
        <w:t>募集</w:t>
      </w:r>
      <w:r>
        <w:rPr>
          <w:rFonts w:hAnsi="宋体"/>
          <w:sz w:val="24"/>
        </w:rPr>
        <w:t>的</w:t>
      </w:r>
      <w:r>
        <w:rPr>
          <w:rFonts w:hint="eastAsia" w:ascii="宋体" w:hAnsi="宋体"/>
          <w:sz w:val="24"/>
        </w:rPr>
        <w:t>注册</w:t>
      </w:r>
      <w:r>
        <w:rPr>
          <w:rFonts w:hAnsi="宋体"/>
          <w:sz w:val="24"/>
        </w:rPr>
        <w:t>并不代表中国证监会对本基金的</w:t>
      </w:r>
      <w:r>
        <w:rPr>
          <w:rFonts w:hint="eastAsia" w:hAnsi="宋体"/>
          <w:sz w:val="24"/>
        </w:rPr>
        <w:t>投资价值</w:t>
      </w:r>
      <w:r>
        <w:rPr>
          <w:rFonts w:hAnsi="宋体"/>
          <w:sz w:val="24"/>
        </w:rPr>
        <w:t>和市场前景作出实质性判断、推荐或者保证。</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本基金是</w:t>
      </w:r>
      <w:r>
        <w:rPr>
          <w:rFonts w:hAnsi="宋体"/>
          <w:sz w:val="24"/>
        </w:rPr>
        <w:t>契约型开放式</w:t>
      </w:r>
      <w:r>
        <w:rPr>
          <w:rFonts w:hint="eastAsia" w:hAnsi="宋体"/>
          <w:sz w:val="24"/>
        </w:rPr>
        <w:t>混合型</w:t>
      </w:r>
      <w:r>
        <w:rPr>
          <w:rFonts w:hAnsi="宋体"/>
          <w:sz w:val="24"/>
        </w:rPr>
        <w:t>证券投资基金。</w:t>
      </w:r>
    </w:p>
    <w:p>
      <w:pPr>
        <w:adjustRightInd w:val="0"/>
        <w:snapToGrid w:val="0"/>
        <w:spacing w:line="360" w:lineRule="auto"/>
        <w:ind w:firstLine="480" w:firstLineChars="200"/>
        <w:rPr>
          <w:rFonts w:hAnsi="宋体"/>
          <w:sz w:val="24"/>
        </w:rPr>
      </w:pPr>
      <w:r>
        <w:rPr>
          <w:rFonts w:hint="eastAsia" w:hAnsi="宋体"/>
          <w:sz w:val="24"/>
        </w:rPr>
        <w:t>基金份额持有人持有的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pPr>
        <w:adjustRightInd w:val="0"/>
        <w:snapToGrid w:val="0"/>
        <w:spacing w:line="360" w:lineRule="auto"/>
        <w:ind w:firstLine="480" w:firstLineChars="200"/>
        <w:rPr>
          <w:rFonts w:hAnsi="宋体"/>
          <w:sz w:val="24"/>
        </w:rPr>
      </w:pPr>
      <w:r>
        <w:rPr>
          <w:sz w:val="24"/>
        </w:rPr>
        <w:t>3</w:t>
      </w:r>
      <w:r>
        <w:rPr>
          <w:rFonts w:hAnsi="宋体"/>
          <w:sz w:val="24"/>
        </w:rPr>
        <w:t>、本基金的管理人为交银施罗德基金管理有限公司（以下使用全称或其简称“本公司”），托管人为</w:t>
      </w:r>
      <w:r>
        <w:rPr>
          <w:rFonts w:hint="eastAsia" w:hAnsi="宋体"/>
          <w:sz w:val="24"/>
        </w:rPr>
        <w:t>上海浦东发展银行股份有限公司</w:t>
      </w:r>
      <w:r>
        <w:rPr>
          <w:rFonts w:hAnsi="宋体"/>
          <w:sz w:val="24"/>
        </w:rPr>
        <w:t>，登记机构为中国证券登记结算有限责任公司（以下使用全称或其简称“中登”）。</w:t>
      </w:r>
    </w:p>
    <w:p>
      <w:pPr>
        <w:adjustRightInd w:val="0"/>
        <w:snapToGrid w:val="0"/>
        <w:spacing w:line="360" w:lineRule="auto"/>
        <w:ind w:firstLine="480" w:firstLineChars="200"/>
        <w:rPr>
          <w:rFonts w:hAnsi="宋体"/>
          <w:sz w:val="24"/>
        </w:rPr>
      </w:pPr>
      <w:r>
        <w:rPr>
          <w:rFonts w:hint="eastAsia" w:hAnsi="宋体"/>
          <w:sz w:val="24"/>
        </w:rPr>
        <w:t>4、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adjustRightInd w:val="0"/>
        <w:snapToGrid w:val="0"/>
        <w:spacing w:line="360" w:lineRule="auto"/>
        <w:ind w:firstLine="480" w:firstLineChars="200"/>
        <w:rPr>
          <w:rFonts w:ascii="宋体" w:hAnsi="宋体"/>
          <w:sz w:val="24"/>
        </w:rPr>
      </w:pPr>
      <w:r>
        <w:rPr>
          <w:rFonts w:hAnsi="宋体"/>
          <w:sz w:val="24"/>
        </w:rPr>
        <w:t>5</w:t>
      </w:r>
      <w:r>
        <w:rPr>
          <w:rFonts w:hint="eastAsia" w:hAnsi="宋体"/>
          <w:sz w:val="24"/>
        </w:rPr>
        <w:t>、</w:t>
      </w:r>
      <w:r>
        <w:rPr>
          <w:rFonts w:hint="eastAsia" w:ascii="宋体" w:hAnsi="宋体"/>
          <w:sz w:val="24"/>
        </w:rPr>
        <w:t>投资者可以通过基金管理人的直销机构即基金管理人直销</w:t>
      </w:r>
      <w:r>
        <w:rPr>
          <w:rFonts w:ascii="宋体" w:hAnsi="宋体"/>
          <w:sz w:val="24"/>
        </w:rPr>
        <w:t>柜台以及</w:t>
      </w:r>
      <w:r>
        <w:rPr>
          <w:rFonts w:hint="eastAsia" w:ascii="宋体" w:hAnsi="宋体"/>
          <w:sz w:val="24"/>
        </w:rPr>
        <w:t>基金管理人</w:t>
      </w:r>
      <w:r>
        <w:rPr>
          <w:rFonts w:ascii="宋体" w:hAnsi="宋体"/>
          <w:sz w:val="24"/>
        </w:rPr>
        <w:t>的网上直销交易平台</w:t>
      </w:r>
      <w:r>
        <w:rPr>
          <w:rFonts w:hint="eastAsia" w:ascii="宋体" w:hAnsi="宋体"/>
          <w:sz w:val="24"/>
        </w:rPr>
        <w:t>（网站</w:t>
      </w:r>
      <w:r>
        <w:rPr>
          <w:rFonts w:ascii="宋体" w:hAnsi="宋体"/>
          <w:sz w:val="24"/>
        </w:rPr>
        <w:t>及手机APP</w:t>
      </w:r>
      <w:r>
        <w:rPr>
          <w:rFonts w:hint="eastAsia" w:ascii="宋体" w:hAnsi="宋体"/>
          <w:sz w:val="24"/>
        </w:rPr>
        <w:t>，</w:t>
      </w:r>
      <w:r>
        <w:rPr>
          <w:rFonts w:ascii="宋体" w:hAnsi="宋体"/>
          <w:sz w:val="24"/>
        </w:rPr>
        <w:t>下同）</w:t>
      </w:r>
      <w:r>
        <w:rPr>
          <w:rFonts w:hint="eastAsia" w:ascii="宋体" w:hAnsi="宋体"/>
          <w:sz w:val="24"/>
        </w:rPr>
        <w:t>和除基金管理人之外的其他销售机构（以下或称“其他销售机构”）认购本基金。</w:t>
      </w:r>
      <w:r>
        <w:rPr>
          <w:rFonts w:ascii="宋体" w:hAnsi="宋体"/>
          <w:sz w:val="24"/>
        </w:rPr>
        <w:t>本公告中如无特别说明，销售机构即指直销机构和</w:t>
      </w:r>
      <w:r>
        <w:rPr>
          <w:rFonts w:hint="eastAsia" w:ascii="宋体" w:hAnsi="宋体"/>
          <w:sz w:val="24"/>
        </w:rPr>
        <w:t>其他销售机构</w:t>
      </w:r>
      <w:r>
        <w:rPr>
          <w:rFonts w:ascii="宋体" w:hAnsi="宋体"/>
          <w:sz w:val="24"/>
        </w:rPr>
        <w:t>。具体销售机构名单详见本公告“</w:t>
      </w:r>
      <w:r>
        <w:rPr>
          <w:rFonts w:hint="eastAsia" w:ascii="宋体" w:hAnsi="宋体"/>
          <w:sz w:val="24"/>
        </w:rPr>
        <w:t>九、本次募集当事人或中介机构”项下“（三）销售机构”</w:t>
      </w:r>
      <w:r>
        <w:rPr>
          <w:rFonts w:ascii="宋体" w:hAnsi="宋体"/>
          <w:sz w:val="24"/>
        </w:rPr>
        <w:t>章节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基金管理人可根据有关法律法规的要求，选择其他符合要求的机构销售本基金。除法律法规另有规定外，任何与基金份额发售有关的当事人不得提前发售基金份额。</w:t>
      </w:r>
    </w:p>
    <w:p>
      <w:pPr>
        <w:adjustRightInd w:val="0"/>
        <w:snapToGrid w:val="0"/>
        <w:spacing w:line="360" w:lineRule="auto"/>
        <w:ind w:firstLine="480" w:firstLineChars="200"/>
        <w:rPr>
          <w:sz w:val="24"/>
        </w:rPr>
      </w:pPr>
      <w:r>
        <w:rPr>
          <w:sz w:val="24"/>
        </w:rPr>
        <w:t>6</w:t>
      </w:r>
      <w:r>
        <w:rPr>
          <w:rFonts w:hAnsi="宋体"/>
          <w:sz w:val="24"/>
        </w:rPr>
        <w:t>、基金募集期：本基金自</w:t>
      </w:r>
      <w:r>
        <w:rPr>
          <w:sz w:val="24"/>
        </w:rPr>
        <w:t>2021年</w:t>
      </w:r>
      <w:r>
        <w:rPr>
          <w:rFonts w:hint="eastAsia"/>
          <w:sz w:val="24"/>
        </w:rPr>
        <w:t>6</w:t>
      </w:r>
      <w:r>
        <w:rPr>
          <w:sz w:val="24"/>
        </w:rPr>
        <w:t>月</w:t>
      </w:r>
      <w:r>
        <w:rPr>
          <w:rFonts w:hint="eastAsia"/>
          <w:sz w:val="24"/>
        </w:rPr>
        <w:t>1</w:t>
      </w:r>
      <w:r>
        <w:rPr>
          <w:sz w:val="24"/>
        </w:rPr>
        <w:t>日</w:t>
      </w:r>
      <w:r>
        <w:rPr>
          <w:rFonts w:hint="eastAsia"/>
          <w:sz w:val="24"/>
        </w:rPr>
        <w:t>起至</w:t>
      </w:r>
      <w:r>
        <w:rPr>
          <w:sz w:val="24"/>
        </w:rPr>
        <w:t>2021</w:t>
      </w:r>
      <w:r>
        <w:rPr>
          <w:rFonts w:hint="eastAsia"/>
          <w:sz w:val="24"/>
        </w:rPr>
        <w:t>年6</w:t>
      </w:r>
      <w:r>
        <w:rPr>
          <w:sz w:val="24"/>
        </w:rPr>
        <w:t>月</w:t>
      </w:r>
      <w:r>
        <w:rPr>
          <w:rFonts w:hint="eastAsia"/>
          <w:sz w:val="24"/>
        </w:rPr>
        <w:t>8</w:t>
      </w:r>
      <w:r>
        <w:rPr>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pPr>
        <w:autoSpaceDE w:val="0"/>
        <w:autoSpaceDN w:val="0"/>
        <w:adjustRightInd w:val="0"/>
        <w:snapToGrid w:val="0"/>
        <w:spacing w:line="360" w:lineRule="auto"/>
        <w:ind w:firstLine="480" w:firstLineChars="20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int="eastAsia" w:hAnsi="宋体"/>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pPr>
        <w:adjustRightInd w:val="0"/>
        <w:snapToGrid w:val="0"/>
        <w:spacing w:line="360" w:lineRule="auto"/>
        <w:ind w:firstLine="480" w:firstLineChars="200"/>
        <w:rPr>
          <w:rFonts w:hAnsi="宋体"/>
          <w:sz w:val="24"/>
        </w:rPr>
      </w:pPr>
      <w:r>
        <w:rPr>
          <w:sz w:val="24"/>
        </w:rPr>
        <w:t>8</w:t>
      </w:r>
      <w:r>
        <w:rPr>
          <w:rFonts w:hAnsi="宋体"/>
          <w:sz w:val="24"/>
        </w:rPr>
        <w:t>、</w:t>
      </w:r>
      <w:r>
        <w:rPr>
          <w:rFonts w:hint="eastAsia" w:hAnsi="宋体"/>
          <w:sz w:val="24"/>
        </w:rPr>
        <w:t>募集期内，本基金募集规模上限为6</w:t>
      </w:r>
      <w:r>
        <w:rPr>
          <w:rFonts w:hAnsi="宋体"/>
          <w:sz w:val="24"/>
        </w:rPr>
        <w:t>0</w:t>
      </w:r>
      <w:r>
        <w:rPr>
          <w:rFonts w:hint="eastAsia" w:hAnsi="宋体"/>
          <w:sz w:val="24"/>
        </w:rPr>
        <w:t>亿元人民币（不包括募集期利息），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利息等损失由投资人自行承担。</w:t>
      </w:r>
    </w:p>
    <w:p>
      <w:pPr>
        <w:adjustRightInd w:val="0"/>
        <w:snapToGrid w:val="0"/>
        <w:spacing w:line="360" w:lineRule="auto"/>
        <w:ind w:firstLine="480" w:firstLineChars="200"/>
        <w:rPr>
          <w:rFonts w:hAnsi="宋体"/>
          <w:kern w:val="0"/>
          <w:sz w:val="24"/>
        </w:rPr>
      </w:pPr>
      <w:r>
        <w:rPr>
          <w:rFonts w:hAnsi="宋体"/>
          <w:sz w:val="24"/>
        </w:rPr>
        <w:t>9</w:t>
      </w:r>
      <w:r>
        <w:rPr>
          <w:rFonts w:hint="eastAsia" w:hAnsi="宋体"/>
          <w:sz w:val="24"/>
        </w:rPr>
        <w:t>、</w:t>
      </w:r>
      <w:r>
        <w:rPr>
          <w:rFonts w:hint="eastAsia" w:hAnsi="宋体"/>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pPr>
        <w:adjustRightInd w:val="0"/>
        <w:snapToGrid w:val="0"/>
        <w:spacing w:line="360" w:lineRule="auto"/>
        <w:ind w:firstLine="480" w:firstLineChars="200"/>
        <w:rPr>
          <w:rFonts w:hAnsi="宋体"/>
          <w:kern w:val="0"/>
          <w:sz w:val="24"/>
        </w:rPr>
      </w:pPr>
      <w:r>
        <w:rPr>
          <w:rFonts w:hint="eastAsia" w:hAnsi="宋体"/>
          <w:kern w:val="0"/>
          <w:sz w:val="24"/>
        </w:rPr>
        <w:t>（1）已持有上海人民币普通股票账户（或证券投资基金账户）的投资人，可以通过销售机构办理开户手续，将上海人民币普通股票账户（或证券投资基金账户）注册为开放式基金账户。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（2）没有上海人民币普通股票账户或证券投资基金账户的投资人，可通过销售机构申请注册开放式基金账户。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（3）已经持有中登开放式基金账户的投资人到非原开户机构办理认购的，不需再次开立基金账户，可凭中登基金账号到非原开户机构办理账户登记，然后再认购本基金。</w:t>
      </w:r>
    </w:p>
    <w:p>
      <w:pPr>
        <w:adjustRightInd w:val="0"/>
        <w:snapToGrid w:val="0"/>
        <w:spacing w:line="360" w:lineRule="auto"/>
        <w:ind w:firstLine="480" w:firstLineChars="200"/>
        <w:rPr>
          <w:sz w:val="24"/>
        </w:rPr>
      </w:pPr>
      <w:r>
        <w:rPr>
          <w:rFonts w:hAnsi="宋体"/>
          <w:kern w:val="0"/>
          <w:sz w:val="24"/>
        </w:rPr>
        <w:t>10</w:t>
      </w:r>
      <w:r>
        <w:rPr>
          <w:rFonts w:hint="eastAsia" w:hAnsi="宋体"/>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100,000</w:t>
      </w:r>
      <w:r>
        <w:rPr>
          <w:rFonts w:hint="eastAsia"/>
          <w:color w:val="000000"/>
          <w:kern w:val="0"/>
          <w:sz w:val="24"/>
        </w:rPr>
        <w:t>元，追加认购的最低金额为单笔</w:t>
      </w:r>
      <w:r>
        <w:rPr>
          <w:color w:val="000000"/>
          <w:kern w:val="0"/>
          <w:sz w:val="24"/>
        </w:rPr>
        <w:t>10,000</w:t>
      </w:r>
      <w:r>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int="eastAsia" w:hAnsi="宋体"/>
          <w:sz w:val="24"/>
        </w:rPr>
        <w:t>用</w:t>
      </w:r>
      <w:r>
        <w:rPr>
          <w:rFonts w:hAnsi="宋体"/>
          <w:sz w:val="24"/>
        </w:rPr>
        <w:t>按每笔认购申请单独计算，</w:t>
      </w:r>
      <w:r>
        <w:rPr>
          <w:rFonts w:hAnsi="宋体"/>
          <w:kern w:val="0"/>
          <w:sz w:val="24"/>
        </w:rPr>
        <w:t>认购申请一经</w:t>
      </w:r>
      <w:r>
        <w:rPr>
          <w:rFonts w:hint="eastAsia" w:hAnsi="宋体"/>
          <w:kern w:val="0"/>
          <w:sz w:val="24"/>
        </w:rPr>
        <w:t>登记</w:t>
      </w:r>
      <w:r>
        <w:rPr>
          <w:rFonts w:hAnsi="宋体"/>
          <w:kern w:val="0"/>
          <w:sz w:val="24"/>
        </w:rPr>
        <w:t>机构受理不得撤销</w:t>
      </w:r>
      <w:r>
        <w:rPr>
          <w:rFonts w:hAnsi="宋体"/>
          <w:sz w:val="24"/>
        </w:rPr>
        <w:t>。</w:t>
      </w:r>
    </w:p>
    <w:p>
      <w:pPr>
        <w:adjustRightInd w:val="0"/>
        <w:snapToGrid w:val="0"/>
        <w:spacing w:line="360" w:lineRule="auto"/>
        <w:ind w:firstLine="480" w:firstLineChars="200"/>
        <w:rPr>
          <w:sz w:val="24"/>
        </w:rPr>
      </w:pPr>
      <w:r>
        <w:rPr>
          <w:sz w:val="24"/>
        </w:rPr>
        <w:t>11</w:t>
      </w:r>
      <w:r>
        <w:rPr>
          <w:rFonts w:hAnsi="宋体"/>
          <w:sz w:val="24"/>
        </w:rPr>
        <w:t>、销售网点（指直销机构和</w:t>
      </w:r>
      <w:r>
        <w:rPr>
          <w:sz w:val="24"/>
        </w:rPr>
        <w:t>/</w:t>
      </w:r>
      <w:r>
        <w:rPr>
          <w:rFonts w:hAnsi="宋体"/>
          <w:sz w:val="24"/>
        </w:rPr>
        <w:t>或</w:t>
      </w:r>
      <w:r>
        <w:rPr>
          <w:rFonts w:hint="eastAsia" w:hAnsi="宋体"/>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int="eastAsia" w:hAnsi="宋体"/>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pPr>
        <w:adjustRightInd w:val="0"/>
        <w:snapToGrid w:val="0"/>
        <w:spacing w:line="360" w:lineRule="auto"/>
        <w:ind w:firstLine="480" w:firstLineChars="200"/>
        <w:rPr>
          <w:sz w:val="24"/>
        </w:rPr>
      </w:pPr>
      <w:r>
        <w:rPr>
          <w:sz w:val="24"/>
        </w:rPr>
        <w:t>12</w:t>
      </w:r>
      <w:r>
        <w:rPr>
          <w:rFonts w:hAnsi="宋体"/>
          <w:sz w:val="24"/>
        </w:rPr>
        <w:t>、本公告仅对本基金基金份额发售的有关事项和规定予以说明。投资者欲了解本基金的详细情况，请详细阅读202</w:t>
      </w:r>
      <w:r>
        <w:rPr>
          <w:rFonts w:hint="eastAsia" w:hAnsi="宋体"/>
          <w:sz w:val="24"/>
        </w:rPr>
        <w:t>1</w:t>
      </w:r>
      <w:r>
        <w:rPr>
          <w:rFonts w:hAnsi="宋体"/>
          <w:sz w:val="24"/>
        </w:rPr>
        <w:t>年</w:t>
      </w:r>
      <w:r>
        <w:rPr>
          <w:rFonts w:hint="eastAsia" w:hAnsi="宋体"/>
          <w:sz w:val="24"/>
        </w:rPr>
        <w:t>5</w:t>
      </w:r>
      <w:r>
        <w:rPr>
          <w:rFonts w:hAnsi="宋体"/>
          <w:sz w:val="24"/>
        </w:rPr>
        <w:t>月</w:t>
      </w:r>
      <w:r>
        <w:rPr>
          <w:rFonts w:hint="eastAsia" w:hAnsi="宋体"/>
          <w:sz w:val="24"/>
          <w:lang w:val="en-US" w:eastAsia="zh-CN"/>
        </w:rPr>
        <w:t>20</w:t>
      </w:r>
      <w:r>
        <w:rPr>
          <w:rFonts w:hAnsi="宋体"/>
          <w:sz w:val="24"/>
        </w:rPr>
        <w:t>日</w:t>
      </w:r>
      <w:r>
        <w:rPr>
          <w:rFonts w:hint="eastAsia" w:hAnsi="宋体"/>
          <w:sz w:val="24"/>
        </w:rPr>
        <w:t>在本公司网站（www.fund001.com）和中国证监会基金电子披露网站（http://eid.csrc.gov.cn/fund）披露</w:t>
      </w:r>
      <w:r>
        <w:rPr>
          <w:rFonts w:hAnsi="宋体"/>
          <w:sz w:val="24"/>
        </w:rPr>
        <w:t>的</w:t>
      </w:r>
      <w:r>
        <w:rPr>
          <w:rFonts w:hint="eastAsia" w:hAnsi="宋体"/>
          <w:sz w:val="24"/>
        </w:rPr>
        <w:t>交银施罗德成长动力一年持有期混合型证券投资基金基金合同</w:t>
      </w:r>
      <w:r>
        <w:rPr>
          <w:rFonts w:hAnsi="宋体"/>
          <w:sz w:val="24"/>
        </w:rPr>
        <w:t>和招募说明书。</w:t>
      </w:r>
    </w:p>
    <w:p>
      <w:pPr>
        <w:adjustRightInd w:val="0"/>
        <w:snapToGrid w:val="0"/>
        <w:spacing w:line="360" w:lineRule="auto"/>
        <w:ind w:firstLine="480" w:firstLineChars="200"/>
        <w:rPr>
          <w:sz w:val="24"/>
        </w:rPr>
      </w:pPr>
      <w:r>
        <w:rPr>
          <w:sz w:val="24"/>
        </w:rPr>
        <w:t>13</w:t>
      </w:r>
      <w:r>
        <w:rPr>
          <w:rFonts w:hAnsi="宋体"/>
          <w:sz w:val="24"/>
        </w:rPr>
        <w:t>、本基金的基金合同、招募说明书及本公告将同时发布在本公司网站（</w:t>
      </w:r>
      <w:r>
        <w:rPr>
          <w:rStyle w:val="57"/>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pPr>
        <w:adjustRightInd w:val="0"/>
        <w:snapToGrid w:val="0"/>
        <w:spacing w:line="360" w:lineRule="auto"/>
        <w:ind w:firstLine="480" w:firstLineChars="200"/>
        <w:rPr>
          <w:sz w:val="24"/>
        </w:rPr>
      </w:pPr>
      <w:r>
        <w:rPr>
          <w:sz w:val="24"/>
        </w:rPr>
        <w:t>14</w:t>
      </w:r>
      <w:r>
        <w:rPr>
          <w:rFonts w:hAnsi="宋体"/>
          <w:sz w:val="24"/>
        </w:rPr>
        <w:t>、销售机构的销售网点以及开户认购等事项的详细情况请向各销售机构咨询。</w:t>
      </w:r>
    </w:p>
    <w:p>
      <w:pPr>
        <w:adjustRightInd w:val="0"/>
        <w:snapToGrid w:val="0"/>
        <w:spacing w:line="360" w:lineRule="auto"/>
        <w:ind w:firstLine="480" w:firstLineChars="200"/>
        <w:rPr>
          <w:sz w:val="24"/>
        </w:rPr>
      </w:pPr>
      <w:r>
        <w:rPr>
          <w:sz w:val="24"/>
        </w:rPr>
        <w:t>15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pPr>
        <w:widowControl/>
        <w:adjustRightInd w:val="0"/>
        <w:snapToGrid w:val="0"/>
        <w:spacing w:line="360" w:lineRule="auto"/>
        <w:ind w:firstLine="480" w:firstLineChars="200"/>
        <w:rPr>
          <w:kern w:val="0"/>
          <w:sz w:val="24"/>
        </w:rPr>
      </w:pPr>
      <w:r>
        <w:rPr>
          <w:sz w:val="24"/>
        </w:rPr>
        <w:t>16</w:t>
      </w:r>
      <w:r>
        <w:rPr>
          <w:rFonts w:hAnsi="宋体"/>
          <w:sz w:val="24"/>
        </w:rPr>
        <w:t>、</w:t>
      </w:r>
      <w:r>
        <w:rPr>
          <w:rFonts w:hAnsi="宋体"/>
          <w:kern w:val="0"/>
          <w:sz w:val="24"/>
        </w:rPr>
        <w:t>由于各基金销售机构系统及业务安排等原因，</w:t>
      </w:r>
      <w:r>
        <w:rPr>
          <w:rFonts w:hint="eastAsia" w:hAnsi="宋体"/>
          <w:kern w:val="0"/>
          <w:sz w:val="24"/>
        </w:rPr>
        <w:t>工作</w:t>
      </w:r>
      <w:r>
        <w:rPr>
          <w:rFonts w:hAnsi="宋体"/>
          <w:kern w:val="0"/>
          <w:sz w:val="24"/>
        </w:rPr>
        <w:t>日的具体业务办理时间可能有所不同，投资人应参照各基金销售机构的具体规定。</w:t>
      </w:r>
    </w:p>
    <w:p>
      <w:pPr>
        <w:adjustRightInd w:val="0"/>
        <w:snapToGrid w:val="0"/>
        <w:spacing w:line="360" w:lineRule="auto"/>
        <w:ind w:firstLine="480" w:firstLineChars="200"/>
        <w:rPr>
          <w:rFonts w:hAnsi="宋体"/>
          <w:sz w:val="24"/>
        </w:rPr>
      </w:pPr>
      <w:r>
        <w:rPr>
          <w:sz w:val="24"/>
        </w:rPr>
        <w:t>17</w:t>
      </w:r>
      <w:r>
        <w:rPr>
          <w:rFonts w:hAnsi="宋体"/>
          <w:sz w:val="24"/>
        </w:rPr>
        <w:t>、本公司可综合各种情况对募集安排做适当调整。</w:t>
      </w:r>
      <w:r>
        <w:rPr>
          <w:rFonts w:hint="eastAsia" w:hAnsi="宋体"/>
          <w:sz w:val="24"/>
        </w:rPr>
        <w:t>为稳定基金募集规模，本公司可</w:t>
      </w:r>
      <w:r>
        <w:rPr>
          <w:rFonts w:hAnsi="宋体"/>
          <w:sz w:val="24"/>
        </w:rPr>
        <w:t>综合各种情况对</w:t>
      </w:r>
      <w:r>
        <w:rPr>
          <w:rFonts w:hint="eastAsia" w:hAnsi="宋体"/>
          <w:sz w:val="24"/>
        </w:rPr>
        <w:t>基金</w:t>
      </w:r>
      <w:r>
        <w:rPr>
          <w:rFonts w:hAnsi="宋体"/>
          <w:sz w:val="24"/>
        </w:rPr>
        <w:t>募集规模上限进行设</w:t>
      </w:r>
      <w:r>
        <w:rPr>
          <w:rFonts w:hint="eastAsia" w:hAnsi="宋体"/>
          <w:sz w:val="24"/>
        </w:rPr>
        <w:t>定并予以公告。</w:t>
      </w:r>
    </w:p>
    <w:p>
      <w:pPr>
        <w:adjustRightInd w:val="0"/>
        <w:snapToGrid w:val="0"/>
        <w:spacing w:line="360" w:lineRule="auto"/>
        <w:ind w:firstLine="480" w:firstLineChars="200"/>
        <w:rPr>
          <w:sz w:val="24"/>
        </w:rPr>
      </w:pPr>
      <w:r>
        <w:rPr>
          <w:sz w:val="24"/>
        </w:rPr>
        <w:t>18</w:t>
      </w:r>
      <w:r>
        <w:rPr>
          <w:rFonts w:hAnsi="宋体"/>
          <w:sz w:val="24"/>
        </w:rPr>
        <w:t>、风险提示</w:t>
      </w:r>
    </w:p>
    <w:p>
      <w:pPr>
        <w:adjustRightInd w:val="0"/>
        <w:snapToGrid w:val="0"/>
        <w:spacing w:line="360" w:lineRule="auto"/>
        <w:ind w:firstLine="480" w:firstLineChars="20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rFonts w:hAnsi="宋体"/>
          <w:sz w:val="24"/>
        </w:rPr>
      </w:pPr>
      <w:r>
        <w:rPr>
          <w:rFonts w:hint="eastAsia"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pPr>
        <w:widowControl/>
        <w:adjustRightInd w:val="0"/>
        <w:snapToGrid w:val="0"/>
        <w:spacing w:line="360" w:lineRule="auto"/>
        <w:ind w:firstLine="480" w:firstLineChars="200"/>
        <w:rPr>
          <w:rFonts w:hAnsi="宋体"/>
          <w:kern w:val="0"/>
          <w:sz w:val="24"/>
        </w:rPr>
      </w:pPr>
      <w:r>
        <w:rPr>
          <w:rFonts w:hAnsi="宋体"/>
          <w:kern w:val="0"/>
          <w:sz w:val="24"/>
        </w:rPr>
        <w:t>基金分为股票</w:t>
      </w:r>
      <w:r>
        <w:rPr>
          <w:rFonts w:hint="eastAsia" w:hAnsi="宋体"/>
          <w:kern w:val="0"/>
          <w:sz w:val="24"/>
        </w:rPr>
        <w:t>型</w:t>
      </w:r>
      <w:r>
        <w:rPr>
          <w:rFonts w:hAnsi="宋体"/>
          <w:kern w:val="0"/>
          <w:sz w:val="24"/>
        </w:rPr>
        <w:t>基金、混合</w:t>
      </w:r>
      <w:r>
        <w:rPr>
          <w:rFonts w:hint="eastAsia" w:hAnsi="宋体"/>
          <w:kern w:val="0"/>
          <w:sz w:val="24"/>
        </w:rPr>
        <w:t>型</w:t>
      </w:r>
      <w:r>
        <w:rPr>
          <w:rFonts w:hAnsi="宋体"/>
          <w:kern w:val="0"/>
          <w:sz w:val="24"/>
        </w:rPr>
        <w:t>基金、债券</w:t>
      </w:r>
      <w:r>
        <w:rPr>
          <w:rFonts w:hint="eastAsia" w:hAnsi="宋体"/>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本基金是一只混合型基金，其预期风险和预期收益高于债券型基金和货币市场基金，低于股票型基金。</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int="eastAsia" w:hAnsi="宋体"/>
          <w:kern w:val="0"/>
          <w:sz w:val="24"/>
        </w:rPr>
        <w:t>是市场风险、流动性风险、基差风险、保证金风险、信用风险和操作风险。</w:t>
      </w:r>
    </w:p>
    <w:p>
      <w:pPr>
        <w:widowControl/>
        <w:adjustRightInd w:val="0"/>
        <w:snapToGrid w:val="0"/>
        <w:spacing w:line="360" w:lineRule="auto"/>
        <w:ind w:firstLine="480" w:firstLineChars="200"/>
        <w:rPr>
          <w:rFonts w:hAnsi="宋体"/>
          <w:kern w:val="0"/>
          <w:sz w:val="24"/>
        </w:rPr>
      </w:pPr>
      <w:r>
        <w:rPr>
          <w:rFonts w:hint="eastAsia" w:hAnsi="宋体"/>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pPr>
        <w:adjustRightInd w:val="0"/>
        <w:snapToGrid w:val="0"/>
        <w:spacing w:line="360" w:lineRule="auto"/>
        <w:ind w:firstLine="480" w:firstLineChars="200"/>
        <w:rPr>
          <w:rFonts w:hAnsi="宋体"/>
          <w:kern w:val="0"/>
          <w:sz w:val="24"/>
        </w:rPr>
      </w:pPr>
      <w:r>
        <w:rPr>
          <w:rFonts w:hint="eastAsia" w:hAnsi="宋体"/>
          <w:kern w:val="0"/>
          <w:sz w:val="24"/>
        </w:rPr>
        <w:t>本</w:t>
      </w:r>
      <w:r>
        <w:rPr>
          <w:rFonts w:hAnsi="宋体"/>
          <w:kern w:val="0"/>
          <w:sz w:val="24"/>
        </w:rPr>
        <w:t>基金面临</w:t>
      </w:r>
      <w:r>
        <w:rPr>
          <w:rFonts w:hint="eastAsia" w:hAnsi="宋体"/>
          <w:kern w:val="0"/>
          <w:sz w:val="24"/>
        </w:rPr>
        <w:t>基金合同提前终止风险。连续5</w:t>
      </w:r>
      <w:r>
        <w:rPr>
          <w:rFonts w:hAnsi="宋体"/>
          <w:kern w:val="0"/>
          <w:sz w:val="24"/>
        </w:rPr>
        <w:t>0</w:t>
      </w:r>
      <w:r>
        <w:rPr>
          <w:rFonts w:hint="eastAsia" w:hAnsi="宋体"/>
          <w:kern w:val="0"/>
          <w:sz w:val="24"/>
        </w:rPr>
        <w:t>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pPr>
        <w:adjustRightInd w:val="0"/>
        <w:snapToGrid w:val="0"/>
        <w:spacing w:line="360" w:lineRule="auto"/>
        <w:ind w:firstLine="480" w:firstLineChars="200"/>
        <w:rPr>
          <w:rFonts w:hAnsi="宋体"/>
          <w:kern w:val="0"/>
          <w:sz w:val="24"/>
        </w:rPr>
      </w:pPr>
      <w:r>
        <w:rPr>
          <w:rFonts w:hint="eastAsia" w:hAnsi="宋体"/>
          <w:kern w:val="0"/>
          <w:sz w:val="24"/>
        </w:rPr>
        <w:t>投资人应当认真阅读《基金合同》、《招募说明书》、</w:t>
      </w:r>
      <w:r>
        <w:rPr>
          <w:rFonts w:hAnsi="宋体"/>
          <w:kern w:val="0"/>
          <w:sz w:val="24"/>
        </w:rPr>
        <w:t>《</w:t>
      </w:r>
      <w:r>
        <w:rPr>
          <w:rFonts w:hint="eastAsia" w:hAnsi="宋体"/>
          <w:kern w:val="0"/>
          <w:sz w:val="24"/>
        </w:rPr>
        <w:t>基金</w:t>
      </w:r>
      <w:r>
        <w:rPr>
          <w:rFonts w:hAnsi="宋体"/>
          <w:kern w:val="0"/>
          <w:sz w:val="24"/>
        </w:rPr>
        <w:t>产品资料概要》</w:t>
      </w:r>
      <w:r>
        <w:rPr>
          <w:rFonts w:hint="eastAsia" w:hAnsi="宋体"/>
          <w:kern w:val="0"/>
          <w:sz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rFonts w:hAnsi="宋体"/>
          <w:kern w:val="0"/>
          <w:sz w:val="24"/>
        </w:rPr>
      </w:pPr>
      <w:r>
        <w:rPr>
          <w:rFonts w:hint="eastAsia" w:hAnsi="宋体"/>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djustRightInd w:val="0"/>
        <w:snapToGrid w:val="0"/>
        <w:spacing w:line="360" w:lineRule="auto"/>
        <w:ind w:firstLine="480" w:firstLineChars="200"/>
        <w:rPr>
          <w:rFonts w:hAnsi="宋体"/>
          <w:kern w:val="0"/>
          <w:sz w:val="24"/>
        </w:rPr>
      </w:pPr>
      <w:r>
        <w:rPr>
          <w:rFonts w:hint="eastAsia" w:hAnsi="宋体"/>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widowControl/>
        <w:adjustRightInd w:val="0"/>
        <w:snapToGrid w:val="0"/>
        <w:spacing w:line="360" w:lineRule="auto"/>
        <w:ind w:firstLine="480" w:firstLineChars="200"/>
        <w:rPr>
          <w:sz w:val="24"/>
        </w:rPr>
      </w:pPr>
      <w:r>
        <w:rPr>
          <w:rFonts w:hAnsi="宋体"/>
          <w:kern w:val="0"/>
          <w:sz w:val="24"/>
        </w:rPr>
        <w:t>投资人应当通过基金管理人或具有基金</w:t>
      </w:r>
      <w:r>
        <w:rPr>
          <w:rFonts w:hint="eastAsia" w:hAnsi="宋体"/>
          <w:kern w:val="0"/>
          <w:sz w:val="24"/>
        </w:rPr>
        <w:t>销售</w:t>
      </w:r>
      <w:r>
        <w:rPr>
          <w:rFonts w:hAnsi="宋体"/>
          <w:kern w:val="0"/>
          <w:sz w:val="24"/>
        </w:rPr>
        <w:t>业务资格的其他机构购买和赎回基金。</w:t>
      </w:r>
    </w:p>
    <w:p>
      <w:pPr>
        <w:keepNext/>
        <w:keepLines/>
        <w:adjustRightInd w:val="0"/>
        <w:snapToGrid w:val="0"/>
        <w:spacing w:before="240" w:after="120" w:line="360" w:lineRule="auto"/>
        <w:jc w:val="center"/>
        <w:outlineLvl w:val="0"/>
        <w:rPr>
          <w:b/>
          <w:sz w:val="24"/>
        </w:rPr>
      </w:pPr>
      <w:r>
        <w:rPr>
          <w:rFonts w:hint="eastAsia"/>
          <w:b/>
          <w:sz w:val="24"/>
        </w:rPr>
        <w:t>一、本次募集基本情况</w:t>
      </w:r>
    </w:p>
    <w:p>
      <w:pPr>
        <w:adjustRightInd w:val="0"/>
        <w:snapToGrid w:val="0"/>
        <w:spacing w:line="360" w:lineRule="auto"/>
        <w:ind w:firstLine="480" w:firstLineChars="200"/>
        <w:outlineLvl w:val="1"/>
        <w:rPr>
          <w:sz w:val="24"/>
        </w:rPr>
      </w:pPr>
      <w:r>
        <w:rPr>
          <w:sz w:val="24"/>
        </w:rPr>
        <w:t>1</w:t>
      </w:r>
      <w:r>
        <w:rPr>
          <w:rFonts w:hAnsi="宋体"/>
          <w:sz w:val="24"/>
        </w:rPr>
        <w:t>、基金名称</w:t>
      </w:r>
    </w:p>
    <w:p>
      <w:pPr>
        <w:adjustRightInd w:val="0"/>
        <w:snapToGrid w:val="0"/>
        <w:spacing w:line="360" w:lineRule="auto"/>
        <w:ind w:firstLine="480" w:firstLineChars="200"/>
        <w:rPr>
          <w:sz w:val="24"/>
        </w:rPr>
      </w:pPr>
      <w:r>
        <w:rPr>
          <w:rFonts w:hint="eastAsia" w:hAnsi="宋体"/>
          <w:sz w:val="24"/>
        </w:rPr>
        <w:t>交银施罗德成长动力一年持有期混合型证券投资基金</w:t>
      </w:r>
    </w:p>
    <w:p>
      <w:pPr>
        <w:adjustRightInd w:val="0"/>
        <w:snapToGrid w:val="0"/>
        <w:spacing w:line="360" w:lineRule="auto"/>
        <w:ind w:firstLine="480" w:firstLineChars="200"/>
        <w:outlineLvl w:val="1"/>
        <w:rPr>
          <w:sz w:val="24"/>
        </w:rPr>
      </w:pPr>
      <w:r>
        <w:rPr>
          <w:sz w:val="24"/>
        </w:rPr>
        <w:t>2</w:t>
      </w:r>
      <w:r>
        <w:rPr>
          <w:rFonts w:hAnsi="宋体"/>
          <w:sz w:val="24"/>
        </w:rPr>
        <w:t>、基金类型</w:t>
      </w:r>
    </w:p>
    <w:p>
      <w:pPr>
        <w:adjustRightInd w:val="0"/>
        <w:snapToGrid w:val="0"/>
        <w:spacing w:line="360" w:lineRule="auto"/>
        <w:ind w:firstLine="480" w:firstLineChars="200"/>
        <w:rPr>
          <w:sz w:val="24"/>
        </w:rPr>
      </w:pPr>
      <w:r>
        <w:rPr>
          <w:rFonts w:hint="eastAsia"/>
          <w:color w:val="000000"/>
          <w:kern w:val="0"/>
          <w:sz w:val="24"/>
        </w:rPr>
        <w:t>混合型证券投资基金</w:t>
      </w:r>
    </w:p>
    <w:p>
      <w:pPr>
        <w:adjustRightInd w:val="0"/>
        <w:snapToGrid w:val="0"/>
        <w:spacing w:line="360" w:lineRule="auto"/>
        <w:ind w:firstLine="480" w:firstLineChars="200"/>
        <w:outlineLvl w:val="1"/>
        <w:rPr>
          <w:sz w:val="24"/>
        </w:rPr>
      </w:pPr>
      <w:r>
        <w:rPr>
          <w:sz w:val="24"/>
        </w:rPr>
        <w:t>3</w:t>
      </w:r>
      <w:r>
        <w:rPr>
          <w:rFonts w:hAnsi="宋体"/>
          <w:sz w:val="24"/>
        </w:rPr>
        <w:t>、运作方式</w:t>
      </w:r>
    </w:p>
    <w:p>
      <w:pPr>
        <w:adjustRightInd w:val="0"/>
        <w:snapToGrid w:val="0"/>
        <w:spacing w:line="360" w:lineRule="auto"/>
        <w:ind w:firstLine="480" w:firstLineChars="200"/>
        <w:rPr>
          <w:rFonts w:hAnsi="宋体"/>
          <w:sz w:val="24"/>
        </w:rPr>
      </w:pPr>
      <w:r>
        <w:rPr>
          <w:rFonts w:hint="eastAsia" w:hAnsi="宋体"/>
          <w:sz w:val="24"/>
        </w:rPr>
        <w:t>契约型开放式</w:t>
      </w:r>
    </w:p>
    <w:p>
      <w:pPr>
        <w:adjustRightInd w:val="0"/>
        <w:snapToGrid w:val="0"/>
        <w:spacing w:line="360" w:lineRule="auto"/>
        <w:ind w:firstLine="480" w:firstLineChars="200"/>
        <w:rPr>
          <w:sz w:val="24"/>
        </w:rPr>
      </w:pPr>
      <w:r>
        <w:rPr>
          <w:rFonts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pPr>
        <w:adjustRightInd w:val="0"/>
        <w:snapToGrid w:val="0"/>
        <w:spacing w:line="360" w:lineRule="auto"/>
        <w:ind w:firstLine="480" w:firstLineChars="200"/>
        <w:outlineLvl w:val="1"/>
        <w:rPr>
          <w:sz w:val="24"/>
        </w:rPr>
      </w:pPr>
      <w:r>
        <w:rPr>
          <w:sz w:val="24"/>
        </w:rPr>
        <w:t>4</w:t>
      </w:r>
      <w:r>
        <w:rPr>
          <w:rFonts w:hAnsi="宋体"/>
          <w:sz w:val="24"/>
        </w:rPr>
        <w:t>、基金存续期限</w:t>
      </w:r>
    </w:p>
    <w:p>
      <w:pPr>
        <w:adjustRightInd w:val="0"/>
        <w:snapToGrid w:val="0"/>
        <w:spacing w:line="360" w:lineRule="auto"/>
        <w:ind w:firstLine="480" w:firstLineChars="200"/>
        <w:rPr>
          <w:sz w:val="24"/>
        </w:rPr>
      </w:pPr>
      <w:r>
        <w:rPr>
          <w:rFonts w:hAnsi="宋体"/>
          <w:sz w:val="24"/>
        </w:rPr>
        <w:t>不定期</w:t>
      </w:r>
    </w:p>
    <w:p>
      <w:pPr>
        <w:adjustRightInd w:val="0"/>
        <w:snapToGrid w:val="0"/>
        <w:spacing w:line="360" w:lineRule="auto"/>
        <w:ind w:firstLine="480" w:firstLineChars="200"/>
        <w:outlineLvl w:val="1"/>
        <w:rPr>
          <w:sz w:val="24"/>
        </w:rPr>
      </w:pPr>
      <w:r>
        <w:rPr>
          <w:sz w:val="24"/>
        </w:rPr>
        <w:t>5</w:t>
      </w:r>
      <w:r>
        <w:rPr>
          <w:rFonts w:hAnsi="宋体"/>
          <w:sz w:val="24"/>
        </w:rPr>
        <w:t>、基金份额发售面值</w:t>
      </w:r>
    </w:p>
    <w:p>
      <w:pPr>
        <w:adjustRightInd w:val="0"/>
        <w:snapToGrid w:val="0"/>
        <w:spacing w:line="360" w:lineRule="auto"/>
        <w:ind w:firstLine="480" w:firstLineChars="200"/>
        <w:rPr>
          <w:rFonts w:hAnsi="宋体"/>
          <w:sz w:val="24"/>
        </w:rPr>
      </w:pPr>
      <w:r>
        <w:rPr>
          <w:rFonts w:hAnsi="宋体"/>
          <w:sz w:val="24"/>
        </w:rPr>
        <w:t>本基金基金份额发售面值为人民币</w:t>
      </w:r>
      <w:r>
        <w:rPr>
          <w:sz w:val="24"/>
        </w:rPr>
        <w:t>1.00</w:t>
      </w:r>
      <w:r>
        <w:rPr>
          <w:rFonts w:hAnsi="宋体"/>
          <w:sz w:val="24"/>
        </w:rPr>
        <w:t>元。</w:t>
      </w:r>
    </w:p>
    <w:p>
      <w:pPr>
        <w:adjustRightInd w:val="0"/>
        <w:snapToGrid w:val="0"/>
        <w:spacing w:line="360" w:lineRule="auto"/>
        <w:ind w:firstLine="480" w:firstLineChars="200"/>
        <w:outlineLvl w:val="1"/>
        <w:rPr>
          <w:rFonts w:hAnsi="宋体"/>
          <w:sz w:val="24"/>
        </w:rPr>
      </w:pPr>
      <w:r>
        <w:rPr>
          <w:rFonts w:hint="eastAsia" w:hAnsi="宋体"/>
          <w:sz w:val="24"/>
        </w:rPr>
        <w:t>6、基金份额类别</w:t>
      </w:r>
    </w:p>
    <w:p>
      <w:pPr>
        <w:adjustRightInd w:val="0"/>
        <w:snapToGrid w:val="0"/>
        <w:spacing w:line="360" w:lineRule="auto"/>
        <w:ind w:firstLine="480" w:firstLineChars="200"/>
        <w:rPr>
          <w:rFonts w:hAnsi="宋体"/>
          <w:sz w:val="24"/>
        </w:rPr>
      </w:pPr>
      <w:r>
        <w:rPr>
          <w:rFonts w:hint="eastAsia" w:hAnsi="宋体"/>
          <w:sz w:val="24"/>
        </w:rPr>
        <w:t>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adjustRightInd w:val="0"/>
        <w:snapToGrid w:val="0"/>
        <w:spacing w:line="360" w:lineRule="auto"/>
        <w:ind w:firstLine="480" w:firstLineChars="200"/>
        <w:outlineLvl w:val="1"/>
        <w:rPr>
          <w:sz w:val="24"/>
        </w:rPr>
      </w:pPr>
      <w:r>
        <w:rPr>
          <w:sz w:val="24"/>
        </w:rPr>
        <w:t>7</w:t>
      </w:r>
      <w:r>
        <w:rPr>
          <w:rFonts w:hint="eastAsia"/>
          <w:sz w:val="24"/>
        </w:rPr>
        <w:t>、</w:t>
      </w:r>
      <w:r>
        <w:rPr>
          <w:sz w:val="24"/>
        </w:rPr>
        <w:t>基金代码及基金简称</w:t>
      </w:r>
    </w:p>
    <w:p>
      <w:pPr>
        <w:adjustRightInd w:val="0"/>
        <w:snapToGrid w:val="0"/>
        <w:spacing w:line="360" w:lineRule="auto"/>
        <w:ind w:firstLine="480" w:firstLineChars="200"/>
        <w:rPr>
          <w:sz w:val="24"/>
        </w:rPr>
      </w:pPr>
      <w:r>
        <w:rPr>
          <w:rFonts w:hint="eastAsia"/>
          <w:sz w:val="24"/>
        </w:rPr>
        <w:t>（1）A类基金份额基金代码：011275；基金简称：交银成长动力一年混合A</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C</w:t>
      </w:r>
      <w:r>
        <w:rPr>
          <w:rFonts w:hint="eastAsia"/>
          <w:sz w:val="24"/>
        </w:rPr>
        <w:t>类基金份额基金代码：011276；基金简称：交银成长动力一年混合</w:t>
      </w:r>
      <w:r>
        <w:rPr>
          <w:sz w:val="24"/>
        </w:rPr>
        <w:t>C</w:t>
      </w:r>
    </w:p>
    <w:p>
      <w:pPr>
        <w:adjustRightInd w:val="0"/>
        <w:snapToGrid w:val="0"/>
        <w:spacing w:line="360" w:lineRule="auto"/>
        <w:ind w:firstLine="480" w:firstLineChars="200"/>
        <w:outlineLvl w:val="1"/>
        <w:rPr>
          <w:sz w:val="24"/>
        </w:rPr>
      </w:pPr>
      <w:r>
        <w:rPr>
          <w:sz w:val="24"/>
        </w:rPr>
        <w:t>8</w:t>
      </w:r>
      <w:r>
        <w:rPr>
          <w:rFonts w:hAnsi="宋体"/>
          <w:sz w:val="24"/>
        </w:rPr>
        <w:t>、发售对象</w:t>
      </w:r>
    </w:p>
    <w:p>
      <w:pPr>
        <w:widowControl/>
        <w:adjustRightInd w:val="0"/>
        <w:snapToGrid w:val="0"/>
        <w:spacing w:line="360" w:lineRule="auto"/>
        <w:ind w:firstLine="480" w:firstLineChars="20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pPr>
        <w:adjustRightInd w:val="0"/>
        <w:snapToGrid w:val="0"/>
        <w:spacing w:line="360" w:lineRule="auto"/>
        <w:ind w:firstLine="480" w:firstLineChars="200"/>
        <w:outlineLvl w:val="1"/>
        <w:rPr>
          <w:sz w:val="24"/>
        </w:rPr>
      </w:pPr>
      <w:r>
        <w:rPr>
          <w:sz w:val="24"/>
        </w:rPr>
        <w:t>9</w:t>
      </w:r>
      <w:r>
        <w:rPr>
          <w:rFonts w:hAnsi="宋体"/>
          <w:sz w:val="24"/>
        </w:rPr>
        <w:t>、销售机构</w:t>
      </w:r>
    </w:p>
    <w:p>
      <w:pPr>
        <w:adjustRightInd w:val="0"/>
        <w:snapToGrid w:val="0"/>
        <w:spacing w:line="360" w:lineRule="auto"/>
        <w:ind w:firstLine="480" w:firstLineChars="200"/>
        <w:outlineLvl w:val="2"/>
        <w:rPr>
          <w:sz w:val="24"/>
        </w:rPr>
      </w:pPr>
      <w:r>
        <w:rPr>
          <w:rFonts w:hAnsi="宋体"/>
          <w:sz w:val="24"/>
        </w:rPr>
        <w:t>（</w:t>
      </w:r>
      <w:r>
        <w:rPr>
          <w:sz w:val="24"/>
        </w:rPr>
        <w:t>1</w:t>
      </w:r>
      <w:r>
        <w:rPr>
          <w:rFonts w:hAnsi="宋体"/>
          <w:sz w:val="24"/>
        </w:rPr>
        <w:t>）直销机构：</w:t>
      </w:r>
    </w:p>
    <w:p>
      <w:pPr>
        <w:adjustRightInd w:val="0"/>
        <w:snapToGrid w:val="0"/>
        <w:spacing w:line="360" w:lineRule="auto"/>
        <w:ind w:firstLine="480" w:firstLineChars="200"/>
        <w:rPr>
          <w:sz w:val="24"/>
        </w:rPr>
      </w:pPr>
      <w:r>
        <w:rPr>
          <w:rFonts w:hAnsi="宋体"/>
          <w:sz w:val="24"/>
        </w:rPr>
        <w:t>本基金直销机构为本</w:t>
      </w:r>
      <w:r>
        <w:rPr>
          <w:rFonts w:hint="eastAsia" w:hAnsi="宋体"/>
          <w:sz w:val="24"/>
        </w:rPr>
        <w:t>公司直销</w:t>
      </w:r>
      <w:r>
        <w:rPr>
          <w:rFonts w:hAnsi="宋体"/>
          <w:sz w:val="24"/>
        </w:rPr>
        <w:t>柜台以及本</w:t>
      </w:r>
      <w:r>
        <w:rPr>
          <w:rFonts w:hint="eastAsia" w:hAnsi="宋体"/>
          <w:sz w:val="24"/>
        </w:rPr>
        <w:t>公司</w:t>
      </w:r>
      <w:r>
        <w:rPr>
          <w:rFonts w:hAnsi="宋体"/>
          <w:sz w:val="24"/>
        </w:rPr>
        <w:t>的网上直销交易平台。募集期间个人投资者可以通过本</w:t>
      </w:r>
      <w:r>
        <w:rPr>
          <w:rFonts w:hint="eastAsia" w:hAnsi="宋体"/>
          <w:sz w:val="24"/>
        </w:rPr>
        <w:t>公司</w:t>
      </w:r>
      <w:r>
        <w:rPr>
          <w:rFonts w:hAnsi="宋体"/>
          <w:sz w:val="24"/>
        </w:rPr>
        <w:t>网上直销交易平台办理开户和</w:t>
      </w:r>
      <w:r>
        <w:rPr>
          <w:rFonts w:hint="eastAsia" w:hAnsi="宋体"/>
          <w:sz w:val="24"/>
        </w:rPr>
        <w:t>本基金</w:t>
      </w:r>
      <w:r>
        <w:rPr>
          <w:rFonts w:hAnsi="宋体"/>
          <w:sz w:val="24"/>
        </w:rPr>
        <w:t>认购业务。</w:t>
      </w:r>
    </w:p>
    <w:p>
      <w:pPr>
        <w:adjustRightInd w:val="0"/>
        <w:snapToGrid w:val="0"/>
        <w:spacing w:line="360" w:lineRule="auto"/>
        <w:ind w:firstLine="480" w:firstLineChars="200"/>
        <w:outlineLvl w:val="2"/>
        <w:rPr>
          <w:rFonts w:hAnsi="宋体"/>
          <w:sz w:val="24"/>
        </w:rPr>
      </w:pPr>
      <w:r>
        <w:rPr>
          <w:rFonts w:hAnsi="宋体"/>
          <w:sz w:val="24"/>
        </w:rPr>
        <w:t>（</w:t>
      </w:r>
      <w:r>
        <w:rPr>
          <w:sz w:val="24"/>
        </w:rPr>
        <w:t>2</w:t>
      </w:r>
      <w:r>
        <w:rPr>
          <w:rFonts w:hAnsi="宋体"/>
          <w:sz w:val="24"/>
        </w:rPr>
        <w:t>）</w:t>
      </w:r>
      <w:r>
        <w:rPr>
          <w:rFonts w:hint="eastAsia" w:hAnsi="宋体"/>
          <w:sz w:val="24"/>
        </w:rPr>
        <w:t>除基金管理人之外的其他</w:t>
      </w:r>
      <w:r>
        <w:rPr>
          <w:rFonts w:hint="eastAsia"/>
          <w:sz w:val="24"/>
        </w:rPr>
        <w:t>销售机构</w:t>
      </w:r>
      <w:r>
        <w:rPr>
          <w:rFonts w:hint="eastAsia" w:hAnsi="宋体"/>
          <w:sz w:val="24"/>
        </w:rPr>
        <w:t>：</w:t>
      </w:r>
    </w:p>
    <w:p>
      <w:pPr>
        <w:adjustRightInd w:val="0"/>
        <w:snapToGrid w:val="0"/>
        <w:spacing w:line="360" w:lineRule="auto"/>
        <w:ind w:firstLine="480" w:firstLineChars="20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pPr>
        <w:adjustRightInd w:val="0"/>
        <w:snapToGrid w:val="0"/>
        <w:spacing w:line="360" w:lineRule="auto"/>
        <w:ind w:firstLine="480" w:firstLineChars="200"/>
        <w:rPr>
          <w:rFonts w:hAnsi="宋体"/>
          <w:sz w:val="24"/>
        </w:rPr>
      </w:pPr>
      <w:r>
        <w:rPr>
          <w:rFonts w:hAnsi="宋体"/>
          <w:sz w:val="24"/>
        </w:rPr>
        <w:t>基金管理人可根据有关法律法规的要求，选择其他符合要求的机构销售本基金。</w:t>
      </w:r>
    </w:p>
    <w:p>
      <w:pPr>
        <w:adjustRightInd w:val="0"/>
        <w:snapToGrid w:val="0"/>
        <w:spacing w:line="360" w:lineRule="auto"/>
        <w:ind w:firstLine="480" w:firstLineChars="200"/>
        <w:outlineLvl w:val="1"/>
        <w:rPr>
          <w:sz w:val="24"/>
        </w:rPr>
      </w:pPr>
      <w:r>
        <w:rPr>
          <w:sz w:val="24"/>
        </w:rPr>
        <w:t>10</w:t>
      </w:r>
      <w:r>
        <w:rPr>
          <w:rFonts w:hAnsi="宋体"/>
          <w:sz w:val="24"/>
        </w:rPr>
        <w:t>、募集时间安排与基金合同生效</w:t>
      </w:r>
    </w:p>
    <w:p>
      <w:pPr>
        <w:adjustRightInd w:val="0"/>
        <w:snapToGrid w:val="0"/>
        <w:spacing w:line="360" w:lineRule="auto"/>
        <w:ind w:firstLine="480" w:firstLineChars="20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sz w:val="24"/>
        </w:rPr>
        <w:t>2021</w:t>
      </w:r>
      <w:r>
        <w:rPr>
          <w:rFonts w:hint="eastAsia"/>
          <w:sz w:val="24"/>
        </w:rPr>
        <w:t>年6</w:t>
      </w:r>
      <w:r>
        <w:rPr>
          <w:sz w:val="24"/>
        </w:rPr>
        <w:t>月</w:t>
      </w:r>
      <w:r>
        <w:rPr>
          <w:rFonts w:hint="eastAsia"/>
          <w:sz w:val="24"/>
        </w:rPr>
        <w:t>1</w:t>
      </w:r>
      <w:r>
        <w:rPr>
          <w:sz w:val="24"/>
        </w:rPr>
        <w:t>日</w:t>
      </w:r>
      <w:r>
        <w:rPr>
          <w:rFonts w:hint="eastAsia" w:hAnsi="宋体"/>
          <w:sz w:val="24"/>
        </w:rPr>
        <w:t>起至</w:t>
      </w:r>
      <w:r>
        <w:rPr>
          <w:sz w:val="24"/>
        </w:rPr>
        <w:t>2021</w:t>
      </w:r>
      <w:r>
        <w:rPr>
          <w:rFonts w:hint="eastAsia"/>
          <w:sz w:val="24"/>
        </w:rPr>
        <w:t>年6</w:t>
      </w:r>
      <w:r>
        <w:rPr>
          <w:sz w:val="24"/>
        </w:rPr>
        <w:t>月</w:t>
      </w:r>
      <w:r>
        <w:rPr>
          <w:rFonts w:hint="eastAsia"/>
          <w:sz w:val="24"/>
        </w:rPr>
        <w:t>8</w:t>
      </w:r>
      <w:r>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pPr>
        <w:adjustRightInd w:val="0"/>
        <w:snapToGrid w:val="0"/>
        <w:spacing w:line="360" w:lineRule="auto"/>
        <w:ind w:firstLine="480" w:firstLineChars="200"/>
        <w:rPr>
          <w:sz w:val="24"/>
        </w:rPr>
      </w:pPr>
      <w:r>
        <w:rPr>
          <w:rFonts w:hAnsi="宋体"/>
          <w:sz w:val="24"/>
        </w:rPr>
        <w:t>本基金在募集期间达到基金合同的备案条件，基金管理人应当在基金募集结束</w:t>
      </w:r>
      <w:r>
        <w:rPr>
          <w:rFonts w:hint="eastAsia" w:hAnsi="宋体"/>
          <w:sz w:val="24"/>
        </w:rPr>
        <w:t>之日起</w:t>
      </w:r>
      <w:r>
        <w:rPr>
          <w:sz w:val="24"/>
        </w:rPr>
        <w:t>10</w:t>
      </w:r>
      <w:r>
        <w:rPr>
          <w:rFonts w:hAnsi="宋体"/>
          <w:sz w:val="24"/>
        </w:rPr>
        <w:t>日内聘请法定验资机构验资，并在收到验资报告</w:t>
      </w:r>
      <w:r>
        <w:rPr>
          <w:rFonts w:hint="eastAsia" w:hAnsi="宋体"/>
          <w:sz w:val="24"/>
        </w:rPr>
        <w:t>之日起</w:t>
      </w:r>
      <w:r>
        <w:rPr>
          <w:sz w:val="24"/>
        </w:rPr>
        <w:t>10</w:t>
      </w:r>
      <w:r>
        <w:rPr>
          <w:rFonts w:hAnsi="宋体"/>
          <w:sz w:val="24"/>
        </w:rPr>
        <w:t>日内</w:t>
      </w:r>
      <w:r>
        <w:rPr>
          <w:rFonts w:hint="eastAsia" w:hAnsi="宋体"/>
          <w:sz w:val="24"/>
        </w:rPr>
        <w:t>，向中国证监会提交验资报告，办理基金备案手续。</w:t>
      </w:r>
      <w:r>
        <w:rPr>
          <w:rFonts w:hAnsi="宋体"/>
          <w:sz w:val="24"/>
        </w:rPr>
        <w:t>自中国证监会书面确认之日起，基金备案手续办理完毕，基金合同生效。</w:t>
      </w:r>
    </w:p>
    <w:p>
      <w:pPr>
        <w:adjustRightInd w:val="0"/>
        <w:snapToGrid w:val="0"/>
        <w:spacing w:line="360" w:lineRule="auto"/>
        <w:ind w:firstLine="480" w:firstLineChars="20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pPr>
        <w:adjustRightInd w:val="0"/>
        <w:snapToGrid w:val="0"/>
        <w:spacing w:line="360" w:lineRule="auto"/>
        <w:ind w:firstLine="480" w:firstLineChars="200"/>
        <w:outlineLvl w:val="1"/>
        <w:rPr>
          <w:sz w:val="24"/>
        </w:rPr>
      </w:pPr>
      <w:r>
        <w:rPr>
          <w:sz w:val="24"/>
        </w:rPr>
        <w:t>11</w:t>
      </w:r>
      <w:r>
        <w:rPr>
          <w:rFonts w:hAnsi="宋体"/>
          <w:sz w:val="24"/>
        </w:rPr>
        <w:t>、认购期利息的处理方式</w:t>
      </w:r>
    </w:p>
    <w:p>
      <w:pPr>
        <w:adjustRightInd w:val="0"/>
        <w:snapToGrid w:val="0"/>
        <w:spacing w:line="360" w:lineRule="auto"/>
        <w:ind w:firstLine="480" w:firstLineChars="200"/>
        <w:rPr>
          <w:rFonts w:hAnsi="宋体"/>
          <w:color w:val="000000"/>
          <w:sz w:val="24"/>
        </w:rPr>
      </w:pPr>
      <w:r>
        <w:rPr>
          <w:rFonts w:hint="eastAsia" w:hAnsi="宋体"/>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264042"/>
      <w:bookmarkEnd w:id="0"/>
      <w:bookmarkStart w:id="1" w:name="_Hlt90801570"/>
      <w:bookmarkEnd w:id="1"/>
      <w:bookmarkStart w:id="2" w:name="_Hlt90455312"/>
      <w:bookmarkEnd w:id="2"/>
      <w:bookmarkStart w:id="3" w:name="_Hlt91264078"/>
      <w:bookmarkEnd w:id="3"/>
      <w:bookmarkStart w:id="4" w:name="_Hlt91148053"/>
      <w:bookmarkEnd w:id="4"/>
    </w:p>
    <w:p>
      <w:pPr>
        <w:adjustRightInd w:val="0"/>
        <w:snapToGrid w:val="0"/>
        <w:spacing w:line="360" w:lineRule="auto"/>
        <w:ind w:firstLine="480" w:firstLineChars="200"/>
        <w:rPr>
          <w:rFonts w:hAnsi="宋体"/>
          <w:color w:val="000000"/>
          <w:sz w:val="24"/>
        </w:rPr>
      </w:pPr>
      <w:r>
        <w:rPr>
          <w:rFonts w:hint="eastAsia" w:hAnsi="宋体"/>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pPr>
        <w:adjustRightInd w:val="0"/>
        <w:snapToGrid w:val="0"/>
        <w:spacing w:line="360" w:lineRule="auto"/>
        <w:ind w:firstLine="480" w:firstLineChars="200"/>
        <w:outlineLvl w:val="1"/>
        <w:rPr>
          <w:sz w:val="24"/>
        </w:rPr>
      </w:pPr>
      <w:r>
        <w:rPr>
          <w:sz w:val="24"/>
        </w:rPr>
        <w:t>12</w:t>
      </w:r>
      <w:r>
        <w:rPr>
          <w:rFonts w:hAnsi="宋体"/>
          <w:sz w:val="24"/>
        </w:rPr>
        <w:t>、</w:t>
      </w:r>
      <w:r>
        <w:rPr>
          <w:rFonts w:hAnsi="宋体"/>
          <w:kern w:val="0"/>
          <w:sz w:val="24"/>
        </w:rPr>
        <w:t>基金份额的认购费用、认购价格及认购份额的计算公式</w:t>
      </w:r>
    </w:p>
    <w:p>
      <w:pPr>
        <w:adjustRightInd w:val="0"/>
        <w:snapToGrid w:val="0"/>
        <w:spacing w:line="360" w:lineRule="auto"/>
        <w:ind w:firstLine="480" w:firstLineChars="200"/>
        <w:outlineLvl w:val="2"/>
        <w:rPr>
          <w:sz w:val="24"/>
        </w:rPr>
      </w:pPr>
      <w:r>
        <w:rPr>
          <w:sz w:val="24"/>
        </w:rPr>
        <w:t>（1）认购价格：本基金</w:t>
      </w:r>
      <w:r>
        <w:rPr>
          <w:rFonts w:hint="eastAsia"/>
          <w:sz w:val="24"/>
        </w:rPr>
        <w:t>基金</w:t>
      </w:r>
      <w:r>
        <w:rPr>
          <w:sz w:val="24"/>
        </w:rPr>
        <w:t>份额的认购价格为1.00元/份。</w:t>
      </w:r>
    </w:p>
    <w:p>
      <w:pPr>
        <w:adjustRightInd w:val="0"/>
        <w:snapToGrid w:val="0"/>
        <w:spacing w:line="360" w:lineRule="auto"/>
        <w:ind w:firstLine="480" w:firstLineChars="200"/>
        <w:outlineLvl w:val="2"/>
        <w:rPr>
          <w:sz w:val="24"/>
        </w:rPr>
      </w:pPr>
      <w:r>
        <w:rPr>
          <w:sz w:val="24"/>
        </w:rPr>
        <w:t>（2）认购费率</w:t>
      </w:r>
      <w:r>
        <w:rPr>
          <w:rFonts w:hint="eastAsia"/>
          <w:sz w:val="24"/>
        </w:rPr>
        <w:t>：</w:t>
      </w:r>
    </w:p>
    <w:p>
      <w:pPr>
        <w:adjustRightInd w:val="0"/>
        <w:snapToGrid w:val="0"/>
        <w:spacing w:line="360" w:lineRule="auto"/>
        <w:ind w:firstLine="480" w:firstLineChars="200"/>
        <w:rPr>
          <w:sz w:val="24"/>
        </w:rPr>
      </w:pPr>
      <w:r>
        <w:rPr>
          <w:rFonts w:hint="eastAsia"/>
          <w:sz w:val="24"/>
        </w:rPr>
        <w:t>本基金在募集期内开放A类基金份额和C类基金份额的认购。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51"/>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rPr>
                <w:b/>
                <w:sz w:val="24"/>
              </w:rPr>
            </w:pPr>
            <w:r>
              <w:rPr>
                <w:rFonts w:hint="eastAsia"/>
                <w:b/>
                <w:sz w:val="24"/>
              </w:rPr>
              <w:t>认购金额（含认购费）</w:t>
            </w:r>
          </w:p>
        </w:tc>
        <w:tc>
          <w:tcPr>
            <w:tcW w:w="3598" w:type="dxa"/>
            <w:shd w:val="clear" w:color="auto" w:fill="FFFFFF"/>
            <w:vAlign w:val="center"/>
          </w:tcPr>
          <w:p>
            <w:pPr>
              <w:adjustRightInd w:val="0"/>
              <w:snapToGrid w:val="0"/>
              <w:jc w:val="center"/>
              <w:rPr>
                <w:b/>
                <w:sz w:val="24"/>
              </w:rPr>
            </w:pPr>
            <w:r>
              <w:rPr>
                <w:rFonts w:hint="eastAsia"/>
                <w:b/>
                <w:color w:val="000000"/>
                <w:kern w:val="0"/>
                <w:sz w:val="24"/>
              </w:rPr>
              <w:t>A类基金份额</w:t>
            </w:r>
            <w:r>
              <w:rPr>
                <w:rFonts w:hint="eastAsia"/>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100万元以下</w:t>
            </w:r>
          </w:p>
        </w:tc>
        <w:tc>
          <w:tcPr>
            <w:tcW w:w="3598" w:type="dxa"/>
          </w:tcPr>
          <w:p>
            <w:pPr>
              <w:adjustRightInd w:val="0"/>
              <w:snapToGrid w:val="0"/>
              <w:jc w:val="center"/>
              <w:rPr>
                <w:sz w:val="24"/>
              </w:rPr>
            </w:pPr>
            <w:r>
              <w:rPr>
                <w:rFonts w:hint="eastAsia"/>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100万元（含）至200万元</w:t>
            </w:r>
          </w:p>
        </w:tc>
        <w:tc>
          <w:tcPr>
            <w:tcW w:w="3598" w:type="dxa"/>
          </w:tcPr>
          <w:p>
            <w:pPr>
              <w:adjustRightInd w:val="0"/>
              <w:snapToGrid w:val="0"/>
              <w:jc w:val="center"/>
              <w:rPr>
                <w:sz w:val="24"/>
              </w:rPr>
            </w:pPr>
            <w:r>
              <w:rPr>
                <w:rFonts w:hint="eastAsia"/>
                <w:sz w:val="24"/>
              </w:rPr>
              <w:t>0.8%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200万元（含）至500万元</w:t>
            </w:r>
          </w:p>
        </w:tc>
        <w:tc>
          <w:tcPr>
            <w:tcW w:w="3598" w:type="dxa"/>
          </w:tcPr>
          <w:p>
            <w:pPr>
              <w:adjustRightInd w:val="0"/>
              <w:snapToGrid w:val="0"/>
              <w:jc w:val="center"/>
              <w:rPr>
                <w:sz w:val="24"/>
              </w:rPr>
            </w:pPr>
            <w:r>
              <w:rPr>
                <w:rFonts w:hint="eastAsia"/>
                <w:sz w:val="24"/>
              </w:rPr>
              <w:t>0.3%</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500万元以上（含500万元）</w:t>
            </w:r>
          </w:p>
        </w:tc>
        <w:tc>
          <w:tcPr>
            <w:tcW w:w="3598" w:type="dxa"/>
          </w:tcPr>
          <w:p>
            <w:pPr>
              <w:adjustRightInd w:val="0"/>
              <w:snapToGrid w:val="0"/>
              <w:jc w:val="center"/>
              <w:rPr>
                <w:sz w:val="24"/>
              </w:rPr>
            </w:pPr>
            <w:r>
              <w:rPr>
                <w:rFonts w:hint="eastAsia"/>
                <w:sz w:val="24"/>
              </w:rPr>
              <w:t>每笔交易1000元</w:t>
            </w:r>
          </w:p>
        </w:tc>
      </w:tr>
    </w:tbl>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51"/>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认购金额（含认购费）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100</w:t>
            </w:r>
            <w:r>
              <w:rPr>
                <w:rFonts w:hint="eastAsia" w:hAnsi="宋体"/>
                <w:sz w:val="24"/>
              </w:rPr>
              <w:t>万元以下</w:t>
            </w:r>
          </w:p>
        </w:tc>
        <w:tc>
          <w:tcPr>
            <w:tcW w:w="3767" w:type="dxa"/>
            <w:vAlign w:val="center"/>
          </w:tcPr>
          <w:p>
            <w:pPr>
              <w:adjustRightInd w:val="0"/>
              <w:snapToGrid w:val="0"/>
              <w:jc w:val="center"/>
              <w:rPr>
                <w:sz w:val="24"/>
              </w:rPr>
            </w:pPr>
            <w:r>
              <w:rPr>
                <w:rFonts w:hint="eastAsia"/>
                <w:sz w:val="24"/>
              </w:rPr>
              <w:t>0.48%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100万元（含）至200万元</w:t>
            </w:r>
          </w:p>
        </w:tc>
        <w:tc>
          <w:tcPr>
            <w:tcW w:w="3767" w:type="dxa"/>
            <w:vAlign w:val="center"/>
          </w:tcPr>
          <w:p>
            <w:pPr>
              <w:adjustRightInd w:val="0"/>
              <w:snapToGrid w:val="0"/>
              <w:jc w:val="center"/>
              <w:rPr>
                <w:rFonts w:hAnsi="宋体"/>
                <w:sz w:val="24"/>
              </w:rPr>
            </w:pPr>
            <w:r>
              <w:rPr>
                <w:rFonts w:hint="eastAsia"/>
                <w:sz w:val="24"/>
              </w:rPr>
              <w:t>0.32%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200万元（含）至500万元</w:t>
            </w:r>
          </w:p>
        </w:tc>
        <w:tc>
          <w:tcPr>
            <w:tcW w:w="3767" w:type="dxa"/>
            <w:vAlign w:val="center"/>
          </w:tcPr>
          <w:p>
            <w:pPr>
              <w:adjustRightInd w:val="0"/>
              <w:snapToGrid w:val="0"/>
              <w:jc w:val="center"/>
              <w:rPr>
                <w:rFonts w:hAnsi="宋体"/>
                <w:sz w:val="24"/>
              </w:rPr>
            </w:pPr>
            <w:r>
              <w:rPr>
                <w:rFonts w:hint="eastAsia"/>
                <w:sz w:val="24"/>
              </w:rPr>
              <w:t>0.06%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500</w:t>
            </w:r>
            <w:r>
              <w:rPr>
                <w:rFonts w:hint="eastAsia" w:hAnsi="宋体"/>
                <w:sz w:val="24"/>
              </w:rPr>
              <w:t>万元以上（含</w:t>
            </w:r>
            <w:r>
              <w:rPr>
                <w:rFonts w:hint="eastAsia"/>
                <w:sz w:val="24"/>
              </w:rPr>
              <w:t>500</w:t>
            </w:r>
            <w:r>
              <w:rPr>
                <w:rFonts w:hint="eastAsia" w:hAnsi="宋体"/>
                <w:sz w:val="24"/>
              </w:rPr>
              <w:t>万元）</w:t>
            </w:r>
          </w:p>
        </w:tc>
        <w:tc>
          <w:tcPr>
            <w:tcW w:w="3767" w:type="dxa"/>
          </w:tcPr>
          <w:p>
            <w:pPr>
              <w:adjustRightInd w:val="0"/>
              <w:snapToGrid w:val="0"/>
              <w:jc w:val="center"/>
              <w:rPr>
                <w:rFonts w:hAnsi="宋体"/>
                <w:sz w:val="24"/>
              </w:rPr>
            </w:pPr>
            <w:r>
              <w:rPr>
                <w:rFonts w:hint="eastAsia" w:hAnsi="宋体"/>
                <w:sz w:val="24"/>
              </w:rPr>
              <w:t>每笔交易</w:t>
            </w:r>
            <w:r>
              <w:rPr>
                <w:rFonts w:hint="eastAsia"/>
                <w:sz w:val="24"/>
              </w:rPr>
              <w:t>1000</w:t>
            </w:r>
            <w:r>
              <w:rPr>
                <w:rFonts w:hint="eastAsia" w:hAnsi="宋体"/>
                <w:sz w:val="24"/>
              </w:rPr>
              <w:t>元</w:t>
            </w:r>
          </w:p>
        </w:tc>
      </w:tr>
    </w:tbl>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outlineLvl w:val="2"/>
        <w:rPr>
          <w:sz w:val="24"/>
        </w:rPr>
      </w:pPr>
      <w:r>
        <w:rPr>
          <w:sz w:val="24"/>
        </w:rPr>
        <w:t>（3）认购份额的计算</w:t>
      </w:r>
    </w:p>
    <w:p>
      <w:pPr>
        <w:adjustRightInd w:val="0"/>
        <w:snapToGrid w:val="0"/>
        <w:spacing w:line="360" w:lineRule="auto"/>
        <w:ind w:firstLine="480" w:firstLineChars="200"/>
        <w:rPr>
          <w:sz w:val="24"/>
        </w:rPr>
      </w:pPr>
      <w:r>
        <w:rPr>
          <w:rFonts w:hint="eastAsia"/>
          <w:sz w:val="24"/>
        </w:rPr>
        <w:t>1）A类基金份额的认购</w:t>
      </w:r>
    </w:p>
    <w:p>
      <w:pPr>
        <w:adjustRightInd w:val="0"/>
        <w:snapToGrid w:val="0"/>
        <w:spacing w:line="360" w:lineRule="auto"/>
        <w:ind w:firstLine="480" w:firstLineChars="20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rPr>
          <w:sz w:val="24"/>
        </w:rPr>
      </w:pPr>
      <w:r>
        <w:rPr>
          <w:sz w:val="24"/>
        </w:rPr>
        <w:t>认购总金额=申请总金额</w:t>
      </w:r>
    </w:p>
    <w:p>
      <w:pPr>
        <w:adjustRightInd w:val="0"/>
        <w:snapToGrid w:val="0"/>
        <w:spacing w:line="360" w:lineRule="auto"/>
        <w:ind w:firstLine="480" w:firstLineChars="200"/>
        <w:rPr>
          <w:sz w:val="24"/>
        </w:rPr>
      </w:pPr>
      <w:r>
        <w:rPr>
          <w:sz w:val="24"/>
        </w:rPr>
        <w:t>净认购金额=认购总金额/（1+认购费率）</w:t>
      </w:r>
    </w:p>
    <w:p>
      <w:pPr>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sz w:val="24"/>
        </w:rPr>
        <w:t>认购费用=认购总金额-净认购金额</w:t>
      </w:r>
    </w:p>
    <w:p>
      <w:pPr>
        <w:adjustRightInd w:val="0"/>
        <w:snapToGrid w:val="0"/>
        <w:spacing w:line="360" w:lineRule="auto"/>
        <w:ind w:firstLine="480" w:firstLineChars="200"/>
        <w:rPr>
          <w:sz w:val="24"/>
        </w:rPr>
      </w:pPr>
      <w:r>
        <w:rPr>
          <w:sz w:val="24"/>
        </w:rPr>
        <w:t>（注：对于适用固定金额认购费用的认购，认购费用＝固定认购费用金额）</w:t>
      </w:r>
    </w:p>
    <w:p>
      <w:pPr>
        <w:adjustRightInd w:val="0"/>
        <w:snapToGrid w:val="0"/>
        <w:spacing w:line="360" w:lineRule="auto"/>
        <w:ind w:firstLine="480" w:firstLineChars="200"/>
        <w:rPr>
          <w:sz w:val="24"/>
        </w:rPr>
      </w:pPr>
      <w:r>
        <w:rPr>
          <w:sz w:val="24"/>
        </w:rPr>
        <w:t>认购份额=净认购金额/基金份额初始面值+认购利息/基金份额初始面值</w:t>
      </w:r>
    </w:p>
    <w:p>
      <w:pPr>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sz w:val="24"/>
        </w:rPr>
        <w:t>例一：</w:t>
      </w:r>
      <w:r>
        <w:rPr>
          <w:rFonts w:hint="eastAsia"/>
          <w:sz w:val="24"/>
        </w:rPr>
        <w:t>某投资者（非养老金客户）投资本基金</w:t>
      </w:r>
      <w:r>
        <w:rPr>
          <w:rFonts w:hint="eastAsia"/>
          <w:color w:val="000000"/>
          <w:kern w:val="0"/>
          <w:sz w:val="24"/>
        </w:rPr>
        <w:t>A类基金份额</w:t>
      </w:r>
      <w:r>
        <w:rPr>
          <w:rFonts w:hint="eastAsia"/>
          <w:sz w:val="24"/>
        </w:rPr>
        <w:t>100,000元，且该认购申请被全额确认，假定募集期产生的利息为10.00元，认购费率为</w:t>
      </w:r>
      <w:r>
        <w:rPr>
          <w:sz w:val="24"/>
        </w:rPr>
        <w:t>1.2</w:t>
      </w:r>
      <w:r>
        <w:rPr>
          <w:rFonts w:hint="eastAsia"/>
          <w:sz w:val="24"/>
        </w:rPr>
        <w:t>%，则可认购基金份额为：</w:t>
      </w:r>
    </w:p>
    <w:p>
      <w:pPr>
        <w:adjustRightInd w:val="0"/>
        <w:snapToGrid w:val="0"/>
        <w:spacing w:line="360" w:lineRule="auto"/>
        <w:ind w:firstLine="480" w:firstLineChars="200"/>
        <w:rPr>
          <w:sz w:val="24"/>
        </w:rPr>
      </w:pPr>
      <w:r>
        <w:rPr>
          <w:rFonts w:hint="eastAsia"/>
          <w:sz w:val="24"/>
        </w:rPr>
        <w:t>认购总金额=100,000元</w:t>
      </w:r>
    </w:p>
    <w:p>
      <w:pPr>
        <w:adjustRightInd w:val="0"/>
        <w:snapToGrid w:val="0"/>
        <w:spacing w:line="360" w:lineRule="auto"/>
        <w:ind w:firstLine="480" w:firstLineChars="200"/>
        <w:rPr>
          <w:sz w:val="24"/>
        </w:rPr>
      </w:pPr>
      <w:r>
        <w:rPr>
          <w:rFonts w:hint="eastAsia"/>
          <w:sz w:val="24"/>
        </w:rPr>
        <w:t>净</w:t>
      </w:r>
      <w:r>
        <w:rPr>
          <w:sz w:val="24"/>
        </w:rPr>
        <w:t>认购金额＝100,000/（1＋1.2%）＝98,814.23元</w:t>
      </w:r>
    </w:p>
    <w:p>
      <w:pPr>
        <w:adjustRightInd w:val="0"/>
        <w:snapToGrid w:val="0"/>
        <w:spacing w:line="360" w:lineRule="auto"/>
        <w:ind w:firstLine="480" w:firstLineChars="200"/>
        <w:rPr>
          <w:sz w:val="24"/>
        </w:rPr>
      </w:pPr>
      <w:r>
        <w:rPr>
          <w:sz w:val="24"/>
        </w:rPr>
        <w:t>认购费用＝100,000-98,814.23＝1,185.77元</w:t>
      </w:r>
    </w:p>
    <w:p>
      <w:pPr>
        <w:adjustRightInd w:val="0"/>
        <w:snapToGrid w:val="0"/>
        <w:spacing w:line="360" w:lineRule="auto"/>
        <w:ind w:firstLine="480" w:firstLineChars="200"/>
        <w:rPr>
          <w:sz w:val="24"/>
        </w:rPr>
      </w:pPr>
      <w:r>
        <w:rPr>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即：若该投资者（非养老金客户）投资本基金</w:t>
      </w:r>
      <w:r>
        <w:rPr>
          <w:rFonts w:hint="eastAsia"/>
          <w:color w:val="000000"/>
          <w:kern w:val="0"/>
          <w:sz w:val="24"/>
        </w:rPr>
        <w:t>A类基金份额</w:t>
      </w:r>
      <w:r>
        <w:rPr>
          <w:rFonts w:hint="eastAsia"/>
          <w:sz w:val="24"/>
        </w:rPr>
        <w:t>100,000元，假定募集期产生的利息为10.00元，则投资100,000元本金可得到</w:t>
      </w:r>
      <w:r>
        <w:rPr>
          <w:sz w:val="24"/>
        </w:rPr>
        <w:t>98,824.23</w:t>
      </w:r>
      <w:r>
        <w:rPr>
          <w:rFonts w:hint="eastAsia"/>
          <w:sz w:val="24"/>
        </w:rPr>
        <w:t>份A类基金份额。</w:t>
      </w:r>
    </w:p>
    <w:p>
      <w:pPr>
        <w:adjustRightInd w:val="0"/>
        <w:snapToGrid w:val="0"/>
        <w:spacing w:line="360" w:lineRule="auto"/>
        <w:ind w:firstLine="480" w:firstLineChars="20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A类基金份额</w:t>
      </w:r>
      <w:r>
        <w:rPr>
          <w:rFonts w:hint="eastAsia"/>
          <w:sz w:val="24"/>
        </w:rPr>
        <w:t>100,000元，且该认购申请被全额确认，假定募集期产生的利息为10.00元，认购费率为0.</w:t>
      </w:r>
      <w:r>
        <w:rPr>
          <w:sz w:val="24"/>
        </w:rPr>
        <w:t>48</w:t>
      </w:r>
      <w:r>
        <w:rPr>
          <w:rFonts w:hint="eastAsia"/>
          <w:sz w:val="24"/>
        </w:rPr>
        <w:t>%，则可认购基金份额为：</w:t>
      </w:r>
    </w:p>
    <w:p>
      <w:pPr>
        <w:adjustRightInd w:val="0"/>
        <w:snapToGrid w:val="0"/>
        <w:spacing w:line="360" w:lineRule="auto"/>
        <w:ind w:firstLine="480" w:firstLineChars="200"/>
        <w:rPr>
          <w:sz w:val="24"/>
        </w:rPr>
      </w:pPr>
      <w:r>
        <w:rPr>
          <w:rFonts w:hint="eastAsia"/>
          <w:sz w:val="24"/>
        </w:rPr>
        <w:t>认购总金额=100,000元</w:t>
      </w:r>
    </w:p>
    <w:p>
      <w:pPr>
        <w:adjustRightInd w:val="0"/>
        <w:snapToGrid w:val="0"/>
        <w:spacing w:line="360" w:lineRule="auto"/>
        <w:ind w:firstLine="480" w:firstLineChars="200"/>
        <w:rPr>
          <w:sz w:val="24"/>
        </w:rPr>
      </w:pPr>
      <w:r>
        <w:rPr>
          <w:rFonts w:hint="eastAsia"/>
          <w:sz w:val="24"/>
        </w:rPr>
        <w:t>净</w:t>
      </w:r>
      <w:r>
        <w:rPr>
          <w:sz w:val="24"/>
        </w:rPr>
        <w:t>认购金额＝100,000/（1＋</w:t>
      </w:r>
      <w:r>
        <w:rPr>
          <w:rFonts w:hint="eastAsia"/>
          <w:sz w:val="24"/>
        </w:rPr>
        <w:t>0.48</w:t>
      </w:r>
      <w:r>
        <w:rPr>
          <w:sz w:val="24"/>
        </w:rPr>
        <w:t>%）＝</w:t>
      </w:r>
      <w:r>
        <w:rPr>
          <w:rFonts w:hint="eastAsia"/>
          <w:sz w:val="24"/>
        </w:rPr>
        <w:t>99,522.29</w:t>
      </w:r>
      <w:r>
        <w:rPr>
          <w:sz w:val="24"/>
        </w:rPr>
        <w:t>元</w:t>
      </w:r>
    </w:p>
    <w:p>
      <w:pPr>
        <w:adjustRightInd w:val="0"/>
        <w:snapToGrid w:val="0"/>
        <w:spacing w:line="360" w:lineRule="auto"/>
        <w:ind w:firstLine="480" w:firstLineChars="200"/>
        <w:rPr>
          <w:sz w:val="24"/>
        </w:rPr>
      </w:pPr>
      <w:r>
        <w:rPr>
          <w:sz w:val="24"/>
        </w:rPr>
        <w:t>认购费用＝100,000-</w:t>
      </w:r>
      <w:r>
        <w:rPr>
          <w:rFonts w:hint="eastAsia"/>
          <w:sz w:val="24"/>
        </w:rPr>
        <w:t>99,522.29</w:t>
      </w:r>
      <w:r>
        <w:rPr>
          <w:sz w:val="24"/>
        </w:rPr>
        <w:t>＝</w:t>
      </w:r>
      <w:r>
        <w:rPr>
          <w:rFonts w:hint="eastAsia"/>
          <w:sz w:val="24"/>
        </w:rPr>
        <w:t>477.71</w:t>
      </w:r>
      <w:r>
        <w:rPr>
          <w:sz w:val="24"/>
        </w:rPr>
        <w:t>元</w:t>
      </w:r>
    </w:p>
    <w:p>
      <w:pPr>
        <w:adjustRightInd w:val="0"/>
        <w:snapToGrid w:val="0"/>
        <w:spacing w:line="360" w:lineRule="auto"/>
        <w:ind w:firstLine="480" w:firstLineChars="200"/>
        <w:rPr>
          <w:sz w:val="24"/>
        </w:rPr>
      </w:pPr>
      <w:r>
        <w:rPr>
          <w:sz w:val="24"/>
        </w:rPr>
        <w:t>认购份额＝</w:t>
      </w:r>
      <w:r>
        <w:rPr>
          <w:rFonts w:hint="eastAsia"/>
          <w:sz w:val="24"/>
        </w:rPr>
        <w:t>99,522.29</w:t>
      </w:r>
      <w:r>
        <w:rPr>
          <w:sz w:val="24"/>
        </w:rPr>
        <w:t>/1.00＋10.00/1.00＝</w:t>
      </w:r>
      <w:r>
        <w:rPr>
          <w:rFonts w:hint="eastAsia"/>
          <w:sz w:val="24"/>
        </w:rPr>
        <w:t>99</w:t>
      </w:r>
      <w:r>
        <w:rPr>
          <w:sz w:val="24"/>
        </w:rPr>
        <w:t>,</w:t>
      </w:r>
      <w:r>
        <w:rPr>
          <w:rFonts w:hint="eastAsia"/>
          <w:sz w:val="24"/>
        </w:rPr>
        <w:t>532.29</w:t>
      </w:r>
      <w:r>
        <w:rPr>
          <w:sz w:val="24"/>
        </w:rPr>
        <w:t>份</w:t>
      </w:r>
    </w:p>
    <w:p>
      <w:pPr>
        <w:adjustRightInd w:val="0"/>
        <w:snapToGrid w:val="0"/>
        <w:spacing w:line="360" w:lineRule="auto"/>
        <w:ind w:firstLine="480" w:firstLineChars="200"/>
        <w:rPr>
          <w:sz w:val="24"/>
        </w:rPr>
      </w:pPr>
      <w:r>
        <w:rPr>
          <w:rFonts w:hint="eastAsia"/>
          <w:sz w:val="24"/>
        </w:rPr>
        <w:t>即：若该养老金客户通过基金管理人的直销柜台投资本基金</w:t>
      </w:r>
      <w:r>
        <w:rPr>
          <w:rFonts w:hint="eastAsia"/>
          <w:color w:val="000000"/>
          <w:kern w:val="0"/>
          <w:sz w:val="24"/>
        </w:rPr>
        <w:t>A类基金份额</w:t>
      </w:r>
      <w:r>
        <w:rPr>
          <w:rFonts w:hint="eastAsia"/>
          <w:sz w:val="24"/>
        </w:rPr>
        <w:t>100,000元，假定募集期产生的利息为10.00元，可得到99</w:t>
      </w:r>
      <w:r>
        <w:rPr>
          <w:sz w:val="24"/>
        </w:rPr>
        <w:t>,</w:t>
      </w:r>
      <w:r>
        <w:rPr>
          <w:rFonts w:hint="eastAsia"/>
          <w:sz w:val="24"/>
        </w:rPr>
        <w:t>532.29份A类基金份额。</w:t>
      </w:r>
    </w:p>
    <w:p>
      <w:pPr>
        <w:adjustRightInd w:val="0"/>
        <w:snapToGrid w:val="0"/>
        <w:spacing w:line="360" w:lineRule="auto"/>
        <w:ind w:firstLine="480" w:firstLineChars="200"/>
        <w:rPr>
          <w:sz w:val="24"/>
        </w:rPr>
      </w:pPr>
      <w:r>
        <w:rPr>
          <w:rFonts w:hint="eastAsia"/>
          <w:sz w:val="24"/>
        </w:rPr>
        <w:t>2）C类基金份额的认购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认购总金额=申请总金额</w:t>
      </w:r>
    </w:p>
    <w:p>
      <w:pPr>
        <w:adjustRightInd w:val="0"/>
        <w:snapToGrid w:val="0"/>
        <w:spacing w:line="360" w:lineRule="auto"/>
        <w:ind w:firstLine="480" w:firstLineChars="200"/>
        <w:rPr>
          <w:sz w:val="24"/>
        </w:rPr>
      </w:pPr>
      <w:r>
        <w:rPr>
          <w:rFonts w:hint="eastAsia"/>
          <w:sz w:val="24"/>
        </w:rPr>
        <w:t>认购份额=认购总金额/基金份额初始面值＋认购利息/基金份额初始面值。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例三：某投资者认购本基金C类基金份额100,000元，且该认购申请被全额确认。假定该笔认购金额产生利息50.00元。则认购份额为：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认购份额＝100,000/1.00＋50.00/1.00＝100,050.00份</w:t>
      </w:r>
    </w:p>
    <w:p>
      <w:pPr>
        <w:adjustRightInd w:val="0"/>
        <w:snapToGrid w:val="0"/>
        <w:spacing w:line="360" w:lineRule="auto"/>
        <w:ind w:firstLine="480" w:firstLineChars="200"/>
        <w:rPr>
          <w:sz w:val="24"/>
        </w:rPr>
      </w:pPr>
      <w:r>
        <w:rPr>
          <w:rFonts w:hint="eastAsia"/>
          <w:sz w:val="24"/>
        </w:rPr>
        <w:t>即：若该投资者选择投资100,000元认购C类基金份额，假定该笔认购金额产生利息50.00元，可得到100,050.00份C类基金份额。</w:t>
      </w:r>
    </w:p>
    <w:p>
      <w:pPr>
        <w:keepNext/>
        <w:keepLines/>
        <w:adjustRightInd w:val="0"/>
        <w:snapToGrid w:val="0"/>
        <w:spacing w:before="240" w:after="156" w:afterLines="50" w:line="360" w:lineRule="auto"/>
        <w:jc w:val="center"/>
        <w:outlineLvl w:val="0"/>
        <w:rPr>
          <w:b/>
          <w:sz w:val="24"/>
        </w:rPr>
      </w:pPr>
      <w:r>
        <w:rPr>
          <w:rFonts w:hint="eastAsia" w:ascii="宋体" w:hAnsi="宋体"/>
          <w:b/>
          <w:sz w:val="24"/>
        </w:rPr>
        <w:t>二</w:t>
      </w:r>
      <w:r>
        <w:rPr>
          <w:rFonts w:hint="eastAsia"/>
          <w:b/>
          <w:sz w:val="24"/>
        </w:rPr>
        <w:t>、募集方式及相关规定</w:t>
      </w:r>
    </w:p>
    <w:p>
      <w:pPr>
        <w:adjustRightInd w:val="0"/>
        <w:snapToGrid w:val="0"/>
        <w:spacing w:line="360" w:lineRule="auto"/>
        <w:ind w:firstLine="480" w:firstLineChars="200"/>
        <w:rPr>
          <w:kern w:val="0"/>
          <w:sz w:val="24"/>
        </w:rPr>
      </w:pPr>
      <w:r>
        <w:rPr>
          <w:kern w:val="0"/>
          <w:sz w:val="24"/>
        </w:rPr>
        <w:t>1</w:t>
      </w:r>
      <w:r>
        <w:rPr>
          <w:rFonts w:hint="eastAsia"/>
          <w:kern w:val="0"/>
          <w:sz w:val="24"/>
        </w:rPr>
        <w:t>、本次基金的募集，在募集期内面向个人和机构客户同期发售。</w:t>
      </w:r>
    </w:p>
    <w:p>
      <w:pPr>
        <w:adjustRightInd w:val="0"/>
        <w:snapToGrid w:val="0"/>
        <w:spacing w:line="360" w:lineRule="auto"/>
        <w:ind w:firstLine="480" w:firstLineChars="200"/>
        <w:rPr>
          <w:kern w:val="0"/>
          <w:sz w:val="24"/>
        </w:rPr>
      </w:pPr>
      <w:r>
        <w:rPr>
          <w:rFonts w:hint="eastAsia"/>
          <w:kern w:val="0"/>
          <w:sz w:val="24"/>
        </w:rPr>
        <w:t>2、直销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pPr>
        <w:adjustRightInd w:val="0"/>
        <w:snapToGrid w:val="0"/>
        <w:spacing w:line="360" w:lineRule="auto"/>
        <w:ind w:firstLine="480" w:firstLineChars="20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pPr>
        <w:adjustRightInd w:val="0"/>
        <w:snapToGrid w:val="0"/>
        <w:spacing w:line="360" w:lineRule="auto"/>
        <w:ind w:firstLine="480" w:firstLineChars="200"/>
        <w:rPr>
          <w:rFonts w:hAnsi="宋体"/>
          <w:kern w:val="0"/>
          <w:sz w:val="24"/>
        </w:rPr>
      </w:pPr>
      <w:r>
        <w:rPr>
          <w:kern w:val="0"/>
          <w:sz w:val="24"/>
        </w:rPr>
        <w:t>4</w:t>
      </w:r>
      <w:r>
        <w:rPr>
          <w:rFonts w:hint="eastAsia"/>
          <w:kern w:val="0"/>
          <w:sz w:val="24"/>
        </w:rPr>
        <w:t>、</w:t>
      </w:r>
      <w:r>
        <w:rPr>
          <w:rFonts w:hint="eastAsia" w:hAnsi="宋体"/>
          <w:kern w:val="0"/>
          <w:sz w:val="24"/>
        </w:rPr>
        <w:t>投资人在募集期内可以多次认购基金份额，认购申请一经基金登记机构受理不得撤销</w:t>
      </w:r>
      <w:r>
        <w:rPr>
          <w:rFonts w:hAnsi="宋体"/>
          <w:kern w:val="0"/>
          <w:sz w:val="24"/>
        </w:rPr>
        <w:t>。</w:t>
      </w:r>
    </w:p>
    <w:p>
      <w:pPr>
        <w:adjustRightInd w:val="0"/>
        <w:snapToGrid w:val="0"/>
        <w:spacing w:line="360" w:lineRule="auto"/>
        <w:ind w:firstLine="480" w:firstLineChars="200"/>
        <w:rPr>
          <w:rFonts w:hAnsi="宋体"/>
          <w:kern w:val="0"/>
          <w:sz w:val="24"/>
        </w:rPr>
      </w:pPr>
      <w:r>
        <w:rPr>
          <w:kern w:val="0"/>
          <w:sz w:val="24"/>
        </w:rPr>
        <w:t>5</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keepNext/>
        <w:keepLines/>
        <w:adjustRightInd w:val="0"/>
        <w:snapToGrid w:val="0"/>
        <w:spacing w:before="240" w:after="156" w:afterLines="50" w:line="360" w:lineRule="auto"/>
        <w:jc w:val="center"/>
        <w:outlineLvl w:val="0"/>
        <w:rPr>
          <w:b/>
          <w:sz w:val="24"/>
        </w:rPr>
      </w:pPr>
      <w:r>
        <w:rPr>
          <w:rFonts w:hint="eastAsia"/>
          <w:b/>
          <w:sz w:val="24"/>
        </w:rPr>
        <w:t>三、个人投资者的开户与认购程序</w:t>
      </w:r>
    </w:p>
    <w:p>
      <w:pPr>
        <w:adjustRightInd w:val="0"/>
        <w:snapToGrid w:val="0"/>
        <w:spacing w:line="360" w:lineRule="auto"/>
        <w:ind w:firstLine="482" w:firstLineChars="200"/>
        <w:outlineLvl w:val="1"/>
        <w:rPr>
          <w:b/>
          <w:sz w:val="24"/>
        </w:rPr>
      </w:pPr>
      <w:r>
        <w:rPr>
          <w:rFonts w:hint="eastAsia"/>
          <w:b/>
          <w:sz w:val="24"/>
        </w:rPr>
        <w:t>（一）直销机构</w:t>
      </w:r>
    </w:p>
    <w:p>
      <w:pPr>
        <w:adjustRightInd w:val="0"/>
        <w:snapToGrid w:val="0"/>
        <w:spacing w:line="360" w:lineRule="auto"/>
        <w:ind w:firstLine="482" w:firstLineChars="200"/>
        <w:outlineLvl w:val="2"/>
        <w:rPr>
          <w:b/>
          <w:sz w:val="24"/>
        </w:rPr>
      </w:pPr>
      <w:r>
        <w:rPr>
          <w:b/>
          <w:sz w:val="24"/>
        </w:rPr>
        <w:t>1</w:t>
      </w:r>
      <w:r>
        <w:rPr>
          <w:rFonts w:hint="eastAsia"/>
          <w:b/>
          <w:sz w:val="24"/>
        </w:rPr>
        <w:t>、直销中心</w:t>
      </w:r>
    </w:p>
    <w:p>
      <w:pPr>
        <w:adjustRightInd w:val="0"/>
        <w:snapToGrid w:val="0"/>
        <w:spacing w:line="360" w:lineRule="auto"/>
        <w:ind w:firstLine="480" w:firstLineChars="20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元）以上，可以选择到本公司直销中心办理认购。</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）个人投资者办理开户和认购申请需本人亲自到直销网点并提供下列资料：</w:t>
      </w:r>
    </w:p>
    <w:p>
      <w:pPr>
        <w:adjustRightInd w:val="0"/>
        <w:snapToGrid w:val="0"/>
        <w:spacing w:line="360" w:lineRule="auto"/>
        <w:ind w:firstLine="480" w:firstLineChars="20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）证券投资基金投资人权益须知；</w:t>
      </w:r>
    </w:p>
    <w:p>
      <w:pPr>
        <w:adjustRightInd w:val="0"/>
        <w:snapToGrid w:val="0"/>
        <w:spacing w:line="360" w:lineRule="auto"/>
        <w:ind w:firstLine="480" w:firstLineChars="20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pPr>
        <w:adjustRightInd w:val="0"/>
        <w:snapToGrid w:val="0"/>
        <w:spacing w:line="360" w:lineRule="auto"/>
        <w:ind w:firstLine="480" w:firstLineChars="200"/>
        <w:rPr>
          <w:sz w:val="24"/>
        </w:rPr>
      </w:pPr>
      <w:r>
        <w:rPr>
          <w:sz w:val="24"/>
        </w:rPr>
        <w:t>4</w:t>
      </w:r>
      <w:r>
        <w:rPr>
          <w:rFonts w:hint="eastAsia"/>
          <w:sz w:val="24"/>
        </w:rPr>
        <w:t>）有效身份证件的复印件正反面；</w:t>
      </w:r>
    </w:p>
    <w:p>
      <w:pPr>
        <w:adjustRightInd w:val="0"/>
        <w:snapToGrid w:val="0"/>
        <w:spacing w:line="360" w:lineRule="auto"/>
        <w:ind w:firstLine="480" w:firstLineChars="200"/>
        <w:rPr>
          <w:sz w:val="24"/>
        </w:rPr>
      </w:pPr>
      <w:r>
        <w:rPr>
          <w:sz w:val="24"/>
        </w:rPr>
        <w:t>5</w:t>
      </w:r>
      <w:r>
        <w:rPr>
          <w:rFonts w:hint="eastAsia"/>
          <w:sz w:val="24"/>
        </w:rPr>
        <w:t>）同名的银行卡复印件（银行卡复印件需要正反面签字，反面签名栏需有签字）；</w:t>
      </w:r>
    </w:p>
    <w:p>
      <w:pPr>
        <w:adjustRightInd w:val="0"/>
        <w:snapToGrid w:val="0"/>
        <w:spacing w:line="360" w:lineRule="auto"/>
        <w:ind w:firstLine="480" w:firstLineChars="200"/>
        <w:rPr>
          <w:sz w:val="24"/>
        </w:rPr>
      </w:pPr>
      <w:r>
        <w:rPr>
          <w:sz w:val="24"/>
        </w:rPr>
        <w:t>6</w:t>
      </w:r>
      <w:r>
        <w:rPr>
          <w:rFonts w:hint="eastAsia"/>
          <w:sz w:val="24"/>
        </w:rPr>
        <w:t>）填妥的《开放式基金账户业务申请表》两份；</w:t>
      </w:r>
    </w:p>
    <w:p>
      <w:pPr>
        <w:adjustRightInd w:val="0"/>
        <w:snapToGrid w:val="0"/>
        <w:spacing w:line="360" w:lineRule="auto"/>
        <w:ind w:firstLine="480" w:firstLineChars="200"/>
        <w:rPr>
          <w:sz w:val="24"/>
        </w:rPr>
      </w:pPr>
      <w:r>
        <w:rPr>
          <w:sz w:val="24"/>
        </w:rPr>
        <w:t>7</w:t>
      </w:r>
      <w:r>
        <w:rPr>
          <w:rFonts w:hint="eastAsia"/>
          <w:sz w:val="24"/>
        </w:rPr>
        <w:t>）填妥的《传真委托协议书》两份（如需开通）；</w:t>
      </w:r>
    </w:p>
    <w:p>
      <w:pPr>
        <w:adjustRightInd w:val="0"/>
        <w:snapToGrid w:val="0"/>
        <w:spacing w:line="360" w:lineRule="auto"/>
        <w:ind w:firstLine="480" w:firstLineChars="200"/>
        <w:rPr>
          <w:sz w:val="24"/>
        </w:rPr>
      </w:pPr>
      <w:r>
        <w:rPr>
          <w:sz w:val="24"/>
        </w:rPr>
        <w:t>8</w:t>
      </w:r>
      <w:r>
        <w:rPr>
          <w:rFonts w:hint="eastAsia"/>
          <w:sz w:val="24"/>
        </w:rPr>
        <w:t>）填妥的《开放式基金电话交易协议书》两份（如需开通）；</w:t>
      </w:r>
    </w:p>
    <w:p>
      <w:pPr>
        <w:adjustRightInd w:val="0"/>
        <w:snapToGrid w:val="0"/>
        <w:spacing w:line="360" w:lineRule="auto"/>
        <w:ind w:firstLine="480" w:firstLineChars="200"/>
        <w:rPr>
          <w:sz w:val="24"/>
        </w:rPr>
      </w:pPr>
      <w:r>
        <w:rPr>
          <w:sz w:val="24"/>
        </w:rPr>
        <w:t>9</w:t>
      </w:r>
      <w:r>
        <w:rPr>
          <w:rFonts w:hint="eastAsia"/>
          <w:sz w:val="24"/>
        </w:rPr>
        <w:t>）填妥</w:t>
      </w:r>
      <w:r>
        <w:rPr>
          <w:sz w:val="24"/>
        </w:rPr>
        <w:t>的《</w:t>
      </w:r>
      <w:r>
        <w:rPr>
          <w:rFonts w:hint="eastAsia"/>
          <w:sz w:val="24"/>
        </w:rPr>
        <w:t>CRS个人税收</w:t>
      </w:r>
      <w:r>
        <w:rPr>
          <w:sz w:val="24"/>
        </w:rPr>
        <w:t>居民身份声明文件》</w:t>
      </w:r>
      <w:r>
        <w:rPr>
          <w:rFonts w:hint="eastAsia"/>
          <w:sz w:val="24"/>
        </w:rPr>
        <w:t>；</w:t>
      </w:r>
    </w:p>
    <w:p>
      <w:pPr>
        <w:adjustRightInd w:val="0"/>
        <w:snapToGrid w:val="0"/>
        <w:spacing w:line="360" w:lineRule="auto"/>
        <w:ind w:firstLine="480" w:firstLineChars="20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pPr>
        <w:adjustRightInd w:val="0"/>
        <w:snapToGrid w:val="0"/>
        <w:spacing w:line="360" w:lineRule="auto"/>
        <w:ind w:firstLine="480" w:firstLineChars="200"/>
        <w:rPr>
          <w:sz w:val="24"/>
        </w:rPr>
      </w:pPr>
      <w:r>
        <w:rPr>
          <w:sz w:val="24"/>
        </w:rPr>
        <w:t>11</w:t>
      </w:r>
      <w:r>
        <w:rPr>
          <w:rFonts w:hint="eastAsia"/>
          <w:sz w:val="24"/>
        </w:rPr>
        <w:t>）如非本人亲自办理，则还须提供代理人身份证件原件及复印件（签名）和本人的授权委托书；</w:t>
      </w:r>
    </w:p>
    <w:p>
      <w:pPr>
        <w:adjustRightInd w:val="0"/>
        <w:snapToGrid w:val="0"/>
        <w:spacing w:line="360" w:lineRule="auto"/>
        <w:ind w:firstLine="480" w:firstLineChars="200"/>
        <w:rPr>
          <w:sz w:val="24"/>
        </w:rPr>
      </w:pPr>
      <w:r>
        <w:rPr>
          <w:sz w:val="24"/>
        </w:rPr>
        <w:t>12</w:t>
      </w:r>
      <w:r>
        <w:rPr>
          <w:rFonts w:hint="eastAsia"/>
          <w:sz w:val="24"/>
        </w:rPr>
        <w:t>）以上表格复印有效，但需客户本人亲笔签名。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）认购资金的划拨程序：</w:t>
      </w:r>
    </w:p>
    <w:p>
      <w:pPr>
        <w:adjustRightInd w:val="0"/>
        <w:snapToGrid w:val="0"/>
        <w:spacing w:line="360" w:lineRule="auto"/>
        <w:ind w:firstLine="480" w:firstLineChars="20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adjustRightInd w:val="0"/>
        <w:snapToGrid w:val="0"/>
        <w:spacing w:line="360" w:lineRule="auto"/>
        <w:ind w:firstLine="480" w:firstLineChars="200"/>
        <w:rPr>
          <w:sz w:val="24"/>
        </w:rPr>
      </w:pP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int="eastAsia" w:hAnsi="宋体"/>
          <w:sz w:val="24"/>
        </w:rPr>
        <w:t>交银成长动力一年混合</w:t>
      </w:r>
      <w:r>
        <w:rPr>
          <w:sz w:val="24"/>
        </w:rPr>
        <w:t>”</w:t>
      </w:r>
      <w:r>
        <w:rPr>
          <w:rFonts w:hint="eastAsia"/>
          <w:sz w:val="24"/>
        </w:rPr>
        <w:t>；</w:t>
      </w:r>
    </w:p>
    <w:p>
      <w:pPr>
        <w:adjustRightInd w:val="0"/>
        <w:snapToGrid w:val="0"/>
        <w:spacing w:line="360" w:lineRule="auto"/>
        <w:ind w:firstLine="480" w:firstLineChars="20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2"/>
        <w:rPr>
          <w:b/>
          <w:sz w:val="24"/>
        </w:rPr>
      </w:pPr>
      <w:r>
        <w:rPr>
          <w:b/>
          <w:sz w:val="24"/>
        </w:rPr>
        <w:t>2</w:t>
      </w:r>
      <w:r>
        <w:rPr>
          <w:rFonts w:hint="eastAsia"/>
          <w:b/>
          <w:sz w:val="24"/>
        </w:rPr>
        <w:t>、网上直销交易平台</w:t>
      </w:r>
    </w:p>
    <w:p>
      <w:pPr>
        <w:adjustRightInd w:val="0"/>
        <w:snapToGrid w:val="0"/>
        <w:spacing w:line="360" w:lineRule="auto"/>
        <w:ind w:firstLine="480" w:firstLineChars="200"/>
        <w:rPr>
          <w:sz w:val="24"/>
          <w:szCs w:val="24"/>
        </w:rPr>
      </w:pPr>
      <w:r>
        <w:rPr>
          <w:rFonts w:hint="eastAsia" w:hAnsi="宋体"/>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r>
        <w:fldChar w:fldCharType="begin"/>
      </w:r>
      <w:r>
        <w:instrText xml:space="preserve"> HYPERLINK "http://www.fund001.com，www.bocomschroder.com" </w:instrText>
      </w:r>
      <w:r>
        <w:fldChar w:fldCharType="separate"/>
      </w:r>
      <w:r>
        <w:rPr>
          <w:rFonts w:hAnsi="宋体"/>
        </w:rPr>
        <w:t>www.fund001.com</w:t>
      </w:r>
      <w:r>
        <w:rPr>
          <w:rFonts w:hAnsi="宋体"/>
        </w:rPr>
        <w:fldChar w:fldCharType="end"/>
      </w:r>
      <w:r>
        <w:rPr>
          <w:rFonts w:hint="eastAsia"/>
          <w:sz w:val="24"/>
          <w:szCs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四、机构投资者的开户与认购程序</w:t>
      </w:r>
    </w:p>
    <w:p>
      <w:pPr>
        <w:adjustRightInd w:val="0"/>
        <w:snapToGrid w:val="0"/>
        <w:spacing w:line="360" w:lineRule="auto"/>
        <w:ind w:firstLine="482" w:firstLineChars="200"/>
        <w:outlineLvl w:val="1"/>
        <w:rPr>
          <w:b/>
          <w:sz w:val="24"/>
        </w:rPr>
      </w:pPr>
      <w:r>
        <w:rPr>
          <w:rFonts w:hint="eastAsia"/>
          <w:b/>
          <w:sz w:val="24"/>
        </w:rPr>
        <w:t>（一）直销中心</w:t>
      </w:r>
    </w:p>
    <w:p>
      <w:pPr>
        <w:adjustRightInd w:val="0"/>
        <w:snapToGrid w:val="0"/>
        <w:spacing w:line="360" w:lineRule="auto"/>
        <w:ind w:firstLine="480" w:firstLineChars="20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元）以上，可以选择到本公司直销中心办理。</w:t>
      </w:r>
    </w:p>
    <w:p>
      <w:pPr>
        <w:adjustRightInd w:val="0"/>
        <w:snapToGrid w:val="0"/>
        <w:spacing w:line="360" w:lineRule="auto"/>
        <w:ind w:firstLine="480" w:firstLineChars="20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sz w:val="24"/>
        </w:rPr>
        <w:t>2</w:t>
      </w:r>
      <w:r>
        <w:rPr>
          <w:rFonts w:hint="eastAsia"/>
          <w:sz w:val="24"/>
        </w:rPr>
        <w:t>、一般机构投资者办理开户和认购申请时，应由指定经办人赴直销网点或寄送、传真并提供下列资料：</w:t>
      </w:r>
    </w:p>
    <w:p>
      <w:pPr>
        <w:adjustRightInd w:val="0"/>
        <w:snapToGrid w:val="0"/>
        <w:spacing w:line="360" w:lineRule="auto"/>
        <w:ind w:firstLine="480" w:firstLineChars="200"/>
        <w:rPr>
          <w:sz w:val="24"/>
        </w:rPr>
      </w:pPr>
      <w:r>
        <w:rPr>
          <w:rFonts w:hint="eastAsia"/>
          <w:sz w:val="24"/>
        </w:rPr>
        <w:t>1）加盖公章或者预留印鉴章、经办人签字的《基金投资者风险测评问卷（机构）》；</w:t>
      </w:r>
    </w:p>
    <w:p>
      <w:pPr>
        <w:adjustRightInd w:val="0"/>
        <w:snapToGrid w:val="0"/>
        <w:spacing w:line="360" w:lineRule="auto"/>
        <w:ind w:firstLine="480" w:firstLineChars="200"/>
        <w:rPr>
          <w:sz w:val="24"/>
        </w:rPr>
      </w:pPr>
      <w:r>
        <w:rPr>
          <w:rFonts w:hint="eastAsia"/>
          <w:sz w:val="24"/>
        </w:rPr>
        <w:t>2）加盖公章、经办人签字的《证券投资基金投资人权益须知》；</w:t>
      </w:r>
    </w:p>
    <w:p>
      <w:pPr>
        <w:adjustRightInd w:val="0"/>
        <w:snapToGrid w:val="0"/>
        <w:spacing w:line="360" w:lineRule="auto"/>
        <w:ind w:firstLine="480" w:firstLineChars="200"/>
        <w:rPr>
          <w:sz w:val="24"/>
        </w:rPr>
      </w:pPr>
      <w:r>
        <w:rPr>
          <w:rFonts w:hint="eastAsia"/>
          <w:sz w:val="24"/>
        </w:rPr>
        <w:t>3）加盖公章的上海A股股东代码卡或证券投资基金账户代码卡复印件（如有）；</w:t>
      </w:r>
    </w:p>
    <w:p>
      <w:pPr>
        <w:adjustRightInd w:val="0"/>
        <w:snapToGrid w:val="0"/>
        <w:spacing w:line="360" w:lineRule="auto"/>
        <w:ind w:firstLine="480" w:firstLineChars="200"/>
        <w:rPr>
          <w:sz w:val="24"/>
        </w:rPr>
      </w:pPr>
      <w:r>
        <w:rPr>
          <w:rFonts w:hint="eastAsia"/>
          <w:sz w:val="24"/>
        </w:rPr>
        <w:t>4）加盖公章的企业法人营业执照复印件副本（三证合一版本）；事业法人、社会团体或其他组织请提供民政部门或主管部门颁发的加盖单位公章的注册登记证书复印件（需有最新的年检记录）；</w:t>
      </w:r>
    </w:p>
    <w:p>
      <w:pPr>
        <w:adjustRightInd w:val="0"/>
        <w:snapToGrid w:val="0"/>
        <w:spacing w:line="360" w:lineRule="auto"/>
        <w:ind w:firstLine="480" w:firstLineChars="200"/>
        <w:rPr>
          <w:sz w:val="24"/>
        </w:rPr>
      </w:pPr>
      <w:r>
        <w:rPr>
          <w:rFonts w:hint="eastAsia"/>
          <w:sz w:val="24"/>
        </w:rPr>
        <w:t>5）加盖公章、法人章、经办人签字的《CRS机构税收居民身份声明文件》（如机构类型为消极非金融机构，需要额外提供加盖公章、法人章、经办人签字的《CRS机构控制人税收居民身份声明文件》）；</w:t>
      </w:r>
    </w:p>
    <w:p>
      <w:pPr>
        <w:adjustRightInd w:val="0"/>
        <w:snapToGrid w:val="0"/>
        <w:spacing w:line="360" w:lineRule="auto"/>
        <w:ind w:firstLine="480" w:firstLineChars="200"/>
        <w:rPr>
          <w:sz w:val="24"/>
        </w:rPr>
      </w:pPr>
      <w:r>
        <w:rPr>
          <w:rFonts w:hint="eastAsia"/>
          <w:sz w:val="24"/>
        </w:rPr>
        <w:t>6）加盖公章、法人章、经办人签字的《机构客户纳税身份声明文件》；</w:t>
      </w:r>
    </w:p>
    <w:p>
      <w:pPr>
        <w:adjustRightInd w:val="0"/>
        <w:snapToGrid w:val="0"/>
        <w:spacing w:line="360" w:lineRule="auto"/>
        <w:ind w:firstLine="480" w:firstLineChars="200"/>
        <w:rPr>
          <w:sz w:val="24"/>
        </w:rPr>
      </w:pPr>
      <w:r>
        <w:rPr>
          <w:rFonts w:hint="eastAsia"/>
          <w:sz w:val="24"/>
        </w:rPr>
        <w:t>7）加盖公章、法人章、经办人签字的《交银施罗德基金业务授权委托书》；</w:t>
      </w:r>
    </w:p>
    <w:p>
      <w:pPr>
        <w:adjustRightInd w:val="0"/>
        <w:snapToGrid w:val="0"/>
        <w:spacing w:line="360" w:lineRule="auto"/>
        <w:ind w:firstLine="480" w:firstLineChars="200"/>
        <w:rPr>
          <w:sz w:val="24"/>
        </w:rPr>
      </w:pPr>
      <w:r>
        <w:rPr>
          <w:rFonts w:hint="eastAsia"/>
          <w:sz w:val="24"/>
        </w:rPr>
        <w:t>8）加盖公章的经办人、法定代表人有效身份证件复印件（正反面）；</w:t>
      </w:r>
    </w:p>
    <w:p>
      <w:pPr>
        <w:adjustRightInd w:val="0"/>
        <w:snapToGrid w:val="0"/>
        <w:spacing w:line="360" w:lineRule="auto"/>
        <w:ind w:firstLine="480" w:firstLineChars="200"/>
        <w:rPr>
          <w:sz w:val="24"/>
        </w:rPr>
      </w:pPr>
      <w:r>
        <w:rPr>
          <w:rFonts w:hint="eastAsia"/>
          <w:sz w:val="24"/>
        </w:rPr>
        <w:t>9）印鉴卡一式两份（一份机构留存，一份本直销中心留存，预留印鉴盖章人的盖公章证件需要提供）；</w:t>
      </w:r>
    </w:p>
    <w:p>
      <w:pPr>
        <w:adjustRightInd w:val="0"/>
        <w:snapToGrid w:val="0"/>
        <w:spacing w:line="360" w:lineRule="auto"/>
        <w:ind w:firstLine="480" w:firstLineChars="200"/>
        <w:rPr>
          <w:sz w:val="24"/>
        </w:rPr>
      </w:pPr>
      <w:r>
        <w:rPr>
          <w:rFonts w:hint="eastAsia"/>
          <w:sz w:val="24"/>
        </w:rPr>
        <w:t>10）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pPr>
        <w:adjustRightInd w:val="0"/>
        <w:snapToGrid w:val="0"/>
        <w:spacing w:line="360" w:lineRule="auto"/>
        <w:ind w:firstLine="480" w:firstLineChars="200"/>
        <w:rPr>
          <w:sz w:val="24"/>
        </w:rPr>
      </w:pPr>
      <w:r>
        <w:rPr>
          <w:rFonts w:hint="eastAsia"/>
          <w:sz w:val="24"/>
        </w:rPr>
        <w:t>11）加盖公章、法人章、经办人签字并填妥的《开放式基金账户业务申请表》两份；</w:t>
      </w:r>
    </w:p>
    <w:p>
      <w:pPr>
        <w:adjustRightInd w:val="0"/>
        <w:snapToGrid w:val="0"/>
        <w:spacing w:line="360" w:lineRule="auto"/>
        <w:ind w:firstLine="480" w:firstLineChars="200"/>
        <w:rPr>
          <w:sz w:val="24"/>
        </w:rPr>
      </w:pPr>
      <w:r>
        <w:rPr>
          <w:rFonts w:hint="eastAsia"/>
          <w:sz w:val="24"/>
        </w:rPr>
        <w:t>12）加盖公章并填妥的《传真委托协议书》两份并加盖公章（如需开通）。</w:t>
      </w:r>
    </w:p>
    <w:p>
      <w:pPr>
        <w:adjustRightInd w:val="0"/>
        <w:snapToGrid w:val="0"/>
        <w:spacing w:line="360" w:lineRule="auto"/>
        <w:ind w:firstLine="480" w:firstLineChars="200"/>
        <w:rPr>
          <w:sz w:val="24"/>
        </w:rPr>
      </w:pPr>
      <w:r>
        <w:rPr>
          <w:rFonts w:hint="eastAsia"/>
          <w:sz w:val="24"/>
        </w:rPr>
        <w:t>13）加盖公章的公司股权架构信息、高管信息的文件</w:t>
      </w:r>
    </w:p>
    <w:p>
      <w:pPr>
        <w:adjustRightInd w:val="0"/>
        <w:snapToGrid w:val="0"/>
        <w:spacing w:line="360" w:lineRule="auto"/>
        <w:ind w:firstLine="480" w:firstLineChars="200"/>
        <w:rPr>
          <w:sz w:val="24"/>
        </w:rPr>
      </w:pPr>
      <w:r>
        <w:rPr>
          <w:rFonts w:hint="eastAsia"/>
          <w:sz w:val="24"/>
        </w:rPr>
        <w:t>14）加盖公章的公司金融许可证/业务许可证等证明</w:t>
      </w:r>
    </w:p>
    <w:p>
      <w:pPr>
        <w:adjustRightInd w:val="0"/>
        <w:snapToGrid w:val="0"/>
        <w:spacing w:line="360" w:lineRule="auto"/>
        <w:ind w:firstLine="480" w:firstLineChars="200"/>
        <w:rPr>
          <w:sz w:val="24"/>
        </w:rPr>
      </w:pPr>
      <w:r>
        <w:rPr>
          <w:rFonts w:hint="eastAsia"/>
          <w:sz w:val="24"/>
        </w:rPr>
        <w:t>15）加盖公章的受益所有人信息登记表，并更具表单填写内容提供相关人员加盖公章的身份证正反面复印件及说明文件</w:t>
      </w:r>
    </w:p>
    <w:p>
      <w:pPr>
        <w:adjustRightInd w:val="0"/>
        <w:snapToGrid w:val="0"/>
        <w:spacing w:line="360" w:lineRule="auto"/>
        <w:ind w:firstLine="480" w:firstLineChars="20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pPr>
        <w:adjustRightInd w:val="0"/>
        <w:snapToGrid w:val="0"/>
        <w:spacing w:line="360" w:lineRule="auto"/>
        <w:ind w:left="420" w:leftChars="20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tabs>
          <w:tab w:val="left" w:pos="6804"/>
        </w:tabs>
        <w:adjustRightInd w:val="0"/>
        <w:snapToGrid w:val="0"/>
        <w:spacing w:line="360" w:lineRule="auto"/>
        <w:ind w:firstLine="480" w:firstLineChars="200"/>
        <w:rPr>
          <w:sz w:val="24"/>
        </w:rPr>
      </w:pPr>
      <w:r>
        <w:rPr>
          <w:rFonts w:hint="eastAsia"/>
          <w:sz w:val="24"/>
        </w:rPr>
        <w:t>（</w:t>
      </w: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int="eastAsia" w:hAnsi="宋体"/>
          <w:sz w:val="24"/>
        </w:rPr>
        <w:t>交银成长动力一年混合</w:t>
      </w:r>
      <w:r>
        <w:rPr>
          <w:sz w:val="24"/>
        </w:rPr>
        <w:t>”</w:t>
      </w:r>
      <w:r>
        <w:rPr>
          <w:rFonts w:hint="eastAsia"/>
          <w:sz w:val="24"/>
        </w:rPr>
        <w:t>；</w:t>
      </w:r>
    </w:p>
    <w:p>
      <w:pPr>
        <w:adjustRightInd w:val="0"/>
        <w:snapToGrid w:val="0"/>
        <w:spacing w:line="360" w:lineRule="auto"/>
        <w:ind w:firstLine="480" w:firstLineChars="20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五、清算与交割</w:t>
      </w:r>
    </w:p>
    <w:p>
      <w:pPr>
        <w:adjustRightInd w:val="0"/>
        <w:snapToGrid w:val="0"/>
        <w:spacing w:line="360" w:lineRule="auto"/>
        <w:ind w:firstLine="480" w:firstLineChars="20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pPr>
        <w:adjustRightInd w:val="0"/>
        <w:snapToGrid w:val="0"/>
        <w:spacing w:line="360" w:lineRule="auto"/>
        <w:ind w:firstLine="480" w:firstLineChars="200"/>
        <w:rPr>
          <w:rFonts w:ascii="宋体" w:hAnsi="宋体"/>
          <w:sz w:val="24"/>
        </w:rPr>
      </w:pPr>
      <w:r>
        <w:rPr>
          <w:sz w:val="24"/>
        </w:rPr>
        <w:t>2</w:t>
      </w:r>
      <w:r>
        <w:rPr>
          <w:rFonts w:hint="eastAsia"/>
          <w:sz w:val="24"/>
        </w:rPr>
        <w:t>、本基金权益登记由本基金登记机构在募集期结束后完成。</w:t>
      </w:r>
    </w:p>
    <w:p>
      <w:pPr>
        <w:keepNext/>
        <w:keepLines/>
        <w:adjustRightInd w:val="0"/>
        <w:snapToGrid w:val="0"/>
        <w:spacing w:before="240" w:after="156" w:afterLines="50" w:line="360" w:lineRule="auto"/>
        <w:jc w:val="center"/>
        <w:outlineLvl w:val="0"/>
        <w:rPr>
          <w:b/>
          <w:sz w:val="24"/>
        </w:rPr>
      </w:pPr>
      <w:r>
        <w:rPr>
          <w:rFonts w:hint="eastAsia"/>
          <w:b/>
          <w:sz w:val="24"/>
        </w:rPr>
        <w:t>六、退款</w:t>
      </w:r>
    </w:p>
    <w:p>
      <w:pPr>
        <w:adjustRightInd w:val="0"/>
        <w:snapToGrid w:val="0"/>
        <w:spacing w:line="360" w:lineRule="auto"/>
        <w:ind w:firstLine="480" w:firstLineChars="20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pPr>
        <w:adjustRightInd w:val="0"/>
        <w:snapToGrid w:val="0"/>
        <w:spacing w:line="360" w:lineRule="auto"/>
        <w:ind w:firstLine="480" w:firstLineChars="20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pPr>
        <w:keepNext/>
        <w:keepLines/>
        <w:adjustRightInd w:val="0"/>
        <w:snapToGrid w:val="0"/>
        <w:spacing w:before="240" w:after="156" w:afterLines="50" w:line="360" w:lineRule="auto"/>
        <w:jc w:val="center"/>
        <w:outlineLvl w:val="0"/>
        <w:rPr>
          <w:rFonts w:ascii="宋体" w:hAnsi="宋体"/>
          <w:b/>
          <w:sz w:val="24"/>
        </w:rPr>
      </w:pPr>
      <w:r>
        <w:rPr>
          <w:rFonts w:hint="eastAsia"/>
          <w:b/>
          <w:sz w:val="24"/>
        </w:rPr>
        <w:t>七、基金的验资与生效</w:t>
      </w:r>
    </w:p>
    <w:p>
      <w:pPr>
        <w:adjustRightInd w:val="0"/>
        <w:snapToGrid w:val="0"/>
        <w:spacing w:line="360" w:lineRule="auto"/>
        <w:ind w:firstLine="480" w:firstLineChars="200"/>
        <w:rPr>
          <w:sz w:val="24"/>
        </w:rPr>
      </w:pPr>
      <w:r>
        <w:rPr>
          <w:rFonts w:hint="eastAsia"/>
          <w:sz w:val="24"/>
        </w:rPr>
        <w:t>本基金募集期满，达到合同规定的条件，基金合同方可生效。</w:t>
      </w:r>
    </w:p>
    <w:p>
      <w:pPr>
        <w:adjustRightInd w:val="0"/>
        <w:snapToGrid w:val="0"/>
        <w:spacing w:line="360" w:lineRule="auto"/>
        <w:ind w:firstLine="480" w:firstLineChars="20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pPr>
        <w:adjustRightInd w:val="0"/>
        <w:snapToGrid w:val="0"/>
        <w:spacing w:line="360" w:lineRule="auto"/>
        <w:ind w:firstLine="480" w:firstLineChars="20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pPr>
        <w:adjustRightInd w:val="0"/>
        <w:snapToGrid w:val="0"/>
        <w:spacing w:line="360" w:lineRule="auto"/>
        <w:ind w:firstLine="480" w:firstLineChars="200"/>
        <w:rPr>
          <w:sz w:val="24"/>
        </w:rPr>
      </w:pPr>
      <w:r>
        <w:rPr>
          <w:sz w:val="24"/>
        </w:rPr>
        <w:t>3</w:t>
      </w:r>
      <w:r>
        <w:rPr>
          <w:rFonts w:hint="eastAsia"/>
          <w:sz w:val="24"/>
        </w:rPr>
        <w:t>、基金管理人应当在收到中国证监会确认文件的次日对基金合同生效事宜予以公告。</w:t>
      </w:r>
    </w:p>
    <w:p>
      <w:pPr>
        <w:keepNext/>
        <w:keepLines/>
        <w:adjustRightInd w:val="0"/>
        <w:snapToGrid w:val="0"/>
        <w:spacing w:before="312" w:beforeLines="100" w:after="156" w:afterLines="50" w:line="360" w:lineRule="auto"/>
        <w:jc w:val="center"/>
        <w:outlineLvl w:val="0"/>
        <w:rPr>
          <w:b/>
          <w:sz w:val="24"/>
        </w:rPr>
      </w:pPr>
      <w:r>
        <w:rPr>
          <w:rFonts w:hint="eastAsia"/>
          <w:b/>
          <w:sz w:val="24"/>
        </w:rPr>
        <w:t>八、基金合同生效前的费用处理</w:t>
      </w:r>
    </w:p>
    <w:p>
      <w:pPr>
        <w:adjustRightInd w:val="0"/>
        <w:snapToGrid w:val="0"/>
        <w:spacing w:line="360" w:lineRule="auto"/>
        <w:ind w:firstLine="480" w:firstLineChars="200"/>
        <w:rPr>
          <w:rFonts w:ascii="宋体" w:hAnsi="宋体"/>
          <w:sz w:val="24"/>
        </w:rPr>
      </w:pPr>
      <w:r>
        <w:rPr>
          <w:rFonts w:hint="eastAsia" w:hAnsi="宋体"/>
          <w:sz w:val="24"/>
        </w:rPr>
        <w:t>基金合同生效前发生的与基金募集活动有关的费用，包括信息披露费、律师费、会计师费以及其他费用，不得从基金财产中列支。</w:t>
      </w:r>
    </w:p>
    <w:p>
      <w:pPr>
        <w:keepNext/>
        <w:keepLines/>
        <w:adjustRightInd w:val="0"/>
        <w:snapToGrid w:val="0"/>
        <w:spacing w:before="312" w:beforeLines="100" w:after="156" w:afterLines="50" w:line="360" w:lineRule="auto"/>
        <w:jc w:val="center"/>
        <w:outlineLvl w:val="0"/>
        <w:rPr>
          <w:b/>
          <w:sz w:val="24"/>
        </w:rPr>
      </w:pPr>
      <w:r>
        <w:rPr>
          <w:rFonts w:hint="eastAsia"/>
          <w:b/>
          <w:sz w:val="24"/>
        </w:rPr>
        <w:t>九、本次募集当事人或中介机构</w:t>
      </w:r>
    </w:p>
    <w:p>
      <w:pPr>
        <w:adjustRightInd w:val="0"/>
        <w:snapToGrid w:val="0"/>
        <w:spacing w:line="360" w:lineRule="auto"/>
        <w:ind w:firstLine="482" w:firstLineChars="200"/>
        <w:outlineLvl w:val="1"/>
        <w:rPr>
          <w:b/>
          <w:sz w:val="24"/>
        </w:rPr>
      </w:pPr>
      <w:r>
        <w:rPr>
          <w:rFonts w:hint="eastAsia"/>
          <w:b/>
          <w:sz w:val="24"/>
        </w:rPr>
        <w:t>（一）基金管理人</w:t>
      </w:r>
    </w:p>
    <w:p>
      <w:pPr>
        <w:adjustRightInd w:val="0"/>
        <w:snapToGrid w:val="0"/>
        <w:spacing w:line="360" w:lineRule="auto"/>
        <w:ind w:firstLine="480" w:firstLineChars="200"/>
        <w:rPr>
          <w:sz w:val="24"/>
        </w:rPr>
      </w:pPr>
      <w:r>
        <w:rPr>
          <w:rFonts w:hint="eastAsia"/>
          <w:sz w:val="24"/>
        </w:rPr>
        <w:t>名称：交银施罗德基金管理有限公司</w:t>
      </w:r>
    </w:p>
    <w:p>
      <w:pPr>
        <w:adjustRightInd w:val="0"/>
        <w:snapToGrid w:val="0"/>
        <w:spacing w:line="360" w:lineRule="auto"/>
        <w:ind w:firstLine="480" w:firstLineChars="200"/>
        <w:rPr>
          <w:sz w:val="24"/>
        </w:rPr>
      </w:pPr>
      <w:r>
        <w:rPr>
          <w:rFonts w:hint="eastAsia"/>
          <w:sz w:val="24"/>
        </w:rPr>
        <w:t>住所：中国（上海）自由贸易试验区银城中路</w:t>
      </w:r>
      <w:r>
        <w:rPr>
          <w:sz w:val="24"/>
        </w:rPr>
        <w:t>188</w:t>
      </w:r>
      <w:r>
        <w:rPr>
          <w:rFonts w:hint="eastAsia"/>
          <w:sz w:val="24"/>
        </w:rPr>
        <w:t>号交通银行大楼二层（裙）</w:t>
      </w:r>
    </w:p>
    <w:p>
      <w:pPr>
        <w:widowControl/>
        <w:adjustRightInd w:val="0"/>
        <w:snapToGrid w:val="0"/>
        <w:spacing w:line="360" w:lineRule="auto"/>
        <w:ind w:firstLine="480" w:firstLineChars="200"/>
        <w:jc w:val="left"/>
        <w:rPr>
          <w:kern w:val="0"/>
          <w:sz w:val="24"/>
        </w:rPr>
      </w:pPr>
      <w:r>
        <w:rPr>
          <w:rFonts w:hint="eastAsia"/>
          <w:sz w:val="24"/>
        </w:rPr>
        <w:t>办公地址：</w:t>
      </w:r>
      <w:r>
        <w:rPr>
          <w:rFonts w:hAnsi="宋体"/>
          <w:kern w:val="0"/>
          <w:sz w:val="24"/>
        </w:rPr>
        <w:t>上海</w:t>
      </w:r>
      <w:r>
        <w:rPr>
          <w:rFonts w:hint="eastAsia" w:hAnsi="宋体"/>
          <w:kern w:val="0"/>
          <w:sz w:val="24"/>
        </w:rPr>
        <w:t>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sz w:val="24"/>
        </w:rPr>
        <w:t>邮政编码：</w:t>
      </w:r>
      <w:r>
        <w:rPr>
          <w:sz w:val="24"/>
        </w:rPr>
        <w:t>200120</w:t>
      </w:r>
    </w:p>
    <w:p>
      <w:pPr>
        <w:adjustRightInd w:val="0"/>
        <w:snapToGrid w:val="0"/>
        <w:spacing w:line="360" w:lineRule="auto"/>
        <w:ind w:firstLine="480" w:firstLineChars="200"/>
        <w:rPr>
          <w:sz w:val="24"/>
        </w:rPr>
      </w:pPr>
      <w:r>
        <w:rPr>
          <w:rFonts w:hint="eastAsia"/>
          <w:sz w:val="24"/>
        </w:rPr>
        <w:t>法定代表人：阮红</w:t>
      </w:r>
    </w:p>
    <w:p>
      <w:pPr>
        <w:adjustRightInd w:val="0"/>
        <w:snapToGrid w:val="0"/>
        <w:spacing w:line="360" w:lineRule="auto"/>
        <w:ind w:firstLine="480" w:firstLineChars="20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pPr>
        <w:adjustRightInd w:val="0"/>
        <w:snapToGrid w:val="0"/>
        <w:spacing w:line="360" w:lineRule="auto"/>
        <w:ind w:firstLine="480" w:firstLineChars="200"/>
        <w:rPr>
          <w:sz w:val="24"/>
        </w:rPr>
      </w:pPr>
      <w:r>
        <w:rPr>
          <w:rFonts w:hint="eastAsia"/>
          <w:sz w:val="24"/>
        </w:rPr>
        <w:t>电话：（</w:t>
      </w:r>
      <w:r>
        <w:rPr>
          <w:sz w:val="24"/>
        </w:rPr>
        <w:t>021</w:t>
      </w:r>
      <w:r>
        <w:rPr>
          <w:rFonts w:hint="eastAsia"/>
          <w:sz w:val="24"/>
        </w:rPr>
        <w:t>）</w:t>
      </w:r>
      <w:r>
        <w:rPr>
          <w:sz w:val="24"/>
        </w:rPr>
        <w:t>61055050</w:t>
      </w:r>
    </w:p>
    <w:p>
      <w:pPr>
        <w:adjustRightInd w:val="0"/>
        <w:snapToGrid w:val="0"/>
        <w:spacing w:line="360" w:lineRule="auto"/>
        <w:ind w:firstLine="480" w:firstLineChars="200"/>
        <w:rPr>
          <w:sz w:val="24"/>
        </w:rPr>
      </w:pPr>
      <w:r>
        <w:rPr>
          <w:rFonts w:hint="eastAsia"/>
          <w:sz w:val="24"/>
        </w:rPr>
        <w:t>传真：（</w:t>
      </w:r>
      <w:r>
        <w:rPr>
          <w:sz w:val="24"/>
        </w:rPr>
        <w:t>021</w:t>
      </w:r>
      <w:r>
        <w:rPr>
          <w:rFonts w:hint="eastAsia"/>
          <w:sz w:val="24"/>
        </w:rPr>
        <w:t>）</w:t>
      </w:r>
      <w:r>
        <w:rPr>
          <w:sz w:val="24"/>
        </w:rPr>
        <w:t>61055034</w:t>
      </w:r>
    </w:p>
    <w:p>
      <w:pPr>
        <w:adjustRightInd w:val="0"/>
        <w:snapToGrid w:val="0"/>
        <w:spacing w:line="360" w:lineRule="auto"/>
        <w:ind w:firstLine="480" w:firstLineChars="200"/>
        <w:rPr>
          <w:sz w:val="24"/>
        </w:rPr>
      </w:pPr>
      <w:r>
        <w:rPr>
          <w:rFonts w:hint="eastAsia"/>
          <w:sz w:val="24"/>
        </w:rPr>
        <w:t>联系人：郭佳敏</w:t>
      </w:r>
    </w:p>
    <w:p>
      <w:pPr>
        <w:adjustRightInd w:val="0"/>
        <w:snapToGrid w:val="0"/>
        <w:spacing w:line="360" w:lineRule="auto"/>
        <w:ind w:firstLine="482" w:firstLineChars="200"/>
        <w:outlineLvl w:val="1"/>
        <w:rPr>
          <w:b/>
          <w:sz w:val="24"/>
        </w:rPr>
      </w:pPr>
      <w:r>
        <w:rPr>
          <w:rFonts w:hint="eastAsia"/>
          <w:b/>
          <w:sz w:val="24"/>
        </w:rPr>
        <w:t>（二）基金托管人</w:t>
      </w:r>
    </w:p>
    <w:p>
      <w:pPr>
        <w:adjustRightInd w:val="0"/>
        <w:snapToGrid w:val="0"/>
        <w:spacing w:line="360" w:lineRule="auto"/>
        <w:ind w:firstLine="480" w:firstLineChars="200"/>
        <w:rPr>
          <w:rFonts w:ascii="宋体" w:hAnsi="宋体"/>
          <w:sz w:val="24"/>
        </w:rPr>
      </w:pPr>
      <w:r>
        <w:rPr>
          <w:rFonts w:hint="eastAsia" w:ascii="宋体" w:hAnsi="宋体"/>
          <w:sz w:val="24"/>
        </w:rPr>
        <w:t>名称：上海浦东发展银行股份有限公司</w:t>
      </w:r>
    </w:p>
    <w:p>
      <w:pPr>
        <w:adjustRightInd w:val="0"/>
        <w:snapToGrid w:val="0"/>
        <w:spacing w:line="360" w:lineRule="auto"/>
        <w:ind w:firstLine="480" w:firstLineChars="200"/>
        <w:rPr>
          <w:rFonts w:ascii="宋体" w:hAnsi="宋体"/>
          <w:sz w:val="24"/>
        </w:rPr>
      </w:pPr>
      <w:r>
        <w:rPr>
          <w:rFonts w:hint="eastAsia" w:ascii="宋体" w:hAnsi="宋体"/>
          <w:sz w:val="24"/>
        </w:rPr>
        <w:t>注册地址：上海市中山东一路12号</w:t>
      </w:r>
    </w:p>
    <w:p>
      <w:pPr>
        <w:adjustRightInd w:val="0"/>
        <w:snapToGrid w:val="0"/>
        <w:spacing w:line="360" w:lineRule="auto"/>
        <w:ind w:firstLine="480" w:firstLineChars="200"/>
        <w:rPr>
          <w:rFonts w:ascii="宋体" w:hAnsi="宋体"/>
          <w:sz w:val="24"/>
        </w:rPr>
      </w:pPr>
      <w:r>
        <w:rPr>
          <w:rFonts w:hint="eastAsia" w:ascii="宋体" w:hAnsi="宋体"/>
          <w:sz w:val="24"/>
        </w:rPr>
        <w:t>办公地址：上海市中山东一路12号</w:t>
      </w:r>
    </w:p>
    <w:p>
      <w:pPr>
        <w:adjustRightInd w:val="0"/>
        <w:snapToGrid w:val="0"/>
        <w:spacing w:line="360" w:lineRule="auto"/>
        <w:ind w:firstLine="480" w:firstLineChars="200"/>
        <w:rPr>
          <w:rFonts w:ascii="宋体" w:hAnsi="宋体"/>
          <w:sz w:val="24"/>
        </w:rPr>
      </w:pPr>
      <w:r>
        <w:rPr>
          <w:rFonts w:hint="eastAsia" w:ascii="宋体" w:hAnsi="宋体"/>
          <w:sz w:val="24"/>
        </w:rPr>
        <w:t>法定代表人：</w:t>
      </w:r>
      <w:r>
        <w:rPr>
          <w:rFonts w:hint="eastAsia"/>
          <w:kern w:val="0"/>
          <w:sz w:val="24"/>
          <w:szCs w:val="24"/>
        </w:rPr>
        <w:t>郑杨</w:t>
      </w:r>
    </w:p>
    <w:p>
      <w:pPr>
        <w:adjustRightInd w:val="0"/>
        <w:snapToGrid w:val="0"/>
        <w:spacing w:line="360" w:lineRule="auto"/>
        <w:ind w:firstLine="480" w:firstLineChars="200"/>
        <w:rPr>
          <w:rFonts w:ascii="宋体" w:hAnsi="宋体"/>
          <w:sz w:val="24"/>
        </w:rPr>
      </w:pPr>
      <w:r>
        <w:rPr>
          <w:rFonts w:hint="eastAsia" w:ascii="宋体" w:hAnsi="宋体"/>
          <w:sz w:val="24"/>
        </w:rPr>
        <w:t>成立时间：1992年10月19日</w:t>
      </w:r>
    </w:p>
    <w:p>
      <w:pPr>
        <w:adjustRightInd w:val="0"/>
        <w:snapToGrid w:val="0"/>
        <w:spacing w:line="360" w:lineRule="auto"/>
        <w:ind w:firstLine="480" w:firstLineChars="200"/>
        <w:rPr>
          <w:rFonts w:ascii="宋体" w:hAnsi="宋体"/>
          <w:sz w:val="24"/>
        </w:rPr>
      </w:pPr>
      <w:r>
        <w:rPr>
          <w:rFonts w:hint="eastAsia" w:ascii="宋体" w:hAnsi="宋体"/>
          <w:sz w:val="24"/>
        </w:rPr>
        <w:t>组织形式：股份有限公司</w:t>
      </w:r>
    </w:p>
    <w:p>
      <w:pPr>
        <w:adjustRightInd w:val="0"/>
        <w:snapToGrid w:val="0"/>
        <w:spacing w:line="360" w:lineRule="auto"/>
        <w:ind w:firstLine="480" w:firstLineChars="200"/>
        <w:rPr>
          <w:rFonts w:ascii="宋体" w:hAnsi="宋体"/>
          <w:sz w:val="24"/>
        </w:rPr>
      </w:pPr>
      <w:r>
        <w:rPr>
          <w:rFonts w:hint="eastAsia" w:ascii="宋体" w:hAnsi="宋体"/>
          <w:sz w:val="24"/>
        </w:rPr>
        <w:t>注册资本：293.52 亿元人民币</w:t>
      </w:r>
    </w:p>
    <w:p>
      <w:pPr>
        <w:adjustRightInd w:val="0"/>
        <w:snapToGrid w:val="0"/>
        <w:spacing w:line="360" w:lineRule="auto"/>
        <w:ind w:firstLine="480" w:firstLineChars="200"/>
        <w:rPr>
          <w:rFonts w:ascii="宋体" w:hAnsi="宋体"/>
          <w:sz w:val="24"/>
        </w:rPr>
      </w:pPr>
      <w:r>
        <w:rPr>
          <w:rFonts w:hint="eastAsia" w:ascii="宋体" w:hAnsi="宋体"/>
          <w:sz w:val="24"/>
        </w:rPr>
        <w:t>存续期间：持续经营</w:t>
      </w:r>
    </w:p>
    <w:p>
      <w:pPr>
        <w:adjustRightInd w:val="0"/>
        <w:snapToGrid w:val="0"/>
        <w:spacing w:line="360" w:lineRule="auto"/>
        <w:ind w:firstLine="480" w:firstLineChars="200"/>
        <w:rPr>
          <w:rFonts w:ascii="宋体" w:hAnsi="宋体"/>
          <w:sz w:val="24"/>
        </w:rPr>
      </w:pPr>
      <w:r>
        <w:rPr>
          <w:rFonts w:hint="eastAsia" w:ascii="宋体" w:hAnsi="宋体"/>
          <w:sz w:val="24"/>
        </w:rPr>
        <w:t>基金托管资格批文及文号：中国证监会证监基金字[2003]105号</w:t>
      </w:r>
    </w:p>
    <w:p>
      <w:pPr>
        <w:adjustRightInd w:val="0"/>
        <w:snapToGrid w:val="0"/>
        <w:spacing w:line="360" w:lineRule="auto"/>
        <w:ind w:firstLine="480" w:firstLineChars="200"/>
        <w:rPr>
          <w:rFonts w:ascii="宋体" w:hAnsi="宋体"/>
          <w:sz w:val="24"/>
        </w:rPr>
      </w:pPr>
      <w:r>
        <w:rPr>
          <w:rFonts w:hint="eastAsia" w:ascii="宋体" w:hAnsi="宋体"/>
          <w:sz w:val="24"/>
        </w:rPr>
        <w:t>联系人：胡波</w:t>
      </w:r>
    </w:p>
    <w:p>
      <w:pPr>
        <w:adjustRightInd w:val="0"/>
        <w:snapToGrid w:val="0"/>
        <w:spacing w:line="360" w:lineRule="auto"/>
        <w:ind w:firstLine="480" w:firstLineChars="200"/>
        <w:rPr>
          <w:rFonts w:ascii="宋体" w:hAnsi="宋体"/>
          <w:sz w:val="24"/>
        </w:rPr>
      </w:pPr>
      <w:r>
        <w:rPr>
          <w:rFonts w:hint="eastAsia" w:ascii="宋体" w:hAnsi="宋体"/>
          <w:sz w:val="24"/>
        </w:rPr>
        <w:t>联系电话：（021）61618888</w:t>
      </w:r>
    </w:p>
    <w:p>
      <w:pPr>
        <w:widowControl/>
        <w:adjustRightInd w:val="0"/>
        <w:snapToGrid w:val="0"/>
        <w:spacing w:line="360" w:lineRule="auto"/>
        <w:ind w:firstLine="482" w:firstLineChars="200"/>
        <w:outlineLvl w:val="1"/>
        <w:rPr>
          <w:b/>
          <w:sz w:val="24"/>
        </w:rPr>
      </w:pPr>
      <w:r>
        <w:rPr>
          <w:rFonts w:hint="eastAsia"/>
          <w:b/>
          <w:sz w:val="24"/>
        </w:rPr>
        <w:t>（三）销售机构</w:t>
      </w:r>
    </w:p>
    <w:p>
      <w:pPr>
        <w:widowControl/>
        <w:adjustRightInd w:val="0"/>
        <w:snapToGrid w:val="0"/>
        <w:spacing w:line="360" w:lineRule="auto"/>
        <w:ind w:firstLine="480" w:firstLineChars="200"/>
        <w:outlineLvl w:val="2"/>
        <w:rPr>
          <w:kern w:val="0"/>
          <w:sz w:val="24"/>
        </w:rPr>
      </w:pPr>
      <w:r>
        <w:rPr>
          <w:kern w:val="0"/>
          <w:sz w:val="24"/>
        </w:rPr>
        <w:t>1</w:t>
      </w:r>
      <w:r>
        <w:rPr>
          <w:rFonts w:hint="eastAsia"/>
          <w:kern w:val="0"/>
          <w:sz w:val="24"/>
        </w:rPr>
        <w:t>、直销机构</w:t>
      </w:r>
    </w:p>
    <w:p>
      <w:pPr>
        <w:widowControl/>
        <w:adjustRightInd w:val="0"/>
        <w:snapToGrid w:val="0"/>
        <w:spacing w:line="360" w:lineRule="auto"/>
        <w:ind w:firstLine="480" w:firstLineChars="20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w:t>
      </w:r>
      <w:r>
        <w:rPr>
          <w:rFonts w:hAnsi="宋体"/>
          <w:kern w:val="0"/>
          <w:sz w:val="24"/>
        </w:rPr>
        <w:t>上海</w:t>
      </w:r>
      <w:r>
        <w:rPr>
          <w:rFonts w:hint="eastAsia" w:hAnsi="宋体"/>
          <w:kern w:val="0"/>
          <w:sz w:val="24"/>
        </w:rPr>
        <w:t>市浦东新区世纪大道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kern w:val="0"/>
          <w:sz w:val="24"/>
        </w:rPr>
        <w:t>法定代表人：</w:t>
      </w:r>
      <w:r>
        <w:rPr>
          <w:rFonts w:hint="eastAsia"/>
          <w:sz w:val="24"/>
        </w:rPr>
        <w:t>阮红</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pPr>
        <w:widowControl/>
        <w:adjustRightInd w:val="0"/>
        <w:snapToGrid w:val="0"/>
        <w:spacing w:line="360" w:lineRule="auto"/>
        <w:ind w:firstLine="480" w:firstLineChars="200"/>
        <w:rPr>
          <w:kern w:val="0"/>
          <w:sz w:val="24"/>
        </w:rPr>
      </w:pPr>
      <w:r>
        <w:rPr>
          <w:rFonts w:hint="eastAsia"/>
          <w:kern w:val="0"/>
          <w:sz w:val="24"/>
        </w:rPr>
        <w:t>联系人：傅鲸</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pPr>
        <w:widowControl/>
        <w:adjustRightInd w:val="0"/>
        <w:snapToGrid w:val="0"/>
        <w:spacing w:line="360" w:lineRule="auto"/>
        <w:ind w:firstLine="480" w:firstLineChars="200"/>
        <w:rPr>
          <w:color w:val="0000FF"/>
          <w:sz w:val="24"/>
          <w:u w:val="single"/>
        </w:rPr>
      </w:pPr>
      <w:r>
        <w:rPr>
          <w:rFonts w:hint="eastAsia"/>
          <w:kern w:val="0"/>
          <w:sz w:val="24"/>
        </w:rPr>
        <w:t>网址：</w:t>
      </w:r>
      <w:r>
        <w:rPr>
          <w:rStyle w:val="57"/>
          <w:color w:val="auto"/>
          <w:sz w:val="24"/>
          <w:szCs w:val="24"/>
          <w:u w:val="none"/>
        </w:rPr>
        <w:t>www.fund001.com</w:t>
      </w:r>
    </w:p>
    <w:p>
      <w:pPr>
        <w:widowControl/>
        <w:adjustRightInd w:val="0"/>
        <w:snapToGrid w:val="0"/>
        <w:spacing w:line="360" w:lineRule="auto"/>
        <w:ind w:firstLine="480" w:firstLineChars="20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57"/>
          <w:color w:val="auto"/>
          <w:sz w:val="24"/>
          <w:szCs w:val="24"/>
          <w:u w:val="none"/>
        </w:rPr>
        <w:t>www.fund001.com</w:t>
      </w:r>
      <w:r>
        <w:rPr>
          <w:rFonts w:hint="eastAsia"/>
          <w:kern w:val="0"/>
          <w:sz w:val="24"/>
        </w:rPr>
        <w:t>。</w:t>
      </w:r>
    </w:p>
    <w:p>
      <w:pPr>
        <w:adjustRightInd w:val="0"/>
        <w:snapToGrid w:val="0"/>
        <w:spacing w:line="360" w:lineRule="auto"/>
        <w:ind w:firstLine="480" w:firstLineChars="200"/>
        <w:outlineLvl w:val="2"/>
        <w:rPr>
          <w:kern w:val="0"/>
          <w:sz w:val="24"/>
        </w:rPr>
      </w:pPr>
      <w:r>
        <w:rPr>
          <w:kern w:val="0"/>
          <w:sz w:val="24"/>
        </w:rPr>
        <w:t>2</w:t>
      </w:r>
      <w:r>
        <w:rPr>
          <w:rFonts w:hint="eastAsia"/>
          <w:kern w:val="0"/>
          <w:sz w:val="24"/>
        </w:rPr>
        <w:t>、</w:t>
      </w:r>
      <w:r>
        <w:rPr>
          <w:rFonts w:hint="eastAsia" w:ascii="宋体" w:hAnsi="宋体"/>
          <w:sz w:val="24"/>
        </w:rPr>
        <w:t>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（1）上海浦东发展银行股份有限公司</w:t>
      </w:r>
    </w:p>
    <w:p>
      <w:pPr>
        <w:adjustRightInd w:val="0"/>
        <w:snapToGrid w:val="0"/>
        <w:spacing w:line="360" w:lineRule="auto"/>
        <w:ind w:firstLine="480" w:firstLineChars="200"/>
        <w:rPr>
          <w:rFonts w:hAnsi="宋体"/>
          <w:sz w:val="24"/>
        </w:rPr>
      </w:pPr>
      <w:r>
        <w:rPr>
          <w:rFonts w:hint="eastAsia" w:hAnsi="宋体"/>
          <w:sz w:val="24"/>
        </w:rPr>
        <w:t>住所：上</w:t>
      </w:r>
      <w:r>
        <w:rPr>
          <w:rFonts w:hint="eastAsia"/>
          <w:kern w:val="0"/>
          <w:sz w:val="24"/>
          <w:szCs w:val="24"/>
        </w:rPr>
        <w:t>海市中山东一路12 号</w:t>
      </w:r>
    </w:p>
    <w:p>
      <w:pPr>
        <w:adjustRightInd w:val="0"/>
        <w:snapToGrid w:val="0"/>
        <w:spacing w:line="360" w:lineRule="auto"/>
        <w:ind w:firstLine="480" w:firstLineChars="200"/>
        <w:rPr>
          <w:rFonts w:hAnsi="宋体"/>
          <w:sz w:val="24"/>
        </w:rPr>
      </w:pPr>
      <w:r>
        <w:rPr>
          <w:rFonts w:hint="eastAsia" w:hAnsi="宋体"/>
          <w:sz w:val="24"/>
        </w:rPr>
        <w:t>办公地址：上</w:t>
      </w:r>
      <w:r>
        <w:rPr>
          <w:rFonts w:hint="eastAsia"/>
          <w:kern w:val="0"/>
          <w:sz w:val="24"/>
          <w:szCs w:val="24"/>
        </w:rPr>
        <w:t>海市中山东一路12 号</w:t>
      </w:r>
    </w:p>
    <w:p>
      <w:pPr>
        <w:adjustRightInd w:val="0"/>
        <w:snapToGrid w:val="0"/>
        <w:spacing w:line="360" w:lineRule="auto"/>
        <w:ind w:firstLine="480" w:firstLineChars="200"/>
        <w:rPr>
          <w:rFonts w:hAnsi="宋体"/>
          <w:sz w:val="24"/>
        </w:rPr>
      </w:pPr>
      <w:r>
        <w:rPr>
          <w:rFonts w:hint="eastAsia" w:hAnsi="宋体"/>
          <w:sz w:val="24"/>
        </w:rPr>
        <w:t>法定代表人：</w:t>
      </w:r>
      <w:r>
        <w:rPr>
          <w:rFonts w:hint="eastAsia"/>
          <w:kern w:val="0"/>
          <w:sz w:val="24"/>
          <w:szCs w:val="24"/>
        </w:rPr>
        <w:t>郑杨</w:t>
      </w:r>
    </w:p>
    <w:p>
      <w:pPr>
        <w:adjustRightInd w:val="0"/>
        <w:snapToGrid w:val="0"/>
        <w:spacing w:line="360" w:lineRule="auto"/>
        <w:ind w:firstLine="480" w:firstLineChars="200"/>
        <w:rPr>
          <w:rFonts w:hAnsi="宋体"/>
          <w:sz w:val="24"/>
        </w:rPr>
      </w:pPr>
      <w:r>
        <w:rPr>
          <w:rFonts w:hint="eastAsia" w:hAnsi="宋体"/>
          <w:sz w:val="24"/>
        </w:rPr>
        <w:t>电话：（021）61618888</w:t>
      </w:r>
    </w:p>
    <w:p>
      <w:pPr>
        <w:adjustRightInd w:val="0"/>
        <w:snapToGrid w:val="0"/>
        <w:spacing w:line="360" w:lineRule="auto"/>
        <w:ind w:firstLine="480" w:firstLineChars="200"/>
        <w:rPr>
          <w:rFonts w:hAnsi="宋体"/>
          <w:sz w:val="24"/>
        </w:rPr>
      </w:pPr>
      <w:r>
        <w:rPr>
          <w:rFonts w:hint="eastAsia" w:hAnsi="宋体"/>
          <w:sz w:val="24"/>
        </w:rPr>
        <w:t>传真：（021）61618888</w:t>
      </w:r>
    </w:p>
    <w:p>
      <w:pPr>
        <w:adjustRightInd w:val="0"/>
        <w:snapToGrid w:val="0"/>
        <w:spacing w:line="360" w:lineRule="auto"/>
        <w:ind w:firstLine="480" w:firstLineChars="200"/>
        <w:rPr>
          <w:rFonts w:hAnsi="宋体"/>
          <w:sz w:val="24"/>
        </w:rPr>
      </w:pPr>
      <w:r>
        <w:rPr>
          <w:rFonts w:hint="eastAsia" w:hAnsi="宋体"/>
          <w:sz w:val="24"/>
        </w:rPr>
        <w:t>联系人：胡波</w:t>
      </w:r>
    </w:p>
    <w:p>
      <w:pPr>
        <w:adjustRightInd w:val="0"/>
        <w:snapToGrid w:val="0"/>
        <w:spacing w:line="360" w:lineRule="auto"/>
        <w:ind w:firstLine="480" w:firstLineChars="200"/>
        <w:rPr>
          <w:rFonts w:hAnsi="宋体"/>
          <w:sz w:val="24"/>
        </w:rPr>
      </w:pPr>
      <w:r>
        <w:rPr>
          <w:rFonts w:hint="eastAsia" w:hAnsi="宋体"/>
          <w:sz w:val="24"/>
        </w:rPr>
        <w:t>客户服务电话：</w:t>
      </w:r>
      <w:r>
        <w:rPr>
          <w:rFonts w:hAnsi="宋体"/>
          <w:sz w:val="24"/>
        </w:rPr>
        <w:t>95528</w:t>
      </w:r>
    </w:p>
    <w:p>
      <w:pPr>
        <w:adjustRightInd w:val="0"/>
        <w:snapToGrid w:val="0"/>
        <w:spacing w:line="360" w:lineRule="auto"/>
        <w:ind w:firstLine="480" w:firstLineChars="200"/>
        <w:rPr>
          <w:rFonts w:hAnsi="宋体"/>
          <w:sz w:val="24"/>
        </w:rPr>
      </w:pPr>
      <w:r>
        <w:rPr>
          <w:rFonts w:hint="eastAsia" w:hAnsi="宋体"/>
          <w:sz w:val="24"/>
        </w:rPr>
        <w:t>网址：www.cmbchina.com</w:t>
      </w:r>
    </w:p>
    <w:p>
      <w:pPr>
        <w:adjustRightInd w:val="0"/>
        <w:snapToGrid w:val="0"/>
        <w:spacing w:line="360" w:lineRule="auto"/>
        <w:ind w:firstLine="480" w:firstLineChars="200"/>
        <w:rPr>
          <w:rFonts w:hAnsi="宋体"/>
          <w:sz w:val="24"/>
        </w:rPr>
      </w:pPr>
      <w:r>
        <w:rPr>
          <w:rFonts w:hint="eastAsia" w:hAnsi="宋体"/>
          <w:sz w:val="24"/>
        </w:rPr>
        <w:t>（2）交通银行股份有限公司</w:t>
      </w:r>
      <w:bookmarkStart w:id="7" w:name="_GoBack"/>
      <w:bookmarkEnd w:id="7"/>
    </w:p>
    <w:p>
      <w:pPr>
        <w:adjustRightInd w:val="0"/>
        <w:snapToGrid w:val="0"/>
        <w:spacing w:line="360" w:lineRule="auto"/>
        <w:ind w:firstLine="480" w:firstLineChars="200"/>
        <w:rPr>
          <w:rFonts w:hAnsi="宋体"/>
          <w:sz w:val="24"/>
        </w:rPr>
      </w:pPr>
      <w:r>
        <w:rPr>
          <w:rFonts w:hint="eastAsia" w:hAnsi="宋体"/>
          <w:sz w:val="24"/>
        </w:rPr>
        <w:t>住所：上海市浦东新区银城中路188号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法定代表人：任德奇</w:t>
      </w:r>
    </w:p>
    <w:p>
      <w:pPr>
        <w:adjustRightInd w:val="0"/>
        <w:snapToGrid w:val="0"/>
        <w:spacing w:line="360" w:lineRule="auto"/>
        <w:ind w:firstLine="480" w:firstLineChars="200"/>
        <w:rPr>
          <w:rFonts w:hAnsi="宋体"/>
          <w:sz w:val="24"/>
        </w:rPr>
      </w:pPr>
      <w:r>
        <w:rPr>
          <w:rFonts w:hint="eastAsia" w:hAnsi="宋体"/>
          <w:sz w:val="24"/>
        </w:rPr>
        <w:t>电话：（021）58781234</w:t>
      </w:r>
    </w:p>
    <w:p>
      <w:pPr>
        <w:adjustRightInd w:val="0"/>
        <w:snapToGrid w:val="0"/>
        <w:spacing w:line="360" w:lineRule="auto"/>
        <w:ind w:firstLine="480" w:firstLineChars="200"/>
        <w:rPr>
          <w:rFonts w:hAnsi="宋体"/>
          <w:sz w:val="24"/>
        </w:rPr>
      </w:pPr>
      <w:r>
        <w:rPr>
          <w:rFonts w:hint="eastAsia" w:hAnsi="宋体"/>
          <w:sz w:val="24"/>
        </w:rPr>
        <w:t>传真：（021）58408483</w:t>
      </w:r>
    </w:p>
    <w:p>
      <w:pPr>
        <w:adjustRightInd w:val="0"/>
        <w:snapToGrid w:val="0"/>
        <w:spacing w:line="360" w:lineRule="auto"/>
        <w:ind w:firstLine="480" w:firstLineChars="200"/>
        <w:rPr>
          <w:rFonts w:hAnsi="宋体"/>
          <w:sz w:val="24"/>
        </w:rPr>
      </w:pPr>
      <w:r>
        <w:rPr>
          <w:rFonts w:hint="eastAsia" w:hAnsi="宋体"/>
          <w:sz w:val="24"/>
        </w:rPr>
        <w:t>联系人：曹榕</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Ansi="宋体"/>
          <w:sz w:val="24"/>
        </w:rPr>
      </w:pPr>
      <w:r>
        <w:rPr>
          <w:rFonts w:hint="eastAsia" w:hAnsi="宋体"/>
          <w:sz w:val="24"/>
        </w:rPr>
        <w:t>网址：www.bankcomm.com</w:t>
      </w:r>
    </w:p>
    <w:p>
      <w:pPr>
        <w:adjustRightInd w:val="0"/>
        <w:snapToGrid w:val="0"/>
        <w:spacing w:line="360" w:lineRule="auto"/>
        <w:ind w:firstLine="480" w:firstLineChars="200"/>
        <w:rPr>
          <w:rFonts w:hAnsi="宋体"/>
          <w:kern w:val="0"/>
          <w:sz w:val="24"/>
        </w:rPr>
      </w:pPr>
      <w:r>
        <w:rPr>
          <w:rFonts w:hAnsi="宋体"/>
          <w:kern w:val="0"/>
          <w:sz w:val="24"/>
        </w:rPr>
        <w:t>基金管理人可根据有关法律法规的要求，选择其它符合要求的机构销售本基金，</w:t>
      </w:r>
      <w:r>
        <w:rPr>
          <w:rFonts w:hint="eastAsia" w:hAnsi="宋体"/>
          <w:kern w:val="0"/>
          <w:sz w:val="24"/>
        </w:rPr>
        <w:t>并在基金管理人网站公示</w:t>
      </w:r>
      <w:r>
        <w:rPr>
          <w:rFonts w:hAnsi="宋体"/>
          <w:kern w:val="0"/>
          <w:sz w:val="24"/>
        </w:rPr>
        <w:t>。</w:t>
      </w:r>
    </w:p>
    <w:p>
      <w:pPr>
        <w:widowControl/>
        <w:adjustRightInd w:val="0"/>
        <w:snapToGrid w:val="0"/>
        <w:spacing w:line="360" w:lineRule="auto"/>
        <w:ind w:firstLine="482" w:firstLineChars="200"/>
        <w:outlineLvl w:val="1"/>
        <w:rPr>
          <w:b/>
          <w:sz w:val="24"/>
        </w:rPr>
      </w:pPr>
      <w:r>
        <w:rPr>
          <w:rFonts w:hint="eastAsia"/>
          <w:b/>
          <w:sz w:val="24"/>
        </w:rPr>
        <w:t>（四）登记机构</w:t>
      </w:r>
    </w:p>
    <w:p>
      <w:pPr>
        <w:widowControl/>
        <w:adjustRightInd w:val="0"/>
        <w:snapToGrid w:val="0"/>
        <w:spacing w:line="360" w:lineRule="auto"/>
        <w:ind w:firstLine="480" w:firstLineChars="200"/>
        <w:rPr>
          <w:kern w:val="0"/>
          <w:sz w:val="24"/>
        </w:rPr>
      </w:pPr>
      <w:r>
        <w:rPr>
          <w:rFonts w:hint="eastAsia"/>
          <w:kern w:val="0"/>
          <w:sz w:val="24"/>
        </w:rPr>
        <w:t>名称：中国证券登记结算有限责任公司</w:t>
      </w:r>
    </w:p>
    <w:p>
      <w:pPr>
        <w:widowControl/>
        <w:adjustRightInd w:val="0"/>
        <w:snapToGrid w:val="0"/>
        <w:spacing w:line="360" w:lineRule="auto"/>
        <w:ind w:firstLine="480" w:firstLineChars="200"/>
        <w:rPr>
          <w:kern w:val="0"/>
          <w:sz w:val="24"/>
        </w:rPr>
      </w:pPr>
      <w:r>
        <w:rPr>
          <w:rFonts w:hint="eastAsia"/>
          <w:kern w:val="0"/>
          <w:sz w:val="24"/>
        </w:rPr>
        <w:t>住所：北京市西城区太平桥大街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办公地址：北京市西城区太平桥大街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法定代表人：</w:t>
      </w:r>
      <w:r>
        <w:rPr>
          <w:rFonts w:hint="eastAsia" w:hAnsi="宋体"/>
          <w:kern w:val="0"/>
          <w:sz w:val="24"/>
        </w:rPr>
        <w:t>周明</w:t>
      </w:r>
    </w:p>
    <w:p>
      <w:pPr>
        <w:widowControl/>
        <w:adjustRightInd w:val="0"/>
        <w:snapToGrid w:val="0"/>
        <w:spacing w:line="360" w:lineRule="auto"/>
        <w:ind w:firstLine="480" w:firstLineChars="200"/>
        <w:rPr>
          <w:kern w:val="0"/>
          <w:sz w:val="24"/>
        </w:rPr>
      </w:pPr>
      <w:r>
        <w:rPr>
          <w:rFonts w:hint="eastAsia"/>
          <w:kern w:val="0"/>
          <w:sz w:val="24"/>
        </w:rPr>
        <w:t>电话：（010）50938782</w:t>
      </w:r>
    </w:p>
    <w:p>
      <w:pPr>
        <w:widowControl/>
        <w:adjustRightInd w:val="0"/>
        <w:snapToGrid w:val="0"/>
        <w:spacing w:line="360" w:lineRule="auto"/>
        <w:ind w:firstLine="480" w:firstLineChars="200"/>
        <w:rPr>
          <w:kern w:val="0"/>
          <w:sz w:val="24"/>
        </w:rPr>
      </w:pPr>
      <w:r>
        <w:rPr>
          <w:rFonts w:hint="eastAsia"/>
          <w:kern w:val="0"/>
          <w:sz w:val="24"/>
        </w:rPr>
        <w:t>传真：（010）50938907</w:t>
      </w:r>
    </w:p>
    <w:p>
      <w:pPr>
        <w:adjustRightInd w:val="0"/>
        <w:snapToGrid w:val="0"/>
        <w:spacing w:line="360" w:lineRule="auto"/>
        <w:ind w:firstLine="480" w:firstLineChars="200"/>
        <w:rPr>
          <w:kern w:val="0"/>
          <w:sz w:val="24"/>
        </w:rPr>
      </w:pPr>
      <w:r>
        <w:rPr>
          <w:rFonts w:hint="eastAsia"/>
          <w:kern w:val="0"/>
          <w:sz w:val="24"/>
        </w:rPr>
        <w:t>联系人：赵亦清</w:t>
      </w:r>
    </w:p>
    <w:p>
      <w:pPr>
        <w:adjustRightInd w:val="0"/>
        <w:snapToGrid w:val="0"/>
        <w:spacing w:line="360" w:lineRule="auto"/>
        <w:ind w:firstLine="482" w:firstLineChars="200"/>
        <w:outlineLvl w:val="1"/>
        <w:rPr>
          <w:b/>
          <w:sz w:val="24"/>
        </w:rPr>
      </w:pPr>
      <w:r>
        <w:rPr>
          <w:rFonts w:hint="eastAsia"/>
          <w:b/>
          <w:sz w:val="24"/>
        </w:rPr>
        <w:t>（五）律师事务所和经办律师</w:t>
      </w:r>
    </w:p>
    <w:p>
      <w:pPr>
        <w:adjustRightInd w:val="0"/>
        <w:snapToGrid w:val="0"/>
        <w:spacing w:line="360" w:lineRule="auto"/>
        <w:ind w:firstLine="480" w:firstLineChars="200"/>
        <w:rPr>
          <w:kern w:val="0"/>
          <w:sz w:val="24"/>
        </w:rPr>
      </w:pPr>
      <w:r>
        <w:rPr>
          <w:rFonts w:hint="eastAsia"/>
          <w:kern w:val="0"/>
          <w:sz w:val="24"/>
        </w:rPr>
        <w:t>名称：上海市通力律师事务所</w:t>
      </w:r>
    </w:p>
    <w:p>
      <w:pPr>
        <w:adjustRightInd w:val="0"/>
        <w:snapToGrid w:val="0"/>
        <w:spacing w:line="360" w:lineRule="auto"/>
        <w:ind w:firstLine="480" w:firstLineChars="20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负责人：韩</w:t>
      </w:r>
      <w:r>
        <w:rPr>
          <w:kern w:val="0"/>
          <w:sz w:val="24"/>
        </w:rPr>
        <w:t>炯</w:t>
      </w:r>
    </w:p>
    <w:p>
      <w:pPr>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pPr>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pPr>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丁媛</w:t>
      </w:r>
    </w:p>
    <w:p>
      <w:pPr>
        <w:adjustRightInd w:val="0"/>
        <w:snapToGrid w:val="0"/>
        <w:spacing w:line="360" w:lineRule="auto"/>
        <w:ind w:firstLine="480" w:firstLineChars="200"/>
        <w:rPr>
          <w:rFonts w:hAnsi="宋体"/>
          <w:kern w:val="0"/>
          <w:sz w:val="24"/>
        </w:rPr>
      </w:pPr>
      <w:bookmarkStart w:id="5" w:name="OLE_LINK3"/>
      <w:bookmarkStart w:id="6" w:name="OLE_LINK4"/>
      <w:r>
        <w:rPr>
          <w:rFonts w:hint="eastAsia"/>
          <w:kern w:val="0"/>
          <w:sz w:val="24"/>
        </w:rPr>
        <w:t>经办律师</w:t>
      </w:r>
      <w:bookmarkEnd w:id="5"/>
      <w:bookmarkEnd w:id="6"/>
      <w:r>
        <w:rPr>
          <w:rFonts w:hint="eastAsia"/>
          <w:kern w:val="0"/>
          <w:sz w:val="24"/>
        </w:rPr>
        <w:t>：</w:t>
      </w:r>
      <w:r>
        <w:rPr>
          <w:rFonts w:hAnsi="宋体"/>
          <w:kern w:val="0"/>
          <w:sz w:val="24"/>
        </w:rPr>
        <w:t>黎明</w:t>
      </w:r>
      <w:r>
        <w:rPr>
          <w:rFonts w:hint="eastAsia" w:hAnsi="宋体"/>
          <w:kern w:val="0"/>
          <w:sz w:val="24"/>
        </w:rPr>
        <w:t>、丁媛</w:t>
      </w:r>
    </w:p>
    <w:p>
      <w:pPr>
        <w:adjustRightInd w:val="0"/>
        <w:snapToGrid w:val="0"/>
        <w:spacing w:line="360" w:lineRule="auto"/>
        <w:ind w:firstLine="482" w:firstLineChars="200"/>
        <w:outlineLvl w:val="1"/>
        <w:rPr>
          <w:b/>
          <w:sz w:val="24"/>
        </w:rPr>
      </w:pPr>
      <w:r>
        <w:rPr>
          <w:rFonts w:hint="eastAsia"/>
          <w:b/>
          <w:sz w:val="24"/>
        </w:rPr>
        <w:t>（六）会计师事务所和经办注册会计师</w:t>
      </w:r>
    </w:p>
    <w:p>
      <w:pPr>
        <w:widowControl/>
        <w:adjustRightInd w:val="0"/>
        <w:snapToGrid w:val="0"/>
        <w:spacing w:line="360" w:lineRule="auto"/>
        <w:ind w:firstLine="480" w:firstLineChars="200"/>
        <w:rPr>
          <w:kern w:val="0"/>
          <w:sz w:val="24"/>
        </w:rPr>
      </w:pPr>
      <w:r>
        <w:rPr>
          <w:rFonts w:hint="eastAsia"/>
          <w:kern w:val="0"/>
          <w:sz w:val="24"/>
        </w:rPr>
        <w:t>名称：</w:t>
      </w:r>
      <w:r>
        <w:rPr>
          <w:rFonts w:hint="eastAsia" w:hAnsi="宋体"/>
          <w:kern w:val="0"/>
          <w:sz w:val="24"/>
        </w:rPr>
        <w:t>普华永道中天会计师事务所（特殊普通合伙）</w:t>
      </w:r>
    </w:p>
    <w:p>
      <w:pPr>
        <w:adjustRightInd w:val="0"/>
        <w:snapToGrid w:val="0"/>
        <w:spacing w:line="360" w:lineRule="auto"/>
        <w:ind w:firstLine="480" w:firstLineChars="200"/>
        <w:rPr>
          <w:kern w:val="0"/>
          <w:sz w:val="24"/>
        </w:rPr>
      </w:pPr>
      <w:r>
        <w:rPr>
          <w:rFonts w:hint="eastAsia"/>
          <w:kern w:val="0"/>
          <w:sz w:val="24"/>
        </w:rPr>
        <w:t>住所：上海市浦东新区陆家嘴环路</w:t>
      </w:r>
      <w:r>
        <w:rPr>
          <w:kern w:val="0"/>
          <w:sz w:val="24"/>
        </w:rPr>
        <w:t>1318</w:t>
      </w:r>
      <w:r>
        <w:rPr>
          <w:rFonts w:hint="eastAsia"/>
          <w:kern w:val="0"/>
          <w:sz w:val="24"/>
        </w:rPr>
        <w:t>号星展银行大厦</w:t>
      </w:r>
      <w:r>
        <w:rPr>
          <w:kern w:val="0"/>
          <w:sz w:val="24"/>
        </w:rPr>
        <w:t>6</w:t>
      </w:r>
      <w:r>
        <w:rPr>
          <w:rFonts w:hint="eastAsia"/>
          <w:kern w:val="0"/>
          <w:sz w:val="24"/>
        </w:rPr>
        <w:t>楼</w:t>
      </w:r>
    </w:p>
    <w:p>
      <w:pPr>
        <w:widowControl/>
        <w:adjustRightInd w:val="0"/>
        <w:snapToGrid w:val="0"/>
        <w:spacing w:line="360" w:lineRule="auto"/>
        <w:ind w:firstLine="480" w:firstLineChars="200"/>
        <w:rPr>
          <w:kern w:val="0"/>
          <w:sz w:val="24"/>
        </w:rPr>
      </w:pPr>
      <w:r>
        <w:rPr>
          <w:rFonts w:hint="eastAsia"/>
          <w:kern w:val="0"/>
          <w:sz w:val="24"/>
        </w:rPr>
        <w:t>办公地址：上海市湖滨路</w:t>
      </w:r>
      <w:r>
        <w:rPr>
          <w:kern w:val="0"/>
          <w:sz w:val="24"/>
        </w:rPr>
        <w:t>202</w:t>
      </w:r>
      <w:r>
        <w:rPr>
          <w:rFonts w:hint="eastAsia"/>
          <w:kern w:val="0"/>
          <w:sz w:val="24"/>
        </w:rPr>
        <w:t>号普华永道中心</w:t>
      </w:r>
      <w:r>
        <w:rPr>
          <w:kern w:val="0"/>
          <w:sz w:val="24"/>
        </w:rPr>
        <w:t>11</w:t>
      </w:r>
      <w:r>
        <w:rPr>
          <w:rFonts w:hint="eastAsia"/>
          <w:kern w:val="0"/>
          <w:sz w:val="24"/>
        </w:rPr>
        <w:t>楼</w:t>
      </w:r>
    </w:p>
    <w:p>
      <w:pPr>
        <w:widowControl/>
        <w:adjustRightInd w:val="0"/>
        <w:snapToGrid w:val="0"/>
        <w:spacing w:line="360" w:lineRule="auto"/>
        <w:ind w:firstLine="480" w:firstLineChars="200"/>
        <w:rPr>
          <w:kern w:val="0"/>
          <w:sz w:val="24"/>
        </w:rPr>
      </w:pPr>
      <w:r>
        <w:rPr>
          <w:rFonts w:hint="eastAsia"/>
          <w:kern w:val="0"/>
          <w:sz w:val="24"/>
        </w:rPr>
        <w:t>执行事务合伙人：李丹</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23238888</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23238800</w:t>
      </w:r>
    </w:p>
    <w:p>
      <w:pPr>
        <w:widowControl/>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朱宏宇</w:t>
      </w:r>
    </w:p>
    <w:p>
      <w:pPr>
        <w:widowControl/>
        <w:adjustRightInd w:val="0"/>
        <w:snapToGrid w:val="0"/>
        <w:spacing w:line="360" w:lineRule="auto"/>
        <w:ind w:firstLine="480" w:firstLineChars="200"/>
        <w:rPr>
          <w:rFonts w:hAnsi="宋体"/>
          <w:kern w:val="0"/>
          <w:sz w:val="24"/>
        </w:rPr>
      </w:pPr>
      <w:r>
        <w:rPr>
          <w:rFonts w:hint="eastAsia"/>
          <w:kern w:val="0"/>
          <w:sz w:val="24"/>
        </w:rPr>
        <w:t>经办注册会计师：童咏静、</w:t>
      </w:r>
      <w:r>
        <w:rPr>
          <w:rFonts w:hint="eastAsia" w:hAnsi="宋体"/>
          <w:kern w:val="0"/>
          <w:sz w:val="24"/>
        </w:rPr>
        <w:t>朱宏宇</w:t>
      </w:r>
    </w:p>
    <w:p>
      <w:pPr>
        <w:widowControl/>
        <w:adjustRightInd w:val="0"/>
        <w:snapToGrid w:val="0"/>
        <w:spacing w:line="360" w:lineRule="auto"/>
        <w:ind w:firstLine="480" w:firstLineChars="200"/>
        <w:jc w:val="right"/>
        <w:rPr>
          <w:kern w:val="0"/>
          <w:sz w:val="24"/>
        </w:rPr>
      </w:pPr>
      <w:r>
        <w:rPr>
          <w:kern w:val="0"/>
          <w:sz w:val="24"/>
        </w:rPr>
        <w:t>交银施罗德基金管理有限公司</w:t>
      </w:r>
    </w:p>
    <w:p>
      <w:pPr>
        <w:widowControl/>
        <w:adjustRightInd w:val="0"/>
        <w:snapToGrid w:val="0"/>
        <w:spacing w:line="360" w:lineRule="auto"/>
        <w:ind w:firstLine="480" w:firstLineChars="200"/>
        <w:jc w:val="right"/>
        <w:rPr>
          <w:kern w:val="0"/>
          <w:sz w:val="24"/>
        </w:rPr>
      </w:pPr>
      <w:r>
        <w:rPr>
          <w:rFonts w:hint="eastAsia"/>
          <w:kern w:val="0"/>
          <w:sz w:val="24"/>
        </w:rPr>
        <w:t>二〇二一年五月二十日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方正舒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3</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right" w:pos="8280"/>
      </w:tabs>
      <w:spacing w:line="160" w:lineRule="exact"/>
      <w:jc w:val="right"/>
    </w:pPr>
    <w:r>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pPr>
      <w:pStyle w:val="32"/>
      <w:pBdr>
        <w:bottom w:val="none" w:color="auto" w:sz="0" w:space="0"/>
      </w:pBdr>
      <w:tabs>
        <w:tab w:val="right" w:pos="8280"/>
      </w:tabs>
      <w:jc w:val="right"/>
      <w:rPr>
        <w:rFonts w:cs="宋体"/>
      </w:rPr>
    </w:pPr>
    <w:r>
      <w:rPr>
        <w:rFonts w:hint="eastAsia" w:cs="宋体"/>
      </w:rPr>
      <w:t>交银施罗德成长动力一年持有期混合型证券投资基金</w:t>
    </w:r>
  </w:p>
  <w:p>
    <w:pPr>
      <w:pStyle w:val="32"/>
      <w:pBdr>
        <w:bottom w:val="none" w:color="auto" w:sz="0" w:space="0"/>
      </w:pBdr>
      <w:tabs>
        <w:tab w:val="right" w:pos="8280"/>
      </w:tabs>
      <w:jc w:val="right"/>
      <w:rPr>
        <w:rFonts w:ascii="宋体"/>
      </w:rPr>
    </w:pPr>
    <w:r>
      <w:rPr>
        <w:rFonts w:hint="eastAsia" w:cs="宋体"/>
      </w:rPr>
      <w:t>基金份额发售公告</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B5EBD"/>
    <w:multiLevelType w:val="multilevel"/>
    <w:tmpl w:val="07AB5EBD"/>
    <w:lvl w:ilvl="0" w:tentative="0">
      <w:start w:val="1"/>
      <w:numFmt w:val="chineseCountingThousand"/>
      <w:suff w:val="nothing"/>
      <w:lvlText w:val="第 %1 章  "/>
      <w:lvlJc w:val="left"/>
      <w:pPr>
        <w:ind w:left="1532" w:hanging="1701"/>
      </w:pPr>
      <w:rPr>
        <w:rFonts w:hint="default" w:ascii="Arial" w:hAnsi="Arial"/>
        <w:b/>
        <w:i w:val="0"/>
        <w:sz w:val="28"/>
      </w:rPr>
    </w:lvl>
    <w:lvl w:ilvl="1" w:tentative="0">
      <w:start w:val="1"/>
      <w:numFmt w:val="chineseCountingThousand"/>
      <w:suff w:val="nothing"/>
      <w:lvlText w:val="第 %2 节  "/>
      <w:lvlJc w:val="left"/>
      <w:pPr>
        <w:ind w:left="1532" w:hanging="1701"/>
      </w:pPr>
      <w:rPr>
        <w:rFonts w:hint="default" w:ascii="Arial" w:hAnsi="Arial" w:eastAsia="宋体"/>
        <w:b/>
        <w:i w:val="0"/>
        <w:sz w:val="24"/>
        <w:szCs w:val="24"/>
      </w:rPr>
    </w:lvl>
    <w:lvl w:ilvl="2" w:tentative="0">
      <w:start w:val="1"/>
      <w:numFmt w:val="chineseCountingThousand"/>
      <w:suff w:val="nothing"/>
      <w:lvlText w:val="%3、  "/>
      <w:lvlJc w:val="left"/>
      <w:pPr>
        <w:ind w:left="-164" w:firstLine="562"/>
      </w:pPr>
      <w:rPr>
        <w:rFonts w:hint="eastAsia"/>
        <w:sz w:val="24"/>
      </w:rPr>
    </w:lvl>
    <w:lvl w:ilvl="3" w:tentative="0">
      <w:start w:val="1"/>
      <w:numFmt w:val="chineseCountingThousand"/>
      <w:suff w:val="nothing"/>
      <w:lvlText w:val="(%4)  "/>
      <w:lvlJc w:val="left"/>
      <w:pPr>
        <w:ind w:left="120" w:firstLine="562"/>
      </w:pPr>
      <w:rPr>
        <w:rFonts w:hint="default"/>
      </w:rPr>
    </w:lvl>
    <w:lvl w:ilvl="4" w:tentative="0">
      <w:start w:val="1"/>
      <w:numFmt w:val="decimal"/>
      <w:pStyle w:val="120"/>
      <w:suff w:val="nothing"/>
      <w:lvlText w:val="%5、  "/>
      <w:lvlJc w:val="left"/>
      <w:pPr>
        <w:ind w:left="878" w:firstLine="562"/>
      </w:pPr>
      <w:rPr>
        <w:rFonts w:hint="default"/>
      </w:rPr>
    </w:lvl>
    <w:lvl w:ilvl="5" w:tentative="0">
      <w:start w:val="1"/>
      <w:numFmt w:val="decimal"/>
      <w:pStyle w:val="121"/>
      <w:suff w:val="nothing"/>
      <w:lvlText w:val="(%6)  "/>
      <w:lvlJc w:val="left"/>
      <w:pPr>
        <w:ind w:left="1152" w:firstLine="562"/>
      </w:pPr>
      <w:rPr>
        <w:rFonts w:hint="default"/>
      </w:rPr>
    </w:lvl>
    <w:lvl w:ilvl="6" w:tentative="0">
      <w:start w:val="1"/>
      <w:numFmt w:val="decimal"/>
      <w:lvlText w:val="%1.%2.%3.%4.%5.%6.%7"/>
      <w:lvlJc w:val="left"/>
      <w:pPr>
        <w:tabs>
          <w:tab w:val="left" w:pos="2056"/>
        </w:tabs>
        <w:ind w:left="1532" w:hanging="1701"/>
      </w:pPr>
      <w:rPr>
        <w:rFonts w:hint="default"/>
      </w:rPr>
    </w:lvl>
    <w:lvl w:ilvl="7" w:tentative="0">
      <w:start w:val="1"/>
      <w:numFmt w:val="decimal"/>
      <w:lvlText w:val="%1.%2.%3.%4.%5.%6.%7.%8"/>
      <w:lvlJc w:val="left"/>
      <w:pPr>
        <w:tabs>
          <w:tab w:val="left" w:pos="1696"/>
        </w:tabs>
        <w:ind w:left="1696" w:hanging="1440"/>
      </w:pPr>
      <w:rPr>
        <w:rFonts w:hint="default"/>
      </w:rPr>
    </w:lvl>
    <w:lvl w:ilvl="8" w:tentative="0">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tentative="0">
      <w:start w:val="1"/>
      <w:numFmt w:val="bullet"/>
      <w:pStyle w:val="115"/>
      <w:lvlText w:val=""/>
      <w:lvlJc w:val="left"/>
      <w:pPr>
        <w:tabs>
          <w:tab w:val="left" w:pos="680"/>
        </w:tabs>
        <w:ind w:left="680" w:hanging="68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661"/>
    <w:rsid w:val="000807AC"/>
    <w:rsid w:val="00080B8E"/>
    <w:rsid w:val="0008138C"/>
    <w:rsid w:val="00081518"/>
    <w:rsid w:val="00081D32"/>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61"/>
    <w:qFormat/>
    <w:uiPriority w:val="0"/>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62"/>
    <w:qFormat/>
    <w:uiPriority w:val="0"/>
    <w:pPr>
      <w:keepNext/>
      <w:keepLines/>
      <w:spacing w:line="360" w:lineRule="auto"/>
      <w:outlineLvl w:val="2"/>
    </w:pPr>
    <w:rPr>
      <w:b/>
      <w:bCs/>
      <w:sz w:val="24"/>
      <w:szCs w:val="24"/>
    </w:rPr>
  </w:style>
  <w:style w:type="paragraph" w:styleId="6">
    <w:name w:val="heading 4"/>
    <w:basedOn w:val="1"/>
    <w:next w:val="4"/>
    <w:link w:val="63"/>
    <w:qFormat/>
    <w:uiPriority w:val="0"/>
    <w:pPr>
      <w:keepNext/>
      <w:keepLines/>
      <w:spacing w:line="360" w:lineRule="auto"/>
      <w:outlineLvl w:val="3"/>
    </w:pPr>
    <w:rPr>
      <w:rFonts w:ascii="Arial" w:hAnsi="Arial" w:eastAsia="黑体" w:cs="Arial"/>
      <w:b/>
      <w:bCs/>
      <w:sz w:val="24"/>
      <w:szCs w:val="24"/>
    </w:rPr>
  </w:style>
  <w:style w:type="paragraph" w:styleId="7">
    <w:name w:val="heading 5"/>
    <w:basedOn w:val="8"/>
    <w:next w:val="8"/>
    <w:link w:val="64"/>
    <w:qFormat/>
    <w:uiPriority w:val="0"/>
    <w:pPr>
      <w:snapToGrid w:val="0"/>
      <w:spacing w:after="0" w:line="360" w:lineRule="auto"/>
      <w:outlineLvl w:val="4"/>
    </w:pPr>
    <w:rPr>
      <w:rFonts w:eastAsia="楷体_GB2312"/>
      <w:sz w:val="24"/>
      <w:szCs w:val="24"/>
    </w:rPr>
  </w:style>
  <w:style w:type="paragraph" w:styleId="9">
    <w:name w:val="heading 6"/>
    <w:basedOn w:val="1"/>
    <w:next w:val="8"/>
    <w:link w:val="65"/>
    <w:qFormat/>
    <w:uiPriority w:val="0"/>
    <w:pPr>
      <w:snapToGrid w:val="0"/>
      <w:spacing w:before="60" w:after="60" w:line="360" w:lineRule="auto"/>
      <w:outlineLvl w:val="5"/>
    </w:pPr>
    <w:rPr>
      <w:rFonts w:eastAsia="楷体_GB2312"/>
      <w:sz w:val="24"/>
      <w:szCs w:val="24"/>
    </w:rPr>
  </w:style>
  <w:style w:type="paragraph" w:styleId="10">
    <w:name w:val="heading 7"/>
    <w:basedOn w:val="1"/>
    <w:next w:val="1"/>
    <w:link w:val="97"/>
    <w:qFormat/>
    <w:locked/>
    <w:uiPriority w:val="0"/>
    <w:pPr>
      <w:keepNext/>
      <w:keepLines/>
      <w:spacing w:before="240" w:after="64" w:line="317" w:lineRule="auto"/>
      <w:outlineLvl w:val="6"/>
    </w:pPr>
    <w:rPr>
      <w:b/>
      <w:sz w:val="24"/>
      <w:szCs w:val="20"/>
    </w:rPr>
  </w:style>
  <w:style w:type="paragraph" w:styleId="11">
    <w:name w:val="heading 8"/>
    <w:basedOn w:val="1"/>
    <w:next w:val="1"/>
    <w:link w:val="98"/>
    <w:qFormat/>
    <w:locked/>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
    <w:link w:val="99"/>
    <w:qFormat/>
    <w:locked/>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sz w:val="24"/>
      <w:szCs w:val="24"/>
    </w:rPr>
  </w:style>
  <w:style w:type="paragraph" w:styleId="8">
    <w:name w:val="Body Text"/>
    <w:basedOn w:val="1"/>
    <w:link w:val="66"/>
    <w:qFormat/>
    <w:uiPriority w:val="0"/>
    <w:pPr>
      <w:spacing w:after="120"/>
    </w:pPr>
  </w:style>
  <w:style w:type="paragraph" w:styleId="13">
    <w:name w:val="toc 7"/>
    <w:basedOn w:val="1"/>
    <w:next w:val="1"/>
    <w:semiHidden/>
    <w:qFormat/>
    <w:uiPriority w:val="0"/>
    <w:pPr>
      <w:ind w:left="1260"/>
      <w:jc w:val="left"/>
    </w:pPr>
  </w:style>
  <w:style w:type="paragraph" w:styleId="14">
    <w:name w:val="index 8"/>
    <w:basedOn w:val="1"/>
    <w:next w:val="1"/>
    <w:semiHidden/>
    <w:qFormat/>
    <w:uiPriority w:val="0"/>
    <w:pPr>
      <w:ind w:left="1400" w:leftChars="1400"/>
    </w:pPr>
    <w:rPr>
      <w:rFonts w:ascii="Arial" w:hAnsi="Arial"/>
      <w:sz w:val="18"/>
      <w:szCs w:val="24"/>
    </w:rPr>
  </w:style>
  <w:style w:type="paragraph" w:styleId="15">
    <w:name w:val="index 5"/>
    <w:basedOn w:val="1"/>
    <w:next w:val="1"/>
    <w:semiHidden/>
    <w:qFormat/>
    <w:uiPriority w:val="0"/>
    <w:pPr>
      <w:ind w:left="800" w:leftChars="800"/>
    </w:pPr>
    <w:rPr>
      <w:rFonts w:ascii="Arial" w:hAnsi="Arial"/>
      <w:sz w:val="18"/>
      <w:szCs w:val="24"/>
    </w:rPr>
  </w:style>
  <w:style w:type="paragraph" w:styleId="16">
    <w:name w:val="Document Map"/>
    <w:basedOn w:val="1"/>
    <w:link w:val="114"/>
    <w:semiHidden/>
    <w:qFormat/>
    <w:uiPriority w:val="0"/>
    <w:pPr>
      <w:shd w:val="clear" w:color="auto" w:fill="000080"/>
    </w:pPr>
    <w:rPr>
      <w:rFonts w:ascii="Arial" w:hAnsi="Arial"/>
      <w:sz w:val="18"/>
      <w:szCs w:val="24"/>
    </w:rPr>
  </w:style>
  <w:style w:type="paragraph" w:styleId="17">
    <w:name w:val="annotation text"/>
    <w:basedOn w:val="1"/>
    <w:link w:val="79"/>
    <w:qFormat/>
    <w:uiPriority w:val="0"/>
    <w:pPr>
      <w:jc w:val="left"/>
    </w:pPr>
  </w:style>
  <w:style w:type="paragraph" w:styleId="18">
    <w:name w:val="index 6"/>
    <w:basedOn w:val="1"/>
    <w:next w:val="1"/>
    <w:semiHidden/>
    <w:qFormat/>
    <w:uiPriority w:val="0"/>
    <w:pPr>
      <w:ind w:left="1000" w:leftChars="1000"/>
    </w:pPr>
    <w:rPr>
      <w:rFonts w:ascii="Arial" w:hAnsi="Arial"/>
      <w:sz w:val="18"/>
      <w:szCs w:val="24"/>
    </w:rPr>
  </w:style>
  <w:style w:type="paragraph" w:styleId="19">
    <w:name w:val="Body Text 3"/>
    <w:basedOn w:val="1"/>
    <w:link w:val="113"/>
    <w:qFormat/>
    <w:uiPriority w:val="0"/>
    <w:pPr>
      <w:spacing w:line="360" w:lineRule="auto"/>
    </w:pPr>
    <w:rPr>
      <w:rFonts w:ascii="仿宋_GB2312" w:hAnsi="Arial" w:eastAsia="仿宋_GB2312"/>
      <w:szCs w:val="24"/>
    </w:rPr>
  </w:style>
  <w:style w:type="paragraph" w:styleId="20">
    <w:name w:val="Body Text Indent"/>
    <w:basedOn w:val="1"/>
    <w:link w:val="75"/>
    <w:qFormat/>
    <w:uiPriority w:val="0"/>
    <w:pPr>
      <w:spacing w:before="50" w:after="50" w:line="360" w:lineRule="auto"/>
      <w:ind w:left="1260" w:leftChars="600" w:firstLine="420" w:firstLineChars="175"/>
    </w:pPr>
    <w:rPr>
      <w:rFonts w:ascii="宋体" w:hAnsi="宋体" w:cs="宋体"/>
      <w:sz w:val="24"/>
      <w:szCs w:val="24"/>
    </w:rPr>
  </w:style>
  <w:style w:type="paragraph" w:styleId="21">
    <w:name w:val="Block Text"/>
    <w:basedOn w:val="1"/>
    <w:qFormat/>
    <w:uiPriority w:val="0"/>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22">
    <w:name w:val="index 4"/>
    <w:basedOn w:val="1"/>
    <w:next w:val="1"/>
    <w:semiHidden/>
    <w:qFormat/>
    <w:uiPriority w:val="0"/>
    <w:pPr>
      <w:ind w:left="600" w:leftChars="600"/>
    </w:pPr>
    <w:rPr>
      <w:rFonts w:ascii="Arial" w:hAnsi="Arial"/>
      <w:sz w:val="18"/>
      <w:szCs w:val="24"/>
    </w:r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rPr>
  </w:style>
  <w:style w:type="paragraph" w:styleId="25">
    <w:name w:val="Plain Text"/>
    <w:basedOn w:val="1"/>
    <w:link w:val="72"/>
    <w:qFormat/>
    <w:uiPriority w:val="99"/>
    <w:rPr>
      <w:rFonts w:ascii="宋体" w:hAnsi="Courier New" w:cs="宋体"/>
      <w:sz w:val="16"/>
      <w:szCs w:val="16"/>
    </w:rPr>
  </w:style>
  <w:style w:type="paragraph" w:styleId="26">
    <w:name w:val="toc 8"/>
    <w:basedOn w:val="1"/>
    <w:next w:val="1"/>
    <w:semiHidden/>
    <w:qFormat/>
    <w:uiPriority w:val="0"/>
    <w:pPr>
      <w:ind w:left="1470"/>
      <w:jc w:val="left"/>
    </w:pPr>
  </w:style>
  <w:style w:type="paragraph" w:styleId="27">
    <w:name w:val="index 3"/>
    <w:basedOn w:val="1"/>
    <w:next w:val="1"/>
    <w:semiHidden/>
    <w:qFormat/>
    <w:uiPriority w:val="0"/>
    <w:pPr>
      <w:ind w:left="400" w:leftChars="400"/>
    </w:pPr>
    <w:rPr>
      <w:rFonts w:ascii="Arial" w:hAnsi="Arial"/>
      <w:sz w:val="18"/>
      <w:szCs w:val="24"/>
    </w:rPr>
  </w:style>
  <w:style w:type="paragraph" w:styleId="28">
    <w:name w:val="Date"/>
    <w:basedOn w:val="1"/>
    <w:next w:val="1"/>
    <w:link w:val="81"/>
    <w:qFormat/>
    <w:uiPriority w:val="0"/>
    <w:pPr>
      <w:ind w:left="100" w:leftChars="2500"/>
    </w:pPr>
  </w:style>
  <w:style w:type="paragraph" w:styleId="29">
    <w:name w:val="Body Text Indent 2"/>
    <w:basedOn w:val="1"/>
    <w:link w:val="69"/>
    <w:qFormat/>
    <w:uiPriority w:val="0"/>
    <w:pPr>
      <w:spacing w:before="50" w:after="50" w:line="360" w:lineRule="auto"/>
      <w:ind w:firstLine="420"/>
    </w:pPr>
    <w:rPr>
      <w:rFonts w:ascii="宋体" w:hAnsi="宋体" w:cs="宋体"/>
      <w:color w:val="0000FF"/>
      <w:sz w:val="24"/>
      <w:szCs w:val="24"/>
    </w:rPr>
  </w:style>
  <w:style w:type="paragraph" w:styleId="30">
    <w:name w:val="Balloon Text"/>
    <w:basedOn w:val="1"/>
    <w:link w:val="77"/>
    <w:qFormat/>
    <w:uiPriority w:val="0"/>
    <w:rPr>
      <w:sz w:val="18"/>
      <w:szCs w:val="18"/>
    </w:rPr>
  </w:style>
  <w:style w:type="paragraph" w:styleId="31">
    <w:name w:val="footer"/>
    <w:basedOn w:val="1"/>
    <w:link w:val="71"/>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before="120" w:after="120"/>
      <w:jc w:val="left"/>
    </w:pPr>
    <w:rPr>
      <w:rFonts w:eastAsia="黑体"/>
      <w:b/>
      <w:bCs/>
      <w:caps/>
      <w:sz w:val="32"/>
      <w:szCs w:val="32"/>
    </w:rPr>
  </w:style>
  <w:style w:type="paragraph" w:styleId="34">
    <w:name w:val="toc 4"/>
    <w:basedOn w:val="1"/>
    <w:next w:val="1"/>
    <w:semiHidden/>
    <w:qFormat/>
    <w:uiPriority w:val="0"/>
    <w:pPr>
      <w:ind w:left="630"/>
      <w:jc w:val="left"/>
    </w:pPr>
  </w:style>
  <w:style w:type="paragraph" w:styleId="35">
    <w:name w:val="index heading"/>
    <w:basedOn w:val="1"/>
    <w:next w:val="36"/>
    <w:semiHidden/>
    <w:qFormat/>
    <w:uiPriority w:val="0"/>
    <w:rPr>
      <w:rFonts w:ascii="Arial" w:hAnsi="Arial"/>
      <w:sz w:val="18"/>
      <w:szCs w:val="24"/>
    </w:rPr>
  </w:style>
  <w:style w:type="paragraph" w:styleId="36">
    <w:name w:val="index 1"/>
    <w:basedOn w:val="1"/>
    <w:next w:val="1"/>
    <w:semiHidden/>
    <w:qFormat/>
    <w:uiPriority w:val="0"/>
    <w:rPr>
      <w:rFonts w:ascii="Arial" w:hAnsi="Arial"/>
      <w:sz w:val="18"/>
      <w:szCs w:val="24"/>
    </w:rPr>
  </w:style>
  <w:style w:type="paragraph" w:styleId="37">
    <w:name w:val="footnote text"/>
    <w:basedOn w:val="1"/>
    <w:link w:val="73"/>
    <w:semiHidden/>
    <w:qFormat/>
    <w:uiPriority w:val="0"/>
    <w:pPr>
      <w:snapToGrid w:val="0"/>
      <w:jc w:val="left"/>
    </w:pPr>
    <w:rPr>
      <w:sz w:val="18"/>
      <w:szCs w:val="18"/>
    </w:rPr>
  </w:style>
  <w:style w:type="paragraph" w:styleId="38">
    <w:name w:val="toc 6"/>
    <w:basedOn w:val="1"/>
    <w:next w:val="1"/>
    <w:semiHidden/>
    <w:qFormat/>
    <w:uiPriority w:val="0"/>
    <w:pPr>
      <w:ind w:left="1050"/>
      <w:jc w:val="left"/>
    </w:pPr>
  </w:style>
  <w:style w:type="paragraph" w:styleId="39">
    <w:name w:val="Body Text Indent 3"/>
    <w:basedOn w:val="1"/>
    <w:link w:val="76"/>
    <w:qFormat/>
    <w:uiPriority w:val="0"/>
    <w:pPr>
      <w:spacing w:before="50" w:after="50" w:line="360" w:lineRule="auto"/>
      <w:ind w:left="1260" w:leftChars="600" w:firstLine="480" w:firstLineChars="200"/>
    </w:pPr>
    <w:rPr>
      <w:rFonts w:ascii="宋体" w:hAnsi="宋体" w:cs="宋体"/>
      <w:sz w:val="24"/>
      <w:szCs w:val="24"/>
    </w:rPr>
  </w:style>
  <w:style w:type="paragraph" w:styleId="40">
    <w:name w:val="index 7"/>
    <w:basedOn w:val="1"/>
    <w:next w:val="1"/>
    <w:semiHidden/>
    <w:qFormat/>
    <w:uiPriority w:val="0"/>
    <w:pPr>
      <w:ind w:left="1200" w:leftChars="1200"/>
    </w:pPr>
    <w:rPr>
      <w:rFonts w:ascii="Arial" w:hAnsi="Arial"/>
      <w:sz w:val="18"/>
      <w:szCs w:val="24"/>
    </w:rPr>
  </w:style>
  <w:style w:type="paragraph" w:styleId="41">
    <w:name w:val="index 9"/>
    <w:basedOn w:val="1"/>
    <w:next w:val="1"/>
    <w:semiHidden/>
    <w:qFormat/>
    <w:uiPriority w:val="0"/>
    <w:pPr>
      <w:ind w:left="1600" w:leftChars="1600"/>
    </w:pPr>
    <w:rPr>
      <w:rFonts w:ascii="Arial" w:hAnsi="Arial"/>
      <w:sz w:val="18"/>
      <w:szCs w:val="24"/>
    </w:rPr>
  </w:style>
  <w:style w:type="paragraph" w:styleId="42">
    <w:name w:val="toc 2"/>
    <w:basedOn w:val="1"/>
    <w:next w:val="1"/>
    <w:qFormat/>
    <w:uiPriority w:val="39"/>
    <w:pPr>
      <w:ind w:left="210"/>
      <w:jc w:val="left"/>
    </w:pPr>
    <w:rPr>
      <w:smallCaps/>
    </w:rPr>
  </w:style>
  <w:style w:type="paragraph" w:styleId="43">
    <w:name w:val="toc 9"/>
    <w:basedOn w:val="1"/>
    <w:next w:val="1"/>
    <w:semiHidden/>
    <w:qFormat/>
    <w:uiPriority w:val="0"/>
    <w:pPr>
      <w:ind w:left="1680"/>
      <w:jc w:val="left"/>
    </w:pPr>
  </w:style>
  <w:style w:type="paragraph" w:styleId="44">
    <w:name w:val="Body Text 2"/>
    <w:basedOn w:val="1"/>
    <w:link w:val="112"/>
    <w:qFormat/>
    <w:uiPriority w:val="0"/>
    <w:pPr>
      <w:autoSpaceDE w:val="0"/>
      <w:autoSpaceDN w:val="0"/>
      <w:adjustRightInd w:val="0"/>
      <w:spacing w:before="120" w:after="120" w:line="220" w:lineRule="exact"/>
    </w:pPr>
    <w:rPr>
      <w:rFonts w:ascii="Arial" w:hAnsi="Arial"/>
      <w:b/>
      <w:bCs/>
      <w:color w:val="000000"/>
      <w:sz w:val="18"/>
      <w:szCs w:val="18"/>
      <w:lang w:val="zh-CN"/>
    </w:rPr>
  </w:style>
  <w:style w:type="paragraph" w:styleId="4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semiHidden/>
    <w:qFormat/>
    <w:uiPriority w:val="0"/>
    <w:pPr>
      <w:ind w:left="200" w:leftChars="200"/>
    </w:pPr>
    <w:rPr>
      <w:rFonts w:ascii="Arial" w:hAnsi="Arial"/>
      <w:sz w:val="18"/>
      <w:szCs w:val="24"/>
    </w:rPr>
  </w:style>
  <w:style w:type="paragraph" w:styleId="48">
    <w:name w:val="Title"/>
    <w:basedOn w:val="8"/>
    <w:next w:val="8"/>
    <w:link w:val="105"/>
    <w:qFormat/>
    <w:locked/>
    <w:uiPriority w:val="0"/>
    <w:pPr>
      <w:tabs>
        <w:tab w:val="left" w:pos="-540"/>
        <w:tab w:val="left" w:pos="1182"/>
      </w:tabs>
      <w:snapToGrid w:val="0"/>
      <w:spacing w:before="240" w:after="60" w:line="360" w:lineRule="auto"/>
      <w:ind w:left="527" w:hanging="425"/>
      <w:jc w:val="center"/>
      <w:outlineLvl w:val="0"/>
    </w:pPr>
    <w:rPr>
      <w:b/>
      <w:sz w:val="36"/>
      <w:szCs w:val="20"/>
    </w:rPr>
  </w:style>
  <w:style w:type="paragraph" w:styleId="49">
    <w:name w:val="annotation subject"/>
    <w:basedOn w:val="17"/>
    <w:next w:val="17"/>
    <w:link w:val="80"/>
    <w:qFormat/>
    <w:uiPriority w:val="0"/>
    <w:rPr>
      <w:b/>
      <w:bCs/>
    </w:rPr>
  </w:style>
  <w:style w:type="paragraph" w:styleId="50">
    <w:name w:val="Body Text First Indent"/>
    <w:basedOn w:val="8"/>
    <w:link w:val="74"/>
    <w:qFormat/>
    <w:uiPriority w:val="0"/>
    <w:pPr>
      <w:spacing w:line="300" w:lineRule="auto"/>
      <w:ind w:firstLine="425" w:firstLineChars="15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Char"/>
    <w:link w:val="2"/>
    <w:qFormat/>
    <w:uiPriority w:val="0"/>
    <w:rPr>
      <w:b/>
      <w:bCs/>
      <w:kern w:val="44"/>
      <w:sz w:val="44"/>
      <w:szCs w:val="44"/>
    </w:rPr>
  </w:style>
  <w:style w:type="character" w:customStyle="1" w:styleId="61">
    <w:name w:val="标题 2 Char"/>
    <w:link w:val="3"/>
    <w:qFormat/>
    <w:uiPriority w:val="0"/>
    <w:rPr>
      <w:rFonts w:ascii="Cambria" w:hAnsi="Cambria" w:eastAsia="宋体" w:cs="Times New Roman"/>
      <w:b/>
      <w:bCs/>
      <w:sz w:val="32"/>
      <w:szCs w:val="32"/>
    </w:rPr>
  </w:style>
  <w:style w:type="character" w:customStyle="1" w:styleId="62">
    <w:name w:val="标题 3 Char"/>
    <w:link w:val="5"/>
    <w:qFormat/>
    <w:uiPriority w:val="0"/>
    <w:rPr>
      <w:b/>
      <w:bCs/>
      <w:sz w:val="32"/>
      <w:szCs w:val="32"/>
    </w:rPr>
  </w:style>
  <w:style w:type="character" w:customStyle="1" w:styleId="63">
    <w:name w:val="标题 4 Char"/>
    <w:link w:val="6"/>
    <w:qFormat/>
    <w:locked/>
    <w:uiPriority w:val="0"/>
    <w:rPr>
      <w:rFonts w:ascii="Arial" w:hAnsi="Arial" w:eastAsia="黑体" w:cs="Arial"/>
      <w:b/>
      <w:bCs/>
      <w:kern w:val="2"/>
      <w:sz w:val="24"/>
      <w:szCs w:val="24"/>
    </w:rPr>
  </w:style>
  <w:style w:type="character" w:customStyle="1" w:styleId="64">
    <w:name w:val="标题 5 Char"/>
    <w:link w:val="7"/>
    <w:qFormat/>
    <w:uiPriority w:val="0"/>
    <w:rPr>
      <w:b/>
      <w:bCs/>
      <w:sz w:val="28"/>
      <w:szCs w:val="28"/>
    </w:rPr>
  </w:style>
  <w:style w:type="character" w:customStyle="1" w:styleId="65">
    <w:name w:val="标题 6 Char"/>
    <w:link w:val="9"/>
    <w:qFormat/>
    <w:uiPriority w:val="0"/>
    <w:rPr>
      <w:rFonts w:ascii="Cambria" w:hAnsi="Cambria" w:eastAsia="宋体" w:cs="Times New Roman"/>
      <w:b/>
      <w:bCs/>
      <w:sz w:val="24"/>
      <w:szCs w:val="24"/>
    </w:rPr>
  </w:style>
  <w:style w:type="character" w:customStyle="1" w:styleId="66">
    <w:name w:val="正文文本 Char"/>
    <w:link w:val="8"/>
    <w:qFormat/>
    <w:uiPriority w:val="0"/>
    <w:rPr>
      <w:szCs w:val="21"/>
    </w:rPr>
  </w:style>
  <w:style w:type="paragraph" w:customStyle="1" w:styleId="67">
    <w:name w:val="ccidsiTemplate"/>
    <w:basedOn w:val="1"/>
    <w:qFormat/>
    <w:uiPriority w:val="0"/>
    <w:pPr>
      <w:spacing w:line="360" w:lineRule="auto"/>
    </w:pPr>
    <w:rPr>
      <w:sz w:val="24"/>
      <w:szCs w:val="24"/>
    </w:rPr>
  </w:style>
  <w:style w:type="character" w:customStyle="1" w:styleId="68">
    <w:name w:val="big1"/>
    <w:qFormat/>
    <w:uiPriority w:val="0"/>
    <w:rPr>
      <w:spacing w:val="360"/>
      <w:sz w:val="22"/>
      <w:szCs w:val="22"/>
    </w:rPr>
  </w:style>
  <w:style w:type="character" w:customStyle="1" w:styleId="69">
    <w:name w:val="正文文本缩进 2 Char"/>
    <w:link w:val="29"/>
    <w:qFormat/>
    <w:uiPriority w:val="0"/>
    <w:rPr>
      <w:szCs w:val="21"/>
    </w:rPr>
  </w:style>
  <w:style w:type="character" w:customStyle="1" w:styleId="70">
    <w:name w:val="页眉 Char"/>
    <w:link w:val="32"/>
    <w:qFormat/>
    <w:uiPriority w:val="99"/>
    <w:rPr>
      <w:sz w:val="18"/>
      <w:szCs w:val="18"/>
    </w:rPr>
  </w:style>
  <w:style w:type="character" w:customStyle="1" w:styleId="71">
    <w:name w:val="页脚 Char"/>
    <w:link w:val="31"/>
    <w:qFormat/>
    <w:locked/>
    <w:uiPriority w:val="99"/>
    <w:rPr>
      <w:kern w:val="2"/>
      <w:sz w:val="18"/>
      <w:szCs w:val="18"/>
    </w:rPr>
  </w:style>
  <w:style w:type="character" w:customStyle="1" w:styleId="72">
    <w:name w:val="纯文本 Char"/>
    <w:link w:val="25"/>
    <w:qFormat/>
    <w:locked/>
    <w:uiPriority w:val="99"/>
    <w:rPr>
      <w:rFonts w:ascii="宋体" w:hAnsi="Courier New" w:cs="宋体"/>
      <w:kern w:val="2"/>
      <w:sz w:val="16"/>
      <w:szCs w:val="16"/>
    </w:rPr>
  </w:style>
  <w:style w:type="character" w:customStyle="1" w:styleId="73">
    <w:name w:val="脚注文本 Char"/>
    <w:link w:val="37"/>
    <w:semiHidden/>
    <w:qFormat/>
    <w:locked/>
    <w:uiPriority w:val="0"/>
    <w:rPr>
      <w:kern w:val="2"/>
      <w:sz w:val="18"/>
      <w:szCs w:val="18"/>
    </w:rPr>
  </w:style>
  <w:style w:type="character" w:customStyle="1" w:styleId="74">
    <w:name w:val="正文首行缩进 Char"/>
    <w:basedOn w:val="66"/>
    <w:link w:val="50"/>
    <w:qFormat/>
    <w:uiPriority w:val="0"/>
    <w:rPr>
      <w:szCs w:val="21"/>
    </w:rPr>
  </w:style>
  <w:style w:type="character" w:customStyle="1" w:styleId="75">
    <w:name w:val="正文文本缩进 Char"/>
    <w:link w:val="20"/>
    <w:qFormat/>
    <w:uiPriority w:val="0"/>
    <w:rPr>
      <w:szCs w:val="21"/>
    </w:rPr>
  </w:style>
  <w:style w:type="character" w:customStyle="1" w:styleId="76">
    <w:name w:val="正文文本缩进 3 Char"/>
    <w:link w:val="39"/>
    <w:qFormat/>
    <w:uiPriority w:val="0"/>
    <w:rPr>
      <w:sz w:val="16"/>
      <w:szCs w:val="16"/>
    </w:rPr>
  </w:style>
  <w:style w:type="character" w:customStyle="1" w:styleId="77">
    <w:name w:val="批注框文本 Char"/>
    <w:link w:val="30"/>
    <w:qFormat/>
    <w:uiPriority w:val="0"/>
    <w:rPr>
      <w:sz w:val="0"/>
      <w:szCs w:val="0"/>
    </w:rPr>
  </w:style>
  <w:style w:type="character" w:customStyle="1" w:styleId="78">
    <w:name w:val="ten51"/>
    <w:qFormat/>
    <w:uiPriority w:val="0"/>
    <w:rPr>
      <w:sz w:val="21"/>
      <w:szCs w:val="21"/>
    </w:rPr>
  </w:style>
  <w:style w:type="character" w:customStyle="1" w:styleId="79">
    <w:name w:val="批注文字 Char"/>
    <w:link w:val="17"/>
    <w:qFormat/>
    <w:locked/>
    <w:uiPriority w:val="0"/>
    <w:rPr>
      <w:kern w:val="2"/>
      <w:sz w:val="24"/>
      <w:szCs w:val="24"/>
    </w:rPr>
  </w:style>
  <w:style w:type="character" w:customStyle="1" w:styleId="80">
    <w:name w:val="批注主题 Char"/>
    <w:link w:val="49"/>
    <w:qFormat/>
    <w:uiPriority w:val="0"/>
    <w:rPr>
      <w:b/>
      <w:bCs/>
      <w:kern w:val="2"/>
      <w:sz w:val="24"/>
      <w:szCs w:val="21"/>
    </w:rPr>
  </w:style>
  <w:style w:type="character" w:customStyle="1" w:styleId="81">
    <w:name w:val="日期 Char"/>
    <w:link w:val="28"/>
    <w:qFormat/>
    <w:uiPriority w:val="0"/>
    <w:rPr>
      <w:szCs w:val="21"/>
    </w:rPr>
  </w:style>
  <w:style w:type="paragraph" w:customStyle="1" w:styleId="82">
    <w:name w:val="Char Char Char Char Char Char Char Char Char1 Char Char Char Char Char Char Char"/>
    <w:basedOn w:val="1"/>
    <w:qFormat/>
    <w:uiPriority w:val="0"/>
    <w:pPr>
      <w:tabs>
        <w:tab w:val="left" w:pos="840"/>
      </w:tabs>
      <w:ind w:left="840" w:hanging="360"/>
    </w:pPr>
    <w:rPr>
      <w:sz w:val="24"/>
      <w:szCs w:val="24"/>
    </w:rPr>
  </w:style>
  <w:style w:type="paragraph" w:customStyle="1" w:styleId="83">
    <w:name w:val="Char Char Char Char Char Char Char"/>
    <w:basedOn w:val="1"/>
    <w:qFormat/>
    <w:uiPriority w:val="0"/>
    <w:pPr>
      <w:tabs>
        <w:tab w:val="left" w:pos="840"/>
      </w:tabs>
      <w:ind w:left="840" w:hanging="360"/>
    </w:pPr>
    <w:rPr>
      <w:sz w:val="24"/>
      <w:szCs w:val="24"/>
    </w:rPr>
  </w:style>
  <w:style w:type="paragraph" w:customStyle="1" w:styleId="84">
    <w:name w:val="Char"/>
    <w:basedOn w:val="1"/>
    <w:qFormat/>
    <w:uiPriority w:val="0"/>
  </w:style>
  <w:style w:type="paragraph" w:customStyle="1" w:styleId="85">
    <w:name w:val="默认段落字体 Para Char"/>
    <w:basedOn w:val="1"/>
    <w:qFormat/>
    <w:uiPriority w:val="0"/>
    <w:pPr>
      <w:tabs>
        <w:tab w:val="left" w:pos="840"/>
      </w:tabs>
      <w:ind w:left="840" w:hanging="420"/>
    </w:pPr>
    <w:rPr>
      <w:sz w:val="24"/>
      <w:szCs w:val="24"/>
    </w:rPr>
  </w:style>
  <w:style w:type="paragraph" w:customStyle="1" w:styleId="86">
    <w:name w:val="Char Char Char Char1 Char Char Char"/>
    <w:basedOn w:val="1"/>
    <w:qFormat/>
    <w:uiPriority w:val="0"/>
  </w:style>
  <w:style w:type="paragraph" w:customStyle="1" w:styleId="87">
    <w:name w:val="Char Char Char Char Char"/>
    <w:basedOn w:val="1"/>
    <w:qFormat/>
    <w:uiPriority w:val="0"/>
    <w:pPr>
      <w:tabs>
        <w:tab w:val="left" w:pos="840"/>
      </w:tabs>
      <w:ind w:left="840" w:hanging="360"/>
    </w:pPr>
    <w:rPr>
      <w:sz w:val="24"/>
      <w:szCs w:val="24"/>
    </w:rPr>
  </w:style>
  <w:style w:type="paragraph" w:customStyle="1" w:styleId="88">
    <w:name w:val="Char Char"/>
    <w:basedOn w:val="1"/>
    <w:qFormat/>
    <w:uiPriority w:val="0"/>
    <w:pPr>
      <w:tabs>
        <w:tab w:val="left" w:pos="840"/>
      </w:tabs>
      <w:ind w:left="840" w:hanging="360"/>
    </w:pPr>
    <w:rPr>
      <w:sz w:val="24"/>
      <w:szCs w:val="24"/>
    </w:rPr>
  </w:style>
  <w:style w:type="paragraph" w:customStyle="1" w:styleId="89">
    <w:name w:val="默认段落字体 Para Char Char Char Char Char Char"/>
    <w:basedOn w:val="1"/>
    <w:qFormat/>
    <w:uiPriority w:val="0"/>
    <w:pPr>
      <w:tabs>
        <w:tab w:val="left" w:pos="840"/>
      </w:tabs>
      <w:ind w:left="840" w:hanging="360"/>
    </w:pPr>
    <w:rPr>
      <w:sz w:val="24"/>
      <w:szCs w:val="24"/>
    </w:rPr>
  </w:style>
  <w:style w:type="paragraph" w:customStyle="1" w:styleId="90">
    <w:name w:val="Char Char Char Char Char Char Char Char Char1 Char Char Char Char"/>
    <w:basedOn w:val="1"/>
    <w:qFormat/>
    <w:uiPriority w:val="0"/>
    <w:pPr>
      <w:tabs>
        <w:tab w:val="left" w:pos="840"/>
      </w:tabs>
      <w:ind w:left="840" w:hanging="360"/>
    </w:pPr>
    <w:rPr>
      <w:sz w:val="24"/>
      <w:szCs w:val="24"/>
    </w:rPr>
  </w:style>
  <w:style w:type="paragraph" w:customStyle="1" w:styleId="91">
    <w:name w:val="1 Char"/>
    <w:basedOn w:val="1"/>
    <w:semiHidden/>
    <w:qFormat/>
    <w:uiPriority w:val="0"/>
    <w:pPr>
      <w:tabs>
        <w:tab w:val="left" w:pos="360"/>
      </w:tabs>
    </w:pPr>
    <w:rPr>
      <w:sz w:val="24"/>
      <w:szCs w:val="24"/>
    </w:rPr>
  </w:style>
  <w:style w:type="paragraph" w:customStyle="1" w:styleId="92">
    <w:name w:val="Char Char Char"/>
    <w:basedOn w:val="1"/>
    <w:qFormat/>
    <w:uiPriority w:val="0"/>
  </w:style>
  <w:style w:type="paragraph" w:customStyle="1" w:styleId="93">
    <w:name w:val="Char1 Char Char Char Char Char Char"/>
    <w:basedOn w:val="1"/>
    <w:qFormat/>
    <w:uiPriority w:val="0"/>
  </w:style>
  <w:style w:type="paragraph" w:customStyle="1" w:styleId="94">
    <w:name w:val="c_"/>
    <w:qFormat/>
    <w:uiPriority w:val="0"/>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6">
    <w:name w:val="apple-style-span"/>
    <w:basedOn w:val="53"/>
    <w:qFormat/>
    <w:uiPriority w:val="0"/>
  </w:style>
  <w:style w:type="character" w:customStyle="1" w:styleId="97">
    <w:name w:val="标题 7 Char"/>
    <w:link w:val="10"/>
    <w:qFormat/>
    <w:uiPriority w:val="0"/>
    <w:rPr>
      <w:b/>
      <w:kern w:val="2"/>
      <w:sz w:val="24"/>
    </w:rPr>
  </w:style>
  <w:style w:type="character" w:customStyle="1" w:styleId="98">
    <w:name w:val="标题 8 Char"/>
    <w:link w:val="11"/>
    <w:qFormat/>
    <w:uiPriority w:val="0"/>
    <w:rPr>
      <w:rFonts w:ascii="Arial" w:hAnsi="Arial" w:eastAsia="黑体"/>
      <w:kern w:val="2"/>
      <w:sz w:val="24"/>
    </w:rPr>
  </w:style>
  <w:style w:type="character" w:customStyle="1" w:styleId="99">
    <w:name w:val="标题 9 Char"/>
    <w:link w:val="12"/>
    <w:qFormat/>
    <w:uiPriority w:val="0"/>
    <w:rPr>
      <w:rFonts w:ascii="Arial" w:hAnsi="Arial" w:eastAsia="黑体"/>
      <w:kern w:val="2"/>
      <w:sz w:val="21"/>
    </w:rPr>
  </w:style>
  <w:style w:type="character" w:customStyle="1" w:styleId="100">
    <w:name w:val="read"/>
    <w:basedOn w:val="53"/>
    <w:qFormat/>
    <w:uiPriority w:val="0"/>
  </w:style>
  <w:style w:type="paragraph" w:customStyle="1" w:styleId="10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102">
    <w:name w:val="xl22"/>
    <w:basedOn w:val="1"/>
    <w:qFormat/>
    <w:uiPriority w:val="0"/>
    <w:pPr>
      <w:widowControl/>
      <w:spacing w:before="100" w:beforeAutospacing="1" w:after="100" w:afterAutospacing="1"/>
      <w:textAlignment w:val="top"/>
    </w:pPr>
    <w:rPr>
      <w:rFonts w:hint="eastAsia" w:ascii="宋体" w:hAnsi="宋体"/>
      <w:kern w:val="0"/>
      <w:sz w:val="18"/>
      <w:szCs w:val="20"/>
    </w:rPr>
  </w:style>
  <w:style w:type="paragraph" w:customStyle="1" w:styleId="103">
    <w:name w:val="项目"/>
    <w:basedOn w:val="6"/>
    <w:qFormat/>
    <w:uiPriority w:val="0"/>
    <w:pPr>
      <w:snapToGrid w:val="0"/>
      <w:spacing w:before="120" w:after="120"/>
    </w:pPr>
    <w:rPr>
      <w:rFonts w:ascii="Times New Roman" w:hAnsi="Times New Roman" w:eastAsia="楷体_GB2312" w:cs="Times New Roman"/>
      <w:b w:val="0"/>
      <w:bCs w:val="0"/>
      <w:szCs w:val="20"/>
    </w:rPr>
  </w:style>
  <w:style w:type="paragraph" w:customStyle="1" w:styleId="104">
    <w:name w:val="表格正文"/>
    <w:basedOn w:val="4"/>
    <w:qFormat/>
    <w:uiPriority w:val="0"/>
    <w:pPr>
      <w:spacing w:beforeLines="50" w:line="240" w:lineRule="auto"/>
      <w:ind w:firstLine="0"/>
      <w:jc w:val="center"/>
    </w:pPr>
    <w:rPr>
      <w:szCs w:val="20"/>
    </w:rPr>
  </w:style>
  <w:style w:type="character" w:customStyle="1" w:styleId="105">
    <w:name w:val="标题 Char"/>
    <w:link w:val="48"/>
    <w:qFormat/>
    <w:uiPriority w:val="0"/>
    <w:rPr>
      <w:b/>
      <w:kern w:val="2"/>
      <w:sz w:val="36"/>
    </w:rPr>
  </w:style>
  <w:style w:type="paragraph" w:customStyle="1" w:styleId="106">
    <w:name w:val="报告署名"/>
    <w:basedOn w:val="1"/>
    <w:next w:val="1"/>
    <w:qFormat/>
    <w:uiPriority w:val="0"/>
    <w:pPr>
      <w:spacing w:line="360" w:lineRule="auto"/>
      <w:jc w:val="center"/>
    </w:pPr>
    <w:rPr>
      <w:rFonts w:ascii="宋体" w:hAnsi="宋体"/>
      <w:sz w:val="24"/>
      <w:szCs w:val="20"/>
    </w:rPr>
  </w:style>
  <w:style w:type="paragraph" w:customStyle="1" w:styleId="107">
    <w:name w:val="列表2"/>
    <w:basedOn w:val="1"/>
    <w:next w:val="48"/>
    <w:qFormat/>
    <w:uiPriority w:val="0"/>
    <w:pPr>
      <w:tabs>
        <w:tab w:val="left" w:pos="1125"/>
      </w:tabs>
      <w:spacing w:line="360" w:lineRule="auto"/>
      <w:ind w:left="1125" w:hanging="1125"/>
    </w:pPr>
    <w:rPr>
      <w:rFonts w:ascii="宋体"/>
      <w:szCs w:val="20"/>
    </w:rPr>
  </w:style>
  <w:style w:type="paragraph" w:styleId="108">
    <w:name w:val="List Paragraph"/>
    <w:basedOn w:val="1"/>
    <w:qFormat/>
    <w:uiPriority w:val="34"/>
    <w:pPr>
      <w:ind w:firstLine="420" w:firstLineChars="200"/>
    </w:pPr>
    <w:rPr>
      <w:szCs w:val="20"/>
    </w:rPr>
  </w:style>
  <w:style w:type="character" w:customStyle="1" w:styleId="109">
    <w:name w:val="unnamed11"/>
    <w:qFormat/>
    <w:uiPriority w:val="0"/>
    <w:rPr>
      <w:rFonts w:hint="eastAsia" w:ascii="宋体" w:hAnsi="宋体" w:eastAsia="宋体"/>
      <w:sz w:val="18"/>
      <w:szCs w:val="18"/>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Char1"/>
    <w:basedOn w:val="1"/>
    <w:qFormat/>
    <w:uiPriority w:val="0"/>
    <w:rPr>
      <w:szCs w:val="20"/>
    </w:rPr>
  </w:style>
  <w:style w:type="character" w:customStyle="1" w:styleId="112">
    <w:name w:val="正文文本 2 Char"/>
    <w:link w:val="44"/>
    <w:qFormat/>
    <w:uiPriority w:val="0"/>
    <w:rPr>
      <w:rFonts w:ascii="Arial" w:hAnsi="Arial"/>
      <w:b/>
      <w:bCs/>
      <w:color w:val="000000"/>
      <w:kern w:val="2"/>
      <w:sz w:val="18"/>
      <w:szCs w:val="18"/>
      <w:lang w:val="zh-CN"/>
    </w:rPr>
  </w:style>
  <w:style w:type="character" w:customStyle="1" w:styleId="113">
    <w:name w:val="正文文本 3 Char"/>
    <w:link w:val="19"/>
    <w:qFormat/>
    <w:uiPriority w:val="0"/>
    <w:rPr>
      <w:rFonts w:ascii="仿宋_GB2312" w:hAnsi="Arial" w:eastAsia="仿宋_GB2312"/>
      <w:kern w:val="2"/>
      <w:sz w:val="21"/>
      <w:szCs w:val="24"/>
    </w:rPr>
  </w:style>
  <w:style w:type="character" w:customStyle="1" w:styleId="114">
    <w:name w:val="文档结构图 Char"/>
    <w:link w:val="16"/>
    <w:semiHidden/>
    <w:qFormat/>
    <w:uiPriority w:val="0"/>
    <w:rPr>
      <w:rFonts w:ascii="Arial" w:hAnsi="Arial"/>
      <w:kern w:val="2"/>
      <w:sz w:val="18"/>
      <w:szCs w:val="24"/>
      <w:shd w:val="clear" w:color="auto" w:fill="000080"/>
    </w:rPr>
  </w:style>
  <w:style w:type="paragraph" w:customStyle="1" w:styleId="115">
    <w:name w:val="Q? Bulleted text"/>
    <w:basedOn w:val="1"/>
    <w:qFormat/>
    <w:uiPriority w:val="0"/>
    <w:pPr>
      <w:widowControl/>
      <w:numPr>
        <w:ilvl w:val="0"/>
        <w:numId w:val="1"/>
      </w:numPr>
      <w:spacing w:after="120" w:line="240" w:lineRule="exact"/>
      <w:jc w:val="left"/>
    </w:pPr>
    <w:rPr>
      <w:rFonts w:ascii="Arial" w:hAnsi="Arial"/>
      <w:color w:val="000000"/>
      <w:spacing w:val="-6"/>
      <w:kern w:val="0"/>
      <w:sz w:val="22"/>
      <w:szCs w:val="20"/>
      <w:lang w:val="en-GB" w:eastAsia="en-GB"/>
    </w:rPr>
  </w:style>
  <w:style w:type="paragraph" w:customStyle="1" w:styleId="116">
    <w:name w:val="Q? Table text"/>
    <w:basedOn w:val="1"/>
    <w:qFormat/>
    <w:uiPriority w:val="0"/>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117">
    <w:name w:val="Q? Bulleted text Char"/>
    <w:qFormat/>
    <w:uiPriority w:val="0"/>
    <w:rPr>
      <w:rFonts w:ascii="Arial" w:hAnsi="Arial" w:eastAsia="宋体"/>
      <w:color w:val="000000"/>
      <w:spacing w:val="-6"/>
      <w:sz w:val="22"/>
      <w:lang w:val="en-GB" w:eastAsia="en-GB" w:bidi="ar-SA"/>
    </w:rPr>
  </w:style>
  <w:style w:type="paragraph" w:customStyle="1" w:styleId="118">
    <w:name w:val="Q? Paragraph heading burgundy"/>
    <w:basedOn w:val="1"/>
    <w:qFormat/>
    <w:uiPriority w:val="0"/>
    <w:pPr>
      <w:widowControl/>
      <w:spacing w:line="240" w:lineRule="exact"/>
      <w:jc w:val="left"/>
    </w:pPr>
    <w:rPr>
      <w:rFonts w:ascii="Arial" w:hAnsi="Arial"/>
      <w:b/>
      <w:color w:val="800000"/>
      <w:spacing w:val="-8"/>
      <w:kern w:val="0"/>
      <w:sz w:val="22"/>
      <w:szCs w:val="20"/>
      <w:lang w:val="en-GB" w:eastAsia="en-GB"/>
    </w:rPr>
  </w:style>
  <w:style w:type="character" w:customStyle="1" w:styleId="119">
    <w:name w:val="Q? Paragraph heading burgundy Char"/>
    <w:qFormat/>
    <w:uiPriority w:val="0"/>
    <w:rPr>
      <w:rFonts w:ascii="Arial" w:hAnsi="Arial" w:eastAsia="宋体"/>
      <w:b/>
      <w:color w:val="800000"/>
      <w:spacing w:val="-8"/>
      <w:sz w:val="22"/>
      <w:lang w:val="en-GB" w:eastAsia="en-GB" w:bidi="ar-SA"/>
    </w:rPr>
  </w:style>
  <w:style w:type="paragraph" w:customStyle="1" w:styleId="120">
    <w:name w:val="Chi Section Heading 5"/>
    <w:basedOn w:val="1"/>
    <w:qFormat/>
    <w:uiPriority w:val="0"/>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121">
    <w:name w:val="Chi Section Heading 6"/>
    <w:basedOn w:val="1"/>
    <w:qFormat/>
    <w:uiPriority w:val="0"/>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122">
    <w:name w:val="table"/>
    <w:basedOn w:val="1"/>
    <w:qFormat/>
    <w:uiPriority w:val="0"/>
    <w:pPr>
      <w:keepNext/>
      <w:widowControl/>
    </w:pPr>
    <w:rPr>
      <w:rFonts w:ascii="Arial" w:hAnsi="Arial" w:eastAsia="Times New Roman"/>
      <w:kern w:val="0"/>
      <w:sz w:val="22"/>
      <w:szCs w:val="24"/>
      <w:lang w:val="en-AU" w:eastAsia="en-US"/>
    </w:rPr>
  </w:style>
  <w:style w:type="character" w:customStyle="1" w:styleId="123">
    <w:name w:val="txtcontent11"/>
    <w:qFormat/>
    <w:uiPriority w:val="0"/>
    <w:rPr>
      <w:rFonts w:hint="default" w:ascii="ˎ̥" w:hAnsi="ˎ̥"/>
      <w:color w:val="000000"/>
      <w:sz w:val="21"/>
      <w:szCs w:val="21"/>
    </w:rPr>
  </w:style>
  <w:style w:type="paragraph" w:customStyle="1" w:styleId="124">
    <w:name w:val="正文（首行缩进两字）"/>
    <w:basedOn w:val="110"/>
    <w:next w:val="110"/>
    <w:qFormat/>
    <w:uiPriority w:val="0"/>
  </w:style>
  <w:style w:type="character" w:customStyle="1" w:styleId="125">
    <w:name w:val="HTML 预设格式 Char"/>
    <w:link w:val="45"/>
    <w:qFormat/>
    <w:uiPriority w:val="0"/>
    <w:rPr>
      <w:rFonts w:ascii="宋体" w:hAnsi="宋体" w:cs="宋体"/>
      <w:color w:val="000000"/>
      <w:sz w:val="21"/>
      <w:szCs w:val="21"/>
    </w:rPr>
  </w:style>
  <w:style w:type="paragraph" w:customStyle="1" w:styleId="126">
    <w:name w:val="R Insert Chart/picture"/>
    <w:basedOn w:val="1"/>
    <w:next w:val="1"/>
    <w:qFormat/>
    <w:uiPriority w:val="0"/>
    <w:pPr>
      <w:widowControl/>
      <w:ind w:left="-28"/>
    </w:pPr>
    <w:rPr>
      <w:rFonts w:ascii="LucidaSans" w:hAnsi="LucidaSans"/>
      <w:color w:val="FF0000"/>
      <w:spacing w:val="-8"/>
      <w:kern w:val="0"/>
      <w:sz w:val="56"/>
      <w:szCs w:val="20"/>
      <w:lang w:val="en-GB"/>
    </w:rPr>
  </w:style>
  <w:style w:type="paragraph" w:customStyle="1" w:styleId="127">
    <w:name w:val="Char1 Char Char Char Char Char Char Char Char Char Char Char Char1 Char Char Char Char Char Char Char Char Char"/>
    <w:basedOn w:val="1"/>
    <w:qFormat/>
    <w:uiPriority w:val="0"/>
    <w:rPr>
      <w:szCs w:val="24"/>
    </w:rPr>
  </w:style>
  <w:style w:type="table" w:customStyle="1" w:styleId="128">
    <w:name w:val="浅色底纹 - 强调文字颜色 11"/>
    <w:basedOn w:val="51"/>
    <w:qFormat/>
    <w:uiPriority w:val="60"/>
    <w:rPr>
      <w:rFonts w:ascii="Calibri" w:hAnsi="Calibri"/>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29">
    <w:name w:val="网格表 5 深色 - 着色 51"/>
    <w:basedOn w:val="5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63EF9-E303-4897-9650-F66B97948D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2132</Words>
  <Characters>12157</Characters>
  <Lines>101</Lines>
  <Paragraphs>28</Paragraphs>
  <TotalTime>1</TotalTime>
  <ScaleCrop>false</ScaleCrop>
  <LinksUpToDate>false</LinksUpToDate>
  <CharactersWithSpaces>14261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2020-04-17T09:26:00Z</dcterms:created>
  <dc:creator>zhangminjun</dc:creator>
  <cp:lastModifiedBy>zhangminjun</cp:lastModifiedBy>
  <cp:lastPrinted>2007-06-27T06:13:00Z</cp:lastPrinted>
  <dcterms:modified xsi:type="dcterms:W3CDTF">2021-05-19T01:55:17Z</dcterms:modified>
  <dc:title>募集方案</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