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rPr>
          <w:sz w:val="32"/>
        </w:rPr>
      </w:pPr>
    </w:p>
    <w:p>
      <w:pPr>
        <w:rPr>
          <w:sz w:val="32"/>
        </w:rPr>
      </w:pPr>
    </w:p>
    <w:p>
      <w:pPr>
        <w:jc w:val="center"/>
        <w:rPr>
          <w:sz w:val="32"/>
        </w:rPr>
      </w:pPr>
      <w:r>
        <w:drawing>
          <wp:inline distT="0" distB="0" distL="0" distR="0">
            <wp:extent cx="4343400" cy="57150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交银施罗德深证300价值交易型开放式指数证券投资基金联接基金</w:t>
      </w:r>
    </w:p>
    <w:p>
      <w:pPr>
        <w:autoSpaceDE w:val="0"/>
        <w:autoSpaceDN w:val="0"/>
        <w:adjustRightInd w:val="0"/>
        <w:snapToGrid w:val="0"/>
        <w:spacing w:before="63" w:line="360" w:lineRule="auto"/>
        <w:ind w:right="13" w:rightChars="6"/>
        <w:jc w:val="center"/>
        <w:rPr>
          <w:rFonts w:ascii="宋体" w:hAnsi="宋体"/>
          <w:b/>
          <w:kern w:val="0"/>
          <w:sz w:val="44"/>
          <w:szCs w:val="44"/>
        </w:rPr>
      </w:pPr>
      <w:r>
        <w:rPr>
          <w:rFonts w:ascii="宋体" w:hAnsi="宋体"/>
          <w:b/>
          <w:spacing w:val="2"/>
          <w:w w:val="99"/>
          <w:kern w:val="0"/>
          <w:sz w:val="44"/>
          <w:szCs w:val="44"/>
        </w:rPr>
        <w:t>(更新)招募说明书</w:t>
      </w:r>
    </w:p>
    <w:p>
      <w:pPr>
        <w:snapToGrid w:val="0"/>
        <w:spacing w:line="360" w:lineRule="auto"/>
        <w:jc w:val="center"/>
        <w:rPr>
          <w:rFonts w:ascii="宋体" w:hAnsi="宋体"/>
          <w:b/>
          <w:sz w:val="30"/>
          <w:szCs w:val="30"/>
        </w:rPr>
      </w:pPr>
      <w:r>
        <w:rPr>
          <w:rFonts w:ascii="Times New Roman" w:hAnsi="Times New Roman"/>
          <w:b/>
          <w:color w:val="000000"/>
          <w:sz w:val="32"/>
          <w:szCs w:val="32"/>
        </w:rPr>
        <w:t>(2021年第2号)</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基金管理人：交银施罗德基金管理有限公司</w:t>
      </w: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基金托管人：中国农业银行股份有限公司</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b/>
          <w:kern w:val="0"/>
          <w:sz w:val="28"/>
          <w:szCs w:val="32"/>
        </w:rPr>
      </w:pPr>
      <w:r>
        <w:rPr>
          <w:rFonts w:ascii="Times New Roman" w:hAnsi="Times New Roman"/>
          <w:b/>
          <w:spacing w:val="2"/>
          <w:w w:val="99"/>
          <w:kern w:val="0"/>
          <w:sz w:val="28"/>
          <w:szCs w:val="32"/>
        </w:rPr>
        <w:t>二〇二一年</w:t>
      </w:r>
      <w:r>
        <w:rPr>
          <w:rFonts w:hint="eastAsia" w:ascii="Times New Roman" w:hAnsi="Times New Roman"/>
          <w:b/>
          <w:spacing w:val="2"/>
          <w:w w:val="99"/>
          <w:kern w:val="0"/>
          <w:sz w:val="28"/>
          <w:szCs w:val="32"/>
        </w:rPr>
        <w:t>五</w:t>
      </w:r>
      <w:r>
        <w:rPr>
          <w:rFonts w:ascii="Times New Roman" w:hAnsi="Times New Roman"/>
          <w:b/>
          <w:spacing w:val="2"/>
          <w:w w:val="99"/>
          <w:kern w:val="0"/>
          <w:sz w:val="28"/>
          <w:szCs w:val="32"/>
        </w:rPr>
        <w:t>月</w:t>
      </w:r>
    </w:p>
    <w:p>
      <w:pPr>
        <w:autoSpaceDE w:val="0"/>
        <w:autoSpaceDN w:val="0"/>
        <w:adjustRightInd w:val="0"/>
        <w:snapToGrid w:val="0"/>
        <w:spacing w:line="360" w:lineRule="auto"/>
        <w:ind w:left="1347" w:right="13" w:rightChars="6"/>
        <w:rPr>
          <w:rFonts w:ascii="宋体" w:hAnsi="宋体"/>
          <w:kern w:val="0"/>
          <w:sz w:val="32"/>
          <w:szCs w:val="32"/>
        </w:rPr>
        <w:sectPr>
          <w:headerReference r:id="rId4" w:type="first"/>
          <w:headerReference r:id="rId3" w:type="default"/>
          <w:footerReference r:id="rId5" w:type="default"/>
          <w:pgSz w:w="11920" w:h="16840"/>
          <w:pgMar w:top="1560" w:right="1680" w:bottom="280" w:left="1680" w:header="0" w:footer="1073" w:gutter="0"/>
          <w:pgNumType w:start="1"/>
          <w:cols w:space="720" w:num="1"/>
          <w:titlePg/>
          <w:docGrid w:linePitch="286" w:charSpace="0"/>
        </w:sectPr>
      </w:pPr>
    </w:p>
    <w:p>
      <w:pPr>
        <w:pStyle w:val="2"/>
        <w:snapToGrid w:val="0"/>
        <w:spacing w:before="240" w:beforeLines="0" w:after="240"/>
        <w:rPr>
          <w:rFonts w:ascii="宋体" w:hAnsi="宋体"/>
          <w:kern w:val="0"/>
        </w:rPr>
      </w:pPr>
      <w:bookmarkStart w:id="0" w:name="_Toc54104404"/>
      <w:bookmarkStart w:id="1" w:name="_Toc496884613"/>
      <w:bookmarkStart w:id="2" w:name="_Toc324920538"/>
      <w:r>
        <w:rPr>
          <w:rFonts w:ascii="Times New Roman" w:hAnsi="Times New Roman"/>
          <w:kern w:val="0"/>
        </w:rPr>
        <w:t>重要提示</w:t>
      </w:r>
      <w:bookmarkEnd w:id="0"/>
      <w:bookmarkEnd w:id="1"/>
      <w:bookmarkEnd w:id="2"/>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交银施罗德深证300价值交易型开放式指数证券投资基金联接基金（以下简称“本基金”）经2011年6月20日中国证券监督管理委员会（以下简称“中国证监会”）证监许可【2011】967号文核准募集。本基金基金合同于2011年9月28日正式生效。</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pPr>
        <w:autoSpaceDE w:val="0"/>
        <w:autoSpaceDN w:val="0"/>
        <w:adjustRightInd w:val="0"/>
        <w:snapToGrid w:val="0"/>
        <w:spacing w:line="360" w:lineRule="auto"/>
        <w:ind w:left="105" w:leftChars="50" w:firstLine="480" w:firstLineChars="200"/>
        <w:rPr>
          <w:rFonts w:ascii="Times New Roman" w:hAnsi="Times New Roman"/>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本基金投资债券引发的信用风险，以及本基金投资策略所特有的风险等等。本基金为ETF联接基金，紧密跟踪标的指数，具有和标的指数所代表的股票市场相似的风险收益特征，风险与收益高于混合基金、债券基金与货币市场基金，属于证券投资基金中风险较高、预期收益较高的品种。</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本基金主要投资于目标E</w:t>
      </w:r>
      <w:r>
        <w:rPr>
          <w:rFonts w:ascii="Times New Roman" w:hAnsi="Times New Roman"/>
          <w:bCs/>
          <w:sz w:val="24"/>
          <w:szCs w:val="18"/>
        </w:rPr>
        <w:t>TF</w:t>
      </w:r>
      <w:r>
        <w:rPr>
          <w:rFonts w:hint="eastAsia" w:ascii="Times New Roman" w:hAnsi="Times New Roman"/>
          <w:bCs/>
          <w:sz w:val="24"/>
          <w:szCs w:val="18"/>
        </w:rPr>
        <w:t>，投资者投资于本基金面临跟踪误差控制未达约定目标、指数编制机构停止服务、成份券停牌等潜在风险。</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本基金标的指数为</w:t>
      </w:r>
      <w:r>
        <w:rPr>
          <w:rFonts w:ascii="宋体" w:hAnsi="宋体"/>
          <w:kern w:val="0"/>
          <w:sz w:val="24"/>
        </w:rPr>
        <w:t>深证300价值</w:t>
      </w:r>
      <w:r>
        <w:rPr>
          <w:rFonts w:hint="eastAsia" w:ascii="宋体" w:hAnsi="宋体"/>
          <w:kern w:val="0"/>
          <w:sz w:val="24"/>
        </w:rPr>
        <w:t>价格指数</w:t>
      </w:r>
      <w:r>
        <w:rPr>
          <w:rFonts w:ascii="宋体" w:hAnsi="宋体"/>
          <w:bCs/>
          <w:kern w:val="0"/>
          <w:sz w:val="24"/>
        </w:rPr>
        <w:t>。</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1、选样空间</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深证300指数样本股。</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2、选样方法</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ascii="宋体" w:hAnsi="宋体"/>
          <w:bCs/>
          <w:kern w:val="0"/>
          <w:sz w:val="24"/>
        </w:rPr>
        <w:t>1</w:t>
      </w:r>
      <w:r>
        <w:rPr>
          <w:rFonts w:hint="eastAsia" w:ascii="宋体" w:hAnsi="宋体"/>
          <w:bCs/>
          <w:kern w:val="0"/>
          <w:sz w:val="24"/>
        </w:rPr>
        <w:t>）计算价值因子的变量数值</w:t>
      </w:r>
    </w:p>
    <w:p>
      <w:pPr>
        <w:autoSpaceDE w:val="0"/>
        <w:autoSpaceDN w:val="0"/>
        <w:adjustRightInd w:val="0"/>
        <w:snapToGrid w:val="0"/>
        <w:spacing w:line="360" w:lineRule="auto"/>
        <w:ind w:left="105" w:leftChars="50" w:firstLine="480" w:firstLineChars="200"/>
        <w:rPr>
          <w:rFonts w:ascii="宋体" w:hAnsi="宋体"/>
          <w:bCs/>
          <w:kern w:val="0"/>
          <w:sz w:val="24"/>
        </w:rPr>
      </w:pP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 xml:space="preserve">价值因子有四个变量：每股收益与价格比率、每股经营现金流与价格比率、股息收益率、每股净资产与价格比率。 </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2）计算风格Z值</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计算出每只股票的变量值之后，在样本空间内对所有变量值进行标准化z分处理。</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为确保用于标准化处理的市场均值不会因为极值而受到太大影响，计算增长率变量时，先对样本空间内所有股票的数值按照升序排列。对于处在下端10%或者上端90%等级的数值，分别设定为第10%等级与90%等级的数值。</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一个公司股票的价值Z值是四个价值因子变量Z值的均值。</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ascii="宋体" w:hAnsi="宋体"/>
          <w:bCs/>
          <w:kern w:val="0"/>
          <w:sz w:val="24"/>
        </w:rPr>
        <w:t>3</w:t>
      </w:r>
      <w:r>
        <w:rPr>
          <w:rFonts w:hint="eastAsia" w:ascii="宋体" w:hAnsi="宋体"/>
          <w:bCs/>
          <w:kern w:val="0"/>
          <w:sz w:val="24"/>
        </w:rPr>
        <w:t>）</w:t>
      </w:r>
      <w:r>
        <w:rPr>
          <w:rFonts w:ascii="宋体" w:hAnsi="宋体"/>
          <w:bCs/>
          <w:kern w:val="0"/>
          <w:sz w:val="24"/>
        </w:rPr>
        <w:t>指数选样</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在深证300中选取价值Z值最高的100只股票作为深证300价值指数初始样本股。</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3、指数计算</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指数采用派氏加权法，依据下列公式逐日连锁实时计算：</w:t>
      </w:r>
    </w:p>
    <w:p>
      <w:pPr>
        <w:autoSpaceDE w:val="0"/>
        <w:autoSpaceDN w:val="0"/>
        <w:adjustRightInd w:val="0"/>
        <w:snapToGrid w:val="0"/>
        <w:spacing w:line="360" w:lineRule="auto"/>
        <w:ind w:left="105" w:leftChars="50" w:firstLine="480" w:firstLineChars="200"/>
        <w:rPr>
          <w:rFonts w:ascii="宋体" w:hAnsi="宋体"/>
          <w:bCs/>
          <w:kern w:val="0"/>
          <w:sz w:val="24"/>
        </w:rPr>
      </w:pPr>
      <w:r>
        <w:rPr>
          <w:rFonts w:ascii="宋体" w:hAnsi="宋体"/>
          <w:kern w:val="0"/>
          <w:sz w:val="24"/>
        </w:rPr>
        <w:drawing>
          <wp:inline distT="0" distB="0" distL="0" distR="0">
            <wp:extent cx="4667885" cy="541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4770599" cy="552855"/>
                    </a:xfrm>
                    <a:prstGeom prst="rect">
                      <a:avLst/>
                    </a:prstGeom>
                  </pic:spPr>
                </pic:pic>
              </a:graphicData>
            </a:graphic>
          </wp:inline>
        </w:drawing>
      </w:r>
    </w:p>
    <w:p>
      <w:pPr>
        <w:autoSpaceDE w:val="0"/>
        <w:autoSpaceDN w:val="0"/>
        <w:adjustRightInd w:val="0"/>
        <w:snapToGrid w:val="0"/>
        <w:spacing w:line="360" w:lineRule="auto"/>
        <w:ind w:left="105" w:leftChars="50" w:firstLine="480" w:firstLineChars="200"/>
        <w:rPr>
          <w:rFonts w:ascii="宋体" w:hAnsi="宋体"/>
          <w:bCs/>
          <w:kern w:val="0"/>
          <w:sz w:val="24"/>
        </w:rPr>
      </w:pPr>
      <w:r>
        <w:rPr>
          <w:rFonts w:hint="eastAsia" w:ascii="宋体" w:hAnsi="宋体"/>
          <w:bCs/>
          <w:kern w:val="0"/>
          <w:sz w:val="24"/>
        </w:rPr>
        <w:t>有关标的指数具体编制方案及成份股信息详见深圳证券信息有限公司国证指数网网站，网址：</w:t>
      </w:r>
      <w:r>
        <w:rPr>
          <w:rFonts w:ascii="宋体" w:hAnsi="宋体"/>
          <w:bCs/>
          <w:kern w:val="0"/>
          <w:sz w:val="24"/>
        </w:rPr>
        <w:t>www.cnindex.com.cn</w:t>
      </w:r>
      <w:r>
        <w:rPr>
          <w:rFonts w:hint="eastAsia" w:ascii="宋体" w:hAnsi="宋体"/>
          <w:bCs/>
          <w:kern w:val="0"/>
          <w:sz w:val="24"/>
        </w:rPr>
        <w:t>。</w:t>
      </w:r>
    </w:p>
    <w:p>
      <w:pPr>
        <w:autoSpaceDE w:val="0"/>
        <w:autoSpaceDN w:val="0"/>
        <w:adjustRightInd w:val="0"/>
        <w:snapToGrid w:val="0"/>
        <w:spacing w:line="360" w:lineRule="auto"/>
        <w:ind w:left="105" w:leftChars="50" w:firstLine="480" w:firstLineChars="200"/>
        <w:rPr>
          <w:rFonts w:ascii="宋体" w:hAnsi="宋体"/>
          <w:kern w:val="0"/>
          <w:sz w:val="24"/>
        </w:rPr>
      </w:pPr>
      <w:r>
        <w:rPr>
          <w:rFonts w:hint="eastAsia" w:ascii="宋体" w:hAnsi="宋体"/>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pPr>
        <w:autoSpaceDE w:val="0"/>
        <w:autoSpaceDN w:val="0"/>
        <w:adjustRightInd w:val="0"/>
        <w:snapToGrid w:val="0"/>
        <w:spacing w:line="360" w:lineRule="auto"/>
        <w:ind w:left="105" w:leftChars="50" w:firstLine="480" w:firstLineChars="200"/>
        <w:rPr>
          <w:rFonts w:ascii="宋体" w:hAnsi="宋体"/>
          <w:kern w:val="0"/>
          <w:sz w:val="24"/>
        </w:rPr>
      </w:pPr>
      <w:r>
        <w:rPr>
          <w:rFonts w:hint="eastAsia" w:ascii="宋体" w:hAnsi="宋体"/>
          <w:kern w:val="0"/>
          <w:sz w:val="24"/>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pPr>
        <w:autoSpaceDE w:val="0"/>
        <w:autoSpaceDN w:val="0"/>
        <w:adjustRightInd w:val="0"/>
        <w:snapToGrid w:val="0"/>
        <w:spacing w:line="360" w:lineRule="auto"/>
        <w:ind w:left="105" w:leftChars="50" w:firstLine="480" w:firstLineChars="200"/>
        <w:rPr>
          <w:rFonts w:ascii="Times New Roman" w:hAnsi="Times New Roman"/>
          <w:kern w:val="0"/>
          <w:sz w:val="24"/>
        </w:rPr>
      </w:pPr>
      <w:r>
        <w:rPr>
          <w:rFonts w:hint="eastAsia" w:ascii="Times New Roman" w:hAnsi="Times New Roman"/>
          <w:kern w:val="0"/>
          <w:sz w:val="24"/>
        </w:rPr>
        <w:t>本次更新招募说明书主要对基金经理变更相关事项进行了相应更新，更新截止日为2021年5月6日，除非另有说明，本招募说明书其他所载内容截止日为</w:t>
      </w:r>
      <w:r>
        <w:rPr>
          <w:rFonts w:ascii="Times New Roman" w:hAnsi="Times New Roman"/>
          <w:kern w:val="0"/>
          <w:sz w:val="24"/>
        </w:rPr>
        <w:t>2020年9月10日</w:t>
      </w:r>
      <w:r>
        <w:rPr>
          <w:rFonts w:hint="eastAsia" w:ascii="Times New Roman" w:hAnsi="Times New Roman"/>
          <w:kern w:val="0"/>
          <w:sz w:val="24"/>
        </w:rPr>
        <w:t>，有关财务和业绩表现数据截止日为</w:t>
      </w:r>
      <w:r>
        <w:rPr>
          <w:rFonts w:ascii="Times New Roman" w:hAnsi="Times New Roman"/>
          <w:kern w:val="0"/>
          <w:sz w:val="24"/>
        </w:rPr>
        <w:t>2020年6月30日</w:t>
      </w:r>
      <w:r>
        <w:rPr>
          <w:rFonts w:hint="eastAsia" w:ascii="Times New Roman" w:hAnsi="Times New Roman"/>
          <w:kern w:val="0"/>
          <w:sz w:val="24"/>
        </w:rPr>
        <w:t>，财务和业绩表现数据未经审计。</w:t>
      </w:r>
    </w:p>
    <w:p>
      <w:pPr>
        <w:autoSpaceDE w:val="0"/>
        <w:autoSpaceDN w:val="0"/>
        <w:adjustRightInd w:val="0"/>
        <w:snapToGrid w:val="0"/>
        <w:spacing w:before="51" w:line="360" w:lineRule="auto"/>
        <w:ind w:left="120" w:right="13" w:rightChars="6" w:firstLine="480"/>
        <w:rPr>
          <w:rFonts w:ascii="宋体" w:hAnsi="宋体"/>
          <w:kern w:val="0"/>
          <w:szCs w:val="24"/>
        </w:rPr>
        <w:sectPr>
          <w:headerReference r:id="rId6" w:type="default"/>
          <w:pgSz w:w="11920" w:h="16840"/>
          <w:pgMar w:top="1440" w:right="1680" w:bottom="280" w:left="1680" w:header="0" w:footer="1073" w:gutter="0"/>
          <w:pgNumType w:start="1"/>
          <w:cols w:space="720" w:num="1"/>
        </w:sectPr>
      </w:pPr>
    </w:p>
    <w:p>
      <w:pPr>
        <w:pStyle w:val="20"/>
        <w:snapToGrid w:val="0"/>
        <w:spacing w:after="240" w:line="360" w:lineRule="auto"/>
        <w:jc w:val="center"/>
        <w:rPr>
          <w:rFonts w:ascii="宋体" w:hAnsi="宋体"/>
          <w:sz w:val="24"/>
        </w:rPr>
      </w:pPr>
      <w:r>
        <w:rPr>
          <w:rFonts w:ascii="宋体" w:hAnsi="宋体"/>
          <w:color w:val="000000"/>
          <w:position w:val="-4"/>
          <w:sz w:val="24"/>
          <w:szCs w:val="30"/>
        </w:rPr>
        <w:t>目</w:t>
      </w:r>
      <w:r>
        <w:rPr>
          <w:rFonts w:ascii="宋体" w:hAnsi="宋体"/>
          <w:color w:val="000000"/>
          <w:position w:val="-4"/>
          <w:sz w:val="24"/>
          <w:szCs w:val="30"/>
        </w:rPr>
        <w:tab/>
      </w:r>
      <w:r>
        <w:rPr>
          <w:rFonts w:ascii="宋体" w:hAnsi="宋体"/>
          <w:color w:val="000000"/>
          <w:position w:val="-4"/>
          <w:sz w:val="24"/>
          <w:szCs w:val="30"/>
        </w:rPr>
        <w:t>录</w:t>
      </w:r>
      <w:r>
        <w:rPr>
          <w:rFonts w:ascii="宋体" w:hAnsi="宋体"/>
          <w:color w:val="000000"/>
          <w:position w:val="-4"/>
          <w:sz w:val="24"/>
          <w:szCs w:val="30"/>
        </w:rPr>
        <w:fldChar w:fldCharType="begin"/>
      </w:r>
      <w:r>
        <w:rPr>
          <w:rFonts w:ascii="宋体" w:hAnsi="宋体"/>
          <w:color w:val="000000"/>
          <w:position w:val="-4"/>
          <w:sz w:val="24"/>
          <w:szCs w:val="30"/>
        </w:rPr>
        <w:instrText xml:space="preserve"> TOC \o "1-3" \f - \h \t "-1" </w:instrText>
      </w:r>
      <w:r>
        <w:rPr>
          <w:rFonts w:ascii="宋体" w:hAnsi="宋体"/>
          <w:color w:val="000000"/>
          <w:position w:val="-4"/>
          <w:sz w:val="24"/>
          <w:szCs w:val="30"/>
        </w:rPr>
        <w:fldChar w:fldCharType="separate"/>
      </w:r>
    </w:p>
    <w:p>
      <w:pPr>
        <w:pStyle w:val="10"/>
        <w:tabs>
          <w:tab w:val="right" w:leader="dot" w:pos="8550"/>
        </w:tabs>
        <w:spacing w:line="360" w:lineRule="auto"/>
        <w:rPr>
          <w:rFonts w:ascii="宋体" w:hAnsi="宋体"/>
          <w:sz w:val="24"/>
        </w:rPr>
      </w:pPr>
      <w:r>
        <w:fldChar w:fldCharType="begin"/>
      </w:r>
      <w:r>
        <w:instrText xml:space="preserve"> HYPERLINK \l "_Toc54104404" </w:instrText>
      </w:r>
      <w:r>
        <w:fldChar w:fldCharType="separate"/>
      </w:r>
      <w:r>
        <w:rPr>
          <w:rStyle w:val="18"/>
          <w:rFonts w:hint="eastAsia" w:ascii="宋体" w:hAnsi="宋体"/>
          <w:kern w:val="0"/>
          <w:sz w:val="24"/>
        </w:rPr>
        <w:t>重要提示</w:t>
      </w:r>
      <w:r>
        <w:rPr>
          <w:rFonts w:ascii="宋体" w:hAnsi="宋体"/>
          <w:sz w:val="24"/>
        </w:rPr>
        <w:tab/>
      </w:r>
      <w:r>
        <w:rPr>
          <w:rFonts w:ascii="宋体" w:hAnsi="宋体"/>
          <w:sz w:val="24"/>
        </w:rPr>
        <w:fldChar w:fldCharType="begin"/>
      </w:r>
      <w:r>
        <w:rPr>
          <w:rFonts w:ascii="宋体" w:hAnsi="宋体"/>
          <w:sz w:val="24"/>
        </w:rPr>
        <w:instrText xml:space="preserve"> PAGEREF _Toc54104404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"_Toc54104405" </w:instrText>
      </w:r>
      <w:r>
        <w:fldChar w:fldCharType="separate"/>
      </w:r>
      <w:r>
        <w:rPr>
          <w:rStyle w:val="18"/>
          <w:rFonts w:hint="eastAsia" w:ascii="宋体" w:hAnsi="宋体"/>
          <w:sz w:val="24"/>
        </w:rPr>
        <w:t>一、绪言</w:t>
      </w:r>
      <w:r>
        <w:rPr>
          <w:rFonts w:ascii="宋体" w:hAnsi="宋体"/>
          <w:sz w:val="24"/>
        </w:rPr>
        <w:tab/>
      </w:r>
      <w:r>
        <w:rPr>
          <w:rFonts w:ascii="宋体" w:hAnsi="宋体"/>
          <w:sz w:val="24"/>
        </w:rPr>
        <w:fldChar w:fldCharType="begin"/>
      </w:r>
      <w:r>
        <w:rPr>
          <w:rFonts w:ascii="宋体" w:hAnsi="宋体"/>
          <w:sz w:val="24"/>
        </w:rPr>
        <w:instrText xml:space="preserve"> PAGEREF _Toc54104405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"_Toc54104406" </w:instrText>
      </w:r>
      <w:r>
        <w:fldChar w:fldCharType="separate"/>
      </w:r>
      <w:r>
        <w:rPr>
          <w:rStyle w:val="18"/>
          <w:rFonts w:hint="eastAsia" w:ascii="宋体" w:hAnsi="宋体"/>
          <w:sz w:val="24"/>
        </w:rPr>
        <w:t>二、释义</w:t>
      </w:r>
      <w:r>
        <w:rPr>
          <w:rFonts w:ascii="宋体" w:hAnsi="宋体"/>
          <w:sz w:val="24"/>
        </w:rPr>
        <w:tab/>
      </w:r>
      <w:r>
        <w:rPr>
          <w:rFonts w:ascii="宋体" w:hAnsi="宋体"/>
          <w:sz w:val="24"/>
        </w:rPr>
        <w:fldChar w:fldCharType="begin"/>
      </w:r>
      <w:r>
        <w:rPr>
          <w:rFonts w:ascii="宋体" w:hAnsi="宋体"/>
          <w:sz w:val="24"/>
        </w:rPr>
        <w:instrText xml:space="preserve"> PAGEREF _Toc54104406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"_Toc54104407" </w:instrText>
      </w:r>
      <w:r>
        <w:fldChar w:fldCharType="separate"/>
      </w:r>
      <w:r>
        <w:rPr>
          <w:rStyle w:val="18"/>
          <w:rFonts w:hint="eastAsia" w:ascii="宋体" w:hAnsi="宋体"/>
          <w:sz w:val="24"/>
        </w:rPr>
        <w:t>三、基金管理人</w:t>
      </w:r>
      <w:r>
        <w:rPr>
          <w:rFonts w:ascii="宋体" w:hAnsi="宋体"/>
          <w:sz w:val="24"/>
        </w:rPr>
        <w:tab/>
      </w:r>
      <w:r>
        <w:rPr>
          <w:rFonts w:ascii="宋体" w:hAnsi="宋体"/>
          <w:sz w:val="24"/>
        </w:rPr>
        <w:fldChar w:fldCharType="begin"/>
      </w:r>
      <w:r>
        <w:rPr>
          <w:rFonts w:ascii="宋体" w:hAnsi="宋体"/>
          <w:sz w:val="24"/>
        </w:rPr>
        <w:instrText xml:space="preserve"> PAGEREF _Toc54104407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"_Toc54104408" </w:instrText>
      </w:r>
      <w:r>
        <w:fldChar w:fldCharType="separate"/>
      </w:r>
      <w:r>
        <w:rPr>
          <w:rStyle w:val="18"/>
          <w:rFonts w:hint="eastAsia" w:ascii="宋体" w:hAnsi="宋体"/>
          <w:sz w:val="24"/>
        </w:rPr>
        <w:t>四、基金托管人</w:t>
      </w:r>
      <w:r>
        <w:rPr>
          <w:rFonts w:ascii="宋体" w:hAnsi="宋体"/>
          <w:sz w:val="24"/>
        </w:rPr>
        <w:tab/>
      </w:r>
      <w:r>
        <w:rPr>
          <w:rFonts w:ascii="宋体" w:hAnsi="宋体"/>
          <w:sz w:val="24"/>
        </w:rPr>
        <w:fldChar w:fldCharType="begin"/>
      </w:r>
      <w:r>
        <w:rPr>
          <w:rFonts w:ascii="宋体" w:hAnsi="宋体"/>
          <w:sz w:val="24"/>
        </w:rPr>
        <w:instrText xml:space="preserve"> PAGEREF _Toc54104408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"_Toc54104409" </w:instrText>
      </w:r>
      <w:r>
        <w:fldChar w:fldCharType="separate"/>
      </w:r>
      <w:r>
        <w:rPr>
          <w:rStyle w:val="18"/>
          <w:rFonts w:hint="eastAsia" w:ascii="宋体" w:hAnsi="宋体"/>
          <w:sz w:val="24"/>
        </w:rPr>
        <w:t>五、相关服务机构</w:t>
      </w:r>
      <w:r>
        <w:rPr>
          <w:rFonts w:ascii="宋体" w:hAnsi="宋体"/>
          <w:sz w:val="24"/>
        </w:rPr>
        <w:tab/>
      </w:r>
      <w:r>
        <w:rPr>
          <w:rFonts w:ascii="宋体" w:hAnsi="宋体"/>
          <w:sz w:val="24"/>
        </w:rPr>
        <w:fldChar w:fldCharType="begin"/>
      </w:r>
      <w:r>
        <w:rPr>
          <w:rFonts w:ascii="宋体" w:hAnsi="宋体"/>
          <w:sz w:val="24"/>
        </w:rPr>
        <w:instrText xml:space="preserve"> PAGEREF _Toc54104409 \h </w:instrText>
      </w:r>
      <w:r>
        <w:rPr>
          <w:rFonts w:ascii="宋体" w:hAnsi="宋体"/>
          <w:sz w:val="24"/>
        </w:rPr>
        <w:fldChar w:fldCharType="separate"/>
      </w:r>
      <w:r>
        <w:rPr>
          <w:rFonts w:ascii="宋体" w:hAnsi="宋体"/>
          <w:sz w:val="24"/>
        </w:rPr>
        <w:t>22</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"_Toc54104410" </w:instrText>
      </w:r>
      <w:r>
        <w:fldChar w:fldCharType="separate"/>
      </w:r>
      <w:r>
        <w:rPr>
          <w:rStyle w:val="18"/>
          <w:rFonts w:hint="eastAsia" w:ascii="宋体" w:hAnsi="宋体"/>
          <w:sz w:val="24"/>
        </w:rPr>
        <w:t>六、基金的募集</w:t>
      </w:r>
      <w:r>
        <w:rPr>
          <w:rFonts w:ascii="宋体" w:hAnsi="宋体"/>
          <w:sz w:val="24"/>
        </w:rPr>
        <w:tab/>
      </w:r>
      <w:r>
        <w:rPr>
          <w:rFonts w:ascii="宋体" w:hAnsi="宋体"/>
          <w:sz w:val="24"/>
        </w:rPr>
        <w:fldChar w:fldCharType="begin"/>
      </w:r>
      <w:r>
        <w:rPr>
          <w:rFonts w:ascii="宋体" w:hAnsi="宋体"/>
          <w:sz w:val="24"/>
        </w:rPr>
        <w:instrText xml:space="preserve"> PAGEREF _Toc54104410 \h </w:instrText>
      </w:r>
      <w:r>
        <w:rPr>
          <w:rFonts w:ascii="宋体" w:hAnsi="宋体"/>
          <w:sz w:val="24"/>
        </w:rPr>
        <w:fldChar w:fldCharType="separate"/>
      </w:r>
      <w:r>
        <w:rPr>
          <w:rFonts w:ascii="宋体" w:hAnsi="宋体"/>
          <w:sz w:val="24"/>
        </w:rPr>
        <w:t>44</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"_Toc54104411" </w:instrText>
      </w:r>
      <w:r>
        <w:fldChar w:fldCharType="separate"/>
      </w:r>
      <w:r>
        <w:rPr>
          <w:rStyle w:val="18"/>
          <w:rFonts w:hint="eastAsia" w:ascii="宋体" w:hAnsi="宋体"/>
          <w:sz w:val="24"/>
        </w:rPr>
        <w:t>七、基金合同的生效</w:t>
      </w:r>
      <w:r>
        <w:rPr>
          <w:rFonts w:ascii="宋体" w:hAnsi="宋体"/>
          <w:sz w:val="24"/>
        </w:rPr>
        <w:tab/>
      </w:r>
      <w:r>
        <w:rPr>
          <w:rFonts w:ascii="宋体" w:hAnsi="宋体"/>
          <w:sz w:val="24"/>
        </w:rPr>
        <w:fldChar w:fldCharType="begin"/>
      </w:r>
      <w:r>
        <w:rPr>
          <w:rFonts w:ascii="宋体" w:hAnsi="宋体"/>
          <w:sz w:val="24"/>
        </w:rPr>
        <w:instrText xml:space="preserve"> PAGEREF _Toc54104411 \h </w:instrText>
      </w:r>
      <w:r>
        <w:rPr>
          <w:rFonts w:ascii="宋体" w:hAnsi="宋体"/>
          <w:sz w:val="24"/>
        </w:rPr>
        <w:fldChar w:fldCharType="separate"/>
      </w:r>
      <w:r>
        <w:rPr>
          <w:rFonts w:ascii="宋体" w:hAnsi="宋体"/>
          <w:sz w:val="24"/>
        </w:rPr>
        <w:t>46</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"_Toc54104412" </w:instrText>
      </w:r>
      <w:r>
        <w:fldChar w:fldCharType="separate"/>
      </w:r>
      <w:r>
        <w:rPr>
          <w:rStyle w:val="18"/>
          <w:rFonts w:hint="eastAsia" w:ascii="宋体" w:hAnsi="宋体"/>
          <w:sz w:val="24"/>
        </w:rPr>
        <w:t>八、基金份额的申购与赎回</w:t>
      </w:r>
      <w:r>
        <w:rPr>
          <w:rFonts w:ascii="宋体" w:hAnsi="宋体"/>
          <w:sz w:val="24"/>
        </w:rPr>
        <w:tab/>
      </w:r>
      <w:r>
        <w:rPr>
          <w:rFonts w:ascii="宋体" w:hAnsi="宋体"/>
          <w:sz w:val="24"/>
        </w:rPr>
        <w:fldChar w:fldCharType="begin"/>
      </w:r>
      <w:r>
        <w:rPr>
          <w:rFonts w:ascii="宋体" w:hAnsi="宋体"/>
          <w:sz w:val="24"/>
        </w:rPr>
        <w:instrText xml:space="preserve"> PAGEREF _Toc54104412 \h </w:instrText>
      </w:r>
      <w:r>
        <w:rPr>
          <w:rFonts w:ascii="宋体" w:hAnsi="宋体"/>
          <w:sz w:val="24"/>
        </w:rPr>
        <w:fldChar w:fldCharType="separate"/>
      </w:r>
      <w:r>
        <w:rPr>
          <w:rFonts w:ascii="宋体" w:hAnsi="宋体"/>
          <w:sz w:val="24"/>
        </w:rPr>
        <w:t>47</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"_Toc54104413" </w:instrText>
      </w:r>
      <w:r>
        <w:fldChar w:fldCharType="separate"/>
      </w:r>
      <w:r>
        <w:rPr>
          <w:rStyle w:val="18"/>
          <w:rFonts w:hint="eastAsia" w:ascii="宋体" w:hAnsi="宋体"/>
          <w:sz w:val="24"/>
        </w:rPr>
        <w:t>九、基金的转换</w:t>
      </w:r>
      <w:r>
        <w:rPr>
          <w:rFonts w:ascii="宋体" w:hAnsi="宋体"/>
          <w:sz w:val="24"/>
        </w:rPr>
        <w:tab/>
      </w:r>
      <w:r>
        <w:rPr>
          <w:rFonts w:ascii="宋体" w:hAnsi="宋体"/>
          <w:sz w:val="24"/>
        </w:rPr>
        <w:fldChar w:fldCharType="begin"/>
      </w:r>
      <w:r>
        <w:rPr>
          <w:rFonts w:ascii="宋体" w:hAnsi="宋体"/>
          <w:sz w:val="24"/>
        </w:rPr>
        <w:instrText xml:space="preserve"> PAGEREF _Toc54104413 \h </w:instrText>
      </w:r>
      <w:r>
        <w:rPr>
          <w:rFonts w:ascii="宋体" w:hAnsi="宋体"/>
          <w:sz w:val="24"/>
        </w:rPr>
        <w:fldChar w:fldCharType="separate"/>
      </w:r>
      <w:r>
        <w:rPr>
          <w:rFonts w:ascii="宋体" w:hAnsi="宋体"/>
          <w:sz w:val="24"/>
        </w:rPr>
        <w:t>61</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"_Toc54104414" </w:instrText>
      </w:r>
      <w:r>
        <w:fldChar w:fldCharType="separate"/>
      </w:r>
      <w:r>
        <w:rPr>
          <w:rStyle w:val="18"/>
          <w:rFonts w:hint="eastAsia" w:ascii="宋体" w:hAnsi="宋体"/>
          <w:sz w:val="24"/>
        </w:rPr>
        <w:t>十、基金的投资</w:t>
      </w:r>
      <w:r>
        <w:rPr>
          <w:rFonts w:ascii="宋体" w:hAnsi="宋体"/>
          <w:sz w:val="24"/>
        </w:rPr>
        <w:tab/>
      </w:r>
      <w:r>
        <w:rPr>
          <w:rFonts w:ascii="宋体" w:hAnsi="宋体"/>
          <w:sz w:val="24"/>
        </w:rPr>
        <w:fldChar w:fldCharType="begin"/>
      </w:r>
      <w:r>
        <w:rPr>
          <w:rFonts w:ascii="宋体" w:hAnsi="宋体"/>
          <w:sz w:val="24"/>
        </w:rPr>
        <w:instrText xml:space="preserve"> PAGEREF _Toc54104414 \h </w:instrText>
      </w:r>
      <w:r>
        <w:rPr>
          <w:rFonts w:ascii="宋体" w:hAnsi="宋体"/>
          <w:sz w:val="24"/>
        </w:rPr>
        <w:fldChar w:fldCharType="separate"/>
      </w:r>
      <w:r>
        <w:rPr>
          <w:rFonts w:ascii="宋体" w:hAnsi="宋体"/>
          <w:sz w:val="24"/>
        </w:rPr>
        <w:t>68</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"_Toc54104415" </w:instrText>
      </w:r>
      <w:r>
        <w:fldChar w:fldCharType="separate"/>
      </w:r>
      <w:r>
        <w:rPr>
          <w:rStyle w:val="18"/>
          <w:rFonts w:hint="eastAsia" w:ascii="宋体" w:hAnsi="宋体"/>
          <w:sz w:val="24"/>
        </w:rPr>
        <w:t>十一、基金的业绩</w:t>
      </w:r>
      <w:r>
        <w:rPr>
          <w:rFonts w:ascii="宋体" w:hAnsi="宋体"/>
          <w:sz w:val="24"/>
        </w:rPr>
        <w:tab/>
      </w:r>
      <w:r>
        <w:rPr>
          <w:rFonts w:ascii="宋体" w:hAnsi="宋体"/>
          <w:sz w:val="24"/>
        </w:rPr>
        <w:fldChar w:fldCharType="begin"/>
      </w:r>
      <w:r>
        <w:rPr>
          <w:rFonts w:ascii="宋体" w:hAnsi="宋体"/>
          <w:sz w:val="24"/>
        </w:rPr>
        <w:instrText xml:space="preserve"> PAGEREF _Toc54104415 \h </w:instrText>
      </w:r>
      <w:r>
        <w:rPr>
          <w:rFonts w:ascii="宋体" w:hAnsi="宋体"/>
          <w:sz w:val="24"/>
        </w:rPr>
        <w:fldChar w:fldCharType="separate"/>
      </w:r>
      <w:r>
        <w:rPr>
          <w:rFonts w:ascii="宋体" w:hAnsi="宋体"/>
          <w:sz w:val="24"/>
        </w:rPr>
        <w:t>78</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"_Toc54104416" </w:instrText>
      </w:r>
      <w:r>
        <w:fldChar w:fldCharType="separate"/>
      </w:r>
      <w:r>
        <w:rPr>
          <w:rStyle w:val="18"/>
          <w:rFonts w:hint="eastAsia" w:ascii="宋体" w:hAnsi="宋体"/>
          <w:sz w:val="24"/>
        </w:rPr>
        <w:t>十二、基金的财产</w:t>
      </w:r>
      <w:r>
        <w:rPr>
          <w:rFonts w:ascii="宋体" w:hAnsi="宋体"/>
          <w:sz w:val="24"/>
        </w:rPr>
        <w:tab/>
      </w:r>
      <w:r>
        <w:rPr>
          <w:rFonts w:ascii="宋体" w:hAnsi="宋体"/>
          <w:sz w:val="24"/>
        </w:rPr>
        <w:fldChar w:fldCharType="begin"/>
      </w:r>
      <w:r>
        <w:rPr>
          <w:rFonts w:ascii="宋体" w:hAnsi="宋体"/>
          <w:sz w:val="24"/>
        </w:rPr>
        <w:instrText xml:space="preserve"> PAGEREF _Toc54104416 \h </w:instrText>
      </w:r>
      <w:r>
        <w:rPr>
          <w:rFonts w:ascii="宋体" w:hAnsi="宋体"/>
          <w:sz w:val="24"/>
        </w:rPr>
        <w:fldChar w:fldCharType="separate"/>
      </w:r>
      <w:r>
        <w:rPr>
          <w:rFonts w:ascii="宋体" w:hAnsi="宋体"/>
          <w:sz w:val="24"/>
        </w:rPr>
        <w:t>80</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"_Toc54104417" </w:instrText>
      </w:r>
      <w:r>
        <w:fldChar w:fldCharType="separate"/>
      </w:r>
      <w:r>
        <w:rPr>
          <w:rStyle w:val="18"/>
          <w:rFonts w:hint="eastAsia" w:ascii="宋体" w:hAnsi="宋体"/>
          <w:sz w:val="24"/>
        </w:rPr>
        <w:t>十三、基金资产的估值</w:t>
      </w:r>
      <w:r>
        <w:rPr>
          <w:rFonts w:ascii="宋体" w:hAnsi="宋体"/>
          <w:sz w:val="24"/>
        </w:rPr>
        <w:tab/>
      </w:r>
      <w:r>
        <w:rPr>
          <w:rFonts w:ascii="宋体" w:hAnsi="宋体"/>
          <w:sz w:val="24"/>
        </w:rPr>
        <w:fldChar w:fldCharType="begin"/>
      </w:r>
      <w:r>
        <w:rPr>
          <w:rFonts w:ascii="宋体" w:hAnsi="宋体"/>
          <w:sz w:val="24"/>
        </w:rPr>
        <w:instrText xml:space="preserve"> PAGEREF _Toc54104417 \h </w:instrText>
      </w:r>
      <w:r>
        <w:rPr>
          <w:rFonts w:ascii="宋体" w:hAnsi="宋体"/>
          <w:sz w:val="24"/>
        </w:rPr>
        <w:fldChar w:fldCharType="separate"/>
      </w:r>
      <w:r>
        <w:rPr>
          <w:rFonts w:ascii="宋体" w:hAnsi="宋体"/>
          <w:sz w:val="24"/>
        </w:rPr>
        <w:t>81</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"_Toc54104418" </w:instrText>
      </w:r>
      <w:r>
        <w:fldChar w:fldCharType="separate"/>
      </w:r>
      <w:r>
        <w:rPr>
          <w:rStyle w:val="18"/>
          <w:rFonts w:hint="eastAsia" w:ascii="宋体" w:hAnsi="宋体"/>
          <w:sz w:val="24"/>
        </w:rPr>
        <w:t>十四、基金的收益与分配</w:t>
      </w:r>
      <w:r>
        <w:rPr>
          <w:rFonts w:ascii="宋体" w:hAnsi="宋体"/>
          <w:sz w:val="24"/>
        </w:rPr>
        <w:tab/>
      </w:r>
      <w:r>
        <w:rPr>
          <w:rFonts w:ascii="宋体" w:hAnsi="宋体"/>
          <w:sz w:val="24"/>
        </w:rPr>
        <w:fldChar w:fldCharType="begin"/>
      </w:r>
      <w:r>
        <w:rPr>
          <w:rFonts w:ascii="宋体" w:hAnsi="宋体"/>
          <w:sz w:val="24"/>
        </w:rPr>
        <w:instrText xml:space="preserve"> PAGEREF _Toc54104418 \h </w:instrText>
      </w:r>
      <w:r>
        <w:rPr>
          <w:rFonts w:ascii="宋体" w:hAnsi="宋体"/>
          <w:sz w:val="24"/>
        </w:rPr>
        <w:fldChar w:fldCharType="separate"/>
      </w:r>
      <w:r>
        <w:rPr>
          <w:rFonts w:ascii="宋体" w:hAnsi="宋体"/>
          <w:sz w:val="24"/>
        </w:rPr>
        <w:t>88</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"_Toc54104419" </w:instrText>
      </w:r>
      <w:r>
        <w:fldChar w:fldCharType="separate"/>
      </w:r>
      <w:r>
        <w:rPr>
          <w:rStyle w:val="18"/>
          <w:rFonts w:hint="eastAsia" w:ascii="宋体" w:hAnsi="宋体"/>
          <w:sz w:val="24"/>
        </w:rPr>
        <w:t>十五、基金的费用与税收</w:t>
      </w:r>
      <w:r>
        <w:rPr>
          <w:rFonts w:ascii="宋体" w:hAnsi="宋体"/>
          <w:sz w:val="24"/>
        </w:rPr>
        <w:tab/>
      </w:r>
      <w:r>
        <w:rPr>
          <w:rFonts w:ascii="宋体" w:hAnsi="宋体"/>
          <w:sz w:val="24"/>
        </w:rPr>
        <w:fldChar w:fldCharType="begin"/>
      </w:r>
      <w:r>
        <w:rPr>
          <w:rFonts w:ascii="宋体" w:hAnsi="宋体"/>
          <w:sz w:val="24"/>
        </w:rPr>
        <w:instrText xml:space="preserve"> PAGEREF _Toc54104419 \h </w:instrText>
      </w:r>
      <w:r>
        <w:rPr>
          <w:rFonts w:ascii="宋体" w:hAnsi="宋体"/>
          <w:sz w:val="24"/>
        </w:rPr>
        <w:fldChar w:fldCharType="separate"/>
      </w:r>
      <w:r>
        <w:rPr>
          <w:rFonts w:ascii="宋体" w:hAnsi="宋体"/>
          <w:sz w:val="24"/>
        </w:rPr>
        <w:t>90</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"_Toc54104420" </w:instrText>
      </w:r>
      <w:r>
        <w:fldChar w:fldCharType="separate"/>
      </w:r>
      <w:r>
        <w:rPr>
          <w:rStyle w:val="18"/>
          <w:rFonts w:hint="eastAsia" w:ascii="宋体" w:hAnsi="宋体"/>
          <w:sz w:val="24"/>
        </w:rPr>
        <w:t>十六、基金的会计与审计</w:t>
      </w:r>
      <w:r>
        <w:rPr>
          <w:rFonts w:ascii="宋体" w:hAnsi="宋体"/>
          <w:sz w:val="24"/>
        </w:rPr>
        <w:tab/>
      </w:r>
      <w:r>
        <w:rPr>
          <w:rFonts w:ascii="宋体" w:hAnsi="宋体"/>
          <w:sz w:val="24"/>
        </w:rPr>
        <w:fldChar w:fldCharType="begin"/>
      </w:r>
      <w:r>
        <w:rPr>
          <w:rFonts w:ascii="宋体" w:hAnsi="宋体"/>
          <w:sz w:val="24"/>
        </w:rPr>
        <w:instrText xml:space="preserve"> PAGEREF _Toc54104420 \h </w:instrText>
      </w:r>
      <w:r>
        <w:rPr>
          <w:rFonts w:ascii="宋体" w:hAnsi="宋体"/>
          <w:sz w:val="24"/>
        </w:rPr>
        <w:fldChar w:fldCharType="separate"/>
      </w:r>
      <w:r>
        <w:rPr>
          <w:rFonts w:ascii="宋体" w:hAnsi="宋体"/>
          <w:sz w:val="24"/>
        </w:rPr>
        <w:t>92</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"_Toc54104421" </w:instrText>
      </w:r>
      <w:r>
        <w:fldChar w:fldCharType="separate"/>
      </w:r>
      <w:r>
        <w:rPr>
          <w:rStyle w:val="18"/>
          <w:rFonts w:hint="eastAsia" w:ascii="宋体" w:hAnsi="宋体"/>
          <w:sz w:val="24"/>
        </w:rPr>
        <w:t>十七、基金的信息披露</w:t>
      </w:r>
      <w:r>
        <w:rPr>
          <w:rFonts w:ascii="宋体" w:hAnsi="宋体"/>
          <w:sz w:val="24"/>
        </w:rPr>
        <w:tab/>
      </w:r>
      <w:r>
        <w:rPr>
          <w:rFonts w:ascii="宋体" w:hAnsi="宋体"/>
          <w:sz w:val="24"/>
        </w:rPr>
        <w:fldChar w:fldCharType="begin"/>
      </w:r>
      <w:r>
        <w:rPr>
          <w:rFonts w:ascii="宋体" w:hAnsi="宋体"/>
          <w:sz w:val="24"/>
        </w:rPr>
        <w:instrText xml:space="preserve"> PAGEREF _Toc54104421 \h </w:instrText>
      </w:r>
      <w:r>
        <w:rPr>
          <w:rFonts w:ascii="宋体" w:hAnsi="宋体"/>
          <w:sz w:val="24"/>
        </w:rPr>
        <w:fldChar w:fldCharType="separate"/>
      </w:r>
      <w:r>
        <w:rPr>
          <w:rFonts w:ascii="宋体" w:hAnsi="宋体"/>
          <w:sz w:val="24"/>
        </w:rPr>
        <w:t>93</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"_Toc54104422" </w:instrText>
      </w:r>
      <w:r>
        <w:fldChar w:fldCharType="separate"/>
      </w:r>
      <w:r>
        <w:rPr>
          <w:rStyle w:val="18"/>
          <w:rFonts w:hint="eastAsia" w:ascii="宋体" w:hAnsi="宋体"/>
          <w:sz w:val="24"/>
        </w:rPr>
        <w:t>十八、风险揭示</w:t>
      </w:r>
      <w:r>
        <w:rPr>
          <w:rFonts w:ascii="宋体" w:hAnsi="宋体"/>
          <w:sz w:val="24"/>
        </w:rPr>
        <w:tab/>
      </w:r>
      <w:r>
        <w:rPr>
          <w:rFonts w:ascii="宋体" w:hAnsi="宋体"/>
          <w:sz w:val="24"/>
        </w:rPr>
        <w:fldChar w:fldCharType="begin"/>
      </w:r>
      <w:r>
        <w:rPr>
          <w:rFonts w:ascii="宋体" w:hAnsi="宋体"/>
          <w:sz w:val="24"/>
        </w:rPr>
        <w:instrText xml:space="preserve"> PAGEREF _Toc54104422 \h </w:instrText>
      </w:r>
      <w:r>
        <w:rPr>
          <w:rFonts w:ascii="宋体" w:hAnsi="宋体"/>
          <w:sz w:val="24"/>
        </w:rPr>
        <w:fldChar w:fldCharType="separate"/>
      </w:r>
      <w:r>
        <w:rPr>
          <w:rFonts w:ascii="宋体" w:hAnsi="宋体"/>
          <w:sz w:val="24"/>
        </w:rPr>
        <w:t>99</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"_Toc54104423" </w:instrText>
      </w:r>
      <w:r>
        <w:fldChar w:fldCharType="separate"/>
      </w:r>
      <w:r>
        <w:rPr>
          <w:rStyle w:val="18"/>
          <w:rFonts w:hint="eastAsia" w:ascii="宋体" w:hAnsi="宋体"/>
          <w:sz w:val="24"/>
        </w:rPr>
        <w:t>十九、基金合同的终止与基金财产的清算</w:t>
      </w:r>
      <w:r>
        <w:rPr>
          <w:rFonts w:ascii="宋体" w:hAnsi="宋体"/>
          <w:sz w:val="24"/>
        </w:rPr>
        <w:tab/>
      </w:r>
      <w:r>
        <w:rPr>
          <w:rFonts w:ascii="宋体" w:hAnsi="宋体"/>
          <w:sz w:val="24"/>
        </w:rPr>
        <w:fldChar w:fldCharType="begin"/>
      </w:r>
      <w:r>
        <w:rPr>
          <w:rFonts w:ascii="宋体" w:hAnsi="宋体"/>
          <w:sz w:val="24"/>
        </w:rPr>
        <w:instrText xml:space="preserve"> PAGEREF _Toc54104423 \h </w:instrText>
      </w:r>
      <w:r>
        <w:rPr>
          <w:rFonts w:ascii="宋体" w:hAnsi="宋体"/>
          <w:sz w:val="24"/>
        </w:rPr>
        <w:fldChar w:fldCharType="separate"/>
      </w:r>
      <w:r>
        <w:rPr>
          <w:rFonts w:ascii="宋体" w:hAnsi="宋体"/>
          <w:sz w:val="24"/>
        </w:rPr>
        <w:t>105</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"_Toc54104424" </w:instrText>
      </w:r>
      <w:r>
        <w:fldChar w:fldCharType="separate"/>
      </w:r>
      <w:r>
        <w:rPr>
          <w:rStyle w:val="18"/>
          <w:rFonts w:hint="eastAsia" w:ascii="宋体" w:hAnsi="宋体"/>
          <w:sz w:val="24"/>
        </w:rPr>
        <w:t>二十、基金合同的内容摘要</w:t>
      </w:r>
      <w:r>
        <w:rPr>
          <w:rFonts w:ascii="宋体" w:hAnsi="宋体"/>
          <w:sz w:val="24"/>
        </w:rPr>
        <w:tab/>
      </w:r>
      <w:r>
        <w:rPr>
          <w:rFonts w:ascii="宋体" w:hAnsi="宋体"/>
          <w:sz w:val="24"/>
        </w:rPr>
        <w:fldChar w:fldCharType="begin"/>
      </w:r>
      <w:r>
        <w:rPr>
          <w:rFonts w:ascii="宋体" w:hAnsi="宋体"/>
          <w:sz w:val="24"/>
        </w:rPr>
        <w:instrText xml:space="preserve"> PAGEREF _Toc54104424 \h </w:instrText>
      </w:r>
      <w:r>
        <w:rPr>
          <w:rFonts w:ascii="宋体" w:hAnsi="宋体"/>
          <w:sz w:val="24"/>
        </w:rPr>
        <w:fldChar w:fldCharType="separate"/>
      </w:r>
      <w:r>
        <w:rPr>
          <w:rFonts w:ascii="宋体" w:hAnsi="宋体"/>
          <w:sz w:val="24"/>
        </w:rPr>
        <w:t>107</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"_Toc54104425" </w:instrText>
      </w:r>
      <w:r>
        <w:fldChar w:fldCharType="separate"/>
      </w:r>
      <w:r>
        <w:rPr>
          <w:rStyle w:val="18"/>
          <w:rFonts w:hint="eastAsia" w:ascii="宋体" w:hAnsi="宋体"/>
          <w:sz w:val="24"/>
        </w:rPr>
        <w:t>二十一、托管协议的内容摘要</w:t>
      </w:r>
      <w:r>
        <w:rPr>
          <w:rFonts w:ascii="宋体" w:hAnsi="宋体"/>
          <w:sz w:val="24"/>
        </w:rPr>
        <w:tab/>
      </w:r>
      <w:r>
        <w:rPr>
          <w:rFonts w:ascii="宋体" w:hAnsi="宋体"/>
          <w:sz w:val="24"/>
        </w:rPr>
        <w:fldChar w:fldCharType="begin"/>
      </w:r>
      <w:r>
        <w:rPr>
          <w:rFonts w:ascii="宋体" w:hAnsi="宋体"/>
          <w:sz w:val="24"/>
        </w:rPr>
        <w:instrText xml:space="preserve"> PAGEREF _Toc54104425 \h </w:instrText>
      </w:r>
      <w:r>
        <w:rPr>
          <w:rFonts w:ascii="宋体" w:hAnsi="宋体"/>
          <w:sz w:val="24"/>
        </w:rPr>
        <w:fldChar w:fldCharType="separate"/>
      </w:r>
      <w:r>
        <w:rPr>
          <w:rFonts w:ascii="宋体" w:hAnsi="宋体"/>
          <w:sz w:val="24"/>
        </w:rPr>
        <w:t>122</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"_Toc54104426" </w:instrText>
      </w:r>
      <w:r>
        <w:fldChar w:fldCharType="separate"/>
      </w:r>
      <w:r>
        <w:rPr>
          <w:rStyle w:val="18"/>
          <w:rFonts w:hint="eastAsia" w:ascii="宋体" w:hAnsi="宋体"/>
          <w:sz w:val="24"/>
        </w:rPr>
        <w:t>二十二、对基金份额持有人的服务</w:t>
      </w:r>
      <w:r>
        <w:rPr>
          <w:rFonts w:ascii="宋体" w:hAnsi="宋体"/>
          <w:sz w:val="24"/>
        </w:rPr>
        <w:tab/>
      </w:r>
      <w:r>
        <w:rPr>
          <w:rFonts w:ascii="宋体" w:hAnsi="宋体"/>
          <w:sz w:val="24"/>
        </w:rPr>
        <w:fldChar w:fldCharType="begin"/>
      </w:r>
      <w:r>
        <w:rPr>
          <w:rFonts w:ascii="宋体" w:hAnsi="宋体"/>
          <w:sz w:val="24"/>
        </w:rPr>
        <w:instrText xml:space="preserve"> PAGEREF _Toc54104426 \h </w:instrText>
      </w:r>
      <w:r>
        <w:rPr>
          <w:rFonts w:ascii="宋体" w:hAnsi="宋体"/>
          <w:sz w:val="24"/>
        </w:rPr>
        <w:fldChar w:fldCharType="separate"/>
      </w:r>
      <w:r>
        <w:rPr>
          <w:rFonts w:ascii="宋体" w:hAnsi="宋体"/>
          <w:sz w:val="24"/>
        </w:rPr>
        <w:t>139</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"_Toc54104427" </w:instrText>
      </w:r>
      <w:r>
        <w:fldChar w:fldCharType="separate"/>
      </w:r>
      <w:r>
        <w:rPr>
          <w:rStyle w:val="18"/>
          <w:rFonts w:hint="eastAsia" w:ascii="宋体" w:hAnsi="宋体"/>
          <w:sz w:val="24"/>
        </w:rPr>
        <w:t>二十三、其他应披露事项</w:t>
      </w:r>
      <w:r>
        <w:rPr>
          <w:rFonts w:ascii="宋体" w:hAnsi="宋体"/>
          <w:sz w:val="24"/>
        </w:rPr>
        <w:tab/>
      </w:r>
      <w:r>
        <w:rPr>
          <w:rFonts w:ascii="宋体" w:hAnsi="宋体"/>
          <w:sz w:val="24"/>
        </w:rPr>
        <w:fldChar w:fldCharType="begin"/>
      </w:r>
      <w:r>
        <w:rPr>
          <w:rFonts w:ascii="宋体" w:hAnsi="宋体"/>
          <w:sz w:val="24"/>
        </w:rPr>
        <w:instrText xml:space="preserve"> PAGEREF _Toc54104427 \h </w:instrText>
      </w:r>
      <w:r>
        <w:rPr>
          <w:rFonts w:ascii="宋体" w:hAnsi="宋体"/>
          <w:sz w:val="24"/>
        </w:rPr>
        <w:fldChar w:fldCharType="separate"/>
      </w:r>
      <w:r>
        <w:rPr>
          <w:rFonts w:ascii="宋体" w:hAnsi="宋体"/>
          <w:sz w:val="24"/>
        </w:rPr>
        <w:t>141</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sz w:val="24"/>
        </w:rPr>
      </w:pPr>
      <w:r>
        <w:fldChar w:fldCharType="begin"/>
      </w:r>
      <w:r>
        <w:instrText xml:space="preserve"> HYPERLINK \l "_Toc54104428" </w:instrText>
      </w:r>
      <w:r>
        <w:fldChar w:fldCharType="separate"/>
      </w:r>
      <w:r>
        <w:rPr>
          <w:rStyle w:val="18"/>
          <w:rFonts w:hint="eastAsia" w:ascii="宋体" w:hAnsi="宋体"/>
          <w:sz w:val="24"/>
        </w:rPr>
        <w:t>二十四、招募说明书的存放及查阅方式</w:t>
      </w:r>
      <w:r>
        <w:rPr>
          <w:rFonts w:ascii="宋体" w:hAnsi="宋体"/>
          <w:sz w:val="24"/>
        </w:rPr>
        <w:tab/>
      </w:r>
      <w:r>
        <w:rPr>
          <w:rFonts w:ascii="宋体" w:hAnsi="宋体"/>
          <w:sz w:val="24"/>
        </w:rPr>
        <w:fldChar w:fldCharType="begin"/>
      </w:r>
      <w:r>
        <w:rPr>
          <w:rFonts w:ascii="宋体" w:hAnsi="宋体"/>
          <w:sz w:val="24"/>
        </w:rPr>
        <w:instrText xml:space="preserve"> PAGEREF _Toc54104428 \h </w:instrText>
      </w:r>
      <w:r>
        <w:rPr>
          <w:rFonts w:ascii="宋体" w:hAnsi="宋体"/>
          <w:sz w:val="24"/>
        </w:rPr>
        <w:fldChar w:fldCharType="separate"/>
      </w:r>
      <w:r>
        <w:rPr>
          <w:rFonts w:ascii="宋体" w:hAnsi="宋体"/>
          <w:sz w:val="24"/>
        </w:rPr>
        <w:t>143</w:t>
      </w:r>
      <w:r>
        <w:rPr>
          <w:rFonts w:ascii="宋体" w:hAnsi="宋体"/>
          <w:sz w:val="24"/>
        </w:rPr>
        <w:fldChar w:fldCharType="end"/>
      </w:r>
      <w:r>
        <w:rPr>
          <w:rFonts w:ascii="宋体" w:hAnsi="宋体"/>
          <w:sz w:val="24"/>
        </w:rPr>
        <w:fldChar w:fldCharType="end"/>
      </w:r>
    </w:p>
    <w:p>
      <w:pPr>
        <w:pStyle w:val="10"/>
        <w:tabs>
          <w:tab w:val="right" w:leader="dot" w:pos="8550"/>
        </w:tabs>
        <w:spacing w:line="360" w:lineRule="auto"/>
        <w:rPr>
          <w:rFonts w:ascii="宋体" w:hAnsi="宋体"/>
          <w:color w:val="000000"/>
          <w:sz w:val="24"/>
        </w:rPr>
      </w:pPr>
      <w:r>
        <w:fldChar w:fldCharType="begin"/>
      </w:r>
      <w:r>
        <w:instrText xml:space="preserve"> HYPERLINK \l "_Toc54104429" </w:instrText>
      </w:r>
      <w:r>
        <w:fldChar w:fldCharType="separate"/>
      </w:r>
      <w:r>
        <w:rPr>
          <w:rStyle w:val="18"/>
          <w:rFonts w:hint="eastAsia" w:ascii="宋体" w:hAnsi="宋体"/>
          <w:sz w:val="24"/>
        </w:rPr>
        <w:t>二十五、备查文件</w:t>
      </w:r>
      <w:r>
        <w:rPr>
          <w:rFonts w:ascii="宋体" w:hAnsi="宋体"/>
          <w:sz w:val="24"/>
        </w:rPr>
        <w:tab/>
      </w:r>
      <w:r>
        <w:rPr>
          <w:rFonts w:ascii="宋体" w:hAnsi="宋体"/>
          <w:sz w:val="24"/>
        </w:rPr>
        <w:fldChar w:fldCharType="begin"/>
      </w:r>
      <w:r>
        <w:rPr>
          <w:rFonts w:ascii="宋体" w:hAnsi="宋体"/>
          <w:sz w:val="24"/>
        </w:rPr>
        <w:instrText xml:space="preserve"> PAGEREF _Toc54104429 \h </w:instrText>
      </w:r>
      <w:r>
        <w:rPr>
          <w:rFonts w:ascii="宋体" w:hAnsi="宋体"/>
          <w:sz w:val="24"/>
        </w:rPr>
        <w:fldChar w:fldCharType="separate"/>
      </w:r>
      <w:r>
        <w:rPr>
          <w:rFonts w:ascii="宋体" w:hAnsi="宋体"/>
          <w:sz w:val="24"/>
        </w:rPr>
        <w:t>144</w:t>
      </w:r>
      <w:r>
        <w:rPr>
          <w:rFonts w:ascii="宋体" w:hAnsi="宋体"/>
          <w:sz w:val="24"/>
        </w:rPr>
        <w:fldChar w:fldCharType="end"/>
      </w:r>
      <w:r>
        <w:rPr>
          <w:rFonts w:ascii="宋体" w:hAnsi="宋体"/>
          <w:sz w:val="24"/>
        </w:rPr>
        <w:fldChar w:fldCharType="end"/>
      </w:r>
      <w:r>
        <w:rPr>
          <w:rFonts w:ascii="宋体" w:hAnsi="宋体"/>
          <w:color w:val="000000"/>
          <w:position w:val="-4"/>
          <w:sz w:val="24"/>
          <w:szCs w:val="30"/>
        </w:rPr>
        <w:fldChar w:fldCharType="end"/>
      </w:r>
    </w:p>
    <w:p>
      <w:pPr>
        <w:autoSpaceDE w:val="0"/>
        <w:autoSpaceDN w:val="0"/>
        <w:adjustRightInd w:val="0"/>
        <w:snapToGrid w:val="0"/>
        <w:spacing w:line="360" w:lineRule="auto"/>
        <w:ind w:left="120" w:right="13" w:rightChars="6"/>
        <w:rPr>
          <w:rFonts w:ascii="宋体" w:hAnsi="宋体"/>
          <w:kern w:val="0"/>
          <w:szCs w:val="24"/>
        </w:rPr>
        <w:sectPr>
          <w:pgSz w:w="11920" w:h="16840"/>
          <w:pgMar w:top="1480" w:right="1680" w:bottom="280" w:left="1680" w:header="0" w:footer="1073" w:gutter="0"/>
          <w:cols w:space="720" w:num="1"/>
        </w:sectPr>
      </w:pPr>
    </w:p>
    <w:p>
      <w:pPr>
        <w:pStyle w:val="2"/>
        <w:snapToGrid w:val="0"/>
        <w:spacing w:before="240" w:beforeLines="0" w:after="240"/>
        <w:rPr>
          <w:rFonts w:ascii="宋体" w:hAnsi="宋体"/>
          <w:szCs w:val="30"/>
        </w:rPr>
      </w:pPr>
      <w:bookmarkStart w:id="3" w:name="_Toc54104405"/>
      <w:r>
        <w:rPr>
          <w:rFonts w:ascii="Times New Roman" w:hAnsi="Times New Roman"/>
          <w:sz w:val="30"/>
        </w:rPr>
        <w:t>一、绪言</w:t>
      </w:r>
      <w:bookmarkEnd w:id="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深证300价值交易型开放式指数证券投资基金联接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w:t>
      </w:r>
      <w:r>
        <w:rPr>
          <w:rFonts w:hint="eastAsia" w:ascii="Times New Roman" w:hAnsi="Times New Roman"/>
          <w:sz w:val="24"/>
        </w:rPr>
        <w:t>、《公开募集证券投资基金运作指引第3号——指数基金指引》（以下简称“《指数基金指引》”）</w:t>
      </w:r>
      <w:r>
        <w:rPr>
          <w:rFonts w:ascii="Times New Roman" w:hAnsi="Times New Roman"/>
          <w:sz w:val="24"/>
        </w:rPr>
        <w:t>和其他相关法律法规的规定以及《交银施罗德深证300价值交易型开放式指数证券投资基金联接基金基金合同》（以下简称“基金合同”）编写。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4" w:name="_Toc54104406"/>
      <w:r>
        <w:rPr>
          <w:rFonts w:ascii="Times New Roman" w:hAnsi="Times New Roman"/>
          <w:sz w:val="30"/>
        </w:rPr>
        <w:t>二、释义</w:t>
      </w:r>
      <w:bookmarkEnd w:id="4"/>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在本招募说明书中，除非文意另有所指，下列词语或简称具有如下含义：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1、基金或本基金：指交银施罗德深证300价值交易型开放式指数证券投资基金联接基金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2、基金管理人或本基金管理人：指交银施罗德基金管理有限公司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3、基金托管人或本基金托管人：指中国农业银行股份有限公司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4、基金合同或本基金合同：指《交银施罗德深证300价值交易型开放式指数证券投资基金联接基金基金合同》及对基金合同的任何有效修订和补充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5、托管协议：指基金管理人与基金托管人就本基金签订之《交银施罗德深证300价值交易型开放式指数证券投资基金联接基金托管协议》及对该托管协议的任何有效修订和补充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6、招募说明书或本招募说明书：指《交银施罗德深证300价值交易型开放式指数证券投资基金联接基金招募说明书》，及其更新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7、基金份额发售公告：指《交银施罗德深证300价值交易型开放式指数证券投资基金联接基金份额发售公告》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8、基金产品资料概要：指《交银施罗德深证300价值交易型开放式指数证券投资基金基金产品资料概要》及其更新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9、法律法规：指中国现行有效并公布实施的法律、行政法规、部门规章、规范性文件及对该等法律法规不时作出的修订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10、《基金法》：指2003年10月28日经第十届全国人民代表大会常务委员会第五次会议通过，自2004年6月1日起实施的《中华人民共和国证券投资基金法》及颁布机关对其不时作出的修订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11、《证券法》：指2005年10月27日经第十届全国人民代表大会常务委员会第十八次会议通过，自2006年1月1日实施的《中华人民共和国证券法》及对其不时做出的修订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12、《销售办法》：指中国证监会2011年6月9日颁布、同年10月1日实施的《证券投资基金销售管理办法》及对其不时作出的修订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13、《信息披露办法》：指中国证监会2019年7月26日颁布、同年9月1日实施的《公开募集证券投资基金信息披露管理办法》及对其不时作出的修订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14、《运作办法》：指中国证监会2004年6月29日颁布、同年7月1日实施的《证券投资基金运作管理办法》及对其不时作出的修订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15、《流动性规定》：指中国证监会2017年8月31日颁布、同年10月1日实施的《公开募集开放式证券投资基金流动性风险管理规定》及颁布机关对其不时做出的修订</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16、</w:t>
      </w:r>
      <w:r>
        <w:rPr>
          <w:rFonts w:ascii="Times New Roman" w:hAnsi="Times New Roman"/>
          <w:bCs/>
          <w:sz w:val="24"/>
        </w:rPr>
        <w:t>《</w:t>
      </w:r>
      <w:r>
        <w:rPr>
          <w:rFonts w:hint="eastAsia" w:ascii="Times New Roman" w:hAnsi="Times New Roman"/>
          <w:bCs/>
          <w:sz w:val="24"/>
        </w:rPr>
        <w:t>指数基金指引》：指中国证监会2021年1月22日颁布、同年2月1日实施的《公开募集证券投资基金运作指引第3号——指数基金指引》及颁布机关对其不时做出的修订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bCs/>
          <w:sz w:val="24"/>
        </w:rPr>
        <w:t>1</w:t>
      </w:r>
      <w:r>
        <w:rPr>
          <w:rFonts w:ascii="Times New Roman" w:hAnsi="Times New Roman"/>
          <w:bCs/>
          <w:sz w:val="24"/>
        </w:rPr>
        <w:t>7</w:t>
      </w:r>
      <w:r>
        <w:rPr>
          <w:rFonts w:hint="eastAsia" w:ascii="Times New Roman" w:hAnsi="Times New Roman"/>
          <w:bCs/>
          <w:sz w:val="24"/>
        </w:rPr>
        <w:t>、</w:t>
      </w:r>
      <w:r>
        <w:rPr>
          <w:rFonts w:ascii="Times New Roman" w:hAnsi="Times New Roman"/>
          <w:sz w:val="24"/>
        </w:rPr>
        <w:t>中国：指中华人民共和国，就本基金合同而言，不包括香港特别行政区、澳门特别行政区和台湾地区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18、中国证监会：指中国证券监督管理委员会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19、中国银监会：指中国银行业监督管理委员会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20、基金合同当事人：指受基金合同约束，根据基金合同享有权利并承担义务的法律主体，包括基金管理人、基金托管人和基金份额持有人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21、个人投资者：指符合法律法规规定的条件可以投资证券投资基金的自然人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22、机构投资者：指符合法律法规规定可以投资证券投资基金的在中国境内注册登记或经政府有关部门批准设立的机构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合格境外机构投资者：指符合《合格境外机构投资者境内证券投资管理办法》及其他相关法律法规规定的条件，经中国证监会批准可投资于中国证券市场，并取得国家外汇管理局额度批准的中国境外的机构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24、基金投资者或投资者：指个人投资者、机构投资者和合格境外机构投资者，以及法律法规或中国证监会允许购买证券投资基金的其他投资者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25、基金份额持有人：指依招募说明书和基金合同合法取得基金份额的基金投资者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26、基金销售业务：指基金的宣传推介、认购、申购、赎回、转换、转托管及定期定额投资等业务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27、销售机构：指直销机构和代销机构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28、直销机构：指交银施罗德基金管理有限公司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29、代销机构：指符合《销售办法》和中国证监会规定的其他条件，取得基金代销业务资格并与基金管理人签订了基金销售服务代理协议，代为办理基金销售业务的机构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30、基金销售网点：指直销机构的直销中心及代销机构的代销网点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注册登记业务：指基金登记、存管、过户、清算和结算业务，具体内容包括基金投资者基金账户的建立和管理、基金份额注册登记、基金销售业务的确认、清算和结算、代理发放红利、建立并保管基金份额持有人名册、办理非交易过户业务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32、注册登记机构：指办理注册登记业务的机构。基金的注册登记机构为交银施罗德基金管理有限公司或接受交银施罗德基金管理有限公司委托代为办理注册登记业务的机构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33、基金账户：指注册登记机构为基金投资者开立的、记录其持有的、基金管理人所管理的基金份额余额及其变动情况的账户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34、基金交易账户：指销售机构为基金投资者开立的、记录基金投资者通过该销售机构办理交易业务而引起的基金份额的变动及结余情况的账户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35、基金合同生效日：指基金募集期结束后达到法律法规规定及基金合同约定的备案条件，基金管理人聘请法定机构验资并向中国证监会办理基金备案手续完毕，并收到其书面确认的日期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36、基金合同终止日：指基金合同规定的基金合同终止事由出现后，基金财产清算完毕，清算结果报中国证监会备案并予以公告的日期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目标ETF：指另一获中国证监会核准的交易型开放式指数证券投资基金（简称ETF），该ETF和本基金所跟踪的标的指数相同，并且该ETF的投资目标和本基金的投资目标类似，本基金主要投资于该ETF以求达到投资目标。发售时，本基金选择深证300价值交易型开放式指数证券投资基金为目标ETF</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ETF联接基金或联接基金：指将绝大多数基金财产投资于跟踪同一标的指数的目标ETF，紧密跟踪标的指数表现，追求跟踪偏离度和跟踪误差最小化，采用开放式运作方式的基金，本基金是联接其所投资的目标ETF的ETF联接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39、基金募集期：指自基金份额发售之日起至发售结束之日止的期间，最长不得超过3个月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40、存续期：指基金合同生效至终止之间的不定期期限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41、工作日：指上海证券交易所、深圳证券交易所的正常交易日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42、日：指公历日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43、月：指公历月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44、T日：指销售机构在规定时间受理基金投资者申购、赎回或其他基金业务申请的工作日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45、T+n日：指自T日起第n个工作日（不包含T日）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46、开放日：指为基金投资者办理基金份额申购、赎回或其他业务的工作日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47、交易时间：指开放日基金接受申购、赎回或其他交易的时间段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48、认购：指在基金募集期间，基金投资者申请购买基金份额的行为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49、申购：指在基金存续期内，基金投资者按基金合同和招募说明书的规定申请购买基金份额的行为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50、赎回：指在基金存续期内基金份额持有人按基金合同和招募说明书的规定的条件要求申请将基金份额兑换为现金的行为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51、标的指数：指深证300价值价格指数及其未来可能发生的变更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52、基金转换：基金份额持有人按照基金合同和基金管理人届时有效公告规定的条件，向基金管理人提出申请将其所持有的基金管理人管理的某一开放式基金（转出基金）的全部或部分基金份额转换为基金管理人管理的其他开放式基金（转入基金）的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53、定期定额投资计划：指基金投资者通过有关销售机构提出申请，约定每期申购日、扣款金额及扣款方式，由销售机构在基金投资者指定银行账户内自动完成扣款并于每期约定的申购日提交基金申购申请的一种投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54、转托管：指基金份额持有人在本基金的不同销售机构之间实施变更所持基金份额销售机构的操作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55、巨额赎回：指本基金单个开放日，基金净赎回申请（赎回申请份额总数加上基金转换中转出申请份额总数后扣除申购申请份额总数及基金转换中转入申请份额总数后的余额）超过上一工作日基金总份额的10%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56、元：指人民币元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57、基金利润：指基金利息收入、投资收益、公允价值变动收益和其他收入扣除相关费用后的余额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58、基金资产总值：指基金拥有的包括目标ETF份额在内的各类有价证券、银行存款本息、基金应收款项及其他资产的价值总和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59、基金资产净值：指基金资产总值减去基金负债后的净资产值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60、基金份额净值：指计算日基金资产净值除以计算日基金份额总数的数值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61、基金资产估值：指计算评估基金资产和负债的价值，以确定基金资产净值和基金份额净值的过程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63、指定媒介：指中国证监会指定的用以进行信息披露的全国性报刊及指定互联网网站（包括基金管理人网站、基金托管人网站、中国证监会基金电子披露网站）等媒介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64、《业务规则》：指《交银施罗德基金管理有限公司开放式基金业务规则》，是规范基金管理人所管理的开放式证券投资基金注册登记方面的业务规则，由基金管理人制订、解释与修订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65、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5" w:name="_Toc54104407"/>
      <w:r>
        <w:rPr>
          <w:rFonts w:ascii="Times New Roman" w:hAnsi="Times New Roman"/>
          <w:sz w:val="30"/>
        </w:rPr>
        <w:t>三、基金管理人</w:t>
      </w:r>
      <w:bookmarkEnd w:id="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（一）基金管理人概况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注册资本：2亿元人民币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联系人：郭佳敏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电话：（021）61055050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交银施罗德基金管理有限公司（以下简称“公司”）经中国证监会证监基金字[2005]128号文批准设立。公司股权结构如下：</w:t>
      </w:r>
    </w:p>
    <w:tbl>
      <w:tblPr>
        <w:tblStyle w:val="14"/>
        <w:tblW w:w="5000" w:type="pct"/>
        <w:tblInd w:w="0" w:type="dxa"/>
        <w:tblLayout w:type="autofit"/>
        <w:tblCellMar>
          <w:top w:w="0" w:type="dxa"/>
          <w:left w:w="0" w:type="dxa"/>
          <w:bottom w:w="0" w:type="dxa"/>
          <w:right w:w="0" w:type="dxa"/>
        </w:tblCellMar>
      </w:tblPr>
      <w:tblGrid>
        <w:gridCol w:w="4335"/>
        <w:gridCol w:w="4335"/>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交通银行股份有限公司（以下使用全称或其简称“交通银行”）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（二）主要成员情况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1、基金管理人董事会成员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周曦女士，董事，硕士。现任交通银行总行个人金融业务部副总经理。历任交通银行湖南省分行风险管理部、资产保全部、法律合规部、个人金融业务部总经理，交通银行总行个人金融业务部总经理助理。</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李定邦（Lieven Debruyne）先生，董事，硕士。现任施罗德集团全球业务总裁、亚太区行政总裁, 担任集团管理委员会成员。历任施罗德投资管理有限公司亚洲投资产品总监，施罗德投资管理（香港）有限公司行政总裁兼亚太区基金业务拓展总监。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2、基金管理人监事会成员</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3、基金管理人高级管理人员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谢卫先生，总经理。简历同上。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rFonts w:hAnsi="宋体"/>
          <w:kern w:val="0"/>
          <w:sz w:val="24"/>
          <w:szCs w:val="20"/>
        </w:rPr>
      </w:pPr>
      <w:r>
        <w:rPr>
          <w:rFonts w:hint="eastAsia" w:hAnsi="宋体"/>
          <w:kern w:val="0"/>
          <w:sz w:val="24"/>
        </w:rPr>
        <w:t>马俊先生，副总经理、研究总监，硕士。历任交通银行总行投资管理部高级投资分析、副高级经理，交银施罗德基金管理有限公司总裁办公室总经理、研究部副总经理、研究总监、综合管理部总经理。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、本基金基金经理</w:t>
      </w:r>
      <w:r>
        <w:rPr>
          <w:rFonts w:hAnsi="宋体"/>
          <w:kern w:val="0"/>
          <w:sz w:val="24"/>
        </w:rPr>
        <w:t xml:space="preserve"> </w:t>
      </w:r>
    </w:p>
    <w:p>
      <w:pPr>
        <w:widowControl/>
        <w:adjustRightInd w:val="0"/>
        <w:snapToGrid w:val="0"/>
        <w:spacing w:line="360" w:lineRule="auto"/>
        <w:ind w:firstLine="480" w:firstLineChars="200"/>
        <w:rPr>
          <w:rFonts w:hint="eastAsia" w:hAnsi="宋体"/>
          <w:kern w:val="0"/>
          <w:sz w:val="24"/>
        </w:rPr>
      </w:pPr>
      <w:r>
        <w:rPr>
          <w:rFonts w:hint="eastAsia" w:hAnsi="宋体"/>
          <w:kern w:val="0"/>
          <w:sz w:val="24"/>
        </w:rPr>
        <w:t>邵文婷女士，基金经理。英国诺丁汉大学金融与投资硕士、西南财经大学数学与经济学双学士，5年证券投资行业从业经验。2016年加入交银施罗德基金管理有限公司，曾任量化投资部研究员、投资经理，现任量化投资部基金经理。现任上证180公司治理交易型开放式指数证券投资基金（2021年4月30日至今）、交银施罗德上证180公司治理交易型开放式证券投资基金联接基金（2021年4月30日至今）、深证300价值交易型开放式指数证券投资基金（2021年4月30日至今）、交银施罗德深证300价值交易型开放式指数证券投资基金联接基金（2021年4月30日至今）、交银施罗德国证新能源指数证券投资基金（LOF）（2021年4月30日至今）、交银施罗德中证环境治理指数型证券投资基金（LOF）（2021年4月30日至今）、交银施罗德创业板50指数型证券投资基金（2021年4月30日至今）、交银施罗德中证海外中国互联网指数型证券投资基金（LOF）</w:t>
      </w:r>
      <w:bookmarkStart w:id="28" w:name="_GoBack"/>
      <w:bookmarkEnd w:id="28"/>
      <w:r>
        <w:rPr>
          <w:rFonts w:hint="eastAsia" w:hAnsi="宋体"/>
          <w:kern w:val="0"/>
          <w:sz w:val="24"/>
        </w:rPr>
        <w:t>（2021年4月30日至今）的基金经理。</w:t>
      </w:r>
    </w:p>
    <w:p>
      <w:pPr>
        <w:widowControl/>
        <w:adjustRightInd w:val="0"/>
        <w:snapToGrid w:val="0"/>
        <w:spacing w:line="360" w:lineRule="auto"/>
        <w:ind w:firstLine="480" w:firstLineChars="200"/>
        <w:rPr>
          <w:rFonts w:hAnsi="宋体"/>
          <w:kern w:val="0"/>
          <w:sz w:val="24"/>
        </w:rPr>
      </w:pPr>
      <w:r>
        <w:rPr>
          <w:rFonts w:hAnsi="宋体"/>
          <w:kern w:val="0"/>
          <w:sz w:val="24"/>
        </w:rPr>
        <w:t>5</w:t>
      </w:r>
      <w:r>
        <w:rPr>
          <w:rFonts w:hint="eastAsia" w:hAnsi="宋体"/>
          <w:kern w:val="0"/>
          <w:sz w:val="24"/>
        </w:rPr>
        <w:t>、投资决策委员会成员</w:t>
      </w:r>
      <w:r>
        <w:rPr>
          <w:rFonts w:hAnsi="宋体"/>
          <w:kern w:val="0"/>
          <w:sz w:val="24"/>
        </w:rPr>
        <w:t xml:space="preserve"> </w:t>
      </w:r>
    </w:p>
    <w:p>
      <w:pPr>
        <w:adjustRightInd w:val="0"/>
        <w:snapToGrid w:val="0"/>
        <w:spacing w:line="360" w:lineRule="auto"/>
        <w:ind w:firstLine="480" w:firstLineChars="200"/>
        <w:rPr>
          <w:rFonts w:hAnsi="Times New Roman"/>
          <w:kern w:val="0"/>
          <w:sz w:val="24"/>
        </w:rPr>
      </w:pPr>
      <w:r>
        <w:rPr>
          <w:rFonts w:hint="eastAsia" w:ascii="宋体" w:hAnsi="宋体" w:cs="宋体"/>
          <w:kern w:val="0"/>
          <w:sz w:val="24"/>
        </w:rPr>
        <w:t>委员：</w:t>
      </w:r>
      <w:r>
        <w:rPr>
          <w:rFonts w:hint="eastAsia"/>
          <w:kern w:val="0"/>
          <w:sz w:val="24"/>
        </w:rPr>
        <w:t>谢卫（总经理）</w:t>
      </w:r>
    </w:p>
    <w:p>
      <w:pPr>
        <w:adjustRightInd w:val="0"/>
        <w:snapToGrid w:val="0"/>
        <w:spacing w:line="360" w:lineRule="auto"/>
        <w:ind w:firstLine="1200" w:firstLineChars="500"/>
        <w:rPr>
          <w:kern w:val="0"/>
          <w:sz w:val="24"/>
        </w:rPr>
      </w:pPr>
      <w:r>
        <w:rPr>
          <w:rFonts w:hint="eastAsia"/>
          <w:kern w:val="0"/>
          <w:sz w:val="24"/>
        </w:rPr>
        <w:t>马俊（副总经理、研究总监）</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adjustRightInd w:val="0"/>
        <w:snapToGrid w:val="0"/>
        <w:spacing w:line="360" w:lineRule="auto"/>
        <w:ind w:firstLine="1200" w:firstLineChars="500"/>
        <w:rPr>
          <w:kern w:val="0"/>
          <w:sz w:val="24"/>
        </w:rPr>
      </w:pPr>
      <w:r>
        <w:rPr>
          <w:rFonts w:hint="eastAsia"/>
          <w:kern w:val="0"/>
          <w:sz w:val="24"/>
        </w:rPr>
        <w:t>于海颖（固定收益（公募）投资总监、基金经理）</w:t>
      </w:r>
    </w:p>
    <w:p>
      <w:pPr>
        <w:adjustRightInd w:val="0"/>
        <w:snapToGrid w:val="0"/>
        <w:spacing w:line="360" w:lineRule="auto"/>
        <w:ind w:firstLine="480" w:firstLineChars="200"/>
        <w:rPr>
          <w:rFonts w:hAnsi="宋体"/>
          <w:kern w:val="0"/>
          <w:sz w:val="24"/>
        </w:rPr>
      </w:pPr>
      <w:r>
        <w:rPr>
          <w:rFonts w:hint="eastAsia"/>
          <w:kern w:val="0"/>
          <w:sz w:val="24"/>
          <w:szCs w:val="24"/>
        </w:rPr>
        <w:t>上述人员之间不存在近亲属关系。上述各项人员信息更新截止日为</w:t>
      </w:r>
      <w:r>
        <w:rPr>
          <w:kern w:val="0"/>
          <w:sz w:val="24"/>
          <w:szCs w:val="24"/>
        </w:rPr>
        <w:t>2021</w:t>
      </w:r>
      <w:r>
        <w:rPr>
          <w:rFonts w:hint="eastAsia"/>
          <w:kern w:val="0"/>
          <w:sz w:val="24"/>
          <w:szCs w:val="24"/>
        </w:rPr>
        <w:t>年</w:t>
      </w:r>
      <w:r>
        <w:rPr>
          <w:kern w:val="0"/>
          <w:sz w:val="24"/>
          <w:szCs w:val="24"/>
        </w:rPr>
        <w:t>5</w:t>
      </w:r>
      <w:r>
        <w:rPr>
          <w:rFonts w:hint="eastAsia"/>
          <w:kern w:val="0"/>
          <w:sz w:val="24"/>
          <w:szCs w:val="24"/>
        </w:rPr>
        <w:t>月</w:t>
      </w:r>
      <w:r>
        <w:rPr>
          <w:kern w:val="0"/>
          <w:sz w:val="24"/>
          <w:szCs w:val="24"/>
        </w:rPr>
        <w:t>6</w:t>
      </w:r>
      <w:r>
        <w:rPr>
          <w:rFonts w:hint="eastAsia"/>
          <w:kern w:val="0"/>
          <w:sz w:val="24"/>
          <w:szCs w:val="24"/>
        </w:rPr>
        <w:t>日，期后变动（如有）敬请关注基金管理人发布的相关公告。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（三）基金管理人的职责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1、依法募集基金，办理或者委托经中国证监会认定的其他机构代为办理基金份额的发售、申购、赎回和登记事宜；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3、对所管理的不同基金财产分别管理、分别记账，进行证券投资；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4、按照基金合同的约定确定基金收益分配方案，及时向基金份额持有人分配收益；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7、计算并公告基金净值信息，确定基金份额申购、赎回价格；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8、办理与基金财产管理业务活动有关的信息披露事项；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10、保存基金财产管理业务活动的记录、账册、报表和其他相关资料；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12、有关法律法规和中国证监会规定的其他职责。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（四）基金管理人的承诺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1、基金管理人承诺不从事违反《证券法》的行为，并承诺建立健全内部控制制度，采取有效措施，防止违反《证券法》行为的发生；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2、基金管理人承诺不从事违反《基金法》的行为，并承诺建立健全内部风险控制制度，采取有效措施，防止下列行为的发生：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（1）将基金管理人固有财产或者他人财产混同于基金财产从事证券投资；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（2）不公平地对待管理的不同基金财产；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（3）利用基金财产为基金份额持有人以外的第三人牟取利益；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（4）向基金份额持有人违规承诺收益或者承担损失；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（5）依照法律法规有关规定，由中国证监会规定禁止的其他行为。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3、基金管理人承诺严格遵守基金合同，并承诺建立健全内部控制制度，采取有效措施，防止违反基金合同行为的发生；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4、基金管理人承诺加强人员管理，强化职业操守，督促和约束员工遵守国家有关法律法规及行业规范，诚实信用、勤勉尽责；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5、基金管理人承诺不从事其他法规规定禁止从事的行为。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（五）基金经理承诺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1、依照有关法律法规和基金合同的规定，本着谨慎的原则为基金份额持有人谋取最大利益；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2、不利用职务之便为自己、受雇人或任何第三者谋取利益；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3、不泄露在任职期间知悉的有关证券、基金的商业秘密，尚未依法公开的基金投资内容、基金投资计划等信息；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4、不以任何形式为其他组织或个人进行证券交易。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（六）基金管理人的内部控制制度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1、风险管理的原则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全面性原则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公司风险管理必须覆盖公司的所有部门和岗位，渗透各项业务过程和业务环节。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 独立性原则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 相互制约原则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 定性和定量相结合原则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建立完备的风险管理指标体系，使风险管理更具客观性和操作性。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2、风险管理和内部风险控制体系结构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（1）董事会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负责制定公司的风险管理政策，对风险管理负完全的和最终的责任。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（3）合规审核及风险管理委员会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（4）风险控制委员会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（5）督察长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（6）风险管理部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（7）审计部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（8）法律合规部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（9）业务部门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3、风险管理和内部风险控制的措施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建立内控体系，完善内控制度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 建立相互分离、相互制衡的内控机制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建立、健全了各项制度，做到基金经理分开，投资决策分开，基金交易集中，形成不同部门、不同岗位之间的制衡机制，从制度上减少和防范风险。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 建立、健全岗位责任制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 建立风险分类、识别、评估、报告、提示程序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 建立有效的内部监控系统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 使用数量化的风险管理手段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 提供足够的培训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制定了完整的培训计划，为所有员工提供足够和适当的培训，使员工明确其职责所在，控制风险。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6" w:name="_Toc54104408"/>
      <w:r>
        <w:rPr>
          <w:rFonts w:ascii="Times New Roman" w:hAnsi="Times New Roman"/>
          <w:sz w:val="30"/>
        </w:rPr>
        <w:t>四、基金托管人</w:t>
      </w:r>
      <w:bookmarkEnd w:id="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（一）基金托管人情况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1、基本情况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名称：中国农业银行股份有限公司（简称中国农业银行）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成立日期：2009年1月15日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批准设立机关和批准设立文号：中国银监会银监复[2009]13号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基金托管资格批文及文号：中国证监会证监基字[1998]23号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注册资本：34,998,303.4万元人民币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联系电话：010-66060069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传真：010-68121816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联系人：贺倩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2、主要人员情况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3、基金托管业务经营情况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截止到2020年6月30日，中国农业银行托管的封闭式证券投资基金和开放式证券投资基金共529只。</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（二）基金托管人的内部风险控制制度说明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1、内部控制目标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2、内部控制组织结构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3、内部控制制度及措施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（三）基金托管人对基金管理人运作基金进行监督的方法和程序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当基金出现异常交易行为时，基金托管人应当针对不同情况进行以下方式的处理：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1、电话提示。对媒体和舆论反映集中的问题，电话提示基金管理人；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2、书面警示。对本基金投资比例接近超标、资金头寸不足等问题，以书面方式对基金管理人进行提示；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3、书面报告。对投资比例超标、清算资金透支以及其他涉嫌违规交易等行为，书面提示有关基金管理人并报中国证监会。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7" w:name="_Toc54104409"/>
      <w:r>
        <w:rPr>
          <w:rFonts w:ascii="Times New Roman" w:hAnsi="Times New Roman"/>
          <w:sz w:val="30"/>
        </w:rPr>
        <w:t>五、相关服务机构</w:t>
      </w:r>
      <w:bookmarkEnd w:id="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（一）基金份额销售机构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本基金直销机构为本公司直销柜台以及本公司的网上直销交易平台（网站及APP，下同）。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机构名称：交银施罗德基金管理有限公司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个人投资者可以通过基金管理人网上直销交易平台办理开户、本基金的申购、赎回、定期定额投资、转换等业务，具体交易细则请参阅基金管理人网站。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网上直销交易平台网址：www. 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2、场内代销机构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具有基金代销资格的上海证券交易所场内会员单位（具体名单见基金份额发售公告）。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3、场外代销机构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（1）名称：中国建设银行股份有限公司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住所：北京市西城区金融大街25号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办公地址：北京市西城区金融大街25号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法定代表人：田国立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电话：（010）66275654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传真：（010）66275654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网址：www.ccb.com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（2）名称：中国工商银行股份有限公司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住所：北京市复兴门内大街55号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办公地址：北京市复兴门内大街55号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法定代表人：易会满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网址：www.icbc.com.cn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（3）名称：华夏银行股份有限公司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住所：北京市东城区建国门内大街22号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办公地址：北京市东城区建国门内大街22号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法定代表人：李民吉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网址：www.hxb.com.cn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（4）名称：北京银行股份有限公司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住所：北京市西城区金融大街甲17号首层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办公地址：北京市西城区金融大街甲17号首层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法定代表人：张东宁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传真：（010）66226045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联系人：孔超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客户服务电话：95526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网址：www.bankofbeijing.com.cn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（5）名称：宁波银行股份有限公司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住所：宁波市江东区中山东路294号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法定代表人：陆华裕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电话：（021）63586210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传真：（021）63586215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联系人：胡技勋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客户服务电话：96528（上海地区962528）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网址：www.nbcb.com.cn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（6）名称：中国民生银行股份有限公司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住所：北京市西城区复兴门内大街2号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法定代表人：洪崎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电话：（010）58560666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传真：（010）57092611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联系人：许野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95568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网址：www.cmbc.com.cn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（7）名称：中国农业银行股份有限公司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联系电话：010-66060069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传真：010-68121816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联系人：贺倩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网址：www.abchina.com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（8）名称：上海银行股份有限公司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住所：上海市银城中路168号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办公地址：上海市银城中路168号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法定代表人：金煜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电话：（021）68475888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传真：（021）68476111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客户服务电话：（021）962888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网址：www.bankofshanghai.com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（9）名称：招商银行股份有限公司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法定代表人：李建红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电话：（0755）83198888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传真：（0755）83195109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联系人：邓炯鹏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网址：www.cmbchina.com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（10）名称：交通银行股份有限公司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法定代表人：彭纯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电话：（021）58781234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传真：（021）58408483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联系人：曹榕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网址：www.bankcomm.com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（11）名称：中信银行股份有限公司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住所：北京市东城区朝阳门北大街9号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办公地址：北京市东城区朝阳门北大街9号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法定代表人：李庆萍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电话：（010）89936330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传真：（010）85230024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联系人：丰靖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网址：bank.ecitic.com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（12）名称：东莞农村商业银行股份有限公司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住所：东莞市东城区鸿福东路2号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办公地址：东莞市东城区鸿福东路2号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法定代表人：王耀球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电话：（0769）22866254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传真：（0769）22866282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联系人：林培珊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客户服务电话：（0769）961122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网址：www.drcbank.com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（13）名称：江苏常熟农村商业银行股份有限公司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住所：江苏省常熟市新世纪大道58号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办公地址：江苏省常熟市新世纪大道58号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法定代表人：宋建明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联系电话：（0512）52909128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传真：（0512）52909122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联系人：黄晓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客户服务电话：962000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网址：www.csrcbank.com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（14）名称：江苏江南农村商业银行股份有限公司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住所：江苏省常州市和平中路413号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办公地址：江苏省常州市和平中路413号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法定代表人：陆向阳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电话：0519-80585939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传真：0519-89995170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联系人：蒋姣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客户服务电话：96005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网址：http://www.jnbank.com.cn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（15）名称：海通证券股份有限公司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住所：上海市淮海中路98号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办公地址：上海市广东路689号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法定代表人：王开国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电话：（021）23219000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传真：（021）23219100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联系人：李笑鸣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客户服务电话：95553或拨打各城市营业网点咨询电话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网址：www.htsec.com"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（16）名称：红塔证券股份有限公司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住所：云南省昆明市北京路155号附1号红塔大厦9楼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办公地址：云南省昆明市北京路155号附1号红塔大厦9楼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法定代表人：况雨林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客户服务电话：0871-3577888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网址：www.hongtastock.com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（17）名称：申万宏源证券有限公司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住所：上海市徐汇区长乐路989号世纪商贸广场45层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办公地址：上海市徐汇区长乐路989号世纪商贸广场45层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法定代表人：杨玉成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电话：（021）33389888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联系人：李清怡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客户服务电话：95523或4008895523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网址：www.sywg.com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（18）名称：联讯证券股份有限公司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惠州市江北东江三路55号广播电视新闻中心西面一层大堂和三、四层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办公地址：惠州市江北东江三路55号广播电视新闻中心西面一层大堂和三、四层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法定代表人：徐刚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电话：（021）33606736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传真：（021）33606760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联系人：陈思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客户服务电话：95564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网址：www.lxzq.com.cn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（19）名称：华西证券股份有限公司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住所：四川省成都市高新区天府二街198号华西证券大厦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办公地址：四川省成都市高新区天府二街198号华西证券大厦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法定代表人：杨炯洋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电话：（028）86135991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传真：（028）86150400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联系人：周志茹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网址：www.hx168.com.cn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（20）名称：平安证券股份有限公司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住所：深圳市福田区金田路大中华国际交易广场裙楼8楼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办公地址：深圳市福田区金田路大中华国际交易广场裙楼8楼(518048)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法定代表人：杨宇翔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电话：（0755）22627802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传真：（0755）82400862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联系人：郑舒丽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网址：www.pingan.com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（21）名称：北京钱景财富投资管理有限公司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法定代表人：赵荣春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电话：（010）57418829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传真：（010）57569671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魏争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400-678-5095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网址：www.niuji.net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（22）名称：上海大智慧基金销售有限公司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法定代表人：申健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电话：021-0219988-35374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传真：021-20219923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客户服务电话：021-20292031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网址：https://www.wg.com.cn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（23）名称：上海利得基金销售有限公司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法定代表人：沈继伟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电话：021-50583533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传真：021-50583633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客服电话：400-005-6355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网址：a.leadfund.com.cn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（24）名称：上海凯石财富基金销售有限公司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住所：上海市黄浦区西藏南路765号602-115室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办公地址：上海市黄浦区延安东路1号凯石大厦4楼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法定代表人：陈继武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电话：021-63333319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传真：021-63332523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联系人：李晓明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客服电话：4000 178 000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网址：www.lingxianfund.com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（25）名称：北京虹点基金销售有限公司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法定代表人：胡伟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联系人：姜颖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客户服务电话：400-618-0707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网址：www.hongdianfund.com/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（26）名称：诺亚正行(上海)基金销售投资顾问有限公司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住所：上海市虹口区飞虹路360弄9号3724室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办公地址：上海杨浦区秦皇岛路32号C栋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法定代表人：汪静波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电话：（021）38600735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传真：（021）38509777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联系人：方成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客户服务电话：400-821-5399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网址：www.noah-fund.com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（27）名称：上海好买基金销售有限公司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住所：上海市虹口区场中路685弄37号4号楼449室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办公地址：上海市浦东新区浦东南路1118号鄂尔多斯国际大厦903-906室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法定代表人：杨文斌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传真：（021）68596916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联系人：薛年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客户服务电话：400-700-9665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网址：www.ehowbuy.com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（28）名称：上海长量基金销售投资顾问有限公司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住所：上海市浦东新区高翔路526号2幢220室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办公地址：上海市浦东新区浦东大道555号裕景国际B座16层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法定代表人：张跃伟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电话：（021）20691832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传真：（021）20691861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联系人：单丙烨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客户服务电话：400-820-2899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网址：www.erichfund.com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（29）名称：深圳众禄基金销售有限公司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法定代表人：薛峰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电话：（0755）33227953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传真：（0755）33227951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联系人：汤素娅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客户服务电话：4006-788-887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网址：www.zlfund.cn，www.jjmmw.com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（30）名称：蚂蚁（杭州）基金销售有限公司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住所：杭州市余杭区仓前街道海曙路东2号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办公地址：浙江省杭州市滨江区江南大道3588号恒生大厦12楼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法定代表人：陈柏青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电话：（0571）28829790，（021）60897869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传真：（0571）26698533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联系人：周嬿旻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客户服务电话：4000-766-123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网址：www.fund123.cn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（31）名称：深圳市新兰德证券投资咨询有限公司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住所：深圳市福田区华强北路赛格科技园4栋10层1006#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办公地址：北京市西城区金融大街35号国际企业大厦C座9层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电话：（010）58325395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传真：（010）58325282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联系人：刘宝文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客户服务电话：400-850-7771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网址：http://8.jrj.com.cn/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（32）名称：北京展恒基金销售股份有限公司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住所：北京市顺义区后沙峪镇安富街6号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办公地址：北京市朝阳区安苑路15-1号邮电新闻大厦2层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法定代表人：闫振杰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电话：（010）59601366-7024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传真：（010）62020355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马林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客户服务电话：400-888-6661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网址：www.myfund.com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（33）名称：一路财富（北京）信息科技有限公司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住所：北京市西城区车公庄大街9号五栋大楼C座702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办公地址：北京西城区阜成门大街2号万通新世界广场A座22层2208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吴雪秀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电话：010-88312877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传真：010-88312099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苏昊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客户服务电话：400-001-1566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网址：http://www.yilucaifu.com/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（34）名称：和讯信息科技有限公司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电话：（021）20835789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传真：（021）20835879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客户服务电话：4009200022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网址：http://licaike.hexun.com/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（35）名称：上海天天基金销售有限公司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住所：上海市徐汇区龙田路190号2号楼2层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办公地址：上海市徐汇区龙田路195号3C座10楼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法定代表人：其实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电话：（021）54509998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传真：（021）64385308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联系人：潘世友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客户服务电话：400-1818-188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网址：www.1234567.com.cn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（36）名称：上海联泰资产管理有限公司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住所：中国（上海）自由贸易试验区富特北路277号3层310室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办公地址：上海市长宁区福泉北路518号8座3楼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法定代表人：燕斌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电话：021-52822063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传真：021-52975270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联系人：凌秋艳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客户服务电话：4000-466-788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网址：www.66zichan.com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（37）名称：珠海盈米财富管理有限公司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住所：珠海市横琴新区宝华路6号105室-3491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办公地址：广州市海珠区琶洲大道东1号保利国际广场南塔12楼B1201-1203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法定代表人：肖雯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电话：（020）89629099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传真：（020）89629011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联系人：黄敏嫦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客户服务电话：（020）89629066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网址：www.yingmi.cn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（38）名称：上海基煜基金销售有限公司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上海市崇明县长兴镇路潘园公路1800号2号楼6153室（上海泰和经济发展区）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办公地址：上海市昆明路518号北美广场A1002-A1003室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电话：（021）35385521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传真：（021）55085991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联系人：蓝杰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网址：www.jiyufund.com.cn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（39）名称：宜信普泽投资顾问（北京）有限公司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住所：北京市朝阳区建国路88号9号楼15层1809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办公地址：北京市朝阳区建国路88号SOHO现代城C座1809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法定代表人：沈伟桦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电话：010-52855713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传真：010-85894285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客户服务电话：400-6099-200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网址：www.yixinfund.com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（40）名称：中国国际金融股份有限公司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住所：北京建国门外大街1号国贸大厦2座27层及28层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办公地址：北京建国门外大街1号国贸大厦2座27层及28层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法定代表人：毕明建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电话：（010）65051166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传真：（010）85679203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联系人：杨涵宇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网址：www.cicc.com.cn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（41）名称：浙江同花顺基金销售有限公司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住所：浙江省杭州市文二西路1号元茂大厦903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办公地址：浙江省杭州市西湖区翠柏路7号电子商务产业园2号楼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法定代表人：凌顺平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电话：（0571）88911818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传真：（0571）86800423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联系人：吴强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客户服务电话：400-877-3772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网址：www.5ifund.com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（42）名称：中信期货有限公司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住所：深圳市福田区中心三路8号卓越时代广场（二期）北座13层1301-1305室、14层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办公地址：深圳市福田区中心三路8号卓越时代广场（二期）北座13层1301-1305室、14层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电话：010-60833754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传真：021-60819988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联系人：刘宏莹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客服电话：400-990-8826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网站：www.citicsf.com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（43）名称：上海陆金所资产管理有限公司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住所：上海市浦东新区陆家嘴环路1333号14楼09单元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办公地址：上海市浦东新区陆家嘴环路1333号14楼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法定代表人：郭坚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电话：（021）20665952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传真：（021）22066653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联系人：宁博宇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客户服务电话：4008219031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网址：www.lufunds.com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（44）名称：北京恒天明泽基金销售有限公司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住所：北京市经济技术开发区宏达北路10号五层5122室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办公地址：北京市朝阳区东三环北路甲19号SOHO嘉盛中心30层3001室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电话：（010）56642600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传真：（010）56642623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客户服务电话：4007868868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网址：www.chtfund.com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（45）名称：北京汇成基金销售有限公司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法定代表人：王伟刚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电话：（010）56282140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传真：（010）62680827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联系人：丁向坤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客户服务电话：400-619-9059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网址：www.fundzone.cn、www.51jijinhui.com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（46）名称：奕丰基金销售有限公司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住所：深圳市前海深港合作区前湾一路1号A栋201室（入驻深圳市前海商务秘书有限公司）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办公地址：深圳市南山区海德三路海岸大厦A座17楼1704室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法定代表人：TEO WEE HOWE</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电话：（0755）89460500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传真：（0755）21674453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联系人：叶健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客户服务电话：400-684-0500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网址：www.ifastps.com.cn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（47）名称：北京创金启富投资管理有限公司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北京市西城区民丰胡同31号中水大厦215A</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办公地址：北京市西城区白纸坊东街2号经济日报社A综合楼712室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法定代表人：梁蓉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电话：（010）66154828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传真：（010）63583991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联系人：李婷婷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客户服务电话：400-6262-818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www.5irich.com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（48）名称：上海云湾投资管理有限公司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住所：中国（上海）自由贸易试验区新金桥路27号13号楼2层，200127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办公地址：上海市锦康路308号6号楼6层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法定代表人：戴新装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电话：（021）20538888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传真：（021）20538999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联系人：江辉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客户服务电话：400-820-1515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网址：www.zhengtongfunds.com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（49）名称：中证金牛（北京）投资咨询有限公司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北京市丰台区东管头1号2号楼2-45室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北京市西城区宣武门外大街甲一号环球财讯中心A座5层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钱昊旻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电话：（010）59336533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传真：（010）59336500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孟汉霄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客户服务电话：4008-909-998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www.jnlc.com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（50）名称：北京新浪仓石基金销售有限公司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法定代表人：李昭琛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电话：（010）60619607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传真：8610-62676582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联系人：付文红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客户服务电话：（010）62675369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网址：www.xincai.com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（51）名称：北京肯特瑞基金销售有限公司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北京市海淀区西三旗建材城中路12号17号平房157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办公地址：北京市通州区亦庄经济技术开发区科创十一街18号院京东集团总部A座15层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法定代表人：王苏宁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传真：010-89189566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客服热线：95118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网址：kenterui.jd.com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（52）名称：北京蛋卷基金销售有限公司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住所：北京市朝阳区阜通东大街1号院6号楼2单元21层222507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办公地址：北京市朝阳区创远路 34 号院融新科技中心 C 座 17 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法定代表人：钟斐斐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电话：（010）61840688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传真：（010）84997571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联系人：侯芳芳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客户服务电话：400-1599-288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网址：https://danjuanapp.com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（53）名称：凤凰金信（银川）投资管理有限公司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住所：宁夏回族自治区银川市金凤区阅海湾中央商务区万寿路142号14层1402(750000)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办公地址：北京市朝阳区紫月路18号院朝来高科技产业园18号楼 (100000)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电话：（010）58160168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传真：（010）58160173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客户服务电话：400-810-5919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网址：www.fengfd.com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（54）名称：深圳市金斧子基金销售有限公司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住所：深圳市南山区粤海街道科苑路16号东方科技大厦18楼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办公地址：深圳市南山区粤海街道科苑路科兴科学园B3单元7楼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法定代表人：赖任军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电话：（0755）66892301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传真：（0755）66892399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客户服务电话：400-9500-888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网址：www.jfzinv.com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（55）名称：格上富信投资顾问有限公司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电话：（010）85594745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传真：（010）65983333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客户服务电话：400-066-8586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网址：www.igesafe.com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（56）名称：上海万得基金销售有限公司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住所：中国（上海）自由贸易试验区福山路33号11楼B座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办公地址：上海市浦东新区福山路33号9楼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王廷富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电话：021-50712782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传真：021-50710161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徐亚丹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客户服务电话：400-821-0203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www.520fund.com.cn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（57）名称：天津万家财富资产管理有限公司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住所：天津自贸区（中心商务区）迎宾大道1988号滨海浙商大厦公寓2-2413室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办公地址：北京市西城区丰盛胡同28号太平洋保险大厦5层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法定代表人：李修辞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电话：（010）59013828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传真：（010）59013707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联系人：王芳芳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客户服务电话：010-59013842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网址：http://www.wanjiawealth.com/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（58）名称：上海挖财金融信息服务有限公司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胡燕亮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电话：（021）50810687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传真：（021）58300279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李娟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客户服务电话：（021）50810673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网址：www.wacaijijin.com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（59）名称：嘉实财富管理有限公司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住所：上海市浦东新区世纪大道8号上海国金中心办公楼二期53层5312-15单元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办公地址：北京市朝阳区建国路91号金地中心A座6层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赵学军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电话：（021）38789658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传真：（021）68880023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王宫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客户服务电话：400-021-8850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www.harvestwm.cn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（60）名称：南京苏宁基金销售有限公司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冯鹏鹏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客户服务电话：95177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www.snjijin.com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（61）名称：北京百度百盈基金销售有限公司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住所：北京市海淀区上地十街10号1幢1层101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北京市海淀区信息路甲9号奎科大厦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张旭阳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电话：010-61952703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传真：010-61951007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联系人：霍博华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www.baiyingfund.com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（62）名称：北京唐鼎耀华投资咨询有限公司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住所：北京市延庆县延庆经济开发区百泉街10号2栋236室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办公地址：北京市朝阳区东三环北路38号院1号泰康金融中心38层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法定代表人：张冠宇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电话：（010）85870662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传真：（010）59200800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刘美薇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客户服务电话：400-819-9868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网址：www.tdyhfund.com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（63）名称：上海华夏财富投资管理有限公司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住所：上海市虹口区东大名路687号1幢2楼268室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北京市西城区金融大街33号通泰大厦B座8层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毛淮平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电话：010-88066632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传真：010-63136184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张静怡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客户服务电话：400-817-5666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www.amcfortune.com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（64）名称：江苏汇林保大基金销售有限公司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住所：南京市高淳区经济开发区古檀大道47号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办公地址：江苏省南京市鼓楼区中山北路105号中环国际1413室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吴言林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电话：025-66046166转837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传真：025-56663409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孙平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客户服务电话：025-66046166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www.huilinbd.com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（65）名称：玄元保险代理有限公司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法定代表人：马永谙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客户服务电话：400-080-8208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网址：www.licaimofang.cn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（66）名称：阳光人寿保险股份有限公司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住所：海南省三亚市迎宾路360-1号三亚阳光金融广场16层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办公地址：北京市朝阳区朝阳门外大街乙12号院1号昆泰国际大厦12层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电话：（010）85632771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传真：（010）85632773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联系人：王超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网址：http://fund.sinosig.com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（67）名称：大连网金基金销售有限公司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樊怀东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电话：（0411-39027810）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传真：（0411-39027835）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于秀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4000-899-100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网址：http://www.yibaijin.com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基金管理人可根据有关法律法规的要求，选择其它符合要求的机构代理销售本基金，并在管理人网站公示。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（二）登记机构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名称：中国证券登记结算有限责任公司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电话：（010）50938782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传真：（010）50938907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联系人：赵亦清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（三）出具法律意见书的律师事务所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名称：上海市通力律师事务所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负责人：韩炯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电话：（021）31358666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传真：（021）31358600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联系人：黎明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经办律师：吕红、黎明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（四）审计基金财产的会计师事务所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名称：普华永道中天会计师事务所(特殊普通合伙）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住所：上海市浦东新区陆家嘴环路1318号星展银行大厦6楼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办公地址：上海市湖滨路202号普华永道中心11楼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执行事务合伙人：李丹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联系电话：（021）23238888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传真：（021）23238800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联系人：朱宏宇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经办注册会计师：童咏静、朱宏宇</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8" w:name="_Toc54104410"/>
      <w:r>
        <w:rPr>
          <w:rFonts w:ascii="Times New Roman" w:hAnsi="Times New Roman"/>
          <w:sz w:val="30"/>
        </w:rPr>
        <w:t>六、基金的募集</w:t>
      </w:r>
      <w:bookmarkEnd w:id="8"/>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（一）本基金的募集情况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本基金由基金管理人依照《基金法》、《运作办法》、基金合同及其他有关规定，并经中国证监会证监许可[2011]967号文核准募集发售。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本基金为契约型开放式ETF联接基金。基金存续期间为不定期。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本基金募集期间基金份额净值为人民币1.00元，按初始面值发售。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本基金的募集期限不超过3个月，自基金份额开始发售之日起计算。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本基金自2011年8月29日至2011年9月23日止进行发售。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本基金设立募集期共募集374,322,437.11份基金份额，有效认购户数为5,973户。</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（二）本基金与目标ETF的差异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1、交易方式的差异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本基金为目标ETF的联接基金，投资者可以通过本基金的销售机构申购赎回本基金的基金份额。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指数证券投资基金，投资者可以通过目标ETF的申购赎回代理券商申购赎回目标ETF的基金份额。此外，目标ETF符合上市条件申请上市成功后，投资者还可通过深圳证券交易所的交易系统在二级市场买卖目标ETF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2、申购赎回方式的差异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属于开放式证券投资基金。投资者申购赎回本基金基金份额均采用现金方式，申购以金额申请，赎回以份额申请。投资者申购本基金时应支付现金申购款，赎回本基金时基金管理人应向投资者支付现金赎回款，申购与赎回价格以申请当日收市后计算的基金份额净值为基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指数证券投资基金。投资者申购赎回目标ETF基金份额均采用实物申购赎回方式，申购和赎回均以份额申请。申购、赎回对价根据申购赎回清单和投资者申购、赎回的基金份额数额确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3、投资方法的差异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本基金为目标ETF的联接基金，属于开放式证券投资基金，以被动式的指数化投资管理方式，将90%以上的基金净资产投资于目标ETF，实现紧密跟踪标的指数的投资目标；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本基金的目标ETF属于交易型开放式指数证券投资基金，绝大部分资产采用完全复制法跟踪标的指数，以完全按照标的指数成份股组成及其权重构建基金股票投资组合为原则，进行被动式指数化投资。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4、业绩表现的差异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本基金为目标ETF的联接基金，将90%以上的基金净资产投资于目标ETF，以紧密跟踪标的指数，但不能保证本基金的表现与目标ETF的表现完全一致，产生业绩表现差异的原因包括以下几个方面：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（1）本基金基金份额的赎回采用现金方式，为支付现金赎回款，相比目标ETF，本基金需要保留更多的现金资产；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（2）本基金基金份额的申购采用现金方式，在利用到账的申购资金投资目标ETF过程中，市场波动等原因会造成本基金与目标ETF表现的差异；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（3）本基金为应对投资者以现金方式申购赎回本基金基金份额而进行的证券交易需支付一定的手续费，此等费用将影响本基金相对于目标ETF的表现。</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9" w:name="_Toc54104411"/>
      <w:r>
        <w:rPr>
          <w:rFonts w:ascii="Times New Roman" w:hAnsi="Times New Roman"/>
          <w:sz w:val="30"/>
        </w:rPr>
        <w:t>七、基金合同的生效</w:t>
      </w:r>
      <w:bookmarkEnd w:id="9"/>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根据有关规定，本基金满足基金合同生效条件，基金合同已于2011年9月28日正式生效。自基金合同生效之日起，本基金管理人正式开始管理本基金。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及时向中国证监会报告，说明出现上述情况的原因并提出解决方案。法律法规或监管机构另有规定时，从其规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0" w:name="_Toc54104412"/>
      <w:r>
        <w:rPr>
          <w:rFonts w:ascii="Times New Roman" w:hAnsi="Times New Roman"/>
          <w:sz w:val="30"/>
        </w:rPr>
        <w:t>八、基金份额的申购与赎回</w:t>
      </w:r>
      <w:bookmarkEnd w:id="10"/>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（一）申购和赎回的场所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投资者可通过下述场所按照规定的方式进行申购或赎回：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本基金直销机构为本公司以及本公司的网上直销交易平台。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个人投资者可以通过本公司网上直销交易平台办理开户、本基金的申购、赎回、转换及定期定额投资等业务，具体交易细则请参阅本公司网站。网上直销交易平台网址：www.fund001.com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2、场内代销机构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本基金的场内代销机构为通过上海证券交易所交易系统办理相关业务的上海证券交易所会员单位，目前场内交易只支持前端收费模式下基金份额的申购。具体名单详见上海证券交易所网站。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3、场外代销机构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本基金的场外代销机构的代销网点请见本招募说明书“五、相关服务机构”章节或拨打本公司客户服务电话进行咨询。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投资者可通过上述场所按照规定的方式进行申购或赎回。本基金管理人可根据情况变更或增减基金代销机构，并在管理人网站公示。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（二）申购和赎回的开放日及时间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1、开放日及开放时间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和赎回的开放日为证券交易所交易日（基金管理人公告暂停申购或赎回时除外），基金投资者在开放日申请办理基金份额的申购和赎回，具体办理时间为上海证券交易所、深圳证券交易所的正常交易日的交易时间。但基金管理人根据法律法规、中国证监会的要求或本基金合同的规定公告暂停申购、赎回时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2、申购的开始日及业务办理时间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本基金已于2011年10月24日起开放场内、场外申购业务。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3、赎回的开始日及业务办理时间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本基金已于2011年10月24日起开放场内、场外赎回业务。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（三）申购和赎回的原则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1、“未知价”原则，即基金份额的申购与赎回价格以申请当日收市后计算的基金份额净值为基准进行计算；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2、基金采用金额申购和份额赎回的原则，即申购以金额申请，赎回以份额申请；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赎回时，除指定赎回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4、当日的申购与赎回申请可以在基金管理人规定的时间以内撤销；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5、基金管理人在不损害基金份额持有人权益的情况下可更改上述原则，但最迟应在新的原则实施前依照有关规定在指定媒介上公告。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（四）申购和赎回的数额限定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1、申购金额的限制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场外申购时，场外代销网点每个账户单笔申购的最低金额为单笔1元，如果代销机构业务规则规定的最低单笔申购金额高于1元，以代销机构的规定为准。场内申购时，每笔申购金额最低为1000元人民币，同时每笔申购必须是100元的整数倍，并且单笔申购最高不超过99,999,900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直销机构每个账户首次申购的最低金额为单笔100,000元，追加申购的最低金额为单笔10,000元；已在直销中心有认购或申购过本基金管理人管理的任一基金（包括本基金）记录的投资者不受首次申购最低金额的限制。通过本公司网上直销交易平台办理基金申购业务的不受直销中心单笔申购最低金额的限制，申购最低金额为单笔1元。本基金直销中心单笔申购最低金额可由基金管理人酌情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2、赎回份额的限制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场外赎回的最低份额为单笔1份基金份额，如果其他销售机构业务规则规定的单笔最低赎回份额高于1份，以该销售机构的规定为准。场内赎回时，赎回的最低份额为50份基金份额，同时赎回份额必须是整数份额，并且单笔赎回最多不超过99,999,999份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3、最低保留余额的限制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5、基金管理人可根据市场情况，在法律法规允许的情况下，调整上述规定的数量或比例限制，基金管理人必须在调整前依照《信息披露办法》的有关规定在指定的媒体上公告并报中国证监会备案。</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（五）申购和赎回的程序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1、申购和赎回的申请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基金投资者必须根据销售机构规定的程序，在开放日的具体业务办理时间内提出申购或赎回的申请。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基金投资者在提交申购申请时须按销售机构规定的方式备足申购资金，基金投资者在提交赎回申请时须持有足够的基金份额余额，否则所提交的申购、赎回申请无效而不予成交。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2、申购和赎回申请的确认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T 日规定时间受理的申请，正常情况下，注册登记机构在T+1 日内（包括该日）为投资者对该交易的有效性进行确认，基金投资者应在T+2日后（包括该日）及时到销售网点柜台或以销售机构规定的其他方式查询申请的确认情况。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基金管理人可以在法律法规允许的范围内，依法对上述申购和赎回申请的确认时间进行调整，并必须在调整实施日前按照《信息披露办法》的有关规定在指定媒介上公告。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销售机构对申购、赎回申请的受理并不代表该申请一定成功，而仅代表销售机构确实接收到申购、赎回申请。申购、赎回申请的确认以注册登记机构的确认结果为准。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3、申购和赎回的款项支付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申购采用全额缴款方式，若申购资金在规定时间内未全额到账则申购不成功。若申购不成功或无效，基金管理人或基金管理人指定的代销机构将基金投资者已缴付的申购款项本金退还给投资者。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基金投资者赎回申请成功后，基金管理人将通过注册登记机构及其相关销售机构在T＋7日（包括该日）内将赎回款项划往基金份额持有人账户。在发生巨额赎回时，款项的支付办法参照本基金合同有关条款处理。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4、申购和赎回基金份额的份额注册登记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（1）投资者T 日申购基金成功后，正常情况下，注册登记机构在T＋1 日为投资者增加权益并办理注册登记手续，投资者自T＋2 日（包括该日）起有权赎回该部分基金份额。投资者应及时查询有关申请的确认情况。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（2）投资者T 日赎回基金成功后，正常情况下，基金注册登记机构在T＋1 日为投资者扣除权益并办理相应的注册登记手续。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（3）基金管理人可在法律法规允许的范围内，对上述注册登记办理时间进行调整，并最迟于开始实施前按照《信息披露办法》的有关规定在指定媒介上公告。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（六）基金的申购费和赎回费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本基金提供两种申购费用的支付模式。投资者可以选择前端收费模式，即在申购时支付申购费用；也可以选择后端收费模式，即在赎回时才支付相应的申购费用，该费用随基金份额的持有时间递减。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本基金的申购费用由基金申购人承担，不列入基金财产，主要用于本基金的市场推广、销售、注册登记等各项费用。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投资者可以多次申购本基金，申购费率按每笔申购申请单独计算。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本基金的申购费率如下：</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50万元（含）至100万元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1年以内（含）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1年—3年（含）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3年—5年（含）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5年以上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因红利自动再投资而产生的基金份额，不收取相应的申购费用。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本基金自2013年4月11日起，对通过本公司直销柜台申购本基金前端基金份额的养老金客户实施特定申购费率。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通过本公司直销柜台申购本基金前端基金份额的养老金客户特定申购费率如下表：</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50万元（含）至100万元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有关养老金客户实施特定申购费率的具体规定以及活动时间如有变化，敬请投资人留意本公司发布的相关公告。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本公司基金网上直销业务已开通的银行卡及各银行卡交易金额限额请参阅本公司网站。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本基金管理人可根据业务情况调整上述交易费用和限额要求，并依据相关法规的要求提前进行公告。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赎回费用由基金赎回人承担，赎回费用的25%归基金财产，其余用于支付注册登记费和其他必要的手续费。其中，对持续持有期少于7日的基金份额持有人收取不低于1.5%的赎回费并全额计入基金财产。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本基金的赎回费率如下：</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7日以内</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7日（含）—1年（含）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1年—2年（含）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2年以上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3、基金管理人可以在履行相关手续后，在基金合同约定的范围内调整申购、赎回费率或调整收费方式，基金管理人于新的费率或收费方式实施日前依照《信息披露办法》的有关规定在指定媒介上公告。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4、对特定交易方式（如网上交易、电话交易等），基金管理人可以采用低于柜台交易方式的基金申购费率和基金赎回费率。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整基金申购费率、赎回费率和转换费率。</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（七）申购和赎回的数额和价格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1、申购和赎回数额、余额的处理方式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份额余额的处理方式：申购的有效份额为按实际确认的申购金额在扣除相应的费用后，以当日基金份额净值为基准计算，场外申购份额计算结果保留到小数点后两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（2）赎回金额的处理方式：赎回金额为按实际确认的有效赎回份额乘以申请当日基金份额净值并扣除相应的费用，四舍五入保留到小数点后两位，由此误差产生的收益或损失由基金财产承担。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2、申购份额的计算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场外申购可以采取前端收费模式和后端收费模式，场内申购目前只支持前端收费模式。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（1）前端收费模式：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净申购金额=申购总金额/（1+申购费率）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（注：对于适用固定金额申购费用的申购，净申购金额＝申购总金额－固定申购费用金额）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申购费用=申购总金额-净申购金额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（注：对于适用固定金额申购费用的申购，申购费用＝固定申购费用金额）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申购份额=（申购总金额-申购费用）/ 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场内申购金额的有效份额保留到整数位，剩余部分对应申购资金返还投资者。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例一：某投资者投资40,000元申购本基金，假设申购当日基金份额净值为1.040元，如果其选择前端收费方式，申购费率为1.5%，则其可得到的申购份额为：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申购总金额＝40,000元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净申购金额=40,000/（1+1.5%）=39,408.87元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申购费用=40,000-39,408.87=591.13元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申购份额=（40,000-591.13）/1.040=37,893.14份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如果投资者是场内申购，则申购份额为37,893 份，其余0.14 份对应金额返回给投资者。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（2）后端收费模式：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当投资者提出赎回时，后端申购费用的计算方法为：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后端申购费用＝赎回份额×申购日基金份额净值×后端申购费率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例二：某投资者投资40,000元申购本基金，假设申购当日基金份额净值为1.040元，如果其选择后端收费方式，则其可得到的申购份额为：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申购份额＝40,000/1.040＝38,461.54份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即：投资者投资40,000元申购本基金，假设申购当日基金份额净值为1.040元，则可得到38,461.54份基金份额，但其在赎回时需根据其持有时间按对应的后端申购费率交纳后端申购费用。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3、赎回金额的计算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赎回金额为按实际确认的有效赎回份额乘以当日基金份额净值并扣除相应的费用，赎回金额单位为元，计算结果保留到小数点后两位，第三位四舍五入。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（1）如果投资者在认（申）购时选择交纳前端认（申）购费用，则赎回金额的计算方法如下：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赎回费用=赎回份额×T日基金份额净值×赎回费率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赎回金额=赎回份额×T日基金份额净值-赎回费用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例三：某投资者赎回通过前端认购（申购）持有的10,000份基金份额，对应的赎回费率为0.5%，假设赎回当日基金份额净值是1.016元，则其可得到的赎回金额为：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10,000×1.016-50.80 ＝ 10,109.20元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即：投资者赎回本基金10,000份基金份额，假设赎回当日基金份额净值是1.016元，则其可得到的赎回金额为10,109.20元。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（2）如果投资者在认（申）购时选择交纳后端认（申）购费用，则赎回金额的计算方法如下：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赎回总额＝赎回份额×T日基金份额净值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后端认（申）购费用＝赎回份额×认（申）购日基金份额净值×后端认（申）购费率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赎回费用＝赎回总额×赎回费率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赎回金额＝赎回总额－后端认（申）购费用－赎回费用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例四：某投资者赎回通过后端认购持有的10,000份基金份额，对应的后端认购费率为1.6%，赎回费率为0.5%，假设赎回当日基金份额净值是1.016元，则其可得到的赎回金额为：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后端认购费用 = 10,000×1.00×1.6% = 160.00元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10,000×1.016-160.00-50.80 ＝ 9,949.20元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即：投资者赎回通过后端认购所得本基金10,000份基金份额，假设赎回当日基金份额净值是1.016元，则其可得到的赎回金额为9,949.20元。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例五：某投资者赎回通过后端申购持有的10,000份基金份额，对应的后端申购费率为1.8%，赎回费率为0.5%，假设申购当日基金份额净值是1.010元，赎回当日基金份额净值是1.016元，则其可得到的赎回金额为：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后端申购费用 = 10,000×1.010×1.8% = 181.80元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10,000×1.016-181.80-50.80 ＝ 9,927.40元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即：投资者赎回通过后端申购所得本基金10,000份基金份额，假设申购当日基金份额净值是1.010元，赎回当日基金份额净值是1.016元，则其可得到的赎回金额为9,927.40元。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基金份额净值＝基金资产净值总额/发行在外的基金份额总数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本基金T日的基金份额净值在当天收市后计算，并在T＋1日公告。遇特殊情况，经中国证监会同意，可以适当延迟计算或公告。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（八）拒绝或暂停申购的情形及处理方式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发生下列情况时，基金管理人可拒绝或暂停接受基金投资者的申购申请：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1、因不可抗力导致基金无法正常运作或无法接受申购；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2、证券交易所交易时间非正常停市，导致基金管理人无法计算当日基金资产净值；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3、所投资的目标ETF暂停估值，导致基金管理人无法计算当日基金资产净值；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4、所投资的目标ETF暂停申购或二级市场交易停牌，基金管理人认为有必要暂停本基金申购的情形；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5、发生本基金合同规定的暂停基金资产估值情况；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6、基金管理人、基金托管人、基金销售机构或注册登记机构等因异常情况无法办理申购（上述异常情况包括但不限于系统故障、网络故障、通讯故障、电力故障、数据错误等）；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7、基金资产规模过大，使基金管理人无法找到合适的投资品种，或基金管理人认为会损害已有基金份额持有人利益的其他情形；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8、当前一估值日基金资产净值50%以上的资产出现无可参考的活跃市场价格且采用估值技术仍导致公允价值存在重大不确定性时，经与基金托管人协商确认后，基金管理人应当暂停接受基金申购申请；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9、基金管理人认为会有损于现有基金份额持有人利益的某笔申购；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10、法律法规规定或中国证监会认定的其他情形。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除第9项以外的暂停申购情形且基金管理人决定暂停接受基金投资者的申购申请时，基金管理人应当根据有关规定在指定媒介上刊登暂停申购公告。如果基金投资者的申购申请被拒绝，被拒绝的申购款项将退还给投资者。在暂停申购的情况消除时，基金管理人应及时恢复申购业务的办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（九）暂停赎回或者延缓支付赎回款项的情形及处理方式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发生下列情形时，基金管理人可暂停接受基金投资者的赎回申请或延缓支付赎回款项：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1、因不可抗力导致基金管理人不能支付赎回款项；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2、证券交易所交易时间临时停市，导致基金管理人无法计算当日基金资产净值；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3、连续两个或两个以上开放日发生巨额赎回，导致本基金的现金支付出现困难；</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4、所投资的目标ETF暂停估值，导致基金管理人无法计算当日基金资产净值；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5、所投资的目标ETF暂停赎回或二级市场交易停牌，基金管理人认为有必要暂停本基金赎回的情形；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6、发生本基金合同规定的暂停基金资产估值情况；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7、基金管理人、基金托管人、基金销售机构或注册登记机构的技术保障等异常情况发生导致基金销售系统或基金注册登记系统或基金会计系统无法正常运行；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9、法律法规规定或中国证监会认定的其他情形。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情形且基金管理人决定暂停接受基金投资者的赎回申请或延缓支付赎回款项时，基金管理人应在当日向中国证监会备案，已成功确认的赎回申请，基金管理人应足额支付；如不能足额支付，可延期支付。若连续两个或两个以上开放日发生巨额赎回，延期支付最长不得超过20个工作日，并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出现上述第3项所述情形，按基金合同的相关条款处理。投资者在申请赎回时可事先选择将当日可能未获受理部分予以撤销。暂停赎回或延缓支付款项的场内处理，按照上海证券交易所及中国证券登记结算有限责任公司的有关规定办理。在暂停赎回的情况消除时，基金管理人应及时恢复赎回业务的办理并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（十）巨额赎回的情形及处理方式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1、巨额赎回的认定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2、巨额赎回的处理方式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（1）全额赎回：当基金管理人认为有能力支付基金投资者的赎回申请时，按正常赎回程序执行。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顺延赎回：当基金管理人认为支付基金投资者的赎回申请有困难或认为支付投资者的赎回申请而进行的财产变现可能会对基金资产净值造成较大波动时，基金管理人在当日接受赎回比例不低于上一工作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当发生巨额赎回并顺延赎回时，基金管理人应当通过邮寄、传真、刊登公告或者通知代销机构代为告知等方式在3个交易日内通知基金份额持有人，说明有关处理方法，并在2日内在指定媒介上刊登公告。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连续2日以上（含本数）发生巨额赎回，如基金管理人认为有必要，可暂停接受基金的赎回申请；已经确认成功的赎回申请可以延缓支付赎回款项，但不得超过20个工作日，并应当在指定媒介上进行公告。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（十一）暂停申购或赎回的公告和重新开放申购或赎回的公告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1、发生上述暂停申购或赎回情况的，基金管理人应在规定期限内在指定媒介上刊登暂停公告。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2、暂停结束，基金重新开放申购或赎回时，基金管理人应依照《信息披露管理办法》的有关规定，在指定媒介上刊登基金重新开放申购或赎回公告，并公告最近1个工作日的基金份额净值。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（十二）基金的非交易过户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指注册登记机构受理继承、捐赠、司法强制执行和经注册登记机构认可的其它情况而产生的非交易过户。无论在上述何种情况下，接受划转的主体必须是依法可以持有本基金基金份额的投资者。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注册登记机构要求提供的相关资料，对于符合条件的非交易过户申请按注册登记机构的有关规定办理，并按注册登记机构规定的标准收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（十三） 基金的转托管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基金份额持有人可办理已持有基金份额在不同销售机构之间的转托管，基金销售机构可以按照规定的标准收取转托管费。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如果基金管理人、注册登记机构、办理转托管的销售机构出现技术系统性能限制或出于其它合理原因，可以暂停该业务或者拒绝基金份额持有人的转托管申请。</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（十四）定期定额投资计划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2011年12月7日刊登公告自2011年12月9日起开通定期定额投资计划业务，具体开通销售机构名单和业务规则参见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（十五）定期定额赎回业务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2011年12月7日刊登公告自2011年12月9日起在中国农业银行股份有限公司下属各代销网点开通定期定额赎回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（十六）其他情形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基金份额的冻结和解冻的业务，由注册登记机构办理。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登记机构只受理国家有关机关依法要求的基金份额的冻结与解冻以及注册登记机构认可的其他情况的基金份额的冻结与解冻。基金份额被冻结的，被冻结部分所产生的权益按照法律法规、监管规章以及国家有权机关的要求来决定是否冻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当基金份额处于冻结状态时，注册登记机构或其他相关机构有权拒绝该部分基金份额的赎回、转出、非交易过户以及基金的转托管。</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1" w:name="_Toc54104413"/>
      <w:r>
        <w:rPr>
          <w:rFonts w:ascii="Times New Roman" w:hAnsi="Times New Roman"/>
          <w:sz w:val="30"/>
        </w:rPr>
        <w:t>九、基金的转换</w:t>
      </w:r>
      <w:bookmarkEnd w:id="11"/>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（二）转换业务办理时间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本基金2011年12月7日刊登公告自2011年12月9日起开放日常转换业务。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办理基金间转换的时间为上海证券交易所、深圳证券交易所交易日。若出现新的证券交易市场或交易所交易时间更改或其它原因，基金管理人将视情况进行相应的调整并公告。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本基金转换业务具体开通销售机构名单、可转换旗下基金范围参见相关公告。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（三）基金转换的程序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1、申请方式：书面申请或销售机构公布的其他方式。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2、基金转换申请的确认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正常情况下，T日规定时间受理的申请，注册登记机构在T＋1日内为投资人对该交易的有效性进行确认，在T＋2日后(包括该日)投资人可向销售机构查询转换的确认情况。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3、基金转换的注册登记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（四）基金转换的数额限制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本基金遵循“份额转换”的原则，单笔转换份额不得低于1份。基金持有人可将其全部或部分基金份额转换成其它基金，单笔转换申请不受转入基金最低申购限额限制。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1、每笔基金转换视为一笔赎回和一笔申购，基金转换费用相应由转出基金的赎回费用及转出、转入基金的申购补差费用构成。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2、转出基金的赎回费用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转出基金的赎回费用及归入基金财产的比例按照各基金最新的更新招募说明书及相关公告规定的赎回费率和计费方式收取。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3、前端收费模式下转出与转入基金的申购补差费用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4、后端收费模式下转出与转入基金的申购补差费用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5、网上直销的申购补差费率优惠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具体转换费率水平请参见本基金管理人网站（www.fund001.com）列示的相关转换费率表或相关公告。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6、基金管理人可以根据法律法规及基金合同的规定对上述收费方式和费率进行调整，并应于调整后的收费方式和费率在实施前依照《信息披露办法》的有关规定在中国证监会指定媒介上公告。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（六）基金转换份额的计算公式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1、前端收费模式下基金转换份额的计算公式及举例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转出与转入基金的申购补差费=转入确认金额×对应的转出与转入基金的申购补差费率/（1+对应的转出与转入基金的申购补差费率）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（注：对于适用固定金额申购补差费用的，转出与转入基金的申购补差费＝固定金额的申购补差费）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一：某投资者持有交银趋势前端收费模式的基金份额100,000份，持有期半年，转换申请当日交银趋势的基金份额净值为1.010元，交银成长的基金份额净值为2.2700元。若该投资者将100,000份交银趋势前端基金份额转换为交银成长前端基金份额，则转入交银成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转出确认金额=100,000×1.010=101,000元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转出基金的赎回费=101,000×0.5%=505元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转入确认金额=101,000-505=100,495元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转出与转入基金的申购补差费=100,495×0/（1+0）=0元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转入基金确认份额=（100,495-0）/2.2700=44,270.93份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二：某投资者持有交银增利A类基金份额1,000,000份，持有期一年半，转换申请当日交银增利A类基金份额的基金份额净值为1.0200元，交银趋势的基金份额净值为1.010元。若该投资者将1,000,000份交银增利A类基金份额转换为交银趋势前端基金份额，则转入交银趋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转出确认金额=1,000,000×1.0200=1,020,000元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转出基金的赎回费=1,020,000×0.05%=510元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转入确认金额=1,020,000-510=1,019,490元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转出与转入基金的申购补差费=1,019,490×0.5%/（1+0.5%）=5,072.09元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转入基金确认份额=（1,019,490-5,072.09）/1.010=1,004,374.17份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例三：某投资者持有交银增利C 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转出与转入基金的申购补差费=125,000×1.5%/（1+1.5%）=1,847.29元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转入基金确认份额=（125,000-1,847.29）/2.2700=54,252.30份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持有交银货币A级基金份额100,000份，该100,000份基金份额未结转的待支付收益为61.52元，转换申请当日交银增利A/B类基金份额净值为1.2700元，交银货币的基金份额净值为1.00元。若该投资者将100,000份交银货币A级基金份额转换为交银增利A类基金份额，则转入确认的交银增利A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转出与转入基金的申购补差费=100,000×0.8%/（1+0.8%）=793.65元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转入基金确认份额=（100,000-793.65+61.52）/1.2700=78,163.68份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2、后端收费模式下基金转换份额的计算公式及举例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投资者持有交银主题后端收费模式的基金份额100,000份，持有期一年半，转换申请当日交银主题的基金份额净值为1.2500元，交银稳健的基金份额净值为2.2700元。若该投资者将100,000份交银主题后端基金份额转换为交银稳健后端基金份额，则转入交银稳健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转入基金确认份额=（124,750-0）/2.2700=54,955.95份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六：某投资者持有交银先锋后端收费模式的基金份额100,000份，持有期一年半，转换申请当日交银先锋的基金份额净值为1.2500元，交银货币的基金份额净值为1.00元。若该投资者将100,000份交银先锋后端基金份额转换为交银货币，则转入交银货币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转出与转入基金的申购补差费=124,750×1.2%=1497元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转入基金确认份额=（124,750-1497）/1.00=123,253.00份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转出确认金额=100,000×0.850=85,000元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转出基金的赎回费=85,000×0=0元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转入确认金额=85,000-0=85,000元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转出与转入基金的申购补差费=85,000×0.2%=170元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转入基金确认份额=（85,000-170）/1.0500=80,790.48份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转入基金确认份额=（100,000-0+61.52）/1.2700=78,788.60份</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3、基金转换采取未知价法，即基金的转换价格以申请受理当日各转出、转入基金的基金份额净值为基础进行计算。（货币市场基金的基金份额净值为固定价1.00元）。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5、转换后，转入基金份额的持有时间将重新计算，即转入基金份额的持有期将自转入基金份额被确认日起重新开始计算。</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（八）暂停基金转换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2" w:name="_Toc54104414"/>
      <w:r>
        <w:rPr>
          <w:rFonts w:ascii="Times New Roman" w:hAnsi="Times New Roman"/>
          <w:sz w:val="30"/>
        </w:rPr>
        <w:t>十、基金的投资</w:t>
      </w:r>
      <w:bookmarkEnd w:id="1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紧密跟踪标的指数，追求跟踪偏离度与跟踪误差最小化。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标的指数即目标ETF的标的指数，为深证300价值价格指数。深证300价值价格指数是由深圳证券信息公司编制，并以深证300指数为基础开发的风格指数，它以深证300指数的成份股为样本空间，选取采用价值因子评分最高的100只股票为指数的成份股，并于每年1月和7月对指数成份股进行调整。该指数的基期为2004年12月31日，基点为1000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本基金按照基金合同的约定通过适当程序变更目标ETF时，标的指数应相应变更。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鉴于本基金与目标ETF的相关性，若目标ETF变更标的指数，本基金的标的指数应相应变更。</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（三）投资理念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遵循指数化投资理念，指数化投资具有低成本、管理透明及分散化程度高等优点，能稳定地获得与标的指数相近的回报。本基金遵循指数化投资理念，以目标ETF为主要投资对象，力求帮助投资者以较低的成本获取与标的指数和目标ETF相似的收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本基金以目标ETF、标的指数成份股、备选成份股为主要投资对象（含中小板股票和创业板股票及其他经中国证监会核准的上市股票</w:t>
      </w:r>
      <w:r>
        <w:rPr>
          <w:rFonts w:hint="eastAsia" w:ascii="Times New Roman" w:hAnsi="Times New Roman"/>
          <w:sz w:val="24"/>
        </w:rPr>
        <w:t>、存托凭证</w:t>
      </w:r>
      <w:r>
        <w:rPr>
          <w:rFonts w:ascii="Times New Roman" w:hAnsi="Times New Roman"/>
          <w:sz w:val="24"/>
        </w:rPr>
        <w:t>），把全部或接近全部的基金资产用于跟踪标的指数的表现，正常情况下投资于目标ETF的资产比例不低于基金资产净值的90%，基金持有的现金及到期日在一年以内的政府债券的投资比例合计不低于基金资产净值的5%，其中现金不包括结算备付金、存出保证金和应收申购款等。此外，为更好地实现投资目标，本基金也可少量投资于新股</w:t>
      </w:r>
      <w:r>
        <w:rPr>
          <w:rFonts w:hint="eastAsia" w:ascii="Times New Roman" w:hAnsi="Times New Roman"/>
          <w:sz w:val="24"/>
        </w:rPr>
        <w:t>（含存托凭证）</w:t>
      </w:r>
      <w:r>
        <w:rPr>
          <w:rFonts w:ascii="Times New Roman" w:hAnsi="Times New Roman"/>
          <w:sz w:val="24"/>
        </w:rPr>
        <w:t>、债券、回购、权证及中国证监会允许基金投资的其它金融工具（但须符合中国证监会的相关规定）。如法律法规或监管机构以后允许基金投资其它品种，基金管理人在履行适当程序后，可以将其纳入投资范围。</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通过把全部或接近全部的基金资产投资于目标ETF、标的指数成份股和备选成份股进行被动式指数化投资，正常情况下投资于目标ETF的资产比例不低于基金资产净值的90%，其余资产可投资于标的指数成份股、备选成份股、新股、债券、回购、权证及中国证监会允许基金投资的其它金融工具，其目的是为了使本基金在应付申购赎回的前提下，更好地实现跟踪标的指数的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本基金投资目标ETF的方式以申购和赎回为主，但在目标ETF二级市场流动性较好的情况下，也可以通过二级市场交易买卖目标ETF，以降低成本、提高效率。</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本基金对于标的指数成份股和备选成份股部分的投资，主要采用完全复制法，按照标的指数成份股组成及其权重构建基金股票投资组合为原则，并根据标的指数成份股及其权重的变动而进行相应调整。但在因特殊情况（如法律法规限制、流动性不足等）导致无法获得足够数量的股票时，基金管理人将搭配使用其他合理方法进行适当的替代。</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本基金投资存托凭证的策略依照境内上市交易的股票投资策略执行。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1、决策依据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有关法律法规、基金合同和标的指数的相关规定是基金管理人运用基金财产的决策依据。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2、决策和交易机制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本基金实行投资决策委员会领导下的基金经理负责制。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投资决策委员会的主要职责是决定有关指数重大调整的应对决策、其他重大组合调整决策以及重大的单项投资决策。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基金经理的主要职责是决定日常指数跟踪维护过程中的组合构建、调整决策，特别是对目标ETF份额的投资决策。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研究支持：量化投资部依托公司整体研究平台，整合外部信息以及券商等外部研究力量的研究成果开展指数跟踪、成份股公司行为等相关信息的搜集与分析、目标ETF申购赎回清单分析、目标ETF二级市场的流动性和折溢价分析、成分股流动性分析、误差及其归因分析等工作，以作为基金投资决策的重要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（2）投资决策：投资决策委员会定期召开或遇重大事项时召开投资决策会议，决策相关事项。基金经理根据投资决策委员会的决议，每日进行基金投资管理的日常决策。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（3）组合构建：根据标的指数情况，结合研究支持，基金经理构建以目标ETF为主的证券组合。在追求跟踪误差和偏离度最小化的前提下，基金经理将采取适当的方法，以降低买入成本、控制投资风险。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（4）交易执行：中央交易室负责具体的交易执行，同时履行一线监控的职责。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组合监控与调整：基金经理将跟踪目标ETF申购赎回清单特征、二级市场交易特征及标的指数变动，结合成份股基本面情况、成份股公司行为、流动性状况、基金申购和赎回的现金流量情况以及组合投资绩效评估的结果等，采取适当的跟踪技术对投资组合进行监控和调整，密切跟踪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基金管理人在确保基金份额持有人利益的前提下有权根据环境变化和实际需要对上述投资管理程序做出调整，并在基金招募说明书更新中公告。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（六）投资组合管理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本基金的特殊性，本基金将以全部或接近全部的基金资产投资于目标ETF。正常情况下本基金投资于目标ETF的比例不低于基金资产净值的90%。本基金将在基金合同生效之日起6个月内达到这一投资比例。此后，如因证券市场波动、上市公司合并、基金规模变动、标的指数成分股调整、基金申购或赎回带来现金等因素导致基金不符合这一投资比例的，基金管理人将在10个交易日内进行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1、投资组合的建立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基金管理人构建投资组合的过程主要分为两步：确定建仓策略和实施建仓策略。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（1）确定建仓策略：基金管理人综合考虑基金规模、目标ETF二级市场的流动性和折溢价，以及成份股流动性、公司行为、基本面等因素，确定合理的建仓策略。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（2）实施建仓策略：基金管理人在基金合同约定的期限内，基于建仓策略，根据当时的市场情况，采用适当的手段构建和调整投资组合直至达到本基金投资范围的要求。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2、日常投资组合管理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（1）对目标ETF二级市场流动性及折溢价进行跟踪与分析，适当制订目标ETF份额的申购赎回、二级市场买卖策略。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（2）跟踪本基金申购和赎回信息，分析其对组合的影响，并进行相应的流动性管理。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3、投资绩效评估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（1）每日，基金经理分析基金的跟踪偏离度。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（2）每月末，量化投资部对本基金的运行情况进行量化评估。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每月末，基金经理根据评估报告分析当月的投资操作、组合状况和跟踪误差等情况，重点分析基金的偏离度和跟踪误差产生原因、现金控制情况、标的指数成份股调整前后的操作、以及成份股未来可能发生的变化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正常市场情况下，本基金日均跟踪偏离度的绝对值不超过0.3%，年跟踪误差不超过4%。在目标ETF日均跟踪偏离度符合其基金合同所设定目标的前提下，如因指数编制规则调整或其他因素导致跟踪偏离度和跟踪误差超过上述范围，基金管理人应采取合理措施力争避免跟踪偏离度、跟踪误差进一步扩大。</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 业绩比较基准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本基金的业绩比较基准为：标的指数收益率×95% ＋银行活期存款税后收益率×5%。</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w:t>
      </w:r>
      <w:r>
        <w:rPr>
          <w:rFonts w:ascii="Times New Roman" w:hAnsi="Times New Roman"/>
          <w:bCs/>
          <w:sz w:val="24"/>
        </w:rPr>
        <w:t>6</w:t>
      </w:r>
      <w:r>
        <w:rPr>
          <w:rFonts w:hint="eastAsia" w:ascii="Times New Roman" w:hAnsi="Times New Roman"/>
          <w:bCs/>
          <w:sz w:val="24"/>
        </w:rPr>
        <w:t>个月内召集基金份额持有人大会进行表决，基金份额持有人大会未成功召开或就上述事项表决未通过的，基金合同终止。</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bCs/>
          <w:sz w:val="24"/>
        </w:rPr>
        <w:t>自指数编制机构停止标的指数的编制及发布至解决方案确定期间，基金管理人应按照指数编制机构提供的最近一个交易日的指数信息遵循基金份额持有人利益优先原则维持基金投资运作。</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 风险收益特征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属ETF联接基金，风险与预期收益高于混合基金、债券基金与货币市场基金。本基金为指数型基金，紧密跟踪标的指数，具有和标的指数所代表的股票市场相似的风险收益特征，相当于股票基金中风险较高，预期收益较高的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 投资限制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本基金的投资组合将遵循以下限制：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（1）进入全国银行间同业市场的债券回购融入的资金余额不得超过基金资产净值的40%。债券回购最长期限为1年，债券回购到期后不得展期；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（3）保持不低于基金资产净值5%的现金或者到期日在一年以内的政府债券，其中现金不包括结算备付金、存出保证金和应收申购款等；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（4）本基金投资权证，在任何交易日买入的总金额，不超过上一交易日基金资产净值的0.5%，基金持有的全部权证的市值不超过基金资产净值的 3%，本基金管理人管理的全部基金持有同一权证的比例不超过该权证的10%；法律法规或监管部门另有规定的，遵从其规定；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（6）本基金不得违反基金合同中有关投资范围、投资策略、投资比例的规定；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（8）本基金与私募类证券资管产品及中国证监会认定的其他主体为交易对手开展逆回购交易的，可接受质押品的资质要求应当与本基金合同约定的投资范围保持一致；</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（9）</w:t>
      </w:r>
      <w:r>
        <w:rPr>
          <w:rFonts w:hint="eastAsia" w:ascii="Times New Roman" w:hAnsi="Times New Roman"/>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（10）</w:t>
      </w:r>
      <w:r>
        <w:rPr>
          <w:rFonts w:ascii="Times New Roman" w:hAnsi="Times New Roman"/>
          <w:sz w:val="24"/>
        </w:rPr>
        <w:t>法律法规或监管部门对上述比例限制另有规定的，从其规定。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自基金合同生效之日起6个月内使基金的投资组合比例符合基金合同的约定。在符合相关法律法规规定的前提下，除上述第（3）、（7）、（8）项以外，因证券市场波动、上市公司合并、基金规模变动、标的指数成分股调整、基金申购或赎回带来现金等非本基金管理人的因素致使基金的投资组合不符合上述规定的投资比例的，基金管理人应当在10个交易日内进行调整。法律法规或监管部门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若法律法规或监管部门对上述约定的投资组合比例限制规定进行变更的，以变更后的规定为准。若法律法规或监管部门取消上述限制，履行适当程序后，本基金投资可不受上述规定限制。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 禁止行为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为维护基金份额持有人的合法权益，本基金禁止从事下列行为：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1、承销证券；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2、向他人贷款或者提供担保；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3、从事承担无限责任的投资；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4、买卖其他基金份额，但是法律法规或国务院另有规定和指定的目标ETF的除外；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5、向基金管理人、基金托管人出资或者买卖基金管理人、基金托管人发行的股票或者债券；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6、买卖与基金管理人、基金托管人有控股关系的股东或者与基金管理人、基金托管人有其他重大利害关系的公司发行的证券或者承销期内承销的证券，但指定的目标ETF除外；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7、从事内幕交易、操纵证券交易价格及其他不正当的证券交易活动；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8、依照法律法规有关规定，由中国证监会规定禁止的其他活动。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若法律法规或监管部门取消上述禁止性规定，履行适当程序后，本基金投资可不受上述规定限制。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（十一） 基金管理人代表基金行使股东及债权人权利的处理原则及方法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1、基金管理人按照国家有关规定代表基金独立行使股东和债权人权利，保护基金份额持有人的利益；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2、不谋求对上市公司的控股，不参与所投资上市公司的经营管理；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3、有利于基金财产的安全与增值；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4、不通过关联交易为自身、雇员、授权代理人或任何存在利害关系的第三人牟取任何不当利益。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（十二） 基金的融资、融券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本基金可以根据有关法律法规和政策的规定进行融资、融券。</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（十三）基金投资组合报告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本基金托管人中国农业银行根据本基金合同规定，于2020年7月20日复核了本报告中的财务指标、净值表现和投资组合报告等内容，保证复核内容不存在虚假记载、误导性陈述或者重大遗漏。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本投资组合报告期为2020年4月1日起至6月30日，所载财务数据未经审计师审计。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报告期末基金资产组合情况</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62,067,037.50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93.95</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3,818,599.25</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5.78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171,885.56</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0.26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66,061,401.71</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2、期末投资目标基金明细</w:t>
      </w:r>
    </w:p>
    <w:tbl>
      <w:tblPr>
        <w:tblStyle w:val="14"/>
        <w:tblW w:w="5000" w:type="pct"/>
        <w:tblInd w:w="0" w:type="dxa"/>
        <w:tblLayout w:type="autofit"/>
        <w:tblCellMar>
          <w:top w:w="0" w:type="dxa"/>
          <w:left w:w="0" w:type="dxa"/>
          <w:bottom w:w="0" w:type="dxa"/>
          <w:right w:w="0" w:type="dxa"/>
        </w:tblCellMar>
      </w:tblPr>
      <w:tblGrid>
        <w:gridCol w:w="1276"/>
        <w:gridCol w:w="1276"/>
        <w:gridCol w:w="1276"/>
        <w:gridCol w:w="1276"/>
        <w:gridCol w:w="1276"/>
        <w:gridCol w:w="1448"/>
        <w:gridCol w:w="842"/>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基金类型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运作方式</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管理人</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深证300价值交易型开放式指数证券投资基金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交易型开放式</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交银施罗德基金管理有限公司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62,067,037.50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94.88</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3、报告期末按行业分类的股票投资组合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3.1报告期末按行业分类的境内股票投资组合</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1,462.50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2,416.90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3.2报告期末按行业分类的港股通投资股票投资组合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本基金本报告期末未持有通过港股通投资的股票。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4、报告期末按公允价值占基金资产净值比例大小排序的前十名股票投资明细</w:t>
      </w:r>
    </w:p>
    <w:tbl>
      <w:tblPr>
        <w:tblStyle w:val="14"/>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美的集团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1,793.70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000983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西山煤电</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390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1,462.50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恒逸石化</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547.80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000932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华菱钢铁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75.40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 报告期末按债券品种分类的债券投资组合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 报告期末按公允价值占基金资产净值比例大小排序的前五名债券投资明细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7、报告期末按公允价值占基金资产净值比例大小排序的前十名资产支持证券投资明细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本基金本报告期末未持有资产支持证券。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 报告期末按公允价值占基金资产净值比例大小排序的前五名贵金属投资明细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本基金本报告期末未持有贵金属。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 报告期末按公允价值占基金资产净值比例大小排序的前五名权证投资明细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本基金本报告期末未持有权证。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10、报告期末本基金投资的股指期货交易情况说明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本基金本报告期末未持有股指期货。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11、报告期末本基金投资的国债期货交易情况说明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本基金本报告期末未持有国债期货。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12、投资组合报告附注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12.1报告期内本基金投资的前十名证券的发行主体未被监管部门立案调查，在本报告编制日前一年内本基金投资的前十名证券的发行主体未受到公开谴责和处罚。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12.2本基金投资的前十名股票中，没有超出基金合同规定的备选股票库之外的股票。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12.3其他资产构成</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548"/>
        <w:gridCol w:w="4645"/>
        <w:gridCol w:w="2477"/>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11,457.08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771.37</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159,657.11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171,885.56</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12.4报告期末持有的处于转股期的可转换债券明细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本基金本报告期末未持有处于转股期的可转换债券。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12.5报告期末前十名股票中存在流通受限情况的说明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本基金本报告期末前十名股票中不存在流通受限情况。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12.6投资组合报告附注的其他文字描述部分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由于四舍五入的原因，分项之和与合计项之间可能存在尾差。</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3" w:name="_Toc54104415"/>
      <w:r>
        <w:rPr>
          <w:rFonts w:ascii="Times New Roman" w:hAnsi="Times New Roman"/>
          <w:sz w:val="30"/>
        </w:rPr>
        <w:t>十一、基金的业绩</w:t>
      </w:r>
      <w:bookmarkEnd w:id="1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基金业绩截止日为2020年06月30日，所载财务数据未经审计师审计。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1、基金份额净值增长率及其与同期业绩比较基准收益率的比较</w:t>
      </w:r>
    </w:p>
    <w:tbl>
      <w:tblPr>
        <w:tblStyle w:val="14"/>
        <w:tblW w:w="5000" w:type="pct"/>
        <w:tblInd w:w="0" w:type="dxa"/>
        <w:tblLayout w:type="autofit"/>
        <w:tblCellMar>
          <w:top w:w="0" w:type="dxa"/>
          <w:left w:w="0" w:type="dxa"/>
          <w:bottom w:w="0" w:type="dxa"/>
          <w:right w:w="0" w:type="dxa"/>
        </w:tblCellMar>
      </w:tblPr>
      <w:tblGrid>
        <w:gridCol w:w="1300"/>
        <w:gridCol w:w="1300"/>
        <w:gridCol w:w="1300"/>
        <w:gridCol w:w="1301"/>
        <w:gridCol w:w="1301"/>
        <w:gridCol w:w="1301"/>
        <w:gridCol w:w="867"/>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净值增长率①</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0.93%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2020上半年</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49.46%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49.41%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-27.55%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-28.35%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30.37%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-0.33%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-8.69%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12.99%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-0.07%</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42.89%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42.42%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-3.02%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3.96%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2011年度（自基金合同生效日起至2011年12月31日）</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-0.42%</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2、自基金合同生效以来基金份额累计净值增长率变动及其与同期业绩比较基准收益率变动的比较</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交银施罗德深证300价值交易型开放式指数证券投资基金联接基金</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份额累计净值增长率与业绩比较基准收益率历史走势对比图</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（2011年9月28日至2020年06月30日）</w:t>
      </w:r>
    </w:p>
    <w:p>
      <w:pPr>
        <w:autoSpaceDE w:val="0"/>
        <w:autoSpaceDN w:val="0"/>
        <w:adjustRightInd w:val="0"/>
        <w:snapToGrid w:val="0"/>
        <w:spacing w:line="360" w:lineRule="auto"/>
        <w:ind w:firstLine="480" w:firstLineChars="200"/>
        <w:jc w:val="center"/>
        <w:rPr>
          <w:rFonts w:ascii="宋体" w:hAnsi="宋体"/>
          <w:szCs w:val="24"/>
        </w:rPr>
      </w:pPr>
      <w:r>
        <w:rPr>
          <w:rFonts w:ascii="宋体" w:hAnsi="宋体"/>
          <w:kern w:val="0"/>
          <w:sz w:val="24"/>
        </w:rPr>
        <w:drawing>
          <wp:inline distT="0" distB="0" distL="0" distR="0">
            <wp:extent cx="5585460" cy="328422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212566102420208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85460" cy="3284220"/>
                    </a:xfrm>
                    <a:prstGeom prst="rect">
                      <a:avLst/>
                    </a:prstGeom>
                    <a:noFill/>
                    <a:ln>
                      <a:noFill/>
                    </a:ln>
                  </pic:spPr>
                </pic:pic>
              </a:graphicData>
            </a:graphic>
          </wp:inline>
        </w:drawing>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注：本基金建仓期为自基金合同生效日起的6个月。截至建仓期结束，本基金各项资产配置比例符合基金合同及招募说明书有关投资比例的约定。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4" w:name="_Toc54104416"/>
      <w:r>
        <w:rPr>
          <w:rFonts w:ascii="Times New Roman" w:hAnsi="Times New Roman"/>
          <w:sz w:val="30"/>
        </w:rPr>
        <w:t>十二、基金的财产</w:t>
      </w:r>
      <w:bookmarkEnd w:id="14"/>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（一）基金资产总值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基金资产总值是指基金拥有的包括目标ETF份额在内的各类有价证券、银行存款本息、基金应收款项以及其他资产的价值总和。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基金资产净值是指基金资产总值减去基金负债后的净资产值。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（三）基金财产的账户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（四）基金财产的处分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管理人、基金托管人以其自有财产承担法律责任，其债权人不得对基金财产行使请求冻结、扣押和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基金财产的债权，不得与基金管理人、基金托管人固有财产的债务相抵销；不同基金财产的债权债务，不得相互抵销。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5" w:name="_Toc54104417"/>
      <w:r>
        <w:rPr>
          <w:rFonts w:ascii="Times New Roman" w:hAnsi="Times New Roman"/>
          <w:sz w:val="30"/>
        </w:rPr>
        <w:t>十三、基金资产的估值</w:t>
      </w:r>
      <w:bookmarkEnd w:id="15"/>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（一）估值目的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基金资产的估值目的是客观、准确地反映基金资产是否保值、增值，并为基金份额提供计价依据。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（二）估值日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本基金的估值日为相关的证券交易场所的正常交易日，以及国家法律法规规定需要对外披露基金净值的非交易日。</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（三）估值对象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基金依法拥有的目标ETF份额、股票、债券、权证及其他基金资产和负债。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目标ETF以该ETF份额当日净值估值；若估值日非证券交易所的营业日，以该基金最近工作日的基金份额净值估值。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2、股票估值方法：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（2）未上市股票的估值：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 首次发行未上市的股票，采用估值技术确定公允价值，在估值技术难以可靠计量公允价值的情况下，按成本价估值；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 送股、转增股、配股和公开增发新股等发行未上市的股票，按估值日在证券交易所上市的同一股票的市价进行估值；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 首次公开发行有明确锁定期的股票，同一股票在交易所上市后，按估值日在证券交易所上市的同一股票的市价进行估值；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 非公开发行的且在发行时明确一定期限锁定期的股票，按监管机构或行业协会有关规定确定公允价值。</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本基金投资存托凭证的估值核算依照境内上市交易的股票执行。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3、债券估值方法：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（1）交易所市场上市交易或挂牌转让的固定收益品种（另有规定的除外），选取第三方估值机构提供的相应品种当日的估值净价进行估值。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（3）首次发行未上市债券采用估值技术确定的公允价值进行估值，在估值技术难以可靠计量公允价值的情况下，按成本估值。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（4）交易所以大宗交易方式转让的资产支持证券，采用估值技术确定公允价值，在估值技术难以可靠计量公允价值的情况下，按成本进行后续计量。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（5）在全国银行间债券市场交易的债券、资产支持证券等固定收益品种，采用估值技术确定公允价值。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（6）同一债券同时在两个或两个以上市场交易的，按债券所处的市场分别估值。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4、权证估值方法：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（2）首次发行未上市的权证，采用估值技术确定公允价值，在估值技术难以可靠计量公允价值的情况下，按成本估值。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（3）因持有股票而享有的配股权，以及停止交易、但未行权的权证，采用估值技术确定公允价值进行估值。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5、衍生品及其他有价证券等资产按国家有关规定进行估值。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（五）估值程序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日常估值由基金管理人进行。基金份额净值由基金管理人完成估值后，将估值结果以书面形式或双方约定的其他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（六）估值错误的处理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基金管理人和基金托管人将采取必要、适当、合理的措施确保基金资产估值的准确性、及时性。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本基金合同的当事人应按照以下约定处理：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1、差错类型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当对由于该差错遭受损失的当事人（“受损方”）按下述“差错处理原则”给予赔偿，承担赔偿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2、差错处理原则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（2）差错的责任方对可能导致有关当事人的直接损失负责，不对间接损失负责，并且仅对差错的有关直接当事人负责，不对第三方负责；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（4）差错调整采用尽量恢复至假设未发生差错的正确情形的方式；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（7）按法律法规规定的其他原则处理差错。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3、差错处理程序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差错被发现后，有关的当事人应当及时进行处理，处理的程序如下：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（1）查明差错发生的原因，列明所有的当事人，并根据差错发生的原因确定差错的责任方；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（2）根据差错处理原则或当事人协商的方法对因差错造成的损失进行评估；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（3）根据差错处理原则或当事人协商的方法由差错的责任方进行更正和赔偿损失；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（4）根据差错处理的方法，需要修改基金注册登记机构交易数据的，由基金注册登记机构进行更正，并就差错的更正向有关当事人进行确认。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4、基金份额净值差错处理的原则和方法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基金份额净值小数点后3位以内（含第3位）发生差错时，视为基金份额净值错误；基金份额净值出现错误时，基金管理人应当立即予以纠正，通报基金托管人，并采取合理的措施防止损失进一步扩大；当错误达到或超过基金资产净值的0.25%时，基金管理人应当及时通知基金托管人并报中国证监会；错误偏差达到基金资产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 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50%，基金托管人承担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 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（3）基金管理人和基金托管人由于各自技术系统设置而产生的净值计算尾差，以基金管理人计算结果为准。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（4）前述内容如法律法规或者监管部门另有规定的，从其规定。如果行业有通行做法，双方当事人应本着平等和保护基金份额持有人利益的原则进行协商。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（七）暂停估值的情形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1、基金投资所涉及的证券交易所遇法定节假日或因其他原因暂停营业时；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2、基金所投资之目标ETF发生暂停估值，暂停公告基金份额净值的情形；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3、因不可抗力或其他情形致使基金管理人、基金托管人无法准确评估基金资产价值时；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4、占基金相当比例的投资品种的估值出现重大转变，而基金管理人为保障基金份额持有人的利益，决定延迟估值；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5、当前一估值日基金资产净值50%以上的资产出现无可参考的活跃市场价格且采用估值技术仍导致公允价值存在重大不确定性时，经与基金托管人协商确认后，基金管理人应当暂停估值；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6、中国证监会和基金合同认定的其他情形。</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（八）基金净值的确认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基金份额净值的计算精确到0.001元，小数点后第四位四舍五入。国家另有规定的，从其规定。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1、基金管理人或基金托管人按股票估值方法的第（4）项、债券估值方法的第（7）项、权证估值方法的第（4）项进行估值时，所造成的误差不作为基金资产估值错误处理。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6" w:name="_Toc54104418"/>
      <w:r>
        <w:rPr>
          <w:rFonts w:ascii="Times New Roman" w:hAnsi="Times New Roman"/>
          <w:sz w:val="30"/>
        </w:rPr>
        <w:t>十四、基金的收益与分配</w:t>
      </w:r>
      <w:bookmarkEnd w:id="1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 基金利润的构成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（二）基金可供分配利润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基金可供分配利润指截至收益分配基准日基金未分配利润与未分配利润中已实现收益的孰低数。</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（三）收益分配原则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本基金收益分配应遵循下列原则：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1、本基金的每份基金份额享有同等分配权；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2、收益分配时所发生的银行转账或其他手续费用由基金投资者自行承担；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3、在符合有关基金分红条件的前提下，本基金每年收益分配次数最多为4次，每份基金份额每次分配比例不得低于收益分配基准日每份基金份额可供分配利润的10%；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4、本基金收益分配方式分为两种：现金分红与红利再投资，基金投资者可选择现金红利或将现金红利自动转为基金份额进行再投资；若投资者不选择，本基金默认的收益分配方式是现金分红；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5、法律法规或监管机构另有规定的从其规定。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在不影响基金份额持有人利益的情况下，基金管理人可在法律法规允许的前提下酌情调整以上基金收益分配原则，并于变更实施日前在指定媒介上公告。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（四）收益分配方案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基金收益分配方案中应载明基金收益分配基准日可供分配利润、基金收益分配对象、分配时间、分配数额及比例、分配方式等内容。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（五）收益分配方案的确定、公告与实施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1、本基金收益分配方案由基金管理人拟定、由基金托管人复核，依照《信息披露办法》的有关规定在指定媒介公告。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3、法律法规或监管机关另有规定的，从其规定。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（六）收益分配中发生的费用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收益分配时所发生的银行转账或其他手续费用由投资者自行承担。当投资者的现金红利小于一定金额，不足于支付银行转账或其他手续费用时，注册登记机构可将基金份额持有人的现金红利自动转为基金份额。红利再投资的计算方法，依照《业务规则》执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（七）收益分配方式的修改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投资者可至销售机构办理收益分配方式的修改，投资者对不同的交易账户可设置不同的收益分配方式。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投资者同一日多次申报分红方式变更的，按照《业务规则》执行，最终确认的分红方式以基金注册登记机构记录为准。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7" w:name="_Toc54104419"/>
      <w:r>
        <w:rPr>
          <w:rFonts w:ascii="Times New Roman" w:hAnsi="Times New Roman"/>
          <w:sz w:val="30"/>
        </w:rPr>
        <w:t>十五、基金的费用与税收</w:t>
      </w:r>
      <w:bookmarkEnd w:id="17"/>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（一）基金费用的种类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3、基金合同生效后的信息披露费用；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4、基金份额持有人大会费用；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5、基金合同生效后与基金有关的会计师费和律师费；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6、基金的证券交易费用；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7、基金财产拨划支付的银行费用；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8、证券账户开户费用和银行账户维护费；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9、按照国家有关规定可以在基金财产中列支的其他费用。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（二）基金费用计提方法、计提标准和支付方式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1、与基金运作有关的费用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财产中投资于目标ETF的部分不收取管理费。在通常情况下，按前一日基金资产净值扣除基金财产中目标ETF份额所对应资产净值后剩余部分（若为负数，则取0）的0.5%年费率计提基金管理费。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H＝E×年管理费率÷当年天数，本基金年管理费率为0.5%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E为前一日基金资产净值扣除基金财产中目标ETF份额所对应资产净值后的剩余部分，若为负数，则E取0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财产中投资于目标ETF的部分不收取托管费。在通常情况下，按前一日基金资产净值扣除基金财产中目标ETF份额所对应资产净值后剩余部分（若为负数，则取0）的0.1%年费率计提基金托管费。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H＝E×年托管费率÷当年天数，本基金年托管费率为0.1%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E为前一日基金资产净值扣除基金财产中目标ETF份额所对应资产净值后的剩余部分，若为负数，则E取0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（3）上述（一）中3到9项费用由基金托管人根据其他有关法律法规及相应协议的规定，按费用支出金额支付，列入或摊入当期基金费用。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2、与基金销售有关的费用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本基金申购费的费率水平、计算公式和收取方式详见“基金份额的申购与赎回”一章。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本基金赎回费的费率水平、计算公式和收取方式详见“基金份额的申购与赎回”一章。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（3）转换费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本基金转换费的费率水平、计算方式和收取方式详见 “基金的转换”一章</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（三）不列入基金费用的项目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管理人和基金托管人可根据基金发展情况调整基金管理费率和基金托管费率。降低基金管理费率和基金托管费率，无须召开基金份额持有人大会。基金管理人必须依照有关规定最迟于新的费率实施日前在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（五）基金税收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基金和基金份额持有人根据国家法律法规的规定，履行纳税义务。</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8" w:name="_Toc54104420"/>
      <w:r>
        <w:rPr>
          <w:rFonts w:ascii="Times New Roman" w:hAnsi="Times New Roman"/>
          <w:sz w:val="30"/>
        </w:rPr>
        <w:t>十六、基金的会计与审计</w:t>
      </w:r>
      <w:bookmarkEnd w:id="18"/>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（一）基金的会计政策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1、基金管理人为本基金的会计责任方；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2、本基金的会计年度为公历每年的1月1日至12月31日；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3、本基金的会计核算以人民币为记账本位币，以人民币元为记账单位；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4、会计制度执行国家有关的会计制度；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5、本基金独立建账、独立核算；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6、基金管理人及基金托管人分别保留完整的会计账目、凭证并进行日常的会计核算，按照有关规定编制基金会计报表；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7、基金托管人定期与基金管理人就基金的会计核算、报表编制等进行核对并书面确认。</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（二）基金的审计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1、基金管理人聘请具有证券、期货相关从业资格的会计师事务所及其注册会计师对本基金年度财务报表及其他规定事项进行审计。会计师事务所及其注册会计师与基金管理人、基金托管人相互独立。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2、会计师事务所更换经办注册会计师时，应事先征得基金管理人同意。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3、基金管理人认为有充足理由更换会计师事务所，经通报基金托管人后可以更换。更换会计师事务所需按照《信息披露办法》的有关规定在指定媒介公告。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9" w:name="_Toc54104421"/>
      <w:r>
        <w:rPr>
          <w:rFonts w:ascii="Times New Roman" w:hAnsi="Times New Roman"/>
          <w:sz w:val="30"/>
        </w:rPr>
        <w:t>十七、基金的信息披露</w:t>
      </w:r>
      <w:bookmarkEnd w:id="19"/>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（一）本基金的信息披露应符合《基金法》、《运作办法》、《信息披露办法》、《流动性规定》、基金合同及其他有关规定。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（二）信息披露义务人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（三）本基金信息披露义务人在承诺公开披露的基金信息时，不得有下列行为：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2、对证券投资业绩进行预测；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4、诋毁其他基金管理人、基金托管人或者基金销售机构；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5、登载任何自然人、法人和非法人组织的祝贺性、恭维性或推荐性的文字；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6、中国证监会禁止的其他行为。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（四）本基金公开披露的信息应采用中文文本。如同时采用外文文本的，基金信息披露义务人应保证不同文本的内容一致。不同文本之间发生歧义的，以中文文本为准。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本基金公开披露的信息采用阿拉伯数字；除特别说明外，货币单位为人民币元。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（五）公开披露的基金信息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公开披露的基金信息包括：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1、招募说明书、基金合同、托管协议、基金产品资料概要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（1）《基金合同》是界定《基金合同》当事人的各项权利、义务关系，明确基金份额持有人大会召开的规则及具体程序，说明基金产品的特性等涉及基金投资者重大利益的事项的法律文件。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（3）基金托管协议是界定基金托管人和基金管理人在基金财产保管及基金运作监督等活动中的权利、义务关系的法律文件。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基金募集申请经中国证监会注册后，基金管理人在基金份额发售的3日前，将基金招募说明书、《基金合同》摘要登载在指定媒介上；基金管理人、基金托管人应当将《基金合同》、基金托管协议登载在网站上。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基金管理人应当就基金份额发售的具体事宜编制基金份额发售公告，并在披露招募说明书的当日登载于指定媒介上。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基金管理人应当在收到中国证监会确认文件的次日在指定媒介上登载《基金合同》生效公告。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4、基金净值信息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《基金合同》生效后，在开始办理基金份额申购或者赎回前，基金管理人应当至少每周在指定网站披露一次基金份额净值和基金份额累计净值。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在开始办理基金份额申购或者赎回后，基金管理人应当在不晚于每个开放日的次日，通过指定网站、基金销售机构网站或者营业网点披露开放日的基金份额净值和基金份额累计净值。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6、基金定期报告，包括基金年度报告、基金中期报告和基金季度报告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基金管理人应当在季度结束之日起15个工作日内，编制完成基金季度报告，将季度报告登载在指定网站上，并将季度报告提示性公告登载在指定报刊上。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《基金合同》生效不足2个月的，基金管理人可以不编制当期季度报告、中期报告或者年度报告。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基金管理人应当在基金年度报告和中期报告中披露基金组合资产情况及其流动性风险分析等。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7、临时报告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本基金发生重大事件，有关信息披露义务人应当在2日内编制临时报告书，并登载在指定报刊和指定网站上。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（1）基金份额持有人大会的召开及决定的事项；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（2）《基金合同》终止、基金清算；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（3）转换基金运作方式、基金合并；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（4）更换基金管理人、基金托管人、基金份额登记机构，基金改聘会计师事务所；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（5）基金管理人委托基金服务机构代为办理基金的份额登记、核算、估值等事项，基金托管人委托基金服务机构代为办理基金的核算、估值、复核等事项；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（6）基金管理人、基金托管人的法定名称、住所发生变更；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（7）基金管理人变更持有百分之五以上股权的股东、基金管理人的实际控制人变更；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（8）基金募集期延长或提前结束募集；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（9）基金管理人的高级管理人员、基金经理和基金托管人专门基金托管部门负责人发生变动；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（10）基金管理人的董事在最近12个月内变更超过百分之五十，基金管理人、基金托管人专门基金托管部门的主要业务人员在最近12个月内变动超过百分之三十；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（11）涉及基金财产、基金管理业务、基金托管业务的诉讼或仲裁；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（14）基金收益分配事项；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（15）管理费、托管费、申购费、赎回费等费用计提标准、计提方式和费率发生变更；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（16）基金份额净值计价错误达基金份额净值百分之零点五；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（17）本基金开始办理申购、赎回；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（18）本基金发生巨额赎回并延期办理；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（19）本基金连续发生巨额赎回并暂停接受赎回申请或延缓支付赎回款项；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（20）本基金暂停接受申购、赎回申请或重新接受申购、赎回申请；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（21）发生涉及基金申购、赎回事项调整或潜在影响投资者赎回等重大事项时；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（22）基金推出新业务或服务；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（23）基金信息披露义务人认为可能对基金份额持有人权益或者基金份额的价格产生重大影响的其他事项或中国证监会规定的其他事项。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8、澄清公告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9、基金份额持有人大会决议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基金份额持有人大会决定的事项，应当依法报中国证监会备案，并予以公告。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11、中国证监会规定的其他信息。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（六）信息披露事务管理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为基金信息披露义务人公开披露的基金信息出具审计报告、法律意见书的专业机构，应当制作工作底稿，并将相关档案至少保存到《基金合同》终止后10年。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（七）信息披露文件的存放与查阅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（八）本基金信息披露事项以法律法规规定及本章节约定的内容为准。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0" w:name="_Toc54104422"/>
      <w:r>
        <w:rPr>
          <w:rFonts w:ascii="Times New Roman" w:hAnsi="Times New Roman"/>
          <w:sz w:val="30"/>
        </w:rPr>
        <w:t>十八、风险揭示</w:t>
      </w:r>
      <w:bookmarkEnd w:id="20"/>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基金份额持有人须了解并承受以下风险：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（一）市场风险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证券市场价格因受到经济因素、政治因素、投资心理和交易制度等各种因素的影响而引起的波动，将对基金收益水平产生潜在风险，主要包括：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1、政策风险。因国家宏观政策（如货币政策、财政政策、行业政策、地区发展政策等）和证券市场监管政策发生变化，导致市场价格波动而产生风险。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2、经济周期风险。证券市场受宏观经济运行的影响，而经济运行具有周期性的特点，而宏观经济运行状况将对证券市场的收益水平产生影响，从而对基金收益造成影响。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5、购买力风险。基金投资的目的是基金资产的保值增值，如果发生通货膨胀，基金投资于证券所获得的收益可能会被通货膨胀抵消，从而使基金的实际收益下降，影响基金资产的保值增值。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（二）管理风险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属于开放式基金，在基金的所有开放日，基金管理人都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1、本基金的申购、赎回安排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2、投资市场、行业及资产的流动性风险评估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3、巨额赎回情形下的流动性风险管理措施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（1）全额赎回：当基金管理人认为有能力支付基金投资者的赎回申请时，按正常赎回程序执行。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顺延赎回：当基金管理人认为支付基金投资者的赎回申请有困难或认为支付投资者的赎回申请而进行的财产变现可能会对基金资产净值造成较大波动时，基金管理人在当日接受赎回比例不低于上一工作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暂停赎回：连续2日以上（含本数）发生巨额赎回，如基金管理人认为有必要，可暂停接受基金的赎回申请；已经确认成功的赎回申请可以延缓支付赎回款项，但不得超过20个工作日，并应当在指定媒介上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4、实施备用的流动性风险管理工具的情形、程序及对投资者的潜在影响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本基金在面临大规模赎回的情况下有可能因为无法变现造成流动性风险。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（四）信用风险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基金在交易过程发生交收违约，或者基金所投资债券之发行人出现违约、拒绝支付到期本息，都可能导致基金资产损失和收益变化，从而产生风险。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（五）投资本基金的特有风险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本基金为ETF联接基金，主要投资对象是目标ETF，因此目标ETF面临的风险可能直接或间接成为本基金的风险。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2、标的指数回报与股票市场平均回报偏离的风险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3、标的指数波动的风险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标的指数成份股的价格可能受到政治因素、经济因素、上市公司经营状况、投资者心理和交易制度等各种因素的影响而波动，导致指数波动，从而使基金收益水平发生变化，产生风险。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4、基金投资组合回报与标的指数回报偏离的风险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（1）本基金90%以上的净资产投资于目标ETF，目标ETF回报与标的指数回报的偏离会造成本基金与标的指数的跟踪偏离；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（2）本基金有投资成本、各种费用及税收，而指数编制不考虑费用和税收，这将导致本基金收益率落后于标的指数收益率，产生负的跟踪偏离度；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受市场流动性风险的影响，本基金在实际管理过程中，由于投资者申购而增加的资金可能不能及时地转化为目标ETF份额和成份股、或在面临投资者赎回时无法以赎回价格将目标ETF份额和成份股及时地转化为现金，使得本基金在跟踪标的指数时存在一定的跟踪偏离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本基金实行指数化投资过程中，基金管理人对指数基金的管理能力，例如跟踪标的指数的水平、技术手段、买入卖出证券的时机选择等，都会对本基金的收益产生影响，从而影响本基金相对于对标的指数的偏离程度。</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sz w:val="24"/>
        </w:rPr>
        <w:t>5、</w:t>
      </w:r>
      <w:r>
        <w:rPr>
          <w:rFonts w:hint="eastAsia" w:ascii="Times New Roman" w:hAnsi="Times New Roman"/>
          <w:bCs/>
          <w:sz w:val="24"/>
        </w:rPr>
        <w:t>跟踪误差控制未达约定目标的风险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本基金力争控制本基金日均跟踪偏离度的绝对值不超过0.</w:t>
      </w:r>
      <w:r>
        <w:rPr>
          <w:rFonts w:ascii="Times New Roman" w:hAnsi="Times New Roman"/>
          <w:bCs/>
          <w:sz w:val="24"/>
        </w:rPr>
        <w:t>3</w:t>
      </w:r>
      <w:r>
        <w:rPr>
          <w:rFonts w:hint="eastAsia" w:ascii="Times New Roman" w:hAnsi="Times New Roman"/>
          <w:bCs/>
          <w:sz w:val="24"/>
        </w:rPr>
        <w:t>%，年跟踪误差不超过</w:t>
      </w:r>
      <w:r>
        <w:rPr>
          <w:rFonts w:ascii="Times New Roman" w:hAnsi="Times New Roman"/>
          <w:bCs/>
          <w:sz w:val="24"/>
        </w:rPr>
        <w:t>4</w:t>
      </w:r>
      <w:r>
        <w:rPr>
          <w:rFonts w:hint="eastAsia" w:ascii="Times New Roman" w:hAnsi="Times New Roman"/>
          <w:bCs/>
          <w:sz w:val="24"/>
        </w:rPr>
        <w:t>%。但因标的指数编制规则调整或其他因素可能导致跟踪误差超过上述范围，本基金净值表现与指数价格走势可能发生较大偏离。</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6、指数编制机构停止服务的风险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与其他基金合并或者终止基金合同等，并在</w:t>
      </w:r>
      <w:r>
        <w:rPr>
          <w:rFonts w:ascii="Times New Roman" w:hAnsi="Times New Roman"/>
          <w:bCs/>
          <w:sz w:val="24"/>
        </w:rPr>
        <w:t>6</w:t>
      </w:r>
      <w:r>
        <w:rPr>
          <w:rFonts w:hint="eastAsia" w:ascii="Times New Roman" w:hAnsi="Times New Roman"/>
          <w:bCs/>
          <w:sz w:val="24"/>
        </w:rPr>
        <w:t>个月内召集基金份额持有人大会进行表决，基金份额持有人大会未成功召开或就上述事项表决未通过的，基金合同终止。</w:t>
      </w:r>
      <w:r>
        <w:rPr>
          <w:rFonts w:hint="eastAsia"/>
          <w:bCs/>
          <w:sz w:val="24"/>
        </w:rPr>
        <w:t>投资人将面临更换基金标的指数、转换运作方式，与其他基金合并或者终止基金合同等风险。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bCs/>
          <w:sz w:val="24"/>
        </w:rPr>
        <w:t>7</w:t>
      </w:r>
      <w:r>
        <w:rPr>
          <w:rFonts w:hint="eastAsia" w:ascii="Times New Roman" w:hAnsi="Times New Roman"/>
          <w:bCs/>
          <w:sz w:val="24"/>
        </w:rPr>
        <w:t>、成份股停牌的风险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标的指数成份股可能因各种原因临时或长期停牌，发生成份股停牌时可能面临如下风险：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（1）基金可能因无法及时调整投资组合而导致跟踪偏离度和跟踪误差扩大。</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2</w:t>
      </w:r>
      <w:r>
        <w:rPr>
          <w:rFonts w:hint="eastAsia" w:ascii="Times New Roman" w:hAnsi="Times New Roman"/>
          <w:bCs/>
          <w:sz w:val="24"/>
        </w:rPr>
        <w:t>）若成份股停牌时间较长，在约定时间内仍未能及时买入或卖出的，由此可能影响投资者的投资损益并使基金产生跟踪偏离度和跟踪误差。</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3</w:t>
      </w:r>
      <w:r>
        <w:rPr>
          <w:rFonts w:hint="eastAsia" w:ascii="Times New Roman" w:hAnsi="Times New Roman"/>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8、本基金为目标ETF的联接基金，但不能保证本基金的表现与目标ETF的表现完全一致，产生差异的原因包括以下几个方面：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（1）本基金赎回采用现金方式，为支付现金赎回款，相比目标ETF，本基金需要保留更多的现金资产；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（2）本基金申购采用现金方式，在利用到账的申购资金投资目标ETF过程中，市场波动等原因会造成本基金与目标ETF表现的差异；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（3）本基金为应对现金申购赎回而进行的证券交易需支付一定的手续费，此等费用将影响本基金相对于目标ETF的表现。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9、本基金可投资创业板股票，创业板个股上市后的前五个交易日不设价格涨跌幅限制，第六个交易日开始涨跌幅限制比例为20%。</w:t>
      </w:r>
    </w:p>
    <w:p>
      <w:pPr>
        <w:autoSpaceDE w:val="0"/>
        <w:autoSpaceDN w:val="0"/>
        <w:adjustRightInd w:val="0"/>
        <w:snapToGrid w:val="0"/>
        <w:spacing w:line="360" w:lineRule="auto"/>
        <w:ind w:firstLine="482" w:firstLineChars="200"/>
        <w:rPr>
          <w:rFonts w:ascii="Times New Roman" w:hAnsi="Times New Roman"/>
          <w:b/>
          <w:sz w:val="24"/>
        </w:rPr>
      </w:pPr>
      <w:r>
        <w:rPr>
          <w:rFonts w:hint="eastAsia" w:ascii="Times New Roman" w:hAnsi="Times New Roman"/>
          <w:b/>
          <w:sz w:val="24"/>
        </w:rPr>
        <w:t>（六）</w:t>
      </w:r>
      <w:r>
        <w:rPr>
          <w:rFonts w:hint="eastAsia" w:ascii="宋体" w:hAnsi="宋体"/>
          <w:b/>
          <w:szCs w:val="24"/>
        </w:rPr>
        <w:t>投资存托凭证的特定风险</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（七）其他风险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1、因技术因素而产生的风险，如电脑系统不可靠产生的风险；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2、因基金业务快速发展，在制度建设、人员配备、内控制度建立等方面的不完善产生的风险；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3、因人为因素而产生的风险、如内幕交易、欺诈行为等产生的风险；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4、对主要业务人员如基金经理的依赖而可能产生的风险；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5、因业务竞争压力可能产生的风险；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6、战争、自然灾害等不可抗力可能导致基金财产的损失，影响基金收益水平，从而带来风险；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7、其他意外导致的风险。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1" w:name="_Toc54104423"/>
      <w:r>
        <w:rPr>
          <w:rFonts w:ascii="Times New Roman" w:hAnsi="Times New Roman"/>
          <w:sz w:val="30"/>
        </w:rPr>
        <w:t>十九、基金合同的终止与基金财产的清算</w:t>
      </w:r>
      <w:bookmarkEnd w:id="21"/>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（一）基金合同的终止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有下列情形之一的，基金合同经中国证监会核准后将终止：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2.基金管理人职责终止，而在6个月内没有新的基金管理人承接的；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3.基金托管人职责终止，而在6个月内没有新的基金托管人承接的；</w:t>
      </w:r>
    </w:p>
    <w:p>
      <w:pPr>
        <w:snapToGrid w:val="0"/>
        <w:spacing w:line="360" w:lineRule="auto"/>
        <w:ind w:firstLine="480" w:firstLineChars="200"/>
        <w:rPr>
          <w:rFonts w:ascii="宋体" w:hAnsi="宋体"/>
          <w:bCs/>
          <w:sz w:val="24"/>
          <w:szCs w:val="24"/>
        </w:rPr>
      </w:pPr>
      <w:r>
        <w:rPr>
          <w:rFonts w:ascii="Times New Roman" w:hAnsi="Times New Roman"/>
          <w:sz w:val="24"/>
        </w:rPr>
        <w:t>4.</w:t>
      </w:r>
      <w:r>
        <w:rPr>
          <w:rFonts w:hint="eastAsia" w:ascii="宋体" w:hAnsi="宋体"/>
          <w:bCs/>
          <w:sz w:val="24"/>
          <w:szCs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ascii="宋体" w:hAnsi="宋体"/>
          <w:sz w:val="24"/>
          <w:szCs w:val="24"/>
        </w:rPr>
        <w:t>5</w:t>
      </w:r>
      <w:r>
        <w:rPr>
          <w:rFonts w:hint="eastAsia" w:ascii="宋体" w:hAnsi="宋体"/>
          <w:sz w:val="24"/>
          <w:szCs w:val="24"/>
        </w:rPr>
        <w:t>.</w:t>
      </w:r>
      <w:r>
        <w:rPr>
          <w:rFonts w:ascii="Times New Roman" w:hAnsi="Times New Roman"/>
          <w:sz w:val="24"/>
        </w:rPr>
        <w:t>相关法律法规和中国证监会规定的其他情况。</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1.基金财产清算小组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（1）基金合同终止后，成立基金清算小组，基金清算小组在中国证监会的监督下进行基金清算。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（2）基金清算小组成员由基金管理人、基金托管人、具有从事证券相关业务资格的注册会计师、律师以及中国证监会指定的人员组成。基金清算小组可以聘用必要的工作人员。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（3）基金清算小组负责基金财产的保管、清理、估价、变现和分配。基金清算小组可以依法进行必要的民事活动。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2.基金财产清算程序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（1）基金合同终止时，由基金清算小组统一接管基金财产；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（2）对基金财产进行清理和确认；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（3）对基金财产进行估价和变现；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（4）制作清算报告；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（5）聘请会计师事务所对清算报告进行审计；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（6）聘请律师事务所对清算报告出具法律意见书；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（7）将基金清算结果报告中国证监会；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（8）公布基金清算报告；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（9）对基金剩余财产进行分配。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清算费用是指基金清算小组在进行基金清算过程中发生的所有合理费用，清算费用由基金清算小组优先从基金财产中支付。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4.基金财产按下列顺序清偿：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（1）支付清算费用；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（2）交纳所欠税款；</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（3）清偿基金债务；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（4）按基金份额持有人持有的基金份额比例进行分配。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基金财产未按前款（1）－（3）项规定清偿前，不分配给基金份额持有人。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5.基金财产清算的公告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公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6.基金财产清算账册及文件的保存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基金财产清算账册及有关文件由基金托管人保存15年以上。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2" w:name="_Toc54104424"/>
      <w:r>
        <w:rPr>
          <w:rFonts w:ascii="Times New Roman" w:hAnsi="Times New Roman"/>
          <w:sz w:val="30"/>
        </w:rPr>
        <w:t>二十、基金合同的内容摘要</w:t>
      </w:r>
      <w:bookmarkEnd w:id="2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（一）基金合同当事人的权利与义务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1、基金管理人的权利与义务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根据《基金法》、《运作办法》及其他有关规定，基金管理人的权利为：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（1）自本基金合同生效之日起，依照有关法律法规和本基金合同的规定独立运用基金财产；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（2）依照本基金合同获得基金管理费以及法律法规规定或中国证监会批准的其他收入；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（3）根据法律法规和基金合同之规定销售基金份额；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（4）根据法律法规和基金合同的规定制定基金收益分配方案；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（5）依照有关规定为基金的利益行使因基金财产投资于证券所产生的权利；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（6）在符合有关法律法规和本基金合同的前提下，制订和调整有关基金认购、申购、赎回、转换、转托管等业务的规则，决定基金的除调高托管费和管理费之外的费率结构和收费方式；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根据本基金合同及有关规定监督基金托管人，对于基金托管人违反了本基金合同或有关法律法规规定的行为，对基金财产、其他基金当事人的利益造成重大损失的情形，应及时呈报中国证监会和中国银监会，并采取必要措施保护基金及相关基金当事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（8）在基金合同约定的范围内，拒绝或暂停受理申购、赎回和转换申请；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（9）自行担任注册登记机构或选择、更换注册登记机构，并对注册登记机构的代理行为进行必要的监督和检查；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（10）选择、更换代销机构，并依据销售代理协议和有关法律法规，对其行为进行必要的监督和检查；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（11）在基金托管人更换时，提名新的基金托管人；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（14）选择、更换律师事务所、会计师事务所、证券经纪商或其他为基金提供服务的外部机构；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（15）根据国家有关规定，在法律法规允许的前提下，为基金的利益依法为基金融资、融券；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（16）法律法规、基金合同以及依据基金合同制定的其它法律文件规定的其他权利。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根据《基金法》、《运作办法》及其他有关规定，基金管理人的义务为：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（1）依法募集基金，办理或者委托经由证监会认定的其他机构代为办理基金份额的发售、申购、赎回和注册登记事宜；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（3）自基金合同生效之日起，以诚实信用、勤勉尽责的原则管理和运用基金财产；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（4）配备足够的具有专业资格的人员进行基金投资分析、决策，以专业化的经营方式管理和运作基金财产；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（5）建立健全内部风险控制、监察与稽核、财务管理及人事管理等制度，保证所管理的基金财产和基金管理人的财产相互独立，对所管理的不同基金财产分别管理，分别记账，进行证券投资；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（6）除依据《基金法》、基金合同及其他有关规定外，不得为自己及任何第三人谋取利益，不得委托第三人运作基金财产；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（7）依法接受基金托管人的监督；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（8）计算并公告基金净值信息，确定基金份额申购、赎回价格；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（9）采取适当合理的措施使计算基金份额认购、申购、赎回价格的方法符合基金合同等法律文件的规定；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（10）按规定受理基金份额的申购和赎回申请，及时、足额支付赎回款项；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（13）严格按照《基金法》、基金合同及其他有关规定，履行信息披露及报告义务；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（14）保守基金商业秘密，不得泄露基金投资计划、投资意向等。除《基金法》、基金合同及其他有关规定另有规定外，在基金信息公开披露前应予保密，不得向他人泄露；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（15）按照基金合同的约定确定基金收益分配方案，及时向基金份额持有人分配收益；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（16）依据《基金法》、基金合同及其他有关规定召集基金份额持有人大会或配合基金托管人、基金份额持有人依法召集基金份额持有人大会；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（17）保存基金财产管理业务活动的记录、账册、报表和其他相关资料；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（19）组织并参加基金财产清算小组，参与基金财产的保管、清理、估价、变现和分配；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（20）因违反基金合同导致基金财产的损失或损害基金份额持有人合法权益，应当承担赔偿责任，其赔偿责任不因其退任而免除；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（21）基金托管人违反基金合同造成基金财产损失时，应为基金份额持有人利益向基金托管人追偿；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（22）按规定向基金托管人提供基金份额持有人名册资料；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（23）建立并保存基金份额持有人名册；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（24）面临解散、依法被撤销或者被依法宣告破产时，及时报告中国证监会并通知基金托管人；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（26）不从事任何有损基金及其他基金合同当事人合法权益的活动；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（27）依照法律法规为基金的利益对被投资公司行使股东权利，为基金的利益行使因基金财产投资于证券所产生的权利，不谋求对上市公司的控股和直接管理；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（28）法律法规、基金合同规定的以及中国证监会要求的其他义务。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2、基金托管人的权利与义务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根据《基金法》、《运作办法》及其他有关规定，基金托管人的权利为：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（1）依照基金合同的约定获得基金托管费；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（2）监督基金管理人对本基金的投资运作；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（3）自本基金合同生效之日起，依照法律法规和基金合同、托管协议的规定依法保管基金财产；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（4）在基金管理人更换时，提名新任基金管理人；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（6）依法提议召开或召集基金份额持有人大会；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（7）按规定取得基金份额持有人名册；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（8）法律法规规定的其他权利。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根据《基金法》、《运作办法》及其他有关规定，基金托管人的义务为：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（1）以诚实信用、勤勉尽责的原则持有并安全保管基金财产；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（2）设立专门的基金托管部，具有符合要求的营业场所，配备足够的、合格的熟悉基金托管业务的专职人员，负责基金财产托管事宜；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（4）除依据《基金法》、基金合同及其他有关规定外，不得为自己及任何第三人谋取利益，不得委托第三人托管基金财产；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（5）保管由基金管理人代表基金签订的与基金有关的重大合同及有关凭证；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（6）按规定开设基金财产的资金账户和证券账户；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（7）保守基金商业秘密。除《基金法》、基金合同及其他有关规定另有规定外，在基金信息公开披露前应予保密，不得向他人泄露；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（9）保存基金托管业务活动的记录、账册、报表和其他相关资料不少于15年；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（10）按照基金合同的约定，根据基金管理人的投资指令，及时办理清算、交割事宜；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（11）办理与基金托管业务活动有关的信息披露事项；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（12）复核、审查基金管理人计算的基金资产净值、基金份额净值和基金份额申购、赎回价格；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（13）按照规定监督基金管理人的投资运作；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（14）按规定制作相关账册并与基金管理人核对；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（15）依据基金管理人的指令或有关规定向基金份额持有人支付基金收益和赎回款项；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（16）按照规定召集基金份额持有人大会或配合基金管理人、基金份额持有人依法自行召集基金份额持有人大会；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（17）因违反基金合同导致基金财产损失，应承担赔偿责任，其赔偿责任不因其退任而免除；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（18）按规定监督基金管理人按照法律法规规定和基金合同履行其义务，基金管理人因违反基金合同造成基金财产损失时，应为基金向基金管理人追偿；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（19）根据本基金合同和托管协议规定建立并保存基金份额持有人名册；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（20）参加基金财产清算组，参与基金财产的保管、清理、估价、变现和分配；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（21）面临解散、依法被撤销、破产或者由接管人接管其资产时，及时报告中国证监会和中国银监会，并通知基金管理人；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（23）法律法规、基金合同规定的以及中国证监会要求的其他义务。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3、基金份额持有人的权利与义务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每份基金份额具有同等的合法权益。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根据《基金法》、《运作办法》及其他有关法律法规的规定，基金份额持有人的权利包括但不限于：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（1）分享基金财产收益；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（2）参与分配清算后的剩余基金财产；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（3）依法转让或者申请赎回其持有的基金份额；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（4）按照规定要求召开基金份额持有人大会；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（5）出席或者委派代表出席基金份额持有人大会，对基金份额持有人大会审议事项行使表决权；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（6）根据基金合同的约定，出席或者委派代表出席目标ETF份额持有人大会，对目标ETF份额持有人大会审议事项行使表决权；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（7）查阅或者复制公开披露的基金信息资料；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（9）对基金管理人、基金托管人、基金份额代销机构损害其合法权益的行为依法提起诉讼；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（10）法律法规和基金合同规定的其他权利。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根据《基金法》、《运作办法》及其他有关法律法规的规定，基金份额持有人的义务包括但不限于：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（1）遵守法律法规、基金合同及其他有关规定；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（2）缴纳基金认购、申购款项及法律法规、基金合同和招募说明书规定的费用；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（3）在持有的基金份额范围内，承担基金亏损或者基金合同终止的有限责任；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（4）不从事任何有损基金及其他基金份额持有人合法权益的活动；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（5）执行生效的基金份额持有人大会决议；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（6）遵守基金管理人、基金托管人及销售机构和注册登记机构的相关交易及业务规则；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（7）返还在基金交易过程中因任何原因，自基金管理人、基金托管人、代销机构或其他基金份额持有人处获得的不当得利；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（8）法律法规和基金合同规定的其他义务。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4、本基金合同当事人各方的权利义务以本基金合同为依据，不因基金账户名称而有所改变。</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1、基金份额持有人大会由基金份额持有人组成，基金份额持有人的合法授权代表有权代表基金份额持有人出席会议并表决。基金份额持有人持有的每一基金份额拥有平等的投票权。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2、召开事由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出现或需要决定下列事由之一的，经基金管理人、基金托管人或持有基金份额10%以上（“以上”含本数，下同）的基金份额持有人（以基金管理人收到提议当日的基金份额计算，下同）提议时，应当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（1）终止基金合同；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（2）转换基金运作方式；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（3）变更基金类别；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（4）变更基金投资目标、投资范围或投资策略（法律法规和中国证监会另有规定的除外）；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（5）变更基金份额持有人大会议事程序；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（6）更换基金管理人、基金托管人；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（7）提高基金管理人、基金托管人的报酬标准。但根据法律法规的要求提高该等报酬标准的除外；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（8）本基金与其他基金的合并；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（9）对基金合同当事人权利、义务产生重大影响，需召开基金份额持有人大会的变更基金合同等其他事项；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（10）基金管理人代表本基金的基金份额持有人提议召开或召集目标ETF份额持有人大会；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（11）法律法规、基金合同或中国证监会规定的其他情形。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出现以下情形之一的，可由基金管理人和基金托管人协商后修改，不需召开基金份额持有人大会：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（1）调低基金管理费、基金托管费等其他应由基金或基金份额持有人承担的费用；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（2）法律法规要求增加的基金费用的收取；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（3）在法律法规和本基金合同规定的范围内调整基金的申购费率、调低赎回费率、变更或增加收费方式；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（4）因相应的法律法规、证券交易所或者注册登记机构的相关业务规则发生变动必须对基金合同进行修改；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（5）基金合同的修改不涉及本基金合同当事人权利义务关系发生重大变化；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（6）基金合同的修改对基金份额持有人利益无实质性不利影响；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（7）按照法律法规或本基金合同规定不需召开基金份额持有人大会的其他情形。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3、召集人及召集方式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（1）除法律法规或本基金合同另有约定外，基金份额持有人大会由基金管理人召集。基金管理人未按规定召集或者不能召集时，由基金托管人召集。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（5）基金份额持有人依法自行召集基金份额持有人大会的，基金管理人、基金托管人应当配合，不得阻碍、干扰。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4、召开基金份额持有人大会的通知时间、通知内容、通知方式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的召集人（以下简称“召集人”）负责选择确定开会时间、地点、方式和权益登记日。召开基金份额持有人大会，召集人必须于会议召开日前40日在指定媒介公告。基金份额持有人大会通知须至少载明以下内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（1）会议召开的时间、地点和出席方式；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（2）会议拟审议的主要事项；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（3）会议形式；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（5）有权出席基金份额持有人大会的基金份额持有人的权益登记日；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（6）授权委托证明的内容要求（包括但不限于代理人身份、代理权限和代理有效期限等）、送达时间和地点；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（7）表决方式；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（8）会务常设联系人姓名、电话；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（9）出席会议者必须准备的文件和必须履行的手续；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（10）召集人需要通知的其他事项。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的寄交的截止时间和收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5、基金份额持有人出席会议的方式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1）基金份额持有人大会的召开方式包括现场开会、通讯方式开会或法律法规和监管机关允许的其他方式。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2）现场开会由基金份额持有人本人出席或通过授权委托证明委派其代理人出席，现场开会时基金管理人和基金托管人的授权代表应当出席，基金管理人或基金托管人拒不派代表出席的，不影响表决效力。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3）通讯方式开会指按照本基金合同的相关规定以通讯的书面方式进行表决。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（2）召开基金份额持有人大会的条件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在同时符合以下条件时，现场会议方可举行：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 经核对、汇总，到会者出示的在权益登记日持有基金份额的凭证显示，全部有效凭证所对应的基金份额应占权益登记日基金总份额的50%以上（含50%，下同）；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亲自出席会议者持有基金份额持有人凭证和受托出席会议者出具的委托人持有基金份额的凭证及授权委托证明等文件符合有关法律法规和基金合同及会议通知的规定，并且持有基金份额的凭证与基金管理人持有的登记资料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未能满足上述条件的情况下，则召集人可另行确定并公告重新开会的时间（至少应在25个工作日后）和地点，但确定有权出席会议的基金份额持有人资格的权益登记日不变。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2）通讯开会方式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在同时符合以下条件时，通讯会议方可举行：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①召集人按本基金合同规定公布会议通知后，在2个工作日内连续公布相关提示性公告；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召集人在基金托管人（如果基金托管人为召集人，则为基金管理人；以下称为“监督人”）和公证机关的监督下按照会议通知规定的方式收取和统计基金份额持有人的书面表决意见，监督人经通知拒不参加收取和统计书面表决意见的，不影响表决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③本人直接出具书面意见或授权他人代表出具书面意见的基金份额持有人所代表的基金份额应占权益登记日基金总份额的50%以上；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如果开会条件达不到上述的条件，则召集人可另行确定并公告重新表决的时间（至少应在25个工作日后），且确定有权出席会议的基金份额持有人资格的权益登记日不变。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 在法律法规或监管机构允许的情况下，经会议通知载明，基金份额持有人也可以采用网络、电话或其他方式进行表决，或者采用网络、电话或其他方式授权他人代为出席会议并表决。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6、议事内容与程序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（1）议事内容及提案权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1）议事内容为本基金合同规定的召开基金份额持有人大会事由所涉及的内容以及会议召集人认为需提交基金份额持有人大会讨论的其他事项。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35日提交召集人。召集人对于临时提案应当在大会召开日前30日公告。否则，会议的召开日期应当顺延并保证至少与临时提案公告日期有30日的间隔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3）对于基金份额持有人提交的提案（包括临时提案），大会召集人应当按照以下原则对提案进行审核：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大会的召集人发出召开会议的通知后，如果需要对原有提案进行修改，应当最迟在基金份额持有人大会召开日前30日公告。否则，会议的召开日期应当顺延并保证至少与公告日期有30日的间隔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在现场开会的方式下，首先由大会主持人按照规定程序宣布会议议事程序及注意事项，确定和公布监票人，然后由大会主持人宣读提案，经讨论后进行表决，经合法执业的律师见证后形成大会决议。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作出的决议的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召集人应当制作出席会议人员的签名册。签名册载明参加会议人员姓名（或单位名称）、身份证号码、持有或代表有表决权的基金份额、委托人姓名（或单位名称）等事项。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2）通讯方式开会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表决开会的方式下，首先由召集人提前30日公布提案，在所通知的表决截止日期第2日在公证机构监督下由召集人统计全部有效表决并形成决议。如监督人经通知但拒绝到场监督，则在公正机关监督下形成的决议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（3）基金份额持有人大会不得对未事先公告的议事内容进行表决。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7、决议形成的条件、表决方式、程序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（1）基金份额持有人所持每一基金份额享有平等的表决权。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（2）基金份额持有人大会决议分为一般决议和特别决议：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1）一般决议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一般决议须经出席会议的基金份额持有人及其代理人所持表决权的50%以上通过方为有效，除下列2）所规定的须以特别决议通过事项以外的其他事项均以一般决议的方式通过；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2）特别决议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特别决议须经出席会议的基金份额持有人及代理人所持表决权的三分之二以上通过方为有效；更换基金管理人、更换基金托管人、转换基金运作方式、终止基金合同必须以特别决议通过方为有效。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（3）基金份额持有人大会决定的事项，应当依法报中国证监会核准，或者备案，并予以公告。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（5）基金份额持有人大会采取记名方式进行投票表决。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（6）基金份额持有人大会的各项提案或同一项提案内并列的各项议题应当分开审议、逐项表决。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不出席大会的，不影响计票的效力及表决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2）监票人应当在基金份额持有人表决后立即进行清点，由大会主持人当场公布计票结果。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4）计票过程应由公证机关予以公证。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（2）通讯方式开会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方式开会的情况下，计票方式为：由大会召集人授权的两名监督员在监督人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9、基金份额持有人大会决议报中国证监会核准或备案后的公告时间、方式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通过的一般决议和特别决议，召集人应当自通过之日起5日内报中国证监会核准或者备案。基金份额持有人大会决定的事项自中国证监会依法核准或者出具无异议意见之日起生效，并在生效后方可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（2）生效的基金份额持有人大会决议对全体基金份额持有人、基金管理人、基金托管人均有约束力。基金管理人、基金托管人和基金份额持有人应当执行生效的基金份额持有人大会的决定。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（3）基金份额持有人大会决议应自生效之日起2个工作日内在指定媒介上公告。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（4）如果采用通讯方式进行表决，在公告基金份额持有人大会决议时，必须将公证书全文、公证机关、公证员姓名等一同公告。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10、鉴于本基金是目标ETF 的联接基金，本基金的基金份额持有人可以凭所持有的本基金份额出席或者委派代表出席目标ETF 的基金份额持有人大会并参与表决。在计算参会份额和计票时，本基金持有人其持有的享有表决权的基金份额数和表决票数为：在目标ETF 基金份额持有人大会的权益登记日，本基金持有目标ETF 份额的总数乘以该基金份额持有人所持有的本基金份额占本基金总份额的比例。计算结果按照四舍五入的方法，保留到整数位。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本基金的基金管理人代表本基金的基金份额持有人提议召开或召集目标ETF 基金份额持有人大会的，须先遵照本基金《基金合同》的约定召开本基金的基金份额持有人大会。本基金的基金份额持有人大会决定提议召开或召集目标ETF 基金份额持有人大会的，由本基金基金管理人代表本基金的基金份额持有人提议召开或召集目标ETF基金份额持有人大会。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（三）基金合同的变更与终止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（1）按照法律法规或本基金合同的规定，对基金合同的变更应当召开基金份额持有人大会的，基金合同变更的内容应经基金份额持有人大会决议通过，并依法报中国证监会核准，自中国证监会核准之日起生效。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（2）但出现下列情况时，可不经基金份额持有人大会决议，由基金管理人和基金托管人同意变更后公布经修订的基金合同，并报中国证监会备案：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1）调低基金管理费、基金托管费等应由基金或基金份额持有人承担的费用；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2）法律法规要求增加的基金费用的收取；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3）在法律法规和本基金合同规定的范围内调整基金的申购费率、调低赎回费率、变更或增加收费方式；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4）因相应的法律法规、证券交易所或者注册登记机构的相关业务规则发生变动必须对基金合同进行修改；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5）基金合同的修改不涉及本基金合同当事人权利义务关系发生重大变化；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6）基金合同的修改对基金份额持有人利益无实质性不利影响；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7）按照法律法规或本基金合同规定不需召开基金份额持有人大会的其他情形。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2、基金合同的终止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有下列情形之一的，本基金合同经中国证监会核准后将终止：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（2）基金管理人职责终止，而在6个月内没有新的基金管理人承接的；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（3）基金托管人职责终止，而在6个月内没有新的基金托管人承接的；</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（4）</w:t>
      </w:r>
      <w:r>
        <w:rPr>
          <w:rFonts w:hint="eastAsia" w:ascii="Times New Roman" w:hAnsi="Times New Roman"/>
          <w:bCs/>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（5）</w:t>
      </w:r>
      <w:r>
        <w:rPr>
          <w:rFonts w:ascii="Times New Roman" w:hAnsi="Times New Roman"/>
          <w:sz w:val="24"/>
        </w:rPr>
        <w:t>相关法律法规和中国证监会规定的其他情况。</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（四）争议的处理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本基金合同适用中华人民共和国法律并从其解释。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（五）基金合同存放及投资者取得基金合同的方式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本基金合同可印制成册，供基金投资者在基金管理人和基金托管人办公场所查阅。基金合同条款及内容应以基金合同正本为准。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3" w:name="_Toc54104425"/>
      <w:r>
        <w:rPr>
          <w:rFonts w:ascii="Times New Roman" w:hAnsi="Times New Roman"/>
          <w:sz w:val="30"/>
        </w:rPr>
        <w:t>二十一、托管协议的内容摘要</w:t>
      </w:r>
      <w:bookmarkEnd w:id="23"/>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（一）托管协议当事人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注册地址：中国(上海)自由贸易试验区银城中路188号交通银行大楼二层（裙）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成立日期：2005年8月4日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批准设立机关及批准设立文号：中国证监会证监基金字[2005]128号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组织形式：有限责任公司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注册资本：贰亿元人民币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经营范围：基金募集、基金销售、资产管理和中国证监会许可的其它业务。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名称：中国农业银行股份有限公司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注册地址：北京市东城区建国门内大街69号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邮政编码：100031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成立时间：2009年1月15日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批准设立机关和批准设立文号：中国银监会银监复[2009]13号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基金托管资格批准文号：中国证监会证监基字[1998]23号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注册资本：32,479,411.7万元人民币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（二）基金托管人对基金管理人的业务监督和核查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本基金以目标ETF、标的指数成份股、备选成份股为主要投资对象（含中小板股票和创业板股票及其他经中国证监会核准的上市股票、</w:t>
      </w:r>
      <w:r>
        <w:rPr>
          <w:rFonts w:hint="eastAsia" w:ascii="Times New Roman" w:hAnsi="Times New Roman"/>
          <w:sz w:val="24"/>
        </w:rPr>
        <w:t>存托凭证</w:t>
      </w:r>
      <w:r>
        <w:rPr>
          <w:rFonts w:ascii="Times New Roman" w:hAnsi="Times New Roman"/>
          <w:sz w:val="24"/>
        </w:rPr>
        <w:t>），把全部或接近全部的基金资产用于跟踪标的指数的表现，正常情况下投资于目标ETF的资产比例不低于基金资产净值的90%，基金持有的现金及到期日在一年以内的政府债券的投资比例合计不低于基金资产净值的5%，其中现金不包括结算备付金、存出保证金和应收申购款等。此外，为更好地实现投资目标，本基金也可少量投资于新股（</w:t>
      </w:r>
      <w:r>
        <w:rPr>
          <w:rFonts w:hint="eastAsia" w:ascii="Times New Roman" w:hAnsi="Times New Roman"/>
          <w:sz w:val="24"/>
        </w:rPr>
        <w:t>含存托凭证</w:t>
      </w:r>
      <w:r>
        <w:rPr>
          <w:rFonts w:ascii="Times New Roman" w:hAnsi="Times New Roman"/>
          <w:sz w:val="24"/>
        </w:rPr>
        <w:t>）、债券、回购、权证及中国证监会允许基金投资的其它金融工具（但须符合中国证监会的相关规定）。如法律法规或监管机构以后允许基金投资其它品种，基金管理人在履行适当程序后，可以将其纳入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2、基金托管人根据有关法律法规的规定及基金合同的约定，对基金投资、融资、融券比例进行监督。基金托管人按下述比例和调整期限进行监督：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（1）进入全国银行间同业市场的债券回购融入的资金余额不超过基金资产净值的40%。债券回购最长期限为１年，债券回购到期后不得展期；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投资权证，在任何交易日买入权证的总金额，不得超过上一交易日基金资产净值的0.5%；本基金持有的全部权证，其市值不得超过基金资产净值的3%；本基金与本基金管理人管理的其他基金持有的同一权证，不得超过该权证的10%；法律法规或监管部门另有规定的，遵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持有的同一（指同一信用级别）资产支持证券的比例，不得超过该资产支持证券规模的10%；本基金投资于同一原始权益人的各类资产支持证券的比例，不得超过该基金资产净值的10%；本基金管理人管理的全部证券投资基金投资于同一原始权益人的各类资产支持证券，不得超过其各类资产支持证券合计规模的10%；本基金持有的全部资产支持证券，其市值不得超过该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（5）保持不低于基金资产净值5%的现金或者到期日在一年以内的政府债券，其中现金不包括结算备付金、存出保证金和应收申购款等；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（6）本基金持有一家公司发行的流通受限证券，其市值不得超过基金资产净值的2%；本基金持有的所有流通受限证券，其市值不得超过该基金资产净值的15%；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（7）本基金不得违反基金合同中有关投资范围、投资策略、投资比例的规定；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（9）本基金与私募类证券资管产品及中国证监会认定的其他主体为交易对手开展逆回购交易的，可接受质押品的资质要求应当与基金合同约定的投资范围保持一致；</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（10）</w:t>
      </w:r>
      <w:r>
        <w:rPr>
          <w:rFonts w:hint="eastAsia" w:ascii="Times New Roman" w:hAnsi="Times New Roman"/>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（11）法律法规或监管部门对上述比例限制另有规定的，从其规定。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自基金合同生效之日起6个月内使基金的投资组合比例符合基金合同的约定。在符合相关法律法规规定的前提下，除上述第（5）、（8）、（9）项以外,因证券市场波动、上市公司合并、基金规模变动、标的指数成分股调整、基金申购或赎回带来现金等基金管理人之外的因素致使基金投资组合比例不符合上述规定的投资比例的，基金管理人应当在10个交易日内进行调整。法律法规或监管部门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若法律法规或监管部门对上述约定的投资组合比例限制规定进行变更的，以变更后的规定为准；若法律法规或监管部门取消上述限制，在履行适当程序后，本基金投资可不受上述规定限制。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基金托管人对基金投资的监督和检查自基金合同生效之日起开始。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1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5、基金托管人根据有关法律法规的规定及基金合同的约定，对基金管理人选择存款银行进行监督。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本基金投资银行存款应符合如下规定：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（1）基金管理人、基金托管人应当与存款银行建立定期对账机制，确保基金银行存款业务账目及核算的真实、准确。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（2）基金托管人应加强对基金银行存款业务的监督与核查，严格审查、复核相关协议、账户资料、投资指令、存款证实书等有关文件，切实履行托管职责。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（3）基金管理人与基金托管人在开展基金存款业务时，应严格遵守《基金法》、《运作办法》等有关法律法规，以及国家有关账户管理、利率管理、支付结算等的各项规定。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如果基金管理人未经基金托管人的审核擅自将不实的业绩表现数据印制在宣传推介材料上，则基金托管人对此不承担任何责任，并将在发现后立即报告中国证监会。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7、基金托管人根据有关法律法规的规定及基金合同的约定，对基金投资流通受限证券进行监督。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（1）基金投资流通受限证券，应遵守《关于规范基金投资非公开发行证券行为的紧急通知》、《关于基金投资非公开发行股票等流通受限证券有关问题的通知》等有关法律法规规定。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（4）在投资流通受限证券之前，基金管理人应至少提前一个交易日向基金托管人提供有关非公开定向增发流通受限证券的相关信息，具体应当包括但不限于如下文件（如有）：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应保证基金投资的受限证券登记存管在本基金名下，并确保基金托管人能够正常查询。因基金管理人原因产生的受限证券登记存管问题，造成基金财产的损失或基金托管人无法安全保管基金财产的责任与损失，由基金管理人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（三）基金管理人对基金托管人的业务核查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1、基金财产保管的原则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（1）基金财产应独立于基金管理人、基金托管人的固有财产。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（2）基金托管人应安全保管基金财产。未经基金管理人依据合法程序作出的合法合规指令，基金托管人不得自行运用、处分、分配基金的任何财产。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（3）基金托管人按照规定开设基金财产的资金账户和证券账户。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（4）基金托管人对所托管的不同基金财产分别设置账户，与基金托管人的其他业务和其他基金的托管业务实行严格的分帐管理，确保基金财产的完整与独立。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（5）基金托管人根据基金管理人的指令，按照基金合同和本协议的约定保管基金财产，如有特殊情况双方可另行协商解决。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（7）除依据法律法规和基金合同的规定外，基金托管人不得委托第三人托管基金财产。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2、基金募集期间及募集资金的验资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（1）基金募集期间的认购款项应存于专用账户。该账户由基金管理人委托的注册登记机构开立并管理。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满或基金停止募集时，募集的基金份额总额、基金募集金额、基金份额持有人人数符合《基金法》、《运作办法》等有关规定后，基金管理人应将募集到的全部资金划入基金托管人为基金开立的基金托管资金账户，同时在规定时间内，聘请具有从事证券相关业务资格的会计师事务所进行验资，出具验资报告。出具的验资报告由参加验资的2名或2名以上中国注册会计师签字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（3）若基金募集期限届满，未能达到基金合同生效的条件，由基金管理人按规定办理退款等事宜，基金托管人应提供充分协助。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3、基金托管资金账户的开立和管理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（1）基金托管人应负责本基金的资金账户的开设和管理。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（4）基金托管资金账户的开立和管理应符合相关法律法规的有关规定。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（5）在符合法律法规规定的条件下，基金托管人可以通过基金托管人专用账户办理基金资产的支付。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4、基金证券账户和结算备付金账户的开立和管理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（1）基金托管人在中国证券登记结算有限责任公司上海分公司、深圳分公司为基金开立基金托管人与基金联名的证券账户。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（4）基金证券账户的开立和证券账户卡的保管由基金托管人负责，账户资产的管理和运用由基金管理人负责。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5、债券托管专户的开设和管理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6、其他账户的开立和管理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（1）因业务发展需要而开立的其他账户，可以根据法律法规和基金合同的规定，在基金管理人和基金托管人商议后由基金托管人负责开立。新账户按有关规则使用并管理。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（2）法律法规等有关规定对相关账户的开立和管理另有规定的，从其规定办理。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7、基金财产投资的有关有价凭证等的保管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8、与基金财产有关的重大合同的保管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（五）基金资产净值计算和会计复核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1、基金资产净值的计算及复核程序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基金资产净值是指基金资产总值减去负债后的金额。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基金份额净值是指基金资产净值除以基金份额总数。基金份额净值的计算，精确到0.001元，小数点后第四位四舍五入，由此产生的误差计入基金财产。国家另有规定的，从其规定。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每工作日计算基金资产净值及基金份额净值，并按规定公告。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（2）复核程序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基金管理人每工作日对基金资产进行估值后，将基金份额净值结果发送基金托管人，经基金托管人复核无误后，由基金管理人依据基金合同和有关法律法规的规定对外公布。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2、基金资产估值方法和特殊情形的处理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（1）估值对象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基金依法拥有的目标ETF份额、股票、债券、权证及其他基金资产和负债。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目标ETF以该ETF份额当日净值估值；若估值日非证券交易所的营业日，以该基金最近工作日的基金份额净值估值。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2）股票估值方法：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B.未上市股票的估值：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①首次发行未上市的股票，采用估值技术确定公允价值，在估值技术难以可靠计量公允价值的情况下，按成本价估值；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②送股、转增股、配股和公开增发新股等发行未上市的股票，按估值日在证券交易所上市的同一股票的市价进行估值；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③首次公开发行有明确锁定期的股票，同一股票在交易所上市后，按估值日在证券交易所上市的同一股票的市价进行估值；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④非公开发行的且在发行时明确一定期限锁定期的股票，按监管机构或行业协会有关规定确定公允价值。</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C.</w:t>
      </w:r>
      <w:r>
        <w:rPr>
          <w:rFonts w:hint="eastAsia"/>
        </w:rPr>
        <w:t xml:space="preserve"> </w:t>
      </w:r>
      <w:r>
        <w:rPr>
          <w:rFonts w:hint="eastAsia" w:ascii="Times New Roman" w:hAnsi="Times New Roman"/>
          <w:sz w:val="24"/>
        </w:rPr>
        <w:t>本基金投资存托凭证的估值核算依照境内上市交易的股票执行。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D.在任何情况下，基金管理人如采用本项第A－C小项规定的方法对基金资产进行估值，均应被认为采用了适当的估值方法。但是，如果基金管理人认为按本项第A－C小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3）债券估值方法：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①交易所市场上市交易或挂牌转让的固定收益品种（另有规定的除外），选取第三方估值机构提供的相应品种当日的估值净价进行估值。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③首次发行未上市债券采用估值技术确定的公允价值进行估值，在估值技术难以可靠计量公允价值的情况下，按成本估值。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④交易所以大宗交易方式转让的资产支持证券，采用估值技术确定公允价值，在估值技术难以可靠计量公允价值的情况下，按成本进行后续计量。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⑤在全国银行间债券市场交易的债券、资产支持证券等固定收益品种，采用估值技术确定公允价值。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⑥同一债券同时在两个或两个以上市场交易的，按债券所处的市场分别估值。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⑦在任何情况下，基金管理人如采用本项第①－⑥小项规定的方法对基金资产进行估值，均应被认为采用了适当的估值方法。但是，如果基金管理人认为按本项第①－⑥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⑧国家有最新规定的，按其规定进行估值。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4）权证估值方法：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②首次发行未上市的权证，采用估值技术确定公允价值，在估值技术难以可靠计量公允价值的情况下，按成本估值。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③因持有股票而享有的配股权，以及停止交易、但未行权的权证，采用估值技术确定公允价值进行估值。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在任何情况下，基金管理人如采用本项第①－③项规定的方法对基金资产进行估值，均应被认为采用了适当的估值方法。但是，如果基金管理人认为按本项第①－③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⑤国家有最新规定的，按其规定进行估值。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5）衍生品及其他有价证券等资产按国家有关规定进行估值。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1）基金管理人、基金托管人按股票估值方法的第D项、债券估值方法的第⑦项、权证估值方法的第④项进行估值时，所造成的误差不作为基金份额净值错误处理。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3、基金份额净值错误的处理方式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或超过基金资产净值的0.25%时，基金管理人应当及时通知基金托管人并报中国证监会；错误偏差达到基金资产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50%，基金托管人承担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（3）基金管理人和基金托管人由于各自技术系统设置而产生的净值计算尾差，以基金管理人计算结果为准。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（4）前述内容如法律法规或监管机关另有规定的，从其规定处理。如果行业有通行做法，双方当事人应本着平等和保护基金份额持有人利益的原则进行协商。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4、暂停估值与公告基金份额净值的情形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（1）基金投资所涉及的证券交易所遇法定节假日或因其他原因暂停营业时；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（2）基金所投资之目标ETF发生暂停估值，暂停公告基金份额净值的情形；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（3）因不可抗力或其他情形致使基金管理人、基金托管人无法准确评估基金资产价值时；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（4）占基金相当比例的投资品种的估值出现重大转变，而基金管理人为保障基金份额持有人的利益，决定延迟估值时；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（5）当前一估值日基金资产净值50%以上的资产出现无可参考的活跃市场价格且采用估值技术仍导致公允价值存在重大不确定性时，经与基金托管人协商确认后，基金管理人应当暂停估值；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（6）中国证监会和基金合同认定的其他情形。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按国家有关部门规定的会计制度执行。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6、基金账册的建立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7、基金财务报表与报告的编制和复核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（1）财务报表的编制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内编制完毕并予以公告；年度报告在会计年度结束后三个月内编制完毕并予以公告。基金合同生效不足2个月的，基金管理人可以不编制当期季度报告、中期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（2）报表复核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（六）基金份额持有人名册的保管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（七）争议解决方式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本协议适用中华人民共和国法律并从其解释。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（八）托管协议的变更与终止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1、托管协议的变更程序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2、基金托管协议终止的情形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（2）基金托管人解散、依法被撤销、破产或由其他基金托管人接管基金资产；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（3）基金管理人解散、依法被撤销、破产或由其他基金管理人接管基金管理权；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（4）发生法律法规或基金合同规定的终止事项。</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4" w:name="_Toc54104426"/>
      <w:r>
        <w:rPr>
          <w:rFonts w:ascii="Times New Roman" w:hAnsi="Times New Roman"/>
          <w:sz w:val="30"/>
        </w:rPr>
        <w:t>二十二、对基金份额持有人的服务</w:t>
      </w:r>
      <w:bookmarkEnd w:id="24"/>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本基金管理人承诺为基金份额持有人提供一系列的服务。本基金管理人根据基金份额持有人的需要和市场的变化，有权增加或变更服务项目。主要服务内容如下：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（一）持有人交易资料的寄送服务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1、每次交易结束后，投资人可在T+2个工作日后通过销售机构的网点查询和打印确认单；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2、本基金管理人将向持有人提供电子或纸质对账单，需要订阅或取消的客户可与本基金管理人客户服务中心（400-700-5000，021-61055000）联系。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（二）网上直销服务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已开通基金网上直销业务，个人投资人可以直接通过本基金管理人网站的网上直销交易平台办理开户和本基金前端基金份额的申购、赎回、定期定额投资和转换等业务。本公司暂不开展网上直销本基金后端基金份额的认/申购业务，通过转托管转入网上直销账户的本基金后端基金份额只能办理赎回业务。通过网上直销交易平台办理本基金前端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本公司基金网上直销业务已开通的银行卡及各银行卡交易金额限额请参阅本公司网站。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在条件成熟的时候，本基金管理人将根据基金网上直销业务的发展状况，适时调整可用于基金网上直销交易平台的银行卡种类，敬请投资者留意相关公告。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（三）信息咨询、查询服务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如果想查询申购、赎回等交易情况、分红方式状态、基金账户余额、基金产品与服务等信息，请拨打本基金管理人客户服务电话（400-700-5000，021-61055000）或登录本基金管理人网站（www.fund001.com）进行咨询、查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为投资者预设基金查询密码，预设的基金查询密码为投资者开户证件号码的后6位数字，不足6位数字的，前面加“0”补足。基金查询密码用于投资者通过客户服务电话查询基金账户下的账户和交易信息。投资者请在其知晓基金账号后，及时拨打本基金管理人客户服务电话修改基金查询密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投资者可以拨打本基金管理人客户服务电话投诉直销机构的人员和服务。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（四）基金红利再投资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本基金收益分配时，投资人可以选择将当期分配所得的红利再投资于本基金，再投资红利按红利再投日（即除息日）除息后的基金份额净值自动转为基金份额，并免收申购费用。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（五）定期定额投资计划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本基金已开通定期定额投资计划，具体实施方法请参见相关公告。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服务联系方式：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基金管理人的互联网地址及电子信箱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电子信箱：services@jysld.com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投资者也可登录本基金管理人网站，直接提出有关本基金的问题和建议。</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5" w:name="_Toc54104427"/>
      <w:r>
        <w:rPr>
          <w:rFonts w:ascii="Times New Roman" w:hAnsi="Times New Roman"/>
          <w:sz w:val="30"/>
        </w:rPr>
        <w:t>二十三、其他应披露事项</w:t>
      </w:r>
      <w:bookmarkEnd w:id="2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基金合同如有未尽事宜，由基金合同当事人各方按有关法律法规协商解决。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本招募说明书更新期间基金披露的其他重要事项</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交银施罗德基金管理有限公司关于暂停北京增财基金销售有限公司办理相关销售业务的公告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2019-12-19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关于增加阳光人寿保险股份有限公司为旗下基金销售机构的公告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交银施罗德基金管理有限公司旗下部分基金2019年第四季度报告提示性公告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交银施罗德深证300价值交易型开放式指数证券投资基金联接基金2019年第4季度报告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交银施罗德深证300价值交易型开放式指数证券投资基金联接基金（更新）招募说明书摘要（2019年第3号）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交银施罗德深证300价值交易型开放式指数证券投资基金联接基金（更新）招募说明书（2019年第3号）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关于增加大连网金基金销售有限公司为旗下基金销售机构的公告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2020-02-14</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交银施罗德基金管理有限公司关于终止泰诚财富基金销售（大连）有限公司办理相关销售业务的公告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2020-03-21</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交银施罗德基金管理有限公司旗下部分基金2019年年度报告提示性公告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交银施罗德深证300价值交易型开放式指数证券投资基金联接基金2019年年度报告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交银施罗德基金管理有限公司旗下部分基金2020年第一季度报告提示性公告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交银施罗德深证300价值交易型开放式指数证券投资基金联接基金2020年第1季度报告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交银施罗德基金管理有限公司旗下部分基金2020年第二季度报告提示性公告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交银施罗德深证300价值交易型开放式指数证券投资基金联接基金2020年第2季度报告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交银施罗德基金管理有限公司旗下部分基金2020年中期报告提示性公告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交银施罗德深证300价值交易型开放式指数证券投资基金联接基金2020年中期报告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交银施罗德深证300价值交易型开放式指数证券投资基金联接基金基金产品资料概要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关于增加泛华普益基金销售有限公司为旗下基金销售机构的公告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2020-09-07</w:t>
            </w:r>
          </w:p>
        </w:tc>
      </w:tr>
    </w:tbl>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6" w:name="_Toc54104428"/>
      <w:r>
        <w:rPr>
          <w:rFonts w:ascii="Times New Roman" w:hAnsi="Times New Roman"/>
          <w:sz w:val="30"/>
        </w:rPr>
        <w:t>二十四、招募说明书的存放及查阅方式</w:t>
      </w:r>
      <w:bookmarkEnd w:id="26"/>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投资者还可以直接登录基金管理人的网站（www.fund001.com）查阅和下载招募说明书。</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7" w:name="_Toc54104429"/>
      <w:r>
        <w:rPr>
          <w:rFonts w:ascii="Times New Roman" w:hAnsi="Times New Roman"/>
          <w:sz w:val="30"/>
        </w:rPr>
        <w:t>二十五、备查文件</w:t>
      </w:r>
      <w:bookmarkEnd w:id="2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以下备查文件存放在基金管理人的办公场所，在办公时间可供免费查阅。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（一）中国证监会核准交银施罗德深证300价值交易型开放式指数证券投资基金联接基金募集的文件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（二）《交银施罗德深证300价值交易型开放式指数证券投资基金联接基金基金合同》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（三）《交银施罗德深证300价值交易型开放式指数证券投资基金联接基金托管协议》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（五）基金托管人业务资格批件、营业执照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（六）关于申请募集交银施罗德深证300价值交易型开放式指数证券投资基金联接基金之法律意见书</w:t>
      </w:r>
    </w:p>
    <w:sectPr>
      <w:footerReference r:id="rId7" w:type="default"/>
      <w:pgSz w:w="11920" w:h="16840"/>
      <w:pgMar w:top="1360" w:right="1580" w:bottom="280" w:left="1680" w:header="0" w:footer="11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131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82.6pt;height:11pt;width:21.6pt;mso-position-horizontal-relative:page;mso-position-vertical-relative:page;z-index:-251655168;mso-width-relative:page;mso-height-relative:page;" filled="f" stroked="f" coordsize="21600,21600" o:allowincell="f" o:gfxdata="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iTJ32gAAAA0BAAAPAAAAAAAAAAEAIAAAACIAAABkcnMvZG93bnJl&#10;di54bWxQSwECFAAUAAAACACHTuJAvfUcm/sBAAADBAAADgAAAAAAAAABACAAAAApAQAAZHJzL2Uy&#10;b0RvYy54bWxQSwUGAAAAAAYABgBZAQAAlgU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4</w:t>
                    </w:r>
                    <w:r>
                      <w:rPr>
                        <w:rFonts w:ascii="Times New Roman" w:hAnsi="Times New Roman"/>
                        <w:ker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233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24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91.25pt;margin-top:773.85pt;height:11pt;width:33.5pt;mso-position-horizontal-relative:page;mso-position-vertical-relative:page;z-index:-251654144;mso-width-relative:page;mso-height-relative:page;" filled="f" stroked="f" coordsize="21600,21600" o:allowincell="f" o:gfxdata="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j7vjaAAAADQEAAA8AAAAAAAAAAQAgAAAAIgAAAGRycy9kb3du&#10;cmV2LnhtbFBLAQIUABQAAAAIAIdO4kCqBm2W/QEAAAQEAAAOAAAAAAAAAAEAIAAAACkBAABkcnMv&#10;ZTJvRG9jLnhtbFBLBQYAAAAABgAGAFkBAACYBQ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24</w:t>
                    </w:r>
                    <w:r>
                      <w:rPr>
                        <w:rFonts w:ascii="Times New Roman" w:hAnsi="Times New Roman"/>
                        <w:kern w:val="0"/>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交银施罗德深证300价值交易型开放式指数证券投资基金联接基金(更新)招募说明书(2020年第1号)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p>
    <w:pPr>
      <w:pStyle w:val="9"/>
      <w:jc w:val="right"/>
    </w:pPr>
  </w:p>
  <w:p>
    <w:pPr>
      <w:pStyle w:val="9"/>
      <w:jc w:val="right"/>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交银施罗德深证300价值交易型开放式指数证券投资基金联接基金(更新)招募说明书(202</w:t>
    </w:r>
    <w:r>
      <w:rPr>
        <w:rFonts w:ascii="宋体" w:hAnsi="宋体"/>
      </w:rPr>
      <w:t>1</w:t>
    </w:r>
    <w:r>
      <w:rPr>
        <w:rFonts w:hint="eastAsia" w:ascii="宋体" w:hAnsi="宋体"/>
      </w:rPr>
      <w:t>年第2号)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jc w:val="right"/>
    </w:pPr>
  </w:p>
  <w:p>
    <w:pPr>
      <w:pStyle w:val="9"/>
      <w:jc w:val="right"/>
    </w:pPr>
  </w:p>
  <w:p>
    <w:pPr>
      <w:pStyle w:val="9"/>
      <w:jc w:val="right"/>
    </w:pPr>
    <w:r>
      <w:drawing>
        <wp:anchor distT="0" distB="0" distL="114300" distR="114300" simplePos="0" relativeHeight="251661312"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交银施罗德深证300价值交易型开放式指数证券投资基金联接基金(更新)招募说明书(202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D73EE"/>
    <w:multiLevelType w:val="multilevel"/>
    <w:tmpl w:val="547D73EE"/>
    <w:lvl w:ilvl="0" w:tentative="0">
      <w:start w:val="1"/>
      <w:numFmt w:val="decimal"/>
      <w:pStyle w:val="24"/>
      <w:suff w:val="space"/>
      <w:lvlText w:val="§%1"/>
      <w:lvlJc w:val="left"/>
      <w:pPr>
        <w:ind w:left="425" w:hanging="425"/>
      </w:pPr>
      <w:rPr>
        <w:rFonts w:hint="eastAsia"/>
      </w:rPr>
    </w:lvl>
    <w:lvl w:ilvl="1" w:tentative="0">
      <w:start w:val="1"/>
      <w:numFmt w:val="decimal"/>
      <w:pStyle w:val="25"/>
      <w:suff w:val="space"/>
      <w:lvlText w:val="%1.%2"/>
      <w:lvlJc w:val="left"/>
      <w:pPr>
        <w:ind w:left="738" w:hanging="454"/>
      </w:pPr>
      <w:rPr>
        <w:rFonts w:hint="eastAsia"/>
      </w:rPr>
    </w:lvl>
    <w:lvl w:ilvl="2" w:tentative="0">
      <w:start w:val="1"/>
      <w:numFmt w:val="decimal"/>
      <w:pStyle w:val="26"/>
      <w:suff w:val="space"/>
      <w:lvlText w:val="%1.%2.%3"/>
      <w:lvlJc w:val="left"/>
      <w:pPr>
        <w:ind w:left="624" w:hanging="624"/>
      </w:pPr>
    </w:lvl>
    <w:lvl w:ilvl="3" w:tentative="0">
      <w:start w:val="1"/>
      <w:numFmt w:val="decimal"/>
      <w:pStyle w:val="28"/>
      <w:suff w:val="space"/>
      <w:lvlText w:val="%1.%2.%3.%4"/>
      <w:lvlJc w:val="left"/>
      <w:pPr>
        <w:ind w:left="794" w:hanging="794"/>
      </w:pPr>
      <w:rPr>
        <w:rFonts w:hint="eastAsia"/>
      </w:rPr>
    </w:lvl>
    <w:lvl w:ilvl="4" w:tentative="0">
      <w:start w:val="1"/>
      <w:numFmt w:val="decimal"/>
      <w:pStyle w:val="27"/>
      <w:suff w:val="space"/>
      <w:lvlText w:val="%1.%2.%3.%4.%5"/>
      <w:lvlJc w:val="left"/>
      <w:pPr>
        <w:ind w:left="1021" w:hanging="1021"/>
      </w:pPr>
      <w:rPr>
        <w:rFonts w:hint="eastAsia"/>
      </w:rPr>
    </w:lvl>
    <w:lvl w:ilvl="5" w:tentative="0">
      <w:start w:val="1"/>
      <w:numFmt w:val="decimal"/>
      <w:pStyle w:val="21"/>
      <w:suff w:val="space"/>
      <w:lvlText w:val="%1.%2.%3.%4.%5.%6"/>
      <w:lvlJc w:val="left"/>
      <w:pPr>
        <w:ind w:left="1021" w:hanging="1021"/>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720"/>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359A"/>
    <w:rsid w:val="00013825"/>
    <w:rsid w:val="0001593F"/>
    <w:rsid w:val="00026A29"/>
    <w:rsid w:val="00026D00"/>
    <w:rsid w:val="00027C73"/>
    <w:rsid w:val="00030964"/>
    <w:rsid w:val="00030F3E"/>
    <w:rsid w:val="000368A2"/>
    <w:rsid w:val="000377C8"/>
    <w:rsid w:val="00044AFD"/>
    <w:rsid w:val="00044E2C"/>
    <w:rsid w:val="00045029"/>
    <w:rsid w:val="000457B7"/>
    <w:rsid w:val="0004614E"/>
    <w:rsid w:val="00046212"/>
    <w:rsid w:val="000500B8"/>
    <w:rsid w:val="000506ED"/>
    <w:rsid w:val="000543D5"/>
    <w:rsid w:val="00055792"/>
    <w:rsid w:val="00055F52"/>
    <w:rsid w:val="00061C0D"/>
    <w:rsid w:val="0006212F"/>
    <w:rsid w:val="0006220F"/>
    <w:rsid w:val="000634B1"/>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3850"/>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DC5"/>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A4D66"/>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26ED3"/>
    <w:rsid w:val="0023578C"/>
    <w:rsid w:val="00235AC5"/>
    <w:rsid w:val="002377E0"/>
    <w:rsid w:val="00240BB6"/>
    <w:rsid w:val="002432CA"/>
    <w:rsid w:val="00243D40"/>
    <w:rsid w:val="00245250"/>
    <w:rsid w:val="002477CB"/>
    <w:rsid w:val="00247BF6"/>
    <w:rsid w:val="00250A33"/>
    <w:rsid w:val="00251126"/>
    <w:rsid w:val="002524D2"/>
    <w:rsid w:val="00252802"/>
    <w:rsid w:val="00254E91"/>
    <w:rsid w:val="0026188C"/>
    <w:rsid w:val="00261A50"/>
    <w:rsid w:val="002634C3"/>
    <w:rsid w:val="00265B3A"/>
    <w:rsid w:val="0027052E"/>
    <w:rsid w:val="00271E9D"/>
    <w:rsid w:val="00271F7D"/>
    <w:rsid w:val="00274E85"/>
    <w:rsid w:val="0027557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C601A"/>
    <w:rsid w:val="002D15BB"/>
    <w:rsid w:val="002D1C13"/>
    <w:rsid w:val="002D3109"/>
    <w:rsid w:val="002D378C"/>
    <w:rsid w:val="002D6413"/>
    <w:rsid w:val="002D6F14"/>
    <w:rsid w:val="002D74D5"/>
    <w:rsid w:val="002E0962"/>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11F8"/>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06E20"/>
    <w:rsid w:val="0041100B"/>
    <w:rsid w:val="004114F3"/>
    <w:rsid w:val="00412894"/>
    <w:rsid w:val="004130C3"/>
    <w:rsid w:val="00413E71"/>
    <w:rsid w:val="004205BF"/>
    <w:rsid w:val="00421363"/>
    <w:rsid w:val="00421921"/>
    <w:rsid w:val="00422100"/>
    <w:rsid w:val="00422267"/>
    <w:rsid w:val="004254D3"/>
    <w:rsid w:val="0042746B"/>
    <w:rsid w:val="00433B69"/>
    <w:rsid w:val="004369AD"/>
    <w:rsid w:val="00436DD6"/>
    <w:rsid w:val="00441115"/>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92869"/>
    <w:rsid w:val="004A084F"/>
    <w:rsid w:val="004A1FA1"/>
    <w:rsid w:val="004A3225"/>
    <w:rsid w:val="004A3F90"/>
    <w:rsid w:val="004A5F59"/>
    <w:rsid w:val="004A6F1F"/>
    <w:rsid w:val="004A7361"/>
    <w:rsid w:val="004B17D8"/>
    <w:rsid w:val="004B2323"/>
    <w:rsid w:val="004B62C3"/>
    <w:rsid w:val="004B7144"/>
    <w:rsid w:val="004C0BC8"/>
    <w:rsid w:val="004C461A"/>
    <w:rsid w:val="004C5D4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51F0"/>
    <w:rsid w:val="004F66F4"/>
    <w:rsid w:val="004F7710"/>
    <w:rsid w:val="004F7EA8"/>
    <w:rsid w:val="00502A45"/>
    <w:rsid w:val="0050542C"/>
    <w:rsid w:val="005068C8"/>
    <w:rsid w:val="00512DC1"/>
    <w:rsid w:val="00514C6B"/>
    <w:rsid w:val="005161EC"/>
    <w:rsid w:val="0051709F"/>
    <w:rsid w:val="005175EB"/>
    <w:rsid w:val="00521A18"/>
    <w:rsid w:val="00522079"/>
    <w:rsid w:val="00522622"/>
    <w:rsid w:val="0052450E"/>
    <w:rsid w:val="00525410"/>
    <w:rsid w:val="00530703"/>
    <w:rsid w:val="00530763"/>
    <w:rsid w:val="0053309A"/>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CA"/>
    <w:rsid w:val="00583CE7"/>
    <w:rsid w:val="005856E9"/>
    <w:rsid w:val="005867BB"/>
    <w:rsid w:val="00587452"/>
    <w:rsid w:val="00591C2A"/>
    <w:rsid w:val="00592461"/>
    <w:rsid w:val="00592466"/>
    <w:rsid w:val="00592539"/>
    <w:rsid w:val="00593636"/>
    <w:rsid w:val="00596A05"/>
    <w:rsid w:val="00596D6D"/>
    <w:rsid w:val="00597284"/>
    <w:rsid w:val="00597F8F"/>
    <w:rsid w:val="005A1EA2"/>
    <w:rsid w:val="005A2467"/>
    <w:rsid w:val="005A5858"/>
    <w:rsid w:val="005A6E51"/>
    <w:rsid w:val="005A7C7F"/>
    <w:rsid w:val="005A7D88"/>
    <w:rsid w:val="005B130C"/>
    <w:rsid w:val="005B14FF"/>
    <w:rsid w:val="005B3584"/>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081"/>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129"/>
    <w:rsid w:val="00617824"/>
    <w:rsid w:val="00624214"/>
    <w:rsid w:val="00625419"/>
    <w:rsid w:val="00626D1A"/>
    <w:rsid w:val="00627429"/>
    <w:rsid w:val="00627E10"/>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1A06"/>
    <w:rsid w:val="00692124"/>
    <w:rsid w:val="00692815"/>
    <w:rsid w:val="00692D96"/>
    <w:rsid w:val="00693C96"/>
    <w:rsid w:val="00696339"/>
    <w:rsid w:val="00696982"/>
    <w:rsid w:val="006A3F85"/>
    <w:rsid w:val="006A48FA"/>
    <w:rsid w:val="006A56F1"/>
    <w:rsid w:val="006A6E5C"/>
    <w:rsid w:val="006B0972"/>
    <w:rsid w:val="006B3153"/>
    <w:rsid w:val="006B5871"/>
    <w:rsid w:val="006B6BB1"/>
    <w:rsid w:val="006B7212"/>
    <w:rsid w:val="006C0709"/>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2EA0"/>
    <w:rsid w:val="0071340A"/>
    <w:rsid w:val="00713FC7"/>
    <w:rsid w:val="00716FD1"/>
    <w:rsid w:val="00720D0F"/>
    <w:rsid w:val="007218A9"/>
    <w:rsid w:val="0072241C"/>
    <w:rsid w:val="007233FF"/>
    <w:rsid w:val="007245A5"/>
    <w:rsid w:val="00731628"/>
    <w:rsid w:val="00734108"/>
    <w:rsid w:val="007343AD"/>
    <w:rsid w:val="0073448D"/>
    <w:rsid w:val="00735087"/>
    <w:rsid w:val="00736FA0"/>
    <w:rsid w:val="0074053E"/>
    <w:rsid w:val="0075000E"/>
    <w:rsid w:val="00752156"/>
    <w:rsid w:val="0075223E"/>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7F7C5E"/>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5A91"/>
    <w:rsid w:val="00886300"/>
    <w:rsid w:val="0089099F"/>
    <w:rsid w:val="00890AAF"/>
    <w:rsid w:val="00892F7A"/>
    <w:rsid w:val="00894CEB"/>
    <w:rsid w:val="00896A62"/>
    <w:rsid w:val="00897B88"/>
    <w:rsid w:val="008A113D"/>
    <w:rsid w:val="008A53FE"/>
    <w:rsid w:val="008A678B"/>
    <w:rsid w:val="008A6D0F"/>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6FB"/>
    <w:rsid w:val="00951FC3"/>
    <w:rsid w:val="009520BD"/>
    <w:rsid w:val="00952B29"/>
    <w:rsid w:val="00953DBA"/>
    <w:rsid w:val="00953F61"/>
    <w:rsid w:val="00954137"/>
    <w:rsid w:val="009553B5"/>
    <w:rsid w:val="00955882"/>
    <w:rsid w:val="00955ABF"/>
    <w:rsid w:val="00956F74"/>
    <w:rsid w:val="00956F84"/>
    <w:rsid w:val="009575A0"/>
    <w:rsid w:val="00957C6C"/>
    <w:rsid w:val="00960AA2"/>
    <w:rsid w:val="009649DC"/>
    <w:rsid w:val="00965E7B"/>
    <w:rsid w:val="00966EB2"/>
    <w:rsid w:val="0096769B"/>
    <w:rsid w:val="00970C67"/>
    <w:rsid w:val="00974456"/>
    <w:rsid w:val="00991483"/>
    <w:rsid w:val="0099296D"/>
    <w:rsid w:val="009935AA"/>
    <w:rsid w:val="00993F94"/>
    <w:rsid w:val="009951B2"/>
    <w:rsid w:val="009A039C"/>
    <w:rsid w:val="009A16E0"/>
    <w:rsid w:val="009A2859"/>
    <w:rsid w:val="009A4E90"/>
    <w:rsid w:val="009A50B8"/>
    <w:rsid w:val="009A737B"/>
    <w:rsid w:val="009B1823"/>
    <w:rsid w:val="009B406F"/>
    <w:rsid w:val="009B443A"/>
    <w:rsid w:val="009B4D09"/>
    <w:rsid w:val="009B62BE"/>
    <w:rsid w:val="009B6DD1"/>
    <w:rsid w:val="009C0D1A"/>
    <w:rsid w:val="009C1284"/>
    <w:rsid w:val="009C1332"/>
    <w:rsid w:val="009C4A4F"/>
    <w:rsid w:val="009C6D34"/>
    <w:rsid w:val="009C73AB"/>
    <w:rsid w:val="009D2E97"/>
    <w:rsid w:val="009D328E"/>
    <w:rsid w:val="009D3438"/>
    <w:rsid w:val="009D3B88"/>
    <w:rsid w:val="009D40B6"/>
    <w:rsid w:val="009D4D3A"/>
    <w:rsid w:val="009D55A7"/>
    <w:rsid w:val="009D784F"/>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77DF8"/>
    <w:rsid w:val="00A8209D"/>
    <w:rsid w:val="00A82740"/>
    <w:rsid w:val="00A860C9"/>
    <w:rsid w:val="00A9137F"/>
    <w:rsid w:val="00A9483B"/>
    <w:rsid w:val="00A94F2C"/>
    <w:rsid w:val="00A972E1"/>
    <w:rsid w:val="00AA12EB"/>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439"/>
    <w:rsid w:val="00AE7A40"/>
    <w:rsid w:val="00AE7EF9"/>
    <w:rsid w:val="00AF4A88"/>
    <w:rsid w:val="00AF60FC"/>
    <w:rsid w:val="00AF619D"/>
    <w:rsid w:val="00B01A75"/>
    <w:rsid w:val="00B02D39"/>
    <w:rsid w:val="00B03711"/>
    <w:rsid w:val="00B03B6B"/>
    <w:rsid w:val="00B04CC3"/>
    <w:rsid w:val="00B11CB0"/>
    <w:rsid w:val="00B17DE2"/>
    <w:rsid w:val="00B2096A"/>
    <w:rsid w:val="00B20E8D"/>
    <w:rsid w:val="00B32541"/>
    <w:rsid w:val="00B3267F"/>
    <w:rsid w:val="00B35F87"/>
    <w:rsid w:val="00B379DA"/>
    <w:rsid w:val="00B37A67"/>
    <w:rsid w:val="00B41203"/>
    <w:rsid w:val="00B41500"/>
    <w:rsid w:val="00B45D53"/>
    <w:rsid w:val="00B5297F"/>
    <w:rsid w:val="00B52E16"/>
    <w:rsid w:val="00B53812"/>
    <w:rsid w:val="00B53C36"/>
    <w:rsid w:val="00B57385"/>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5CAF"/>
    <w:rsid w:val="00B97B35"/>
    <w:rsid w:val="00BA3196"/>
    <w:rsid w:val="00BA3509"/>
    <w:rsid w:val="00BA5877"/>
    <w:rsid w:val="00BB124C"/>
    <w:rsid w:val="00BB17E3"/>
    <w:rsid w:val="00BB1CDB"/>
    <w:rsid w:val="00BB2110"/>
    <w:rsid w:val="00BB3645"/>
    <w:rsid w:val="00BB4F7D"/>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2D5A"/>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426C"/>
    <w:rsid w:val="00C367FB"/>
    <w:rsid w:val="00C41389"/>
    <w:rsid w:val="00C41BB7"/>
    <w:rsid w:val="00C42379"/>
    <w:rsid w:val="00C44004"/>
    <w:rsid w:val="00C445F4"/>
    <w:rsid w:val="00C5117E"/>
    <w:rsid w:val="00C54DF3"/>
    <w:rsid w:val="00C610B6"/>
    <w:rsid w:val="00C6257F"/>
    <w:rsid w:val="00C627E7"/>
    <w:rsid w:val="00C63117"/>
    <w:rsid w:val="00C640C7"/>
    <w:rsid w:val="00C65784"/>
    <w:rsid w:val="00C67BDD"/>
    <w:rsid w:val="00C70F24"/>
    <w:rsid w:val="00C717F6"/>
    <w:rsid w:val="00C72FD7"/>
    <w:rsid w:val="00C8155C"/>
    <w:rsid w:val="00C907F0"/>
    <w:rsid w:val="00C93A91"/>
    <w:rsid w:val="00C9445A"/>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3118"/>
    <w:rsid w:val="00D04CD8"/>
    <w:rsid w:val="00D04DEC"/>
    <w:rsid w:val="00D114ED"/>
    <w:rsid w:val="00D1261E"/>
    <w:rsid w:val="00D13F32"/>
    <w:rsid w:val="00D14B5E"/>
    <w:rsid w:val="00D1685E"/>
    <w:rsid w:val="00D171BA"/>
    <w:rsid w:val="00D25B74"/>
    <w:rsid w:val="00D25CA1"/>
    <w:rsid w:val="00D31474"/>
    <w:rsid w:val="00D32933"/>
    <w:rsid w:val="00D32A75"/>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B604C"/>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3D7"/>
    <w:rsid w:val="00DF76B3"/>
    <w:rsid w:val="00DF76F2"/>
    <w:rsid w:val="00E00083"/>
    <w:rsid w:val="00E009E2"/>
    <w:rsid w:val="00E01DE7"/>
    <w:rsid w:val="00E0411F"/>
    <w:rsid w:val="00E0572E"/>
    <w:rsid w:val="00E10005"/>
    <w:rsid w:val="00E1238E"/>
    <w:rsid w:val="00E124B9"/>
    <w:rsid w:val="00E13F21"/>
    <w:rsid w:val="00E1612B"/>
    <w:rsid w:val="00E17515"/>
    <w:rsid w:val="00E17BF7"/>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47C67"/>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1AC0"/>
    <w:rsid w:val="00EC5ACF"/>
    <w:rsid w:val="00ED1722"/>
    <w:rsid w:val="00ED22A8"/>
    <w:rsid w:val="00ED2479"/>
    <w:rsid w:val="00ED4EB4"/>
    <w:rsid w:val="00ED5D09"/>
    <w:rsid w:val="00ED7107"/>
    <w:rsid w:val="00EE2221"/>
    <w:rsid w:val="00EE276F"/>
    <w:rsid w:val="00EE2982"/>
    <w:rsid w:val="00EE3B95"/>
    <w:rsid w:val="00EE634F"/>
    <w:rsid w:val="00EF369D"/>
    <w:rsid w:val="00EF38A7"/>
    <w:rsid w:val="00EF6A39"/>
    <w:rsid w:val="00F00673"/>
    <w:rsid w:val="00F00B38"/>
    <w:rsid w:val="00F0376E"/>
    <w:rsid w:val="00F0414A"/>
    <w:rsid w:val="00F044B3"/>
    <w:rsid w:val="00F05E83"/>
    <w:rsid w:val="00F07DC4"/>
    <w:rsid w:val="00F07E05"/>
    <w:rsid w:val="00F10842"/>
    <w:rsid w:val="00F1261C"/>
    <w:rsid w:val="00F13C42"/>
    <w:rsid w:val="00F161F7"/>
    <w:rsid w:val="00F206E8"/>
    <w:rsid w:val="00F21755"/>
    <w:rsid w:val="00F21F2E"/>
    <w:rsid w:val="00F23947"/>
    <w:rsid w:val="00F23B61"/>
    <w:rsid w:val="00F276F1"/>
    <w:rsid w:val="00F30423"/>
    <w:rsid w:val="00F32680"/>
    <w:rsid w:val="00F33A66"/>
    <w:rsid w:val="00F34368"/>
    <w:rsid w:val="00F34E5A"/>
    <w:rsid w:val="00F35452"/>
    <w:rsid w:val="00F45532"/>
    <w:rsid w:val="00F45ED2"/>
    <w:rsid w:val="00F47629"/>
    <w:rsid w:val="00F53C4F"/>
    <w:rsid w:val="00F56A51"/>
    <w:rsid w:val="00F61899"/>
    <w:rsid w:val="00F66CD4"/>
    <w:rsid w:val="00F66E01"/>
    <w:rsid w:val="00F7129A"/>
    <w:rsid w:val="00F7180D"/>
    <w:rsid w:val="00F727A7"/>
    <w:rsid w:val="00F729D7"/>
    <w:rsid w:val="00F774CD"/>
    <w:rsid w:val="00F80C67"/>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B3E33"/>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1E9236FD"/>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9"/>
    <w:pPr>
      <w:keepNext/>
      <w:keepLines/>
      <w:spacing w:before="100" w:beforeLines="100" w:after="100" w:afterLines="100" w:line="360" w:lineRule="auto"/>
      <w:jc w:val="center"/>
      <w:outlineLvl w:val="0"/>
    </w:pPr>
    <w:rPr>
      <w:b/>
      <w:bCs/>
      <w:kern w:val="44"/>
      <w:sz w:val="28"/>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1"/>
    <w:link w:val="38"/>
    <w:unhideWhenUsed/>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35"/>
    <w:unhideWhenUsed/>
    <w:uiPriority w:val="99"/>
    <w:rPr>
      <w:rFonts w:ascii="宋体"/>
      <w:sz w:val="18"/>
      <w:szCs w:val="18"/>
    </w:rPr>
  </w:style>
  <w:style w:type="paragraph" w:styleId="6">
    <w:name w:val="annotation text"/>
    <w:basedOn w:val="1"/>
    <w:link w:val="31"/>
    <w:unhideWhenUsed/>
    <w:uiPriority w:val="0"/>
    <w:pPr>
      <w:jc w:val="left"/>
    </w:pPr>
  </w:style>
  <w:style w:type="paragraph" w:styleId="7">
    <w:name w:val="Balloon Text"/>
    <w:basedOn w:val="1"/>
    <w:semiHidden/>
    <w:uiPriority w:val="0"/>
    <w:rPr>
      <w:sz w:val="18"/>
      <w:szCs w:val="18"/>
    </w:rPr>
  </w:style>
  <w:style w:type="paragraph" w:styleId="8">
    <w:name w:val="footer"/>
    <w:basedOn w:val="1"/>
    <w:link w:val="36"/>
    <w:unhideWhenUsed/>
    <w:uiPriority w:val="99"/>
    <w:pPr>
      <w:tabs>
        <w:tab w:val="center" w:pos="4153"/>
        <w:tab w:val="right" w:pos="8306"/>
      </w:tabs>
      <w:snapToGrid w:val="0"/>
      <w:jc w:val="left"/>
    </w:pPr>
    <w:rPr>
      <w:kern w:val="0"/>
      <w:sz w:val="18"/>
      <w:szCs w:val="18"/>
    </w:rPr>
  </w:style>
  <w:style w:type="paragraph" w:styleId="9">
    <w:name w:val="header"/>
    <w:basedOn w:val="1"/>
    <w:link w:val="33"/>
    <w:unhideWhenUsed/>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uiPriority w:val="39"/>
  </w:style>
  <w:style w:type="paragraph" w:styleId="11">
    <w:name w:val="Subtitle"/>
    <w:basedOn w:val="1"/>
    <w:next w:val="1"/>
    <w:link w:val="34"/>
    <w:qFormat/>
    <w:uiPriority w:val="0"/>
    <w:pPr>
      <w:spacing w:before="240" w:after="60" w:line="312" w:lineRule="auto"/>
      <w:jc w:val="center"/>
      <w:outlineLvl w:val="1"/>
    </w:pPr>
    <w:rPr>
      <w:rFonts w:ascii="Cambria" w:hAnsi="Cambria"/>
      <w:b/>
      <w:bCs/>
      <w:kern w:val="28"/>
      <w:sz w:val="32"/>
      <w:szCs w:val="32"/>
    </w:rPr>
  </w:style>
  <w:style w:type="paragraph" w:styleId="12">
    <w:name w:val="toc 2"/>
    <w:basedOn w:val="1"/>
    <w:next w:val="1"/>
    <w:unhideWhenUsed/>
    <w:uiPriority w:val="39"/>
    <w:pPr>
      <w:ind w:left="480" w:leftChars="200"/>
    </w:pPr>
  </w:style>
  <w:style w:type="paragraph" w:styleId="13">
    <w:name w:val="annotation subject"/>
    <w:basedOn w:val="6"/>
    <w:next w:val="6"/>
    <w:link w:val="32"/>
    <w:unhideWhenUsed/>
    <w:uiPriority w:val="99"/>
    <w:rPr>
      <w:b/>
      <w:bCs/>
    </w:rPr>
  </w:style>
  <w:style w:type="table" w:styleId="15">
    <w:name w:val="Table Grid"/>
    <w:basedOn w:val="1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
    <w:name w:val="Light Shading Accent 5"/>
    <w:basedOn w:val="14"/>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character" w:styleId="18">
    <w:name w:val="Hyperlink"/>
    <w:unhideWhenUsed/>
    <w:uiPriority w:val="99"/>
    <w:rPr>
      <w:color w:val="0000FF"/>
      <w:u w:val="single"/>
    </w:rPr>
  </w:style>
  <w:style w:type="character" w:styleId="19">
    <w:name w:val="annotation reference"/>
    <w:unhideWhenUsed/>
    <w:uiPriority w:val="0"/>
    <w:rPr>
      <w:sz w:val="21"/>
      <w:szCs w:val="21"/>
    </w:rPr>
  </w:style>
  <w:style w:type="paragraph" w:customStyle="1" w:styleId="20">
    <w:name w:val="_Style 19"/>
    <w:basedOn w:val="2"/>
    <w:next w:val="1"/>
    <w:qFormat/>
    <w:uiPriority w:val="39"/>
    <w:pPr>
      <w:widowControl/>
      <w:spacing w:before="480" w:beforeLines="0" w:line="276" w:lineRule="auto"/>
      <w:jc w:val="left"/>
      <w:outlineLvl w:val="9"/>
    </w:pPr>
    <w:rPr>
      <w:rFonts w:ascii="Cambria" w:hAnsi="Cambria"/>
      <w:color w:val="365F91"/>
      <w:kern w:val="0"/>
      <w:szCs w:val="28"/>
    </w:rPr>
  </w:style>
  <w:style w:type="paragraph" w:customStyle="1" w:styleId="21">
    <w:name w:val="XBRLTitle6"/>
    <w:basedOn w:val="11"/>
    <w:next w:val="4"/>
    <w:qFormat/>
    <w:uiPriority w:val="0"/>
    <w:pPr>
      <w:keepNext/>
      <w:keepLines/>
      <w:numPr>
        <w:ilvl w:val="5"/>
        <w:numId w:val="1"/>
      </w:numPr>
      <w:ind w:left="0" w:firstLine="0"/>
      <w:jc w:val="left"/>
    </w:pPr>
    <w:rPr>
      <w:bCs w:val="0"/>
      <w:sz w:val="24"/>
    </w:rPr>
  </w:style>
  <w:style w:type="paragraph" w:customStyle="1" w:styleId="22">
    <w:name w:val="_Style 21"/>
    <w:semiHidden/>
    <w:uiPriority w:val="99"/>
    <w:rPr>
      <w:rFonts w:ascii="Calibri" w:hAnsi="Calibri" w:eastAsia="宋体" w:cs="Times New Roman"/>
      <w:kern w:val="2"/>
      <w:sz w:val="21"/>
      <w:szCs w:val="22"/>
      <w:lang w:val="en-US" w:eastAsia="zh-CN" w:bidi="ar-SA"/>
    </w:rPr>
  </w:style>
  <w:style w:type="paragraph" w:customStyle="1" w:styleId="23">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XBRLTitle1"/>
    <w:basedOn w:val="2"/>
    <w:next w:val="3"/>
    <w:qFormat/>
    <w:uiPriority w:val="0"/>
    <w:pPr>
      <w:numPr>
        <w:ilvl w:val="0"/>
        <w:numId w:val="1"/>
      </w:numPr>
      <w:spacing w:before="340" w:beforeLines="50" w:after="330" w:afterLines="50" w:line="240" w:lineRule="auto"/>
    </w:pPr>
    <w:rPr>
      <w:rFonts w:ascii="Cambria" w:hAnsi="Cambria"/>
    </w:rPr>
  </w:style>
  <w:style w:type="paragraph" w:customStyle="1" w:styleId="25">
    <w:name w:val="XBRLTitle2"/>
    <w:basedOn w:val="11"/>
    <w:next w:val="4"/>
    <w:qFormat/>
    <w:uiPriority w:val="0"/>
    <w:pPr>
      <w:keepNext/>
      <w:keepLines/>
      <w:numPr>
        <w:ilvl w:val="1"/>
        <w:numId w:val="1"/>
      </w:numPr>
      <w:jc w:val="left"/>
    </w:pPr>
    <w:rPr>
      <w:bCs w:val="0"/>
      <w:sz w:val="24"/>
    </w:rPr>
  </w:style>
  <w:style w:type="paragraph" w:customStyle="1" w:styleId="26">
    <w:name w:val="XBRLTitle3"/>
    <w:basedOn w:val="11"/>
    <w:next w:val="4"/>
    <w:qFormat/>
    <w:uiPriority w:val="0"/>
    <w:pPr>
      <w:keepNext/>
      <w:keepLines/>
      <w:numPr>
        <w:ilvl w:val="2"/>
        <w:numId w:val="1"/>
      </w:numPr>
      <w:ind w:left="0" w:firstLine="0"/>
      <w:jc w:val="left"/>
    </w:pPr>
    <w:rPr>
      <w:bCs w:val="0"/>
      <w:sz w:val="24"/>
    </w:rPr>
  </w:style>
  <w:style w:type="paragraph" w:customStyle="1" w:styleId="27">
    <w:name w:val="XBRLTitle5"/>
    <w:basedOn w:val="11"/>
    <w:next w:val="4"/>
    <w:qFormat/>
    <w:uiPriority w:val="0"/>
    <w:pPr>
      <w:keepNext/>
      <w:keepLines/>
      <w:numPr>
        <w:ilvl w:val="4"/>
        <w:numId w:val="1"/>
      </w:numPr>
      <w:ind w:left="0" w:firstLine="0"/>
      <w:jc w:val="left"/>
    </w:pPr>
    <w:rPr>
      <w:bCs w:val="0"/>
      <w:sz w:val="24"/>
    </w:rPr>
  </w:style>
  <w:style w:type="paragraph" w:customStyle="1" w:styleId="28">
    <w:name w:val="XBRLTitle4"/>
    <w:basedOn w:val="11"/>
    <w:next w:val="4"/>
    <w:qFormat/>
    <w:uiPriority w:val="0"/>
    <w:pPr>
      <w:keepNext/>
      <w:keepLines/>
      <w:numPr>
        <w:ilvl w:val="3"/>
        <w:numId w:val="1"/>
      </w:numPr>
      <w:ind w:left="0" w:firstLine="0"/>
      <w:jc w:val="left"/>
    </w:pPr>
    <w:rPr>
      <w:bCs w:val="0"/>
      <w:sz w:val="24"/>
    </w:rPr>
  </w:style>
  <w:style w:type="character" w:customStyle="1" w:styleId="29">
    <w:name w:val="副标题 Char1"/>
    <w:uiPriority w:val="0"/>
    <w:rPr>
      <w:rFonts w:ascii="Cambria" w:hAnsi="Cambria"/>
      <w:b/>
      <w:kern w:val="28"/>
      <w:sz w:val="24"/>
      <w:szCs w:val="32"/>
    </w:rPr>
  </w:style>
  <w:style w:type="character" w:customStyle="1" w:styleId="30">
    <w:name w:val="txtcontent11"/>
    <w:uiPriority w:val="0"/>
    <w:rPr>
      <w:rFonts w:hint="default" w:ascii="ˎ̥" w:hAnsi="ˎ̥"/>
      <w:color w:val="000000"/>
      <w:sz w:val="21"/>
      <w:szCs w:val="21"/>
    </w:rPr>
  </w:style>
  <w:style w:type="character" w:customStyle="1" w:styleId="31">
    <w:name w:val="批注文字 字符"/>
    <w:link w:val="6"/>
    <w:uiPriority w:val="0"/>
    <w:rPr>
      <w:kern w:val="2"/>
      <w:sz w:val="21"/>
      <w:szCs w:val="22"/>
    </w:rPr>
  </w:style>
  <w:style w:type="character" w:customStyle="1" w:styleId="32">
    <w:name w:val="批注主题 字符"/>
    <w:link w:val="13"/>
    <w:semiHidden/>
    <w:uiPriority w:val="99"/>
    <w:rPr>
      <w:b/>
      <w:bCs/>
      <w:kern w:val="2"/>
      <w:sz w:val="21"/>
      <w:szCs w:val="22"/>
    </w:rPr>
  </w:style>
  <w:style w:type="character" w:customStyle="1" w:styleId="33">
    <w:name w:val="页眉 字符"/>
    <w:link w:val="9"/>
    <w:uiPriority w:val="99"/>
    <w:rPr>
      <w:sz w:val="18"/>
      <w:szCs w:val="18"/>
    </w:rPr>
  </w:style>
  <w:style w:type="character" w:customStyle="1" w:styleId="34">
    <w:name w:val="副标题 字符"/>
    <w:link w:val="11"/>
    <w:uiPriority w:val="0"/>
    <w:rPr>
      <w:rFonts w:ascii="Cambria" w:hAnsi="Cambria" w:cs="Times New Roman"/>
      <w:b/>
      <w:bCs/>
      <w:kern w:val="28"/>
      <w:sz w:val="32"/>
      <w:szCs w:val="32"/>
    </w:rPr>
  </w:style>
  <w:style w:type="character" w:customStyle="1" w:styleId="35">
    <w:name w:val="文档结构图 字符"/>
    <w:link w:val="5"/>
    <w:semiHidden/>
    <w:qFormat/>
    <w:uiPriority w:val="99"/>
    <w:rPr>
      <w:rFonts w:ascii="宋体"/>
      <w:kern w:val="2"/>
      <w:sz w:val="18"/>
      <w:szCs w:val="18"/>
    </w:rPr>
  </w:style>
  <w:style w:type="character" w:customStyle="1" w:styleId="36">
    <w:name w:val="页脚 字符"/>
    <w:link w:val="8"/>
    <w:uiPriority w:val="99"/>
    <w:rPr>
      <w:sz w:val="18"/>
      <w:szCs w:val="18"/>
    </w:rPr>
  </w:style>
  <w:style w:type="character" w:customStyle="1" w:styleId="37">
    <w:name w:val="标题 2 字符"/>
    <w:link w:val="3"/>
    <w:semiHidden/>
    <w:uiPriority w:val="9"/>
    <w:rPr>
      <w:rFonts w:ascii="Cambria" w:hAnsi="Cambria" w:eastAsia="宋体" w:cs="Times New Roman"/>
      <w:b/>
      <w:bCs/>
      <w:kern w:val="2"/>
      <w:sz w:val="32"/>
      <w:szCs w:val="32"/>
    </w:rPr>
  </w:style>
  <w:style w:type="character" w:customStyle="1" w:styleId="38">
    <w:name w:val="标题 4 字符"/>
    <w:link w:val="4"/>
    <w:semiHidden/>
    <w:uiPriority w:val="9"/>
    <w:rPr>
      <w:rFonts w:ascii="Cambria" w:hAnsi="Cambria" w:eastAsia="宋体" w:cs="Times New Roman"/>
      <w:b/>
      <w:bCs/>
      <w:kern w:val="2"/>
      <w:sz w:val="28"/>
      <w:szCs w:val="28"/>
    </w:rPr>
  </w:style>
  <w:style w:type="character" w:customStyle="1" w:styleId="39">
    <w:name w:val="标题 1 字符"/>
    <w:link w:val="2"/>
    <w:uiPriority w:val="9"/>
    <w:rPr>
      <w:b/>
      <w:bCs/>
      <w:kern w:val="44"/>
      <w:sz w:val="28"/>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146</Pages>
  <Words>15520</Words>
  <Characters>88468</Characters>
  <Lines>737</Lines>
  <Paragraphs>207</Paragraphs>
  <TotalTime>0</TotalTime>
  <ScaleCrop>false</ScaleCrop>
  <LinksUpToDate>false</LinksUpToDate>
  <CharactersWithSpaces>103781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2021-03-25T08:32:00Z</dcterms:created>
  <dc:creator>系统用户</dc:creator>
  <cp:lastModifiedBy>wangwanting</cp:lastModifiedBy>
  <cp:lastPrinted>2013-02-18T03:10:00Z</cp:lastPrinted>
  <dcterms:modified xsi:type="dcterms:W3CDTF">2021-05-07T06:31:07Z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