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交银施罗德深证300价值交易型开放式指数证券投资基金联接基金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(更新)招募说明书</w:t>
      </w:r>
    </w:p>
    <w:p>
      <w:pPr>
        <w:snapToGrid w:val="0"/>
        <w:spacing w:line="360" w:lineRule="auto"/>
        <w:jc w:val="center"/>
        <w:rPr>
          <w:rFonts w:ascii="宋体" w:hAnsi="宋体"/>
          <w:b/>
          <w:sz w:val="30"/>
          <w:szCs w:val="30"/>
        </w:rPr>
      </w:pPr>
      <w:r>
        <w:rPr>
          <w:rFonts w:ascii="Times New Roman" w:hAnsi="Times New Roman"/>
          <w:b/>
          <w:color w:val="000000"/>
          <w:sz w:val="32"/>
          <w:szCs w:val="32"/>
        </w:rPr>
        <w:t>(2021年第2号)</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基金托管人：中国农业银行股份有限公司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二〇二一年</w:t>
      </w:r>
      <w:r>
        <w:rPr>
          <w:rFonts w:hint="eastAsia" w:ascii="Times New Roman" w:hAnsi="Times New Roman"/>
          <w:b/>
          <w:spacing w:val="2"/>
          <w:w w:val="99"/>
          <w:kern w:val="0"/>
          <w:sz w:val="28"/>
          <w:szCs w:val="32"/>
        </w:rPr>
        <w:t>五</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4" w:type="first"/>
          <w:headerReference r:id="rId3" w:type="default"/>
          <w:footerReference r:id="rId5" w:type="default"/>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54104404"/>
      <w:bookmarkStart w:id="1" w:name="_Toc496884613"/>
      <w:bookmarkStart w:id="2" w:name="_Toc324920538"/>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交银施罗德深证300价值交易型开放式指数证券投资基金联接基金（以下简称“本基金”）经2011年6月20日中国证券监督管理委员会（以下简称“中国证监会”）证监许可【2011】967号文核准募集。本基金基金合同于2011年9月28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为ETF联接基金，紧密跟踪标的指数，具有和标的指数所代表的股票市场相似的风险收益特征，风险与收益高于混合基金、债券基金与货币市场基金，属于证券投资基金中风险较高、预期收益较高的品种。</w:t>
      </w:r>
    </w:p>
    <w:p>
      <w:pPr>
        <w:widowControl/>
        <w:adjustRightInd w:val="0"/>
        <w:snapToGrid w:val="0"/>
        <w:spacing w:line="360" w:lineRule="auto"/>
        <w:ind w:firstLine="480" w:firstLineChars="200"/>
        <w:rPr>
          <w:rFonts w:ascii="Times New Roman" w:hAnsi="Times New Roman"/>
          <w:bCs/>
          <w:sz w:val="24"/>
          <w:szCs w:val="18"/>
        </w:rPr>
      </w:pPr>
      <w:r>
        <w:rPr>
          <w:rFonts w:hint="eastAsia" w:ascii="Times New Roman" w:hAnsi="Times New Roman"/>
          <w:bCs/>
          <w:sz w:val="24"/>
          <w:szCs w:val="18"/>
        </w:rPr>
        <w:t>本基金主要投资于目标E</w:t>
      </w:r>
      <w:r>
        <w:rPr>
          <w:rFonts w:ascii="Times New Roman" w:hAnsi="Times New Roman"/>
          <w:bCs/>
          <w:sz w:val="24"/>
          <w:szCs w:val="18"/>
        </w:rPr>
        <w:t>TF</w:t>
      </w:r>
      <w:r>
        <w:rPr>
          <w:rFonts w:hint="eastAsia" w:ascii="Times New Roman" w:hAnsi="Times New Roman"/>
          <w:bCs/>
          <w:sz w:val="24"/>
          <w:szCs w:val="18"/>
        </w:rPr>
        <w:t>，投资者投资于本基金面临跟踪误差控制未达约定目标、指数编制机构停止服务、成份券停牌等潜在风险。</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本基金标的指数为</w:t>
      </w:r>
      <w:r>
        <w:rPr>
          <w:rFonts w:ascii="宋体" w:hAnsi="宋体"/>
          <w:kern w:val="0"/>
          <w:sz w:val="24"/>
        </w:rPr>
        <w:t>深证300价值</w:t>
      </w:r>
      <w:r>
        <w:rPr>
          <w:rFonts w:hint="eastAsia" w:ascii="宋体" w:hAnsi="宋体"/>
          <w:kern w:val="0"/>
          <w:sz w:val="24"/>
        </w:rPr>
        <w:t>价格指数</w:t>
      </w:r>
      <w:r>
        <w:rPr>
          <w:rFonts w:ascii="宋体" w:hAnsi="宋体"/>
          <w:bCs/>
          <w:kern w:val="0"/>
          <w:sz w:val="24"/>
        </w:rPr>
        <w:t>。</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1、选样空间</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深证300指数样本股。</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2、选样方法</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ascii="宋体" w:hAnsi="宋体"/>
          <w:bCs/>
          <w:kern w:val="0"/>
          <w:sz w:val="24"/>
        </w:rPr>
        <w:t>1</w:t>
      </w:r>
      <w:r>
        <w:rPr>
          <w:rFonts w:hint="eastAsia" w:ascii="宋体" w:hAnsi="宋体"/>
          <w:bCs/>
          <w:kern w:val="0"/>
          <w:sz w:val="24"/>
        </w:rPr>
        <w:t>）计算价值因子的变量数值</w:t>
      </w:r>
    </w:p>
    <w:p>
      <w:pPr>
        <w:autoSpaceDE w:val="0"/>
        <w:autoSpaceDN w:val="0"/>
        <w:adjustRightInd w:val="0"/>
        <w:snapToGrid w:val="0"/>
        <w:spacing w:line="360" w:lineRule="auto"/>
        <w:ind w:left="105" w:leftChars="50" w:firstLine="480" w:firstLineChars="200"/>
        <w:rPr>
          <w:rFonts w:ascii="宋体" w:hAnsi="宋体"/>
          <w:bCs/>
          <w:kern w:val="0"/>
          <w:sz w:val="24"/>
        </w:rPr>
      </w:pP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 xml:space="preserve">价值因子有四个变量：每股收益与价格比率、每股经营现金流与价格比率、股息收益率、每股净资产与价格比率。 </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2）计算风格Z值</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计算出每只股票的变量值之后，在样本空间内对所有变量值进行标准化z分处理。</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为确保用于标准化处理的市场均值不会因为极值而受到太大影响，计算增长率变量时，先对样本空间内所有股票的数值按照升序排列。对于处在下端10%或者上端90%等级的数值，分别设定为第10%等级与90%等级的数值。</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一个公司股票的价值Z值是四个价值因子变量Z值的均值。</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ascii="宋体" w:hAnsi="宋体"/>
          <w:bCs/>
          <w:kern w:val="0"/>
          <w:sz w:val="24"/>
        </w:rPr>
        <w:t>3</w:t>
      </w:r>
      <w:r>
        <w:rPr>
          <w:rFonts w:hint="eastAsia" w:ascii="宋体" w:hAnsi="宋体"/>
          <w:bCs/>
          <w:kern w:val="0"/>
          <w:sz w:val="24"/>
        </w:rPr>
        <w:t>）</w:t>
      </w:r>
      <w:r>
        <w:rPr>
          <w:rFonts w:ascii="宋体" w:hAnsi="宋体"/>
          <w:bCs/>
          <w:kern w:val="0"/>
          <w:sz w:val="24"/>
        </w:rPr>
        <w:t>指数选样</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在深证300中选取价值Z值最高的100只股票作为深证300价值指数初始样本股。</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3、指数计算</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指数采用派氏加权法，依据下列公式逐日连锁实时计算：</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ascii="宋体" w:hAnsi="宋体"/>
          <w:kern w:val="0"/>
          <w:sz w:val="24"/>
        </w:rPr>
        <w:drawing>
          <wp:inline distT="0" distB="0" distL="0" distR="0">
            <wp:extent cx="4667885" cy="5410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770599" cy="552855"/>
                    </a:xfrm>
                    <a:prstGeom prst="rect">
                      <a:avLst/>
                    </a:prstGeom>
                  </pic:spPr>
                </pic:pic>
              </a:graphicData>
            </a:graphic>
          </wp:inline>
        </w:drawing>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有关标的指数具体编制方案及成份股信息详见深圳证券信息有限公司国证指数网网站，网址：</w:t>
      </w:r>
      <w:r>
        <w:rPr>
          <w:rFonts w:ascii="宋体" w:hAnsi="宋体"/>
          <w:bCs/>
          <w:kern w:val="0"/>
          <w:sz w:val="24"/>
        </w:rPr>
        <w:t>www.cnindex.com.cn</w:t>
      </w:r>
      <w:r>
        <w:rPr>
          <w:rFonts w:hint="eastAsia" w:ascii="宋体" w:hAnsi="宋体"/>
          <w:bCs/>
          <w:kern w:val="0"/>
          <w:sz w:val="24"/>
        </w:rPr>
        <w:t>。</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宋体"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宋体" w:hAnsi="宋体"/>
          <w:kern w:val="0"/>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hint="eastAsia" w:ascii="Times New Roman" w:hAnsi="Times New Roman"/>
          <w:kern w:val="0"/>
          <w:sz w:val="24"/>
        </w:rPr>
        <w:t>本次更新招募说明书主要对基金经理变更相关事项进行了相应更新，更新截止日为2021年5月6日，除非另有说明，本招募说明书其他所载内容截止日为</w:t>
      </w:r>
      <w:r>
        <w:rPr>
          <w:rFonts w:ascii="Times New Roman" w:hAnsi="Times New Roman"/>
          <w:kern w:val="0"/>
          <w:sz w:val="24"/>
        </w:rPr>
        <w:t>2020年9月10日</w:t>
      </w:r>
      <w:r>
        <w:rPr>
          <w:rFonts w:hint="eastAsia" w:ascii="Times New Roman" w:hAnsi="Times New Roman"/>
          <w:kern w:val="0"/>
          <w:sz w:val="24"/>
        </w:rPr>
        <w:t>，有关财务和业绩表现数据截止日为</w:t>
      </w:r>
      <w:r>
        <w:rPr>
          <w:rFonts w:ascii="Times New Roman" w:hAnsi="Times New Roman"/>
          <w:kern w:val="0"/>
          <w:sz w:val="24"/>
        </w:rPr>
        <w:t>2020年6月30日</w:t>
      </w:r>
      <w:r>
        <w:rPr>
          <w:rFonts w:hint="eastAsia" w:ascii="Times New Roman" w:hAnsi="Times New Roman"/>
          <w:kern w:val="0"/>
          <w:sz w:val="24"/>
        </w:rPr>
        <w:t>，财务和业绩表现数据未经审计。</w:t>
      </w:r>
    </w:p>
    <w:p>
      <w:pPr>
        <w:autoSpaceDE w:val="0"/>
        <w:autoSpaceDN w:val="0"/>
        <w:adjustRightInd w:val="0"/>
        <w:snapToGrid w:val="0"/>
        <w:spacing w:before="51" w:line="360" w:lineRule="auto"/>
        <w:ind w:left="120" w:right="13" w:rightChars="6" w:firstLine="480"/>
        <w:rPr>
          <w:rFonts w:ascii="宋体" w:hAnsi="宋体"/>
          <w:kern w:val="0"/>
          <w:szCs w:val="24"/>
        </w:rPr>
        <w:sectPr>
          <w:headerReference r:id="rId6"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sz w:val="24"/>
        </w:rPr>
      </w:pPr>
      <w:r>
        <w:fldChar w:fldCharType="begin"/>
      </w:r>
      <w:r>
        <w:instrText xml:space="preserve"> HYPERLINK \l "_Toc54104404"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_Toc54104404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"_Toc54104405"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_Toc54104405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"_Toc54104406"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_Toc54104406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"_Toc54104407"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_Toc54104407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"_Toc54104408"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_Toc54104408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"_Toc54104409"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_Toc54104409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"_Toc54104410" </w:instrText>
      </w:r>
      <w:r>
        <w:fldChar w:fldCharType="separate"/>
      </w:r>
      <w:r>
        <w:rPr>
          <w:rStyle w:val="18"/>
          <w:rFonts w:hint="eastAsia" w:ascii="宋体" w:hAnsi="宋体"/>
          <w:sz w:val="24"/>
        </w:rPr>
        <w:t>六、基金的募集</w:t>
      </w:r>
      <w:r>
        <w:rPr>
          <w:rFonts w:ascii="宋体" w:hAnsi="宋体"/>
          <w:sz w:val="24"/>
        </w:rPr>
        <w:tab/>
      </w:r>
      <w:r>
        <w:rPr>
          <w:rFonts w:ascii="宋体" w:hAnsi="宋体"/>
          <w:sz w:val="24"/>
        </w:rPr>
        <w:fldChar w:fldCharType="begin"/>
      </w:r>
      <w:r>
        <w:rPr>
          <w:rFonts w:ascii="宋体" w:hAnsi="宋体"/>
          <w:sz w:val="24"/>
        </w:rPr>
        <w:instrText xml:space="preserve"> PAGEREF _Toc54104410 \h </w:instrText>
      </w:r>
      <w:r>
        <w:rPr>
          <w:rFonts w:ascii="宋体" w:hAnsi="宋体"/>
          <w:sz w:val="24"/>
        </w:rPr>
        <w:fldChar w:fldCharType="separate"/>
      </w:r>
      <w:r>
        <w:rPr>
          <w:rFonts w:ascii="宋体" w:hAnsi="宋体"/>
          <w:sz w:val="24"/>
        </w:rPr>
        <w:t>44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"_Toc54104411" </w:instrText>
      </w:r>
      <w:r>
        <w:fldChar w:fldCharType="separate"/>
      </w:r>
      <w:r>
        <w:rPr>
          <w:rStyle w:val="18"/>
          <w:rFonts w:hint="eastAsia" w:ascii="宋体" w:hAnsi="宋体"/>
          <w:sz w:val="24"/>
        </w:rPr>
        <w:t>七、基金合同的生效</w:t>
      </w:r>
      <w:r>
        <w:rPr>
          <w:rFonts w:ascii="宋体" w:hAnsi="宋体"/>
          <w:sz w:val="24"/>
        </w:rPr>
        <w:tab/>
      </w:r>
      <w:r>
        <w:rPr>
          <w:rFonts w:ascii="宋体" w:hAnsi="宋体"/>
          <w:sz w:val="24"/>
        </w:rPr>
        <w:fldChar w:fldCharType="begin"/>
      </w:r>
      <w:r>
        <w:rPr>
          <w:rFonts w:ascii="宋体" w:hAnsi="宋体"/>
          <w:sz w:val="24"/>
        </w:rPr>
        <w:instrText xml:space="preserve"> PAGEREF _Toc54104411 \h </w:instrText>
      </w:r>
      <w:r>
        <w:rPr>
          <w:rFonts w:ascii="宋体" w:hAnsi="宋体"/>
          <w:sz w:val="24"/>
        </w:rPr>
        <w:fldChar w:fldCharType="separate"/>
      </w:r>
      <w:r>
        <w:rPr>
          <w:rFonts w:ascii="宋体" w:hAnsi="宋体"/>
          <w:sz w:val="24"/>
        </w:rPr>
        <w:t>46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"_Toc54104412" </w:instrText>
      </w:r>
      <w:r>
        <w:fldChar w:fldCharType="separate"/>
      </w:r>
      <w:r>
        <w:rPr>
          <w:rStyle w:val="18"/>
          <w:rFonts w:hint="eastAsia" w:ascii="宋体" w:hAnsi="宋体"/>
          <w:sz w:val="24"/>
        </w:rPr>
        <w:t>八、基金份额的申购与赎回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_Toc54104412 \h </w:instrText>
      </w:r>
      <w:r>
        <w:rPr>
          <w:rFonts w:ascii="宋体" w:hAnsi="宋体"/>
          <w:sz w:val="24"/>
        </w:rPr>
        <w:fldChar w:fldCharType="separate"/>
      </w:r>
      <w:r>
        <w:rPr>
          <w:rFonts w:ascii="宋体" w:hAnsi="宋体"/>
          <w:sz w:val="24"/>
        </w:rPr>
        <w:t>47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"_Toc54104413" </w:instrText>
      </w:r>
      <w:r>
        <w:fldChar w:fldCharType="separate"/>
      </w:r>
      <w:r>
        <w:rPr>
          <w:rStyle w:val="18"/>
          <w:rFonts w:hint="eastAsia" w:ascii="宋体" w:hAnsi="宋体"/>
          <w:sz w:val="24"/>
        </w:rPr>
        <w:t>九、基金的转换</w:t>
      </w:r>
      <w:r>
        <w:rPr>
          <w:rFonts w:ascii="宋体" w:hAnsi="宋体"/>
          <w:sz w:val="24"/>
        </w:rPr>
        <w:tab/>
      </w:r>
      <w:r>
        <w:rPr>
          <w:rFonts w:ascii="宋体" w:hAnsi="宋体"/>
          <w:sz w:val="24"/>
        </w:rPr>
        <w:fldChar w:fldCharType="begin"/>
      </w:r>
      <w:r>
        <w:rPr>
          <w:rFonts w:ascii="宋体" w:hAnsi="宋体"/>
          <w:sz w:val="24"/>
        </w:rPr>
        <w:instrText xml:space="preserve"> PAGEREF _Toc54104413 \h </w:instrText>
      </w:r>
      <w:r>
        <w:rPr>
          <w:rFonts w:ascii="宋体" w:hAnsi="宋体"/>
          <w:sz w:val="24"/>
        </w:rPr>
        <w:fldChar w:fldCharType="separate"/>
      </w:r>
      <w:r>
        <w:rPr>
          <w:rFonts w:ascii="宋体" w:hAnsi="宋体"/>
          <w:sz w:val="24"/>
        </w:rPr>
        <w:t>61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"_Toc54104414" </w:instrText>
      </w:r>
      <w:r>
        <w:fldChar w:fldCharType="separate"/>
      </w:r>
      <w:r>
        <w:rPr>
          <w:rStyle w:val="18"/>
          <w:rFonts w:hint="eastAsia" w:ascii="宋体" w:hAnsi="宋体"/>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_Toc54104414 \h </w:instrText>
      </w:r>
      <w:r>
        <w:rPr>
          <w:rFonts w:ascii="宋体" w:hAnsi="宋体"/>
          <w:sz w:val="24"/>
        </w:rPr>
        <w:fldChar w:fldCharType="separate"/>
      </w:r>
      <w:r>
        <w:rPr>
          <w:rFonts w:ascii="宋体" w:hAnsi="宋体"/>
          <w:sz w:val="24"/>
        </w:rPr>
        <w:t>68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"_Toc54104415" </w:instrText>
      </w:r>
      <w:r>
        <w:fldChar w:fldCharType="separate"/>
      </w:r>
      <w:r>
        <w:rPr>
          <w:rStyle w:val="18"/>
          <w:rFonts w:hint="eastAsia" w:ascii="宋体" w:hAnsi="宋体"/>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_Toc54104415 \h </w:instrText>
      </w:r>
      <w:r>
        <w:rPr>
          <w:rFonts w:ascii="宋体" w:hAnsi="宋体"/>
          <w:sz w:val="24"/>
        </w:rPr>
        <w:fldChar w:fldCharType="separate"/>
      </w:r>
      <w:r>
        <w:rPr>
          <w:rFonts w:ascii="宋体" w:hAnsi="宋体"/>
          <w:sz w:val="24"/>
        </w:rPr>
        <w:t>78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"_Toc54104416" </w:instrText>
      </w:r>
      <w:r>
        <w:fldChar w:fldCharType="separate"/>
      </w:r>
      <w:r>
        <w:rPr>
          <w:rStyle w:val="18"/>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_Toc54104416 \h </w:instrText>
      </w:r>
      <w:r>
        <w:rPr>
          <w:rFonts w:ascii="宋体" w:hAnsi="宋体"/>
          <w:sz w:val="24"/>
        </w:rPr>
        <w:fldChar w:fldCharType="separate"/>
      </w:r>
      <w:r>
        <w:rPr>
          <w:rFonts w:ascii="宋体" w:hAnsi="宋体"/>
          <w:sz w:val="24"/>
        </w:rPr>
        <w:t>80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"_Toc54104417" </w:instrText>
      </w:r>
      <w:r>
        <w:fldChar w:fldCharType="separate"/>
      </w:r>
      <w:r>
        <w:rPr>
          <w:rStyle w:val="18"/>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_Toc54104417 \h </w:instrText>
      </w:r>
      <w:r>
        <w:rPr>
          <w:rFonts w:ascii="宋体" w:hAnsi="宋体"/>
          <w:sz w:val="24"/>
        </w:rPr>
        <w:fldChar w:fldCharType="separate"/>
      </w:r>
      <w:r>
        <w:rPr>
          <w:rFonts w:ascii="宋体" w:hAnsi="宋体"/>
          <w:sz w:val="24"/>
        </w:rPr>
        <w:t>81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"_Toc54104418" </w:instrText>
      </w:r>
      <w:r>
        <w:fldChar w:fldCharType="separate"/>
      </w:r>
      <w:r>
        <w:rPr>
          <w:rStyle w:val="18"/>
          <w:rFonts w:hint="eastAsia" w:ascii="宋体" w:hAnsi="宋体"/>
          <w:sz w:val="24"/>
        </w:rPr>
        <w:t>十四、基金的收益与分配</w:t>
      </w:r>
      <w:r>
        <w:rPr>
          <w:rFonts w:ascii="宋体" w:hAnsi="宋体"/>
          <w:sz w:val="24"/>
        </w:rPr>
        <w:tab/>
      </w:r>
      <w:r>
        <w:rPr>
          <w:rFonts w:ascii="宋体" w:hAnsi="宋体"/>
          <w:sz w:val="24"/>
        </w:rPr>
        <w:fldChar w:fldCharType="begin"/>
      </w:r>
      <w:r>
        <w:rPr>
          <w:rFonts w:ascii="宋体" w:hAnsi="宋体"/>
          <w:sz w:val="24"/>
        </w:rPr>
        <w:instrText xml:space="preserve"> PAGEREF _Toc54104418 \h </w:instrText>
      </w:r>
      <w:r>
        <w:rPr>
          <w:rFonts w:ascii="宋体" w:hAnsi="宋体"/>
          <w:sz w:val="24"/>
        </w:rPr>
        <w:fldChar w:fldCharType="separate"/>
      </w:r>
      <w:r>
        <w:rPr>
          <w:rFonts w:ascii="宋体" w:hAnsi="宋体"/>
          <w:sz w:val="24"/>
        </w:rPr>
        <w:t>88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"_Toc54104419" </w:instrText>
      </w:r>
      <w:r>
        <w:fldChar w:fldCharType="separate"/>
      </w:r>
      <w:r>
        <w:rPr>
          <w:rStyle w:val="18"/>
          <w:rFonts w:hint="eastAsia" w:ascii="宋体" w:hAnsi="宋体"/>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_Toc54104419 \h </w:instrText>
      </w:r>
      <w:r>
        <w:rPr>
          <w:rFonts w:ascii="宋体" w:hAnsi="宋体"/>
          <w:sz w:val="24"/>
        </w:rPr>
        <w:fldChar w:fldCharType="separate"/>
      </w:r>
      <w:r>
        <w:rPr>
          <w:rFonts w:ascii="宋体" w:hAnsi="宋体"/>
          <w:sz w:val="24"/>
        </w:rPr>
        <w:t>90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"_Toc54104420" </w:instrText>
      </w:r>
      <w:r>
        <w:fldChar w:fldCharType="separate"/>
      </w:r>
      <w:r>
        <w:rPr>
          <w:rStyle w:val="18"/>
          <w:rFonts w:hint="eastAsia" w:ascii="宋体" w:hAnsi="宋体"/>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_Toc54104420 \h </w:instrText>
      </w:r>
      <w:r>
        <w:rPr>
          <w:rFonts w:ascii="宋体" w:hAnsi="宋体"/>
          <w:sz w:val="24"/>
        </w:rPr>
        <w:fldChar w:fldCharType="separate"/>
      </w:r>
      <w:r>
        <w:rPr>
          <w:rFonts w:ascii="宋体" w:hAnsi="宋体"/>
          <w:sz w:val="24"/>
        </w:rPr>
        <w:t>92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"_Toc54104421" </w:instrText>
      </w:r>
      <w:r>
        <w:fldChar w:fldCharType="separate"/>
      </w:r>
      <w:r>
        <w:rPr>
          <w:rStyle w:val="18"/>
          <w:rFonts w:hint="eastAsia" w:ascii="宋体" w:hAnsi="宋体"/>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_Toc54104421 \h </w:instrText>
      </w:r>
      <w:r>
        <w:rPr>
          <w:rFonts w:ascii="宋体" w:hAnsi="宋体"/>
          <w:sz w:val="24"/>
        </w:rPr>
        <w:fldChar w:fldCharType="separate"/>
      </w:r>
      <w:r>
        <w:rPr>
          <w:rFonts w:ascii="宋体" w:hAnsi="宋体"/>
          <w:sz w:val="24"/>
        </w:rPr>
        <w:t>93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"_Toc54104422" </w:instrText>
      </w:r>
      <w:r>
        <w:fldChar w:fldCharType="separate"/>
      </w:r>
      <w:r>
        <w:rPr>
          <w:rStyle w:val="18"/>
          <w:rFonts w:hint="eastAsia" w:ascii="宋体" w:hAnsi="宋体"/>
          <w:sz w:val="24"/>
        </w:rPr>
        <w:t>十八、风险揭示</w:t>
      </w:r>
      <w:r>
        <w:rPr>
          <w:rFonts w:ascii="宋体" w:hAnsi="宋体"/>
          <w:sz w:val="24"/>
        </w:rPr>
        <w:tab/>
      </w:r>
      <w:r>
        <w:rPr>
          <w:rFonts w:ascii="宋体" w:hAnsi="宋体"/>
          <w:sz w:val="24"/>
        </w:rPr>
        <w:fldChar w:fldCharType="begin"/>
      </w:r>
      <w:r>
        <w:rPr>
          <w:rFonts w:ascii="宋体" w:hAnsi="宋体"/>
          <w:sz w:val="24"/>
        </w:rPr>
        <w:instrText xml:space="preserve"> PAGEREF _Toc54104422 \h </w:instrText>
      </w:r>
      <w:r>
        <w:rPr>
          <w:rFonts w:ascii="宋体" w:hAnsi="宋体"/>
          <w:sz w:val="24"/>
        </w:rPr>
        <w:fldChar w:fldCharType="separate"/>
      </w:r>
      <w:r>
        <w:rPr>
          <w:rFonts w:ascii="宋体" w:hAnsi="宋体"/>
          <w:sz w:val="24"/>
        </w:rPr>
        <w:t>99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"_Toc54104423" </w:instrText>
      </w:r>
      <w:r>
        <w:fldChar w:fldCharType="separate"/>
      </w:r>
      <w:r>
        <w:rPr>
          <w:rStyle w:val="18"/>
          <w:rFonts w:hint="eastAsia" w:ascii="宋体" w:hAnsi="宋体"/>
          <w:sz w:val="24"/>
        </w:rPr>
        <w:t>十九、基金合同的终止与基金财产的清算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_Toc54104423 \h </w:instrText>
      </w:r>
      <w:r>
        <w:rPr>
          <w:rFonts w:ascii="宋体" w:hAnsi="宋体"/>
          <w:sz w:val="24"/>
        </w:rPr>
        <w:fldChar w:fldCharType="separate"/>
      </w:r>
      <w:r>
        <w:rPr>
          <w:rFonts w:ascii="宋体" w:hAnsi="宋体"/>
          <w:sz w:val="24"/>
        </w:rPr>
        <w:t>105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"_Toc54104424" </w:instrText>
      </w:r>
      <w:r>
        <w:fldChar w:fldCharType="separate"/>
      </w:r>
      <w:r>
        <w:rPr>
          <w:rStyle w:val="18"/>
          <w:rFonts w:hint="eastAsia" w:ascii="宋体" w:hAnsi="宋体"/>
          <w:sz w:val="24"/>
        </w:rPr>
        <w:t>二十、基金合同的内容摘要</w:t>
      </w:r>
      <w:r>
        <w:rPr>
          <w:rFonts w:ascii="宋体" w:hAnsi="宋体"/>
          <w:sz w:val="24"/>
        </w:rPr>
        <w:tab/>
      </w:r>
      <w:r>
        <w:rPr>
          <w:rFonts w:ascii="宋体" w:hAnsi="宋体"/>
          <w:sz w:val="24"/>
        </w:rPr>
        <w:fldChar w:fldCharType="begin"/>
      </w:r>
      <w:r>
        <w:rPr>
          <w:rFonts w:ascii="宋体" w:hAnsi="宋体"/>
          <w:sz w:val="24"/>
        </w:rPr>
        <w:instrText xml:space="preserve"> PAGEREF _Toc54104424 \h </w:instrText>
      </w:r>
      <w:r>
        <w:rPr>
          <w:rFonts w:ascii="宋体" w:hAnsi="宋体"/>
          <w:sz w:val="24"/>
        </w:rPr>
        <w:fldChar w:fldCharType="separate"/>
      </w:r>
      <w:r>
        <w:rPr>
          <w:rFonts w:ascii="宋体" w:hAnsi="宋体"/>
          <w:sz w:val="24"/>
        </w:rPr>
        <w:t>107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"_Toc54104425" </w:instrText>
      </w:r>
      <w:r>
        <w:fldChar w:fldCharType="separate"/>
      </w:r>
      <w:r>
        <w:rPr>
          <w:rStyle w:val="18"/>
          <w:rFonts w:hint="eastAsia" w:ascii="宋体" w:hAnsi="宋体"/>
          <w:sz w:val="24"/>
        </w:rPr>
        <w:t>二十一、托管协议的内容摘要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_Toc54104425 \h </w:instrText>
      </w:r>
      <w:r>
        <w:rPr>
          <w:rFonts w:ascii="宋体" w:hAnsi="宋体"/>
          <w:sz w:val="24"/>
        </w:rPr>
        <w:fldChar w:fldCharType="separate"/>
      </w:r>
      <w:r>
        <w:rPr>
          <w:rFonts w:ascii="宋体" w:hAnsi="宋体"/>
          <w:sz w:val="24"/>
        </w:rPr>
        <w:t>122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"_Toc54104426" </w:instrText>
      </w:r>
      <w:r>
        <w:fldChar w:fldCharType="separate"/>
      </w:r>
      <w:r>
        <w:rPr>
          <w:rStyle w:val="18"/>
          <w:rFonts w:hint="eastAsia" w:ascii="宋体" w:hAnsi="宋体"/>
          <w:sz w:val="24"/>
        </w:rPr>
        <w:t>二十二、对基金份额持有人的服务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_Toc54104426 \h </w:instrText>
      </w:r>
      <w:r>
        <w:rPr>
          <w:rFonts w:ascii="宋体" w:hAnsi="宋体"/>
          <w:sz w:val="24"/>
        </w:rPr>
        <w:fldChar w:fldCharType="separate"/>
      </w:r>
      <w:r>
        <w:rPr>
          <w:rFonts w:ascii="宋体" w:hAnsi="宋体"/>
          <w:sz w:val="24"/>
        </w:rPr>
        <w:t>139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"_Toc54104427" </w:instrText>
      </w:r>
      <w:r>
        <w:fldChar w:fldCharType="separate"/>
      </w:r>
      <w:r>
        <w:rPr>
          <w:rStyle w:val="18"/>
          <w:rFonts w:hint="eastAsia" w:ascii="宋体" w:hAnsi="宋体"/>
          <w:sz w:val="24"/>
        </w:rPr>
        <w:t>二十三、其他应披露事项</w:t>
      </w:r>
      <w:r>
        <w:rPr>
          <w:rFonts w:ascii="宋体" w:hAnsi="宋体"/>
          <w:sz w:val="24"/>
        </w:rPr>
        <w:tab/>
      </w:r>
      <w:r>
        <w:rPr>
          <w:rFonts w:ascii="宋体" w:hAnsi="宋体"/>
          <w:sz w:val="24"/>
        </w:rPr>
        <w:fldChar w:fldCharType="begin"/>
      </w:r>
      <w:r>
        <w:rPr>
          <w:rFonts w:ascii="宋体" w:hAnsi="宋体"/>
          <w:sz w:val="24"/>
        </w:rPr>
        <w:instrText xml:space="preserve"> PAGEREF _Toc54104427 \h </w:instrText>
      </w:r>
      <w:r>
        <w:rPr>
          <w:rFonts w:ascii="宋体" w:hAnsi="宋体"/>
          <w:sz w:val="24"/>
        </w:rPr>
        <w:fldChar w:fldCharType="separate"/>
      </w:r>
      <w:r>
        <w:rPr>
          <w:rFonts w:ascii="宋体" w:hAnsi="宋体"/>
          <w:sz w:val="24"/>
        </w:rPr>
        <w:t>141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"_Toc54104428" </w:instrText>
      </w:r>
      <w:r>
        <w:fldChar w:fldCharType="separate"/>
      </w:r>
      <w:r>
        <w:rPr>
          <w:rStyle w:val="18"/>
          <w:rFonts w:hint="eastAsia" w:ascii="宋体" w:hAnsi="宋体"/>
          <w:sz w:val="24"/>
        </w:rPr>
        <w:t>二十四、招募说明书的存放及查阅方式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_Toc54104428 \h </w:instrText>
      </w:r>
      <w:r>
        <w:rPr>
          <w:rFonts w:ascii="宋体" w:hAnsi="宋体"/>
          <w:sz w:val="24"/>
        </w:rPr>
        <w:fldChar w:fldCharType="separate"/>
      </w:r>
      <w:r>
        <w:rPr>
          <w:rFonts w:ascii="宋体" w:hAnsi="宋体"/>
          <w:sz w:val="24"/>
        </w:rPr>
        <w:t>143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olor w:val="000000"/>
          <w:sz w:val="24"/>
        </w:rPr>
      </w:pPr>
      <w:r>
        <w:fldChar w:fldCharType="begin"/>
      </w:r>
      <w:r>
        <w:instrText xml:space="preserve"> HYPERLINK \l "_Toc54104429" </w:instrText>
      </w:r>
      <w:r>
        <w:fldChar w:fldCharType="separate"/>
      </w:r>
      <w:r>
        <w:rPr>
          <w:rStyle w:val="18"/>
          <w:rFonts w:hint="eastAsia" w:ascii="宋体" w:hAnsi="宋体"/>
          <w:sz w:val="24"/>
        </w:rPr>
        <w:t>二十五、备查文件</w:t>
      </w:r>
      <w:r>
        <w:rPr>
          <w:rFonts w:ascii="宋体" w:hAnsi="宋体"/>
          <w:sz w:val="24"/>
        </w:rPr>
        <w:tab/>
      </w:r>
      <w:r>
        <w:rPr>
          <w:rFonts w:ascii="宋体" w:hAnsi="宋体"/>
          <w:sz w:val="24"/>
        </w:rPr>
        <w:fldChar w:fldCharType="begin"/>
      </w:r>
      <w:r>
        <w:rPr>
          <w:rFonts w:ascii="宋体" w:hAnsi="宋体"/>
          <w:sz w:val="24"/>
        </w:rPr>
        <w:instrText xml:space="preserve"> PAGEREF _Toc54104429 \h </w:instrText>
      </w:r>
      <w:r>
        <w:rPr>
          <w:rFonts w:ascii="宋体" w:hAnsi="宋体"/>
          <w:sz w:val="24"/>
        </w:rPr>
        <w:fldChar w:fldCharType="separate"/>
      </w:r>
      <w:r>
        <w:rPr>
          <w:rFonts w:ascii="宋体" w:hAnsi="宋体"/>
          <w:sz w:val="24"/>
        </w:rPr>
        <w:t>144</w:t>
      </w:r>
      <w:r>
        <w:rPr>
          <w:rFonts w:ascii="宋体" w:hAnsi="宋体"/>
          <w:sz w:val="24"/>
        </w:rPr>
        <w:fldChar w:fldCharType="end"/>
      </w:r>
      <w:r>
        <w:rPr>
          <w:rFonts w:ascii="宋体" w:hAnsi="宋体"/>
          <w:sz w:val="24"/>
        </w:rPr>
        <w:fldChar w:fldCharType="end"/>
      </w:r>
      <w:r>
        <w:rPr>
          <w:rFonts w:ascii="宋体" w:hAnsi="宋体"/>
          <w:color w:val="000000"/>
          <w:position w:val="-4"/>
          <w:sz w:val="24"/>
          <w:szCs w:val="30"/>
        </w:rPr>
        <w:fldChar w:fldCharType="end"/>
      </w:r>
    </w:p>
    <w:p>
      <w:pPr>
        <w:autoSpaceDE w:val="0"/>
        <w:autoSpaceDN w:val="0"/>
        <w:adjustRightInd w:val="0"/>
        <w:snapToGrid w:val="0"/>
        <w:spacing w:line="360" w:lineRule="auto"/>
        <w:ind w:left="120" w:right="13" w:rightChars="6"/>
        <w:rPr>
          <w:rFonts w:ascii="宋体" w:hAnsi="宋体"/>
          <w:kern w:val="0"/>
          <w:szCs w:val="24"/>
        </w:rPr>
        <w:sectPr>
          <w:pgSz w:w="11920" w:h="16840"/>
          <w:pgMar w:top="1480" w:right="1680" w:bottom="280" w:left="1680" w:header="0" w:footer="1073" w:gutter="0"/>
          <w:cols w:space="720" w:num="1"/>
        </w:sectPr>
      </w:pPr>
    </w:p>
    <w:p>
      <w:pPr>
        <w:pStyle w:val="2"/>
        <w:snapToGrid w:val="0"/>
        <w:spacing w:before="240" w:beforeLines="0" w:after="240"/>
        <w:rPr>
          <w:rFonts w:ascii="宋体" w:hAnsi="宋体"/>
          <w:szCs w:val="30"/>
        </w:rPr>
      </w:pPr>
      <w:bookmarkStart w:id="3" w:name="_Toc54104405"/>
      <w:r>
        <w:rPr>
          <w:rFonts w:ascii="Times New Roman" w:hAnsi="Times New Roman"/>
          <w:sz w:val="30"/>
        </w:rPr>
        <w:t>一、绪言</w:t>
      </w:r>
      <w:bookmarkEnd w:id="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交银施罗德深证300价值交易型开放式指数证券投资基金联接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w:t>
      </w:r>
      <w:r>
        <w:rPr>
          <w:rFonts w:hint="eastAsia" w:ascii="Times New Roman" w:hAnsi="Times New Roman"/>
          <w:sz w:val="24"/>
        </w:rPr>
        <w:t>、《公开募集证券投资基金运作指引第3号——指数基金指引》（以下简称“《指数基金指引》”）</w:t>
      </w:r>
      <w:r>
        <w:rPr>
          <w:rFonts w:ascii="Times New Roman" w:hAnsi="Times New Roman"/>
          <w:sz w:val="24"/>
        </w:rPr>
        <w:t>和其他相关法律法规的规定以及《交银施罗德深证300价值交易型开放式指数证券投资基金联接基金基金合同》（以下简称“基金合同”）编写。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54104406"/>
      <w:r>
        <w:rPr>
          <w:rFonts w:ascii="Times New Roman" w:hAnsi="Times New Roman"/>
          <w:sz w:val="30"/>
        </w:rPr>
        <w:t>二、释义</w:t>
      </w:r>
      <w:bookmarkEnd w:id="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在本招募说明书中，除非文意另有所指，下列词语或简称具有如下含义：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1、基金或本基金：指交银施罗德深证300价值交易型开放式指数证券投资基金联接基金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2、基金管理人或本基金管理人：指交银施罗德基金管理有限公司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3、基金托管人或本基金托管人：指中国农业银行股份有限公司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4、基金合同或本基金合同：指《交银施罗德深证300价值交易型开放式指数证券投资基金联接基金基金合同》及对基金合同的任何有效修订和补充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5、托管协议：指基金管理人与基金托管人就本基金签订之《交银施罗德深证300价值交易型开放式指数证券投资基金联接基金托管协议》及对该托管协议的任何有效修订和补充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6、招募说明书或本招募说明书：指《交银施罗德深证300价值交易型开放式指数证券投资基金联接基金招募说明书》，及其更新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7、基金份额发售公告：指《交银施罗德深证300价值交易型开放式指数证券投资基金联接基金份额发售公告》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8、基金产品资料概要：指《交银施罗德深证300价值交易型开放式指数证券投资基金基金产品资料概要》及其更新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9、法律法规：指中国现行有效并公布实施的法律、行政法规、部门规章、规范性文件及对该等法律法规不时作出的修订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10、《基金法》：指2003年10月28日经第十届全国人民代表大会常务委员会第五次会议通过，自2004年6月1日起实施的《中华人民共和国证券投资基金法》及颁布机关对其不时作出的修订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11、《证券法》：指2005年10月27日经第十届全国人民代表大会常务委员会第十八次会议通过，自2006年1月1日实施的《中华人民共和国证券法》及对其不时做出的修订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12、《销售办法》：指中国证监会2011年6月9日颁布、同年10月1日实施的《证券投资基金销售管理办法》及对其不时作出的修订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13、《信息披露办法》：指中国证监会2019年7月26日颁布、同年9月1日实施的《公开募集证券投资基金信息披露管理办法》及对其不时作出的修订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14、《运作办法》：指中国证监会2004年6月29日颁布、同年7月1日实施的《证券投资基金运作管理办法》及对其不时作出的修订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15、《流动性规定》：指中国证监会2017年8月31日颁布、同年10月1日实施的《公开募集开放式证券投资基金流动性风险管理规定》及颁布机关对其不时做出的修订</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16、</w:t>
      </w:r>
      <w:r>
        <w:rPr>
          <w:rFonts w:ascii="Times New Roman" w:hAnsi="Times New Roman"/>
          <w:bCs/>
          <w:sz w:val="24"/>
        </w:rPr>
        <w:t>《</w:t>
      </w:r>
      <w:r>
        <w:rPr>
          <w:rFonts w:hint="eastAsia" w:ascii="Times New Roman" w:hAnsi="Times New Roman"/>
          <w:bCs/>
          <w:sz w:val="24"/>
        </w:rPr>
        <w:t>指数基金指引》：指中国证监会2021年1月22日颁布、同年2月1日实施的《公开募集证券投资基金运作指引第3号——指数基金指引》及颁布机关对其不时做出的修订</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bCs/>
          <w:sz w:val="24"/>
        </w:rPr>
        <w:t>1</w:t>
      </w:r>
      <w:r>
        <w:rPr>
          <w:rFonts w:ascii="Times New Roman" w:hAnsi="Times New Roman"/>
          <w:bCs/>
          <w:sz w:val="24"/>
        </w:rPr>
        <w:t>7</w:t>
      </w:r>
      <w:r>
        <w:rPr>
          <w:rFonts w:hint="eastAsia" w:ascii="Times New Roman" w:hAnsi="Times New Roman"/>
          <w:bCs/>
          <w:sz w:val="24"/>
        </w:rPr>
        <w:t>、</w:t>
      </w:r>
      <w:r>
        <w:rPr>
          <w:rFonts w:ascii="Times New Roman" w:hAnsi="Times New Roman"/>
          <w:sz w:val="24"/>
        </w:rPr>
        <w:t>中国：指中华人民共和国，就本基金合同而言，不包括香港特别行政区、澳门特别行政区和台湾地区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18、中国证监会：指中国证券监督管理委员会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19、中国银监会：指中国银行业监督管理委员会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21、个人投资者：指符合法律法规规定的条件可以投资证券投资基金的自然人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22、机构投资者：指符合法律法规规定可以投资证券投资基金的在中国境内注册登记或经政府有关部门批准设立的机构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合格境外机构投资者：指符合《合格境外机构投资者境内证券投资管理办法》及其他相关法律法规规定的条件，经中国证监会批准可投资于中国证券市场，并取得国家外汇管理局额度批准的中国境外的机构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24、基金投资者或投资者：指个人投资者、机构投资者和合格境外机构投资者，以及法律法规或中国证监会允许购买证券投资基金的其他投资者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25、基金份额持有人：指依招募说明书和基金合同合法取得基金份额的基金投资者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26、基金销售业务：指基金的宣传推介、认购、申购、赎回、转换、转托管及定期定额投资等业务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27、销售机构：指直销机构和代销机构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28、直销机构：指交银施罗德基金管理有限公司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29、代销机构：指符合《销售办法》和中国证监会规定的其他条件，取得基金代销业务资格并与基金管理人签订了基金销售服务代理协议，代为办理基金销售业务的机构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30、基金销售网点：指直销机构的直销中心及代销机构的代销网点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32、注册登记机构：指办理注册登记业务的机构。基金的注册登记机构为交银施罗德基金管理有限公司或接受交银施罗德基金管理有限公司委托代为办理注册登记业务的机构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33、基金账户：指注册登记机构为基金投资者开立的、记录其持有的、基金管理人所管理的基金份额余额及其变动情况的账户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34、基金交易账户：指销售机构为基金投资者开立的、记录基金投资者通过该销售机构办理交易业务而引起的基金份额的变动及结余情况的账户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35、基金合同生效日：指基金募集期结束后达到法律法规规定及基金合同约定的备案条件，基金管理人聘请法定机构验资并向中国证监会办理基金备案手续完毕，并收到其书面确认的日期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36、基金合同终止日：指基金合同规定的基金合同终止事由出现后，基金财产清算完毕，清算结果报中国证监会备案并予以公告的日期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37、目标ETF：指另一获中国证监会核准的交易型开放式指数证券投资基金（简称ETF），该ETF和本基金所跟踪的标的指数相同，并且该ETF的投资目标和本基金的投资目标类似，本基金主要投资于该ETF以求达到投资目标。发售时，本基金选择深证300价值交易型开放式指数证券投资基金为目标ETF</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38、ETF联接基金或联接基金：指将绝大多数基金财产投资于跟踪同一标的指数的目标ETF，紧密跟踪标的指数表现，追求跟踪偏离度和跟踪误差最小化，采用开放式运作方式的基金，本基金是联接其所投资的目标ETF的ETF联接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39、基金募集期：指自基金份额发售之日起至发售结束之日止的期间，最长不得超过3个月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40、存续期：指基金合同生效至终止之间的不定期期限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41、工作日：指上海证券交易所、深圳证券交易所的正常交易日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42、日：指公历日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43、月：指公历月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44、T日：指销售机构在规定时间受理基金投资者申购、赎回或其他基金业务申请的工作日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45、T+n日：指自T日起第n个工作日（不包含T日）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46、开放日：指为基金投资者办理基金份额申购、赎回或其他业务的工作日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47、交易时间：指开放日基金接受申购、赎回或其他交易的时间段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48、认购：指在基金募集期间，基金投资者申请购买基金份额的行为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49、申购：指在基金存续期内，基金投资者按基金合同和招募说明书的规定申请购买基金份额的行为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50、赎回：指在基金存续期内基金份额持有人按基金合同和招募说明书的规定的条件要求申请将基金份额兑换为现金的行为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51、标的指数：指深证300价值价格指数及其未来可能发生的变更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52、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53、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54、转托管：指基金份额持有人在本基金的不同销售机构之间实施变更所持基金份额销售机构的操作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55、巨额赎回：指本基金单个开放日，基金净赎回申请（赎回申请份额总数加上基金转换中转出申请份额总数后扣除申购申请份额总数及基金转换中转入申请份额总数后的余额）超过上一工作日基金总份额的10%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56、元：指人民币元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57、基金利润：指基金利息收入、投资收益、公允价值变动收益和其他收入扣除相关费用后的余额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58、基金资产总值：指基金拥有的包括目标ETF份额在内的各类有价证券、银行存款本息、基金应收款项及其他资产的价值总和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59、基金资产净值：指基金资产总值减去基金负债后的净资产值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60、基金份额净值：指计算日基金资产净值除以计算日基金份额总数的数值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61、基金资产估值：指计算评估基金资产和负债的价值，以确定基金资产净值和基金份额净值的过程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63、指定媒介：指中国证监会指定的用以进行信息披露的全国性报刊及指定互联网网站（包括基金管理人网站、基金托管人网站、中国证监会基金电子披露网站）等媒介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64、《业务规则》：指《交银施罗德基金管理有限公司开放式基金业务规则》，是规范基金管理人所管理的开放式证券投资基金注册登记方面的业务规则，由基金管理人制订、解释与修订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65、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54104407"/>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（一）基金管理人概况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注册资本：2亿元人民币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联系人：郭佳敏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电话：（021）61055050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（二）主要成员情况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1、基金管理人董事会成员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周曦女士，董事，硕士。现任交通银行总行个人金融业务部副总经理。历任交通银行湖南省分行风险管理部、资产保全部、法律合规部、个人金融业务部总经理，交通银行总行个人金融业务部总经理助理。</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2、基金管理人监事会成员</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3、基金管理人高级管理人员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谢卫先生，总经理。简历同上。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rFonts w:hAnsi="宋体"/>
          <w:kern w:val="0"/>
          <w:sz w:val="24"/>
          <w:szCs w:val="20"/>
        </w:rPr>
      </w:pPr>
      <w:r>
        <w:rPr>
          <w:rFonts w:hint="eastAsia" w:hAnsi="宋体"/>
          <w:kern w:val="0"/>
          <w:sz w:val="24"/>
        </w:rPr>
        <w:t>马俊先生，副总经理、研究总监，硕士。历任交通银行总行投资管理部高级投资分析、副高级经理，交银施罗德基金管理有限公司总裁办公室总经理、研究部副总经理、研究总监、综合管理部总经理。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、本基金基金经理</w:t>
      </w:r>
      <w:r>
        <w:rPr>
          <w:rFonts w:hAnsi="宋体"/>
          <w:kern w:val="0"/>
          <w:sz w:val="24"/>
        </w:rPr>
        <w:t xml:space="preserve"> </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邵文婷女士，基金经理。英国诺丁汉大学金融与投资硕士、西南财经大学数学与经济学双学士，5年证券投资行业从业经验。2016年加入交银施罗德基金管理有限公司，曾任量化投资部研究员、投资经理，现任量化投资部基金经理。现任上证180公司治理交易型开放式指数证券投资基金（2021年4月30日至今）、交银施罗德上证180公司治理交易型开放式证券投资基金联接基金（2021年4月30日至今）、深证300价值交易型开放式指数证券投资基金（2021年4月30日至今）、交银施罗德深证300价值交易型开放式指数证券投资基金联接基金（2021年4月30日至今）、交银施罗德国证新能源指数证券投资基金（LOF）（2021年4月30日至今）、交银施罗德中证环境治理指数型证券投资基金（LOF）（2021年4月30日至今）、交银施罗德创业板50指数型证券投资基金（2021年4月30日至今）、交银施罗德中证海外中国互联网指数型证券投资基金（LOF）</w:t>
      </w:r>
      <w:bookmarkStart w:id="28" w:name="_GoBack"/>
      <w:bookmarkEnd w:id="28"/>
      <w:r>
        <w:rPr>
          <w:rFonts w:hint="eastAsia" w:hAnsi="宋体"/>
          <w:kern w:val="0"/>
          <w:sz w:val="24"/>
        </w:rPr>
        <w:t>（2021年4月30日至今）的基金经理。</w:t>
      </w:r>
    </w:p>
    <w:p>
      <w:pPr>
        <w:widowControl/>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、投资决策委员会成员</w:t>
      </w:r>
      <w:r>
        <w:rPr>
          <w:rFonts w:hAnsi="宋体"/>
          <w:kern w:val="0"/>
          <w:sz w:val="24"/>
        </w:rPr>
        <w:t xml:space="preserve"> </w:t>
      </w:r>
    </w:p>
    <w:p>
      <w:pPr>
        <w:adjustRightInd w:val="0"/>
        <w:snapToGrid w:val="0"/>
        <w:spacing w:line="360" w:lineRule="auto"/>
        <w:ind w:firstLine="480" w:firstLineChars="200"/>
        <w:rPr>
          <w:rFonts w:hAnsi="Times New Roman"/>
          <w:kern w:val="0"/>
          <w:sz w:val="24"/>
        </w:rPr>
      </w:pPr>
      <w:r>
        <w:rPr>
          <w:rFonts w:hint="eastAsia" w:ascii="宋体" w:hAnsi="宋体" w:cs="宋体"/>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于海颖（固定收益（公募）投资总监、基金经理）</w:t>
      </w:r>
    </w:p>
    <w:p>
      <w:pPr>
        <w:adjustRightInd w:val="0"/>
        <w:snapToGrid w:val="0"/>
        <w:spacing w:line="360" w:lineRule="auto"/>
        <w:ind w:firstLine="480" w:firstLineChars="200"/>
        <w:rPr>
          <w:rFonts w:hAnsi="宋体"/>
          <w:kern w:val="0"/>
          <w:sz w:val="24"/>
        </w:rPr>
      </w:pPr>
      <w:r>
        <w:rPr>
          <w:rFonts w:hint="eastAsia"/>
          <w:kern w:val="0"/>
          <w:sz w:val="24"/>
          <w:szCs w:val="24"/>
        </w:rPr>
        <w:t>上述人员之间不存在近亲属关系。上述各项人员信息更新截止日为</w:t>
      </w:r>
      <w:r>
        <w:rPr>
          <w:kern w:val="0"/>
          <w:sz w:val="24"/>
          <w:szCs w:val="24"/>
        </w:rPr>
        <w:t>2021</w:t>
      </w:r>
      <w:r>
        <w:rPr>
          <w:rFonts w:hint="eastAsia"/>
          <w:kern w:val="0"/>
          <w:sz w:val="24"/>
          <w:szCs w:val="24"/>
        </w:rPr>
        <w:t>年</w:t>
      </w:r>
      <w:r>
        <w:rPr>
          <w:kern w:val="0"/>
          <w:sz w:val="24"/>
          <w:szCs w:val="24"/>
        </w:rPr>
        <w:t>5</w:t>
      </w:r>
      <w:r>
        <w:rPr>
          <w:rFonts w:hint="eastAsia"/>
          <w:kern w:val="0"/>
          <w:sz w:val="24"/>
          <w:szCs w:val="24"/>
        </w:rPr>
        <w:t>月</w:t>
      </w:r>
      <w:r>
        <w:rPr>
          <w:kern w:val="0"/>
          <w:sz w:val="24"/>
          <w:szCs w:val="24"/>
        </w:rPr>
        <w:t>6</w:t>
      </w:r>
      <w:r>
        <w:rPr>
          <w:rFonts w:hint="eastAsia"/>
          <w:kern w:val="0"/>
          <w:sz w:val="24"/>
          <w:szCs w:val="24"/>
        </w:rPr>
        <w:t>日，期后变动（如有）敬请关注基金管理人发布的相关公告。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（三）基金管理人的职责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7、计算并公告基金净值信息，确定基金份额申购、赎回价格；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8、办理与基金财产管理业务活动有关的信息披露事项；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12、有关法律法规和中国证监会规定的其他职责。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（四）基金管理人的承诺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1、基金管理人承诺不从事违反《证券法》的行为，并承诺建立健全内部控制制度，采取有效措施，防止违反《证券法》行为的发生；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（1）将基金管理人固有财产或者他人财产混同于基金财产从事证券投资；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（2）不公平地对待管理的不同基金财产；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（3）利用基金财产为基金份额持有人以外的第三人牟取利益；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（4）向基金份额持有人违规承诺收益或者承担损失；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（5）依照法律法规有关规定，由中国证监会规定禁止的其他行为。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5、基金管理人承诺不从事其他法规规定禁止从事的行为。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（五）基金经理承诺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2、不利用职务之便为自己、受雇人或任何第三者谋取利益；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3、不泄露在任职期间知悉的有关证券、基金的商业秘密，尚未依法公开的基金投资内容、基金投资计划等信息；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4、不以任何形式为其他组织或个人进行证券交易。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（六）基金管理人的内部控制制度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1、风险管理的原则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全面性原则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独立性原则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 相互制约原则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定性和定量相结合原则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建立完备的风险管理指标体系，使风险管理更具客观性和操作性。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2、风险管理和内部风险控制体系结构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（1）董事会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负责制定公司的风险管理政策，对风险管理负完全的和最终的责任。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（3）合规审核及风险管理委员会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（4）风险控制委员会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（5）督察长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（6）风险管理部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（7）审计部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（8）法律合规部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（9）业务部门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3、风险管理和内部风险控制的措施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建立内控体系，完善内控制度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建立相互分离、相互制衡的内控机制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 建立、健全岗位责任制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建立风险分类、识别、评估、报告、提示程序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建立有效的内部监控系统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 使用数量化的风险管理手段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 提供足够的培训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54104408"/>
      <w:r>
        <w:rPr>
          <w:rFonts w:ascii="Times New Roman" w:hAnsi="Times New Roman"/>
          <w:sz w:val="30"/>
        </w:rPr>
        <w:t>四、基金托管人</w:t>
      </w:r>
      <w:bookmarkEnd w:id="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（一）基金托管人情况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1、基本情况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名称：中国农业银行股份有限公司（简称中国农业银行）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成立日期：2009年1月15日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批准设立机关和批准设立文号：中国银监会银监复[2009]13号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基金托管资格批文及文号：中国证监会证监基字[1998]23号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注册资本：34,998,303.4万元人民币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联系电话：010-66060069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传真：010-68121816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联系人：贺倩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2、主要人员情况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3、基金托管业务经营情况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截止到2020年6月30日，中国农业银行托管的封闭式证券投资基金和开放式证券投资基金共529只。</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（二）基金托管人的内部风险控制制度说明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1、内部控制目标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2、内部控制组织结构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3、内部控制制度及措施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（三）基金托管人对基金管理人运作基金进行监督的方法和程序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当基金出现异常交易行为时，基金托管人应当针对不同情况进行以下方式的处理：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1、电话提示。对媒体和舆论反映集中的问题，电话提示基金管理人；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2、书面警示。对本基金投资比例接近超标、资金头寸不足等问题，以书面方式对基金管理人进行提示；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3、书面报告。对投资比例超标、清算资金透支以及其他涉嫌违规交易等行为，书面提示有关基金管理人并报中国证监会。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54104409"/>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（一）基金份额销售机构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1、直销机构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本基金直销机构为本公司直销柜台以及本公司的网上直销交易平台（网站及APP，下同）。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机构名称：交银施罗德基金管理有限公司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电话：（021）61055724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联系人：傅鲸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客户服务电话：400-700-5000（免长途话费），（021）61055000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个人投资者可以通过基金管理人网上直销交易平台办理开户、本基金的申购、赎回、定期定额投资、转换等业务，具体交易细则请参阅基金管理人网站。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网上直销交易平台网址：www. 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2、场内代销机构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具有基金代销资格的上海证券交易所场内会员单位（具体名单见基金份额发售公告）。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3、场外代销机构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（1）名称：中国建设银行股份有限公司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住所：北京市西城区金融大街25号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办公地址：北京市西城区金融大街25号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法定代表人：田国立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电话：（010）66275654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传真：（010）66275654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网址：www.ccb.com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（2）名称：中国工商银行股份有限公司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住所：北京市复兴门内大街55号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办公地址：北京市复兴门内大街55号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法定代表人：易会满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网址：www.icbc.com.cn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（3）名称：华夏银行股份有限公司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住所：北京市东城区建国门内大街22号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办公地址：北京市东城区建国门内大街22号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法定代表人：李民吉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网址：www.hxb.com.cn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（4）名称：北京银行股份有限公司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住所：北京市西城区金融大街甲17号首层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办公地址：北京市西城区金融大街甲17号首层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法定代表人：张东宁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传真：（010）66226045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联系人：孔超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客户服务电话：95526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网址：www.bankofbeijing.com.cn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（5）名称：宁波银行股份有限公司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住所：宁波市江东区中山东路294号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法定代表人：陆华裕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电话：（021）63586210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传真：（021）63586215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联系人：胡技勋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客户服务电话：96528（上海地区962528）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网址：www.nbcb.com.cn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（6）名称：中国民生银行股份有限公司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住所：北京市西城区复兴门内大街2号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法定代表人：洪崎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电话：（010）58560666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传真：（010）57092611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联系人：许野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95568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网址：www.cmbc.com.cn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（7）名称：中国农业银行股份有限公司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联系电话：010-66060069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传真：010-68121816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联系人：贺倩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网址：www.abchina.com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（8）名称：上海银行股份有限公司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住所：上海市银城中路168号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办公地址：上海市银城中路168号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法定代表人：金煜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电话：（021）68475888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传真：（021）68476111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客户服务电话：（021）962888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网址：www.bankofshanghai.com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（9）名称：招商银行股份有限公司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住所：深圳市福田区深南大道7088号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办公地址：深圳市福田区深南大道7088号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法定代表人：李建红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电话：（0755）83198888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传真：（0755）83195109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联系人：邓炯鹏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网址：www.cmbchina.com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（10）名称：交通银行股份有限公司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住所：上海市浦东新区银城中路188号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办公地址：上海市浦东新区银城中路188号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法定代表人：彭纯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电话：（021）58781234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传真：（021）58408483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联系人：曹榕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网址：www.bankcomm.com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（11）名称：中信银行股份有限公司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住所：北京市东城区朝阳门北大街9号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办公地址：北京市东城区朝阳门北大街9号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法定代表人：李庆萍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电话：（010）89936330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传真：（010）85230024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联系人：丰靖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网址：bank.ecitic.com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（12）名称：东莞农村商业银行股份有限公司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住所：东莞市东城区鸿福东路2号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办公地址：东莞市东城区鸿福东路2号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法定代表人：王耀球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电话：（0769）22866254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传真：（0769）22866282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联系人：林培珊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客户服务电话：（0769）961122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网址：www.drcbank.com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（13）名称：江苏常熟农村商业银行股份有限公司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住所：江苏省常熟市新世纪大道58号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办公地址：江苏省常熟市新世纪大道58号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法定代表人：宋建明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联系电话：（0512）52909128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传真：（0512）52909122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联系人：黄晓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客户服务电话：962000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网址：www.csrcbank.com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（14）名称：江苏江南农村商业银行股份有限公司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住所：江苏省常州市和平中路413号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办公地址：江苏省常州市和平中路413号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法定代表人：陆向阳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电话：0519-80585939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传真：0519-89995170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联系人：蒋姣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客户服务电话：96005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网址：http://www.jnbank.com.cn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（15）名称：海通证券股份有限公司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住所：上海市淮海中路98号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办公地址：上海市广东路689号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法定代表人：王开国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电话：（021）23219000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传真：（021）23219100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联系人：李笑鸣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客户服务电话：95553或拨打各城市营业网点咨询电话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网址：www.htsec.com"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（16）名称：红塔证券股份有限公司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住所：云南省昆明市北京路155号附1号红塔大厦9楼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办公地址：云南省昆明市北京路155号附1号红塔大厦9楼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法定代表人：况雨林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客户服务电话：0871-3577888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网址：www.hongtastock.com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（17）名称：申万宏源证券有限公司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住所：上海市徐汇区长乐路989号世纪商贸广场45层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办公地址：上海市徐汇区长乐路989号世纪商贸广场45层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法定代表人：杨玉成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电话：（021）33389888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联系人：李清怡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客户服务电话：95523或4008895523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网址：www.sywg.com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（18）名称：联讯证券股份有限公司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惠州市江北东江三路55号广播电视新闻中心西面一层大堂和三、四层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办公地址：惠州市江北东江三路55号广播电视新闻中心西面一层大堂和三、四层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法定代表人：徐刚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电话：（021）33606736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传真：（021）33606760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联系人：陈思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客户服务电话：95564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网址：www.lxzq.com.cn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（19）名称：华西证券股份有限公司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住所：四川省成都市高新区天府二街198号华西证券大厦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办公地址：四川省成都市高新区天府二街198号华西证券大厦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法定代表人：杨炯洋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电话：（028）86135991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传真：（028）86150400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联系人：周志茹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客户服务电话：95584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网址：www.hx168.com.cn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（20）名称：平安证券股份有限公司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住所：深圳市福田区金田路大中华国际交易广场裙楼8楼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办公地址：深圳市福田区金田路大中华国际交易广场裙楼8楼(518048)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法定代表人：杨宇翔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电话：（0755）22627802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传真：（0755）82400862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联系人：郑舒丽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网址：www.pingan.com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（21）名称：北京钱景财富投资管理有限公司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住所：北京市海淀区丹棱街6幢1号9层1008-1012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办公地址：北京市海淀区丹棱街6幢1号9层1008-1012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法定代表人：赵荣春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电话：（010）57418829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传真：（010）57569671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魏争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400-678-5095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网址：www.niuji.net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（22）名称：上海大智慧基金销售有限公司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住所：上海市浦东新区杨高南路428号1号楼10-11层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办公地址：上海市浦东新区杨高南路428号1号楼10-11层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法定代表人：申健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电话：021-0219988-35374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传真：021-20219923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客户服务电话：021-20292031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网址：https://www.wg.com.cn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（23）名称：上海利得基金销售有限公司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上海浦东新区峨山路91弄61号陆家嘴软件园10号楼12楼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办公地址：上海浦东新区峨山路91弄61号陆家嘴软件园10号楼12楼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法定代表人：沈继伟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电话：021-50583533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传真：021-50583633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徐鹏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客服电话：400-005-6355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网址：a.leadfund.com.cn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（24）名称：上海凯石财富基金销售有限公司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住所：上海市黄浦区西藏南路765号602-115室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办公地址：上海市黄浦区延安东路1号凯石大厦4楼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法定代表人：陈继武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电话：021-63333319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传真：021-63332523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联系人：李晓明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客服电话：4000 178 000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网址：www.lingxianfund.com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（25）名称：北京虹点基金销售有限公司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住所：北京市朝阳区工人体育场北路甲2号裙房2层222单元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办公地址：北京市朝阳区工人体育场北路甲2号裙房2层222单元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法定代表人：胡伟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电话：（010）65951887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传真：（010）65951887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联系人：姜颖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客户服务电话：400-618-0707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网址：www.hongdianfund.com/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（26）名称：诺亚正行(上海)基金销售投资顾问有限公司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住所：上海市虹口区飞虹路360弄9号3724室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办公地址：上海杨浦区秦皇岛路32号C栋 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法定代表人：汪静波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电话：（021）38600735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传真：（021）38509777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联系人：方成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客户服务电话：400-821-5399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网址：www.noah-fund.com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（27）名称：上海好买基金销售有限公司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住所：上海市虹口区场中路685弄37号4号楼449室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办公地址：上海市浦东新区浦东南路1118号鄂尔多斯国际大厦903-906室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法定代表人：杨文斌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传真：（021）68596916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联系人：薛年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客户服务电话：400-700-9665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网址：www.ehowbuy.com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（28）名称：上海长量基金销售投资顾问有限公司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住所：上海市浦东新区高翔路526号2幢220室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办公地址：上海市浦东新区浦东大道555号裕景国际B座16层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法定代表人：张跃伟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电话：（021）20691832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传真：（021）20691861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联系人：单丙烨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客户服务电话：400-820-2899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网址：www.erichfund.com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（29）名称：深圳众禄基金销售有限公司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住所：深圳市罗湖区梨园路物资控股置地大厦8楼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办公地址：深圳市罗湖区梨园路物资控股置地大厦8楼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法定代表人：薛峰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电话：（0755）33227953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传真：（0755）33227951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联系人：汤素娅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客户服务电话：4006-788-887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网址：www.zlfund.cn，www.jjmmw.com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（30）名称：蚂蚁（杭州）基金销售有限公司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住所：杭州市余杭区仓前街道海曙路东2号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办公地址：浙江省杭州市滨江区江南大道3588号恒生大厦12楼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法定代表人：陈柏青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电话：（0571）28829790，（021）60897869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传真：（0571）26698533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联系人：周嬿旻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客户服务电话：4000-766-123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网址：www.fund123.cn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（31）名称：深圳市新兰德证券投资咨询有限公司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住所：深圳市福田区华强北路赛格科技园4栋10层1006#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办公地址：北京市西城区金融大街35号国际企业大厦C座9层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电话：（010）58325395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传真：（010）58325282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联系人：刘宝文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客户服务电话：400-850-7771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网址：http://8.jrj.com.cn/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（32）名称：北京展恒基金销售股份有限公司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住所：北京市顺义区后沙峪镇安富街6号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办公地址：北京市朝阳区安苑路15-1号邮电新闻大厦2层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法定代表人：闫振杰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电话：（010）59601366-7024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传真：（010）62020355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马林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客户服务电话：400-888-6661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网址：www.myfund.com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（33）名称：一路财富（北京）信息科技有限公司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住所：北京市西城区车公庄大街9号五栋大楼C座702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办公地址：北京西城区阜成门大街2号万通新世界广场A座22层2208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吴雪秀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电话：010-88312877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传真：010-88312099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苏昊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客户服务电话：400-001-1566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网址：http://www.yilucaifu.com/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（34）名称：和讯信息科技有限公司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住所：北京市朝阳区朝外大街22号泛利大厦10层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办公地址：北京市朝阳区朝外大街22号泛利大厦10层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电话：（021）20835789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传真：（021）20835879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客户服务电话：4009200022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网址：http://licaike.hexun.com/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（35）名称：上海天天基金销售有限公司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住所：上海市徐汇区龙田路190号2号楼2层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办公地址：上海市徐汇区龙田路195号3C座10楼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法定代表人：其实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电话：（021）54509998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传真：（021）64385308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联系人：潘世友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客户服务电话：400-1818-188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网址：www.1234567.com.cn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（36）名称：上海联泰资产管理有限公司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住所：中国（上海）自由贸易试验区富特北路277号3层310室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办公地址：上海市长宁区福泉北路518号8座3楼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法定代表人：燕斌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电话：021-52822063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传真：021-52975270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联系人：凌秋艳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客户服务电话：4000-466-788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网址：www.66zichan.com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（37）名称：珠海盈米财富管理有限公司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住所：珠海市横琴新区宝华路6号105室-3491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办公地址：广州市海珠区琶洲大道东1号保利国际广场南塔12楼B1201-1203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法定代表人：肖雯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电话：（020）89629099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传真：（020）89629011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联系人：黄敏嫦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客户服务电话：（020）89629066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网址：www.yingmi.cn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（38）名称：上海基煜基金销售有限公司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上海市崇明县长兴镇路潘园公路1800号2号楼6153室（上海泰和经济发展区）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办公地址：上海市昆明路518号北美广场A1002-A1003室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电话：（021）35385521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传真：（021）55085991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联系人：蓝杰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客户服务电话：400-820-5369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网址：www.jiyufund.com.cn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（39）名称：宜信普泽投资顾问（北京）有限公司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住所：北京市朝阳区建国路88号9号楼15层1809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办公地址：北京市朝阳区建国路88号SOHO现代城C座1809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法定代表人：沈伟桦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电话：010-52855713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传真：010-85894285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联系人：程刚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客户服务电话：400-6099-200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网址：www.yixinfund.com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（40）名称：中国国际金融股份有限公司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住所：北京建国门外大街1号国贸大厦2座27层及28层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办公地址：北京建国门外大街1号国贸大厦2座27层及28层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法定代表人：毕明建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电话：（010）65051166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传真：（010）85679203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联系人：杨涵宇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网址：www.cicc.com.cn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（41）名称：浙江同花顺基金销售有限公司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住所：浙江省杭州市文二西路1号元茂大厦903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办公地址：浙江省杭州市西湖区翠柏路7号电子商务产业园2号楼 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法定代表人：凌顺平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电话：（0571）88911818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传真：（0571）86800423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联系人：吴强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客户服务电话：400-877-3772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网址：www.5ifund.com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（42）名称：中信期货有限公司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住所：深圳市福田区中心三路8号卓越时代广场（二期）北座13层1301-1305室、14层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办公地址：深圳市福田区中心三路8号卓越时代广场（二期）北座13层1301-1305室、14层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电话：010-60833754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传真：021-60819988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联系人：刘宏莹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客服电话：400-990-8826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网站：www.citicsf.com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（43）名称：上海陆金所资产管理有限公司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住所：上海市浦东新区陆家嘴环路1333号14楼09单元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办公地址：上海市浦东新区陆家嘴环路1333号14楼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法定代表人：郭坚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电话：（021）20665952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传真：（021）22066653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联系人：宁博宇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客户服务电话：4008219031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网址：www.lufunds.com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（44）名称：北京恒天明泽基金销售有限公司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住所：北京市经济技术开发区宏达北路10号五层5122室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办公地址：北京市朝阳区东三环北路甲19号SOHO嘉盛中心30层3001室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电话：（010）56642600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传真：（010）56642623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客户服务电话：4007868868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网址：www.chtfund.com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（45）名称：北京汇成基金销售有限公司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住所：北京市海淀区中关村大街11号11层1108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办公地址：北京市海淀区中关村大街11号11层1108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法定代表人：王伟刚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电话：（010）56282140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传真：（010）62680827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联系人：丁向坤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客户服务电话：400-619-9059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网址：www.fundzone.cn、www.51jijinhui.com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（46）名称：奕丰基金销售有限公司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办公地址：深圳市南山区海德三路海岸大厦A座17楼1704室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法定代表人：TEO WEE HOWE</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电话：（0755）89460500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传真：（0755）21674453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联系人：叶健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客户服务电话：400-684-0500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网址：www.ifastps.com.cn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（47）名称：北京创金启富投资管理有限公司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北京市西城区民丰胡同31号中水大厦215A</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办公地址：北京市西城区白纸坊东街2号经济日报社A综合楼712室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法定代表人：梁蓉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电话：（010）66154828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传真：（010）63583991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联系人：李婷婷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客户服务电话：400-6262-818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www.5irich.com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（48）名称：上海云湾投资管理有限公司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住所：中国（上海）自由贸易试验区新金桥路27号13号楼2层，200127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办公地址：上海市锦康路308号6号楼6层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法定代表人：戴新装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电话：（021）20538888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传真：（021）20538999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联系人：江辉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客户服务电话：400-820-1515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网址：www.zhengtongfunds.com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（49）名称：中证金牛（北京）投资咨询有限公司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北京市丰台区东管头1号2号楼2-45室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北京市西城区宣武门外大街甲一号环球财讯中心A座5层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钱昊旻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电话：（010）59336533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传真：（010）59336500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孟汉霄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客户服务电话：4008-909-998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www.jnlc.com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（50）名称：北京新浪仓石基金销售有限公司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住所：北京市海淀区东北旺西路中关村软件园二期(西扩)N-1、N-2地块新浪总部科研楼5层518室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法定代表人：李昭琛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电话：（010）60619607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传真：8610-62676582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联系人：付文红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客户服务电话：（010）62675369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网址：www.xincai.com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（51）名称：北京肯特瑞基金销售有限公司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北京市海淀区西三旗建材城中路12号17号平房157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办公地址：北京市通州区亦庄经济技术开发区科创十一街18号院京东集团总部A座15层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法定代表人：王苏宁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电话：95118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传真：010-89189566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客服热线：95118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网址：kenterui.jd.com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（52）名称：北京蛋卷基金销售有限公司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住所：北京市朝阳区阜通东大街1号院6号楼2单元21层222507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办公地址：北京市朝阳区创远路 34 号院融新科技中心 C 座 17 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法定代表人：钟斐斐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电话：（010）61840688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传真：（010）84997571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联系人：侯芳芳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客户服务电话：400-1599-288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网址：https://danjuanapp.com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（53）名称：凤凰金信（银川）投资管理有限公司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住所：宁夏回族自治区银川市金凤区阅海湾中央商务区万寿路142号14层1402(750000)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办公地址：北京市朝阳区紫月路18号院朝来高科技产业园18号楼 (100000)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法定代表人：程刚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电话：（010）58160168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传真：（010）58160173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客户服务电话：400-810-5919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网址：www.fengfd.com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（54）名称：深圳市金斧子基金销售有限公司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住所：深圳市南山区粤海街道科苑路16号东方科技大厦18楼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办公地址：深圳市南山区粤海街道科苑路科兴科学园B3单元7楼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法定代表人：赖任军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电话：（0755）66892301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传真：（0755）66892399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客户服务电话：400-9500-888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网址：www.jfzinv.com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（55）名称：格上富信投资顾问有限公司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住所：北京市朝阳区东三环北路19号楼701内09室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办公地址：北京市朝阳区东三环北路19号楼701内09室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法定代表人：李悦章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电话：（010）85594745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传真：（010）65983333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客户服务电话：400-066-8586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网址：www.igesafe.com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（56）名称：上海万得基金销售有限公司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住所：中国（上海）自由贸易试验区福山路33号11楼B座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办公地址：上海市浦东新区福山路33号9楼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王廷富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电话：021-50712782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传真：021-50710161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徐亚丹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客户服务电话：400-821-0203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www.520fund.com.cn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（57）名称：天津万家财富资产管理有限公司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住所：天津自贸区（中心商务区）迎宾大道1988号滨海浙商大厦公寓2-2413室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办公地址：北京市西城区丰盛胡同28号太平洋保险大厦5层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法定代表人：李修辞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电话：（010）59013828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传真：（010）59013707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联系人：王芳芳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客户服务电话：010-59013842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网址：http://www.wanjiawealth.com/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（58）名称：上海挖财金融信息服务有限公司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住所：中国（上海）自由贸易试验区杨高南路799号5层01、02、03室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办公地址：中国（上海）自由贸易试验区杨高南路799号5层01、02、03室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胡燕亮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电话：（021）50810687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传真：（021）58300279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李娟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客户服务电话：（021）50810673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网址：www.wacaijijin.com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（59）名称：嘉实财富管理有限公司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住所：上海市浦东新区世纪大道8号上海国金中心办公楼二期53层5312-15单元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办公地址：北京市朝阳区建国路91号金地中心A座6层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赵学军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电话：（021）38789658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传真：（021）68880023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王宫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客户服务电话：400-021-8850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www.harvestwm.cn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（60）名称：南京苏宁基金销售有限公司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住所：南京市玄武区苏宁大道1-5号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办公地址：南京市玄武区苏宁大道1-5号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电话：025-66996699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传真：025-66996699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冯鹏鹏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客户服务电话：95177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www.snjijin.com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（61）名称：北京百度百盈基金销售有限公司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住所：北京市海淀区上地十街10号1幢1层101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北京市海淀区信息路甲9号奎科大厦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张旭阳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电话：010-61952703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传真：010-61951007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联系人：霍博华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www.baiyingfund.com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（62）名称：北京唐鼎耀华投资咨询有限公司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住所：北京市延庆县延庆经济开发区百泉街10号2栋236室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办公地址：北京市朝阳区东三环北路38号院1号泰康金融中心38层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法定代表人：张冠宇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电话：（010）85870662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传真：（010）59200800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刘美薇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客户服务电话：400-819-9868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网址：www.tdyhfund.com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（63）名称：上海华夏财富投资管理有限公司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住所：上海市虹口区东大名路687号1幢2楼268室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北京市西城区金融大街33号通泰大厦B座8层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毛淮平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电话：010-88066632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传真：010-63136184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张静怡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客户服务电话：400-817-5666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www.amcfortune.com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（64）名称：江苏汇林保大基金销售有限公司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住所：南京市高淳区经济开发区古檀大道47号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办公地址：江苏省南京市鼓楼区中山北路105号中环国际1413室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吴言林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电话：025-66046166转837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传真：025-56663409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孙平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客户服务电话：025-66046166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www.huilinbd.com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（65）名称：玄元保险代理有限公司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住所：中国(上海)自由贸易试验区张杨路707号1105室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办公地址：中国(上海)自由贸易试验区张杨路707号1105室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法定代表人：马永谙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电话：（021）50701053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传真：（021）50701053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客户服务电话：400-080-8208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网址：www.licaimofang.cn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（66）名称：阳光人寿保险股份有限公司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住所：海南省三亚市迎宾路360-1号三亚阳光金融广场16层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办公地址：北京市朝阳区朝阳门外大街乙12号院1号昆泰国际大厦12层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电话：（010）85632771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传真：（010）85632773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联系人：王超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网址：http://fund.sinosig.com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（67）名称：大连网金基金销售有限公司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 辽宁省大连市沙河口区体坛路22号诺德大厦2层202室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 辽宁省大连市沙河口区体坛路22号诺德大厦2层202室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樊怀东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电话：（0411-39027810）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传真：（0411-39027835）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 于秀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4000-899-100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网址：http://www.yibaijin.com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基金管理人可根据有关法律法规的要求，选择其它符合要求的机构代理销售本基金，并在管理人网站公示。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（二）登记机构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名称：中国证券登记结算有限责任公司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电话：（010）50938782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传真：（010）50938907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联系人：赵亦清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（三）出具法律意见书的律师事务所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名称：上海市通力律师事务所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负责人：韩炯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电话：（021）31358666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传真：（021）31358600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联系人：黎明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经办律师：吕红、黎明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（四）审计基金财产的会计师事务所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名称：普华永道中天会计师事务所(特殊普通合伙）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住所：上海市浦东新区陆家嘴环路1318号星展银行大厦6楼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办公地址：上海市湖滨路202号普华永道中心11楼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执行事务合伙人：李丹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联系电话：（021）23238888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传真：（021）23238800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联系人：朱宏宇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经办注册会计师：童咏静、朱宏宇</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54104410"/>
      <w:r>
        <w:rPr>
          <w:rFonts w:ascii="Times New Roman" w:hAnsi="Times New Roman"/>
          <w:sz w:val="30"/>
        </w:rPr>
        <w:t>六、基金的募集</w:t>
      </w:r>
      <w:bookmarkEnd w:id="8"/>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（一）本基金的募集情况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本基金由基金管理人依照《基金法》、《运作办法》、基金合同及其他有关规定，并经中国证监会证监许可[2011]967号文核准募集发售。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本基金为契约型开放式ETF联接基金。基金存续期间为不定期。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本基金募集期间基金份额净值为人民币1.00元，按初始面值发售。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本基金的募集期限不超过3个月，自基金份额开始发售之日起计算。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本基金自2011年8月29日至2011年9月23日止进行发售。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本基金设立募集期共募集374,322,437.11份基金份额，有效认购户数为5,973户。</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（二）本基金与目标ETF的差异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1、交易方式的差异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本基金为目标ETF的联接基金，投资者可以通过本基金的销售机构申购赎回本基金的基金份额。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目标ETF属于交易型开放式指数证券投资基金，投资者可以通过目标ETF的申购赎回代理券商申购赎回目标ETF的基金份额。此外，目标ETF符合上市条件申请上市成功后，投资者还可通过深圳证券交易所的交易系统在二级市场买卖目标ETF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2、申购赎回方式的差异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目标ETF的联接基金，属于开放式证券投资基金。投资者申购赎回本基金基金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目标ETF属于交易型开放式指数证券投资基金。投资者申购赎回目标ETF基金份额均采用实物申购赎回方式，申购和赎回均以份额申请。申购、赎回对价根据申购赎回清单和投资者申购、赎回的基金份额数额确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3、投资方法的差异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本基金为目标ETF的联接基金，属于开放式证券投资基金，以被动式的指数化投资管理方式，将90%以上的基金净资产投资于目标ETF，实现紧密跟踪标的指数的投资目标；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本基金的目标ETF属于交易型开放式指数证券投资基金，绝大部分资产采用完全复制法跟踪标的指数，以完全按照标的指数成份股组成及其权重构建基金股票投资组合为原则，进行被动式指数化投资。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4、业绩表现的差异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本基金为目标ETF的联接基金，将90%以上的基金净资产投资于目标ETF，以紧密跟踪标的指数，但不能保证本基金的表现与目标ETF的表现完全一致，产生业绩表现差异的原因包括以下几个方面：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（1）本基金基金份额的赎回采用现金方式，为支付现金赎回款，相比目标ETF，本基金需要保留更多的现金资产；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（2）本基金基金份额的申购采用现金方式，在利用到账的申购资金投资目标ETF过程中，市场波动等原因会造成本基金与目标ETF表现的差异；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（3）本基金为应对投资者以现金方式申购赎回本基金基金份额而进行的证券交易需支付一定的手续费，此等费用将影响本基金相对于目标ETF的表现。</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54104411"/>
      <w:r>
        <w:rPr>
          <w:rFonts w:ascii="Times New Roman" w:hAnsi="Times New Roman"/>
          <w:sz w:val="30"/>
        </w:rPr>
        <w:t>七、基金合同的生效</w:t>
      </w:r>
      <w:bookmarkEnd w:id="9"/>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根据有关规定，本基金满足基金合同生效条件，基金合同已于2011年9月28日正式生效。自基金合同生效之日起，本基金管理人正式开始管理本基金。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的存续期内，基金份额持有人数量不满200人或者基金资产净值低于5000万元，基金管理人应当及时报告中国证监会；基金份额持有人数量连续20个工作日达不到200人，或连续20个工作日基金资产净值低于5000万元，基金管理人应当及时向中国证监会报告，说明出现上述情况的原因并提出解决方案。法律法规或监管机构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54104412"/>
      <w:r>
        <w:rPr>
          <w:rFonts w:ascii="Times New Roman" w:hAnsi="Times New Roman"/>
          <w:sz w:val="30"/>
        </w:rPr>
        <w:t>八、基金份额的申购与赎回</w:t>
      </w:r>
      <w:bookmarkEnd w:id="10"/>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（一）申购和赎回的场所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投资者可通过下述场所按照规定的方式进行申购或赎回：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1、直销机构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本基金直销机构为本公司以及本公司的网上直销交易平台。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电话：（021）61055724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传真：（021）61055054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联系人：傅鲸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客户服务电话：400-700-5000（免长途话费），（021）61055000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个人投资者可以通过本公司网上直销交易平台办理开户、本基金的申购、赎回、转换及定期定额投资等业务，具体交易细则请参阅本公司网站。网上直销交易平台网址：www.fund001.com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2、场内代销机构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本基金的场内代销机构为通过上海证券交易所交易系统办理相关业务的上海证券交易所会员单位，目前场内交易只支持前端收费模式下基金份额的申购。具体名单详见上海证券交易所网站。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3、场外代销机构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本基金的场外代销机构的代销网点请见本招募说明书“五、相关服务机构”章节或拨打本公司客户服务电话进行咨询。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投资者可通过上述场所按照规定的方式进行申购或赎回。本基金管理人可根据情况变更或增减基金代销机构，并在管理人网站公示。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（二）申购和赎回的开放日及时间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1、开放日及开放时间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2、申购的开始日及业务办理时间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本基金已于2011年10月24日起开放场内、场外申购业务。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3、赎回的开始日及业务办理时间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本基金已于2011年10月24日起开放场内、场外赎回业务。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（三）申购和赎回的原则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1、“未知价”原则，即基金份额的申购与赎回价格以申请当日收市后计算的基金份额净值为基准进行计算；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2、基金采用金额申购和份额赎回的原则，即申购以金额申请，赎回以份额申请；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4、当日的申购与赎回申请可以在基金管理人规定的时间以内撤销；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5、基金管理人在不损害基金份额持有人权益的情况下可更改上述原则，但最迟应在新的原则实施前依照有关规定在指定媒介上公告。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（四）申购和赎回的数额限定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1、申购金额的限制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场外申购时，场外代销网点每个账户单笔申购的最低金额为单笔1元，如果代销机构业务规则规定的最低单笔申购金额高于1元，以代销机构的规定为准。场内申购时，每笔申购金额最低为1000元人民币，同时每笔申购必须是100元的整数倍，并且单笔申购最高不超过99,999,900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直销机构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元。本基金直销中心单笔申购最低金额可由基金管理人酌情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2、赎回份额的限制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场外赎回的最低份额为单笔1份基金份额，如果其他销售机构业务规则规定的单笔最低赎回份额高于1份，以该销售机构的规定为准。场内赎回时，赎回的最低份额为50份基金份额，同时赎回份额必须是整数份额，并且单笔赎回最多不超过99,999,999份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3、最低保留余额的限制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5、基金管理人可根据市场情况，在法律法规允许的情况下，调整上述规定的数量或比例限制，基金管理人必须在调整前依照《信息披露办法》的有关规定在指定的媒体上公告并报中国证监会备案。</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（五）申购和赎回的程序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1、申购和赎回的申请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基金投资者必须根据销售机构规定的程序，在开放日的具体业务办理时间内提出申购或赎回的申请。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基金投资者在提交申购申请时须按销售机构规定的方式备足申购资金，基金投资者在提交赎回申请时须持有足够的基金份额余额，否则所提交的申购、赎回申请无效而不予成交。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2、申购和赎回申请的确认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 日规定时间受理的申请，正常情况下，注册登记机构在T+1 日内（包括该日）为投资者对该交易的有效性进行确认，基金投资者应在T+2日后（包括该日）及时到销售网点柜台或以销售机构规定的其他方式查询申请的确认情况。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基金管理人可以在法律法规允许的范围内，依法对上述申购和赎回申请的确认时间进行调整，并必须在调整实施日前按照《信息披露办法》的有关规定在指定媒介上公告。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销售机构对申购、赎回申请的受理并不代表该申请一定成功，而仅代表销售机构确实接收到申购、赎回申请。申购、赎回申请的确认以注册登记机构的确认结果为准。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3、申购和赎回的款项支付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申购采用全额缴款方式，若申购资金在规定时间内未全额到账则申购不成功。若申购不成功或无效，基金管理人或基金管理人指定的代销机构将基金投资者已缴付的申购款项本金退还给投资者。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基金投资者赎回申请成功后，基金管理人将通过注册登记机构及其相关销售机构在T＋7日（包括该日）内将赎回款项划往基金份额持有人账户。在发生巨额赎回时，款项的支付办法参照本基金合同有关条款处理。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4、申购和赎回基金份额的份额注册登记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（1）投资者T 日申购基金成功后，正常情况下，注册登记机构在T＋1 日为投资者增加权益并办理注册登记手续，投资者自T＋2 日（包括该日）起有权赎回该部分基金份额。投资者应及时查询有关申请的确认情况。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（2）投资者T 日赎回基金成功后，正常情况下，基金注册登记机构在T＋1 日为投资者扣除权益并办理相应的注册登记手续。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（3）基金管理人可在法律法规允许的范围内，对上述注册登记办理时间进行调整，并最迟于开始实施前按照《信息披露办法》的有关规定在指定媒介上公告。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（六）基金的申购费和赎回费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本基金提供两种申购费用的支付模式。投资者可以选择前端收费模式，即在申购时支付申购费用；也可以选择后端收费模式，即在赎回时才支付相应的申购费用，该费用随基金份额的持有时间递减。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本基金的申购费用由基金申购人承担，不列入基金财产，主要用于本基金的市场推广、销售、注册登记等各项费用。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投资者可以多次申购本基金，申购费率按每笔申购申请单独计算。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本基金的申购费率如下：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1年以内（含）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1年—3年（含）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3年—5年（含）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因红利自动再投资而产生的基金份额，不收取相应的申购费用。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本基金自2013年4月11日起，对通过本公司直销柜台申购本基金前端基金份额的养老金客户实施特定申购费率。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通过本公司直销柜台申购本基金前端基金份额的养老金客户特定申购费率如下表：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特定申购费率（前端）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有关养老金客户实施特定申购费率的具体规定以及活动时间如有变化，敬请投资人留意本公司发布的相关公告。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赎回费用由基金赎回人承担，赎回费用的25%归基金财产，其余用于支付注册登记费和其他必要的手续费。其中，对持续持有期少于7日的基金份额持有人收取不低于1.5%的赎回费并全额计入基金财产。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7日（含）—1年（含）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1年—2年（含）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2年以上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3、基金管理人可以在履行相关手续后，在基金合同约定的范围内调整申购、赎回费率或调整收费方式，基金管理人于新的费率或收费方式实施日前依照《信息披露办法》的有关规定在指定媒介上公告。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4、对特定交易方式（如网上交易、电话交易等），基金管理人可以采用低于柜台交易方式的基金申购费率和基金赎回费率。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（七）申购和赎回的数额和价格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1、申购和赎回数额、余额的处理方式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份额余额的处理方式：申购的有效份额为按实际确认的申购金额在扣除相应的费用后，以当日基金份额净值为基准计算，场外申购份额计算结果保留到小数点后两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（2）赎回金额的处理方式：赎回金额为按实际确认的有效赎回份额乘以申请当日基金份额净值并扣除相应的费用，四舍五入保留到小数点后两位，由此误差产生的收益或损失由基金财产承担。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2、申购份额的计算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场外申购可以采取前端收费模式和后端收费模式，场内申购目前只支持前端收费模式。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（1）前端收费模式：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申购总金额=申请总金额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净申购金额=申购总金额/（1+申购费率）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（注：对于适用固定金额申购费用的申购，净申购金额＝申购总金额－固定申购费用金额）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申购费用=申购总金额-净申购金额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（注：对于适用固定金额申购费用的申购，申购费用＝固定申购费用金额）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申购份额=（申购总金额-申购费用）/ T日基金份额净值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场内申购金额的有效份额保留到整数位，剩余部分对应申购资金返还投资者。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例一：某投资者投资40,000元申购本基金，假设申购当日基金份额净值为1.040元，如果其选择前端收费方式，申购费率为1.5%，则其可得到的申购份额为：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申购总金额＝40,000元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净申购金额=40,000/（1+1.5%）=39,408.87元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申购费用=40,000-39,408.87=591.13元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申购份额=（40,000-591.13）/1.040=37,893.14份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如果投资者是场内申购，则申购份额为37,893 份，其余0.14 份对应金额返回给投资者。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（2）后端收费模式：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申购总金额=申请总金额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申购份额＝申购总金额/T日基金份额净值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当投资者提出赎回时，后端申购费用的计算方法为：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后端申购费用＝赎回份额×申购日基金份额净值×后端申购费率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例二：某投资者投资40,000元申购本基金，假设申购当日基金份额净值为1.040元，如果其选择后端收费方式，则其可得到的申购份额为：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申购份额＝40,000/1.040＝38,461.54份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即：投资者投资40,000元申购本基金，假设申购当日基金份额净值为1.040元，则可得到38,461.54份基金份额，但其在赎回时需根据其持有时间按对应的后端申购费率交纳后端申购费用。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3、赎回金额的计算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赎回金额为按实际确认的有效赎回份额乘以当日基金份额净值并扣除相应的费用，赎回金额单位为元，计算结果保留到小数点后两位，第三位四舍五入。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（1）如果投资者在认（申）购时选择交纳前端认（申）购费用，则赎回金额的计算方法如下：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赎回费用=赎回份额×T日基金份额净值×赎回费率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赎回金额=赎回份额×T日基金份额净值-赎回费用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例三：某投资者赎回通过前端认购（申购）持有的10,000份基金份额，对应的赎回费率为0.5%，假设赎回当日基金份额净值是1.016元，则其可得到的赎回金额为：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 = 10,000×1.016×0.5% ＝ 50.80元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 = 10,000×1.016-50.80 ＝ 10,109.20元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即：投资者赎回本基金10,000份基金份额，假设赎回当日基金份额净值是1.016元，则其可得到的赎回金额为10,109.20元。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（2）如果投资者在认（申）购时选择交纳后端认（申）购费用，则赎回金额的计算方法如下：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赎回总额＝赎回份额×T日基金份额净值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后端认（申）购费用＝赎回份额×认（申）购日基金份额净值×后端认（申）购费率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赎回费用＝赎回总额×赎回费率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赎回金额＝赎回总额－后端认（申）购费用－赎回费用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例四：某投资者赎回通过后端认购持有的10,000份基金份额，对应的后端认购费率为1.6%，赎回费率为0.5%，假设赎回当日基金份额净值是1.016元，则其可得到的赎回金额为：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后端认购费用 = 10,000×1.00×1.6% = 160.00元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 = 10,000×1.016×0.5% ＝ 50.80元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 = 10,000×1.016-160.00-50.80 ＝ 9,949.20元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即：投资者赎回通过后端认购所得本基金10,000份基金份额，假设赎回当日基金份额净值是1.016元，则其可得到的赎回金额为9,949.20元。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例五：某投资者赎回通过后端申购持有的10,000份基金份额，对应的后端申购费率为1.8%，赎回费率为0.5%，假设申购当日基金份额净值是1.010元，赎回当日基金份额净值是1.016元，则其可得到的赎回金额为：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后端申购费用 = 10,000×1.010×1.8% = 181.80元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赎回费用 = 10,000×1.016×0.5% ＝ 50.80元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赎回金额 = 10,000×1.016-181.80-50.80 ＝ 9,927.40元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即：投资者赎回通过后端申购所得本基金10,000份基金份额，假设申购当日基金份额净值是1.010元，赎回当日基金份额净值是1.016元，则其可得到的赎回金额为9,927.40元。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4、基金份额净值的计算公式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基金份额净值＝基金资产净值总额/发行在外的基金份额总数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本基金T日的基金份额净值在当天收市后计算，并在T＋1日公告。遇特殊情况，经中国证监会同意，可以适当延迟计算或公告。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（八）拒绝或暂停申购的情形及处理方式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发生下列情况时，基金管理人可拒绝或暂停接受基金投资者的申购申请：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1、因不可抗力导致基金无法正常运作或无法接受申购；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2、证券交易所交易时间非正常停市，导致基金管理人无法计算当日基金资产净值；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3、所投资的目标ETF暂停估值，导致基金管理人无法计算当日基金资产净值；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4、所投资的目标ETF暂停申购或二级市场交易停牌，基金管理人认为有必要暂停本基金申购的情形；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5、发生本基金合同规定的暂停基金资产估值情况；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6、基金管理人、基金托管人、基金销售机构或注册登记机构等因异常情况无法办理申购（上述异常情况包括但不限于系统故障、网络故障、通讯故障、电力故障、数据错误等）；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7、基金资产规模过大，使基金管理人无法找到合适的投资品种，或基金管理人认为会损害已有基金份额持有人利益的其他情形；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9、基金管理人认为会有损于现有基金份额持有人利益的某笔申购；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10、法律法规规定或中国证监会认定的其他情形。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除第9项以外的暂停申购情形且基金管理人决定暂停接受基金投资者的申购申请时，基金管理人应当根据有关规定在指定媒介上刊登暂停申购公告。如果基金投资者的申购申请被拒绝，被拒绝的申购款项将退还给投资者。在暂停申购的情况消除时，基金管理人应及时恢复申购业务的办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（九）暂停赎回或者延缓支付赎回款项的情形及处理方式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发生下列情形时，基金管理人可暂停接受基金投资者的赎回申请或延缓支付赎回款项：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1、因不可抗力导致基金管理人不能支付赎回款项；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2、证券交易所交易时间临时停市，导致基金管理人无法计算当日基金资产净值；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3、连续两个或两个以上开放日发生巨额赎回，导致本基金的现金支付出现困难；</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4、所投资的目标ETF暂停估值，导致基金管理人无法计算当日基金资产净值；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5、所投资的目标ETF暂停赎回或二级市场交易停牌，基金管理人认为有必要暂停本基金赎回的情形；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6、发生本基金合同规定的暂停基金资产估值情况；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7、基金管理人、基金托管人、基金销售机构或注册登记机构的技术保障等异常情况发生导致基金销售系统或基金注册登记系统或基金会计系统无法正常运行；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9、法律法规规定或中国证监会认定的其他情形。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情形且基金管理人决定暂停接受基金投资者的赎回申请或延缓支付赎回款项时，基金管理人应在当日向中国证监会备案，已成功确认的赎回申请，基金管理人应足额支付；如不能足额支付，可延期支付。若连续两个或两个以上开放日发生巨额赎回，延期支付最长不得超过20个工作日，并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出现上述第3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（十）巨额赎回的情形及处理方式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1、巨额赎回的认定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2、巨额赎回的处理方式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当基金出现巨额赎回时，基金管理人可以根据基金当时的资产组合状况决定全额赎回或部分顺延赎回。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（1）全额赎回：当基金管理人认为有能力支付基金投资者的赎回申请时，按正常赎回程序执行。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3、巨额赎回的公告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当发生巨额赎回并顺延赎回时，基金管理人应当通过邮寄、传真、刊登公告或者通知代销机构代为告知等方式在3个交易日内通知基金份额持有人，说明有关处理方法，并在2日内在指定媒介上刊登公告。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连续2日以上（含本数）发生巨额赎回，如基金管理人认为有必要，可暂停接受基金的赎回申请；已经确认成功的赎回申请可以延缓支付赎回款项，但不得超过20个工作日，并应当在指定媒介上进行公告。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（十一）暂停申购或赎回的公告和重新开放申购或赎回的公告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1、发生上述暂停申购或赎回情况的，基金管理人应在规定期限内在指定媒介上刊登暂停公告。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2、暂停结束，基金重新开放申购或赎回时，基金管理人应依照《信息披露管理办法》的有关规定，在指定媒介上刊登基金重新开放申购或赎回公告，并公告最近1个工作日的基金份额净值。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（十二）基金的非交易过户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指注册登记机构受理继承、捐赠、司法强制执行和经注册登记机构认可的其它情况而产生的非交易过户。无论在上述何种情况下，接受划转的主体必须是依法可以持有本基金基金份额的投资者。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（十三） 基金的转托管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如果基金管理人、注册登记机构、办理转托管的销售机构出现技术系统性能限制或出于其它合理原因，可以暂停该业务或者拒绝基金份额持有人的转托管申请。</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（十四）定期定额投资计划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12月7日刊登公告自2011年12月9日起开通定期定额投资计划业务，具体开通销售机构名单和业务规则参见相关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（十五）定期定额赎回业务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2011年12月7日刊登公告自2011年12月9日起在中国农业银行股份有限公司下属各代销网点开通定期定额赎回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（十六）其他情形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基金份额的冻结和解冻的业务，由注册登记机构办理。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来决定是否冻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当基金份额处于冻结状态时，注册登记机构或其他相关机构有权拒绝该部分基金份额的赎回、转出、非交易过户以及基金的转托管。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54104413"/>
      <w:r>
        <w:rPr>
          <w:rFonts w:ascii="Times New Roman" w:hAnsi="Times New Roman"/>
          <w:sz w:val="30"/>
        </w:rPr>
        <w:t>九、基金的转换</w:t>
      </w:r>
      <w:bookmarkEnd w:id="11"/>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（一）基金转换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（二）转换业务办理时间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本基金2011年12月7日刊登公告自2011年12月9日起开放日常转换业务。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本基金转换业务具体开通销售机构名单、可转换旗下基金范围参见相关公告。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（三）基金转换的程序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1、申请方式：书面申请或销售机构公布的其他方式。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2、基金转换申请的确认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正常情况下，T日规定时间受理的申请，注册登记机构在T＋1日内为投资人对该交易的有效性进行确认，在T＋2日后(包括该日)投资人可向销售机构查询转换的确认情况。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3、基金转换的注册登记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（四）基金转换的数额限制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本基金遵循“份额转换”的原则，单笔转换份额不得低于1份。基金持有人可将其全部或部分基金份额转换成其它基金，单笔转换申请不受转入基金最低申购限额限制。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（五）基金转换费用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1、每笔基金转换视为一笔赎回和一笔申购，基金转换费用相应由转出基金的赎回费用及转出、转入基金的申购补差费用构成。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2、转出基金的赎回费用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转出基金的赎回费用及归入基金财产的比例按照各基金最新的更新招募说明书及相关公告规定的赎回费率和计费方式收取。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3、前端收费模式下转出与转入基金的申购补差费用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4、后端收费模式下转出与转入基金的申购补差费用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5、网上直销的申购补差费率优惠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具体转换费率水平请参见本基金管理人网站（www.fund001.com）列示的相关转换费率表或相关公告。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6、基金管理人可以根据法律法规及基金合同的规定对上述收费方式和费率进行调整，并应于调整后的收费方式和费率在实施前依照《信息披露办法》的有关规定在中国证监会指定媒介上公告。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（六）基金转换份额的计算公式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1、前端收费模式下基金转换份额的计算公式及举例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转出确认金额=转出的基金份额×转换申请当日转出基金的基金份额净值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转出基金的赎回费=转出确认金额×对应的转出基金的赎回费率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转入确认金额=转出确认金额-转出基金的赎回费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转出与转入基金的申购补差费=转入确认金额×对应的转出与转入基金的申购补差费率/（1+对应的转出与转入基金的申购补差费率）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（注：对于适用固定金额申购补差费用的，转出与转入基金的申购补差费＝固定金额的申购补差费）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转出确认金额=100,000×1.010=101,000元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转出基金的赎回费=101,000×0.5%=505元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转入确认金额=101,000-505=100,495元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转出与转入基金的申购补差费=100,495×0/（1+0）=0元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转入基金确认份额=（100,495-0）/2.2700=44,270.93份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转出确认金额=1,000,000×1.0200=1,020,000元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转出基金的赎回费=1,020,000×0.05%=510元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转入确认金额=1,020,000-510=1,019,490元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转出与转入基金的申购补差费=1,019,490×0.5%/（1+0.5%）=5,072.09元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转入基金确认份额=（1,019,490-5,072.09）/1.010=1,004,374.17份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转出与转入基金的申购补差费=125,000×1.5%/（1+1.5%）=1,847.29元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转入基金确认份额=（125,000-1,847.29）/2.2700=54,252.30份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转入确认金额=100,000-0=100,000元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转出与转入基金的申购补差费=100,000×0.8%/（1+0.8%）=793.65元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转入基金确认份额=（100,000-793.65+61.52）/1.2700=78,163.68份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2、后端收费模式下基金转换份额的计算公式及举例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转出确认金额=转出的基金份额×转换申请当日转出基金的基金份额净值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转出基金的赎回费=转出确认金额×对应的转出基金的赎回费率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转入确认金额=转出确认金额-转出基金的赎回费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转出与转入基金的申购补差费=转入确认金额×对应的转出与转入基金的申购补差费率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转入基金确认份额=（转入确认金额-转出与转入基金的申购补差费+A）/转换申请当日转入基金的基金份额净值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A为货币市场基金转出的基金份额按比例结转的账户当前累计待支付收益（仅限转出基金为货币市场基金的情形，否则A为0）。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转出基金的赎回费=125,000×0.2%=250元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转入确认金额=125,000-250=124,750元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转出与转入基金的申购补差费=124,750×0=0元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转入基金确认份额=（124,750-0）/2.2700=54,955.95份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转出确认金额=100,000×1.250=125,000元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转出基金的赎回费=125,000×0.2%=250元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转入确认金额=125,000-250=124,750元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转出与转入基金的申购补差费=124,750×1.2%=1497元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转入基金确认份额=（124,750-1497）/1.00=123,253.00份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转出确认金额=100,000×0.850=85,000元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转出基金的赎回费=85,000×0=0元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转入确认金额=85,000-0=85,000元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转出与转入基金的申购补差费=85,000×0.2%=170元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转入基金确认份额=（85,000-170）/1.0500=80,790.48份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转出确认金额=100,000×1.00=100,000元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转出基金的赎回费=0元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转入确认金额=100,000-0=100,000元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转出与转入基金的申购补差费=100,000×0=0元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转入基金确认份额=（100,000-0+61.52）/1.2700=78,788.60份</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3、基金转换采取未知价法，即基金的转换价格以申请受理当日各转出、转入基金的基金份额净值为基础进行计算。（货币市场基金的基金份额净值为固定价1.00元）。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5、转换后，转入基金份额的持有时间将重新计算，即转入基金份额的持有期将自转入基金份额被确认日起重新开始计算。</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（八）暂停基金转换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54104414"/>
      <w:r>
        <w:rPr>
          <w:rFonts w:ascii="Times New Roman" w:hAnsi="Times New Roman"/>
          <w:sz w:val="30"/>
        </w:rPr>
        <w:t>十、基金的投资</w:t>
      </w:r>
      <w:bookmarkEnd w:id="1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紧密跟踪标的指数，追求跟踪偏离度与跟踪误差最小化。</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标的指数即目标ETF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本基金按照基金合同的约定通过适当程序变更目标ETF时，标的指数应相应变更。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鉴于本基金与目标ETF的相关性，若目标ETF变更标的指数，本基金的标的指数应相应变更。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（三）投资理念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遵循指数化投资理念，指数化投资具有低成本、管理透明及分散化程度高等优点，能稳定地获得与标的指数相近的回报。本基金遵循指数化投资理念，以目标ETF为主要投资对象，力求帮助投资者以较低的成本获取与标的指数和目标ETF相似的收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本基金以目标ETF、标的指数成份股、备选成份股为主要投资对象（含中小板股票和创业板股票及其他经中国证监会核准的上市股票</w:t>
      </w:r>
      <w:r>
        <w:rPr>
          <w:rFonts w:hint="eastAsia" w:ascii="Times New Roman" w:hAnsi="Times New Roman"/>
          <w:sz w:val="24"/>
        </w:rPr>
        <w:t>、存托凭证</w:t>
      </w:r>
      <w:r>
        <w:rPr>
          <w:rFonts w:ascii="Times New Roman" w:hAnsi="Times New Roman"/>
          <w:sz w:val="24"/>
        </w:rPr>
        <w:t>），把全部或接近全部的基金资产用于跟踪标的指数的表现，正常情况下投资于目标ETF的资产比例不低于基金资产净值的90%，基金持有的现金及到期日在一年以内的政府债券的投资比例合计不低于基金资产净值的5%，其中现金不包括结算备付金、存出保证金和应收申购款等。此外，为更好地实现投资目标，本基金也可少量投资于新股</w:t>
      </w:r>
      <w:r>
        <w:rPr>
          <w:rFonts w:hint="eastAsia" w:ascii="Times New Roman" w:hAnsi="Times New Roman"/>
          <w:sz w:val="24"/>
        </w:rPr>
        <w:t>（含存托凭证）</w:t>
      </w:r>
      <w:r>
        <w:rPr>
          <w:rFonts w:ascii="Times New Roman" w:hAnsi="Times New Roman"/>
          <w:sz w:val="24"/>
        </w:rPr>
        <w:t>、债券、回购、权证及中国证监会允许基金投资的其它金融工具（但须符合中国证监会的相关规定）。如法律法规或监管机构以后允许基金投资其它品种，基金管理人在履行适当程序后，可以将其纳入投资范围。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本基金投资目标ETF的方式以申购和赎回为主，但在目标ETF二级市场流动性较好的情况下，也可以通过二级市场交易买卖目标ETF，以降低成本、提高效率。</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本基金对于标的指数成份股和备选成份股部分的投资，主要采用完全复制法，按照标的指数成份股组成及其权重构建基金股票投资组合为原则，并根据标的指数成份股及其权重的变动而进行相应调整。但在因特殊情况（如法律法规限制、流动性不足等）导致无法获得足够数量的股票时，基金管理人将搭配使用其他合理方法进行适当的替代。</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本基金投资存托凭证的策略依照境内上市交易的股票投资策略执行。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有关法律法规、基金合同和标的指数的相关规定是基金管理人运用基金财产的决策依据。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2、决策和交易机制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本基金实行投资决策委员会领导下的基金经理负责制。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基金经理的主要职责是决定日常指数跟踪维护过程中的组合构建、调整决策，特别是对目标ETF份额的投资决策。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研究支持：量化投资部依托公司整体研究平台，整合外部信息以及券商等外部研究力量的研究成果开展指数跟踪、成份股公司行为等相关信息的搜集与分析、目标ETF申购赎回清单分析、目标ETF二级市场的流动性和折溢价分析、成分股流动性分析、误差及其归因分析等工作，以作为基金投资决策的重要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（2）投资决策：投资决策委员会定期召开或遇重大事项时召开投资决策会议，决策相关事项。基金经理根据投资决策委员会的决议，每日进行基金投资管理的日常决策。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（3）组合构建：根据标的指数情况，结合研究支持，基金经理构建以目标ETF为主的证券组合。在追求跟踪误差和偏离度最小化的前提下，基金经理将采取适当的方法，以降低买入成本、控制投资风险。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（4）交易执行：中央交易室负责具体的交易执行，同时履行一线监控的职责。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组合监控与调整：基金经理将跟踪目标ETF申购赎回清单特征、二级市场交易特征及标的指数变动，结合成份股基本面情况、成份股公司行为、流动性状况、基金申购和赎回的现金流量情况以及组合投资绩效评估的结果等，采取适当的跟踪技术对投资组合进行监控和调整，密切跟踪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基金管理人在确保基金份额持有人利益的前提下有权根据环境变化和实际需要对上述投资管理程序做出调整，并在基金招募说明书更新中公告。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本基金的特殊性，本基金将以全部或接近全部的基金资产投资于目标ETF。正常情况下本基金投资于目标ETF的比例不低于基金资产净值的90%。本基金将在基金合同生效之日起6个月内达到这一投资比例。此后，如因证券市场波动、上市公司合并、基金规模变动、标的指数成分股调整、基金申购或赎回带来现金等因素导致基金不符合这一投资比例的，基金管理人将在10个交易日内进行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1、投资组合的建立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基金管理人构建投资组合的过程主要分为两步：确定建仓策略和实施建仓策略。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（1）确定建仓策略：基金管理人综合考虑基金规模、目标ETF二级市场的流动性和折溢价，以及成份股流动性、公司行为、基本面等因素，确定合理的建仓策略。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（2）实施建仓策略：基金管理人在基金合同约定的期限内，基于建仓策略，根据当时的市场情况，采用适当的手段构建和调整投资组合直至达到本基金投资范围的要求。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2、日常投资组合管理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（1）对目标ETF二级市场流动性及折溢价进行跟踪与分析，适当制订目标ETF份额的申购赎回、二级市场买卖策略。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（2）跟踪本基金申购和赎回信息，分析其对组合的影响，并进行相应的流动性管理。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3、投资绩效评估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（1）每日，基金经理分析基金的跟踪偏离度。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（2）每月末，量化投资部对本基金的运行情况进行量化评估。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正常市场情况下，本基金日均跟踪偏离度的绝对值不超过0.3%，年跟踪误差不超过4%。在目标ETF日均跟踪偏离度符合其基金合同所设定目标的前提下，如因指数编制规则调整或其他因素导致跟踪偏离度和跟踪误差超过上述范围，基金管理人应采取合理措施力争避免跟踪偏离度、跟踪误差进一步扩大。</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 业绩比较基准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本基金的业绩比较基准为：标的指数收益率×95% ＋银行活期存款税后收益率×5%。</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rFonts w:ascii="Times New Roman" w:hAnsi="Times New Roman"/>
          <w:bCs/>
          <w:sz w:val="24"/>
        </w:rPr>
        <w:t>6</w:t>
      </w:r>
      <w:r>
        <w:rPr>
          <w:rFonts w:hint="eastAsia" w:ascii="Times New Roman" w:hAnsi="Times New Roman"/>
          <w:bCs/>
          <w:sz w:val="24"/>
        </w:rPr>
        <w:t>个月内召集基金份额持有人大会进行表决，基金份额持有人大会未成功召开或就上述事项表决未通过的，基金合同终止。</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 风险收益特征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属ETF联接基金，风险与预期收益高于混合基金、债券基金与货币市场基金。本基金为指数型基金，紧密跟踪标的指数，具有和标的指数所代表的股票市场相似的风险收益特征，相当于股票基金中风险较高，预期收益较高的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 投资限制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本基金的投资组合将遵循以下限制：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（1）进入全国银行间同业市场的债券回购融入的资金余额不得超过基金资产净值的40%。债券回购最长期限为1年，债券回购到期后不得展期；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（3）保持不低于基金资产净值5%的现金或者到期日在一年以内的政府债券，其中现金不包括结算备付金、存出保证金和应收申购款等；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（4）本基金投资权证，在任何交易日买入的总金额，不超过上一交易日基金资产净值的0.5%，基金持有的全部权证的市值不超过基金资产净值的 3%，本基金管理人管理的全部基金持有同一权证的比例不超过该权证的10%；法律法规或监管部门另有规定的，遵从其规定；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（6）本基金不得违反基金合同中有关投资范围、投资策略、投资比例的规定；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（8）本基金与私募类证券资管产品及中国证监会认定的其他主体为交易对手开展逆回购交易的，可接受质押品的资质要求应当与本基金合同约定的投资范围保持一致；</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（9）</w:t>
      </w:r>
      <w:r>
        <w:rPr>
          <w:rFonts w:hint="eastAsia" w:ascii="Times New Roman" w:hAnsi="Times New Roman"/>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（10）</w:t>
      </w:r>
      <w:r>
        <w:rPr>
          <w:rFonts w:ascii="Times New Roman" w:hAnsi="Times New Roman"/>
          <w:sz w:val="24"/>
        </w:rPr>
        <w:t>法律法规或监管部门对上述比例限制另有规定的，从其规定。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6个月内使基金的投资组合比例符合基金合同的约定。在符合相关法律法规规定的前提下，除上述第（3）、（7）、（8）项以外，因证券市场波动、上市公司合并、基金规模变动、标的指数成分股调整、基金申购或赎回带来现金等非本基金管理人的因素致使基金的投资组合不符合上述规定的投资比例的，基金管理人应当在10个交易日内进行调整。法律法规或监管部门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若法律法规或监管部门对上述约定的投资组合比例限制规定进行变更的，以变更后的规定为准。若法律法规或监管部门取消上述限制，履行适当程序后，本基金投资可不受上述规定限制。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 禁止行为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为维护基金份额持有人的合法权益，本基金禁止从事下列行为：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1、承销证券；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2、向他人贷款或者提供担保；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3、从事承担无限责任的投资；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4、买卖其他基金份额，但是法律法规或国务院另有规定和指定的目标ETF的除外；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5、向基金管理人、基金托管人出资或者买卖基金管理人、基金托管人发行的股票或者债券；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6、买卖与基金管理人、基金托管人有控股关系的股东或者与基金管理人、基金托管人有其他重大利害关系的公司发行的证券或者承销期内承销的证券，但指定的目标ETF除外；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7、从事内幕交易、操纵证券交易价格及其他不正当的证券交易活动；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8、依照法律法规有关规定，由中国证监会规定禁止的其他活动。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若法律法规或监管部门取消上述禁止性规定，履行适当程序后，本基金投资可不受上述规定限制。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 基金管理人代表基金行使股东及债权人权利的处理原则及方法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1、基金管理人按照国家有关规定代表基金独立行使股东和债权人权利，保护基金份额持有人的利益；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2、不谋求对上市公司的控股，不参与所投资上市公司的经营管理；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3、有利于基金财产的安全与增值；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4、不通过关联交易为自身、雇员、授权代理人或任何存在利害关系的第三人牟取任何不当利益。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（十二） 基金的融资、融券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本基金可以根据有关法律法规和政策的规定进行融资、融券。</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（十三）基金投资组合报告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本基金托管人中国农业银行根据本基金合同规定，于2020年7月20日复核了本报告中的财务指标、净值表现和投资组合报告等内容，保证复核内容不存在虚假记载、误导性陈述或者重大遗漏。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本投资组合报告期为2020年4月1日起至6月30日，所载财务数据未经审计师审计。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报告期末基金资产组合情况</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3,879.40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3,879.40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62,067,037.50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93.95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3,818,599.25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171,885.56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66,061,401.71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2、期末投资目标基金明细</w:t>
      </w:r>
    </w:p>
    <w:tbl>
      <w:tblPr>
        <w:tblStyle w:val="14"/>
        <w:tblW w:w="5000" w:type="pct"/>
        <w:tblInd w:w="0" w:type="dxa"/>
        <w:tblLayout w:type="autofit"/>
        <w:tblCellMar>
          <w:top w:w="0" w:type="dxa"/>
          <w:left w:w="0" w:type="dxa"/>
          <w:bottom w:w="0" w:type="dxa"/>
          <w:right w:w="0" w:type="dxa"/>
        </w:tblCellMar>
      </w:tblPr>
      <w:tblGrid>
        <w:gridCol w:w="1276"/>
        <w:gridCol w:w="1276"/>
        <w:gridCol w:w="1276"/>
        <w:gridCol w:w="1276"/>
        <w:gridCol w:w="1276"/>
        <w:gridCol w:w="1448"/>
        <w:gridCol w:w="842"/>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基金类型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运作方式</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管理人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交易型开放式</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交银施罗德基金管理有限公司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62,067,037.50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94.88</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3、报告期末按行业分类的股票投资组合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3.1报告期末按行业分类的境内股票投资组合</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1,462.50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2,416.90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3,879.40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3.2报告期末按行业分类的港股通投资股票投资组合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本基金本报告期末未持有通过港股通投资的股票。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4、报告期末按公允价值占基金资产净值比例大小排序的前十名股票投资明细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美的集团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1,793.70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西山煤电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1,462.50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恒逸石化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547.80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华菱钢铁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75.40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报告期末按债券品种分类的债券投资组合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 报告期末按公允价值占基金资产净值比例大小排序的前五名债券投资明细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7、报告期末按公允价值占基金资产净值比例大小排序的前十名资产支持证券投资明细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本基金本报告期末未持有资产支持证券。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 报告期末按公允价值占基金资产净值比例大小排序的前五名贵金属投资明细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本基金本报告期末未持有贵金属。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 报告期末按公允价值占基金资产净值比例大小排序的前五名权证投资明细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本基金本报告期末未持有权证。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10、报告期末本基金投资的股指期货交易情况说明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本基金本报告期末未持有股指期货。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11、报告期末本基金投资的国债期货交易情况说明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本基金本报告期末未持有国债期货。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12、投资组合报告附注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12.1报告期内本基金投资的前十名证券的发行主体未被监管部门立案调查，在本报告编制日前一年内本基金投资的前十名证券的发行主体未受到公开谴责和处罚。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12.2本基金投资的前十名股票中，没有超出基金合同规定的备选股票库之外的股票。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12.3其他资产构成</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11,457.08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771.37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159,657.11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171,885.56</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12.4报告期末持有的处于转股期的可转换债券明细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本基金本报告期末未持有处于转股期的可转换债券。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12.5报告期末前十名股票中存在流通受限情况的说明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本基金本报告期末前十名股票中不存在流通受限情况。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12.6投资组合报告附注的其他文字描述部分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54104415"/>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基金业绩截止日为2020年06月30日，所载财务数据未经审计师审计。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1、基金份额净值增长率及其与同期业绩比较基准收益率的比较</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49.46%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49.41%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-27.55%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-28.35%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-0.07%</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42.89%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42.42%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3.96%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2011年度（自基金合同生效日起至2011年12月31日）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-0.42%</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交银施罗德深证300价值交易型开放式指数证券投资基金联接基金</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份额累计净值增长率与业绩比较基准收益率历史走势对比图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（2011年9月28日至2020年06月30日）</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kern w:val="0"/>
          <w:sz w:val="24"/>
        </w:rPr>
        <w:drawing>
          <wp:inline distT="0" distB="0" distL="0" distR="0">
            <wp:extent cx="5585460" cy="328422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212566102420208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85460" cy="328422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注：本基金建仓期为自基金合同生效日起的6个月。截至建仓期结束，本基金各项资产配置比例符合基金合同及招募说明书有关投资比例的约定。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54104416"/>
      <w:r>
        <w:rPr>
          <w:rFonts w:ascii="Times New Roman" w:hAnsi="Times New Roman"/>
          <w:sz w:val="30"/>
        </w:rPr>
        <w:t>十二、基金的财产</w:t>
      </w:r>
      <w:bookmarkEnd w:id="14"/>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（一）基金资产总值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基金资产总值是指基金拥有的包括目标ETF份额在内的各类有价证券、银行存款本息、基金应收款项以及其他资产的价值总和。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基金资产净值是指基金资产总值减去基金负债后的净资产值。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（三）基金财产的账户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（四）基金财产的处分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基金财产的债权，不得与基金管理人、基金托管人固有财产的债务相抵销；不同基金财产的债权债务，不得相互抵销。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54104417"/>
      <w:r>
        <w:rPr>
          <w:rFonts w:ascii="Times New Roman" w:hAnsi="Times New Roman"/>
          <w:sz w:val="30"/>
        </w:rPr>
        <w:t>十三、基金资产的估值</w:t>
      </w:r>
      <w:bookmarkEnd w:id="15"/>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（一）估值目的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基金资产的估值目的是客观、准确地反映基金资产是否保值、增值，并为基金份额提供计价依据。</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（二）估值日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本基金的估值日为相关的证券交易场所的正常交易日，以及国家法律法规规定需要对外披露基金净值的非交易日。</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基金依法拥有的目标ETF份额、股票、债券、权证及其他基金资产和负债。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1、目标ETF估值方法：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目标ETF以该ETF份额当日净值估值；若估值日非证券交易所的营业日，以该基金最近工作日的基金份额净值估值。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2、股票估值方法：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（2）未上市股票的估值：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首次发行未上市的股票，采用估值技术确定公允价值，在估值技术难以可靠计量公允价值的情况下，按成本价估值；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送股、转增股、配股和公开增发新股等发行未上市的股票，按估值日在证券交易所上市的同一股票的市价进行估值；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首次公开发行有明确锁定期的股票，同一股票在交易所上市后，按估值日在证券交易所上市的同一股票的市价进行估值；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非公开发行的且在发行时明确一定期限锁定期的股票，按监管机构或行业协会有关规定确定公允价值。</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任何情况下，基金管理人如采用本项第（1）－（3）小项规定的方法对基金资产进行估值，均应被认为采用了适当的估值方法。但是，如果基金管理人认为按本项第（1）－（3）小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3、债券估值方法：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（6）同一债券同时在两个或两个以上市场交易的，按债券所处的市场分别估值。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4、权证估值方法：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（3）因持有股票而享有的配股权，以及停止交易、但未行权的权证，采用估值技术确定公允价值进行估值。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5、衍生品及其他有价证券等资产按国家有关规定进行估值。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（五）估值程序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日常估值由基金管理人进行。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（六）估值错误的处理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基金管理人和基金托管人将采取必要、适当、合理的措施确保基金资产估值的准确性、及时性。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本基金合同的当事人应按照以下约定处理：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1、差错类型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承担赔偿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2、差错处理原则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（2）差错的责任方对可能导致有关当事人的直接损失负责，不对间接损失负责，并且仅对差错的有关直接当事人负责，不对第三方负责；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（4）差错调整采用尽量恢复至假设未发生差错的正确情形的方式；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（7）按法律法规规定的其他原则处理差错。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3、差错处理程序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差错被发现后，有关的当事人应当及时进行处理，处理的程序如下：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（1）查明差错发生的原因，列明所有的当事人，并根据差错发生的原因确定差错的责任方；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（2）根据差错处理原则或当事人协商的方法对因差错造成的损失进行评估；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（3）根据差错处理原则或当事人协商的方法由差错的责任方进行更正和赔偿损失；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（4）根据差错处理的方法，需要修改基金注册登记机构交易数据的，由基金注册登记机构进行更正，并就差错的更正向有关当事人进行确认。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4、基金份额净值差错处理的原则和方法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基金份额净值小数点后3位以内（含第3位）发生差错时，视为基金份额净值错误；基金份额净值出现错误时，基金管理人应当立即予以纠正，通报基金托管人，并采取合理的措施防止损失进一步扩大；当错误达到或超过基金资产净值的0.25%时，基金管理人应当及时通知基金托管人并报中国证监会；错误偏差达到基金资产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（4）前述内容如法律法规或者监管部门另有规定的，从其规定。如果行业有通行做法，双方当事人应本着平等和保护基金份额持有人利益的原则进行协商。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（七）暂停估值的情形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1、基金投资所涉及的证券交易所遇法定节假日或因其他原因暂停营业时；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2、基金所投资之目标ETF发生暂停估值，暂停公告基金份额净值的情形；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3、因不可抗力或其他情形致使基金管理人、基金托管人无法准确评估基金资产价值时；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4、占基金相当比例的投资品种的估值出现重大转变，而基金管理人为保障基金份额持有人的利益，决定延迟估值；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5、当前一估值日基金资产净值50%以上的资产出现无可参考的活跃市场价格且采用估值技术仍导致公允价值存在重大不确定性时，经与基金托管人协商确认后，基金管理人应当暂停估值；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6、中国证监会和基金合同认定的其他情形。</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（八）基金净值的确认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基金份额净值的计算精确到0.001元，小数点后第四位四舍五入。国家另有规定的，从其规定。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1、基金管理人或基金托管人按股票估值方法的第（4）项、债券估值方法的第（7）项、权证估值方法的第（4）项进行估值时，所造成的误差不作为基金资产估值错误处理。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54104418"/>
      <w:r>
        <w:rPr>
          <w:rFonts w:ascii="Times New Roman" w:hAnsi="Times New Roman"/>
          <w:sz w:val="30"/>
        </w:rPr>
        <w:t>十四、基金的收益与分配</w:t>
      </w:r>
      <w:bookmarkEnd w:id="1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 基金利润的构成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（二）基金可供分配利润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基金可供分配利润指截至收益分配基准日基金未分配利润与未分配利润中已实现收益的孰低数。</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（三）收益分配原则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本基金收益分配应遵循下列原则：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1、本基金的每份基金份额享有同等分配权；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2、收益分配时所发生的银行转账或其他手续费用由基金投资者自行承担；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3、在符合有关基金分红条件的前提下，本基金每年收益分配次数最多为4次，每份基金份额每次分配比例不得低于收益分配基准日每份基金份额可供分配利润的10%；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4、本基金收益分配方式分为两种：现金分红与红利再投资，基金投资者可选择现金红利或将现金红利自动转为基金份额进行再投资；若投资者不选择，本基金默认的收益分配方式是现金分红；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5、法律法规或监管机构另有规定的从其规定。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在不影响基金份额持有人利益的情况下，基金管理人可在法律法规允许的前提下酌情调整以上基金收益分配原则，并于变更实施日前在指定媒介上公告。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（四）收益分配方案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基金收益分配方案中应载明基金收益分配基准日可供分配利润、基金收益分配对象、分配时间、分配数额及比例、分配方式等内容。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（五）收益分配方案的确定、公告与实施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1、本基金收益分配方案由基金管理人拟定、由基金托管人复核，依照《信息披露办法》的有关规定在指定媒介公告。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划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3、法律法规或监管机关另有规定的，从其规定。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（六）收益分配中发生的费用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（七）收益分配方式的修改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投资者可至销售机构办理收益分配方式的修改，投资者对不同的交易账户可设置不同的收益分配方式。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投资者同一日多次申报分红方式变更的，按照《业务规则》执行，最终确认的分红方式以基金注册登记机构记录为准。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54104419"/>
      <w:r>
        <w:rPr>
          <w:rFonts w:ascii="Times New Roman" w:hAnsi="Times New Roman"/>
          <w:sz w:val="30"/>
        </w:rPr>
        <w:t>十五、基金的费用与税收</w:t>
      </w:r>
      <w:bookmarkEnd w:id="17"/>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（一）基金费用的种类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3、基金合同生效后的信息披露费用；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4、基金份额持有人大会费用；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5、基金合同生效后与基金有关的会计师费和律师费；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6、基金的证券交易费用；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7、基金财产拨划支付的银行费用；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8、证券账户开户费用和银行账户维护费；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9、按照国家有关规定可以在基金财产中列支的其他费用。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（二）基金费用计提方法、计提标准和支付方式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1、与基金运作有关的费用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基金财产中投资于目标ETF的部分不收取管理费。在通常情况下，按前一日基金资产净值扣除基金财产中目标ETF份额所对应资产净值后剩余部分（若为负数，则取0）的0.5%年费率计提基金管理费。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H＝E×年管理费率÷当年天数，本基金年管理费率为0.5%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E为前一日基金资产净值扣除基金财产中目标ETF份额所对应资产净值后的剩余部分，若为负数，则E取0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基金财产中投资于目标ETF的部分不收取托管费。在通常情况下，按前一日基金资产净值扣除基金财产中目标ETF份额所对应资产净值后剩余部分（若为负数，则取0）的0.1%年费率计提基金托管费。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H＝E×年托管费率÷当年天数，本基金年托管费率为0.1%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E为前一日基金资产净值扣除基金财产中目标ETF份额所对应资产净值后的剩余部分，若为负数，则E取0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（3）上述（一）中3到9项费用由基金托管人根据其他有关法律法规及相应协议的规定，按费用支出金额支付，列入或摊入当期基金费用。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2、与基金销售有关的费用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本基金赎回费的费率水平、计算公式和收取方式详见“基金份额的申购与赎回”一章。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（3）转换费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本基金转换费的费率水平、计算方式和收取方式详见 “基金的转换”一章</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（三）不列入基金费用的项目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管理人和基金托管人可根据基金发展情况调整基金管理费率和基金托管费率。降低基金管理费率和基金托管费率，无须召开基金份额持有人大会。基金管理人必须依照有关规定最迟于新的费率实施日前在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（五）基金税收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基金和基金份额持有人根据国家法律法规的规定，履行纳税义务。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54104420"/>
      <w:r>
        <w:rPr>
          <w:rFonts w:ascii="Times New Roman" w:hAnsi="Times New Roman"/>
          <w:sz w:val="30"/>
        </w:rPr>
        <w:t>十六、基金的会计与审计</w:t>
      </w:r>
      <w:bookmarkEnd w:id="18"/>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（一）基金的会计政策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1、基金管理人为本基金的会计责任方；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2、本基金的会计年度为公历每年的1月1日至12月31日；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3、本基金的会计核算以人民币为记账本位币，以人民币元为记账单位；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4、会计制度执行国家有关的会计制度；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5、本基金独立建账、独立核算；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6、基金管理人及基金托管人分别保留完整的会计账目、凭证并进行日常的会计核算，按照有关规定编制基金会计报表；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7、基金托管人定期与基金管理人就基金的会计核算、报表编制等进行核对并书面确认。</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（二）基金的审计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1、基金管理人聘请具有证券、期货相关从业资格的会计师事务所及其注册会计师对本基金年度财务报表及其他规定事项进行审计。会计师事务所及其注册会计师与基金管理人、基金托管人相互独立。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2、会计师事务所更换经办注册会计师时，应事先征得基金管理人同意。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3、基金管理人认为有充足理由更换会计师事务所，经通报基金托管人后可以更换。更换会计师事务所需按照《信息披露办法》的有关规定在指定媒介公告。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54104421"/>
      <w:r>
        <w:rPr>
          <w:rFonts w:ascii="Times New Roman" w:hAnsi="Times New Roman"/>
          <w:sz w:val="30"/>
        </w:rPr>
        <w:t>十七、基金的信息披露</w:t>
      </w:r>
      <w:bookmarkEnd w:id="19"/>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（一）本基金的信息披露应符合《基金法》、《运作办法》、《信息披露办法》、《流动性规定》、基金合同及其他有关规定。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（二）信息披露义务人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（三）本基金信息披露义务人在承诺公开披露的基金信息时，不得有下列行为：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2、对证券投资业绩进行预测；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4、诋毁其他基金管理人、基金托管人或者基金销售机构；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5、登载任何自然人、法人和非法人组织的祝贺性、恭维性或推荐性的文字；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6、中国证监会禁止的其他行为。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本基金公开披露的信息采用阿拉伯数字；除特别说明外，货币单位为人民币元。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（五）公开披露的基金信息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公开披露的基金信息包括：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1、招募说明书、基金合同、托管协议、基金产品资料概要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基金募集申请经中国证监会注册后，基金管理人在基金份额发售的3日前，将基金招募说明书、《基金合同》摘要登载在指定媒介上；基金管理人、基金托管人应当将《基金合同》、基金托管协议登载在网站上。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基金管理人应当在收到中国证监会确认文件的次日在指定媒介上登载《基金合同》生效公告。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4、基金净值信息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《基金合同》生效后，在开始办理基金份额申购或者赎回前，基金管理人应当至少每周在指定网站披露一次基金份额净值和基金份额累计净值。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在开始办理基金份额申购或者赎回后，基金管理人应当在不晚于每个开放日的次日，通过指定网站、基金销售机构网站或者营业网点披露开放日的基金份额净值和基金份额累计净值。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6、基金定期报告，包括基金年度报告、基金中期报告和基金季度报告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基金管理人应当在季度结束之日起15个工作日内，编制完成基金季度报告，将季度报告登载在指定网站上，并将季度报告提示性公告登载在指定报刊上。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7、临时报告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本基金发生重大事件，有关信息披露义务人应当在2日内编制临时报告书，并登载在指定报刊和指定网站上。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（1）基金份额持有人大会的召开及决定的事项；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（2）《基金合同》终止、基金清算；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（3）转换基金运作方式、基金合并；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（4）更换基金管理人、基金托管人、基金份额登记机构，基金改聘会计师事务所；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（6）基金管理人、基金托管人的法定名称、住所发生变更；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（8）基金募集期延长或提前结束募集；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（11）涉及基金财产、基金管理业务、基金托管业务的诉讼或仲裁；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（14）基金收益分配事项；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（15）管理费、托管费、申购费、赎回费等费用计提标准、计提方式和费率发生变更；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（16）基金份额净值计价错误达基金份额净值百分之零点五；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（17）本基金开始办理申购、赎回；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（18）本基金发生巨额赎回并延期办理；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（19）本基金连续发生巨额赎回并暂停接受赎回申请或延缓支付赎回款项；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（20）本基金暂停接受申购、赎回申请或重新接受申购、赎回申请；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（21）发生涉及基金申购、赎回事项调整或潜在影响投资者赎回等重大事项时；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（22）基金推出新业务或服务；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8、澄清公告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基金份额持有人大会决定的事项，应当依法报中国证监会备案，并予以公告。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11、中国证监会规定的其他信息。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（六）信息披露事务管理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（七）信息披露文件的存放与查阅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54104422"/>
      <w:r>
        <w:rPr>
          <w:rFonts w:ascii="Times New Roman" w:hAnsi="Times New Roman"/>
          <w:sz w:val="30"/>
        </w:rPr>
        <w:t>十八、风险揭示</w:t>
      </w:r>
      <w:bookmarkEnd w:id="20"/>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基金份额持有人须了解并承受以下风险：</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（一）市场风险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2、经济周期风险。证券市场受宏观经济运行的影响，而经济运行具有周期性的特点，而宏观经济运行状况将对证券市场的收益水平产生影响，从而对基金收益造成影响。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（二）管理风险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1、本基金的申购、赎回安排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2、投资市场、行业及资产的流动性风险评估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3、巨额赎回情形下的流动性风险管理措施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当基金出现巨额赎回时，基金管理人可以根据基金当时的资产组合状况决定全额赎回或部分顺延赎回。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（1）全额赎回：当基金管理人认为有能力支付基金投资者的赎回申请时，按正常赎回程序执行。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暂停赎回：连续2日以上（含本数）发生巨额赎回，如基金管理人认为有必要，可暂停接受基金的赎回申请；已经确认成功的赎回申请可以延缓支付赎回款项，但不得超过20个工作日，并应当在指定媒介上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4、实施备用的流动性风险管理工具的情形、程序及对投资者的潜在影响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本基金在面临大规模赎回的情况下有可能因为无法变现造成流动性风险。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（四）信用风险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（五）投资本基金的特有风险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1、目标ETF的风险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本基金为ETF联接基金，主要投资对象是目标ETF，因此目标ETF面临的风险可能直接或间接成为本基金的风险。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2、标的指数回报与股票市场平均回报偏离的风险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3、标的指数波动的风险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4、基金投资组合回报与标的指数回报偏离的风险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（1）本基金90%以上的净资产投资于目标ETF，目标ETF回报与标的指数回报的偏离会造成本基金与标的指数的跟踪偏离；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（2）本基金有投资成本、各种费用及税收，而指数编制不考虑费用和税收，这将导致本基金收益率落后于标的指数收益率，产生负的跟踪偏离度；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受市场流动性风险的影响，本基金在实际管理过程中，由于投资者申购而增加的资金可能不能及时地转化为目标ETF份额和成份股、或在面临投资者赎回时无法以赎回价格将目标ETF份额和成份股及时地转化为现金，使得本基金在跟踪标的指数时存在一定的跟踪偏离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本基金实行指数化投资过程中，基金管理人对指数基金的管理能力，例如跟踪标的指数的水平、技术手段、买入卖出证券的时机选择等，都会对本基金的收益产生影响，从而影响本基金相对于对标的指数的偏离程度。</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sz w:val="24"/>
        </w:rPr>
        <w:t>5、</w:t>
      </w:r>
      <w:r>
        <w:rPr>
          <w:rFonts w:hint="eastAsia" w:ascii="Times New Roman" w:hAnsi="Times New Roman"/>
          <w:bCs/>
          <w:sz w:val="24"/>
        </w:rPr>
        <w:t>跟踪误差控制未达约定目标的风险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本基金力争控制本基金日均跟踪偏离度的绝对值不超过0.</w:t>
      </w:r>
      <w:r>
        <w:rPr>
          <w:rFonts w:ascii="Times New Roman" w:hAnsi="Times New Roman"/>
          <w:bCs/>
          <w:sz w:val="24"/>
        </w:rPr>
        <w:t>3</w:t>
      </w:r>
      <w:r>
        <w:rPr>
          <w:rFonts w:hint="eastAsia" w:ascii="Times New Roman" w:hAnsi="Times New Roman"/>
          <w:bCs/>
          <w:sz w:val="24"/>
        </w:rPr>
        <w:t>%，年跟踪误差不超过</w:t>
      </w:r>
      <w:r>
        <w:rPr>
          <w:rFonts w:ascii="Times New Roman" w:hAnsi="Times New Roman"/>
          <w:bCs/>
          <w:sz w:val="24"/>
        </w:rPr>
        <w:t>4</w:t>
      </w:r>
      <w:r>
        <w:rPr>
          <w:rFonts w:hint="eastAsia" w:ascii="Times New Roman" w:hAnsi="Times New Roman"/>
          <w:bCs/>
          <w:sz w:val="24"/>
        </w:rPr>
        <w:t>%。但因标的指数编制规则调整或其他因素可能导致跟踪误差超过上述范围，本基金净值表现与指数价格走势可能发生较大偏离。</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6、指数编制机构停止服务的风险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w:t>
      </w:r>
      <w:r>
        <w:rPr>
          <w:rFonts w:ascii="Times New Roman" w:hAnsi="Times New Roman"/>
          <w:bCs/>
          <w:sz w:val="24"/>
        </w:rPr>
        <w:t>6</w:t>
      </w:r>
      <w:r>
        <w:rPr>
          <w:rFonts w:hint="eastAsia" w:ascii="Times New Roman" w:hAnsi="Times New Roman"/>
          <w:bCs/>
          <w:sz w:val="24"/>
        </w:rPr>
        <w:t>个月内召集基金份额持有人大会进行表决，基金份额持有人大会未成功召开或就上述事项表决未通过的，基金合同终止。</w:t>
      </w:r>
      <w:r>
        <w:rPr>
          <w:rFonts w:hint="eastAsia"/>
          <w:bCs/>
          <w:sz w:val="24"/>
        </w:rPr>
        <w:t>投资人将面临更换基金标的指数、转换运作方式，与其他基金合并或者终止基金合同等风险。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bCs/>
          <w:sz w:val="24"/>
        </w:rPr>
        <w:t>7</w:t>
      </w:r>
      <w:r>
        <w:rPr>
          <w:rFonts w:hint="eastAsia" w:ascii="Times New Roman" w:hAnsi="Times New Roman"/>
          <w:bCs/>
          <w:sz w:val="24"/>
        </w:rPr>
        <w:t>、成份股停牌的风险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标的指数成份股可能因各种原因临时或长期停牌，发生成份股停牌时可能面临如下风险：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（1）基金可能因无法及时调整投资组合而导致跟踪偏离度和跟踪误差扩大。</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w:t>
      </w:r>
      <w:r>
        <w:rPr>
          <w:rFonts w:ascii="Times New Roman" w:hAnsi="Times New Roman"/>
          <w:bCs/>
          <w:sz w:val="24"/>
        </w:rPr>
        <w:t>2</w:t>
      </w:r>
      <w:r>
        <w:rPr>
          <w:rFonts w:hint="eastAsia" w:ascii="Times New Roman" w:hAnsi="Times New Roman"/>
          <w:bCs/>
          <w:sz w:val="24"/>
        </w:rPr>
        <w:t>）若成份股停牌时间较长，在约定时间内仍未能及时买入或卖出的，由此可能影响投资者的投资损益并使基金产生跟踪偏离度和跟踪误差。</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w:t>
      </w:r>
      <w:r>
        <w:rPr>
          <w:rFonts w:ascii="Times New Roman" w:hAnsi="Times New Roman"/>
          <w:bCs/>
          <w:sz w:val="24"/>
        </w:rPr>
        <w:t>3</w:t>
      </w:r>
      <w:r>
        <w:rPr>
          <w:rFonts w:hint="eastAsia" w:ascii="Times New Roman" w:hAnsi="Times New Roman"/>
          <w:bCs/>
          <w:sz w:val="24"/>
        </w:rPr>
        <w:t>）在极端情况下，标的指数成份股可能大面积停牌，基金可能无法及时卖出成份股以获取足额的符合要求的赎回款项，由此基金管理人可能采取暂停赎回的措施，投资者将面临无法赎回全部或部分基金份额的风险。</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8、本基金为目标ETF的联接基金，但不能保证本基金的表现与目标ETF的表现完全一致，产生差异的原因包括以下几个方面：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（1）本基金赎回采用现金方式，为支付现金赎回款，相比目标ETF，本基金需要保留更多的现金资产；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（2）本基金申购采用现金方式，在利用到账的申购资金投资目标ETF过程中，市场波动等原因会造成本基金与目标ETF表现的差异；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（3）本基金为应对现金申购赎回而进行的证券交易需支付一定的手续费，此等费用将影响本基金相对于目标ETF的表现。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82" w:firstLineChars="200"/>
        <w:rPr>
          <w:rFonts w:ascii="Times New Roman" w:hAnsi="Times New Roman"/>
          <w:b/>
          <w:sz w:val="24"/>
        </w:rPr>
      </w:pPr>
      <w:r>
        <w:rPr>
          <w:rFonts w:hint="eastAsia" w:ascii="Times New Roman" w:hAnsi="Times New Roman"/>
          <w:b/>
          <w:sz w:val="24"/>
        </w:rPr>
        <w:t>（六）</w:t>
      </w:r>
      <w:r>
        <w:rPr>
          <w:rFonts w:hint="eastAsia" w:ascii="宋体" w:hAnsi="宋体"/>
          <w:b/>
          <w:szCs w:val="24"/>
        </w:rPr>
        <w:t>投资存托凭证的特定风险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（七）其他风险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1、因技术因素而产生的风险，如电脑系统不可靠产生的风险；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3、因人为因素而产生的风险、如内幕交易、欺诈行为等产生的风险；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4、对主要业务人员如基金经理的依赖而可能产生的风险；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5、因业务竞争压力可能产生的风险；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54104423"/>
      <w:r>
        <w:rPr>
          <w:rFonts w:ascii="Times New Roman" w:hAnsi="Times New Roman"/>
          <w:sz w:val="30"/>
        </w:rPr>
        <w:t>十九、基金合同的终止与基金财产的清算</w:t>
      </w:r>
      <w:bookmarkEnd w:id="21"/>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（一）基金合同的终止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有下列情形之一的，基金合同经中国证监会核准后将终止：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2.基金管理人职责终止，而在6个月内没有新的基金管理人承接的；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3.基金托管人职责终止，而在6个月内没有新的基金托管人承接的；</w:t>
      </w:r>
    </w:p>
    <w:p>
      <w:pPr>
        <w:snapToGrid w:val="0"/>
        <w:spacing w:line="360" w:lineRule="auto"/>
        <w:ind w:firstLine="480" w:firstLineChars="200"/>
        <w:rPr>
          <w:rFonts w:ascii="宋体" w:hAnsi="宋体"/>
          <w:bCs/>
          <w:sz w:val="24"/>
          <w:szCs w:val="24"/>
        </w:rPr>
      </w:pPr>
      <w:r>
        <w:rPr>
          <w:rFonts w:ascii="Times New Roman" w:hAnsi="Times New Roman"/>
          <w:sz w:val="24"/>
        </w:rPr>
        <w:t>4.</w:t>
      </w:r>
      <w:r>
        <w:rPr>
          <w:rFonts w:hint="eastAsia" w:ascii="宋体" w:hAnsi="宋体"/>
          <w:bCs/>
          <w:sz w:val="24"/>
          <w:szCs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ascii="宋体" w:hAnsi="宋体"/>
          <w:sz w:val="24"/>
          <w:szCs w:val="24"/>
        </w:rPr>
        <w:t>5</w:t>
      </w:r>
      <w:r>
        <w:rPr>
          <w:rFonts w:hint="eastAsia" w:ascii="宋体" w:hAnsi="宋体"/>
          <w:sz w:val="24"/>
          <w:szCs w:val="24"/>
        </w:rPr>
        <w:t>.</w:t>
      </w:r>
      <w:r>
        <w:rPr>
          <w:rFonts w:ascii="Times New Roman" w:hAnsi="Times New Roman"/>
          <w:sz w:val="24"/>
        </w:rPr>
        <w:t>相关法律法规和中国证监会规定的其他情况。</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（二）基金财产的清算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1.基金财产清算小组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（1）基金合同终止后，成立基金清算小组，基金清算小组在中国证监会的监督下进行基金清算。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（2）基金清算小组成员由基金管理人、基金托管人、具有从事证券相关业务资格的注册会计师、律师以及中国证监会指定的人员组成。基金清算小组可以聘用必要的工作人员。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（3）基金清算小组负责基金财产的保管、清理、估价、变现和分配。基金清算小组可以依法进行必要的民事活动。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2.基金财产清算程序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（1）基金合同终止时，由基金清算小组统一接管基金财产；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（2）对基金财产进行清理和确认；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（3）对基金财产进行估价和变现；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（4）制作清算报告；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（5）聘请会计师事务所对清算报告进行审计；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（6）聘请律师事务所对清算报告出具法律意见书；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（7）将基金清算结果报告中国证监会；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（8）公布基金清算报告；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（9）对基金剩余财产进行分配。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清算费用是指基金清算小组在进行基金清算过程中发生的所有合理费用，清算费用由基金清算小组优先从基金财产中支付。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4.基金财产按下列顺序清偿：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（1）支付清算费用；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（2）交纳所欠税款；</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（3）清偿基金债务；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（4）按基金份额持有人持有的基金份额比例进行分配。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基金财产未按前款（1）－（3）项规定清偿前，不分配给基金份额持有人。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5.基金财产清算的公告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6.基金财产清算账册及文件的保存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54104424"/>
      <w:r>
        <w:rPr>
          <w:rFonts w:ascii="Times New Roman" w:hAnsi="Times New Roman"/>
          <w:sz w:val="30"/>
        </w:rPr>
        <w:t>二十、基金合同的内容摘要</w:t>
      </w:r>
      <w:bookmarkEnd w:id="2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（一）基金合同当事人的权利与义务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1、基金管理人的权利与义务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根据《基金法》、《运作办法》及其他有关规定，基金管理人的权利为：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（1）自本基金合同生效之日起，依照有关法律法规和本基金合同的规定独立运用基金财产；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（2）依照本基金合同获得基金管理费以及法律法规规定或中国证监会批准的其他收入；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（3）根据法律法规和基金合同之规定销售基金份额；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（4）根据法律法规和基金合同的规定制定基金收益分配方案；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（5）依照有关规定为基金的利益行使因基金财产投资于证券所产生的权利；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（6）在符合有关法律法规和本基金合同的前提下，制订和调整有关基金认购、申购、赎回、转换、转托管等业务的规则，决定基金的除调高托管费和管理费之外的费率结构和收费方式；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（8）在基金合同约定的范围内，拒绝或暂停受理申购、赎回和转换申请；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（9）自行担任注册登记机构或选择、更换注册登记机构，并对注册登记机构的代理行为进行必要的监督和检查；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（10）选择、更换代销机构，并依据销售代理协议和有关法律法规，对其行为进行必要的监督和检查；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（11）在基金托管人更换时，提名新的基金托管人；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（14）选择、更换律师事务所、会计师事务所、证券经纪商或其他为基金提供服务的外部机构；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（15）根据国家有关规定，在法律法规允许的前提下，为基金的利益依法为基金融资、融券；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（16）法律法规、基金合同以及依据基金合同制定的其它法律文件规定的其他权利。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根据《基金法》、《运作办法》及其他有关规定，基金管理人的义务为：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（1）依法募集基金，办理或者委托经由证监会认定的其他机构代为办理基金份额的发售、申购、赎回和注册登记事宜；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（3）自基金合同生效之日起，以诚实信用、勤勉尽责的原则管理和运用基金财产；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（5）建立健全内部风险控制、监察与稽核、财务管理及人事管理等制度，保证所管理的基金财产和基金管理人的财产相互独立，对所管理的不同基金财产分别管理，分别记账，进行证券投资；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（6）除依据《基金法》、基金合同及其他有关规定外，不得为自己及任何第三人谋取利益，不得委托第三人运作基金财产；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（7）依法接受基金托管人的监督；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（8）计算并公告基金净值信息，确定基金份额申购、赎回价格；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（9）采取适当合理的措施使计算基金份额认购、申购、赎回价格的方法符合基金合同等法律文件的规定；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（10）按规定受理基金份额的申购和赎回申请，及时、足额支付赎回款项；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（13）严格按照《基金法》、基金合同及其他有关规定，履行信息披露及报告义务；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（14）保守基金商业秘密，不得泄露基金投资计划、投资意向等。除《基金法》、基金合同及其他有关规定另有规定外，在基金信息公开披露前应予保密，不得向他人泄露；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（19）组织并参加基金财产清算小组，参与基金财产的保管、清理、估价、变现和分配；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（20）因违反基金合同导致基金财产的损失或损害基金份额持有人合法权益，应当承担赔偿责任，其赔偿责任不因其退任而免除；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（21）基金托管人违反基金合同造成基金财产损失时，应为基金份额持有人利益向基金托管人追偿；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（22）按规定向基金托管人提供基金份额持有人名册资料；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（24）面临解散、依法被撤销或者被依法宣告破产时，及时报告中国证监会并通知基金托管人；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（26）不从事任何有损基金及其他基金合同当事人合法权益的活动；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（27）依照法律法规为基金的利益对被投资公司行使股东权利，为基金的利益行使因基金财产投资于证券所产生的权利，不谋求对上市公司的控股和直接管理；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（28）法律法规、基金合同规定的以及中国证监会要求的其他义务。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2、基金托管人的权利与义务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根据《基金法》、《运作办法》及其他有关规定，基金托管人的权利为：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（1）依照基金合同的约定获得基金托管费；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（2）监督基金管理人对本基金的投资运作；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（3）自本基金合同生效之日起，依照法律法规和基金合同、托管协议的规定依法保管基金财产；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（4）在基金管理人更换时，提名新任基金管理人；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（6）依法提议召开或召集基金份额持有人大会；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（7）按规定取得基金份额持有人名册；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根据《基金法》、《运作办法》及其他有关规定，基金托管人的义务为：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（1）以诚实信用、勤勉尽责的原则持有并安全保管基金财产；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（2）设立专门的基金托管部，具有符合要求的营业场所，配备足够的、合格的熟悉基金托管业务的专职人员，负责基金财产托管事宜；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（4）除依据《基金法》、基金合同及其他有关规定外，不得为自己及任何第三人谋取利益，不得委托第三人托管基金财产；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（5）保管由基金管理人代表基金签订的与基金有关的重大合同及有关凭证；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（6）按规定开设基金财产的资金账户和证券账户；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（7）保守基金商业秘密。除《基金法》、基金合同及其他有关规定另有规定外，在基金信息公开披露前应予保密，不得向他人泄露；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（9）保存基金托管业务活动的记录、账册、报表和其他相关资料不少于15年；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（10）按照基金合同的约定，根据基金管理人的投资指令，及时办理清算、交割事宜；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（11）办理与基金托管业务活动有关的信息披露事项；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（12）复核、审查基金管理人计算的基金资产净值、基金份额净值和基金份额申购、赎回价格；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（13）按照规定监督基金管理人的投资运作；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（14）按规定制作相关账册并与基金管理人核对；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（15）依据基金管理人的指令或有关规定向基金份额持有人支付基金收益和赎回款项；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（16）按照规定召集基金份额持有人大会或配合基金管理人、基金份额持有人依法自行召集基金份额持有人大会；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（17）因违反基金合同导致基金财产损失，应承担赔偿责任，其赔偿责任不因其退任而免除；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（18）按规定监督基金管理人按照法律法规规定和基金合同履行其义务，基金管理人因违反基金合同造成基金财产损失时，应为基金向基金管理人追偿；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（19）根据本基金合同和托管协议规定建立并保存基金份额持有人名册；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（20）参加基金财产清算组，参与基金财产的保管、清理、估价、变现和分配；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（21）面临解散、依法被撤销、破产或者由接管人接管其资产时，及时报告中国证监会和中国银监会，并通知基金管理人；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（23）法律法规、基金合同规定的以及中国证监会要求的其他义务。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3、基金份额持有人的权利与义务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每份基金份额具有同等的合法权益。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根据《基金法》、《运作办法》及其他有关法律法规的规定，基金份额持有人的权利包括但不限于：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（1）分享基金财产收益；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（2）参与分配清算后的剩余基金财产；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（3）依法转让或者申请赎回其持有的基金份额；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（4）按照规定要求召开基金份额持有人大会；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（6）根据基金合同的约定，出席或者委派代表出席目标ETF份额持有人大会，对目标ETF份额持有人大会审议事项行使表决权；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（7）查阅或者复制公开披露的基金信息资料；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（9）对基金管理人、基金托管人、基金份额代销机构损害其合法权益的行为依法提起诉讼；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（10）法律法规和基金合同规定的其他权利。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根据《基金法》、《运作办法》及其他有关法律法规的规定，基金份额持有人的义务包括但不限于：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（1）遵守法律法规、基金合同及其他有关规定；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（2）缴纳基金认购、申购款项及法律法规、基金合同和招募说明书规定的费用；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（3）在持有的基金份额范围内，承担基金亏损或者基金合同终止的有限责任；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（4）不从事任何有损基金及其他基金份额持有人合法权益的活动；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（5）执行生效的基金份额持有人大会决议；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（6）遵守基金管理人、基金托管人及销售机构和注册登记机构的相关交易及业务规则；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（7）返还在基金交易过程中因任何原因，自基金管理人、基金托管人、代销机构或其他基金份额持有人处获得的不当得利；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（8）法律法规和基金合同规定的其他义务。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4、本基金合同当事人各方的权利义务以本基金合同为依据，不因基金账户名称而有所改变。</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1、基金份额持有人大会由基金份额持有人组成，基金份额持有人的合法授权代表有权代表基金份额持有人出席会议并表决。基金份额持有人持有的每一基金份额拥有平等的投票权。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2、召开事由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出现或需要决定下列事由之一的，经基金管理人、基金托管人或持有基金份额10%以上（“以上”含本数，下同）的基金份额持有人（以基金管理人收到提议当日的基金份额计算，下同）提议时，应当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（1）终止基金合同；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（2）转换基金运作方式；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（3）变更基金类别；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（4）变更基金投资目标、投资范围或投资策略（法律法规和中国证监会另有规定的除外）；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（5）变更基金份额持有人大会议事程序；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（6）更换基金管理人、基金托管人；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（7）提高基金管理人、基金托管人的报酬标准。但根据法律法规的要求提高该等报酬标准的除外；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（8）本基金与其他基金的合并；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（9）对基金合同当事人权利、义务产生重大影响，需召开基金份额持有人大会的变更基金合同等其他事项；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（10）基金管理人代表本基金的基金份额持有人提议召开或召集目标ETF份额持有人大会；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（11）法律法规、基金合同或中国证监会规定的其他情形。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出现以下情形之一的，可由基金管理人和基金托管人协商后修改，不需召开基金份额持有人大会：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（1）调低基金管理费、基金托管费等其他应由基金或基金份额持有人承担的费用；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（2）法律法规要求增加的基金费用的收取；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（3）在法律法规和本基金合同规定的范围内调整基金的申购费率、调低赎回费率、变更或增加收费方式；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（4）因相应的法律法规、证券交易所或者注册登记机构的相关业务规则发生变动必须对基金合同进行修改；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（5）基金合同的修改不涉及本基金合同当事人权利义务关系发生重大变化；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（6）基金合同的修改对基金份额持有人利益无实质性不利影响；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（7）按照法律法规或本基金合同规定不需召开基金份额持有人大会的其他情形。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3、召集人及召集方式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（1）除法律法规或本基金合同另有约定外，基金份额持有人大会由基金管理人召集。基金管理人未按规定召集或者不能召集时，由基金托管人召集。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4、召开基金份额持有人大会的通知时间、通知内容、通知方式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的召集人（以下简称“召集人”）负责选择确定开会时间、地点、方式和权益登记日。召开基金份额持有人大会，召集人必须于会议召开日前40日在指定媒介公告。基金份额持有人大会通知须至少载明以下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（1）会议召开的时间、地点和出席方式；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（2）会议拟审议的主要事项；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（3）会议形式；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（5）有权出席基金份额持有人大会的基金份额持有人的权益登记日；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（7）表决方式；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（8）会务常设联系人姓名、电话；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（9）出席会议者必须准备的文件和必须履行的手续；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（10）召集人需要通知的其他事项。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5、基金份额持有人出席会议的方式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1）基金份额持有人大会的召开方式包括现场开会、通讯方式开会或法律法规和监管机关允许的其他方式。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2）现场开会由基金份额持有人本人出席或通过授权委托证明委派其代理人出席，现场开会时基金管理人和基金托管人的授权代表应当出席，基金管理人或基金托管人拒不派代表出席的，不影响表决效力。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3）通讯方式开会指按照本基金合同的相关规定以通讯的书面方式进行表决。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（2）召开基金份额持有人大会的条件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在同时符合以下条件时，现场会议方可举行：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经核对、汇总，到会者出示的在权益登记日持有基金份额的凭证显示，全部有效凭证所对应的基金份额应占权益登记日基金总份额的50%以上（含50%，下同）；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未能满足上述条件的情况下，则召集人可另行确定并公告重新开会的时间（至少应在25个工作日后）和地点，但确定有权出席会议的基金份额持有人资格的权益登记日不变。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2）通讯开会方式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在同时符合以下条件时，通讯会议方可举行：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①召集人按本基金合同规定公布会议通知后，在2个工作日内连续公布相关提示性公告；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③本人直接出具书面意见或授权他人代表出具书面意见的基金份额持有人所代表的基金份额应占权益登记日基金总份额的50%以上；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如果开会条件达不到上述的条件，则召集人可另行确定并公告重新表决的时间（至少应在25个工作日后），且确定有权出席会议的基金份额持有人资格的权益登记日不变。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 在法律法规或监管机构允许的情况下，经会议通知载明，基金份额持有人也可以采用网络、电话或其他方式进行表决，或者采用网络、电话或其他方式授权他人代为出席会议并表决。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6、议事内容与程序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（1）议事内容及提案权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1）议事内容为本基金合同规定的召开基金份额持有人大会事由所涉及的内容以及会议召集人认为需提交基金份额持有人大会讨论的其他事项。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3）对于基金份额持有人提交的提案（包括临时提案），大会召集人应当按照以下原则对提案进行审核：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召集人应当制作出席会议人员的签名册。签名册载明参加会议人员姓名（或单位名称）、身份证号码、持有或代表有表决权的基金份额、委托人姓名（或单位名称）等事项。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表决开会的方式下，首先由召集人提前30日公布提案，在所通知的表决截止日期第2日在公证机构监督下由召集人统计全部有效表决并形成决议。如监督人经通知但拒绝到场监督，则在公正机关监督下形成的决议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（3）基金份额持有人大会不得对未事先公告的议事内容进行表决。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7、决议形成的条件、表决方式、程序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（1）基金份额持有人所持每一基金份额享有平等的表决权。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（2）基金份额持有人大会决议分为一般决议和特别决议：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1）一般决议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一般决议须经出席会议的基金份额持有人及其代理人所持表决权的50%以上通过方为有效，除下列2）所规定的须以特别决议通过事项以外的其他事项均以一般决议的方式通过；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特别决议须经出席会议的基金份额持有人及代理人所持表决权的三分之二以上通过方为有效；更换基金管理人、更换基金托管人、转换基金运作方式、终止基金合同必须以特别决议通过方为有效。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（3）基金份额持有人大会决定的事项，应当依法报中国证监会核准，或者备案，并予以公告。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（5）基金份额持有人大会采取记名方式进行投票表决。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2）监票人应当在基金份额持有人表决后立即进行清点，由大会主持人当场公布计票结果。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4）计票过程应由公证机关予以公证。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9、基金份额持有人大会决议报中国证监会核准或备案后的公告时间、方式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（2）生效的基金份额持有人大会决议对全体基金份额持有人、基金管理人、基金托管人均有约束力。基金管理人、基金托管人和基金份额持有人应当执行生效的基金份额持有人大会的决定。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（3）基金份额持有人大会决议应自生效之日起2个工作日内在指定媒介上公告。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（4）如果采用通讯方式进行表决，在公告基金份额持有人大会决议时，必须将公证书全文、公证机关、公证员姓名等一同公告。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10、鉴于本基金是目标ETF 的联接基金，本基金的基金份额持有人可以凭所持有的本基金份额出席或者委派代表出席目标ETF 的基金份额持有人大会并参与表决。在计算参会份额和计票时，本基金持有人其持有的享有表决权的基金份额数和表决票数为：在目标ETF 基金份额持有人大会的权益登记日，本基金持有目标ETF 份额的总数乘以该基金份额持有人所持有的本基金份额占本基金总份额的比例。计算结果按照四舍五入的方法，保留到整数位。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本基金的基金管理人不应以本基金的名义代表本基金的全体基金份额持有人以目标ETF 的基金份额持有人的身份行使表决权，但可接受本基金的特定基金份额持有人的委托以本基金的基金份额持有人代理人的身份出席目标ETF 的基金份额持有人大会并参与表决。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基金份额持有人大会的，由本基金基金管理人代表本基金的基金份额持有人提议召开或召集目标ETF基金份额持有人大会。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（三）基金合同的变更与终止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（1）按照法律法规或本基金合同的规定，对基金合同的变更应当召开基金份额持有人大会的，基金合同变更的内容应经基金份额持有人大会决议通过，并依法报中国证监会核准，自中国证监会核准之日起生效。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（2）但出现下列情况时，可不经基金份额持有人大会决议，由基金管理人和基金托管人同意变更后公布经修订的基金合同，并报中国证监会备案：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1）调低基金管理费、基金托管费等应由基金或基金份额持有人承担的费用；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2）法律法规要求增加的基金费用的收取；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3）在法律法规和本基金合同规定的范围内调整基金的申购费率、调低赎回费率、变更或增加收费方式；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4）因相应的法律法规、证券交易所或者注册登记机构的相关业务规则发生变动必须对基金合同进行修改；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5）基金合同的修改不涉及本基金合同当事人权利义务关系发生重大变化；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6）基金合同的修改对基金份额持有人利益无实质性不利影响；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7）按照法律法规或本基金合同规定不需召开基金份额持有人大会的其他情形。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2、基金合同的终止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有下列情形之一的，本基金合同经中国证监会核准后将终止：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（2）基金管理人职责终止，而在6个月内没有新的基金管理人承接的；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（3）基金托管人职责终止，而在6个月内没有新的基金托管人承接的；</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（4）</w:t>
      </w:r>
      <w:r>
        <w:rPr>
          <w:rFonts w:hint="eastAsia" w:ascii="Times New Roman" w:hAnsi="Times New Roman"/>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（5）</w:t>
      </w:r>
      <w:r>
        <w:rPr>
          <w:rFonts w:ascii="Times New Roman" w:hAnsi="Times New Roman"/>
          <w:sz w:val="24"/>
        </w:rPr>
        <w:t>相关法律法规和中国证监会规定的其他情况。</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（四）争议的处理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本基金合同适用中华人民共和国法律并从其解释。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（五）基金合同存放及投资者取得基金合同的方式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本基金合同可印制成册，供基金投资者在基金管理人和基金托管人办公场所查阅。基金合同条款及内容应以基金合同正本为准。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54104425"/>
      <w:r>
        <w:rPr>
          <w:rFonts w:ascii="Times New Roman" w:hAnsi="Times New Roman"/>
          <w:sz w:val="30"/>
        </w:rPr>
        <w:t>二十一、托管协议的内容摘要</w:t>
      </w:r>
      <w:bookmarkEnd w:id="23"/>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（一）托管协议当事人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批准设立机关及批准设立文号：中国证监会证监基金字[2005]128号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组织形式：有限责任公司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注册资本：贰亿元人民币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经营范围：基金募集、基金销售、资产管理和中国证监会许可的其它业务。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名称：中国农业银行股份有限公司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邮政编码：100031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成立时间：2009年1月15日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批准设立机关和批准设立文号：中国银监会银监复[2009]13号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基金托管资格批准文号：中国证监会证监基字[1998]23号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注册资本：32,479,411.7万元人民币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（二）基金托管人对基金管理人的业务监督和核查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本基金以目标ETF、标的指数成份股、备选成份股为主要投资对象（含中小板股票和创业板股票及其他经中国证监会核准的上市股票、</w:t>
      </w:r>
      <w:r>
        <w:rPr>
          <w:rFonts w:hint="eastAsia" w:ascii="Times New Roman" w:hAnsi="Times New Roman"/>
          <w:sz w:val="24"/>
        </w:rPr>
        <w:t>存托凭证</w:t>
      </w:r>
      <w:r>
        <w:rPr>
          <w:rFonts w:ascii="Times New Roman" w:hAnsi="Times New Roman"/>
          <w:sz w:val="24"/>
        </w:rPr>
        <w:t>），把全部或接近全部的基金资产用于跟踪标的指数的表现，正常情况下投资于目标ETF的资产比例不低于基金资产净值的90%，基金持有的现金及到期日在一年以内的政府债券的投资比例合计不低于基金资产净值的5%，其中现金不包括结算备付金、存出保证金和应收申购款等。此外，为更好地实现投资目标，本基金也可少量投资于新股（</w:t>
      </w:r>
      <w:r>
        <w:rPr>
          <w:rFonts w:hint="eastAsia" w:ascii="Times New Roman" w:hAnsi="Times New Roman"/>
          <w:sz w:val="24"/>
        </w:rPr>
        <w:t>含存托凭证</w:t>
      </w:r>
      <w:r>
        <w:rPr>
          <w:rFonts w:ascii="Times New Roman" w:hAnsi="Times New Roman"/>
          <w:sz w:val="24"/>
        </w:rPr>
        <w:t>）、债券、回购、权证及中国证监会允许基金投资的其它金融工具（但须符合中国证监会的相关规定）。如法律法规或监管机构以后允许基金投资其它品种，基金管理人在履行适当程序后，可以将其纳入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2、基金托管人根据有关法律法规的规定及基金合同的约定，对基金投资、融资、融券比例进行监督。基金托管人按下述比例和调整期限进行监督：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（1）进入全国银行间同业市场的债券回购融入的资金余额不超过基金资产净值的40%。债券回购最长期限为１年，债券回购到期后不得展期；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持有的同一（指同一信用级别）资产支持证券的比例，不得超过该资产支持证券规模的10%；本基金投资于同一原始权益人的各类资产支持证券的比例，不得超过该基金资产净值的10%；本基金管理人管理的全部证券投资基金投资于同一原始权益人的各类资产支持证券，不得超过其各类资产支持证券合计规模的10%；本基金持有的全部资产支持证券，其市值不得超过该基金资产净值的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（5）保持不低于基金资产净值5%的现金或者到期日在一年以内的政府债券，其中现金不包括结算备付金、存出保证金和应收申购款等；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（6）本基金持有一家公司发行的流通受限证券，其市值不得超过基金资产净值的2%；本基金持有的所有流通受限证券，其市值不得超过该基金资产净值的15%；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（7）本基金不得违反基金合同中有关投资范围、投资策略、投资比例的规定；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（10）</w:t>
      </w:r>
      <w:r>
        <w:rPr>
          <w:rFonts w:hint="eastAsia" w:ascii="Times New Roman" w:hAnsi="Times New Roman"/>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（11）法律法规或监管部门对上述比例限制另有规定的，从其规定。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6个月内使基金的投资组合比例符合基金合同的约定。在符合相关法律法规规定的前提下，除上述第（5）、（8）、（9）项以外,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若法律法规或监管部门对上述约定的投资组合比例限制规定进行变更的，以变更后的规定为准；若法律法规或监管部门取消上述限制，在履行适当程序后，本基金投资可不受上述规定限制。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基金托管人对基金投资的监督和检查自基金合同生效之日起开始。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5、基金托管人根据有关法律法规的规定及基金合同的约定，对基金管理人选择存款银行进行监督。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本基金投资银行存款应符合如下规定：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（1）基金管理人、基金托管人应当与存款银行建立定期对账机制，确保基金银行存款业务账目及核算的真实、准确。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（2）基金托管人应加强对基金银行存款业务的监督与核查，严格审查、复核相关协议、账户资料、投资指令、存款证实书等有关文件，切实履行托管职责。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（3）基金管理人与基金托管人在开展基金存款业务时，应严格遵守《基金法》、《运作办法》等有关法律法规，以及国家有关账户管理、利率管理、支付结算等的各项规定。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如果基金管理人未经基金托管人的审核擅自将不实的业绩表现数据印制在宣传推介材料上，则基金托管人对此不承担任何责任，并将在发现后立即报告中国证监会。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7、基金托管人根据有关法律法规的规定及基金合同的约定，对基金投资流通受限证券进行监督。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（1）基金投资流通受限证券，应遵守《关于规范基金投资非公开发行证券行为的紧急通知》、《关于基金投资非公开发行股票等流通受限证券有关问题的通知》等有关法律法规规定。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（4）在投资流通受限证券之前，基金管理人应至少提前一个交易日向基金托管人提供有关非公开定向增发流通受限证券的相关信息，具体应当包括但不限于如下文件（如有）：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（三）基金管理人对基金托管人的业务核查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1、基金财产保管的原则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（1）基金财产应独立于基金管理人、基金托管人的固有财产。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（2）基金托管人应安全保管基金财产。未经基金管理人依据合法程序作出的合法合规指令，基金托管人不得自行运用、处分、分配基金的任何财产。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（3）基金托管人按照规定开设基金财产的资金账户和证券账户。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（4）基金托管人对所托管的不同基金财产分别设置账户，与基金托管人的其他业务和其他基金的托管业务实行严格的分帐管理，确保基金财产的完整与独立。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（5）基金托管人根据基金管理人的指令，按照基金合同和本协议的约定保管基金财产，如有特殊情况双方可另行协商解决。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（7）除依据法律法规和基金合同的规定外，基金托管人不得委托第三人托管基金财产。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2、基金募集期间及募集资金的验资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（1）基金募集期间的认购款项应存于专用账户。该账户由基金管理人委托的注册登记机构开立并管理。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同时在规定时间内，聘请具有从事证券相关业务资格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（3）若基金募集期限届满，未能达到基金合同生效的条件，由基金管理人按规定办理退款等事宜，基金托管人应提供充分协助。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3、基金托管资金账户的开立和管理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（1）基金托管人应负责本基金的资金账户的开设和管理。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（4）基金托管资金账户的开立和管理应符合相关法律法规的有关规定。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（5）在符合法律法规规定的条件下，基金托管人可以通过基金托管人专用账户办理基金资产的支付。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4、基金证券账户和结算备付金账户的开立和管理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5、债券托管专户的开设和管理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6、其他账户的开立和管理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（1）因业务发展需要而开立的其他账户，可以根据法律法规和基金合同的规定，在基金管理人和基金托管人商议后由基金托管人负责开立。新账户按有关规则使用并管理。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（2）法律法规等有关规定对相关账户的开立和管理另有规定的，从其规定办理。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7、基金财产投资的有关有价凭证等的保管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8、与基金财产有关的重大合同的保管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（五）基金资产净值计算和会计复核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1、基金资产净值的计算及复核程序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基金资产净值是指基金资产总值减去负债后的金额。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基金份额净值是指基金资产净值除以基金份额总数。基金份额净值的计算，精确到0.001元，小数点后第四位四舍五入，由此产生的误差计入基金财产。国家另有规定的，从其规定。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每工作日计算基金资产净值及基金份额净值，并按规定公告。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基金管理人每工作日对基金资产进行估值后，将基金份额净值结果发送基金托管人，经基金托管人复核无误后，由基金管理人依据基金合同和有关法律法规的规定对外公布。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2、基金资产估值方法和特殊情形的处理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基金依法拥有的目标ETF份额、股票、债券、权证及其他基金资产和负债。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1）目标ETF估值方法：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目标ETF以该ETF份额当日净值估值；若估值日非证券交易所的营业日，以该基金最近工作日的基金份额净值估值。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2）股票估值方法：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B.未上市股票的估值：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①首次发行未上市的股票，采用估值技术确定公允价值，在估值技术难以可靠计量公允价值的情况下，按成本价估值；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②送股、转增股、配股和公开增发新股等发行未上市的股票，按估值日在证券交易所上市的同一股票的市价进行估值；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③首次公开发行有明确锁定期的股票，同一股票在交易所上市后，按估值日在证券交易所上市的同一股票的市价进行估值；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④非公开发行的且在发行时明确一定期限锁定期的股票，按监管机构或行业协会有关规定确定公允价值。</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C.</w:t>
      </w:r>
      <w:r>
        <w:rPr>
          <w:rFonts w:hint="eastAsia"/>
        </w:rPr>
        <w:t xml:space="preserve"> </w:t>
      </w:r>
      <w:r>
        <w:rPr>
          <w:rFonts w:hint="eastAsia" w:ascii="Times New Roman" w:hAnsi="Times New Roman"/>
          <w:sz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D.在任何情况下，基金管理人如采用本项第A－C小项规定的方法对基金资产进行估值，均应被认为采用了适当的估值方法。但是，如果基金管理人认为按本项第A－C小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3）债券估值方法：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⑤在全国银行间债券市场交易的债券、资产支持证券等固定收益品种，采用估值技术确定公允价值。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⑥同一债券同时在两个或两个以上市场交易的，按债券所处的市场分别估值。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⑦在任何情况下，基金管理人如采用本项第①－⑥小项规定的方法对基金资产进行估值，均应被认为采用了适当的估值方法。但是，如果基金管理人认为按本项第①－⑥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⑧国家有最新规定的，按其规定进行估值。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4）权证估值方法：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③因持有股票而享有的配股权，以及停止交易、但未行权的权证，采用估值技术确定公允价值进行估值。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在任何情况下，基金管理人如采用本项第①－③项规定的方法对基金资产进行估值，均应被认为采用了适当的估值方法。但是，如果基金管理人认为按本项第①－③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⑤国家有最新规定的，按其规定进行估值。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5）衍生品及其他有价证券等资产按国家有关规定进行估值。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1）基金管理人、基金托管人按股票估值方法的第D项、债券估值方法的第⑦项、权证估值方法的第④项进行估值时，所造成的误差不作为基金份额净值错误处理。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3、基金份额净值错误的处理方式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资产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（4）前述内容如法律法规或监管机关另有规定的，从其规定处理。如果行业有通行做法，双方当事人应本着平等和保护基金份额持有人利益的原则进行协商。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4、暂停估值与公告基金份额净值的情形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（1）基金投资所涉及的证券交易所遇法定节假日或因其他原因暂停营业时；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（2）基金所投资之目标ETF发生暂停估值，暂停公告基金份额净值的情形；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（3）因不可抗力或其他情形致使基金管理人、基金托管人无法准确评估基金资产价值时；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（4）占基金相当比例的投资品种的估值出现重大转变，而基金管理人为保障基金份额持有人的利益，决定延迟估值时；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（5）当前一估值日基金资产净值50%以上的资产出现无可参考的活跃市场价格且采用估值技术仍导致公允价值存在重大不确定性时，经与基金托管人协商确认后，基金管理人应当暂停估值；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（6）中国证监会和基金合同认定的其他情形。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按国家有关部门规定的会计制度执行。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6、基金账册的建立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7、基金财务报表与报告的编制和复核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（1）财务报表的编制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基金合同生效不足2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（2）报表复核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（六）基金份额持有人名册的保管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（七）争议解决方式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本协议适用中华人民共和国法律并从其解释。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（八）托管协议的变更与终止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1、托管协议的变更程序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2、基金托管协议终止的情形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（2）基金托管人解散、依法被撤销、破产或由其他基金托管人接管基金资产；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（3）基金管理人解散、依法被撤销、破产或由其他基金管理人接管基金管理权；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（4）发生法律法规或基金合同规定的终止事项。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54104426"/>
      <w:r>
        <w:rPr>
          <w:rFonts w:ascii="Times New Roman" w:hAnsi="Times New Roman"/>
          <w:sz w:val="30"/>
        </w:rPr>
        <w:t>二十二、对基金份额持有人的服务</w:t>
      </w:r>
      <w:bookmarkEnd w:id="2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本基金管理人承诺为基金份额持有人提供一系列的服务。本基金管理人根据基金份额持有人的需要和市场的变化，有权增加或变更服务项目。主要服务内容如下：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（一）持有人交易资料的寄送服务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1、每次交易结束后，投资人可在T+2个工作日后通过销售机构的网点查询和打印确认单；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（二）网上直销服务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已开通基金网上直销业务，个人投资人可以直接通过本基金管理人网站的网上直销交易平台办理开户和本基金前端基金份额的申购、赎回、定期定额投资和转换等业务。本公司暂不开展网上直销本基金后端基金份额的认/申购业务，通过转托管转入网上直销账户的本基金后端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在条件成熟的时候，本基金管理人将根据基金网上直销业务的发展状况，适时调整可用于基金网上直销交易平台的银行卡种类，敬请投资者留意相关公告。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（三）信息咨询、查询服务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如果想查询申购、赎回等交易情况、分红方式状态、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投资者可以拨打本基金管理人客户服务电话投诉直销机构的人员和服务。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（四）基金红利再投资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本基金收益分配时，投资人可以选择将当期分配所得的红利再投资于本基金，再投资红利按红利再投日（即除息日）除息后的基金份额净值自动转为基金份额，并免收申购费用。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（五）定期定额投资计划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本基金已开通定期定额投资计划，具体实施方法请参见相关公告。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服务联系方式：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基金管理人的互联网地址及电子信箱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电子信箱：services@jysld.com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投资者也可登录本基金管理人网站，直接提出有关本基金的问题和建议。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54104427"/>
      <w:r>
        <w:rPr>
          <w:rFonts w:ascii="Times New Roman" w:hAnsi="Times New Roman"/>
          <w:sz w:val="30"/>
        </w:rPr>
        <w:t>二十三、其他应披露事项</w:t>
      </w:r>
      <w:bookmarkEnd w:id="2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基金合同如有未尽事宜，由基金合同当事人各方按有关法律法规协商解决。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本招募说明书更新期间基金披露的其他重要事项</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交银施罗德基金管理有限公司关于暂停北京增财基金销售有限公司办理相关销售业务的公告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交银施罗德基金管理有限公司旗下部分基金2019年第四季度报告提示性公告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交银施罗德深证300价值交易型开放式指数证券投资基金联接基金2019年第4季度报告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交银施罗德深证300价值交易型开放式指数证券投资基金联接基金（更新）招募说明书摘要（2019年第3号）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交银施罗德深证300价值交易型开放式指数证券投资基金联接基金（更新）招募说明书（2019年第3号）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关于增加大连网金基金销售有限公司为旗下基金销售机构的公告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交银施罗德基金管理有限公司旗下部分基金2019年年度报告提示性公告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交银施罗德深证300价值交易型开放式指数证券投资基金联接基金2019年年度报告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交银施罗德基金管理有限公司旗下部分基金2020年第一季度报告提示性公告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交银施罗德深证300价值交易型开放式指数证券投资基金联接基金2020年第1季度报告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交银施罗德基金管理有限公司旗下部分基金2020年第二季度报告提示性公告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交银施罗德深证300价值交易型开放式指数证券投资基金联接基金2020年第2季度报告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交银施罗德基金管理有限公司旗下部分基金2020年中期报告提示性公告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交银施罗德深证300价值交易型开放式指数证券投资基金联接基金2020年中期报告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交银施罗德深证300价值交易型开放式指数证券投资基金联接基金基金产品资料概要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54104428"/>
      <w:r>
        <w:rPr>
          <w:rFonts w:ascii="Times New Roman" w:hAnsi="Times New Roman"/>
          <w:sz w:val="30"/>
        </w:rPr>
        <w:t>二十四、招募说明书的存放及查阅方式</w:t>
      </w:r>
      <w:bookmarkEnd w:id="26"/>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54104429"/>
      <w:r>
        <w:rPr>
          <w:rFonts w:ascii="Times New Roman" w:hAnsi="Times New Roman"/>
          <w:sz w:val="30"/>
        </w:rPr>
        <w:t>二十五、备查文件</w:t>
      </w:r>
      <w:bookmarkEnd w:id="2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以下备查文件存放在基金管理人的办公场所，在办公时间可供免费查阅。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（一）中国证监会核准交银施罗德深证300价值交易型开放式指数证券投资基金联接基金募集的文件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（二）《交银施罗德深证300价值交易型开放式指数证券投资基金联接基金基金合同》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（三）《交银施罗德深证300价值交易型开放式指数证券投资基金联接基金托管协议》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（五）基金托管人业务资格批件、营业执照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（六）关于申请募集交银施罗德深证300价值交易型开放式指数证券投资基金联接基金之法律意见书</w:t>
      </w:r>
    </w:p>
    <w:sectPr>
      <w:footerReference r:id="rId7"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iTJ32gAAAA0BAAAPAAAAAAAAAAEAIAAAACIAAABkcnMvZG93bnJl&#10;di54bWxQSwECFAAUAAAACACHTuJAvfUcm/sBAAADBAAADgAAAAAAAAABACAAAAApAQAAZHJzL2Uy&#10;b0RvYy54bWxQSwUGAAAAAAYABgBZAQAAlgU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24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j7vjaAAAADQEAAA8AAAAAAAAAAQAgAAAAIgAAAGRycy9kb3du&#10;cmV2LnhtbFBLAQIUABQAAAAIAIdO4kCqBm2W/QEAAAQEAAAOAAAAAAAAAAEAIAAAACkBAABkcnMv&#10;ZTJvRG9jLnhtbFBLBQYAAAAABgAGAFkBAACYBQ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24</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交银施罗德深证300价值交易型开放式指数证券投资基金联接基金(更新)招募说明书(2020年第1号)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交银施罗德深证300价值交易型开放式指数证券投资基金联接基金(更新)招募说明书(202</w:t>
    </w:r>
    <w:r>
      <w:rPr>
        <w:rFonts w:ascii="宋体" w:hAnsi="宋体"/>
      </w:rPr>
      <w:t>1</w:t>
    </w:r>
    <w:r>
      <w:rPr>
        <w:rFonts w:hint="eastAsia" w:ascii="宋体" w:hAnsi="宋体"/>
      </w:rPr>
      <w:t>年第2号)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交银施罗德深证300价值交易型开放式指数证券投资基金联接基金(更新)招募说明书(202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359A"/>
    <w:rsid w:val="00013825"/>
    <w:rsid w:val="0001593F"/>
    <w:rsid w:val="00026A29"/>
    <w:rsid w:val="00026D00"/>
    <w:rsid w:val="00027C73"/>
    <w:rsid w:val="00030964"/>
    <w:rsid w:val="00030F3E"/>
    <w:rsid w:val="000368A2"/>
    <w:rsid w:val="000377C8"/>
    <w:rsid w:val="00044AFD"/>
    <w:rsid w:val="00044E2C"/>
    <w:rsid w:val="00045029"/>
    <w:rsid w:val="000457B7"/>
    <w:rsid w:val="0004614E"/>
    <w:rsid w:val="00046212"/>
    <w:rsid w:val="000500B8"/>
    <w:rsid w:val="000506ED"/>
    <w:rsid w:val="000543D5"/>
    <w:rsid w:val="00055792"/>
    <w:rsid w:val="00055F52"/>
    <w:rsid w:val="00061C0D"/>
    <w:rsid w:val="0006212F"/>
    <w:rsid w:val="0006220F"/>
    <w:rsid w:val="000634B1"/>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3850"/>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DC5"/>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A4D66"/>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26ED3"/>
    <w:rsid w:val="0023578C"/>
    <w:rsid w:val="00235AC5"/>
    <w:rsid w:val="002377E0"/>
    <w:rsid w:val="00240BB6"/>
    <w:rsid w:val="002432CA"/>
    <w:rsid w:val="00243D40"/>
    <w:rsid w:val="00245250"/>
    <w:rsid w:val="002477CB"/>
    <w:rsid w:val="00247BF6"/>
    <w:rsid w:val="00250A33"/>
    <w:rsid w:val="00251126"/>
    <w:rsid w:val="002524D2"/>
    <w:rsid w:val="00252802"/>
    <w:rsid w:val="00254E91"/>
    <w:rsid w:val="0026188C"/>
    <w:rsid w:val="00261A50"/>
    <w:rsid w:val="002634C3"/>
    <w:rsid w:val="00265B3A"/>
    <w:rsid w:val="0027052E"/>
    <w:rsid w:val="00271E9D"/>
    <w:rsid w:val="00271F7D"/>
    <w:rsid w:val="00274E85"/>
    <w:rsid w:val="0027557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C601A"/>
    <w:rsid w:val="002D15BB"/>
    <w:rsid w:val="002D1C13"/>
    <w:rsid w:val="002D3109"/>
    <w:rsid w:val="002D378C"/>
    <w:rsid w:val="002D6413"/>
    <w:rsid w:val="002D6F14"/>
    <w:rsid w:val="002D74D5"/>
    <w:rsid w:val="002E0962"/>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11F8"/>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06E20"/>
    <w:rsid w:val="0041100B"/>
    <w:rsid w:val="004114F3"/>
    <w:rsid w:val="00412894"/>
    <w:rsid w:val="004130C3"/>
    <w:rsid w:val="00413E71"/>
    <w:rsid w:val="004205BF"/>
    <w:rsid w:val="00421363"/>
    <w:rsid w:val="00421921"/>
    <w:rsid w:val="00422100"/>
    <w:rsid w:val="00422267"/>
    <w:rsid w:val="004254D3"/>
    <w:rsid w:val="0042746B"/>
    <w:rsid w:val="00433B69"/>
    <w:rsid w:val="004369AD"/>
    <w:rsid w:val="00436DD6"/>
    <w:rsid w:val="00441115"/>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92869"/>
    <w:rsid w:val="004A084F"/>
    <w:rsid w:val="004A1FA1"/>
    <w:rsid w:val="004A3225"/>
    <w:rsid w:val="004A3F90"/>
    <w:rsid w:val="004A5F59"/>
    <w:rsid w:val="004A6F1F"/>
    <w:rsid w:val="004A7361"/>
    <w:rsid w:val="004B17D8"/>
    <w:rsid w:val="004B2323"/>
    <w:rsid w:val="004B62C3"/>
    <w:rsid w:val="004B7144"/>
    <w:rsid w:val="004C0BC8"/>
    <w:rsid w:val="004C461A"/>
    <w:rsid w:val="004C5D4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51F0"/>
    <w:rsid w:val="004F66F4"/>
    <w:rsid w:val="004F7710"/>
    <w:rsid w:val="004F7EA8"/>
    <w:rsid w:val="00502A45"/>
    <w:rsid w:val="0050542C"/>
    <w:rsid w:val="005068C8"/>
    <w:rsid w:val="00512DC1"/>
    <w:rsid w:val="00514C6B"/>
    <w:rsid w:val="005161EC"/>
    <w:rsid w:val="0051709F"/>
    <w:rsid w:val="005175EB"/>
    <w:rsid w:val="00521A18"/>
    <w:rsid w:val="00522079"/>
    <w:rsid w:val="00522622"/>
    <w:rsid w:val="0052450E"/>
    <w:rsid w:val="00525410"/>
    <w:rsid w:val="00530703"/>
    <w:rsid w:val="00530763"/>
    <w:rsid w:val="0053309A"/>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CA"/>
    <w:rsid w:val="00583CE7"/>
    <w:rsid w:val="005856E9"/>
    <w:rsid w:val="005867BB"/>
    <w:rsid w:val="00587452"/>
    <w:rsid w:val="00591C2A"/>
    <w:rsid w:val="00592461"/>
    <w:rsid w:val="00592466"/>
    <w:rsid w:val="00592539"/>
    <w:rsid w:val="00593636"/>
    <w:rsid w:val="00596A05"/>
    <w:rsid w:val="00596D6D"/>
    <w:rsid w:val="00597284"/>
    <w:rsid w:val="00597F8F"/>
    <w:rsid w:val="005A1EA2"/>
    <w:rsid w:val="005A2467"/>
    <w:rsid w:val="005A5858"/>
    <w:rsid w:val="005A6E51"/>
    <w:rsid w:val="005A7C7F"/>
    <w:rsid w:val="005A7D88"/>
    <w:rsid w:val="005B130C"/>
    <w:rsid w:val="005B14FF"/>
    <w:rsid w:val="005B3584"/>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081"/>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129"/>
    <w:rsid w:val="00617824"/>
    <w:rsid w:val="00624214"/>
    <w:rsid w:val="00625419"/>
    <w:rsid w:val="00626D1A"/>
    <w:rsid w:val="00627429"/>
    <w:rsid w:val="00627E10"/>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1A06"/>
    <w:rsid w:val="00692124"/>
    <w:rsid w:val="00692815"/>
    <w:rsid w:val="00692D96"/>
    <w:rsid w:val="00693C96"/>
    <w:rsid w:val="00696339"/>
    <w:rsid w:val="00696982"/>
    <w:rsid w:val="006A3F85"/>
    <w:rsid w:val="006A48FA"/>
    <w:rsid w:val="006A56F1"/>
    <w:rsid w:val="006A6E5C"/>
    <w:rsid w:val="006B0972"/>
    <w:rsid w:val="006B3153"/>
    <w:rsid w:val="006B5871"/>
    <w:rsid w:val="006B6BB1"/>
    <w:rsid w:val="006B7212"/>
    <w:rsid w:val="006C0709"/>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2EA0"/>
    <w:rsid w:val="0071340A"/>
    <w:rsid w:val="00713FC7"/>
    <w:rsid w:val="00716FD1"/>
    <w:rsid w:val="00720D0F"/>
    <w:rsid w:val="007218A9"/>
    <w:rsid w:val="0072241C"/>
    <w:rsid w:val="007233FF"/>
    <w:rsid w:val="007245A5"/>
    <w:rsid w:val="00731628"/>
    <w:rsid w:val="00734108"/>
    <w:rsid w:val="007343AD"/>
    <w:rsid w:val="0073448D"/>
    <w:rsid w:val="00735087"/>
    <w:rsid w:val="00736FA0"/>
    <w:rsid w:val="0074053E"/>
    <w:rsid w:val="0075000E"/>
    <w:rsid w:val="00752156"/>
    <w:rsid w:val="0075223E"/>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7F7C5E"/>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5A91"/>
    <w:rsid w:val="00886300"/>
    <w:rsid w:val="0089099F"/>
    <w:rsid w:val="00890AAF"/>
    <w:rsid w:val="00892F7A"/>
    <w:rsid w:val="00894CEB"/>
    <w:rsid w:val="00896A62"/>
    <w:rsid w:val="00897B88"/>
    <w:rsid w:val="008A113D"/>
    <w:rsid w:val="008A53FE"/>
    <w:rsid w:val="008A678B"/>
    <w:rsid w:val="008A6D0F"/>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6FB"/>
    <w:rsid w:val="00951FC3"/>
    <w:rsid w:val="009520BD"/>
    <w:rsid w:val="00952B29"/>
    <w:rsid w:val="00953DBA"/>
    <w:rsid w:val="00953F61"/>
    <w:rsid w:val="00954137"/>
    <w:rsid w:val="009553B5"/>
    <w:rsid w:val="00955882"/>
    <w:rsid w:val="00955ABF"/>
    <w:rsid w:val="00956F74"/>
    <w:rsid w:val="00956F84"/>
    <w:rsid w:val="009575A0"/>
    <w:rsid w:val="00957C6C"/>
    <w:rsid w:val="00960AA2"/>
    <w:rsid w:val="009649DC"/>
    <w:rsid w:val="00965E7B"/>
    <w:rsid w:val="00966EB2"/>
    <w:rsid w:val="0096769B"/>
    <w:rsid w:val="00970C67"/>
    <w:rsid w:val="00974456"/>
    <w:rsid w:val="00991483"/>
    <w:rsid w:val="0099296D"/>
    <w:rsid w:val="009935AA"/>
    <w:rsid w:val="00993F94"/>
    <w:rsid w:val="009951B2"/>
    <w:rsid w:val="009A039C"/>
    <w:rsid w:val="009A16E0"/>
    <w:rsid w:val="009A2859"/>
    <w:rsid w:val="009A4E90"/>
    <w:rsid w:val="009A50B8"/>
    <w:rsid w:val="009A737B"/>
    <w:rsid w:val="009B1823"/>
    <w:rsid w:val="009B406F"/>
    <w:rsid w:val="009B443A"/>
    <w:rsid w:val="009B4D09"/>
    <w:rsid w:val="009B62BE"/>
    <w:rsid w:val="009B6DD1"/>
    <w:rsid w:val="009C0D1A"/>
    <w:rsid w:val="009C1284"/>
    <w:rsid w:val="009C1332"/>
    <w:rsid w:val="009C4A4F"/>
    <w:rsid w:val="009C6D34"/>
    <w:rsid w:val="009C73AB"/>
    <w:rsid w:val="009D2E97"/>
    <w:rsid w:val="009D328E"/>
    <w:rsid w:val="009D3438"/>
    <w:rsid w:val="009D3B88"/>
    <w:rsid w:val="009D40B6"/>
    <w:rsid w:val="009D4D3A"/>
    <w:rsid w:val="009D55A7"/>
    <w:rsid w:val="009D784F"/>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77DF8"/>
    <w:rsid w:val="00A8209D"/>
    <w:rsid w:val="00A82740"/>
    <w:rsid w:val="00A860C9"/>
    <w:rsid w:val="00A9137F"/>
    <w:rsid w:val="00A9483B"/>
    <w:rsid w:val="00A94F2C"/>
    <w:rsid w:val="00A972E1"/>
    <w:rsid w:val="00AA12EB"/>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439"/>
    <w:rsid w:val="00AE7A40"/>
    <w:rsid w:val="00AE7EF9"/>
    <w:rsid w:val="00AF4A88"/>
    <w:rsid w:val="00AF60FC"/>
    <w:rsid w:val="00AF619D"/>
    <w:rsid w:val="00B01A75"/>
    <w:rsid w:val="00B02D39"/>
    <w:rsid w:val="00B03711"/>
    <w:rsid w:val="00B03B6B"/>
    <w:rsid w:val="00B04CC3"/>
    <w:rsid w:val="00B11CB0"/>
    <w:rsid w:val="00B17DE2"/>
    <w:rsid w:val="00B2096A"/>
    <w:rsid w:val="00B20E8D"/>
    <w:rsid w:val="00B32541"/>
    <w:rsid w:val="00B3267F"/>
    <w:rsid w:val="00B35F87"/>
    <w:rsid w:val="00B379DA"/>
    <w:rsid w:val="00B37A67"/>
    <w:rsid w:val="00B41203"/>
    <w:rsid w:val="00B41500"/>
    <w:rsid w:val="00B45D53"/>
    <w:rsid w:val="00B5297F"/>
    <w:rsid w:val="00B52E16"/>
    <w:rsid w:val="00B53812"/>
    <w:rsid w:val="00B53C36"/>
    <w:rsid w:val="00B57385"/>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5CAF"/>
    <w:rsid w:val="00B97B35"/>
    <w:rsid w:val="00BA3196"/>
    <w:rsid w:val="00BA3509"/>
    <w:rsid w:val="00BA5877"/>
    <w:rsid w:val="00BB124C"/>
    <w:rsid w:val="00BB17E3"/>
    <w:rsid w:val="00BB1CDB"/>
    <w:rsid w:val="00BB2110"/>
    <w:rsid w:val="00BB3645"/>
    <w:rsid w:val="00BB4F7D"/>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2D5A"/>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426C"/>
    <w:rsid w:val="00C367FB"/>
    <w:rsid w:val="00C41389"/>
    <w:rsid w:val="00C41BB7"/>
    <w:rsid w:val="00C42379"/>
    <w:rsid w:val="00C44004"/>
    <w:rsid w:val="00C445F4"/>
    <w:rsid w:val="00C5117E"/>
    <w:rsid w:val="00C54DF3"/>
    <w:rsid w:val="00C610B6"/>
    <w:rsid w:val="00C6257F"/>
    <w:rsid w:val="00C627E7"/>
    <w:rsid w:val="00C63117"/>
    <w:rsid w:val="00C640C7"/>
    <w:rsid w:val="00C65784"/>
    <w:rsid w:val="00C67BDD"/>
    <w:rsid w:val="00C70F24"/>
    <w:rsid w:val="00C717F6"/>
    <w:rsid w:val="00C72FD7"/>
    <w:rsid w:val="00C8155C"/>
    <w:rsid w:val="00C907F0"/>
    <w:rsid w:val="00C93A91"/>
    <w:rsid w:val="00C9445A"/>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3118"/>
    <w:rsid w:val="00D04CD8"/>
    <w:rsid w:val="00D04DEC"/>
    <w:rsid w:val="00D114ED"/>
    <w:rsid w:val="00D1261E"/>
    <w:rsid w:val="00D13F32"/>
    <w:rsid w:val="00D14B5E"/>
    <w:rsid w:val="00D1685E"/>
    <w:rsid w:val="00D171BA"/>
    <w:rsid w:val="00D25B74"/>
    <w:rsid w:val="00D25CA1"/>
    <w:rsid w:val="00D31474"/>
    <w:rsid w:val="00D32933"/>
    <w:rsid w:val="00D32A75"/>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604C"/>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3D7"/>
    <w:rsid w:val="00DF76B3"/>
    <w:rsid w:val="00DF76F2"/>
    <w:rsid w:val="00E00083"/>
    <w:rsid w:val="00E009E2"/>
    <w:rsid w:val="00E01DE7"/>
    <w:rsid w:val="00E0411F"/>
    <w:rsid w:val="00E0572E"/>
    <w:rsid w:val="00E10005"/>
    <w:rsid w:val="00E1238E"/>
    <w:rsid w:val="00E124B9"/>
    <w:rsid w:val="00E13F21"/>
    <w:rsid w:val="00E1612B"/>
    <w:rsid w:val="00E17515"/>
    <w:rsid w:val="00E17BF7"/>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47C67"/>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1AC0"/>
    <w:rsid w:val="00EC5ACF"/>
    <w:rsid w:val="00ED1722"/>
    <w:rsid w:val="00ED22A8"/>
    <w:rsid w:val="00ED2479"/>
    <w:rsid w:val="00ED4EB4"/>
    <w:rsid w:val="00ED5D09"/>
    <w:rsid w:val="00ED7107"/>
    <w:rsid w:val="00EE2221"/>
    <w:rsid w:val="00EE276F"/>
    <w:rsid w:val="00EE2982"/>
    <w:rsid w:val="00EE3B95"/>
    <w:rsid w:val="00EE634F"/>
    <w:rsid w:val="00EF369D"/>
    <w:rsid w:val="00EF38A7"/>
    <w:rsid w:val="00EF6A39"/>
    <w:rsid w:val="00F00673"/>
    <w:rsid w:val="00F00B38"/>
    <w:rsid w:val="00F0376E"/>
    <w:rsid w:val="00F0414A"/>
    <w:rsid w:val="00F044B3"/>
    <w:rsid w:val="00F05E83"/>
    <w:rsid w:val="00F07DC4"/>
    <w:rsid w:val="00F07E05"/>
    <w:rsid w:val="00F10842"/>
    <w:rsid w:val="00F1261C"/>
    <w:rsid w:val="00F13C42"/>
    <w:rsid w:val="00F161F7"/>
    <w:rsid w:val="00F206E8"/>
    <w:rsid w:val="00F21755"/>
    <w:rsid w:val="00F21F2E"/>
    <w:rsid w:val="00F23947"/>
    <w:rsid w:val="00F23B61"/>
    <w:rsid w:val="00F276F1"/>
    <w:rsid w:val="00F30423"/>
    <w:rsid w:val="00F32680"/>
    <w:rsid w:val="00F33A66"/>
    <w:rsid w:val="00F34368"/>
    <w:rsid w:val="00F34E5A"/>
    <w:rsid w:val="00F35452"/>
    <w:rsid w:val="00F45532"/>
    <w:rsid w:val="00F45ED2"/>
    <w:rsid w:val="00F47629"/>
    <w:rsid w:val="00F53C4F"/>
    <w:rsid w:val="00F56A51"/>
    <w:rsid w:val="00F61899"/>
    <w:rsid w:val="00F66CD4"/>
    <w:rsid w:val="00F66E01"/>
    <w:rsid w:val="00F7129A"/>
    <w:rsid w:val="00F7180D"/>
    <w:rsid w:val="00F727A7"/>
    <w:rsid w:val="00F729D7"/>
    <w:rsid w:val="00F774CD"/>
    <w:rsid w:val="00F80C67"/>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B3E33"/>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1E9236FD"/>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35"/>
    <w:unhideWhenUsed/>
    <w:uiPriority w:val="99"/>
    <w:rPr>
      <w:rFonts w:ascii="宋体"/>
      <w:sz w:val="18"/>
      <w:szCs w:val="18"/>
    </w:rPr>
  </w:style>
  <w:style w:type="paragraph" w:styleId="6">
    <w:name w:val="annotation text"/>
    <w:basedOn w:val="1"/>
    <w:link w:val="31"/>
    <w:unhideWhenUsed/>
    <w:uiPriority w:val="0"/>
    <w:pPr>
      <w:jc w:val="left"/>
    </w:pPr>
  </w:style>
  <w:style w:type="paragraph" w:styleId="7">
    <w:name w:val="Balloon Text"/>
    <w:basedOn w:val="1"/>
    <w:semiHidden/>
    <w:uiPriority w:val="0"/>
    <w:rPr>
      <w:sz w:val="18"/>
      <w:szCs w:val="18"/>
    </w:rPr>
  </w:style>
  <w:style w:type="paragraph" w:styleId="8">
    <w:name w:val="footer"/>
    <w:basedOn w:val="1"/>
    <w:link w:val="36"/>
    <w:unhideWhenUsed/>
    <w:uiPriority w:val="99"/>
    <w:pPr>
      <w:tabs>
        <w:tab w:val="center" w:pos="4153"/>
        <w:tab w:val="right" w:pos="8306"/>
      </w:tabs>
      <w:snapToGrid w:val="0"/>
      <w:jc w:val="left"/>
    </w:pPr>
    <w:rPr>
      <w:kern w:val="0"/>
      <w:sz w:val="18"/>
      <w:szCs w:val="18"/>
    </w:rPr>
  </w:style>
  <w:style w:type="paragraph" w:styleId="9">
    <w:name w:val="header"/>
    <w:basedOn w:val="1"/>
    <w:link w:val="33"/>
    <w:unhideWhenUsed/>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uiPriority w:val="39"/>
    <w:pPr>
      <w:ind w:left="480" w:leftChars="200"/>
    </w:pPr>
  </w:style>
  <w:style w:type="paragraph" w:styleId="13">
    <w:name w:val="annotation subject"/>
    <w:basedOn w:val="6"/>
    <w:next w:val="6"/>
    <w:link w:val="32"/>
    <w:unhideWhenUsed/>
    <w:uiPriority w:val="99"/>
    <w:rPr>
      <w:b/>
      <w:bCs/>
    </w:rPr>
  </w:style>
  <w:style w:type="table" w:styleId="15">
    <w:name w:val="Table Grid"/>
    <w:basedOn w:val="1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uiPriority w:val="99"/>
    <w:rPr>
      <w:color w:val="0000FF"/>
      <w:u w:val="single"/>
    </w:rPr>
  </w:style>
  <w:style w:type="character" w:styleId="19">
    <w:name w:val="annotation reference"/>
    <w:unhideWhenUsed/>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uiPriority w:val="99"/>
    <w:rPr>
      <w:rFonts w:ascii="Calibri" w:hAnsi="Calibri" w:eastAsia="宋体" w:cs="Times New Roman"/>
      <w:kern w:val="2"/>
      <w:sz w:val="21"/>
      <w:szCs w:val="22"/>
      <w:lang w:val="en-US" w:eastAsia="zh-CN" w:bidi="ar-SA"/>
    </w:rPr>
  </w:style>
  <w:style w:type="paragraph" w:customStyle="1" w:styleId="23">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uiPriority w:val="0"/>
    <w:rPr>
      <w:rFonts w:ascii="Cambria" w:hAnsi="Cambria"/>
      <w:b/>
      <w:kern w:val="28"/>
      <w:sz w:val="24"/>
      <w:szCs w:val="32"/>
    </w:rPr>
  </w:style>
  <w:style w:type="character" w:customStyle="1" w:styleId="30">
    <w:name w:val="txtcontent11"/>
    <w:uiPriority w:val="0"/>
    <w:rPr>
      <w:rFonts w:hint="default" w:ascii="ˎ̥" w:hAnsi="ˎ̥"/>
      <w:color w:val="000000"/>
      <w:sz w:val="21"/>
      <w:szCs w:val="21"/>
    </w:rPr>
  </w:style>
  <w:style w:type="character" w:customStyle="1" w:styleId="31">
    <w:name w:val="批注文字 字符"/>
    <w:link w:val="6"/>
    <w:uiPriority w:val="0"/>
    <w:rPr>
      <w:kern w:val="2"/>
      <w:sz w:val="21"/>
      <w:szCs w:val="22"/>
    </w:rPr>
  </w:style>
  <w:style w:type="character" w:customStyle="1" w:styleId="32">
    <w:name w:val="批注主题 字符"/>
    <w:link w:val="13"/>
    <w:semiHidden/>
    <w:uiPriority w:val="99"/>
    <w:rPr>
      <w:b/>
      <w:bCs/>
      <w:kern w:val="2"/>
      <w:sz w:val="21"/>
      <w:szCs w:val="22"/>
    </w:rPr>
  </w:style>
  <w:style w:type="character" w:customStyle="1" w:styleId="33">
    <w:name w:val="页眉 字符"/>
    <w:link w:val="9"/>
    <w:uiPriority w:val="99"/>
    <w:rPr>
      <w:sz w:val="18"/>
      <w:szCs w:val="18"/>
    </w:rPr>
  </w:style>
  <w:style w:type="character" w:customStyle="1" w:styleId="34">
    <w:name w:val="副标题 字符"/>
    <w:link w:val="11"/>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uiPriority w:val="99"/>
    <w:rPr>
      <w:sz w:val="18"/>
      <w:szCs w:val="18"/>
    </w:rPr>
  </w:style>
  <w:style w:type="character" w:customStyle="1" w:styleId="37">
    <w:name w:val="标题 2 字符"/>
    <w:link w:val="3"/>
    <w:semiHidden/>
    <w:uiPriority w:val="9"/>
    <w:rPr>
      <w:rFonts w:ascii="Cambria" w:hAnsi="Cambria" w:eastAsia="宋体" w:cs="Times New Roman"/>
      <w:b/>
      <w:bCs/>
      <w:kern w:val="2"/>
      <w:sz w:val="32"/>
      <w:szCs w:val="32"/>
    </w:rPr>
  </w:style>
  <w:style w:type="character" w:customStyle="1" w:styleId="38">
    <w:name w:val="标题 4 字符"/>
    <w:link w:val="4"/>
    <w:semiHidden/>
    <w:uiPriority w:val="9"/>
    <w:rPr>
      <w:rFonts w:ascii="Cambria" w:hAnsi="Cambria" w:eastAsia="宋体" w:cs="Times New Roman"/>
      <w:b/>
      <w:bCs/>
      <w:kern w:val="2"/>
      <w:sz w:val="28"/>
      <w:szCs w:val="28"/>
    </w:rPr>
  </w:style>
  <w:style w:type="character" w:customStyle="1" w:styleId="39">
    <w:name w:val="标题 1 字符"/>
    <w:link w:val="2"/>
    <w:uiPriority w:val="9"/>
    <w:rPr>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146</Pages>
  <Words>15520</Words>
  <Characters>88468</Characters>
  <Lines>737</Lines>
  <Paragraphs>207</Paragraphs>
  <TotalTime>0</TotalTime>
  <ScaleCrop>false</ScaleCrop>
  <LinksUpToDate>false</LinksUpToDate>
  <CharactersWithSpaces>103781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2021-03-25T08:32:00Z</dcterms:created>
  <dc:creator>系统用户</dc:creator>
  <cp:lastModifiedBy>wangwanting</cp:lastModifiedBy>
  <cp:lastPrinted>2013-02-18T03:10:00Z</cp:lastPrinted>
  <dcterms:modified xsi:type="dcterms:W3CDTF">2021-05-07T06:31:07Z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