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深证300价值交易型开放式指数证券投资基金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(2021年第2号)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一</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54104420"/>
      <w:bookmarkStart w:id="1" w:name="_Toc324920538"/>
      <w:bookmarkStart w:id="2" w:name="_Toc496884613"/>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深证300价值交易型开放式指数证券投资基金（以下简称“本基金”）经2011年6月20日中国证券监督管理委员会（以下简称“中国证监会”）证监许可【2011】967号文核准募集。本基金基金合同于2011年9月22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w:t>
      </w:r>
      <w:r>
        <w:rPr>
          <w:rFonts w:hint="eastAsia" w:ascii="Times New Roman" w:hAnsi="Times New Roman"/>
          <w:kern w:val="0"/>
          <w:sz w:val="24"/>
        </w:rPr>
        <w:t>、</w:t>
      </w:r>
      <w:r>
        <w:rPr>
          <w:rFonts w:ascii="Times New Roman" w:hAnsi="Times New Roman"/>
          <w:sz w:val="24"/>
        </w:rPr>
        <w:t>标的指数变更的风险</w:t>
      </w:r>
      <w:r>
        <w:rPr>
          <w:rFonts w:hint="eastAsia" w:ascii="Times New Roman" w:hAnsi="Times New Roman"/>
          <w:sz w:val="24"/>
        </w:rPr>
        <w:t>、</w:t>
      </w:r>
      <w:r>
        <w:rPr>
          <w:rFonts w:hint="eastAsia" w:ascii="Times New Roman" w:hAnsi="Times New Roman"/>
          <w:kern w:val="0"/>
          <w:sz w:val="24"/>
        </w:rPr>
        <w:t>跟踪误差控制未达约定目标的风险、指数编制机构停止服务的风险、成份股停牌的风险</w:t>
      </w:r>
      <w:r>
        <w:rPr>
          <w:rFonts w:ascii="Times New Roman" w:hAnsi="Times New Roman"/>
          <w:kern w:val="0"/>
          <w:sz w:val="24"/>
        </w:rPr>
        <w:t>，基金份额二级市场交易价格折溢价的风险，基金的退市风险，投资者申购、赎回失败的风险以及基金份额赎回对价的变现风险、流动性风险等等。</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本基金属于股票基金，风险与收益高于混合基金、债券基金与货币市场基金。同时本基金为指数型基金，具有与标的指数、以及标的指数所代表的股票市场相似的风险收益特征。</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本基金为指数基金，投资者投资于本基金面临跟踪误差控制未达约定目标、指数编制机构停止服务、成份券停牌等潜在风险。</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本基金标的指数为</w:t>
      </w:r>
      <w:r>
        <w:rPr>
          <w:rFonts w:ascii="宋体" w:hAnsi="宋体"/>
          <w:kern w:val="0"/>
          <w:sz w:val="24"/>
        </w:rPr>
        <w:t>深证300价值</w:t>
      </w:r>
      <w:r>
        <w:rPr>
          <w:rFonts w:hint="eastAsia" w:ascii="宋体" w:hAnsi="宋体"/>
          <w:kern w:val="0"/>
          <w:sz w:val="24"/>
        </w:rPr>
        <w:t>价格指数</w:t>
      </w:r>
      <w:r>
        <w:rPr>
          <w:rFonts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1、选样空间</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深证300指数样本股。</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2、选样方法</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bCs/>
          <w:kern w:val="0"/>
          <w:sz w:val="24"/>
        </w:rPr>
        <w:t>1</w:t>
      </w:r>
      <w:r>
        <w:rPr>
          <w:rFonts w:hint="eastAsia" w:ascii="宋体" w:hAnsi="宋体"/>
          <w:bCs/>
          <w:kern w:val="0"/>
          <w:sz w:val="24"/>
        </w:rPr>
        <w:t>）计算价值因子的变量数值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 xml:space="preserve">价值因子有四个变量：每股收益与价格比率、每股经营现金流与价格比率、股息收益率、每股净资产与价格比率。 </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2）计算风格Z值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计算出每只股票的变量值之后，在样本空间内对所有变量值进行标准化z分处理。</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为确保用于标准化处理的市场均值不会因为极值而受到太大影响，计算增长率变量时，先对样本空间内所有股票的数值按照升序排列。对于处在下端10%或者上端90%等级的数值，分别设定为第10%等级与90%等级的数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一个公司股票的价值Z值是四个价值因子变量Z值的均值。</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bCs/>
          <w:kern w:val="0"/>
          <w:sz w:val="24"/>
        </w:rPr>
        <w:t>3</w:t>
      </w:r>
      <w:r>
        <w:rPr>
          <w:rFonts w:hint="eastAsia" w:ascii="宋体" w:hAnsi="宋体"/>
          <w:bCs/>
          <w:kern w:val="0"/>
          <w:sz w:val="24"/>
        </w:rPr>
        <w:t>）</w:t>
      </w:r>
      <w:r>
        <w:rPr>
          <w:rFonts w:ascii="宋体" w:hAnsi="宋体"/>
          <w:bCs/>
          <w:kern w:val="0"/>
          <w:sz w:val="24"/>
        </w:rPr>
        <w:t>指数选样</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在深证300中选取价值Z值最高的100只股票作为深证300价值指数初始样本股。</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3、指数计算</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指数采用派氏加权法，依据下列公式逐日连锁实时计算：</w:t>
      </w:r>
    </w:p>
    <w:p>
      <w:pPr>
        <w:autoSpaceDE w:val="0"/>
        <w:autoSpaceDN w:val="0"/>
        <w:adjustRightInd w:val="0"/>
        <w:snapToGrid w:val="0"/>
        <w:spacing w:line="360" w:lineRule="auto"/>
        <w:ind w:left="105" w:leftChars="50" w:firstLine="480" w:firstLineChars="200"/>
        <w:rPr>
          <w:rFonts w:ascii="宋体" w:hAnsi="宋体"/>
          <w:bCs/>
          <w:kern w:val="0"/>
          <w:sz w:val="24"/>
        </w:rPr>
      </w:pPr>
      <w:r>
        <w:rPr>
          <w:rFonts w:ascii="宋体" w:hAnsi="宋体"/>
          <w:kern w:val="0"/>
          <w:sz w:val="24"/>
        </w:rPr>
        <w:drawing>
          <wp:inline distT="0" distB="0" distL="0" distR="0">
            <wp:extent cx="4733925" cy="548640"/>
            <wp:effectExtent l="0" t="0" r="9525"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4777135" cy="553612"/>
                    </a:xfrm>
                    <a:prstGeom prst="rect">
                      <a:avLst/>
                    </a:prstGeom>
                  </pic:spPr>
                </pic:pic>
              </a:graphicData>
            </a:graphic>
          </wp:inline>
        </w:drawing>
      </w:r>
    </w:p>
    <w:p>
      <w:pPr>
        <w:autoSpaceDE w:val="0"/>
        <w:autoSpaceDN w:val="0"/>
        <w:adjustRightInd w:val="0"/>
        <w:snapToGrid w:val="0"/>
        <w:spacing w:line="360" w:lineRule="auto"/>
        <w:ind w:left="105" w:leftChars="50" w:firstLine="480" w:firstLineChars="200"/>
        <w:rPr>
          <w:rFonts w:ascii="宋体" w:hAnsi="宋体"/>
          <w:bCs/>
          <w:kern w:val="0"/>
          <w:sz w:val="24"/>
        </w:rPr>
      </w:pPr>
      <w:r>
        <w:rPr>
          <w:rFonts w:hint="eastAsia" w:ascii="宋体" w:hAnsi="宋体"/>
          <w:bCs/>
          <w:kern w:val="0"/>
          <w:sz w:val="24"/>
        </w:rPr>
        <w:t>有关标的指数具体编制方案及成份股信息详见深圳证券信息有限公司国证指数网网站，网址：</w:t>
      </w:r>
      <w:r>
        <w:rPr>
          <w:rFonts w:ascii="宋体" w:hAnsi="宋体"/>
          <w:bCs/>
          <w:kern w:val="0"/>
          <w:sz w:val="24"/>
        </w:rPr>
        <w:t>www.cnindex.com.cn</w:t>
      </w:r>
      <w:r>
        <w:rPr>
          <w:rFonts w:hint="eastAsia" w:ascii="宋体" w:hAnsi="宋体"/>
          <w:bCs/>
          <w:kern w:val="0"/>
          <w:sz w:val="24"/>
        </w:rPr>
        <w:t>。</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宋体" w:hAnsi="宋体"/>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投资有风险，投资者在投资本基金前应认真阅读本基金的招募说明书、基金合同、基金产品资料概要。基金的过往业绩并不代表其未来表现。基金管理人管理的其他基金的业绩并不构成对本基金业绩表现的保证。</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本基金本次更新招募说明书对基金合同变更的相关信息进行更新，基金合同变更相关信息截止日为202</w:t>
      </w:r>
      <w:r>
        <w:rPr>
          <w:rFonts w:ascii="Times New Roman" w:hAnsi="Times New Roman"/>
          <w:kern w:val="0"/>
          <w:sz w:val="24"/>
        </w:rPr>
        <w:t>1</w:t>
      </w:r>
      <w:r>
        <w:rPr>
          <w:rFonts w:hint="eastAsia" w:ascii="Times New Roman" w:hAnsi="Times New Roman"/>
          <w:kern w:val="0"/>
          <w:sz w:val="24"/>
        </w:rPr>
        <w:t>年0</w:t>
      </w:r>
      <w:r>
        <w:rPr>
          <w:rFonts w:ascii="Times New Roman" w:hAnsi="Times New Roman"/>
          <w:kern w:val="0"/>
          <w:sz w:val="24"/>
        </w:rPr>
        <w:t>3</w:t>
      </w:r>
      <w:r>
        <w:rPr>
          <w:rFonts w:hint="eastAsia" w:ascii="Times New Roman" w:hAnsi="Times New Roman"/>
          <w:kern w:val="0"/>
          <w:sz w:val="24"/>
        </w:rPr>
        <w:t>月</w:t>
      </w:r>
      <w:r>
        <w:rPr>
          <w:rFonts w:ascii="Times New Roman" w:hAnsi="Times New Roman"/>
          <w:kern w:val="0"/>
          <w:sz w:val="24"/>
        </w:rPr>
        <w:t>31</w:t>
      </w:r>
      <w:r>
        <w:rPr>
          <w:rFonts w:hint="eastAsia" w:ascii="Times New Roman" w:hAnsi="Times New Roman"/>
          <w:kern w:val="0"/>
          <w:sz w:val="24"/>
        </w:rPr>
        <w:t>日。</w:t>
      </w:r>
      <w:r>
        <w:rPr>
          <w:rFonts w:ascii="Times New Roman" w:hAnsi="Times New Roman"/>
          <w:kern w:val="0"/>
          <w:sz w:val="24"/>
        </w:rPr>
        <w:t>本招募说明书所载</w:t>
      </w:r>
      <w:r>
        <w:rPr>
          <w:rFonts w:hint="eastAsia" w:ascii="Times New Roman" w:hAnsi="Times New Roman"/>
          <w:kern w:val="0"/>
          <w:sz w:val="24"/>
        </w:rPr>
        <w:t>其他</w:t>
      </w:r>
      <w:r>
        <w:rPr>
          <w:rFonts w:ascii="Times New Roman" w:hAnsi="Times New Roman"/>
          <w:kern w:val="0"/>
          <w:sz w:val="24"/>
        </w:rPr>
        <w:t>内容截止日为2020年09月10日，有关财务数据和净值表现截止日为2020年06月30日。本招募说明书所载的财务数据未经审计。</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ascii="Times New Roman" w:hAnsi="Times New Roman"/>
          <w:kern w:val="0"/>
          <w:sz w:val="24"/>
        </w:rPr>
        <w:t>本次更新招募说明书主要对基金经理变更相关事项进行了相应更新，更新截止日为2021年5月6日，除非另有说明，本招募说明书其他所载内容截止日为</w:t>
      </w:r>
      <w:r>
        <w:rPr>
          <w:rFonts w:ascii="Times New Roman" w:hAnsi="Times New Roman"/>
          <w:kern w:val="0"/>
          <w:sz w:val="24"/>
        </w:rPr>
        <w:t>2020年09月10日</w:t>
      </w:r>
      <w:r>
        <w:rPr>
          <w:rFonts w:hint="eastAsia" w:ascii="Times New Roman" w:hAnsi="Times New Roman"/>
          <w:kern w:val="0"/>
          <w:sz w:val="24"/>
        </w:rPr>
        <w:t>，有关财务和业绩表现数据截止日为</w:t>
      </w:r>
      <w:r>
        <w:rPr>
          <w:rFonts w:ascii="Times New Roman" w:hAnsi="Times New Roman"/>
          <w:kern w:val="0"/>
          <w:sz w:val="24"/>
        </w:rPr>
        <w:t>2020年06月30日</w:t>
      </w:r>
      <w:r>
        <w:rPr>
          <w:rFonts w:hint="eastAsia" w:ascii="Times New Roman" w:hAnsi="Times New Roman"/>
          <w:kern w:val="0"/>
          <w:sz w:val="24"/>
        </w:rPr>
        <w:t>财务和业绩表现数据未经审计。</w:t>
      </w:r>
    </w:p>
    <w:p>
      <w:pPr>
        <w:autoSpaceDE w:val="0"/>
        <w:autoSpaceDN w:val="0"/>
        <w:adjustRightInd w:val="0"/>
        <w:snapToGrid w:val="0"/>
        <w:spacing w:line="360" w:lineRule="auto"/>
        <w:ind w:left="105" w:leftChars="50" w:firstLine="480" w:firstLineChars="200"/>
        <w:rPr>
          <w:rFonts w:ascii="Times New Roman" w:hAnsi="Times New Roman"/>
          <w:kern w:val="0"/>
          <w:sz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"_Toc54104420"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_Toc54104420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"_Toc54104421"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_Toc54104421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"_Toc54104422"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_Toc54104422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"_Toc54104423"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_Toc54104423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"_Toc54104424"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_Toc54104424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"_Toc54104425"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_Toc54104425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"_Toc54104426"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_Toc54104426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"_Toc54104427"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_Toc54104427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"_Toc54104428" </w:instrText>
      </w:r>
      <w:r>
        <w:fldChar w:fldCharType="separate"/>
      </w:r>
      <w:r>
        <w:rPr>
          <w:rStyle w:val="18"/>
          <w:rFonts w:hint="eastAsia" w:ascii="宋体" w:hAnsi="宋体"/>
          <w:sz w:val="24"/>
        </w:rPr>
        <w:t>八、基金份额的上市交易</w:t>
      </w:r>
      <w:r>
        <w:rPr>
          <w:rFonts w:ascii="宋体" w:hAnsi="宋体"/>
          <w:sz w:val="24"/>
        </w:rPr>
        <w:tab/>
      </w:r>
      <w:r>
        <w:rPr>
          <w:rFonts w:ascii="宋体" w:hAnsi="宋体"/>
          <w:sz w:val="24"/>
        </w:rPr>
        <w:fldChar w:fldCharType="begin"/>
      </w:r>
      <w:r>
        <w:rPr>
          <w:rFonts w:ascii="宋体" w:hAnsi="宋体"/>
          <w:sz w:val="24"/>
        </w:rPr>
        <w:instrText xml:space="preserve"> PAGEREF _Toc54104428 \h </w:instrText>
      </w:r>
      <w:r>
        <w:rPr>
          <w:rFonts w:ascii="宋体" w:hAnsi="宋体"/>
          <w:sz w:val="24"/>
        </w:rPr>
        <w:fldChar w:fldCharType="separate"/>
      </w:r>
      <w:r>
        <w:rPr>
          <w:rFonts w:ascii="宋体" w:hAnsi="宋体"/>
          <w:sz w:val="24"/>
        </w:rPr>
        <w:t>34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"_Toc54104429" </w:instrText>
      </w:r>
      <w:r>
        <w:fldChar w:fldCharType="separate"/>
      </w:r>
      <w:r>
        <w:rPr>
          <w:rStyle w:val="18"/>
          <w:rFonts w:hint="eastAsia" w:ascii="宋体" w:hAnsi="宋体"/>
          <w:sz w:val="24"/>
        </w:rPr>
        <w:t>九、基金份额的申购与赎回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_Toc54104429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"_Toc54104430"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_Toc54104430 \h </w:instrText>
      </w:r>
      <w:r>
        <w:rPr>
          <w:rFonts w:ascii="宋体" w:hAnsi="宋体"/>
          <w:sz w:val="24"/>
        </w:rPr>
        <w:fldChar w:fldCharType="separate"/>
      </w:r>
      <w:r>
        <w:rPr>
          <w:rFonts w:ascii="宋体" w:hAnsi="宋体"/>
          <w:sz w:val="24"/>
        </w:rPr>
        <w:t>48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"_Toc54104431"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_Toc54104431 \h </w:instrText>
      </w:r>
      <w:r>
        <w:rPr>
          <w:rFonts w:ascii="宋体" w:hAnsi="宋体"/>
          <w:sz w:val="24"/>
        </w:rPr>
        <w:fldChar w:fldCharType="separate"/>
      </w:r>
      <w:r>
        <w:rPr>
          <w:rFonts w:ascii="宋体" w:hAnsi="宋体"/>
          <w:sz w:val="24"/>
        </w:rPr>
        <w:t>58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"_Toc54104432"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_Toc54104432 \h </w:instrText>
      </w:r>
      <w:r>
        <w:rPr>
          <w:rFonts w:ascii="宋体" w:hAnsi="宋体"/>
          <w:sz w:val="24"/>
        </w:rPr>
        <w:fldChar w:fldCharType="separate"/>
      </w:r>
      <w:r>
        <w:rPr>
          <w:rFonts w:ascii="宋体" w:hAnsi="宋体"/>
          <w:sz w:val="24"/>
        </w:rPr>
        <w:t>60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"_Toc54104433"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_Toc54104433 \h </w:instrText>
      </w:r>
      <w:r>
        <w:rPr>
          <w:rFonts w:ascii="宋体" w:hAnsi="宋体"/>
          <w:sz w:val="24"/>
        </w:rPr>
        <w:fldChar w:fldCharType="separate"/>
      </w:r>
      <w:r>
        <w:rPr>
          <w:rFonts w:ascii="宋体" w:hAnsi="宋体"/>
          <w:sz w:val="24"/>
        </w:rPr>
        <w:t>61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"_Toc54104434" </w:instrText>
      </w:r>
      <w:r>
        <w:fldChar w:fldCharType="separate"/>
      </w:r>
      <w:r>
        <w:rPr>
          <w:rStyle w:val="18"/>
          <w:rFonts w:hint="eastAsia" w:ascii="宋体" w:hAnsi="宋体"/>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_Toc54104434 \h </w:instrText>
      </w:r>
      <w:r>
        <w:rPr>
          <w:rFonts w:ascii="宋体" w:hAnsi="宋体"/>
          <w:sz w:val="24"/>
        </w:rPr>
        <w:fldChar w:fldCharType="separate"/>
      </w:r>
      <w:r>
        <w:rPr>
          <w:rFonts w:ascii="宋体" w:hAnsi="宋体"/>
          <w:sz w:val="24"/>
        </w:rPr>
        <w:t>68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"_Toc54104435"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_Toc54104435 \h </w:instrText>
      </w:r>
      <w:r>
        <w:rPr>
          <w:rFonts w:ascii="宋体" w:hAnsi="宋体"/>
          <w:sz w:val="24"/>
        </w:rPr>
        <w:fldChar w:fldCharType="separate"/>
      </w:r>
      <w:r>
        <w:rPr>
          <w:rFonts w:ascii="宋体" w:hAnsi="宋体"/>
          <w:sz w:val="24"/>
        </w:rPr>
        <w:t>70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"_Toc54104436"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_Toc54104436 \h </w:instrText>
      </w:r>
      <w:r>
        <w:rPr>
          <w:rFonts w:ascii="宋体" w:hAnsi="宋体"/>
          <w:sz w:val="24"/>
        </w:rPr>
        <w:fldChar w:fldCharType="separate"/>
      </w:r>
      <w:r>
        <w:rPr>
          <w:rFonts w:ascii="宋体" w:hAnsi="宋体"/>
          <w:sz w:val="24"/>
        </w:rPr>
        <w:t>73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"_Toc54104437"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_Toc54104437 \h </w:instrText>
      </w:r>
      <w:r>
        <w:rPr>
          <w:rFonts w:ascii="宋体" w:hAnsi="宋体"/>
          <w:sz w:val="24"/>
        </w:rPr>
        <w:fldChar w:fldCharType="separate"/>
      </w:r>
      <w:r>
        <w:rPr>
          <w:rFonts w:ascii="宋体" w:hAnsi="宋体"/>
          <w:sz w:val="24"/>
        </w:rPr>
        <w:t>74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"_Toc54104438" </w:instrText>
      </w:r>
      <w:r>
        <w:fldChar w:fldCharType="separate"/>
      </w:r>
      <w:r>
        <w:rPr>
          <w:rStyle w:val="18"/>
          <w:rFonts w:hint="eastAsia" w:ascii="宋体" w:hAnsi="宋体"/>
          <w:sz w:val="24"/>
        </w:rPr>
        <w:t>十八、风险揭示</w:t>
      </w:r>
      <w:r>
        <w:rPr>
          <w:rFonts w:ascii="宋体" w:hAnsi="宋体"/>
          <w:sz w:val="24"/>
        </w:rPr>
        <w:tab/>
      </w:r>
      <w:r>
        <w:rPr>
          <w:rFonts w:ascii="宋体" w:hAnsi="宋体"/>
          <w:sz w:val="24"/>
        </w:rPr>
        <w:fldChar w:fldCharType="begin"/>
      </w:r>
      <w:r>
        <w:rPr>
          <w:rFonts w:ascii="宋体" w:hAnsi="宋体"/>
          <w:sz w:val="24"/>
        </w:rPr>
        <w:instrText xml:space="preserve"> PAGEREF _Toc54104438 \h </w:instrText>
      </w:r>
      <w:r>
        <w:rPr>
          <w:rFonts w:ascii="宋体" w:hAnsi="宋体"/>
          <w:sz w:val="24"/>
        </w:rPr>
        <w:fldChar w:fldCharType="separate"/>
      </w:r>
      <w:r>
        <w:rPr>
          <w:rFonts w:ascii="宋体" w:hAnsi="宋体"/>
          <w:sz w:val="24"/>
        </w:rPr>
        <w:t>79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"_Toc54104439" </w:instrText>
      </w:r>
      <w:r>
        <w:fldChar w:fldCharType="separate"/>
      </w:r>
      <w:r>
        <w:rPr>
          <w:rStyle w:val="18"/>
          <w:rFonts w:hint="eastAsia" w:ascii="宋体" w:hAnsi="宋体"/>
          <w:sz w:val="24"/>
        </w:rPr>
        <w:t>十九、基金合同的终止与基金财产的清算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_Toc54104439 \h </w:instrText>
      </w:r>
      <w:r>
        <w:rPr>
          <w:rFonts w:ascii="宋体" w:hAnsi="宋体"/>
          <w:sz w:val="24"/>
        </w:rPr>
        <w:fldChar w:fldCharType="separate"/>
      </w:r>
      <w:r>
        <w:rPr>
          <w:rFonts w:ascii="宋体" w:hAnsi="宋体"/>
          <w:sz w:val="24"/>
        </w:rPr>
        <w:t>85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"_Toc54104440" </w:instrText>
      </w:r>
      <w:r>
        <w:fldChar w:fldCharType="separate"/>
      </w:r>
      <w:r>
        <w:rPr>
          <w:rStyle w:val="18"/>
          <w:rFonts w:hint="eastAsia" w:ascii="宋体" w:hAnsi="宋体"/>
          <w:sz w:val="24"/>
        </w:rPr>
        <w:t>二十、基金合同内容摘要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_Toc54104440 \h </w:instrText>
      </w:r>
      <w:r>
        <w:rPr>
          <w:rFonts w:ascii="宋体" w:hAnsi="宋体"/>
          <w:sz w:val="24"/>
        </w:rPr>
        <w:fldChar w:fldCharType="separate"/>
      </w:r>
      <w:r>
        <w:rPr>
          <w:rFonts w:ascii="宋体" w:hAnsi="宋体"/>
          <w:sz w:val="24"/>
        </w:rPr>
        <w:t>87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"_Toc54104441" </w:instrText>
      </w:r>
      <w:r>
        <w:fldChar w:fldCharType="separate"/>
      </w:r>
      <w:r>
        <w:rPr>
          <w:rStyle w:val="18"/>
          <w:rFonts w:hint="eastAsia" w:ascii="宋体" w:hAnsi="宋体"/>
          <w:sz w:val="24"/>
        </w:rPr>
        <w:t>二十一、托管协议的内容摘要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_Toc54104441 \h </w:instrText>
      </w:r>
      <w:r>
        <w:rPr>
          <w:rFonts w:ascii="宋体" w:hAnsi="宋体"/>
          <w:sz w:val="24"/>
        </w:rPr>
        <w:fldChar w:fldCharType="separate"/>
      </w:r>
      <w:r>
        <w:rPr>
          <w:rFonts w:ascii="宋体" w:hAnsi="宋体"/>
          <w:sz w:val="24"/>
        </w:rPr>
        <w:t>102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"_Toc54104442" </w:instrText>
      </w:r>
      <w:r>
        <w:fldChar w:fldCharType="separate"/>
      </w:r>
      <w:r>
        <w:rPr>
          <w:rStyle w:val="18"/>
          <w:rFonts w:hint="eastAsia" w:ascii="宋体" w:hAnsi="宋体"/>
          <w:sz w:val="24"/>
        </w:rPr>
        <w:t>二十二、对基金份额持有人的服务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_Toc54104442 \h </w:instrText>
      </w:r>
      <w:r>
        <w:rPr>
          <w:rFonts w:ascii="宋体" w:hAnsi="宋体"/>
          <w:sz w:val="24"/>
        </w:rPr>
        <w:fldChar w:fldCharType="separate"/>
      </w:r>
      <w:r>
        <w:rPr>
          <w:rFonts w:ascii="宋体" w:hAnsi="宋体"/>
          <w:sz w:val="24"/>
        </w:rPr>
        <w:t>118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"_Toc54104443" </w:instrText>
      </w:r>
      <w:r>
        <w:fldChar w:fldCharType="separate"/>
      </w:r>
      <w:r>
        <w:rPr>
          <w:rStyle w:val="18"/>
          <w:rFonts w:hint="eastAsia" w:ascii="宋体" w:hAnsi="宋体"/>
          <w:sz w:val="24"/>
        </w:rPr>
        <w:t>二十三、其他应披露事项</w:t>
      </w:r>
      <w:r>
        <w:rPr>
          <w:rFonts w:ascii="宋体" w:hAnsi="宋体"/>
          <w:sz w:val="24"/>
        </w:rPr>
        <w:tab/>
      </w:r>
      <w:r>
        <w:rPr>
          <w:rFonts w:ascii="宋体" w:hAnsi="宋体"/>
          <w:sz w:val="24"/>
        </w:rPr>
        <w:fldChar w:fldCharType="begin"/>
      </w:r>
      <w:r>
        <w:rPr>
          <w:rFonts w:ascii="宋体" w:hAnsi="宋体"/>
          <w:sz w:val="24"/>
        </w:rPr>
        <w:instrText xml:space="preserve"> PAGEREF _Toc54104443 \h </w:instrText>
      </w:r>
      <w:r>
        <w:rPr>
          <w:rFonts w:ascii="宋体" w:hAnsi="宋体"/>
          <w:sz w:val="24"/>
        </w:rPr>
        <w:fldChar w:fldCharType="separate"/>
      </w:r>
      <w:r>
        <w:rPr>
          <w:rFonts w:ascii="宋体" w:hAnsi="宋体"/>
          <w:sz w:val="24"/>
        </w:rPr>
        <w:t>119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"_Toc54104444" </w:instrText>
      </w:r>
      <w:r>
        <w:fldChar w:fldCharType="separate"/>
      </w:r>
      <w:r>
        <w:rPr>
          <w:rStyle w:val="18"/>
          <w:rFonts w:hint="eastAsia" w:ascii="宋体" w:hAnsi="宋体"/>
          <w:sz w:val="24"/>
        </w:rPr>
        <w:t>二十四、招募说明书的存放及查阅方式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_Toc54104444 \h </w:instrText>
      </w:r>
      <w:r>
        <w:rPr>
          <w:rFonts w:ascii="宋体" w:hAnsi="宋体"/>
          <w:sz w:val="24"/>
        </w:rPr>
        <w:fldChar w:fldCharType="separate"/>
      </w:r>
      <w:r>
        <w:rPr>
          <w:rFonts w:ascii="宋体" w:hAnsi="宋体"/>
          <w:sz w:val="24"/>
        </w:rPr>
        <w:t>121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olor w:val="000000"/>
          <w:sz w:val="24"/>
        </w:rPr>
      </w:pPr>
      <w:r>
        <w:fldChar w:fldCharType="begin"/>
      </w:r>
      <w:r>
        <w:instrText xml:space="preserve"> HYPERLINK \l "_Toc54104445" </w:instrText>
      </w:r>
      <w:r>
        <w:fldChar w:fldCharType="separate"/>
      </w:r>
      <w:r>
        <w:rPr>
          <w:rStyle w:val="18"/>
          <w:rFonts w:hint="eastAsia" w:ascii="宋体" w:hAnsi="宋体"/>
          <w:sz w:val="24"/>
        </w:rPr>
        <w:t>二十五、备查文件</w:t>
      </w:r>
      <w:r>
        <w:rPr>
          <w:rFonts w:ascii="宋体" w:hAnsi="宋体"/>
          <w:sz w:val="24"/>
        </w:rPr>
        <w:tab/>
      </w:r>
      <w:r>
        <w:rPr>
          <w:rFonts w:ascii="宋体" w:hAnsi="宋体"/>
          <w:sz w:val="24"/>
        </w:rPr>
        <w:fldChar w:fldCharType="begin"/>
      </w:r>
      <w:r>
        <w:rPr>
          <w:rFonts w:ascii="宋体" w:hAnsi="宋体"/>
          <w:sz w:val="24"/>
        </w:rPr>
        <w:instrText xml:space="preserve"> PAGEREF _Toc54104445 \h </w:instrText>
      </w:r>
      <w:r>
        <w:rPr>
          <w:rFonts w:ascii="宋体" w:hAnsi="宋体"/>
          <w:sz w:val="24"/>
        </w:rPr>
        <w:fldChar w:fldCharType="separate"/>
      </w:r>
      <w:r>
        <w:rPr>
          <w:rFonts w:ascii="宋体" w:hAnsi="宋体"/>
          <w:sz w:val="24"/>
        </w:rPr>
        <w:t>122</w:t>
      </w:r>
      <w:r>
        <w:rPr>
          <w:rFonts w:ascii="宋体" w:hAnsi="宋体"/>
          <w:sz w:val="24"/>
        </w:rPr>
        <w:fldChar w:fldCharType="end"/>
      </w:r>
      <w:r>
        <w:rPr>
          <w:rFonts w:ascii="宋体" w:hAnsi="宋体"/>
          <w:sz w:val="24"/>
        </w:rPr>
        <w:fldChar w:fldCharType="end"/>
      </w: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54104421"/>
      <w:r>
        <w:rPr>
          <w:rFonts w:ascii="Times New Roman" w:hAnsi="Times New Roman"/>
          <w:sz w:val="30"/>
        </w:rPr>
        <w:t>一、绪言</w:t>
      </w:r>
      <w:bookmarkEnd w:id="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深证300价值交易型开放式指数证券投资基金招募说明书》（以下简称“本招募说明书”或“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w:t>
      </w:r>
      <w:r>
        <w:rPr>
          <w:rFonts w:hint="eastAsia" w:ascii="Times New Roman" w:hAnsi="Times New Roman"/>
          <w:sz w:val="24"/>
        </w:rPr>
        <w:t>、《公开募集证券投资基金运作指引第3号——指数基金指引》（以下简称“《指数基金指引》”）</w:t>
      </w:r>
      <w:r>
        <w:rPr>
          <w:rFonts w:ascii="Times New Roman" w:hAnsi="Times New Roman"/>
          <w:sz w:val="24"/>
        </w:rPr>
        <w:t>和其他相关法律法规的规定以及《深证300价值交易型开放式指数证券投资基金基金合同》（以下简称“基金合同”）编写。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54104422"/>
      <w:r>
        <w:rPr>
          <w:rFonts w:ascii="Times New Roman" w:hAnsi="Times New Roman"/>
          <w:sz w:val="30"/>
        </w:rPr>
        <w:t>二、释义</w:t>
      </w:r>
      <w:bookmarkEnd w:id="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在本招募说明书中，除非文意另有所指，下列词语或简称具有如下含义：</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基金管理人或本基金管理人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基金托管人或本基金托管人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基金合同或本基金合同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指《深证300价值交易型开放式指数证券投资基金基金合同》及对基金合同的任何有效修订和补充</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托管协议或本托管协议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指《深证300价值交易型开放式指数证券投资基金托管协议》及对该托管协议的任何有效修订和补充</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指《深证300价值交易型开放式指数证券投资基金招募说明书》，及其更新</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基金份额发售公告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指《深证300价值交易型开放式指数证券投资基金份额发售公告》</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指《深证300价值交易型开放式指数证券投资基金基金产品资料概要》及其更新</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指中国现行有效并公布实施的法律、行政法规、部门规章、规范性文件及对该等法律法规不时作出的修订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指2005年10月27日经第十届全国人民代表大会常务委员会第十八次会议通过，自2006年1月1日实施的《中华人民共和国证券法》及颁布机关对其不时做出的修订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指2003年10月28日经第十届全国人民代表大会常务委员会第五次会议通过，自2004年6月1日起实施的《中华人民共和国证券投资基金法》及颁布机关对其不时作出的修订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指中国证监会2011年6月9日颁布、同年10月1日实施的《证券投资基金销售管理办法》及对其不时作出的修订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指中国证监会2019年7月26日颁布、同年9月1日实施的《公开募集证券投资基金信息披露管理办法》及对其不时作出的修订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指中国证监会2004年6月29日颁布、同年7月1日实施的《证券投资基金运作管理办法》及对其不时作出的修订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指中国证监会2017年8月31日颁布、同年10月1日实施的《公开募集开放式证券投资基金流动性</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color w:val="000000"/>
                <w:kern w:val="0"/>
                <w:sz w:val="25"/>
                <w:szCs w:val="24"/>
              </w:rPr>
            </w:pPr>
            <w:r>
              <w:rPr>
                <w:rFonts w:hint="eastAsia" w:ascii="Times New Roman" w:hAnsi="Times New Roman"/>
                <w:color w:val="000000"/>
                <w:kern w:val="0"/>
                <w:sz w:val="25"/>
                <w:szCs w:val="24"/>
              </w:rPr>
              <w:t>《指数基金指引》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Times New Roman" w:hAnsi="Times New Roman"/>
                <w:color w:val="000000"/>
                <w:kern w:val="0"/>
                <w:sz w:val="25"/>
                <w:szCs w:val="24"/>
              </w:rPr>
            </w:pPr>
            <w:r>
              <w:rPr>
                <w:rFonts w:hint="eastAsia" w:ascii="Times New Roman" w:hAnsi="Times New Roman"/>
                <w:color w:val="000000"/>
                <w:kern w:val="0"/>
                <w:sz w:val="25"/>
                <w:szCs w:val="24"/>
              </w:rPr>
              <w:t>指中国证监会2021年1月22日颁布、同年2月1日实施的《公开募集证券投资基金运作指引第3号——指数基金指引》及颁布机关对其不时做出的修订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中国银监会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指受基金合同约束，根据基金合同享有权利并承担义务的法律主体，包括基金管理人、基金托管人和基金份额持有人</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指符合法律法规规定的条件可以投资证券投资基金的自然人</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指符合法律法规规定可以投资证券投资基金的在中国境内注册登记或经政府有关部门批准设立的机构</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指符合《合格境外机构投资者境内证券投资管理办法》及其他相关法律法规规定的条件，经中国证监会批准可投资于中国证券市场，并取得国家外汇管理局额度批准的中国境外的机构投资者</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基金投资者或投资者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指个人投资者、机构投资者和合格境外机构投资者，以及法律法规或中国证监会允许购买证券投资基金的其他投资者</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指依据基金合同和招募说明书合法取得基金份额的基金投资者</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深交所《业务细则》</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指《深圳证券交易所交易型开放式指数基金业务实施细则》及对其不时作出的修订</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交易型开放式指数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指深交所《业务细则》定义的“交易型开放式指数基金”</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证券投资基金联接基金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指将绝大部分基金财产投资于本基金，与本基金的投资目标类似，紧密跟踪标的指数表现，追求跟踪偏离度和跟踪误差最小化，采用开放式运作的基金</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发售代理机构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指符合《销售办法》和中国证监会规定的其他条件，由基金管理人指定的代理本基金发售业务的机构</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申购赎回代理券商</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指符合《销售办法》和中国证监会规定的其他条件，由基金管理人指定的办理本基金申购、赎回业务的证券公司，又称为代办证券公司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代销机构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指符合《销售办法》和中国证监会规定的其他条件，取得基金代销业务资格并接受基金管理人委托，代为办理基金销售业务的机构，包括发售代理机构及申购赎回代理券商</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直销机构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指直销机构和/或代销机构</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指直销机构的直销中心和/或代销机构的代销网点</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注册登记业务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注册登记机构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指中国证券登记结算有限责任公司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指注册登记机构为基金投资者开立的、记录其持有的、基金管理人所管理的基金份额余额及其变动情况的账户</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指基金募集期结束后达到法律法规规定及基金合同约定的备案条件，基金管理人聘请法定机构验资并向中国证监会办理基金备案手续完毕，并收到其书面确认的日期</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指自基金份额发售之日起至发售结束之日止的期间，最长不得超过3个月</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存续期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指基金合同生效至终止之间的不定期期限</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指深圳证券交易所的正常交易日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指销售机构在规定时间受理基金投资者有效申请工作日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T+n日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指自T日起第n个工作日(不包含T日)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指为基金投资者办理基金份额申购、赎回或其他业务的工作日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指在基金募集期内，基金投资者申请购买基金份额的行为</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指在基金存续期内，投资者按本基金合同规定的条件，以申购赎回清单规定的申购对价向基金管理人购买基金份额的行为，申购将导致本基金份额总数的增加</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指在基金存续期内，基金份额持有人按基金合同规定的条件，向基金管理人申请将本基金基金份额兑换为申购赎回清单所规定的赎回对价的行为，赎回将导致本基金份额总数的减少</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申购赎回清单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指由基金管理人编制的用以公告申购对价、赎回对价等信息的文件</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申购对价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指投资者申购基金份额时，按基金合同和招募说明书规定应交付的组合证券、现金替代、现金差额及其他对价</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赎回对价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指投资者赎回基金份额时，基金管理人按基金合同和招募说明书规定应交付给赎回人的组合证券、现金替代、现金差额及其他对价</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指深证300价值价格指数及其未来可能发生的变更</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完全复制法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指一种构建跟踪指数的投资组合的方法。通过购买标的指数中的所有成份证券，并且按照每种成份证券在标的指数中的权重确定购买的比例，以达到复制指数的目的</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指本基金申购份额、赎回份额的最低数量，投资者申购或赎回的基金份额应为最小申购赎回单位的整数倍</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现金替代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指申购或赎回过程中，投资者按基金合同和招募说明书的规定，用于替代组合证券中部分证券的一定数量的现金</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预估现金差额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指由基金管理人计算并在T日申购赎回清单中公布的当日现金差额的预估值，预估现金差额由申购赎回代理券商预先冻结</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基金份额参考净值</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指深圳证券交易在交易时间内根据基金管理人提供的计算依据及计算方法计算并发布的基金份额参考净值，简称IOPV</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指人民币元</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指基金利息收入、投资收益、公允价值变动收益和其他收入扣除相关费用后的余额</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收益评价日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指基金管理人计算本基金净值增长率与标的指数同期增长率差额之日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基金净值增长率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指收益评价日基金份额净值与基金上市前一日基金份额净值之比减去1乘以100%（期间如发生基金份额折算，则以基金份额折算日为初始日重新计算）</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标的指数同期增长率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指收益评价日标的指数收盘值与基金上市前一日标的指数收盘值之比减去1乘以100%（期间如发生基金份额折算，则以基金份额折算日为初始日重新计算）</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指基金拥有的各类有价证券、银行存款本息、基金应收款项及其他资产的价值总和</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指基金资产总值减去基金负债后的净资产值</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指计算日基金资产净值除以计算日基金份额总数的数值</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指计算评估基金资产和负债的价值，以确定基金资产净值和基金份额净值的过程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54104423"/>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（一）基金管理人概况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注册资本：2亿元人民币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联系人：郭佳敏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电话：（021）61055050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传真：（021）61055034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（二）主要成员情况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1、基金管理人董事会成员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李定邦（Lieven Debruyne）先生，董事，硕士。现任施罗德集团全球业务总裁、亚太区行政总裁, 担任集团管理委员会成员。历任施罗德投资管理有限公司亚洲投资产品总监，施罗德投资管理（香港）有限公司行政总裁兼亚太区基金业务拓展总监。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2、基金管理人监事会成员</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r>
        <w:rPr>
          <w:rFonts w:ascii="Times New Roman" w:hAnsi="Times New Roman"/>
          <w:sz w:val="24"/>
        </w:rPr>
        <w: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3、基金管理人高级管理人员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谢卫先生，总经理。简历同上。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rFonts w:hAnsi="宋体"/>
          <w:kern w:val="0"/>
          <w:sz w:val="24"/>
        </w:rPr>
      </w:pPr>
      <w:r>
        <w:rPr>
          <w:rFonts w:hint="eastAsia" w:hAnsi="宋体"/>
          <w:kern w:val="0"/>
          <w:sz w:val="24"/>
        </w:rPr>
        <w:t>马俊先生，副总经理、研究总监，硕士。历任交通银行总行投资管理部高级投资分析、副高级经理，交银施罗德基金管理有限公司总裁办公室总经理、研究部副总经理、研究总监、综合管理部总经理。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、本基金基金经理</w:t>
      </w:r>
      <w:r>
        <w:rPr>
          <w:rFonts w:hAnsi="宋体"/>
          <w:kern w:val="0"/>
          <w:sz w:val="24"/>
        </w:rPr>
        <w:t xml:space="preserve"> </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邵文婷女士，基金经理。英国诺丁汉大学金融与投资硕士、西南财经大学数学与经济学双学士，5年证券投资行业从业经验。2016年加入交银施罗德基金管理有限公司，曾任量化投资部研究员、投资经理，现任量化投资部基金经理。现任上证180公司治理交易型开放式指数证券投资基金（2021年4月30日至今）、交银施罗德上证180公司治理交易型开放式证券投资基金联接基金（2021年4月30日至今）、深证300价值交易型开放式指数证券投资基金（2021年4月30日至今）、交银施罗德深证300价值交易型开放式指数证券投资基金联接基金（2021年4月30日至今）、交银施罗德国证新能源指数证券投资基金（LOF）（2021年4月30日至今）、交银施罗德中证环境治理指数型证券投资基金（LOF）（2021年4月30日至今）、交银施罗德创业板50指数型证券投资基金（2021年4月30日至今）、交银施罗德中证海外中国互联网指数型证券投资基金（LOF）</w:t>
      </w:r>
      <w:bookmarkStart w:id="28" w:name="_GoBack"/>
      <w:bookmarkEnd w:id="28"/>
      <w:r>
        <w:rPr>
          <w:rFonts w:hint="eastAsia" w:hAnsi="宋体"/>
          <w:kern w:val="0"/>
          <w:sz w:val="24"/>
        </w:rPr>
        <w:t>（2021年4月30日至今）的基金经理。</w:t>
      </w:r>
    </w:p>
    <w:p>
      <w:pPr>
        <w:widowControl/>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、投资决策委员会成员</w:t>
      </w:r>
      <w:r>
        <w:rPr>
          <w:rFonts w:hAnsi="宋体"/>
          <w:kern w:val="0"/>
          <w:sz w:val="24"/>
        </w:rPr>
        <w:t xml:space="preserve"> </w:t>
      </w:r>
    </w:p>
    <w:p>
      <w:pPr>
        <w:adjustRightInd w:val="0"/>
        <w:snapToGrid w:val="0"/>
        <w:spacing w:line="360" w:lineRule="auto"/>
        <w:ind w:firstLine="480" w:firstLineChars="200"/>
        <w:rPr>
          <w:kern w:val="0"/>
          <w:sz w:val="24"/>
        </w:rPr>
      </w:pPr>
      <w:r>
        <w:rPr>
          <w:rFonts w:ascii="宋体" w:hAnsi="宋体" w:cs="宋体"/>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马俊（副总经理、研究总监）</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w:t>
      </w:r>
      <w:r>
        <w:rPr>
          <w:kern w:val="0"/>
          <w:sz w:val="24"/>
        </w:rPr>
        <w:t>固定收益（公募）投资总监</w:t>
      </w:r>
      <w:r>
        <w:rPr>
          <w:rFonts w:hint="eastAsia"/>
          <w:kern w:val="0"/>
          <w:sz w:val="24"/>
        </w:rPr>
        <w:t>、</w:t>
      </w:r>
      <w:r>
        <w:rPr>
          <w:kern w:val="0"/>
          <w:sz w:val="24"/>
        </w:rPr>
        <w:t>基金经理）</w:t>
      </w:r>
    </w:p>
    <w:p>
      <w:pPr>
        <w:adjustRightInd w:val="0"/>
        <w:snapToGrid w:val="0"/>
        <w:spacing w:line="360" w:lineRule="auto"/>
        <w:ind w:firstLine="480" w:firstLineChars="200"/>
        <w:rPr>
          <w:rFonts w:hAnsi="宋体"/>
          <w:kern w:val="0"/>
          <w:sz w:val="24"/>
        </w:rPr>
      </w:pPr>
      <w:r>
        <w:rPr>
          <w:kern w:val="0"/>
          <w:sz w:val="24"/>
          <w:szCs w:val="24"/>
        </w:rPr>
        <w:t>上述人员之间不存在近亲属关系。</w:t>
      </w:r>
      <w:r>
        <w:rPr>
          <w:rFonts w:hint="eastAsia"/>
          <w:kern w:val="0"/>
          <w:sz w:val="24"/>
          <w:szCs w:val="24"/>
        </w:rPr>
        <w:t>上述各项人员信息更新截止日为</w:t>
      </w:r>
      <w:r>
        <w:rPr>
          <w:kern w:val="0"/>
          <w:sz w:val="24"/>
          <w:szCs w:val="24"/>
        </w:rPr>
        <w:t>2021</w:t>
      </w:r>
      <w:r>
        <w:rPr>
          <w:rFonts w:hint="eastAsia"/>
          <w:kern w:val="0"/>
          <w:sz w:val="24"/>
          <w:szCs w:val="24"/>
        </w:rPr>
        <w:t>年</w:t>
      </w:r>
      <w:r>
        <w:rPr>
          <w:kern w:val="0"/>
          <w:sz w:val="24"/>
          <w:szCs w:val="24"/>
        </w:rPr>
        <w:t>5</w:t>
      </w:r>
      <w:r>
        <w:rPr>
          <w:rFonts w:hint="eastAsia"/>
          <w:kern w:val="0"/>
          <w:sz w:val="24"/>
          <w:szCs w:val="24"/>
        </w:rPr>
        <w:t>月</w:t>
      </w:r>
      <w:r>
        <w:rPr>
          <w:kern w:val="0"/>
          <w:sz w:val="24"/>
          <w:szCs w:val="24"/>
        </w:rPr>
        <w:t>6</w:t>
      </w:r>
      <w:r>
        <w:rPr>
          <w:rFonts w:hint="eastAsia"/>
          <w:kern w:val="0"/>
          <w:sz w:val="24"/>
          <w:szCs w:val="24"/>
        </w:rPr>
        <w:t>日，期后变动（如有）敬请关注基金管理人发布的相关公告。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（三）基金管理人的职责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7、计算并公告基金净值信息，确定基金份额申购、赎回价格；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8、办理与基金财产管理业务活动有关的信息披露事项；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12、有关法律法规和中国证监会规定的其他职责。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（四）基金管理人的承诺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（1）将基金管理人固有财产或者他人财产混同于基金财产从事证券投资；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（2）不公平地对待管理的不同基金财产；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（3）利用基金财产为基金份额持有人以外的第三人牟取利益；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（4）向基金份额持有人违规承诺收益或者承担损失；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（5）依照法律法规有关规定，由中国证监会规定禁止的其他行为。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5、基金管理人承诺不从事其他法规规定禁止从事的行为。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（五）基金经理承诺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2、不利用职务之便为自己、受雇人或任何第三者谋取利益；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4、不以任何形式为其他组织或个人进行证券交易。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（六）基金管理人的内部控制制度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1、风险管理的原则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全面性原则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独立性原则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相互制约原则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定性和定量相结合原则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建立完备的风险管理指标体系，使风险管理更具客观性和操作性。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2、风险管理和内部风险控制体系结构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（1）董事会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负责制定公司的风险管理政策，对风险管理负完全的和最终的责任。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（2）监事会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（3）合规审核及风险管理委员会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（4）风险控制委员会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（5）督察长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（6）风险管理部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（7）审计部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（8）法律合规部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（9）业务部门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3、风险管理和内部风险控制的措施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建立内控体系，完善内控制度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建立相互分离、相互制衡的内控机制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 建立、健全岗位责任制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建立风险分类、识别、评估、报告、提示程序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建立有效的内部监控系统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 使用数量化的风险管理手段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 提供足够的培训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54104424"/>
      <w:r>
        <w:rPr>
          <w:rFonts w:ascii="Times New Roman" w:hAnsi="Times New Roman"/>
          <w:sz w:val="30"/>
        </w:rPr>
        <w:t>四、基金托管人</w:t>
      </w:r>
      <w:bookmarkEnd w:id="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（一）基金托管人情况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1、基本情况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名称：中国农业银行股份有限公司（简称中国农业银行）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批准设立机关和批准设立文号：中国银监会银监复[2009]13号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基金托管资格批文及文号：中国证监会证监基字[1998]23号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注册资本：34,998,303.4万元人民币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联系电话：010-66060069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传真：010-68121816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联系人：贺倩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2、主要人员情况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3、基金托管业务经营情况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截止到2020年6月30日，中国农业银行托管的封闭式证券投资基金和开放式证券投资基金共529只。</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（二）基金托管人的内部风险控制制度说明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1、内部控制目标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2、内部控制组织结构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3、内部控制制度及措施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（三）基金托管人对基金管理人运作基金进行监督的方法和程序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1、电话提示。对媒体和舆论反映集中的问题，电话提示基金管理人；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54104425"/>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1、申购赎回代理券商（简称“一级交易商”）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（1）光大证券股份有限公司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住所：上海市静安区新闸路1508号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办公地址：上海市静安区新闸路1508号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法定代表人：薛峰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电话：（021）22169999</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传真：（021）22169134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10108998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网址：www.ebscn.com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（2）国泰君安证券股份有限公司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注册地址：中国（上海）自由贸易试验区商城路618号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办公地址：上海市静安区南京西路768号国泰君安大厦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法定代表人：贺青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联系电话：021-38676666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传真：021-38670666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联系人：朱雅崴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服务热线 : 95521 / 4008888666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网址：www.gtja.com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（3）中信建投证券股份有限公司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住所：北京市朝阳区安立路66号4号楼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办公地址：北京市朝阳门内大街188号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法定代表人：王常青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电话：（010）85130588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传真：（010）65182261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联系人：魏明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客户服务电话：95587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网址：www.csc108.com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（4）海通证券股份有限公司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住所：上海市淮海中路98号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办公地址：上海市广东路689号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法定代表人：王开国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电话：（021）23219000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传真：（021）23219100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联系人：李笑鸣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客户服务电话：95553或拨打各城市营业网点咨询电话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（5）中国银河证券股份有限公司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住所：北京市西城区金融大街35号国际企业大厦C座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办公地址：北京市西城区金融大街35号国际企业大厦C座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法定代表人：陈共炎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电话：010-83574507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联系人：辛国政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网址：www.chinastock.com.cn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（6）招商证券股份有限公司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住所：深圳市福田区福田街道福华一路111号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办公地址：深圳市福田区益田路江苏大厦A座38-45层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法定代表人：霍达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电话：（0755）82943666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传真：（0755）82943636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联系人：黄婵君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客户服务电话：400-8888-111/95565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网址：www.newone.com.cn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（7）兴业证券股份有限公司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住所：福州市湖东路268号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办公地址：上海市浦东新区长柳路36号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法定代表人：杨华辉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 021-38565547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联系人：乔琳雪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 www.xyzq.com.cn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（8）申万宏源证券有限公司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办公地址：上海市徐汇区长乐路989号世纪商贸广场45层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法定代表人：杨玉成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电话：（021）33389888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联系人：李清怡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客户服务电话：95523/400-800-0562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网址：www.sywg.com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（9）国都证券股份有限公司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住所：北京市东城区东直门南大街3号国华投资大厦9层10层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办公地址：北京市东城区东直门南大街3号国华投资大厦9层10层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法定代表人：王少华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客户服务电话：400-818-8118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网址：www.guodu.com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（10）华泰证券股份有限公司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住所：江苏省南京市江东中路228号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办公地址：江苏省南京市建邺区江东中路228号华泰证券广场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电话：（0755）82492193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传真：（0755）82492962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联系人：胡子豪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客户服务电话：95597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网址：www.htsc.com.cn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（11）中银国际证券有限责任公司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住所：上海市银城中路200号39层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办公地址：中国上海浦东银城中路200号中银大厦39-40层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法定代表人：许刚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客户服务电话：400-620-8888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网址：www.bocichina.com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（12）中信证券（山东）有限责任公司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住所：青岛市崂山区深圳路222号1号楼2001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办公地址：青岛市市南区东海西路28号龙翔广场东座5层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法定代表人：姜晓林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电话：0531-89606166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传真：0532-85022605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联系人：焦刚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网址：sd.citics.com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（13）国信证券股份有限公司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办公地址：深圳市罗湖区红岭中路1012号国信证券大厦16-26楼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法定代表人：何如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电话：（0755）82130833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传真：（0755）82133952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联系人：周杨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网址：www.guosen.com.cn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（14）安信证券股份有限公司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办公地址：深圳市福田区金田路4018号安联大厦35层、28层A02单元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法定代表人：黄炎勋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电话：（0755）82558305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传真：（0755）82558355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联系人：陈剑虹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客户服务电话：400-800-1001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网址：www.essence.com.cn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（15）申万宏源西部证券有限公司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住所：新疆乌鲁木齐市建设路2号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办公地址：北京市西城区太平桥大街19号宏源证券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法定代表人：冯戎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电话：（010）88085858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传真：（010）88085195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联系人：李巍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客户服务电话：4008-000-562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网址：www.hysec.com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（16）中泰证券股份有限公司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住所：山东省济南市市中区经七路86号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办公地址：山东省济南市市中区经七路86号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法定代表人：李玮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电话：（0531）68889155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传真：（0531）68889752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联系人：许曼华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网址：www.zts.com.cn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（17）平安证券股份有限公司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住所：深圳市福田区金田路大中华国际交易广场裙楼8楼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办公地址：深圳市福田区金田路大中华国际交易广场裙楼8楼(518048)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法定代表人：杨宇翔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电话：（0755）22627802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传真：（0755）82400862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联系人：郑舒丽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客户服务电话：95511-8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网址：www.pingan.com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（18）华宝证券有限责任公司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住所：中国上海市陆家嘴环路166号未来资产大厦27楼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办公地址：中国上海市浦东新区世纪大道100号上海环球金融中心57楼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 陈林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电话：（021）68777222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传真：（021）68777822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客户服务电话：400-820-9898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网址：www.cnhbstock.com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（19）国金证券股份有限公司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住所：四川省成都市东城根上街95号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办公地址：成都市东城根上街95号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法定代表人：冉云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电话：（028）86690057，（028）86690058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传真：（028）86690126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联系人：刘婧漪 贾鹏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网址：www.gjzq.com.cn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（20）方正证券股份有限公司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住所：湖南长沙芙蓉中路二段华侨国际大厦22-24层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办公地址：湖南长沙芙蓉中路二段华侨国际大厦22-24层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法定代表人：雷杰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电话：（010）68546765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传真：（010）68546792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联系人：徐锦福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客户服务电话：95571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网址：www.foundersc.com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（21）渤海证券股份有限公司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住所：天津经济技术开发区第二大街42号写字楼101室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办公地址：天津市南开区宾水西道8号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法定代表人：王春峰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电话：（022）28451991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传真：（022）28451892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联系人：蔡霆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400-651-5988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网址：www.bhzq.com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（22）信达证券股份有限公司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住所：北京市西城区闹市口大街9号院1号楼信达金融中心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办公地址：北京市西城区闹市口大街9号院1号楼信达金融中心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法定代表人：张志刚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电话：（010）63081000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传真：（010）63081344</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联系人：尹旭航</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客户服务电话：95321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网址：www.cindasc.com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（23）东方证券股份有限公司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住所：上海市中山南路318号2号楼22层-29层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法定代表人：王益民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电话：（021）63325888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传真：（021）63326173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联系人：吴宇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客户服务电话：95503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网址：www.dfzq.com.cn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（24）东兴证券股份有限公司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住所：北京市西城区金融大街5号新盛大厦B座12-15层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法定代表人：徐勇力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电话：（010）66555316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传真：（010）66555246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联系人：汤漫川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 400-8888-993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网址：www.dxzq.net</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（25）华福证券有限责任公司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住所：福州市五四路157号新天地大厦7、8层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办公地址：福州市五四路新天地大厦7至10层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法定代表人：黄金琳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电话：（0591）87383623</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传真：（0591）87383610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客户服务电话：（0591）96326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网址：www.hfzq.com.cn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（26）中国中金财富证券有限公司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办公地址：深圳市福田区益田路6003号荣超商务中心A栋第04、18层至21层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法定代表人：高涛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电话：（0755）88320851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联系人：胡芷境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客户服务电话：95532/400-600-8008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网址：www.ciccwm.com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（27）中原证券股份有限公司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住所：郑州市郑东新区商务外环路10号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办公地址：郑州市郑东新区商务外环路10号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法定代表人：菅明军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电话：0371-69099881/2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联系人：程月艳、李盼盼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客户服务电话：95377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网址：https://www.ccnew.com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2、二级市场交易代理券商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包括具有经纪业务资格及上海证券交易所会员资格的所有证券公司。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3、基金管理人可根据有关法律法规的要求，选择其它符合要求的机构代理销售本基金，并在管理人网站公示。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（二）注册登记机构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名称：中国证券登记结算有限责任公司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办公地址：北京市西城区太平桥大街17号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电话：（010）50938782</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传真：（010）50938907</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联系人：赵亦清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（三）出具法律意见书的律师事务所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名称：上海市通力律师事务所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办公地址：上海市银城中路68号时代金融中心19楼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负责人：韩炯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电话：（021）31358666</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传真：（021）31358600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经办律师：吕红、黎明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（四）审计基金财产的会计师事务所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名称：普华永道中天会计师事务所(特殊普通合伙）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住所：上海市浦东新区陆家嘴环路1318号星展银行大厦6楼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办公地址：上海市湖滨路202号普华永道中心11楼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执行事务合伙人：李丹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联系电话：（021）23238888</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传真：（021）23238800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联系人：朱宏宇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经办注册会计师：童咏静、朱宏宇</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54104426"/>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本基金由基金管理人依照《基金法》、《运作办法》、基金合同及其他有关规定，并经中国证监会证监许可[2011] 967号文核准募集发售。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本基金为交易型开放式基金。基金存续期间为不定期。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本基金募集期间基金份额净值为人民币1.00元，按初始面值发售。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本基金的募集期限不超过3个月，自基金份额开始发售之日起计算。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本基金自2011年8月29日至2011年9月16日止进行发售。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本基金设立募集期共募集332,329,693.00份基金份额，有效认购户数为4,556户。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54104427"/>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根据有关规定，本基金满足基金合同生效条件，基金合同已于2011年9月22日正式生效。自基金合同生效之日起，本基金管理人正式开始管理本基金。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的存续期内，基金份额持有人数量不满200人或者基金资产净值低于5000万元，基金管理人应当及时报告中国证监会；基金份额持有人数量连续20个工作日达不到200人，或连续20个工作日基金资产净值低于5000万元，基金管理人应当及时向中国证监会报告，说明出现上述情况的原因并提出解决方案。法律法规或监管机构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54104428"/>
      <w:r>
        <w:rPr>
          <w:rFonts w:ascii="Times New Roman" w:hAnsi="Times New Roman"/>
          <w:sz w:val="30"/>
        </w:rPr>
        <w:t>八、基金份额的上市交易</w:t>
      </w:r>
      <w:bookmarkEnd w:id="10"/>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（一）基金份额的上市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根据有关规定，本基金合同生效后，具备上市条件，于2011年10月25日起在深圳证券交易所上市交易。（二级市场交易代码：159913）。</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（二）基金份额的上市交易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本基金基金份额在深圳证券交易所的上市交易需遵照《深圳证券交易所交易规则》、《深圳证券交易所证券投资基金上市规则》、《深圳证券交易所交易型开放式指数基金业务实施细则》等有关规定。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（三）暂停上市交易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基金份额上市交易期间出现下列情形之一的，深圳证券交易所可暂停基金的上市交易，并报中国证监会备案：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1、不再具备本章第(一)款规定的上市条件；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2、违反法律、行政法规，中国证监会决定暂停其上市；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3、严重违反深圳证券交易所有关规则的；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4、深圳证券交易所认为应当暂停上市的其他情形。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当暂停上市情形消除后，基金管理人应向深圳证券交易所提出恢复上市申请，经深圳证券交易所核准后可恢复本基金上市，并在至少一种指定媒介发布基金恢复上市公告。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（四）终止上市交易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基金份额上市交易后，有下列情形之一的，深圳证券交易所可终止基金的上市交易，并报中国证监会备案：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1、自暂停上市之日起半年内未能消除暂停上市原因的；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3、基金份额持有人大会决定终止上市；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4、深圳证券交易所认为应当终止上市的其他情形。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基金管理人应当在收到深圳证券交易所终止基金上市的决定之日起2日内发布基金终止上市公告。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若因上述1、4 项等原因使本基金不再具备上市条件而被深圳证券交易所终止上市的，本基金将在履行适当程序后由交易型开放式基金变更为同一标的指数的非上市的开放式指数基金。若届时本基金管理人已有以该指数作为标的指数的指数基金，则本基金将本着维护投资者合法权益的原则，履行适当的程序后选取其他合适的指数作为标的指数。</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（五）基金份额参考净值（IOPV）的计算与公告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1、基金份额参考净值计算公式为：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2、基金份额参考净值的计算以四舍五入的方法保留小数点后3 位。若深圳证券交易所调整有关基金份额参考净值保留位数，本基金将相应调整。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3、基金管理人可以调整基金份额参考净值计算公式，并在管理人网站公示。</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54104429"/>
      <w:r>
        <w:rPr>
          <w:rFonts w:ascii="Times New Roman" w:hAnsi="Times New Roman"/>
          <w:sz w:val="30"/>
        </w:rPr>
        <w:t>九、基金份额的申购与赎回</w:t>
      </w:r>
      <w:bookmarkEnd w:id="1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（一）申购和赎回的场所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投资者应当在申购赎回代理券商办理基金申购、赎回业务的营业场所或按申购赎回代理券商提供的其他方式办理本基金的申购和赎回。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本基金申购赎回代理券商的名称、住所等信息请详见本招募说明书“五、相关服务机构”中“（一）基金份额销售机构”的相关描述。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基金管理人可依据实际情况增加或减少申购赎回代理券商，并在管理人网站公示。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（二）申购和赎回的开放日及时间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1、开放日及开放时间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可办理申购、赎回等业务的开放日为深圳证券交易所的交易日，具体业务办理时间为深圳证券交易所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出现新的证券交易市场、证券交易所交易时间变更或其他特殊情况或实际情况需要，基金管理人将视情况对前述开放日及具体业务办理时间进行相应的调整，但应在实施日前依照《信息披露办法》的有关规定在指定媒介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2、申购、赎回的开始日及业务办理时间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本基金可在基金上市交易之前开始办理申购。但在基金申请上市期间，基金可暂停办理申购。具体业务办理时间在申购开始公告中规定。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本基金已于2011年10月25日开放申购、赎回业务，投资者可在开放日的开放时间办理本基金的申购、赎回业务。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（三）申购和赎回的原则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1、本基金采用份额申购和份额赎回的方式，即申购和赎回均以份额申请。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2、本基金的申购对价、赎回对价包括组合证券、现金替代、现金差额及其他对价。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3、申购、赎回申请提交后不得撤销。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4、申购、赎回应遵守深交所《业务细则》的规定。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5、基金管理人可在不损害基金份额持有人实质利益、不违背交易所相关规则的情况下更改上述原则，但最迟应在新的原则实施前依照有关规定在指定媒介上予以公告。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（四）申购和赎回的程序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1、申购和赎回的申请的提出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投资者必须按申购赎回代理券商规定的手续，在开放日的具体业务办理时间提出申购或赎回的申请。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在提交申购申请时须根据申购赎回清单备足申购对价要求的组合证券和现金，投资者在提交赎回申请时须持有足够的基金份额余额和赎回对价要求的现金。否则，投资者所提交的申购、赎回的申请无效而不予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2、申购和赎回申请的确认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3、申购和赎回的清算交收与登记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赎回过程中涉及的基金份额、组合证券、现金替代、现金差额及其他对价的交收适用深圳证券交易所、中国证券登记结算有限责任公司的相关规定和参与各方相关协议的有关规定。投资者T日申购、赎回成功后，注册登记机构在T日收市后为投资者办理组合证券、基金份额的清算交收以及现金替代的清算，在T+1日办理现金替代的交收以及现金差额的清算，在T+2日办理现金差额的交收，并将结果发送给申购赎回代理券商、基金管理人和基金托管人。如深圳证券交易所、中国证券登记结算有限责任公司修改或更新相关规则并适用于本基金的，则按照新的规则执行，并在招募说明书中进行更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如果深圳证券交易所、登记结算机构和基金管理人在清算交收时发现不能正常履约的情形，则依据深圳证券交易所、登记结算机构相关业务规则和参与各方相关协议的有关规定进行处理。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（五）申购和赎回的数额限定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投资者申购、赎回的基金份额需为最小申购赎回单位的整数倍。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本基金最小申购赎回单位为100万份。基金管理人可以根据市场情况，调整上述规定的数量或比例限制。基金管理人必须在调整前依照有关规定在指定媒介上公告。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（六）申购、赎回的对价及费用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3、投资者在申购或赎回基金份额时，申购赎回代理券商可按照不超过申购或赎回份额0.5%的标准收取佣金，其中包含证券交易所、注册登记机构等收取的相关费用。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（七）申购赎回清单的内容与格式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1、申购赎回清单的内容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2、申购赎回清单组合证券相关内容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组合证券是指本基金标的指数所包含的全部或部分证券。申购赎回清单将公告最小申购赎回单位所对应的各成份证券名称、证券代码及数量。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3、最小申购赎回单位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最小申购赎回单位是基金申购赎回的最基本单位。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4、申购赎回清单现金替代相关内容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现金替代是指申购、赎回过程中，投资者按基金合同和招募说明书的规定，用于替代组合证券中部分证券的一定数量的现金。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（1）现金替代分为3种类型：禁止现金替代（标志为“禁止”）、可以现金替代（标志为“允许”）和必须现金替代（标志为“必须”）。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禁止现金替代是指在申购、赎回基金份额时，该成份证券不允许使用现金作为替代。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可以现金替代是指在申购基金份额时，允许使用现金作为全部或部分该成份证券的替代，但在赎回基金份额时，该成份证券不允许使用现金作为替代。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必须现金替代是指在申购、赎回基金份额时，该成份证券必须使用现金作为替代。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（2）可以现金替代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①适用情形：可以现金替代的证券一般是由于停牌等原因导致投资者无法在申购时买入的证券，或基金管理人认为可以采用现金替代的其他情形。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②替代金额：对于可以现金替代的证券，替代金额的计算公式为：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替代金额＝替代证券数量×该证券经除权调整的T-1日收盘价×（1＋现金替代保证金率）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③替代金额的处理程序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T日，基金管理人在申购赎回清单中公布现金替代保证金率，并据此收取替代金额。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在T日后被替代的成份证券有正常交易的2个交易日（简称为T+2日）内，基金管理人将以收到的替代金额买入被替代的部分证券。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若现金替代日（T日）后至T+2日（若在特例情况下，则为T日起第20个交易日）期间发生除息、送股（转增）、配股等权益变动，则进行相应调整。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④替代限制：为更有效控制基金的跟踪偏离度和跟踪误差，基金管理人可规定投资者使用可以现金替代的比例合计不得超过申购基金份额资产净值的一定比例。现金替代比例的计算公式为：</w:t>
      </w:r>
    </w:p>
    <w:p>
      <w:pPr>
        <w:autoSpaceDE w:val="0"/>
        <w:autoSpaceDN w:val="0"/>
        <w:adjustRightInd w:val="0"/>
        <w:snapToGrid w:val="0"/>
        <w:spacing w:line="360" w:lineRule="auto"/>
        <w:ind w:firstLine="480" w:firstLineChars="200"/>
        <w:rPr>
          <w:rFonts w:ascii="宋体" w:hAnsi="宋体"/>
          <w:szCs w:val="24"/>
        </w:rPr>
      </w:pPr>
      <w:r>
        <w:rPr>
          <w:rFonts w:ascii="宋体" w:hAnsi="宋体"/>
          <w:kern w:val="0"/>
          <w:sz w:val="24"/>
        </w:rPr>
        <w:drawing>
          <wp:inline distT="0" distB="0" distL="0" distR="0">
            <wp:extent cx="5433060" cy="68580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212566102420208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33060" cy="68580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说明：假设当天可以现金替代的股票只数为n。</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（3）必须现金替代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①适用情形：必须现金替代的证券一般是由于标的指数调整，即将被剔除的成份证券，或基金管理人出于保护持有人利益等原因认为有必要实行必须现金替代的成份证券。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5、预估现金差额相关内容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预估现金差额是指由基金管理人计算并在T日申购赎回清单中公布的当日现金差额的预估值，预估现金差额由申购赎回代理券商预先冻结。</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预估现金差额的计算公式为：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6、申购赎回清单现金差额相关内容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T日现金差额在T+1日的申购赎回清单中公告，其计算公式为：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7、申购赎回清单的格式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申购赎回清单的格式举例如下：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基本信息</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最新公告日期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2020年9月10日</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深价值</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基金管理公司名称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159913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标的指数代码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399348</w:t>
            </w:r>
          </w:p>
        </w:tc>
      </w:tr>
      <w:tr>
        <w:tblPrEx>
          <w:tblCellMar>
            <w:top w:w="0" w:type="dxa"/>
            <w:left w:w="0" w:type="dxa"/>
            <w:bottom w:w="0" w:type="dxa"/>
            <w:right w:w="0" w:type="dxa"/>
          </w:tblCellMar>
        </w:tblPrEx>
        <w:trPr>
          <w:cantSplit/>
          <w:trHeight w:val="375" w:hRule="atLeast"/>
        </w:trPr>
        <w:tc>
          <w:tcPr>
            <w:tcW w:w="75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2020-9-9日信息内容</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现金差额（单位:元）：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13245.39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最小申购赎回单位资产净值（单位:元）：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2219314.39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基金份额净值（单位:元）：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2.2190</w:t>
            </w:r>
          </w:p>
        </w:tc>
      </w:tr>
      <w:tr>
        <w:tblPrEx>
          <w:tblCellMar>
            <w:top w:w="0" w:type="dxa"/>
            <w:left w:w="0" w:type="dxa"/>
            <w:bottom w:w="0" w:type="dxa"/>
            <w:right w:w="0" w:type="dxa"/>
          </w:tblCellMar>
        </w:tblPrEx>
        <w:trPr>
          <w:cantSplit/>
          <w:trHeight w:val="375" w:hRule="atLeast"/>
        </w:trPr>
        <w:tc>
          <w:tcPr>
            <w:tcW w:w="750" w:type="pct"/>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2020-9-10日信息内容</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预估现金差额(单位:元)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12385.39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最小申购赎回单位(单位:份)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T日最小申购赎回单位分红金额(单位:元)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是否需要公布IOPV</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是</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是否允许申购</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是否允许赎回</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允许</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可以现金替代比例上限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组合信息内容</w:t>
      </w:r>
    </w:p>
    <w:tbl>
      <w:tblPr>
        <w:tblStyle w:val="14"/>
        <w:tblW w:w="5000" w:type="pct"/>
        <w:tblInd w:w="0" w:type="dxa"/>
        <w:tblLayout w:type="autofit"/>
        <w:tblCellMar>
          <w:top w:w="0" w:type="dxa"/>
          <w:left w:w="0" w:type="dxa"/>
          <w:bottom w:w="0" w:type="dxa"/>
          <w:right w:w="0" w:type="dxa"/>
        </w:tblCellMar>
      </w:tblPr>
      <w:tblGrid>
        <w:gridCol w:w="760"/>
        <w:gridCol w:w="1582"/>
        <w:gridCol w:w="1582"/>
        <w:gridCol w:w="1582"/>
        <w:gridCol w:w="1582"/>
        <w:gridCol w:w="1582"/>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证券简称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股票数量</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现金替代标志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可以现金替代保证金率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固定替代金额</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 科Ａ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深圳能源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国药一致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大悦城</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中集集团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必须</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885.000　</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泛海控股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深天马Ａ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中金岭南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华侨城Ａ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中联重科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申万宏源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东方盛虹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冀东水泥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 融 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渤海租赁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000425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徐工机械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丽珠集团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广宇发展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云南白药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中天金融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安道麦A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供销大集</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威孚高科</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兴蓉环境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中油资本</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吉林敖东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天茂集团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攀钢钒钛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铜陵有色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金科股份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阳 光 城</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东北证券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恒逸石化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中信特钢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河钢股份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国元证券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泰禾集团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广发证券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新兴铸管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长江证券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居然之家</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云铝股份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太钢不锈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鲁西化工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湖北能源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双汇发展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000898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鞍钢股份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中粮科技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华菱钢铁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首钢股份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锡业股份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中南建设</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盈峰环境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西山煤电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000987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越秀金控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000999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华润三九</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001872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招商港口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招商公路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001979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招商蛇口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新 和 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传化智联</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亿帆医药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苏宁易购</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横店东磁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华峰氨纶</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太阳纸业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中材科技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 螳 螂</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中泰化学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三钢闽光</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露天煤业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荣盛发展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广电运通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劲嘉股份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金风科技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九阳股份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002244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滨江集团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信立泰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002299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圣农发展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大北农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老板电器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森马服饰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002572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索菲亚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002601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龙蟒佰利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郑州银行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002948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青岛银行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碧水源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300088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长信科技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1600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蓝思科技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华宝股份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允许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r>
    </w:tbl>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（八）拒绝或暂停申购的情形及处理方式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发生下列情况时，基金管理人可拒绝或暂停接受投资者的申购申请：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1、因不可抗力导致基金无法正常运作或无法接受申购；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2、因特殊原因（如深圳证券交易所决定临时停市），导致基金管理人无法计算当日基金资产净值；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5、发生本基金合同规定的暂停基金资产估值的情形；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6、接受某笔或某些申购申请可能会影响或损害现有基金份额持有人利益时；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7、法律法规、深圳证券交易所规定或中国证监会认定的其他情形。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发生上述情形之一时，基金管理人应按照有关规定在指定媒介上及时公告。在暂停申购的情况消除时，基金管理人应及时恢复申购业务的办理，并按照有关规定在指定媒介上予以公告。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（九）暂停赎回的情形及处理方式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发生下列情况时，基金管理人可暂停接受投资者的赎回申请：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1、因不可抗力导致基金无法正常运作或无法接受赎回；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2、因特殊原因（如深圳证券交易所决定临时停市），导致基金管理人无法计算当日基金资产净值；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5、发生本基金合同规定的暂停基金资产估值的情形；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6、法律法规、深圳证券交易所规定或中国证监会认定的其他情形。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发生上述情形之一时，基金管理人应按照有关规定在指定媒介上及时公告。在暂停赎回的情况消除时，基金管理人应及时恢复赎回业务的办理，并按照有关规定在指定媒介上予以公告。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（十）基金的非交易过户等其他业务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注册登记机构可依据其业务规则，受理基金份额的非交易过户、冻结与解冻等业务，并收取一定的手续费用。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（十一）集合申购与其他服务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允许时，基金管理人可开放集合申购，即允许多个投资者集合其持有的组合证券，共同构成最小申购赎回单位或其整数倍，进行申购。在不损害基金份额持有人利益的前提下，基金管理人有权制定集合申购业务的相关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在条件允许时，基金管理人也可采取其他合理的申购、赎回方式，并于新的申购、赎回方式开始执行前的至少3个工作日予以公告。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基金管理人指定的代理机构可依据本基金合同开展其他服务，双方需签订书面委托代理协议，并报中国证监会备案。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（十二）基金的份额折算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基金合同生效后，为提高交易便利，本基金可以进行份额折算。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1、基金份额折算的时间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基金管理人应事先确定基金份额折算日，并依照《信息披露办法》的有关规定提前公告。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2、基金份额折算的原则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基金份额折算由基金管理人向注册登记机构申请办理，并由注册登记机构进行基金份额的变更登记。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如果基金份额折算过程中发生不可抗力，基金管理人可延迟办理基金份额折算。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3、基金份额折算的方法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基金份额折算的具体方法在基金份额折算公告中列示。</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54104430"/>
      <w:r>
        <w:rPr>
          <w:rFonts w:ascii="Times New Roman" w:hAnsi="Times New Roman"/>
          <w:sz w:val="30"/>
        </w:rPr>
        <w:t>十、基金的投资</w:t>
      </w:r>
      <w:bookmarkEnd w:id="1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(一)投资目标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紧密跟踪标的指数，追求跟踪偏离度和跟踪误差最小化。</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(二)投资理念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本基金以标的指数成份股、备选成份股为主要投资对象（含中小板股票和创业板股票及其他经中国证监会核准的上市股票、</w:t>
      </w:r>
      <w:r>
        <w:rPr>
          <w:rFonts w:hint="eastAsia" w:ascii="Times New Roman" w:hAnsi="Times New Roman"/>
          <w:sz w:val="24"/>
        </w:rPr>
        <w:t>存托凭证</w:t>
      </w:r>
      <w:r>
        <w:rPr>
          <w:rFonts w:ascii="Times New Roman" w:hAnsi="Times New Roman"/>
          <w:sz w:val="24"/>
        </w:rPr>
        <w:t>），把全部或接近全部的基金资产用于跟踪标的指数的表现，正常情况下指数化投资比例，即投资于标的指数成份股（</w:t>
      </w:r>
      <w:r>
        <w:rPr>
          <w:rFonts w:hint="eastAsia" w:ascii="Times New Roman" w:hAnsi="Times New Roman"/>
          <w:sz w:val="24"/>
        </w:rPr>
        <w:t>含存托凭证</w:t>
      </w:r>
      <w:r>
        <w:rPr>
          <w:rFonts w:ascii="Times New Roman" w:hAnsi="Times New Roman"/>
          <w:sz w:val="24"/>
        </w:rPr>
        <w:t>）和备选成份股（</w:t>
      </w:r>
      <w:r>
        <w:rPr>
          <w:rFonts w:hint="eastAsia" w:ascii="Times New Roman" w:hAnsi="Times New Roman"/>
          <w:sz w:val="24"/>
        </w:rPr>
        <w:t>含存托凭证</w:t>
      </w:r>
      <w:r>
        <w:rPr>
          <w:rFonts w:ascii="Times New Roman" w:hAnsi="Times New Roman"/>
          <w:sz w:val="24"/>
        </w:rPr>
        <w:t>）的资产比例不低于基金资产净值的95%。此外，为更好地实现投资目标，本基金也可少量投资于新股（</w:t>
      </w:r>
      <w:r>
        <w:rPr>
          <w:rFonts w:hint="eastAsia" w:ascii="Times New Roman" w:hAnsi="Times New Roman"/>
          <w:sz w:val="24"/>
        </w:rPr>
        <w:t>含存托凭证</w:t>
      </w:r>
      <w:r>
        <w:rPr>
          <w:rFonts w:ascii="Times New Roman" w:hAnsi="Times New Roman"/>
          <w:sz w:val="24"/>
        </w:rPr>
        <w:t>）、债券、回购、权证及中国证监会允许基金投资的其它金融工具（但须符合中国证监会的相关规定）。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(四)投资策略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本基金绝大部分资产采用完全复制法，跟踪深证300价值价格指数，以完全按照标的指数成份股组成及其权重构建基金股票投资组合为原则，进行被动式指数化投资。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本基金投资存托凭证的策略依照境内上市交易的股票投资策略执行。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 业绩比较基准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本基金的业绩比较基准为标的指数。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w:t>
      </w:r>
    </w:p>
    <w:p>
      <w:pPr>
        <w:autoSpaceDE w:val="0"/>
        <w:autoSpaceDN w:val="0"/>
        <w:adjustRightInd w:val="0"/>
        <w:snapToGrid w:val="0"/>
        <w:spacing w:line="360" w:lineRule="auto"/>
        <w:ind w:firstLine="480" w:firstLineChars="200"/>
        <w:rPr>
          <w:rFonts w:ascii="Times New Roman" w:hAnsi="Times New Roman"/>
          <w:bCs/>
          <w:sz w:val="24"/>
        </w:rPr>
      </w:pPr>
      <w:r>
        <w:rPr>
          <w:rFonts w:hint="eastAsia" w:ascii="Times New Roman" w:hAnsi="Times New Roman"/>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 风险收益特征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本基金属于股票基金，风险与预期收益高于混合基金、债券基金与货币市场基金。同时本基金为指数型基金，具有与标的指数、以及标的指数所代表的股票市场相似的风险收益特征。</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 投资决策依据与流程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有关法律法规、基金合同和标的指数的相关规定是基金管理人运用基金财产的决策依据。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2、决策和交易机制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本基金实行投资决策委员会领导下的基金经理负责制。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投资决策委员会的主要职责是决定有关指数重大调整的应对决策、其他重大组合调整决策以及重大的单项投资决策。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基金经理的主要职责是决定日常指数跟踪维护过程中的组合构建、调整决策以及每日申购赎回清单的编制决策。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3、投资流程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研究、决策、组合构建、交易、评估及组合维护的有机配合共同构成了本基金的投资管理程序。严格的投资管理程序可以保证投资理念的正确执行，避免重大风险的发生。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(2)投资决策：投资决策委员会定期召开或遇重大事项时召开投资决策会议，决策相关事项。基金经理根据投资决策委员会的决议，每日进行基金投资管理的日常决策。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(4)交易执行：中央交易室负责具体的交易执行，同时履行一线监控的职责。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基金管理人在确保基金份额持有人利益的前提下有权根据环境变化和实际需要对上述投资管理程序做出调整，并在基金招募说明书更新中公告。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1、投资组合的建立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基金管理人构建投资组合的过程主要分为三步：确定目标组合、确定建仓策略和逐步调整。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(1)确定目标组合：基金管理人根据完全复制成份股权重的方法确定目标组合。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(2)确定建仓策略：基金经理根据对成份股流动性、公司行为、基本面等因素的分析，确定合理的建仓策略。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(3)逐步调整：通过完全复制法最终确定目标组合之后，基金经理在规定时间内采用适当的手段构建和调整实际组合直至达到跟踪指数要求。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2、日常投资组合管理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(2)标的指数的跟踪与分析：由于各种原因，跟踪标的指数的编制方法可能会发生调整，分析这种调整对跟踪标的指数的影响，并制定相应的应对方案。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(3)每日申购赎回情况的跟踪与分析：跟踪本基金申购和赎回信息，分析其对组合的影响。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(4)组合持有证券、现金头寸及流动性分析：基金经理分析实际组合与目标组合的差异及其原因，并进行成份股调整的流动性分析。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(5)组合调整：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1）利用数量化分析方法，找出将实际组合调整到目标组合的最优方案，确定组合调整及交易策略。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2）如发生成份股变动、成份股公司合并及其它重大事项，可提请投资决策委员会召开会议，决定基金的操作策略。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3）调整组合，达到目标组合的持仓结构。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(6)复制标的指数并核对，同时根据最新的公司行为信息预测下一交易日指数结构。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(8)根据指数跟踪研究结果及当日最新组合情况进行指数分析及组合分析并进行组合调整计算，进而制定下一个交易日的交易内容与策略。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(9)以T-1日指数成份股构成及其权重为基础，考虑T日将会发生的上市公司变动等情况，设计T日申购赎回清单并公告。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3、定期投资组合管理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(1)每月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每月末，根据基金合同中基金管理费、基金托管费等的支付要求，及时检查组合中现金的比例，进行支付现金的准备。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每月末，在基金经理会议上对投资操作、组合、跟踪误差等进行分析。分析最近基金组合与标的指数间的跟踪偏离度情况，找出未能有效控制较大偏离的原因。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每月，投资决策委员会可对基金的操作进行指导与决策。基金经理根据公司投资决策委员会的决策开展下一阶段的工作。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(2)标的指数调整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根据标的指数的编制规则及调整公告，基金经理依据投资决策委员会的决策，在指数成份股调整生效前，分析并确定组合调整策略，尽量减少变更成份股带来的跟踪偏离度和跟踪误差。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4、投资绩效评估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(1)定期对基金的绩效评估进行，主要是对跟踪偏离度进行评估；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(2)量化投资部对本基金的运行情况进行量化评估；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(3)基金经理根据量化评估报告，重点分析本基金的偏离度和跟踪误差产生原因、现金的控制情况、标的指数调整成份股前后的操作、未来成份股的变化等。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 投资限制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本基金的投资组合将遵循以下限制：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1、进入全国银行间同业市场的债券回购融入的资金余额不得超过基金资产净值的40%。债券回购最长期限为1年，债券回购到期后不得展期；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3、本基金投资权证，在任何交易日买入的总金额，不超过上一交易日基金资产净值的0.5%，基金持有的全部权证的市值不超过基金资产净值的 3%，本基金管理人管理的全部基金持有同一权证的比例不超过该权证的10%。法律法规或监管部门另有规定的，遵从其规定；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5、本基金与私募类证券资管产品及中国证监会认定的其他主体为交易对手开展逆回购交易的，可接受质押品的资质要求应当与本基金合同约定的投资范围保持一致；</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6、</w:t>
      </w:r>
      <w:r>
        <w:rPr>
          <w:rFonts w:hint="eastAsia" w:ascii="Times New Roman" w:hAnsi="Times New Roman"/>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7、本基金不得违反基金合同中有关投资范围、投资策略、投资比例的规定；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除上述第4、5项以外,因证券市场波动、上市公司合并、基金规模变动、标的指数成分股调整、基金申购或赎回带来现金等非本基金管理人的因素致使基金的投资组合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 禁止行为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为维护基金份额持有人的合法权益，本基金禁止从事下列行为：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1、承销证券；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2、向他人贷款或者提供担保；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3、从事承担无限责任的投资；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4、买卖其他基金份额，但是法律法规或国务院另有规定的除外；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5、向基金管理人、基金托管人出资或者买卖基金管理人、基金托管人发行的股票或者债券；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6、买卖与基金管理人、基金托管人有控股关系的股东或者与基金管理人、基金托管人有其他重大利害关系的公司发行的证券或者承销期内承销的证券；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7、从事内幕交易、操纵证券交易价格及其他不正当的证券交易活动；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8、依照法律法规有关规定，由中国证监会规定禁止的其他活动。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对于因上述5、6 项情形导致无法投资的标的指数成份股或备选成份股，基金管理人将在严格控制跟踪误差的前提下，结合使用其他合理方法进行适当替代。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若法律法规或监管部门取消上述禁止性规定，履行适当程序后，本基金投资可不受上述规定限制。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(十一) 基金管理人代表基金行使股东权利的处理原则及方法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1、基金管理人按照国家有关规定代表基金独立行使股东权利，保护基金份额持有人的利益；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2、不谋求对上市公司的控股，不参与所投资上市公司的经营管理；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3、有利于基金财产的安全与增值；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4、不通过关联交易为自身、雇员、授权代理人或任何存在利害关系的第三人牟取任何不当利益。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(十二) 基金的融资、融券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本基金可以根据有关法律法规和政策的规定进行融资、融券。</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(十三) 基金投资组合报告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本基金托管人中国农业银行根据本基金合同规定，于2020年7月20日复核了本报告中的财务指标、净值表现和投资组合报告等内容，保证复核内容不存在虚假记载、误导性陈述或者重大遗漏。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本投资组合报告期为2020年4月1日起至6月30日，所载财务数据未经审计师审计。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 报告期末基金资产组合情况</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98.76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824,432.37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67,325,938.80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 报告期末按行业分类的股票投资组合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2.1积极投资按行业分类的股票投资组合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本基金本报告期末未持有积极投资的股票。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2.2指数投资按行业分类的股票投资组合</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3,132,308.00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321,785.00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40,905,853.93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727,046.08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289,248.00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1,188,322.00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142,818.00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9,688,623.26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9,211,915.88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13.71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338,818.72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541,489.00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0.81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66,488,227.87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98.98</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2.3报告期末按行业分类的港股通投资股票投资组合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本基金本报告期末未持有通过港股通投资的股票。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3、报告期末按公允价值占基金资产净值比例大小排序的股票投资明细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3.1报告期末指数投资按公允价值占基金资产净值比例大小排序的前十名股票投资明细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美的集团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129,883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7,765,704.57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000651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格力电器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127,574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7,216,861.18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10.74</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万科A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176,800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4,621,552.00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000725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京东方A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710,685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3,318,898.95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4.94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229,694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2,940,083.20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2,726,308.00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TCL科技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316,200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1,960,440.00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002142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宁波银行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68,158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1,790,510.66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000338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潍柴动力</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117,356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1,610,124.32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洋河股份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1,524,319.72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2.27</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3.2报告期末积极投资按公允价值占基金资产净值比例大小排序的前五名股票投资明细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本基金本报告期末未持有积极投资的股票。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 报告期末按债券品种分类的债券投资组合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 报告期末按公允价值占基金资产净值比例大小排序的前五名债券投资明细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本基金本报告期末未持有资产支持证券。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 报告期末按公允价值占基金资产净值比例大小排序的前五名贵金属投资明细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本基金本报告期末未持有贵金属。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本基金本报告期末未持有权证。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9、报告期末本基金投资的股指期货交易情况说明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本基金本报告期末未持有股指期货。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10、报告期末本基金投资的国债期货交易情况说明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本基金本报告期末未持有国债期货。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11、投资组合报告附注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11.1 报告期内本基金投资的前十名证券的发行主体未被监管部门立案调查，在本报告编制日前一年内本基金投资的前十名证券的发行主体未受到公开谴责和处罚。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11.2 本基金投资的前十名股票中，没有超出基金合同规定的备选股票库之外的股票。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11.3 其他资产构成</w:t>
      </w:r>
    </w:p>
    <w:p>
      <w:pPr>
        <w:autoSpaceDE w:val="0"/>
        <w:autoSpaceDN w:val="0"/>
        <w:adjustRightInd w:val="0"/>
        <w:snapToGrid w:val="0"/>
        <w:spacing w:line="360" w:lineRule="auto"/>
        <w:ind w:firstLine="480" w:firstLineChars="200"/>
        <w:jc w:val="right"/>
        <w:rPr>
          <w:rFonts w:ascii="宋体" w:hAnsi="宋体"/>
          <w:szCs w:val="24"/>
        </w:rPr>
      </w:pPr>
      <w:r>
        <w:rPr>
          <w:rFonts w:ascii="Times New Roman" w:hAnsi="Times New Roman"/>
          <w:sz w:val="24"/>
        </w:rPr>
        <w:t>金额单位：人民币元</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13,114.41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164.15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13,278.56</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11.4报告期末持有的处于转股期的可转换债券明细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本基金本报告期末未持有处于转股期的可转换债券。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11.5报告期末投资的股票存在流通受限情况的说明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11.5.1报告期末指数投资前十名股票中存在流通受限情况的说明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本基金本报告期末指数投资前十名股票中不存在流通受限情况。</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11.5.2报告期末积极投资前五名股票中存在流通受限情况的说明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本基金本报告期末未持有积极投资的股票。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11.6投资组合报告附注的其他文字描述部分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54104431"/>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基金业绩截止日为2020年06月30日，所载财务数据未经审计师审计。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1、基金份额净值增长率及其与同期业绩比较基准收益率的比较</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13.52%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53.97%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52.38%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-29.72%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32.11%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15.34%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2.56%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45.96%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44.92%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5.05%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2011年度（自基金合同生效日起至2011年12月31日）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-19.19%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bl>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深证300价值交易型开放式指数证券投资基金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份额累计净值增长率与业绩比较基准收益率历史走势对比图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Times New Roman" w:hAnsi="Times New Roman"/>
          <w:sz w:val="24"/>
        </w:rPr>
        <w:t>（2011年9月22日至2020年06月30日）</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kern w:val="0"/>
          <w:sz w:val="24"/>
        </w:rPr>
        <w:drawing>
          <wp:inline distT="0" distB="0" distL="0" distR="0">
            <wp:extent cx="5585460" cy="3284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585460" cy="328422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注：本基金建仓期为自基金合同生效日起的3个月。截至建仓期结束，本基金各项资产配置比例符合基金合同及招募说明书有关投资比例的约定。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54104432"/>
      <w:r>
        <w:rPr>
          <w:rFonts w:ascii="Times New Roman" w:hAnsi="Times New Roman"/>
          <w:sz w:val="30"/>
        </w:rPr>
        <w:t>十二、基金的财产</w:t>
      </w:r>
      <w:bookmarkEnd w:id="14"/>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(一)基金资产总值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基金资产总值是指基金拥有的各类有价证券、银行存款本息、基金应收款项以及其他资产的价值总和。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基金资产净值是指基金资产总值减去基金负债后的净资产值。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(三)基金财产的账户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(四)基金财产的处分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基金财产的债权，不得与基金管理人、基金托管人固有财产的债务相抵销；不同基金财产的债权债务，不得相互抵销。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除依据《基金法》、基金合同及其他有关规定处分外，基金财产不得被处分。非因基金财产本身承担的债务，不得对基金财产强制执行。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54104433"/>
      <w:r>
        <w:rPr>
          <w:rFonts w:ascii="Times New Roman" w:hAnsi="Times New Roman"/>
          <w:sz w:val="30"/>
        </w:rPr>
        <w:t>十三、基金资产的估值</w:t>
      </w:r>
      <w:bookmarkEnd w:id="15"/>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（一）估值目的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基金资产的估值目的是客观、准确地反映基金资产是否保值、增值，并为基金份额提供计价依据。</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（二）估值日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本基金的估值日为相关的证券交易场所的正常交易日，以及国家法律法规规定需要对外披露基金净值的非交易日。</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基金依法拥有的股票、债券、权证及其他基金资产和负债。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4、衍生品及其他有价证券等资产按国家有关规定进行估值。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（五）估值程序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（六）估值错误的处理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基金管理人和基金托管人将采取必要、适当、合理的措施确保基金资产估值的准确性、及时性。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本基金合同的当事人应按照以下约定处理：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1、差错类型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2、差错处理原则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（2）差错的责任方对可能导致有关当事人的直接损失负责，不对间接损失负责，并且仅对差错的有关直接当事人负责，不对第三方负责；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（4）差错调整采用尽量恢复至假设未发生差错的正确情形的方式；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（7）按法律法规规定的其他原则处理差错。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3、差错处理程序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差错被发现后，有关的当事人应当及时进行处理，处理的程序如下：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（1）查明差错发生的原因，列明所有的当事人，并根据差错发生的原因确定差错的责任方；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（2）根据差错处理原则或当事人协商的方法对因差错造成的损失进行评估；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（3）根据差错处理原则或当事人协商的方法由差错的责任方进行更正和赔偿损失；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（4）根据差错处理的方法，需要修改基金注册登记机构交易数据的，由基金注册登记机构进行更正，并就差错的更正向有关当事人进行确认。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4、基金份额净值差错处理的原则和方法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（4）前述内容如法律法规或者监管部门另有规定的，从其规定。如果行业有通行做法，双方当事人应本着平等和保护基金份额持有人利益的原则进行协商。</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（七）暂停估值的情形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3、占基金相当比例的投资品种的估值出现重大转变，而基金管理人为保障基金份额持有人的利益，决定延迟估值；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4、当前一估值日基金资产净值50%以上的资产出现无可参考的活跃市场价格且采用估值技术仍导致公允价值存在重大不确定性时，经与基金托管人协商确认后，基金管理人应当暂停估值；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5、中国证监会和基金合同认定的其他情形。</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（八）基金净值的确认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基金份额净值的计算精确到0.001元，小数点后第四位四舍五入。国家另有规定的，从其规定。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（九）特殊情形的处理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1、基金管理人或基金托管人按股票估值方法的第（4）项、债券估值方法的第（7）项、权证估值方法的第（4）项进行估值时，所造成的误差不作为基金资产估值错误处理。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54104434"/>
      <w:r>
        <w:rPr>
          <w:rFonts w:ascii="Times New Roman" w:hAnsi="Times New Roman"/>
          <w:sz w:val="30"/>
        </w:rPr>
        <w:t>十四、基金的收益与分配</w:t>
      </w:r>
      <w:bookmarkEnd w:id="16"/>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 基金利润的构成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(二)收益分配原则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本基金收益分配应遵循下列原则：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1、本基金的每份基金份额享有同等分配权；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2、当基金净值增长率超过标的指数同期增长率达到1%以上时，可进行收益分配；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4、本基金收益每年最多分配12次，每次基金收益分配比例依据以下原则确定：使收益分配后基金份额净值增长率尽可能贴近标的指数同期增长率；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5、本基金收益分配采取现金分红方式；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6、法律法规或监管机构另有规定的从其规定。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在不影响投资者利益的情况下，基金管理人可在法律法规允许的前提下酌情调整以上基金收益分配原则，并于变更实施日前在指定媒介上公告。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(三)基金收益分配数额的确定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1、在收益评价日，基金管理人计算基金净值增长率和标的指数同期增长率，并计算基金净值增长率与标的指数同期净值增长率的差额，当差额超过1%时，基金管理人有权进行收益分配。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2、根据前述收益分配原则确定收益评价日本基金的收益分配比例及收益分配数额。</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基金收益分配方案中应载明基金收益分配对象、分配时间、分配数额及比例、分配方式等内容。</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(五)收益分配方案的确定、公告与实施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1、本基金收益分配方案由基金管理人拟定、由基金托管人复核，依照《信息披露办法》的有关规定在指定媒介公告。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3、法律法规或监管机关另有规定的，从其规定。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54104435"/>
      <w:r>
        <w:rPr>
          <w:rFonts w:ascii="Times New Roman" w:hAnsi="Times New Roman"/>
          <w:sz w:val="30"/>
        </w:rPr>
        <w:t>十五、基金的费用与税收</w:t>
      </w:r>
      <w:bookmarkEnd w:id="17"/>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(一)基金费用的种类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3、基金合同生效后的信息披露费用；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5、基金上市费及年费；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6、基金收益分配中发生的费用；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7、基金份额持有人大会费用；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8、基金合同生效后与基金有关的会计师费和律师费；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9、基金的证券交易费用；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10、基金财产拨划支付的银行费用；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11、按照国家有关规定可以在基金财产中列支的其他费用。</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(二)基金费用计提方法、计提标准和支付方式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1、与基金运作有关的费用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在通常情况下，基金管理费按前一日基金资产净值0.5%的年费率计提。计算方法如下：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H＝E×年管理费率÷当年天数，本基金年管理费率为0.5%</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H为每日应计提的基金管理费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在通常情况下，基金托管费按前一日基金资产净值0.1%的年费率计提。计算方法如下：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H＝E×年托管费率÷当年天数，本基金年托管费率为0.1%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在通常情况下，基金标的指数许可使用费按前一日基金资产净值0.03%的年费率计提。计算方法如下：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H＝E×标的指数许可使用费年费率÷当年天数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H为每日应计提的基金标的指数许可使用费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E为前一日基金资产净值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管理人与标的指数供应商签订的相应指数许可协议的规定，本基金标的指数许可使用费年费率为0.03%。当季日均基金资产净值大于人民币5000万元时,标的指数许可使用费的收取下限为每季（自然季度）人民币35,000元，基金当季存续期间不足一季度的，根据实际存续天数按比例计算。当季日均基金资产净值小于或等于人民币5000万元时,无许可使用费的收取下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自基金合同生效日起，基金标的指数许可使用费每日计提，逐日累计，按季支付，由基金管理人向基金托管人发送基金标的指数许可使用费划付指令，经基金托管人复核后从基金财产中一次性支付，若遇法定节假日、休息日，支付日期顺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（4）上述“(一) 基金费用的种类”中第3、5到11项费用由基金托管人根据其他有关法律法规及相应协议的规定，按费用支出金额支付，列入或摊入当期基金费用。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2、与基金销售有关的费用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（2）赎回费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本基金赎回费的费率水平、计算公式和收取方式详见“基金份额的申购与赎回”一章。</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(三)不列入基金费用的项目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管理人和基金托管人可根据基金发展情况调整基金管理费率和基金托管费率。降低基金管理费率和基金托管费率，无须召开基金份额持有人大会。基金管理人必须依照有关规定最迟于新的费率实施日前在指定媒介上刊登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(五)基金税收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基金和基金份额持有人根据国家法律法规的规定，履行纳税义务。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54104436"/>
      <w:r>
        <w:rPr>
          <w:rFonts w:ascii="Times New Roman" w:hAnsi="Times New Roman"/>
          <w:sz w:val="30"/>
        </w:rPr>
        <w:t>十六、基金的会计与审计</w:t>
      </w:r>
      <w:bookmarkEnd w:id="18"/>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(一)基金的会计政策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1、基金管理人为本基金的会计责任方；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2、本基金的会计年度为公历每年的1月1日至12月31日；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3、本基金的会计核算以人民币为记账本位币，以人民币元为记账单位；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4、会计制度执行国家有关的会计制度；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5、本基金独立建账、独立核算；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6、基金管理人及基金托管人分别保留完整的会计账目、凭证并进行日常的会计核算，按照有关规定编制基金会计报表；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7、基金托管人定期与基金管理人就基金的会计核算、报表编制等进行核对并书面确认。</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(二)基金的审计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1、基金管理人聘请具有从事证券、期货相关相关业务资格的会计师事务所及其注册会计师对本基金年度财务报表及其他规定事项进行审计。会计师事务所及其注册会计师与基金管理人、基金托管人相互独立。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2、会计师事务所更换经办注册会计师时，应事先征得基金管理人同意。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3、基金管理人认为有充足理由更换会计师事务所，须通报基金托管人。更换会计师事务所需按照《信息披露办法》的有关规定在指定媒介公告。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54104437"/>
      <w:r>
        <w:rPr>
          <w:rFonts w:ascii="Times New Roman" w:hAnsi="Times New Roman"/>
          <w:sz w:val="30"/>
        </w:rPr>
        <w:t>十七、基金的信息披露</w:t>
      </w:r>
      <w:bookmarkEnd w:id="19"/>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(一)本基金的信息披露应符合《基金法》、《运作办法》、《信息披露办法》、《流动性规定》、基金合同及其他有关规定。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(二)信息披露义务人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(三)本基金信息披露义务人在承诺公开披露的基金信息时，不得有下列行为：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1、虚假记载、误导性陈述或者重大遗漏；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2、对证券投资业绩进行预测；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3、违规承诺收益或者承担损失；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4、诋毁其他基金管理人、基金托管人或者基金份额销售机构；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5、登载任何自然人、法人和非法人组织的祝贺性、恭维性或推荐性的文字；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6、中国证监会禁止的其他行为。</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本基金公开披露的信息采用阿拉伯数字；除特别说明外，货币单位为人民币元。</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(五)公开披露的基金信息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公开披露的基金信息包括：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1、招募说明书、基金合同、托管协议、基金产品资料概要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基金募集申请经中国证监会核准后，基金管理人在基金份额发售3日前，将招募说明书、基金合同摘要登载在指定报刊和网站上；基金管理人、基金托管人应当将基金合同、托管协议登载在网站上。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招募说明书应当最大限度地披露影响基金投资者决策的全部事项，说明基金认购、申购和赎回安排、基金投资、基金产品特性、风险揭示、信息披露及基金份额持有人服务等内容。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2、基金份额发售公告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基金管理人应当在本基金合同生效的次日在指定报刊和网站上登载基金合同生效公告。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4、基金份额折算公告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基金管理人确定基金份额折算日，并至少提前3个工作日将基金份额折算日公告登载于指定报刊和网站上。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基金份额进行折算并由注册登记机构完成基金份额的变更登记后，基金管理人将在3个工作日内将基金份额折算结果公告登载于指定报刊和网站上。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5、基金开始申购、赎回公告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基金管理人应于申购开始日、赎回开始日前在指定报刊和网站上公告。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6、基金份额上市交易公告书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基金份额获准在证券交易所上市交易的，基金管理人应当在基金份额上市交易3个工作日前，将基金份额上市交易公告书登载在指定报刊和网站上。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7、基金净值信息公告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本基金合同生效后，在开始办理基金份额申购或者赎回前，基金管理人应当至少每周在指定网站披露一次基金份额净值和基金份额累计净值。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基金管理人应当在不晚于半年度和年度最后一日的次日，在指定网站披露半年度和年度最后一日的基金份额净值和基金份额累计净值。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8、申购赎回清单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在开始办理基金份额申购或者赎回之后，基金管理人应当在每个开放日，通过指定网站、申购赎回代理机构网站或者营业网点公告当日的申购赎回清单。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9、基金定期报告，包括基金年度报告、基金中期报告和基金季度报告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每年结束之日起三个月内，编制完成基金年度报告，将年度报告登载于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10、临时报告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（1）基金份额持有人大会的召开及决定的事项；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（2）《基金合同》终止、基金清算；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（3）转换基金运作方式、基金合并；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（4）更换基金管理人、基金托管人、基金份额登记机构，基金改聘会计师事务所；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（6）基金管理人、基金托管人的法定名称、住所发生变更；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（8）基金募集期延长或提前结束募集；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（11）涉及基金财产、基金管理业务、基金托管业务的诉讼或仲裁；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（14）基金收益分配事项；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（15）管理费、托管费、申购费、赎回费等费用计提标准、计提方式和费率发生变更；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（16）基金份额净值计价错误达基金份额净值百分之零点五；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（17）本基金开始办理申购、赎回；</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（18）本基金暂停接受申购、赎回申请或重新接受申购、赎回申请；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（19）发生涉及基金申购、赎回事项调整或潜在影响投资者赎回等重大事项时；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（20）基金变更标的指数；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（21）基金暂停上市、恢复上市或终止上市；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（22）基金推出新业务或服务；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11、澄清公告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基金份额持有人大会决定的事项，应当依法报中国证监会备案，并予以公告。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13、中国证监会规定的其他信息</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(六)信息披露文件的存放与查阅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54104438"/>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基金份额持有人须了解并承受以下风险：</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（一）市场风险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2、经济周期风险。证券市场受宏观经济运行的影响，而经济运行具有周期性的特点，而宏观经济运行状况将对证券市场的收益水平产生影响，从而对基金收益造成影响。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（二）投资本基金的特有风险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1、标的指数回报与股票市场平均回报偏离的风险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标的指数并不能完全代表整个股票市场。标的指数成份股的平均回报率与整个股票市场的平均回报率可能存在偏离。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2、标的指数波动的风险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标的指数成份股的价格可能受到政治因素、经济因素、上市公司经营状况、投资者心理和交易制度等各种因素的影响而波动，导致指数波动，从而使基金收益水平发生变化，产生风险。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3、基金投资组合回报与标的指数回报偏离的风险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以下因素可能使基金投资组合的收益率与标的指数的收益率发生偏离：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1)由于标的指数调整成份股或变更编制方法，使本基金在相应的组合调整中产生跟踪偏离度与跟踪误差。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2)由于标的指数成份股发生配股、增发等行为导致成份股在标的指数中的权重发生变化，使本基金在相应的组合调整中产生跟踪偏离度和跟踪误差。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3)标的指数成份股派发现金红利、新股市值配售收益将导致基金收益率超过标的指数收益率，产生正的跟踪偏离度。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4)由于标的指数成份股停牌、摘牌或流动性差等原因使本基金无法及时调整投资组合或承担冲击成本而产生跟踪偏离度和跟踪误差。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5)因法律法规的限制或其他限制，本基金可能不能投资于部分标的指数成分股。在使用替代方法，如投资同行业中相关性较高的股票以替代上述投资受限股票时，会产生一定的跟踪偏离度和跟踪误差。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6）基金有投资成本、各种费用及税收，而指数编制不考虑费用和税收，这将导致基金收益率落后于标的指数收益率，产生负的跟踪偏离度。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7)在本基金指数化投资过程中，基金管理人的管理能力，例如跟踪指数的水平、技术手段、买入卖出的时机选择等，都会对本基金的收益产生影响，从而影响本基金对标的指数的跟踪程度。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4、标的指数变更的风险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跟踪误差控制未达约定目标的风险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本基金力争控制本基金日均跟踪偏离度的绝对值不超过0.1%，年跟踪误差不超过2%。但因标的指数编制规则调整或其他因素可能导致跟踪误差超过上述范围，本基金净值表现与指数价格走势可能发生较大偏离。</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6、指数编制机构停止服务的风险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r>
        <w:rPr>
          <w:rFonts w:hint="eastAsia"/>
          <w:bCs/>
          <w:sz w:val="24"/>
        </w:rPr>
        <w:t>投资人将面临更换基金标的指数、转换运作方式，与其他基金合并或者终止基金合同等风险。</w:t>
      </w:r>
      <w:r>
        <w:rPr>
          <w:rFonts w:hint="eastAsia" w:ascii="Times New Roman" w:hAnsi="Times New Roman"/>
          <w:sz w:val="24"/>
        </w:rPr>
        <w:t xml:space="preserve"> </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7、成份股停牌的风险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标的指数成份股可能因各种原因临时或长期停牌，发生成份股停牌时可能面临如下风险：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（1）基金可能因无法及时调整投资组合而导致跟踪偏离度和跟踪误差扩大。</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（2）停牌成份股可能因其权重占比、市场复牌预期、现金替代标识等因素影响本基金二级市场价格的折溢价水平。</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（3）</w:t>
      </w:r>
      <w:r>
        <w:rPr>
          <w:rFonts w:hint="eastAsia" w:ascii="Times New Roman" w:hAnsi="Times New Roman"/>
          <w:sz w:val="24"/>
        </w:rPr>
        <w:t>若成份股停牌时间较长，在约定时间内仍未能及时买入或卖出的，则该部分款项将按照约定方式进行结算（具体见招募说明书“九、基金份额的申购与赎回”之“（七）申购赎回清单的内容与格式”相关约定），由此可能影响投资者的投资损益并使基金产生跟踪偏离度和跟踪误差。</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4）在极端情况下，标的指数成份股可能大面积停牌，基金可能无法及时卖出成份股以获取足额的符合要求的赎回对价，由此基金管理人可能采取在申购赎回清单中设置较低的赎回份额上限或者暂停赎回的措施，投资者将面临无法赎回全部或部分基金份额的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8、</w:t>
      </w:r>
      <w:r>
        <w:rPr>
          <w:rFonts w:ascii="Times New Roman" w:hAnsi="Times New Roman"/>
          <w:sz w:val="24"/>
        </w:rPr>
        <w:t>基金份额二级市场交易价格折溢价的风险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9、参考IOPV决策和IOPV计算错误的风险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10、退市风险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因本基金不再符合证券交易所上市条件被终止上市，或被基金份额持有人大会决议提前终止上市，导致基金份额不能继续进行二级市场交易的风险。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11、投资者申购失败的风险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12、投资者赎回失败的风险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投资者在提出赎回申请时，如基金组合中不具备足额的符合条件的赎回对价，可能导致赎回失败的情形。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13、基金份额赎回对价的变现风险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本基金赎回对价主要为组合证券，在组合证券变现过程中，由于市场变化、部分成份股流动性差等因素，导致投资者变现后的价值与赎回时赎回对价的价值有差异，存在变现风险。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1、本基金的申购、赎回安排</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2、投资市场、行业及资产的流动性风险评估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3、实施备用的流动性风险管理工具的情形、程序及对投资者的潜在影响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本基金在面临大规模赎回的情况下有可能因为无法变现造成流动性风险。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2" w:firstLineChars="200"/>
        <w:rPr>
          <w:rFonts w:ascii="Times New Roman" w:hAnsi="Times New Roman"/>
          <w:b/>
          <w:sz w:val="24"/>
        </w:rPr>
      </w:pPr>
      <w:r>
        <w:rPr>
          <w:rFonts w:hint="eastAsia" w:ascii="Times New Roman" w:hAnsi="Times New Roman"/>
          <w:b/>
          <w:sz w:val="24"/>
        </w:rPr>
        <w:t>（四）投资存托凭证的特定风险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82" w:firstLineChars="200"/>
        <w:rPr>
          <w:rFonts w:ascii="Times New Roman" w:hAnsi="Times New Roman"/>
          <w:b/>
          <w:sz w:val="24"/>
        </w:rPr>
      </w:pPr>
      <w:r>
        <w:rPr>
          <w:rFonts w:ascii="Times New Roman" w:hAnsi="Times New Roman"/>
          <w:b/>
          <w:sz w:val="24"/>
        </w:rPr>
        <w:t>（</w:t>
      </w:r>
      <w:r>
        <w:rPr>
          <w:rFonts w:hint="eastAsia" w:ascii="Times New Roman" w:hAnsi="Times New Roman"/>
          <w:b/>
          <w:sz w:val="24"/>
        </w:rPr>
        <w:t>五</w:t>
      </w:r>
      <w:r>
        <w:rPr>
          <w:rFonts w:ascii="Times New Roman" w:hAnsi="Times New Roman"/>
          <w:b/>
          <w:sz w:val="24"/>
        </w:rPr>
        <w:t>）</w:t>
      </w:r>
      <w:r>
        <w:rPr>
          <w:rFonts w:hint="eastAsia" w:ascii="Times New Roman" w:hAnsi="Times New Roman"/>
          <w:b/>
          <w:sz w:val="24"/>
        </w:rPr>
        <w:t>其他风险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1、第三方机构服务的风险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本基金的多项服务委托第三方机构办理，存在以下风险：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1)申购赎回代理券商因多种原因，导致代理申购、赎回业务受到限制、暂停或终止，由此影响对投资者申购赎回服务的风险。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2)注册登记机构可能调整结算制度，对投资者基金份额、组合证券及资金的结算方式发生变化，制度调整可能给投资者带来理解偏差的风险。同样的风险还可能来自于证券交易所及其他代理机构。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3)证券交易所、注册登记机构、基金托管人及其他代理机构可能违约，导致基金或投资者利益受损的风险。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2、管理风险与操作风险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相关当事人在业务各环节操作过程中，可能因内部控制存在缺陷或者人为因素造成操作失误或违反操作规程等引致风险，例如，申购赎回清单编制错误、越权违规交易、欺诈行为及交易错误等风险。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3、技术风险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4、不可抗力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战争、自然灾害等不可抗力可能导致基金资产有遭受损失的风险。基金管理人、基金托管人、证券交易所、注册登记机构和代销机构等可能因不可抗力无法正常工作，从而影响基金的各项业务按正常时限完成。</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54104439"/>
      <w:r>
        <w:rPr>
          <w:rFonts w:ascii="Times New Roman" w:hAnsi="Times New Roman"/>
          <w:sz w:val="30"/>
        </w:rPr>
        <w:t>十九、基金合同的终止与基金财产的清算</w:t>
      </w:r>
      <w:bookmarkEnd w:id="21"/>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4、基金托管人职责终止，而在6个月内没有新的基金托管人承接的；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(二)基金财产的清算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1、基金财产清算小组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(1)基金合同终止后，成立基金清算小组，基金清算小组在中国证监会的监督下进行基金清算。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(2)基金清算小组成员由基金管理人、基金托管人、具有从事证券相关业务资格的注册会计师、律师以及中国证监会指定的人员组成。基金清算小组可以聘用必要的工作人员。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(3)基金清算小组负责基金财产的保管、清理、估价、变现和分配。基金清算小组可以依法进行必要的民事活动。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2、基金财产清算程序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(1)基金合同终止时，由基金清算小组统一接管基金财产；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(2)对基金财产进行清理和确认；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(3)对基金财产进行估价和变现；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(4)制作清算报告；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(5)聘请会计师事务所对清算报告进行审计；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(6)聘请律师事务所对清算报告出具法律意见书；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(7)将基金清算结果报告中国证监会；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(8)公布基金清算报告；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(9)对基金剩余财产进行分配。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清算费用是指基金清算小组在进行基金清算过程中发生的所有合理费用，清算费用由基金清算小组优先从基金财产中支付。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4、基金财产按下列顺序清偿：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(1)支付清算费用；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(2)交纳所欠税款；</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(3)清偿基金债务；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(4)按基金份额持有人持有的基金份额比例进行分配。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基金财产未按前款(1)－(3)项规定清偿前，不分配给基金份额持有人。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5、基金财产清算的公告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6、基金财产清算账册及文件的保存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54104440"/>
      <w:r>
        <w:rPr>
          <w:rFonts w:ascii="Times New Roman" w:hAnsi="Times New Roman"/>
          <w:sz w:val="30"/>
        </w:rPr>
        <w:t>二十、基金合同内容摘要</w:t>
      </w:r>
      <w:bookmarkEnd w:id="22"/>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（一）基金合同当事人的权利与义务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根据《基金法》及其他有关法律法规，基金管理人的权利为：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（2）依照本基金合同获得基金管理费以及法律法规规定或中国证监会批准的其他收入；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（3）根据法律法规和基金合同之规定销售基金份额；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（4）根据法律法规和基金合同的规定制定基金收益分配方案；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（5）依照有关规定为基金的利益行使因基金财产投资于证券所产生的权利；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（6）在符合有关法律法规、交易所及注册登记结构相关业务规则和本基金合同的前提下，决定基金的除调高托管费和管理费之外的费率结构和收费方式；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（8）在基金合同约定的范围内，拒绝或暂停受理申购、赎回申请；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（9）自行担任基金注册登记机构或选择、更换注册登记机构，并对注册登记机构的代理行为进行必要的监督和检查；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（11）在基金托管人更换时，提名新的基金托管人；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（14）选择、更换律师事务所、会计师事务所、证券经纪商或其他为基金提供服务的外部机构；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（15）根据国家有关规定，在法律法规允许的前提下，以基金的名义依法为基金融资、融券；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（16）法律法规、基金合同以及依据基金合同制定的其它法律文件规定的其他权利。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根据《基金法》及其他有关法律法规，基金管理人的义务为：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（1）依法募集基金，办理或者委托经由中国证监会认定的其他机构代为办理基金份额的发售、申购、赎回和注册登记事宜；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（2）办理基金备案手续；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（3）自基金合同生效之日起，以诚实信用、勤勉尽责的原则管理和运用基金财产；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（5）建立健全内部风险控制、监察与稽核、财务管理及人事管理等制度，保证所管理的基金财产和基金管理人的财产相互独立，对所管理的不同基金财产分别管理，分别记账，进行证券投资；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（6）除依据《基金法》、基金合同及其他有关规定外，不得为自己及任何第三人谋取利益，不得委托第三人运作基金财产；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（7）依法接受基金托管人的监督；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（8）计算并公告基金净值信息，确定基金份额申购赎回清单；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（9）采取适当合理的措施使计算基金份额认购价格以及申购、赎回对价的方法符合基金合同等法律文件的规定；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（10）按规定受理基金份额的申购和赎回申请，及时、足额支付申购的应付基金份额和现金及赎回之对价；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（11）进行基金会计核算并编制基金财务会计报告；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（12）编制季度报告、中期报告和年度报告；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（13）严格按照《基金法》、基金合同及其他有关规定，履行信息披露及报告义务；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（14）保守基金商业秘密，不得泄露基金投资计划、投资意向等。除《基金法》、基金合同及其他有关规定另有规定外，在基金信息公开披露前应予保密，不得向他人泄露；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（15）按照基金合同的约定确定基金收益分配方案，及时向基金份额持有人分配收益；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（17）保存基金财产管理业务活动的记录、账册、报表和其他相关资料；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（18）以基金管理人名义，代表基金份额持有人利益行使诉讼权利或者实施其他法律行为；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（19）组织并参加基金财产清算小组，参与基金财产的保管、清理、估价、变现和分配；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（22）按规定向基金托管人提供基金份额持有人名册资料；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（24）面临解散、依法被撤销或者被依法宣告破产时，及时报告中国证监会并通知基金托管人；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（25）执行生效的基金份额持有人大会的决定；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（26）不从事任何有损基金及其他基金合同当事人合法权益的活动；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（27）依照法律法规为基金的利益对被投资公司行使股东权利，为基金的利益行使因基金财产投资于证券所产生的权利，不谋求对上市公司的控股和直接管理；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（28）法律法规、基金合同规定的以及中国证监会要求的其他义务。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根据《基金法》及其他有关法律法规，基金托管人的权利为：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（1）依照基金合同的约定获得基金托管费；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（2）监督基金管理人对本基金的投资运作；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（3）自本基金合同生效之日起，依照法律法规和基金合同、托管协议的规定保管基金财产；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（4）在基金管理人更换时，提名新任基金管理人；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（6）依法提议召开或召集基金份额持有人大会；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（7）按规定取得基金份额持有人名册；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根据《基金法》及其他有关法律法规，基金托管人的义务为：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（1）以诚实信用、勤勉尽责的原则持有并安全保管基金财产；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（4）除依据《基金法》、基金合同及其他有关规定外，不得为自己及任何第三人谋取利益，不得委托第三人托管基金财产；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（5）保管由基金管理人代表基金签订的与基金有关的重大合同及有关凭证；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（6）按规定开设基金财产的资金账户和证券账户；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（7）保守基金商业秘密。除《基金法》、基金合同及其他有关规定另有规定外，在基金信息公开披露前应予保密，不得向他人泄露；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（9）保存基金托管业务活动的记录、账册、报表和其他相关资料不少于15年；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（10）按照基金合同的约定，根据基金管理人的投资指令，及时办理清算、交割事宜；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（11）办理与基金托管业务活动有关的信息披露事项；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（12）复核、审查基金管理人计算的基金资产净值、基金份额净值和基金份额申购、赎回对价；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（13）按照规定监督基金管理人的投资运作；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（14）按规定制作相关账册并与基金管理人核对；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（15）依据基金管理人的指令或有关规定向基金份额持有人支付基金收益和交付赎回对价；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（16）按照规定召集基金份额持有人大会或配合基金管理人、基金份额持有人依法自行召集基金份额持有人大会；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（17）因违反基金合同导致基金财产损失，应承担赔偿责任，其赔偿责任不因其退任而免除；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（18）按规定监督基金管理人按照法律法规规定和基金合同履行其义务，基金管理人因违反基金合同造成基金财产损失时，应为基金向基金管理人追偿；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（19）根据本基金合同和托管协议规定建立并保存基金份额持有人名册；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（20）参加基金财产清算组，参与基金财产的保管、清理、估价、变现和分配；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（21）面临解散、依法被撤销、破产或者由接管人接管其资产时，及时报告中国证监会和中国银监会，并通知基金管理人；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（22）执行生效的基金份额持有人大会的决定；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（23）法律法规、基金合同规定的以及中国证监会要求的其他义务。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3、基金份额持有人的权利与义务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每份基金份额具有同等的合法权益。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根据《基金法》、《运作办法》及其他有关法律法规，基金份额持有人的权利包括但不限于：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（1）分享基金财产收益；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（2）参与分配清算后的剩余基金财产；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（3）依法转让或者申请赎回其持有的基金份额；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（4）按照规定要求召开基金份额持有人大会；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（6）查阅或者复制公开披露的基金信息资料；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（7）监督基金管理人的投资运作；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（8）对基金管理人、基金托管人、基金份额代销机构损害其合法权益的行为依法提起诉讼；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（9）法律法规和基金合同规定的其他权利。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根据《基金法》、《运作办法》及其他有关法律法规，基金份额持有人的义务包括但不限于：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（1）遵守法律法规、基金合同及其他有关规定；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（2）缴纳基金认购款项和认购股票、应付申购对价和赎回对价及缴纳法律法规、基金合同和招募说明书规定的费用；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（3）在持有的基金份额范围内，承担基金亏损或者基金合同终止的有限责任；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（4）不从事任何有损基金及其他基金份额持有人合法权益的活动；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（5）执行生效的基金份额持有人大会决议；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（6）遵守基金管理人、基金托管人及销售机构和注册登记机构的相关交易及业务规则；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（7）返还在基金交易过程中因任何原因，自基金管理人、基金托管人、代销机构以及其他基金份额持有人处获得的不当得利；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（8）法律法规和基金合同规定的其他义务。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4、本基金合同当事人各方的权利义务以本基金合同为依据，不因基金财产账户名称而有所改变。</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1、基金份额持有人大会的组成</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在计算参会份额和计票时，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2、召开事由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1)终止基金合同；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2)转换基金运作方式；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3)变更基金类别；</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4)变更基金投资目标、投资范围或投资策略（法律法规和中国证监会另有规定的除外）；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5)变更基金份额持有人大会议事程序；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6)更换基金管理人、基金托管人；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7)提高基金管理人、基金托管人的报酬标准。但根据法律法规的要求提高该等报酬标准的除外；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8)本基金与其他基金的合并；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 终止基金上市，但因基金不再具备上市条件而被深圳证券交易所终止上市的除外；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10)对基金合同当事人权利、义务产生重大影响，需召开基金份额持有人大会的变更基金合同等其他事项；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11)法律法规、基金合同或中国证监会规定的其他情形。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（2）出现以下情形之一的，可由基金管理人和基金托管人协商后修改，不需召开基金份额持有人大会：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1)调低基金管理费、基金托管费等其他应由基金或基金份额持有人承担的费用；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2)法律法规要求增加的基金费用的收取；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3)在法律法规和本基金合同规定的范围内调整基金的申购费率、调低赎回费率、变更或增加收费方式；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4)因相应的法律法规、深圳证券交易所或者注册登记机构的相关业务规则发生变动必须对基金合同进行修改；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5)基金合同的修改不涉及本基金合同当事人权利义务关系发生重大变化；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3、召集人和召集方式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4、召开基金份额持有人大会的通知时间、通知内容、通知方式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集人(以下简称“召集人”)负责选择确定开会时间、地点、方式和权益登记日。召开基金份额持有人大会，召集人必须于会议召开日前40日在指定媒介公告。基金份额持有人大会通知须至少载明以下内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1)会议召开的时间、地点和出席方式；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2)会议拟审议的主要事项；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3)会议形式；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5)有权出席基金份额持有人大会的基金份额持有人的权益登记日；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7)表决方式；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8)会务常设联系人姓名、电话；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9)出席会议者必须准备的文件和必须履行的手续；</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10)召集人需要通知的其他事项。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5、基金份额持有人出席会议的方式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（1）会议方式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1)基金份额持有人大会的召开方式包括现场开会、通讯方式开会或法律法规和监管机关允许的其他方式。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3)通讯方式开会指按照本基金合同的相关规定以通讯的书面方式进行表决。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（2）召开基金份额持有人大会的条件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在同时符合以下条件时，现场会议方可举行：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①经核对、汇总，到会者出示的在权益登记日持有基金份额的凭证显示，全部有效凭证所对应的基金份额应占权益登记日基金总份额的50%以上；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未能满足上述条件的情况下，则召集人可另行确定并公告重新开会的时间(至少应在25个工作日后)和地点，但确定有权出席会议的基金份额持有人资格的权益登记日不变。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2)通讯开会方式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在同时符合以下条件时，通讯会议方可举行：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召集人在基金托管人(如果基金托管人为召集人，则为基金管理人)和公证机关的监督下按照会议通知规定的方式收取和统计基金份额持有人的书面表决意见，基金管理人或基金托管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③本人直接出具书面意见或授权他人代表出具书面意见的基金份额持有人所代表的基金份额应占权益登记日基金总份额的50%以上；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如果开会条件达不到上述的条件，则召集人可另行确定并公告重新表决的时间(至少应在25个工作日后)，且确定有权出席会议的基金份额持有人资格的权益登记日不变。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3)在法律法规或监管机构允许的情况下，经会议通知载明，基金份额持有人也可以采用网络、电话或其他方式进行表决，或者采用网络、电话或其他方式授权他人代为出席会议并表决。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6、议事内容与程序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（1）议事内容及提案权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1)议事内容为本基金合同规定的召开基金份额持有人大会事由所涉及的内容以及会议召集人认为需提交基金份额持有人大会讨论的其他事项。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3)对于基金份额持有人提交的提案(包括临时提案)，大会召集人应当按照以下原则对提案进行审核：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（2）议事程序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召集人应当制作出席会议人员的签名册。签名册载明参加会议人员姓名(或单位名称)、身份证号码、持有或代表有表决权的基金份额、委托人姓名(或单位名称)等事项。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表决开会的方式下，首先由召集人提前30日公布提案，在所通知的表决截止日期第2个工作日在公证机构和基金托管人(如果基金托管人为召集人，则为基金管理人)监督下由召集人统计全部有效表决并形成决议，基金管理人或基金托管人经通知拒不参加收取和统计书面表决意见的，不影响表决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（3）基金份额持有人大会不得对未事先公告的议事内容进行表决。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7、决议形成的条件、表决方式、程序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（1）基金份额持有人所持每一基金份额享有平等的表决权。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（2）基金份额持有人大会决议分为一般决议和特别决议：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1)一般决议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一般决议须经出席会议的基金份额持有人及其代理人所持表决权的50%以上通过方为有效，除下列2)所规定的须以特别决议通过事项以外的其他事项均以一般决议的方式通过；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2)特别决议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特别决议须经出席会议的基金份额持有人及代理人所持表决权的三分之二以上通过方为有效；更换基金管理人、更换基金托管人、转换基金运作方式、终止基金合同必须以特别决议通过方为有效。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（5）基金份额持有人大会采取记名方式进行投票表决。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8、计票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（1）现场开会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4)计票过程应由公证机关予以公证。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（2）通讯方式开会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在通讯方式开会的情况下，计票方式为：由大会召集人授权的两名监督员在基金托管人授权代表(如果基金托管人为召集人，则为基金管理人授权代表)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9、基金份额持有人大会决议报中国证监会核准或备案后的公告时间、方式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（2）生效的基金份额持有人大会决议对全体基金份额持有人、基金管理人、基金托管人均有约束力。基金管理人、基金托管人和基金份额持有人应当执行生效的基金份额持有人大会的决定。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（3）基金份额持有人大会决议应自生效之日起2日内在指定媒介公告。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（4）如果采用通讯方式进行表决，在公告基金份额持有人大会决议时，必须将公证书全文、公证机关、公证员姓名等一同公告。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（三）基金合同的变更与终止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1、基金合同的变更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（1）按照法律法规或本基金合同的规定，对基金合同的变更应当召开基金份额持有人大会的，基金合同变更的内容应经基金份额持有人大会决议通过，并依法报中国证监会核准，自中国证监会核准之日起生效。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（2）但出现下列情况时，可不经基金份额持有人大会决议，由基金管理人和基金托管人同意变更后公布经修订的基金合同，并报中国证监会备案：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1)调低基金管理费、基金托管费等其他应由基金或基金份额持有人承担的费用；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2)法律法规要求增加的基金费用的收取；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3)在法律法规和本基金合同规定的范围内调整基金的申购费率、调低赎回费率、变更或增加收费方式；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4)因相应的法律法规、深圳证券交易所或者注册登记机构的相关业务规则发生变动必须对基金合同进行修改；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5)基金合同的修改不涉及本基金合同当事人权利义务关系发生重大变化；</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6)基金合同的修改对基金份额持有人利益无实质性不利影响；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7)按照法律法规或本基金合同规定不需召开基金份额持有人大会的其他情形。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2、基金合同的终止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有下列情形之一的，本基金合同经中国证监会核准后将终止：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（1）基金份额持有人大会决定终止的；</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（2）</w:t>
      </w:r>
      <w:r>
        <w:rPr>
          <w:rFonts w:hint="eastAsia" w:ascii="Times New Roman" w:hAnsi="Times New Roman"/>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（3）基金管理人职责终止，而在6个月内没有新的基金管理人承接的；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（4）基金托管人职责终止，而在6个月内没有新的基金托管人承接的；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（5）相关法律法规和中国证监会规定的其他情况。</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（四）争议的处理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（五）基金合同存放及投资者取得基金合同的方式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本基金合同正本一式六份，除上报相关监管部门两份外，基金管理人和基金托管人各持有两份。每份均具有同等的法律效力。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本基金合同可印制成册，供基金投资者在基金管理人和基金托管人办公场所查阅。基金合同条款及内容应以基金合同正本为准。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54104441"/>
      <w:r>
        <w:rPr>
          <w:rFonts w:ascii="Times New Roman" w:hAnsi="Times New Roman"/>
          <w:sz w:val="30"/>
        </w:rPr>
        <w:t>二十一、托管协议的内容摘要</w:t>
      </w:r>
      <w:bookmarkEnd w:id="23"/>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（一）托管协议当事人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名称：交银施罗德基金管理有限公司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 中国(上海)自由贸易试验区银城中路188号交通银行大楼二层（裙）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办公地址：上海市浦东新区世纪大道8号国金中心二期21-22楼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邮政编码：200120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法定代表人：阮红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成立日期：2005年8月4日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批准设立机关及批准设立文号：中国证监会证监基金字[2005]128号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组织形式：有限责任公司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注册资本：贰亿元人民币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经营范围：基金募集、基金销售、资产管理和中国证监会许可的其它业务。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名称：中国农业银行股份有限公司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注册地址：北京市东城区建国门内大街69号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办公地址：北京市西城区复兴门内大街28号凯晨世贸中心东座九层</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邮政编码：100031</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法定代表人：周慕冰</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成立时间：2009年1月15日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基金托管资格批准文号：中国证监会证监基字[1998]23号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注册资本：32,479,411.7万元人民币</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存续期间：持续经营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（二）基金托管人对基金管理人的业务监督和核查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本基金以深证300价值价格指数（简称“标的指数”）成份股、备选成份股为主要投资对象（含中小板股票和创业板股票及其他经中国证监会核准的上市股票、</w:t>
      </w:r>
      <w:r>
        <w:rPr>
          <w:rFonts w:hint="eastAsia" w:ascii="Times New Roman" w:hAnsi="Times New Roman"/>
          <w:sz w:val="24"/>
        </w:rPr>
        <w:t>存托凭证</w:t>
      </w:r>
      <w:r>
        <w:rPr>
          <w:rFonts w:ascii="Times New Roman" w:hAnsi="Times New Roman"/>
          <w:sz w:val="24"/>
        </w:rPr>
        <w:t>），把全部或接近全部的基金资产用于跟踪标的指数的表现，正常情况下指数化投资比例，即投资于标的指数成份股（</w:t>
      </w:r>
      <w:r>
        <w:rPr>
          <w:rFonts w:hint="eastAsia" w:ascii="Times New Roman" w:hAnsi="Times New Roman"/>
          <w:sz w:val="24"/>
        </w:rPr>
        <w:t>含存托凭证</w:t>
      </w:r>
      <w:r>
        <w:rPr>
          <w:rFonts w:ascii="Times New Roman" w:hAnsi="Times New Roman"/>
          <w:sz w:val="24"/>
        </w:rPr>
        <w:t>）和备选成份股（</w:t>
      </w:r>
      <w:r>
        <w:rPr>
          <w:rFonts w:hint="eastAsia" w:ascii="Times New Roman" w:hAnsi="Times New Roman"/>
          <w:sz w:val="24"/>
        </w:rPr>
        <w:t>含存托凭证</w:t>
      </w:r>
      <w:r>
        <w:rPr>
          <w:rFonts w:ascii="Times New Roman" w:hAnsi="Times New Roman"/>
          <w:sz w:val="24"/>
        </w:rPr>
        <w:t>）的资产比例不低于基金资产净值的95%。此外，为更好地实现投资目标，本基金也可少量投资于新股（</w:t>
      </w:r>
      <w:r>
        <w:rPr>
          <w:rFonts w:hint="eastAsia" w:ascii="Times New Roman" w:hAnsi="Times New Roman"/>
          <w:sz w:val="24"/>
        </w:rPr>
        <w:t>含存托凭证</w:t>
      </w:r>
      <w:r>
        <w:rPr>
          <w:rFonts w:ascii="Times New Roman" w:hAnsi="Times New Roman"/>
          <w:sz w:val="24"/>
        </w:rPr>
        <w:t>）、债券、回购、权证及中国证监会允许基金投资的其它金融工具（但须符合中国证监会的相关规定）。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2、基金托管人根据有关法律法规的规定及基金合同的约定，对基金投资、融资、融券比例进行监督。基金托管人按下述比例和调整期限进行监督：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（1）进入全国银行间同业市场的债券回购融入的资金余额不超过基金资产净值的40%。债券回购最长期限为１年，债券回购到期后不得展期；</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（2）本基金参与股票发行申购，本基金所申报的金额不超过本基金的总资产，本基金所申报的股票数量不超过拟发行股票公司本次发行股票的总量；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（4）本基金持有一家公司发行的流通受限证券，其市值不得超过基金资产净值的2%；本基金持有的所有流通受限证券，其市值不得超过该基金资产净值的15%；</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（5）</w:t>
      </w:r>
      <w:r>
        <w:rPr>
          <w:rFonts w:hint="eastAsia" w:ascii="Times New Roman" w:hAnsi="Times New Roman"/>
          <w:sz w:val="24"/>
        </w:rPr>
        <w:t>本基金投资存托凭证的比例限制依照境内上市交易的股票执行；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（6）本基金不得违反基金合同中有关投资范围、投资策略、投资比例的规定；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（7）法律法规或监管部门对上述比例限制另有规定的，从其规定。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若法律法规或监管部门对上述约定的投资组合比例限制规定进行变更的，以变更后的规定为准；若法律法规或监管部门取消上述限制，在履行适当程序后，本基金投资可不受上述规定限制。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基金托管人对基金投资的监督和检查自基金合同生效之日起开始。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5、基金托管人根据有关法律法规的规定及基金合同的约定，对基金管理人选择存款银行进行监督。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本基金投资银行存款应符合如下规定：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（1）基金管理人、基金托管人应当与存款银行建立定期对账机制，确保基金银行存款业务账目及核算的真实、准确。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（2）基金托管人应加强对基金银行存款业务的监督与核查，严格审查、复核相关协议、账户资料、投资指令、存款证实书等有关文件，切实履行托管职责。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（3）基金管理人与基金托管人在开展基金存款业务时，应严格遵守《基金法》、《运作办法》等有关法律法规，以及国家有关账户管理、利率管理、支付结算等的各项规定。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如果基金管理人未经基金托管人的审核擅自将不实的业绩表现数据印制在宣传推介材料上，则基金托管人对此不承担任何责任，并将在发现后立即报告中国证监会。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7、基金托管人根据有关法律法规的规定及基金合同的约定，对基金投资流通受限证券进行监督。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（1）基金投资流通受限证券，应遵守《关于规范基金投资非公开发行证券行为的紧急通知》、《关于基金投资非公开发行股票等流通受限证券有关问题的通知》等有关法律法规规定。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（4）在投资流通受限证券之前，基金管理人应至少提前一个交易日向基金托管人提供有关非公开定向增发流通受限证券的相关信息，具体应当包括但不限于如下文件（如有）：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（三）基金管理人对基金托管人的业务核查</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（四）基金财产保管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1、基金财产保管的原则</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（1）基金财产应独立于基金管理人、基金托管人的固有财产。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（3）基金托管人按照规定开设基金财产的资金账户和证券账户。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（4）基金托管人对所托管的不同基金财产分别设置账户，与基金托管人的其他业务和其他基金的托管业务实行严格的分帐管理，确保基金财产的完整与独立。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2、基金募集期间及募集资金的验资</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（3）若基金募集期限届满，未能达到基金合同生效的条件，由基金管理人按规定办理退款和募集股票解冻等事宜，基金托管人应提供充分协助。</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3、基金托管资金账户的开立和管理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（1）基金托管人应负责本基金的资金账户的开设和管理。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（4）基金托管资金账户的开立和管理应符合相关法律法规的有关规定。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4、基金证券账户和结算备付金账户的开立和管理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（1）基金托管人在中国证券登记结算有限责任公司上海分公司、深圳分公司为基金开立基金托管人与基金联名的证券账户。</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5、投资人申购或赎回时现金替代、现金差额的查收与划付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基金托管人应根据注册登记机构的交收指令办理本基金因申购、赎回产生的现金替代、现金差额的结算。现金替代的退款和补款由基金管理人负责办理。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6、债券托管专户的开设和管理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7、其他账户的开立和管理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（1）因业务发展需要而开立的其他账户，可以根据法律法规和基金合同的规定，在基金管理人和基金托管人商议后由基金托管人负责开立。新账户按有关规则使用并管理。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（2）法律法规等有关规定对相关账户的开立和管理另有规定的，从其规定办理。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8、基金财产投资的有关有价凭证等的保管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9、与基金财产有关的重大合同的保管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（五）基金资产净值计算和会计复核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1、基金资产净值的计算及复核程序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（1）基金资产净值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基金资产净值是指基金资产总值减去负债后的金额。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基金份额净值是指基金资产净值除以基金份额总数。基金份额净值的计算，精确到0.001元，小数点后第四位四舍五入，由此产生的误差计入基金财产。国家另有规定的，从其规定。</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每工作日计算基金资产净值及基金份额净值，并按规定公告。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（2）复核程序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基金管理人每工作日对基金资产进行估值后，将基金份额净值结果发送基金托管人，经基金托管人复核无误后，由基金管理人依据基金合同和有关法律法规的规定对外公布。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2、基金资产估值方法和特殊情形的处理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（1）估值对象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基金依法拥有的股票、债券、权证及其他基金资产和负债。</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1）股票估值方法：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上市流通股票按估值日其所在证券交易所的收盘价估值；估值日无交易的，以最近交易日的收盘价估值。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②未上市股票的估值：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a.首次发行未上市的股票，采用估值技术确定公允价值，在估值技术难以可靠计量公允价值的情况下，按成本价估值；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b.送股、转增股、配股和公开增发新股等发行未上市的股票，按估值日在证券交易所上市的同一股票的市价进行估值；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c.首次公开发行有明确锁定期的股票，同一股票在交易所上市后，按估值日在证券交易所上市的同一股票的市价进行估值；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d.非公开发行的且在发行时明确一定期限锁定期的股票，按监管机构或行业协会有关规定确定公允价值。</w:t>
      </w:r>
    </w:p>
    <w:p>
      <w:pPr>
        <w:autoSpaceDE w:val="0"/>
        <w:autoSpaceDN w:val="0"/>
        <w:adjustRightInd w:val="0"/>
        <w:snapToGrid w:val="0"/>
        <w:spacing w:line="360" w:lineRule="auto"/>
        <w:ind w:firstLine="480" w:firstLineChars="200"/>
        <w:rPr>
          <w:rFonts w:ascii="Times New Roman" w:hAnsi="Times New Roman"/>
          <w:sz w:val="24"/>
        </w:rPr>
      </w:pPr>
      <w:r>
        <w:rPr>
          <w:rFonts w:ascii="Times New Roman" w:hAnsi="Times New Roman"/>
          <w:sz w:val="24"/>
        </w:rPr>
        <w:t>③</w:t>
      </w:r>
      <w:r>
        <w:rPr>
          <w:rFonts w:hint="eastAsia" w:ascii="Times New Roman" w:hAnsi="Times New Roman"/>
          <w:sz w:val="24"/>
        </w:rPr>
        <w:t>本基金投资存托凭证的估值核算依照境内上市交易的股票执行。</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④</w:t>
      </w:r>
      <w:r>
        <w:rPr>
          <w:rFonts w:ascii="Times New Roman" w:hAnsi="Times New Roman"/>
          <w:sz w:val="24"/>
        </w:rPr>
        <w:t>在任何情况下，基金管理人如采用本项第①－</w:t>
      </w:r>
      <w:r>
        <w:rPr>
          <w:rFonts w:hint="eastAsia" w:ascii="Times New Roman" w:hAnsi="Times New Roman"/>
          <w:sz w:val="24"/>
        </w:rPr>
        <w:t>③</w:t>
      </w:r>
      <w:r>
        <w:rPr>
          <w:rFonts w:ascii="Times New Roman" w:hAnsi="Times New Roman"/>
          <w:sz w:val="24"/>
        </w:rPr>
        <w:t>小项规定的方法对基金资产进行估值，均应被认为采用了适当的估值方法。但是，如果基金管理人认为按本项第①－</w:t>
      </w:r>
      <w:r>
        <w:rPr>
          <w:rFonts w:hint="eastAsia" w:ascii="Times New Roman" w:hAnsi="Times New Roman"/>
          <w:sz w:val="24"/>
        </w:rPr>
        <w:t>③</w:t>
      </w:r>
      <w:r>
        <w:rPr>
          <w:rFonts w:ascii="Times New Roman" w:hAnsi="Times New Roman"/>
          <w:sz w:val="24"/>
        </w:rPr>
        <w:t>小项规定的方法对基金资产进行估值不能客观反映其公允价值的，基金管理人可根据具体情况，并与基金托管人商定后，按最能反映公允价值的价格估值；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hint="eastAsia" w:ascii="Times New Roman" w:hAnsi="Times New Roman"/>
          <w:sz w:val="24"/>
        </w:rPr>
        <w:t>⑤</w:t>
      </w:r>
      <w:r>
        <w:rPr>
          <w:rFonts w:ascii="Times New Roman" w:hAnsi="Times New Roman"/>
          <w:sz w:val="24"/>
        </w:rPr>
        <w:t>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2）债券估值方法：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①交易所市场上市交易或挂牌转让的固定收益品种（另有规定的除外），选取第三方估值机构提供的相应品种当日的估值净价进行估值；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③首次发行未上市债券采用估值技术确定的公允价值进行估值，在估值技术难以可靠计量公允价值的情况下，按成本估值。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④交易所以大宗交易方式转让的资产支持证券，采用估值技术确定公允价值，在估值技术难以可靠计量公允价值的情况下，按成本进行后续计量。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⑤在全国银行间债券市场交易的债券、资产支持证券等固定收益品种，采用估值技术确定公允价值。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⑥同一债券同时在两个或两个以上市场交易的，按债券所处的市场分别估值。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⑧国家有最新规定的，按其规定进行估值。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3）权证估值方法：</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②首次发行未上市的权证，采用估值技术确定公允价值，在估值技术难以可靠计量公允价值的情况下，按成本估值。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③因持有股票而享有的配股权，以及停止交易、但未行权的权证，采用估值技术确定公允价值进行估值。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⑤国家有最新规定的，按其规定进行估值。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4）衍生品及其他有价证券等资产按国家有关规定进行估值。</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（3）特殊情形的处理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1)基金管理人、基金托管人按股票估值方法的第</w:t>
      </w:r>
      <w:r>
        <w:rPr>
          <w:rFonts w:hint="eastAsia" w:ascii="Times New Roman" w:hAnsi="Times New Roman"/>
          <w:sz w:val="24"/>
        </w:rPr>
        <w:t>④</w:t>
      </w:r>
      <w:r>
        <w:rPr>
          <w:rFonts w:ascii="Times New Roman" w:hAnsi="Times New Roman"/>
          <w:sz w:val="24"/>
        </w:rPr>
        <w:t>项、债券估值方法的第⑦项、权证估值方法的第④项进行估值时，所造成的误差不作为基金份额净值错误处理。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3、基金份额净值错误的处理方式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（2）当基金份额净值计算差错给基金和基金份额持有人造成损失需要进行赔偿时，基金管理人和基金托管人应根据实际情况界定双方承担的责任，经确认后按以下条款进行赔偿：</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（3）基金管理人和基金托管人由于各自技术系统设置而产生的净值计算尾差，以基金管理人计算结果为准。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（4）前述内容如法律法规或监管机关另有规定的，从其规定处理。如果行业有通行做法，双方当事人应本着平等和保护基金份额持有人利益的原则进行协商。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4、暂停估值与公告基金份额净值的情形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（1）基金投资所涉及的证券交易所遇法定节假日或因其他原因暂停营业时；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（2）因不可抗力或其他情形致使基金管理人、基金托管人无法准确评估基金资产价值时；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（3）占基金相当比例的投资品种的估值出现重大转变，而基金管理人为保障基金份额持有人的利益，决定延迟估值时；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（4）中国证监会和基金合同认定的其他情形。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5、基金会计制度</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按国家有关部门规定的会计制度执行。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6、基金账册的建立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7、基金财务报表与报告的编制和复核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（1）财务报表的编制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（2）报表复核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基金管理人在报表或定期报告完成当日，对报表盖章后，以加密传真方式或双方书面商定的其他方式将有关报表提供基金托管人复核。</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（六）基金份额持有人名册的保管</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（七）争议解决方式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本协议适用中华人民共和国法律并从其解释。</w:t>
      </w:r>
    </w:p>
    <w:p>
      <w:pPr>
        <w:autoSpaceDE w:val="0"/>
        <w:autoSpaceDN w:val="0"/>
        <w:adjustRightInd w:val="0"/>
        <w:snapToGrid w:val="0"/>
        <w:spacing w:line="360" w:lineRule="auto"/>
        <w:ind w:firstLine="422" w:firstLineChars="200"/>
        <w:rPr>
          <w:rFonts w:ascii="宋体" w:hAnsi="宋体"/>
          <w:szCs w:val="24"/>
        </w:rPr>
      </w:pPr>
      <w:r>
        <w:rPr>
          <w:rFonts w:hint="eastAsia" w:ascii="宋体" w:hAnsi="宋体"/>
          <w:b/>
          <w:szCs w:val="24"/>
        </w:rPr>
        <w:t>（八）托管协议的变更与终止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1、托管协议的变更程序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本协议双方当事人经协商一致，可以对协议进行修改。修改后的新协议，其内容不得与基金合同的规定有任何冲突。基金托管协议的变更报中国证监会核准后生效。</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2、基金托管协议终止的情形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（1）基金合同终止；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（2）基金托管人解散、依法被撤销、破产或由其他基金托管人接管基金资产；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（3）基金管理人解散、依法被撤销、破产或由其他基金管理人接管基金管理权；</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54104442"/>
      <w:r>
        <w:rPr>
          <w:rFonts w:ascii="Times New Roman" w:hAnsi="Times New Roman"/>
          <w:sz w:val="30"/>
        </w:rPr>
        <w:t>二十二、对基金份额持有人的服务</w:t>
      </w:r>
      <w:bookmarkEnd w:id="24"/>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对本基金份额持有人的服务主要由基金管理人、发售代理机构以及申购赎回代理券商提供。本基金管理人根据基金份额持有人的需要和市场的变化，有权增加或变更服务项目。主要服务内容如下：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投资者如果想查询基金净值、相关公告、基金产品与服务等信息，请拨打本基金管理人客户服务电话（400-700-5000，021-61055000）或登录本基金管理人网站（www.fund001.com）进行咨询、查询。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服务联系方式：</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本基金管理人的互联网地址及电子信箱</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网址：www.fund001.com</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电子信箱：services@jysld.com</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54104443"/>
      <w:r>
        <w:rPr>
          <w:rFonts w:ascii="Times New Roman" w:hAnsi="Times New Roman"/>
          <w:sz w:val="30"/>
        </w:rPr>
        <w:t>二十三、其他应披露事项</w:t>
      </w:r>
      <w:bookmarkEnd w:id="25"/>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基金合同如有未尽事宜，由基金合同当事人各方按有关法律法规协商解决。</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交银施罗德基金管理有限公司旗下部分基金2019年第四季度报告提示性公告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深证300价值交易型开放式指数证券投资基金2019年第4季度报告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深证300价值交易型开放式指数证券投资基金（更新）招募说明书摘要（2019年第3号）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深证300价值交易型开放式指数证券投资基金（更新）招募说明书（2019年第3号）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交银施罗德基金管理有限公司旗下部分基金2019年年度报告提示性公告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深证300价值交易型开放式指数证券投资基金2019年年度报告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交银施罗德基金管理有限公司旗下部分基金2020年第一季度报告提示性公告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深证300价值交易型开放式指数证券投资基金2020年第1季度报告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关于调整深证300价值交易型开放式指数证券投资基金标的指数许可使用费并修改法律文件的公告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深证300价值交易型开放式指数证券投资基金基金合同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深证300价值交易型开放式指数证券投资基金托管协议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深证300价值交易型开放式指数证券投资基金（更新）招募说明书摘要（2020年第1号）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深证300价值交易型开放式指数证券投资基金（更新）招募说明书（2020年第1号）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交银施罗德基金管理有限公司旗下部分基金2020年第二季度报告提示性公告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深证300价值交易型开放式指数证券投资基金2020年第2季度报告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交银施罗德基金管理有限公司旗下部分基金2020年中期报告提示性公告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深证300价值交易型开放式指数证券投资基金2020年中期报告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深证300价值交易型开放式指数证券投资基金基金产品资料概要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54104444"/>
      <w:r>
        <w:rPr>
          <w:rFonts w:ascii="Times New Roman" w:hAnsi="Times New Roman"/>
          <w:sz w:val="30"/>
        </w:rPr>
        <w:t>二十四、招募说明书的存放及查阅方式</w:t>
      </w:r>
      <w:bookmarkEnd w:id="26"/>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投资者还可以直接登录基金管理人的网站(www.fund001.com)查阅和下载招募说明书。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54104445"/>
      <w:r>
        <w:rPr>
          <w:rFonts w:ascii="Times New Roman" w:hAnsi="Times New Roman"/>
          <w:sz w:val="30"/>
        </w:rPr>
        <w:t>二十五、备查文件</w:t>
      </w:r>
      <w:bookmarkEnd w:id="27"/>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以下备查文件存放在基金管理人的办公场所，在办公时间可供免费查阅。</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（一）中国证监会核准深证300价值交易型开放式指数证券投资基金募集的文件</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（二）《深证300价值交易型开放式指数证券投资基金基金合同》</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（三）《深证300价值交易型开放式指数证券投资基金托管协议》</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（四）基金管理人业务资格批件、营业执照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（五）基金托管人业务资格批件、营业执照</w:t>
      </w:r>
    </w:p>
    <w:p>
      <w:pPr>
        <w:autoSpaceDE w:val="0"/>
        <w:autoSpaceDN w:val="0"/>
        <w:adjustRightInd w:val="0"/>
        <w:snapToGrid w:val="0"/>
        <w:spacing w:line="360" w:lineRule="auto"/>
        <w:ind w:firstLine="480" w:firstLineChars="200"/>
        <w:rPr>
          <w:rFonts w:ascii="宋体" w:hAnsi="宋体"/>
          <w:szCs w:val="24"/>
        </w:rPr>
      </w:pPr>
      <w:r>
        <w:rPr>
          <w:rFonts w:ascii="Times New Roman" w:hAnsi="Times New Roman"/>
          <w:sz w:val="24"/>
        </w:rPr>
        <w:t>（六）关于申请募集深证300价值交易型开放式指数证券投资基金之法律意见书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hiTJ32gAAAA0BAAAPAAAAAAAAAAEAIAAAACIAAABkcnMvZG93bnJl&#10;di54bWxQSwECFAAUAAAACACHTuJAvfUcm/sBAAADBAAADgAAAAAAAAABACAAAAApAQAAZHJzL2Uy&#10;b0RvYy54bWxQSwUGAAAAAAYABgBZAQAAlg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3</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Ej7vjaAAAADQEAAA8AAAAAAAAAAQAgAAAAIgAAAGRycy9kb3du&#10;cmV2LnhtbFBLAQIUABQAAAAIAIdO4kCqBm2W/QEAAAQEAAAOAAAAAAAAAAEAIAAAACkBAABkcnMv&#10;ZTJvRG9jLnhtbFBLBQYAAAAABgAGAFkBAACYBQ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15</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深证300价值交易型开放式指数证券投资基金(更新)招募说明书(2020年第2号)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深证300价值交易型开放式指数证券投资基金(更新)招募说明书(202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pPr>
      <w:pStyle w:val="9"/>
      <w:jc w:val="right"/>
      <w:rPr>
        <w:rFonts w:ascii="宋体" w:hAnsi="宋体"/>
      </w:rPr>
    </w:pPr>
    <w:r>
      <w:rPr>
        <w:rFonts w:hint="eastAsia" w:ascii="宋体" w:hAnsi="宋体"/>
      </w:rPr>
      <w:t>深证300价值交易型开放式指数证券投资基金(更新)招募说明书(202</w:t>
    </w:r>
    <w:r>
      <w:rPr>
        <w:rFonts w:ascii="宋体" w:hAnsi="宋体"/>
      </w:rPr>
      <w:t>1</w:t>
    </w:r>
    <w:r>
      <w:rPr>
        <w:rFonts w:hint="eastAsia" w:ascii="宋体" w:hAnsi="宋体"/>
      </w:rPr>
      <w:t>年第</w:t>
    </w:r>
    <w:r>
      <w:rPr>
        <w:rFonts w:ascii="宋体" w:hAnsi="宋体"/>
      </w:rPr>
      <w:t>2</w:t>
    </w:r>
    <w:r>
      <w:rPr>
        <w:rFonts w:hint="eastAsia"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5C30"/>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757"/>
    <w:rsid w:val="0007638A"/>
    <w:rsid w:val="00076B6E"/>
    <w:rsid w:val="000816EA"/>
    <w:rsid w:val="00081744"/>
    <w:rsid w:val="000828CE"/>
    <w:rsid w:val="000833CB"/>
    <w:rsid w:val="00083491"/>
    <w:rsid w:val="00084078"/>
    <w:rsid w:val="000843B3"/>
    <w:rsid w:val="000869C2"/>
    <w:rsid w:val="00087E7D"/>
    <w:rsid w:val="00087F4C"/>
    <w:rsid w:val="00090648"/>
    <w:rsid w:val="00094253"/>
    <w:rsid w:val="00095030"/>
    <w:rsid w:val="000A01A0"/>
    <w:rsid w:val="000A14EC"/>
    <w:rsid w:val="000A352B"/>
    <w:rsid w:val="000A7497"/>
    <w:rsid w:val="000B0F8B"/>
    <w:rsid w:val="000B359E"/>
    <w:rsid w:val="000B3894"/>
    <w:rsid w:val="000B4E04"/>
    <w:rsid w:val="000C1E1E"/>
    <w:rsid w:val="000C38F1"/>
    <w:rsid w:val="000C5E77"/>
    <w:rsid w:val="000C68E9"/>
    <w:rsid w:val="000C74AC"/>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184A"/>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351B"/>
    <w:rsid w:val="00134FCF"/>
    <w:rsid w:val="00135AD8"/>
    <w:rsid w:val="0013630D"/>
    <w:rsid w:val="001367F2"/>
    <w:rsid w:val="001412E8"/>
    <w:rsid w:val="0014250F"/>
    <w:rsid w:val="00144B52"/>
    <w:rsid w:val="00153D66"/>
    <w:rsid w:val="0015725E"/>
    <w:rsid w:val="00162F69"/>
    <w:rsid w:val="00164946"/>
    <w:rsid w:val="001649BB"/>
    <w:rsid w:val="00165756"/>
    <w:rsid w:val="0017362C"/>
    <w:rsid w:val="0017392F"/>
    <w:rsid w:val="0018184C"/>
    <w:rsid w:val="0018198F"/>
    <w:rsid w:val="00181C62"/>
    <w:rsid w:val="00183517"/>
    <w:rsid w:val="00183642"/>
    <w:rsid w:val="001860C4"/>
    <w:rsid w:val="00186FAE"/>
    <w:rsid w:val="001917D4"/>
    <w:rsid w:val="001917FC"/>
    <w:rsid w:val="00191D7F"/>
    <w:rsid w:val="001925A2"/>
    <w:rsid w:val="00192F3F"/>
    <w:rsid w:val="00195218"/>
    <w:rsid w:val="00197A55"/>
    <w:rsid w:val="00197F7E"/>
    <w:rsid w:val="001A1623"/>
    <w:rsid w:val="001A2263"/>
    <w:rsid w:val="001B4531"/>
    <w:rsid w:val="001B5BDB"/>
    <w:rsid w:val="001B75F9"/>
    <w:rsid w:val="001C1E42"/>
    <w:rsid w:val="001C2B9E"/>
    <w:rsid w:val="001C38DA"/>
    <w:rsid w:val="001C7A48"/>
    <w:rsid w:val="001C7C12"/>
    <w:rsid w:val="001D2797"/>
    <w:rsid w:val="001D2B67"/>
    <w:rsid w:val="001D3730"/>
    <w:rsid w:val="001D4727"/>
    <w:rsid w:val="001D5150"/>
    <w:rsid w:val="001D5665"/>
    <w:rsid w:val="001D61DC"/>
    <w:rsid w:val="001D6377"/>
    <w:rsid w:val="001D68A8"/>
    <w:rsid w:val="001D6B88"/>
    <w:rsid w:val="001D6C5F"/>
    <w:rsid w:val="001D7ECC"/>
    <w:rsid w:val="001E144C"/>
    <w:rsid w:val="001E25FD"/>
    <w:rsid w:val="001E2A4F"/>
    <w:rsid w:val="001E3F8F"/>
    <w:rsid w:val="001E5250"/>
    <w:rsid w:val="001F0AD5"/>
    <w:rsid w:val="001F33EB"/>
    <w:rsid w:val="001F4DEA"/>
    <w:rsid w:val="001F4ECB"/>
    <w:rsid w:val="001F7353"/>
    <w:rsid w:val="00201F27"/>
    <w:rsid w:val="00201F9B"/>
    <w:rsid w:val="00203597"/>
    <w:rsid w:val="00204D5E"/>
    <w:rsid w:val="002076AC"/>
    <w:rsid w:val="00210707"/>
    <w:rsid w:val="00212B27"/>
    <w:rsid w:val="00212BBA"/>
    <w:rsid w:val="0021469C"/>
    <w:rsid w:val="00215523"/>
    <w:rsid w:val="00216962"/>
    <w:rsid w:val="00217CA4"/>
    <w:rsid w:val="00221112"/>
    <w:rsid w:val="00221A1B"/>
    <w:rsid w:val="002220A4"/>
    <w:rsid w:val="00223C19"/>
    <w:rsid w:val="00224421"/>
    <w:rsid w:val="00224EEA"/>
    <w:rsid w:val="00226503"/>
    <w:rsid w:val="00226A60"/>
    <w:rsid w:val="00227E89"/>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2F47"/>
    <w:rsid w:val="002833C9"/>
    <w:rsid w:val="00285E5C"/>
    <w:rsid w:val="00290B63"/>
    <w:rsid w:val="00290E73"/>
    <w:rsid w:val="00293415"/>
    <w:rsid w:val="00294689"/>
    <w:rsid w:val="0029539A"/>
    <w:rsid w:val="00296BC1"/>
    <w:rsid w:val="002A1A82"/>
    <w:rsid w:val="002A2FB0"/>
    <w:rsid w:val="002A439C"/>
    <w:rsid w:val="002A4D32"/>
    <w:rsid w:val="002A5F87"/>
    <w:rsid w:val="002B017B"/>
    <w:rsid w:val="002B0DC0"/>
    <w:rsid w:val="002B2664"/>
    <w:rsid w:val="002B4E21"/>
    <w:rsid w:val="002B5000"/>
    <w:rsid w:val="002B78AA"/>
    <w:rsid w:val="002C383C"/>
    <w:rsid w:val="002D15BB"/>
    <w:rsid w:val="002D1C13"/>
    <w:rsid w:val="002D3109"/>
    <w:rsid w:val="002D378C"/>
    <w:rsid w:val="002D5B80"/>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33BC"/>
    <w:rsid w:val="00304063"/>
    <w:rsid w:val="0030555F"/>
    <w:rsid w:val="00305A3B"/>
    <w:rsid w:val="00305BB4"/>
    <w:rsid w:val="0030645F"/>
    <w:rsid w:val="003117B9"/>
    <w:rsid w:val="00311C71"/>
    <w:rsid w:val="00313073"/>
    <w:rsid w:val="0031336C"/>
    <w:rsid w:val="0031339F"/>
    <w:rsid w:val="00313F3E"/>
    <w:rsid w:val="0031410B"/>
    <w:rsid w:val="00314C40"/>
    <w:rsid w:val="0032263A"/>
    <w:rsid w:val="00323F65"/>
    <w:rsid w:val="00326147"/>
    <w:rsid w:val="0033051E"/>
    <w:rsid w:val="0033401D"/>
    <w:rsid w:val="00334456"/>
    <w:rsid w:val="00336150"/>
    <w:rsid w:val="00336E99"/>
    <w:rsid w:val="00342417"/>
    <w:rsid w:val="00342A35"/>
    <w:rsid w:val="00343A6F"/>
    <w:rsid w:val="00344C3D"/>
    <w:rsid w:val="003454EC"/>
    <w:rsid w:val="00346537"/>
    <w:rsid w:val="00347B94"/>
    <w:rsid w:val="003527DD"/>
    <w:rsid w:val="00353770"/>
    <w:rsid w:val="003547A2"/>
    <w:rsid w:val="00355171"/>
    <w:rsid w:val="00362702"/>
    <w:rsid w:val="00362A37"/>
    <w:rsid w:val="00362CF0"/>
    <w:rsid w:val="00362D5D"/>
    <w:rsid w:val="00364AC5"/>
    <w:rsid w:val="00365D15"/>
    <w:rsid w:val="00366E47"/>
    <w:rsid w:val="0036702F"/>
    <w:rsid w:val="00367F3A"/>
    <w:rsid w:val="00370BDF"/>
    <w:rsid w:val="00372FA2"/>
    <w:rsid w:val="003735E9"/>
    <w:rsid w:val="003739FE"/>
    <w:rsid w:val="003749D5"/>
    <w:rsid w:val="00376434"/>
    <w:rsid w:val="0038254F"/>
    <w:rsid w:val="003828EC"/>
    <w:rsid w:val="00383488"/>
    <w:rsid w:val="003843BB"/>
    <w:rsid w:val="003859DA"/>
    <w:rsid w:val="00386153"/>
    <w:rsid w:val="00386BA7"/>
    <w:rsid w:val="0039068B"/>
    <w:rsid w:val="00390B48"/>
    <w:rsid w:val="0039213A"/>
    <w:rsid w:val="00393BF6"/>
    <w:rsid w:val="00395D4D"/>
    <w:rsid w:val="00396151"/>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44EC"/>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A0C"/>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02A"/>
    <w:rsid w:val="004A6F1F"/>
    <w:rsid w:val="004B17D8"/>
    <w:rsid w:val="004B2323"/>
    <w:rsid w:val="004B48B0"/>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123D"/>
    <w:rsid w:val="005826AA"/>
    <w:rsid w:val="0058398A"/>
    <w:rsid w:val="00583CE7"/>
    <w:rsid w:val="005856E9"/>
    <w:rsid w:val="005867BB"/>
    <w:rsid w:val="00587452"/>
    <w:rsid w:val="00591C2A"/>
    <w:rsid w:val="0059215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82C"/>
    <w:rsid w:val="005D5D89"/>
    <w:rsid w:val="005D7CED"/>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344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622C"/>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0EC5"/>
    <w:rsid w:val="006D11E8"/>
    <w:rsid w:val="006D4B0E"/>
    <w:rsid w:val="006D6CE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1F85"/>
    <w:rsid w:val="007222D8"/>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66207"/>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02B0"/>
    <w:rsid w:val="007C5764"/>
    <w:rsid w:val="007C61D0"/>
    <w:rsid w:val="007C6FAA"/>
    <w:rsid w:val="007C768F"/>
    <w:rsid w:val="007D251F"/>
    <w:rsid w:val="007D4FA2"/>
    <w:rsid w:val="007D65F7"/>
    <w:rsid w:val="007E0874"/>
    <w:rsid w:val="007E0FAD"/>
    <w:rsid w:val="007E23AD"/>
    <w:rsid w:val="007E60E9"/>
    <w:rsid w:val="007E63F3"/>
    <w:rsid w:val="007E6F5A"/>
    <w:rsid w:val="007F0194"/>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0F99"/>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7CC"/>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C62"/>
    <w:rsid w:val="00917DBE"/>
    <w:rsid w:val="0092605A"/>
    <w:rsid w:val="0092689A"/>
    <w:rsid w:val="0093228E"/>
    <w:rsid w:val="009325E1"/>
    <w:rsid w:val="00933602"/>
    <w:rsid w:val="009338B2"/>
    <w:rsid w:val="00934DDB"/>
    <w:rsid w:val="009351EF"/>
    <w:rsid w:val="0093698F"/>
    <w:rsid w:val="00940914"/>
    <w:rsid w:val="009409E8"/>
    <w:rsid w:val="00942250"/>
    <w:rsid w:val="00942706"/>
    <w:rsid w:val="00942E51"/>
    <w:rsid w:val="00944202"/>
    <w:rsid w:val="00944A13"/>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23F9"/>
    <w:rsid w:val="009649DC"/>
    <w:rsid w:val="00966EB2"/>
    <w:rsid w:val="00970C67"/>
    <w:rsid w:val="00974456"/>
    <w:rsid w:val="009746F0"/>
    <w:rsid w:val="00982813"/>
    <w:rsid w:val="00987349"/>
    <w:rsid w:val="00991483"/>
    <w:rsid w:val="0099296D"/>
    <w:rsid w:val="009935AA"/>
    <w:rsid w:val="00993F94"/>
    <w:rsid w:val="009951B2"/>
    <w:rsid w:val="009A0369"/>
    <w:rsid w:val="009A039C"/>
    <w:rsid w:val="009A2859"/>
    <w:rsid w:val="009A4E90"/>
    <w:rsid w:val="009A50B8"/>
    <w:rsid w:val="009A737B"/>
    <w:rsid w:val="009B1823"/>
    <w:rsid w:val="009B406F"/>
    <w:rsid w:val="009B443A"/>
    <w:rsid w:val="009B4D09"/>
    <w:rsid w:val="009B6DD1"/>
    <w:rsid w:val="009C1332"/>
    <w:rsid w:val="009C4A4F"/>
    <w:rsid w:val="009C6D34"/>
    <w:rsid w:val="009C6E50"/>
    <w:rsid w:val="009D2E97"/>
    <w:rsid w:val="009D328E"/>
    <w:rsid w:val="009D3438"/>
    <w:rsid w:val="009D3B88"/>
    <w:rsid w:val="009D40B6"/>
    <w:rsid w:val="009D4D3A"/>
    <w:rsid w:val="009D4D80"/>
    <w:rsid w:val="009D7AD4"/>
    <w:rsid w:val="009E1231"/>
    <w:rsid w:val="009E1A57"/>
    <w:rsid w:val="009E36CA"/>
    <w:rsid w:val="009E4B6B"/>
    <w:rsid w:val="009E6470"/>
    <w:rsid w:val="009E7175"/>
    <w:rsid w:val="009F0032"/>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4AA9"/>
    <w:rsid w:val="00A64C51"/>
    <w:rsid w:val="00A65DF5"/>
    <w:rsid w:val="00A66D3E"/>
    <w:rsid w:val="00A676CE"/>
    <w:rsid w:val="00A7001C"/>
    <w:rsid w:val="00A70A43"/>
    <w:rsid w:val="00A75807"/>
    <w:rsid w:val="00A77913"/>
    <w:rsid w:val="00A8209D"/>
    <w:rsid w:val="00A82740"/>
    <w:rsid w:val="00A82D3F"/>
    <w:rsid w:val="00A84AC5"/>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210A"/>
    <w:rsid w:val="00AF4A88"/>
    <w:rsid w:val="00AF60FC"/>
    <w:rsid w:val="00AF619D"/>
    <w:rsid w:val="00B01A75"/>
    <w:rsid w:val="00B02D39"/>
    <w:rsid w:val="00B03711"/>
    <w:rsid w:val="00B03B6B"/>
    <w:rsid w:val="00B04CC3"/>
    <w:rsid w:val="00B133D1"/>
    <w:rsid w:val="00B17DE2"/>
    <w:rsid w:val="00B2096A"/>
    <w:rsid w:val="00B20E8D"/>
    <w:rsid w:val="00B240CC"/>
    <w:rsid w:val="00B32541"/>
    <w:rsid w:val="00B3267F"/>
    <w:rsid w:val="00B35F87"/>
    <w:rsid w:val="00B369D0"/>
    <w:rsid w:val="00B379DA"/>
    <w:rsid w:val="00B37A67"/>
    <w:rsid w:val="00B41203"/>
    <w:rsid w:val="00B41500"/>
    <w:rsid w:val="00B5297F"/>
    <w:rsid w:val="00B52991"/>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1A7E"/>
    <w:rsid w:val="00BA3196"/>
    <w:rsid w:val="00BA3509"/>
    <w:rsid w:val="00BA5877"/>
    <w:rsid w:val="00BB124C"/>
    <w:rsid w:val="00BB17E3"/>
    <w:rsid w:val="00BB1CDB"/>
    <w:rsid w:val="00BB2110"/>
    <w:rsid w:val="00BB3645"/>
    <w:rsid w:val="00BB547E"/>
    <w:rsid w:val="00BB69B7"/>
    <w:rsid w:val="00BC0BF5"/>
    <w:rsid w:val="00BC2581"/>
    <w:rsid w:val="00BC3F55"/>
    <w:rsid w:val="00BC481A"/>
    <w:rsid w:val="00BC4D26"/>
    <w:rsid w:val="00BC555D"/>
    <w:rsid w:val="00BC658E"/>
    <w:rsid w:val="00BD0218"/>
    <w:rsid w:val="00BD1869"/>
    <w:rsid w:val="00BD200B"/>
    <w:rsid w:val="00BD3483"/>
    <w:rsid w:val="00BD4CF6"/>
    <w:rsid w:val="00BD63DF"/>
    <w:rsid w:val="00BD64D4"/>
    <w:rsid w:val="00BD7C4B"/>
    <w:rsid w:val="00BE33E8"/>
    <w:rsid w:val="00BF2BEB"/>
    <w:rsid w:val="00BF2D9F"/>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6856"/>
    <w:rsid w:val="00C67BDD"/>
    <w:rsid w:val="00C70CAF"/>
    <w:rsid w:val="00C70F24"/>
    <w:rsid w:val="00C717F6"/>
    <w:rsid w:val="00C72FD7"/>
    <w:rsid w:val="00C8155C"/>
    <w:rsid w:val="00C8640E"/>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1CA9"/>
    <w:rsid w:val="00CF41D0"/>
    <w:rsid w:val="00D00CF9"/>
    <w:rsid w:val="00D012FF"/>
    <w:rsid w:val="00D04CD8"/>
    <w:rsid w:val="00D04DEC"/>
    <w:rsid w:val="00D114ED"/>
    <w:rsid w:val="00D1261E"/>
    <w:rsid w:val="00D13F32"/>
    <w:rsid w:val="00D14B5E"/>
    <w:rsid w:val="00D1685E"/>
    <w:rsid w:val="00D16FF1"/>
    <w:rsid w:val="00D171BA"/>
    <w:rsid w:val="00D25B74"/>
    <w:rsid w:val="00D25CA1"/>
    <w:rsid w:val="00D31474"/>
    <w:rsid w:val="00D32933"/>
    <w:rsid w:val="00D3579F"/>
    <w:rsid w:val="00D36B62"/>
    <w:rsid w:val="00D37BF5"/>
    <w:rsid w:val="00D421A7"/>
    <w:rsid w:val="00D42987"/>
    <w:rsid w:val="00D42BB9"/>
    <w:rsid w:val="00D42C18"/>
    <w:rsid w:val="00D43F5E"/>
    <w:rsid w:val="00D44623"/>
    <w:rsid w:val="00D47CF6"/>
    <w:rsid w:val="00D50820"/>
    <w:rsid w:val="00D511C3"/>
    <w:rsid w:val="00D52373"/>
    <w:rsid w:val="00D537A9"/>
    <w:rsid w:val="00D53F0B"/>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16C"/>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9A9"/>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021E"/>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85F95"/>
    <w:rsid w:val="00E92E9D"/>
    <w:rsid w:val="00E93B3C"/>
    <w:rsid w:val="00E96A7F"/>
    <w:rsid w:val="00EA031A"/>
    <w:rsid w:val="00EA0CE9"/>
    <w:rsid w:val="00EA1A40"/>
    <w:rsid w:val="00EA330D"/>
    <w:rsid w:val="00EA5190"/>
    <w:rsid w:val="00EA5F4C"/>
    <w:rsid w:val="00EA6109"/>
    <w:rsid w:val="00EB2688"/>
    <w:rsid w:val="00EB6181"/>
    <w:rsid w:val="00EB664F"/>
    <w:rsid w:val="00EB6BEE"/>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634A"/>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37EE3"/>
    <w:rsid w:val="00F45532"/>
    <w:rsid w:val="00F45ED2"/>
    <w:rsid w:val="00F53C4F"/>
    <w:rsid w:val="00F5431F"/>
    <w:rsid w:val="00F56A51"/>
    <w:rsid w:val="00F61899"/>
    <w:rsid w:val="00F63317"/>
    <w:rsid w:val="00F66A4F"/>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58C0"/>
    <w:rsid w:val="00F978B7"/>
    <w:rsid w:val="00FA2FCD"/>
    <w:rsid w:val="00FA3FA8"/>
    <w:rsid w:val="00FA4718"/>
    <w:rsid w:val="00FA6E64"/>
    <w:rsid w:val="00FB1DCD"/>
    <w:rsid w:val="00FB2F0E"/>
    <w:rsid w:val="00FB31CC"/>
    <w:rsid w:val="00FB4B22"/>
    <w:rsid w:val="00FC05EE"/>
    <w:rsid w:val="00FC2EC6"/>
    <w:rsid w:val="00FC339A"/>
    <w:rsid w:val="00FC36E0"/>
    <w:rsid w:val="00FC546F"/>
    <w:rsid w:val="00FC6F5E"/>
    <w:rsid w:val="00FC711A"/>
    <w:rsid w:val="00FC7D31"/>
    <w:rsid w:val="00FD13AC"/>
    <w:rsid w:val="00FD2D28"/>
    <w:rsid w:val="00FD6BFE"/>
    <w:rsid w:val="00FE3FF3"/>
    <w:rsid w:val="00FE6708"/>
    <w:rsid w:val="00FE6D8B"/>
    <w:rsid w:val="00FF459F"/>
    <w:rsid w:val="00FF4D4F"/>
    <w:rsid w:val="1A0C76C8"/>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Document Map"/>
    <w:basedOn w:val="1"/>
    <w:link w:val="35"/>
    <w:unhideWhenUsed/>
    <w:uiPriority w:val="99"/>
    <w:rPr>
      <w:rFonts w:ascii="宋体"/>
      <w:sz w:val="18"/>
      <w:szCs w:val="18"/>
    </w:rPr>
  </w:style>
  <w:style w:type="paragraph" w:styleId="6">
    <w:name w:val="annotation text"/>
    <w:basedOn w:val="1"/>
    <w:link w:val="31"/>
    <w:unhideWhenUsed/>
    <w:uiPriority w:val="0"/>
    <w:pPr>
      <w:jc w:val="left"/>
    </w:pPr>
  </w:style>
  <w:style w:type="paragraph" w:styleId="7">
    <w:name w:val="Balloon Text"/>
    <w:basedOn w:val="1"/>
    <w:semiHidden/>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 w:type="paragraph" w:customStyle="1" w:styleId="40">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125</Pages>
  <Words>13112</Words>
  <Characters>74744</Characters>
  <Lines>622</Lines>
  <Paragraphs>175</Paragraphs>
  <TotalTime>0</TotalTime>
  <ScaleCrop>false</ScaleCrop>
  <LinksUpToDate>false</LinksUpToDate>
  <CharactersWithSpaces>87681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2021-03-25T08:39:00Z</dcterms:created>
  <dc:creator>系统用户</dc:creator>
  <cp:lastModifiedBy>wangwanting</cp:lastModifiedBy>
  <cp:lastPrinted>2013-02-18T03:10:00Z</cp:lastPrinted>
  <dcterms:modified xsi:type="dcterms:W3CDTF">2021-05-07T06:35:58Z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