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065CE" w14:textId="77777777" w:rsidR="00E3175C" w:rsidRPr="00EB07BC" w:rsidRDefault="00E3175C">
      <w:pPr>
        <w:rPr>
          <w:sz w:val="32"/>
        </w:rPr>
      </w:pPr>
    </w:p>
    <w:p w14:paraId="748E5D16" w14:textId="77777777" w:rsidR="00E3175C" w:rsidRPr="00EB07BC" w:rsidRDefault="00E3175C">
      <w:pPr>
        <w:rPr>
          <w:sz w:val="32"/>
        </w:rPr>
      </w:pPr>
    </w:p>
    <w:p w14:paraId="1495F940" w14:textId="77777777" w:rsidR="00E3175C" w:rsidRPr="00EB07BC" w:rsidRDefault="00E3175C">
      <w:pPr>
        <w:rPr>
          <w:sz w:val="32"/>
        </w:rPr>
      </w:pPr>
    </w:p>
    <w:p w14:paraId="5887C139" w14:textId="571B456E" w:rsidR="00E3175C" w:rsidRPr="00EB07BC" w:rsidRDefault="00411EE2">
      <w:pPr>
        <w:jc w:val="center"/>
        <w:rPr>
          <w:sz w:val="32"/>
        </w:rPr>
      </w:pPr>
      <w:r>
        <w:rPr>
          <w:noProof/>
        </w:rPr>
        <w:drawing>
          <wp:inline distT="0" distB="0" distL="0" distR="0" wp14:anchorId="65149B43" wp14:editId="66188E62">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B0C91A7" w14:textId="77777777" w:rsidR="009A30E5" w:rsidRDefault="009A30E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5C3CADBA" w14:textId="77777777" w:rsidR="009A30E5" w:rsidRDefault="009A30E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EE18E5E" w14:textId="77777777" w:rsidR="009A30E5" w:rsidRDefault="00953581">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交银施罗德上证</w:t>
      </w:r>
      <w:r>
        <w:rPr>
          <w:rFonts w:ascii="Times New Roman" w:hAnsi="Times New Roman"/>
          <w:b/>
          <w:spacing w:val="2"/>
          <w:w w:val="99"/>
          <w:kern w:val="0"/>
          <w:position w:val="-4"/>
          <w:sz w:val="44"/>
          <w:szCs w:val="44"/>
        </w:rPr>
        <w:t>180</w:t>
      </w:r>
      <w:r>
        <w:rPr>
          <w:rFonts w:ascii="Times New Roman" w:hAnsi="Times New Roman"/>
          <w:b/>
          <w:spacing w:val="2"/>
          <w:w w:val="99"/>
          <w:kern w:val="0"/>
          <w:position w:val="-4"/>
          <w:sz w:val="44"/>
          <w:szCs w:val="44"/>
        </w:rPr>
        <w:t>公司治理交易型开放式指数证券投资基金联接基金</w:t>
      </w:r>
    </w:p>
    <w:p w14:paraId="4E1F5ECD" w14:textId="77777777" w:rsidR="009A30E5" w:rsidRDefault="00953581">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2484B039" w14:textId="0F4F1D6A" w:rsidR="009A30E5" w:rsidRDefault="00953581">
      <w:pPr>
        <w:snapToGrid w:val="0"/>
        <w:spacing w:line="360" w:lineRule="auto"/>
        <w:jc w:val="center"/>
        <w:rPr>
          <w:rFonts w:ascii="宋体" w:hAnsi="宋体"/>
          <w:b/>
          <w:sz w:val="30"/>
          <w:szCs w:val="30"/>
        </w:rPr>
      </w:pPr>
      <w:r>
        <w:rPr>
          <w:rFonts w:ascii="Times New Roman" w:hAnsi="Times New Roman"/>
          <w:b/>
          <w:color w:val="000000"/>
          <w:sz w:val="32"/>
          <w:szCs w:val="32"/>
        </w:rPr>
        <w:t>(</w:t>
      </w:r>
      <w:r w:rsidR="00B60206">
        <w:rPr>
          <w:rFonts w:ascii="Times New Roman" w:hAnsi="Times New Roman"/>
          <w:b/>
          <w:color w:val="000000"/>
          <w:sz w:val="32"/>
          <w:szCs w:val="32"/>
        </w:rPr>
        <w:t>2021</w:t>
      </w:r>
      <w:r>
        <w:rPr>
          <w:rFonts w:ascii="Times New Roman" w:hAnsi="Times New Roman"/>
          <w:b/>
          <w:color w:val="000000"/>
          <w:sz w:val="32"/>
          <w:szCs w:val="32"/>
        </w:rPr>
        <w:t>年</w:t>
      </w:r>
      <w:r w:rsidR="00B60206">
        <w:rPr>
          <w:rFonts w:ascii="Times New Roman" w:hAnsi="Times New Roman"/>
          <w:b/>
          <w:color w:val="000000"/>
          <w:sz w:val="32"/>
          <w:szCs w:val="32"/>
        </w:rPr>
        <w:t>第</w:t>
      </w:r>
      <w:r w:rsidR="00B60206">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116934B4" w14:textId="77777777" w:rsidR="009A30E5" w:rsidRDefault="009A30E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C17A780" w14:textId="77777777" w:rsidR="009A30E5" w:rsidRDefault="009A30E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2817F45" w14:textId="77777777" w:rsidR="009A30E5" w:rsidRDefault="009A30E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CFC1C29" w14:textId="77777777" w:rsidR="009A30E5" w:rsidRDefault="009A30E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ED11D2D" w14:textId="77777777" w:rsidR="009A30E5" w:rsidRDefault="009A30E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7590E62" w14:textId="77777777" w:rsidR="009A30E5" w:rsidRDefault="009A30E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E898093" w14:textId="77777777" w:rsidR="009A30E5" w:rsidRDefault="00953581">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1C163902" w14:textId="77777777" w:rsidR="009A30E5" w:rsidRDefault="00953581">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1B95BEA5" w14:textId="77777777" w:rsidR="009A30E5" w:rsidRDefault="009A30E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ABF8D44" w14:textId="77777777" w:rsidR="009A30E5" w:rsidRDefault="009A30E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19B54EE" w14:textId="2B1088B3" w:rsidR="009A30E5" w:rsidRDefault="00953581">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B60206">
        <w:rPr>
          <w:rFonts w:ascii="Times New Roman" w:hAnsi="Times New Roman"/>
          <w:b/>
          <w:spacing w:val="2"/>
          <w:w w:val="99"/>
          <w:kern w:val="0"/>
          <w:sz w:val="28"/>
          <w:szCs w:val="32"/>
        </w:rPr>
        <w:t>一</w:t>
      </w:r>
      <w:r>
        <w:rPr>
          <w:rFonts w:ascii="Times New Roman" w:hAnsi="Times New Roman"/>
          <w:b/>
          <w:spacing w:val="2"/>
          <w:w w:val="99"/>
          <w:kern w:val="0"/>
          <w:sz w:val="28"/>
          <w:szCs w:val="32"/>
        </w:rPr>
        <w:t>年</w:t>
      </w:r>
      <w:r w:rsidR="00B60206">
        <w:rPr>
          <w:rFonts w:ascii="Times New Roman" w:hAnsi="Times New Roman"/>
          <w:b/>
          <w:spacing w:val="2"/>
          <w:w w:val="99"/>
          <w:kern w:val="0"/>
          <w:sz w:val="28"/>
          <w:szCs w:val="32"/>
        </w:rPr>
        <w:t>三</w:t>
      </w:r>
      <w:r>
        <w:rPr>
          <w:rFonts w:ascii="Times New Roman" w:hAnsi="Times New Roman"/>
          <w:b/>
          <w:spacing w:val="2"/>
          <w:w w:val="99"/>
          <w:kern w:val="0"/>
          <w:sz w:val="28"/>
          <w:szCs w:val="32"/>
        </w:rPr>
        <w:t>月</w:t>
      </w:r>
    </w:p>
    <w:p w14:paraId="3F15DF2A" w14:textId="77777777" w:rsidR="009A30E5" w:rsidRDefault="009A30E5">
      <w:pPr>
        <w:autoSpaceDE w:val="0"/>
        <w:autoSpaceDN w:val="0"/>
        <w:adjustRightInd w:val="0"/>
        <w:snapToGrid w:val="0"/>
        <w:spacing w:line="360" w:lineRule="auto"/>
        <w:ind w:left="1347" w:rightChars="6" w:right="13"/>
        <w:rPr>
          <w:rFonts w:ascii="宋体" w:hAnsi="宋体"/>
          <w:kern w:val="0"/>
          <w:sz w:val="32"/>
          <w:szCs w:val="32"/>
        </w:rPr>
        <w:sectPr w:rsidR="009A30E5">
          <w:headerReference w:type="even" r:id="rId10"/>
          <w:headerReference w:type="default" r:id="rId11"/>
          <w:footerReference w:type="even" r:id="rId12"/>
          <w:footerReference w:type="default" r:id="rId13"/>
          <w:headerReference w:type="first" r:id="rId14"/>
          <w:footerReference w:type="first" r:id="rId15"/>
          <w:pgSz w:w="11920" w:h="16840"/>
          <w:pgMar w:top="1560" w:right="1680" w:bottom="280" w:left="1680" w:header="0" w:footer="1073" w:gutter="0"/>
          <w:pgNumType w:start="1"/>
          <w:cols w:space="720"/>
          <w:titlePg/>
          <w:docGrid w:linePitch="286"/>
        </w:sectPr>
      </w:pPr>
    </w:p>
    <w:p w14:paraId="451F2AA5" w14:textId="77777777" w:rsidR="009A30E5" w:rsidRDefault="00953581">
      <w:pPr>
        <w:pStyle w:val="1"/>
        <w:snapToGrid w:val="0"/>
        <w:spacing w:beforeLines="0" w:before="240" w:after="240"/>
        <w:rPr>
          <w:rFonts w:ascii="宋体" w:hAnsi="宋体"/>
          <w:kern w:val="0"/>
        </w:rPr>
      </w:pPr>
      <w:bookmarkStart w:id="0" w:name="_Toc324920538"/>
      <w:bookmarkStart w:id="1" w:name="_Toc496884613"/>
      <w:bookmarkStart w:id="2" w:name="_Toc59040195"/>
      <w:r>
        <w:rPr>
          <w:rFonts w:ascii="Times New Roman" w:hAnsi="Times New Roman"/>
          <w:kern w:val="0"/>
        </w:rPr>
        <w:lastRenderedPageBreak/>
        <w:t>重要提示</w:t>
      </w:r>
      <w:bookmarkEnd w:id="0"/>
      <w:bookmarkEnd w:id="1"/>
      <w:bookmarkEnd w:id="2"/>
    </w:p>
    <w:p w14:paraId="57B3DFD2" w14:textId="77777777" w:rsidR="009A30E5" w:rsidRDefault="0095358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交银施罗德上证</w:t>
      </w:r>
      <w:r>
        <w:rPr>
          <w:rFonts w:ascii="Times New Roman" w:hAnsi="Times New Roman"/>
          <w:kern w:val="0"/>
          <w:sz w:val="24"/>
        </w:rPr>
        <w:t>180</w:t>
      </w:r>
      <w:r>
        <w:rPr>
          <w:rFonts w:ascii="Times New Roman" w:hAnsi="Times New Roman"/>
          <w:kern w:val="0"/>
          <w:sz w:val="24"/>
        </w:rPr>
        <w:t>公司治理交易型开放式指数证券投资基金联接基金（以下简称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17</w:t>
      </w:r>
      <w:r>
        <w:rPr>
          <w:rFonts w:ascii="Times New Roman" w:hAnsi="Times New Roman"/>
          <w:kern w:val="0"/>
          <w:sz w:val="24"/>
        </w:rPr>
        <w:t>日中国证券监督管理委员会证监许可【</w:t>
      </w:r>
      <w:r>
        <w:rPr>
          <w:rFonts w:ascii="Times New Roman" w:hAnsi="Times New Roman"/>
          <w:kern w:val="0"/>
          <w:sz w:val="24"/>
        </w:rPr>
        <w:t>2009</w:t>
      </w:r>
      <w:r>
        <w:rPr>
          <w:rFonts w:ascii="Times New Roman" w:hAnsi="Times New Roman"/>
          <w:kern w:val="0"/>
          <w:sz w:val="24"/>
        </w:rPr>
        <w:t>】</w:t>
      </w:r>
      <w:r>
        <w:rPr>
          <w:rFonts w:ascii="Times New Roman" w:hAnsi="Times New Roman"/>
          <w:kern w:val="0"/>
          <w:sz w:val="24"/>
        </w:rPr>
        <w:t>795</w:t>
      </w:r>
      <w:r>
        <w:rPr>
          <w:rFonts w:ascii="Times New Roman" w:hAnsi="Times New Roman"/>
          <w:kern w:val="0"/>
          <w:sz w:val="24"/>
        </w:rPr>
        <w:t>号文核准募集。本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日正式生效。</w:t>
      </w:r>
    </w:p>
    <w:p w14:paraId="2A9E5A00" w14:textId="77777777" w:rsidR="009A30E5" w:rsidRDefault="0095358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17EF7C42" w14:textId="77777777" w:rsidR="009A30E5" w:rsidRDefault="0095358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7EA3AD" w14:textId="77777777" w:rsidR="009A30E5" w:rsidRDefault="0095358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投资科创板股票的特定风险，以及本基金投资策略所特有的风险等等。本基金为</w:t>
      </w:r>
      <w:r>
        <w:rPr>
          <w:rFonts w:ascii="Times New Roman" w:hAnsi="Times New Roman"/>
          <w:kern w:val="0"/>
          <w:sz w:val="24"/>
        </w:rPr>
        <w:t>ETF</w:t>
      </w:r>
      <w:r>
        <w:rPr>
          <w:rFonts w:ascii="Times New Roman" w:hAnsi="Times New Roman"/>
          <w:kern w:val="0"/>
          <w:sz w:val="24"/>
        </w:rPr>
        <w:t>联接基金，紧密跟踪标的指数，具有和标的指数所代表的股票市场相似的风险收益特征，风险与收益高于混合基金、债券基金与货币市场基金，属于证券投资基金中风险较高、收益较高的品种。</w:t>
      </w:r>
    </w:p>
    <w:p w14:paraId="271B4562" w14:textId="0F2ED54D" w:rsidR="003A4A71" w:rsidRPr="003A4A71" w:rsidRDefault="003A4A71" w:rsidP="003A4A71">
      <w:pPr>
        <w:widowControl/>
        <w:adjustRightInd w:val="0"/>
        <w:snapToGrid w:val="0"/>
        <w:spacing w:line="360" w:lineRule="auto"/>
        <w:ind w:firstLineChars="200" w:firstLine="480"/>
        <w:rPr>
          <w:rFonts w:ascii="Times New Roman" w:hAnsi="Times New Roman"/>
          <w:bCs/>
          <w:sz w:val="24"/>
          <w:szCs w:val="18"/>
        </w:rPr>
      </w:pPr>
      <w:r w:rsidRPr="003A4A71">
        <w:rPr>
          <w:rFonts w:ascii="Times New Roman" w:hAnsi="Times New Roman" w:hint="eastAsia"/>
          <w:bCs/>
          <w:sz w:val="24"/>
          <w:szCs w:val="18"/>
        </w:rPr>
        <w:t>本基金主要投资于目标</w:t>
      </w:r>
      <w:r w:rsidRPr="003A4A71">
        <w:rPr>
          <w:rFonts w:ascii="Times New Roman" w:hAnsi="Times New Roman" w:hint="eastAsia"/>
          <w:bCs/>
          <w:sz w:val="24"/>
          <w:szCs w:val="18"/>
        </w:rPr>
        <w:t>E</w:t>
      </w:r>
      <w:r w:rsidRPr="003A4A71">
        <w:rPr>
          <w:rFonts w:ascii="Times New Roman" w:hAnsi="Times New Roman"/>
          <w:bCs/>
          <w:sz w:val="24"/>
          <w:szCs w:val="18"/>
        </w:rPr>
        <w:t>TF</w:t>
      </w:r>
      <w:r w:rsidRPr="003A4A71">
        <w:rPr>
          <w:rFonts w:ascii="Times New Roman" w:hAnsi="Times New Roman" w:hint="eastAsia"/>
          <w:bCs/>
          <w:sz w:val="24"/>
          <w:szCs w:val="18"/>
        </w:rPr>
        <w:t>，投资者投资于本基金面临跟踪误差控制未达约定目标、指数编制机构停止服务、成份券停牌等潜在风险。</w:t>
      </w:r>
    </w:p>
    <w:p w14:paraId="1B4EC4A0" w14:textId="77777777" w:rsidR="00E00A0B" w:rsidRPr="00E00A0B" w:rsidRDefault="00E00A0B" w:rsidP="00E00A0B">
      <w:pPr>
        <w:widowControl/>
        <w:adjustRightInd w:val="0"/>
        <w:snapToGrid w:val="0"/>
        <w:spacing w:line="360" w:lineRule="auto"/>
        <w:ind w:firstLineChars="200" w:firstLine="480"/>
        <w:rPr>
          <w:rFonts w:ascii="Times New Roman" w:hAnsi="Times New Roman"/>
          <w:bCs/>
          <w:sz w:val="24"/>
          <w:szCs w:val="18"/>
        </w:rPr>
      </w:pPr>
      <w:r w:rsidRPr="00E00A0B">
        <w:rPr>
          <w:rFonts w:ascii="Times New Roman" w:hAnsi="Times New Roman" w:hint="eastAsia"/>
          <w:bCs/>
          <w:sz w:val="24"/>
          <w:szCs w:val="18"/>
        </w:rPr>
        <w:t>本基金标的指数为上证</w:t>
      </w:r>
      <w:r>
        <w:rPr>
          <w:rFonts w:ascii="Times New Roman" w:hAnsi="Times New Roman" w:hint="eastAsia"/>
          <w:bCs/>
          <w:sz w:val="24"/>
          <w:szCs w:val="18"/>
        </w:rPr>
        <w:t>180</w:t>
      </w:r>
      <w:r w:rsidRPr="00E00A0B">
        <w:rPr>
          <w:rFonts w:ascii="Times New Roman" w:hAnsi="Times New Roman" w:hint="eastAsia"/>
          <w:bCs/>
          <w:sz w:val="24"/>
          <w:szCs w:val="18"/>
        </w:rPr>
        <w:t>公司治理指数</w:t>
      </w:r>
      <w:r w:rsidRPr="00E00A0B">
        <w:rPr>
          <w:rFonts w:ascii="Times New Roman" w:hAnsi="Times New Roman"/>
          <w:bCs/>
          <w:sz w:val="24"/>
          <w:szCs w:val="18"/>
        </w:rPr>
        <w:t>。</w:t>
      </w:r>
    </w:p>
    <w:p w14:paraId="37D9FD7A" w14:textId="77777777" w:rsidR="00E00A0B" w:rsidRPr="00E00A0B" w:rsidRDefault="00E00A0B" w:rsidP="00E00A0B">
      <w:pPr>
        <w:widowControl/>
        <w:adjustRightInd w:val="0"/>
        <w:snapToGrid w:val="0"/>
        <w:spacing w:line="360" w:lineRule="auto"/>
        <w:ind w:firstLineChars="200" w:firstLine="480"/>
        <w:rPr>
          <w:rFonts w:ascii="Times New Roman" w:hAnsi="Times New Roman"/>
          <w:bCs/>
          <w:sz w:val="24"/>
          <w:szCs w:val="18"/>
        </w:rPr>
      </w:pPr>
      <w:r w:rsidRPr="00E00A0B">
        <w:rPr>
          <w:rFonts w:ascii="Times New Roman" w:hAnsi="Times New Roman" w:hint="eastAsia"/>
          <w:bCs/>
          <w:sz w:val="24"/>
          <w:szCs w:val="18"/>
        </w:rPr>
        <w:t>1</w:t>
      </w:r>
      <w:r w:rsidRPr="00E00A0B">
        <w:rPr>
          <w:rFonts w:ascii="Times New Roman" w:hAnsi="Times New Roman" w:hint="eastAsia"/>
          <w:bCs/>
          <w:sz w:val="24"/>
          <w:szCs w:val="18"/>
        </w:rPr>
        <w:t>、选样空间</w:t>
      </w:r>
    </w:p>
    <w:p w14:paraId="40DDF282" w14:textId="77777777" w:rsidR="00E00A0B" w:rsidRPr="00E00A0B" w:rsidRDefault="00E00A0B" w:rsidP="00E00A0B">
      <w:pPr>
        <w:widowControl/>
        <w:adjustRightInd w:val="0"/>
        <w:snapToGrid w:val="0"/>
        <w:spacing w:line="360" w:lineRule="auto"/>
        <w:ind w:firstLineChars="200" w:firstLine="480"/>
        <w:rPr>
          <w:rFonts w:ascii="Times New Roman" w:hAnsi="Times New Roman"/>
          <w:bCs/>
          <w:sz w:val="24"/>
          <w:szCs w:val="18"/>
        </w:rPr>
      </w:pPr>
      <w:r w:rsidRPr="00E00A0B">
        <w:rPr>
          <w:rFonts w:ascii="Times New Roman" w:hAnsi="Times New Roman" w:hint="eastAsia"/>
          <w:bCs/>
          <w:sz w:val="24"/>
          <w:szCs w:val="18"/>
        </w:rPr>
        <w:t>上证</w:t>
      </w:r>
      <w:r w:rsidRPr="00E00A0B">
        <w:rPr>
          <w:rFonts w:ascii="Times New Roman" w:hAnsi="Times New Roman" w:hint="eastAsia"/>
          <w:bCs/>
          <w:sz w:val="24"/>
          <w:szCs w:val="18"/>
        </w:rPr>
        <w:t>180</w:t>
      </w:r>
      <w:r w:rsidRPr="00E00A0B">
        <w:rPr>
          <w:rFonts w:ascii="Times New Roman" w:hAnsi="Times New Roman" w:hint="eastAsia"/>
          <w:bCs/>
          <w:sz w:val="24"/>
          <w:szCs w:val="18"/>
        </w:rPr>
        <w:t>指数样本和上证公司治理指数样本。</w:t>
      </w:r>
    </w:p>
    <w:p w14:paraId="1DAD401E" w14:textId="77777777" w:rsidR="00E00A0B" w:rsidRPr="00E00A0B" w:rsidRDefault="00E00A0B" w:rsidP="00E00A0B">
      <w:pPr>
        <w:widowControl/>
        <w:adjustRightInd w:val="0"/>
        <w:snapToGrid w:val="0"/>
        <w:spacing w:line="360" w:lineRule="auto"/>
        <w:ind w:firstLineChars="200" w:firstLine="480"/>
        <w:rPr>
          <w:rFonts w:ascii="Times New Roman" w:hAnsi="Times New Roman"/>
          <w:bCs/>
          <w:sz w:val="24"/>
          <w:szCs w:val="18"/>
        </w:rPr>
      </w:pPr>
      <w:r w:rsidRPr="00E00A0B">
        <w:rPr>
          <w:rFonts w:ascii="Times New Roman" w:hAnsi="Times New Roman" w:hint="eastAsia"/>
          <w:bCs/>
          <w:sz w:val="24"/>
          <w:szCs w:val="18"/>
        </w:rPr>
        <w:t>2</w:t>
      </w:r>
      <w:r w:rsidRPr="00E00A0B">
        <w:rPr>
          <w:rFonts w:ascii="Times New Roman" w:hAnsi="Times New Roman" w:hint="eastAsia"/>
          <w:bCs/>
          <w:sz w:val="24"/>
          <w:szCs w:val="18"/>
        </w:rPr>
        <w:t>、选样方法</w:t>
      </w:r>
    </w:p>
    <w:p w14:paraId="1A817F0A" w14:textId="77777777" w:rsidR="00E00A0B" w:rsidRPr="00E00A0B" w:rsidRDefault="00E00A0B" w:rsidP="00E00A0B">
      <w:pPr>
        <w:widowControl/>
        <w:adjustRightInd w:val="0"/>
        <w:snapToGrid w:val="0"/>
        <w:spacing w:line="360" w:lineRule="auto"/>
        <w:ind w:firstLineChars="200" w:firstLine="480"/>
        <w:rPr>
          <w:rFonts w:ascii="Times New Roman" w:hAnsi="Times New Roman"/>
          <w:bCs/>
          <w:sz w:val="24"/>
          <w:szCs w:val="18"/>
        </w:rPr>
      </w:pPr>
      <w:r w:rsidRPr="00E00A0B">
        <w:rPr>
          <w:rFonts w:ascii="Times New Roman" w:hAnsi="Times New Roman" w:hint="eastAsia"/>
          <w:bCs/>
          <w:sz w:val="24"/>
          <w:szCs w:val="18"/>
        </w:rPr>
        <w:t>（</w:t>
      </w:r>
      <w:r w:rsidRPr="00E00A0B">
        <w:rPr>
          <w:rFonts w:ascii="Times New Roman" w:hAnsi="Times New Roman" w:hint="eastAsia"/>
          <w:bCs/>
          <w:sz w:val="24"/>
          <w:szCs w:val="18"/>
        </w:rPr>
        <w:t>1</w:t>
      </w:r>
      <w:r w:rsidRPr="00E00A0B">
        <w:rPr>
          <w:rFonts w:ascii="Times New Roman" w:hAnsi="Times New Roman" w:hint="eastAsia"/>
          <w:bCs/>
          <w:sz w:val="24"/>
          <w:szCs w:val="18"/>
        </w:rPr>
        <w:t>）根据上证</w:t>
      </w:r>
      <w:r>
        <w:rPr>
          <w:rFonts w:ascii="Times New Roman" w:hAnsi="Times New Roman" w:hint="eastAsia"/>
          <w:bCs/>
          <w:sz w:val="24"/>
          <w:szCs w:val="18"/>
        </w:rPr>
        <w:t>180</w:t>
      </w:r>
      <w:r w:rsidRPr="00E00A0B">
        <w:rPr>
          <w:rFonts w:ascii="Times New Roman" w:hAnsi="Times New Roman" w:hint="eastAsia"/>
          <w:bCs/>
          <w:sz w:val="24"/>
          <w:szCs w:val="18"/>
        </w:rPr>
        <w:t>指数选样方法对样本空间内证券进行综合排名；</w:t>
      </w:r>
    </w:p>
    <w:p w14:paraId="74F368B0" w14:textId="77777777" w:rsidR="00E00A0B" w:rsidRDefault="00E00A0B" w:rsidP="00E00A0B">
      <w:pPr>
        <w:widowControl/>
        <w:adjustRightInd w:val="0"/>
        <w:snapToGrid w:val="0"/>
        <w:spacing w:line="360" w:lineRule="auto"/>
        <w:ind w:firstLineChars="200" w:firstLine="480"/>
        <w:rPr>
          <w:rFonts w:ascii="Times New Roman" w:hAnsi="Times New Roman"/>
          <w:bCs/>
          <w:sz w:val="24"/>
          <w:szCs w:val="18"/>
        </w:rPr>
      </w:pPr>
      <w:r w:rsidRPr="00E00A0B">
        <w:rPr>
          <w:rFonts w:ascii="Times New Roman" w:hAnsi="Times New Roman" w:hint="eastAsia"/>
          <w:bCs/>
          <w:sz w:val="24"/>
          <w:szCs w:val="18"/>
        </w:rPr>
        <w:lastRenderedPageBreak/>
        <w:t>（</w:t>
      </w:r>
      <w:r w:rsidRPr="00E00A0B">
        <w:rPr>
          <w:rFonts w:ascii="Times New Roman" w:hAnsi="Times New Roman" w:hint="eastAsia"/>
          <w:bCs/>
          <w:sz w:val="24"/>
          <w:szCs w:val="18"/>
        </w:rPr>
        <w:t>2</w:t>
      </w:r>
      <w:r w:rsidRPr="00E00A0B">
        <w:rPr>
          <w:rFonts w:ascii="Times New Roman" w:hAnsi="Times New Roman" w:hint="eastAsia"/>
          <w:bCs/>
          <w:sz w:val="24"/>
          <w:szCs w:val="18"/>
        </w:rPr>
        <w:t>）在上证</w:t>
      </w:r>
      <w:r>
        <w:rPr>
          <w:rFonts w:ascii="Times New Roman" w:hAnsi="Times New Roman" w:hint="eastAsia"/>
          <w:bCs/>
          <w:sz w:val="24"/>
          <w:szCs w:val="18"/>
        </w:rPr>
        <w:t>180</w:t>
      </w:r>
      <w:r w:rsidRPr="00E00A0B">
        <w:rPr>
          <w:rFonts w:ascii="Times New Roman" w:hAnsi="Times New Roman" w:hint="eastAsia"/>
          <w:bCs/>
          <w:sz w:val="24"/>
          <w:szCs w:val="18"/>
        </w:rPr>
        <w:t>指数与上证公司治理指数样本交集中，选择综合排名前</w:t>
      </w:r>
      <w:r w:rsidRPr="00E00A0B">
        <w:rPr>
          <w:rFonts w:ascii="Times New Roman" w:hAnsi="Times New Roman" w:hint="eastAsia"/>
          <w:bCs/>
          <w:sz w:val="24"/>
          <w:szCs w:val="18"/>
        </w:rPr>
        <w:t>100</w:t>
      </w:r>
      <w:r w:rsidRPr="00E00A0B">
        <w:rPr>
          <w:rFonts w:ascii="Times New Roman" w:hAnsi="Times New Roman" w:hint="eastAsia"/>
          <w:bCs/>
          <w:sz w:val="24"/>
          <w:szCs w:val="18"/>
        </w:rPr>
        <w:t>名的交集证券作为上证</w:t>
      </w:r>
      <w:r w:rsidRPr="00E00A0B">
        <w:rPr>
          <w:rFonts w:ascii="Times New Roman" w:hAnsi="Times New Roman" w:hint="eastAsia"/>
          <w:bCs/>
          <w:sz w:val="24"/>
          <w:szCs w:val="18"/>
        </w:rPr>
        <w:t>180</w:t>
      </w:r>
      <w:r w:rsidRPr="00E00A0B">
        <w:rPr>
          <w:rFonts w:ascii="Times New Roman" w:hAnsi="Times New Roman" w:hint="eastAsia"/>
          <w:bCs/>
          <w:sz w:val="24"/>
          <w:szCs w:val="18"/>
        </w:rPr>
        <w:t>公司治理指数样本。如果该交集证券数量不足</w:t>
      </w:r>
      <w:r w:rsidRPr="00E00A0B">
        <w:rPr>
          <w:rFonts w:ascii="Times New Roman" w:hAnsi="Times New Roman" w:hint="eastAsia"/>
          <w:bCs/>
          <w:sz w:val="24"/>
          <w:szCs w:val="18"/>
        </w:rPr>
        <w:t>100</w:t>
      </w:r>
      <w:r w:rsidRPr="00E00A0B">
        <w:rPr>
          <w:rFonts w:ascii="Times New Roman" w:hAnsi="Times New Roman" w:hint="eastAsia"/>
          <w:bCs/>
          <w:sz w:val="24"/>
          <w:szCs w:val="18"/>
        </w:rPr>
        <w:t>只，则在上证公司治理指数样本中选择综合排名最高的非交集证券补足。</w:t>
      </w:r>
    </w:p>
    <w:p w14:paraId="390421C6" w14:textId="77777777" w:rsidR="00E00A0B" w:rsidRDefault="00E00A0B" w:rsidP="00E00A0B">
      <w:pPr>
        <w:widowControl/>
        <w:adjustRightInd w:val="0"/>
        <w:snapToGrid w:val="0"/>
        <w:spacing w:line="360" w:lineRule="auto"/>
        <w:ind w:firstLineChars="200" w:firstLine="480"/>
        <w:rPr>
          <w:rFonts w:ascii="Times New Roman" w:hAnsi="Times New Roman"/>
          <w:bCs/>
          <w:sz w:val="24"/>
          <w:szCs w:val="18"/>
        </w:rPr>
      </w:pPr>
      <w:r w:rsidRPr="00E00A0B">
        <w:rPr>
          <w:rFonts w:ascii="Times New Roman" w:hAnsi="Times New Roman" w:hint="eastAsia"/>
          <w:bCs/>
          <w:sz w:val="24"/>
          <w:szCs w:val="18"/>
        </w:rPr>
        <w:t>3</w:t>
      </w:r>
      <w:r w:rsidRPr="00E00A0B">
        <w:rPr>
          <w:rFonts w:ascii="Times New Roman" w:hAnsi="Times New Roman" w:hint="eastAsia"/>
          <w:bCs/>
          <w:sz w:val="24"/>
          <w:szCs w:val="18"/>
        </w:rPr>
        <w:t>、指数计算</w:t>
      </w:r>
    </w:p>
    <w:p w14:paraId="353B3C2D" w14:textId="3642870C" w:rsidR="00E00A0B" w:rsidRPr="00E00A0B" w:rsidRDefault="00EA1262" w:rsidP="00E00A0B">
      <w:pPr>
        <w:widowControl/>
        <w:adjustRightInd w:val="0"/>
        <w:snapToGrid w:val="0"/>
        <w:spacing w:line="360" w:lineRule="auto"/>
        <w:ind w:firstLineChars="200" w:firstLine="480"/>
        <w:rPr>
          <w:rFonts w:ascii="Times New Roman" w:hAnsi="Times New Roman"/>
          <w:bCs/>
          <w:sz w:val="24"/>
          <w:szCs w:val="18"/>
        </w:rPr>
      </w:pPr>
      <w:r w:rsidRPr="00EA1262">
        <w:rPr>
          <w:rFonts w:ascii="Times New Roman" w:hAnsi="Times New Roman" w:hint="eastAsia"/>
          <w:bCs/>
          <w:sz w:val="24"/>
          <w:szCs w:val="18"/>
        </w:rPr>
        <w:t>指数计算公式为：</w:t>
      </w:r>
      <w:r w:rsidRPr="00EA1262">
        <w:rPr>
          <w:rFonts w:ascii="Times New Roman" w:hAnsi="Times New Roman" w:hint="eastAsia"/>
          <w:bCs/>
          <w:sz w:val="24"/>
          <w:szCs w:val="18"/>
        </w:rPr>
        <w:t xml:space="preserve"> </w:t>
      </w:r>
    </w:p>
    <w:p w14:paraId="26912354" w14:textId="2C220B3B" w:rsidR="00EA1262" w:rsidRDefault="00411EE2" w:rsidP="00E00A0B">
      <w:pPr>
        <w:widowControl/>
        <w:adjustRightInd w:val="0"/>
        <w:snapToGrid w:val="0"/>
        <w:spacing w:line="360" w:lineRule="auto"/>
        <w:ind w:firstLineChars="200" w:firstLine="420"/>
        <w:rPr>
          <w:noProof/>
        </w:rPr>
      </w:pPr>
      <w:r>
        <w:rPr>
          <w:noProof/>
        </w:rPr>
        <w:drawing>
          <wp:inline distT="0" distB="0" distL="0" distR="0" wp14:anchorId="7D1476A7" wp14:editId="0248B82B">
            <wp:extent cx="2979420" cy="585348"/>
            <wp:effectExtent l="0" t="0" r="0"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8535" cy="593033"/>
                    </a:xfrm>
                    <a:prstGeom prst="rect">
                      <a:avLst/>
                    </a:prstGeom>
                    <a:noFill/>
                    <a:ln>
                      <a:noFill/>
                    </a:ln>
                  </pic:spPr>
                </pic:pic>
              </a:graphicData>
            </a:graphic>
          </wp:inline>
        </w:drawing>
      </w:r>
    </w:p>
    <w:p w14:paraId="407EAC61" w14:textId="2905120A" w:rsidR="00EA1262" w:rsidRDefault="00EA1262" w:rsidP="00E00A0B">
      <w:pPr>
        <w:widowControl/>
        <w:adjustRightInd w:val="0"/>
        <w:snapToGrid w:val="0"/>
        <w:spacing w:line="360" w:lineRule="auto"/>
        <w:ind w:firstLineChars="200" w:firstLine="480"/>
        <w:rPr>
          <w:rFonts w:ascii="Times New Roman" w:hAnsi="Times New Roman"/>
          <w:bCs/>
          <w:sz w:val="24"/>
          <w:szCs w:val="18"/>
        </w:rPr>
      </w:pPr>
      <w:r w:rsidRPr="00EA1262">
        <w:rPr>
          <w:rFonts w:ascii="Times New Roman" w:hAnsi="Times New Roman" w:hint="eastAsia"/>
          <w:bCs/>
          <w:sz w:val="24"/>
          <w:szCs w:val="18"/>
        </w:rPr>
        <w:t>其中，调整市值＝∑</w:t>
      </w:r>
      <w:r w:rsidRPr="00EA1262">
        <w:rPr>
          <w:rFonts w:ascii="Times New Roman" w:hAnsi="Times New Roman" w:hint="eastAsia"/>
          <w:bCs/>
          <w:sz w:val="24"/>
          <w:szCs w:val="18"/>
        </w:rPr>
        <w:t>(</w:t>
      </w:r>
      <w:r w:rsidRPr="00EA1262">
        <w:rPr>
          <w:rFonts w:ascii="Times New Roman" w:hAnsi="Times New Roman" w:hint="eastAsia"/>
          <w:bCs/>
          <w:sz w:val="24"/>
          <w:szCs w:val="18"/>
        </w:rPr>
        <w:t>证券价格×调整股本数</w:t>
      </w:r>
      <w:r w:rsidRPr="00EA1262">
        <w:rPr>
          <w:rFonts w:ascii="Times New Roman" w:hAnsi="Times New Roman" w:hint="eastAsia"/>
          <w:bCs/>
          <w:sz w:val="24"/>
          <w:szCs w:val="18"/>
        </w:rPr>
        <w:t>)</w:t>
      </w:r>
      <w:r w:rsidRPr="00EA1262">
        <w:rPr>
          <w:rFonts w:ascii="Times New Roman" w:hAnsi="Times New Roman" w:hint="eastAsia"/>
          <w:bCs/>
          <w:sz w:val="24"/>
          <w:szCs w:val="18"/>
        </w:rPr>
        <w:t>。</w:t>
      </w:r>
    </w:p>
    <w:p w14:paraId="3C805700" w14:textId="184AB927" w:rsidR="00E00A0B" w:rsidRPr="00E00A0B" w:rsidRDefault="00E00A0B" w:rsidP="00E00A0B">
      <w:pPr>
        <w:widowControl/>
        <w:adjustRightInd w:val="0"/>
        <w:snapToGrid w:val="0"/>
        <w:spacing w:line="360" w:lineRule="auto"/>
        <w:ind w:firstLineChars="200" w:firstLine="480"/>
        <w:rPr>
          <w:rFonts w:ascii="Times New Roman" w:hAnsi="Times New Roman"/>
          <w:bCs/>
          <w:sz w:val="24"/>
          <w:szCs w:val="18"/>
        </w:rPr>
      </w:pPr>
      <w:r w:rsidRPr="00E00A0B">
        <w:rPr>
          <w:rFonts w:ascii="Times New Roman" w:hAnsi="Times New Roman" w:hint="eastAsia"/>
          <w:bCs/>
          <w:sz w:val="24"/>
          <w:szCs w:val="18"/>
        </w:rPr>
        <w:t>有关标的指数具体编制方案及成份股信息详见</w:t>
      </w:r>
      <w:r w:rsidR="00AE46C0" w:rsidRPr="00AE46C0">
        <w:rPr>
          <w:rFonts w:ascii="Times New Roman" w:hAnsi="Times New Roman" w:hint="eastAsia"/>
          <w:bCs/>
          <w:sz w:val="24"/>
          <w:szCs w:val="18"/>
        </w:rPr>
        <w:t>中证指数有限公司</w:t>
      </w:r>
      <w:r w:rsidR="005F65FC">
        <w:rPr>
          <w:rFonts w:ascii="Times New Roman" w:hAnsi="Times New Roman" w:hint="eastAsia"/>
          <w:bCs/>
          <w:sz w:val="24"/>
          <w:szCs w:val="18"/>
        </w:rPr>
        <w:t>官方</w:t>
      </w:r>
      <w:r w:rsidR="00B37A8F">
        <w:rPr>
          <w:rFonts w:ascii="Times New Roman" w:hAnsi="Times New Roman" w:hint="eastAsia"/>
          <w:bCs/>
          <w:sz w:val="24"/>
          <w:szCs w:val="18"/>
        </w:rPr>
        <w:t>网站</w:t>
      </w:r>
      <w:r w:rsidRPr="00E00A0B">
        <w:rPr>
          <w:rFonts w:ascii="Times New Roman" w:hAnsi="Times New Roman" w:hint="eastAsia"/>
          <w:bCs/>
          <w:sz w:val="24"/>
          <w:szCs w:val="18"/>
        </w:rPr>
        <w:t>，网址：</w:t>
      </w:r>
      <w:r w:rsidR="00241C7B" w:rsidRPr="00241C7B">
        <w:rPr>
          <w:rFonts w:ascii="Times New Roman" w:hAnsi="Times New Roman"/>
          <w:bCs/>
          <w:sz w:val="24"/>
          <w:szCs w:val="18"/>
        </w:rPr>
        <w:t>www.csindex.com.cn</w:t>
      </w:r>
      <w:r w:rsidRPr="00E00A0B">
        <w:rPr>
          <w:rFonts w:ascii="Times New Roman" w:hAnsi="Times New Roman" w:hint="eastAsia"/>
          <w:bCs/>
          <w:sz w:val="24"/>
          <w:szCs w:val="18"/>
        </w:rPr>
        <w:t>。</w:t>
      </w:r>
    </w:p>
    <w:p w14:paraId="22966DDF" w14:textId="77777777" w:rsidR="00AD3A52" w:rsidRPr="00AD3A52" w:rsidRDefault="00AD3A52" w:rsidP="00AD3A52">
      <w:pPr>
        <w:widowControl/>
        <w:adjustRightInd w:val="0"/>
        <w:snapToGrid w:val="0"/>
        <w:spacing w:line="360" w:lineRule="auto"/>
        <w:ind w:firstLineChars="200" w:firstLine="480"/>
        <w:rPr>
          <w:rFonts w:ascii="Times New Roman" w:hAnsi="Times New Roman"/>
          <w:sz w:val="24"/>
          <w:szCs w:val="18"/>
        </w:rPr>
      </w:pPr>
      <w:r w:rsidRPr="00AD3A52">
        <w:rPr>
          <w:rFonts w:ascii="Times New Roman" w:hAnsi="Times New Roman" w:hint="eastAsia"/>
          <w:sz w:val="24"/>
          <w:szCs w:val="18"/>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0001D9CF" w14:textId="77777777" w:rsidR="00AD3A52" w:rsidRDefault="00AD3A52" w:rsidP="00AD3A52">
      <w:pPr>
        <w:autoSpaceDE w:val="0"/>
        <w:autoSpaceDN w:val="0"/>
        <w:adjustRightInd w:val="0"/>
        <w:snapToGrid w:val="0"/>
        <w:spacing w:line="360" w:lineRule="auto"/>
        <w:ind w:leftChars="50" w:left="105" w:firstLineChars="200" w:firstLine="480"/>
        <w:rPr>
          <w:rFonts w:ascii="Times New Roman" w:hAnsi="Times New Roman"/>
          <w:sz w:val="24"/>
          <w:szCs w:val="18"/>
        </w:rPr>
      </w:pPr>
      <w:r w:rsidRPr="00AD3A52">
        <w:rPr>
          <w:rFonts w:ascii="Times New Roman" w:hAnsi="Times New Roman" w:hint="eastAsia"/>
          <w:sz w:val="24"/>
          <w:szCs w:val="18"/>
        </w:rPr>
        <w:t>本基金可根据投资策略需要或市场环境的变化，选择将部分基金资产投资于存托凭证或选择不将基金资产投资于存托凭证，基金资产并非必然投资存托凭证。</w:t>
      </w:r>
    </w:p>
    <w:p w14:paraId="620D8CD9" w14:textId="77777777" w:rsidR="009A30E5" w:rsidRDefault="00953581" w:rsidP="00AD3A5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投资有风险，投资者在投资本基金前应认真阅读本基金的招募说明书、基金合同、基金产品资料概要。基金的过往业绩并不代表其未来表现。基金管理人管理的其他基金的业绩并不构成对本基金业绩表现的保证。</w:t>
      </w:r>
    </w:p>
    <w:p w14:paraId="3CE158F2" w14:textId="223A7D5E" w:rsidR="009A30E5" w:rsidRDefault="00AD3A52">
      <w:pPr>
        <w:autoSpaceDE w:val="0"/>
        <w:autoSpaceDN w:val="0"/>
        <w:adjustRightInd w:val="0"/>
        <w:snapToGrid w:val="0"/>
        <w:spacing w:line="360" w:lineRule="auto"/>
        <w:ind w:leftChars="50" w:left="105" w:firstLineChars="200" w:firstLine="480"/>
        <w:rPr>
          <w:rFonts w:ascii="宋体" w:hAnsi="宋体"/>
          <w:kern w:val="0"/>
          <w:sz w:val="24"/>
        </w:rPr>
      </w:pPr>
      <w:r w:rsidRPr="00922AF2">
        <w:rPr>
          <w:rFonts w:ascii="宋体" w:hAnsi="宋体" w:hint="eastAsia"/>
          <w:kern w:val="0"/>
          <w:sz w:val="24"/>
          <w:szCs w:val="24"/>
        </w:rPr>
        <w:t>本基金本次更新招募说明书对基金合同变更的相关信息进行更新，基金合同变更相关信息截止日为</w:t>
      </w:r>
      <w:r w:rsidR="002F175A" w:rsidRPr="007B11AB">
        <w:rPr>
          <w:rFonts w:ascii="Times New Roman" w:hAnsi="Times New Roman" w:hint="eastAsia"/>
          <w:kern w:val="0"/>
          <w:sz w:val="24"/>
        </w:rPr>
        <w:t>202</w:t>
      </w:r>
      <w:r w:rsidR="002F175A" w:rsidRPr="007B11AB">
        <w:rPr>
          <w:rFonts w:ascii="Times New Roman" w:hAnsi="Times New Roman"/>
          <w:kern w:val="0"/>
          <w:sz w:val="24"/>
        </w:rPr>
        <w:t>1</w:t>
      </w:r>
      <w:r w:rsidRPr="007B11AB">
        <w:rPr>
          <w:rFonts w:ascii="Times New Roman" w:hAnsi="Times New Roman" w:hint="eastAsia"/>
          <w:kern w:val="0"/>
          <w:sz w:val="24"/>
        </w:rPr>
        <w:t>年</w:t>
      </w:r>
      <w:r w:rsidR="007B11AB">
        <w:rPr>
          <w:rFonts w:ascii="Times New Roman" w:hAnsi="Times New Roman" w:hint="eastAsia"/>
          <w:kern w:val="0"/>
          <w:sz w:val="24"/>
        </w:rPr>
        <w:t>0</w:t>
      </w:r>
      <w:r w:rsidR="008B40BB" w:rsidRPr="007B11AB">
        <w:rPr>
          <w:rFonts w:ascii="Times New Roman" w:hAnsi="Times New Roman"/>
          <w:kern w:val="0"/>
          <w:sz w:val="24"/>
        </w:rPr>
        <w:t>3</w:t>
      </w:r>
      <w:r w:rsidRPr="007B11AB">
        <w:rPr>
          <w:rFonts w:ascii="Times New Roman" w:hAnsi="Times New Roman" w:hint="eastAsia"/>
          <w:kern w:val="0"/>
          <w:sz w:val="24"/>
        </w:rPr>
        <w:t>月</w:t>
      </w:r>
      <w:r w:rsidR="00D1215B" w:rsidRPr="007B11AB">
        <w:rPr>
          <w:rFonts w:ascii="Times New Roman" w:hAnsi="Times New Roman"/>
          <w:kern w:val="0"/>
          <w:sz w:val="24"/>
        </w:rPr>
        <w:t>31</w:t>
      </w:r>
      <w:r w:rsidRPr="007B11AB">
        <w:rPr>
          <w:rFonts w:ascii="Times New Roman" w:hAnsi="Times New Roman" w:hint="eastAsia"/>
          <w:kern w:val="0"/>
          <w:sz w:val="24"/>
        </w:rPr>
        <w:t>日</w:t>
      </w:r>
      <w:r w:rsidRPr="00922AF2">
        <w:rPr>
          <w:rFonts w:ascii="宋体" w:hAnsi="宋体" w:hint="eastAsia"/>
          <w:kern w:val="0"/>
          <w:sz w:val="24"/>
          <w:szCs w:val="24"/>
        </w:rPr>
        <w:t>。</w:t>
      </w:r>
      <w:r w:rsidR="00953581">
        <w:rPr>
          <w:rFonts w:ascii="Times New Roman" w:hAnsi="Times New Roman"/>
          <w:kern w:val="0"/>
          <w:sz w:val="24"/>
        </w:rPr>
        <w:t>本招募说明书所载</w:t>
      </w:r>
      <w:r>
        <w:rPr>
          <w:rFonts w:ascii="Times New Roman" w:hAnsi="Times New Roman"/>
          <w:kern w:val="0"/>
          <w:sz w:val="24"/>
        </w:rPr>
        <w:t>其他</w:t>
      </w:r>
      <w:r w:rsidR="00953581">
        <w:rPr>
          <w:rFonts w:ascii="Times New Roman" w:hAnsi="Times New Roman"/>
          <w:kern w:val="0"/>
          <w:sz w:val="24"/>
        </w:rPr>
        <w:t>内容截止日为</w:t>
      </w:r>
      <w:r w:rsidR="00953581">
        <w:rPr>
          <w:rFonts w:ascii="Times New Roman" w:hAnsi="Times New Roman"/>
          <w:kern w:val="0"/>
          <w:sz w:val="24"/>
        </w:rPr>
        <w:t>2020</w:t>
      </w:r>
      <w:r w:rsidR="00953581">
        <w:rPr>
          <w:rFonts w:ascii="Times New Roman" w:hAnsi="Times New Roman"/>
          <w:kern w:val="0"/>
          <w:sz w:val="24"/>
        </w:rPr>
        <w:t>年</w:t>
      </w:r>
      <w:r w:rsidR="00953581">
        <w:rPr>
          <w:rFonts w:ascii="Times New Roman" w:hAnsi="Times New Roman"/>
          <w:kern w:val="0"/>
          <w:sz w:val="24"/>
        </w:rPr>
        <w:t>09</w:t>
      </w:r>
      <w:r w:rsidR="00953581">
        <w:rPr>
          <w:rFonts w:ascii="Times New Roman" w:hAnsi="Times New Roman"/>
          <w:kern w:val="0"/>
          <w:sz w:val="24"/>
        </w:rPr>
        <w:t>月</w:t>
      </w:r>
      <w:r w:rsidR="00953581">
        <w:rPr>
          <w:rFonts w:ascii="Times New Roman" w:hAnsi="Times New Roman"/>
          <w:kern w:val="0"/>
          <w:sz w:val="24"/>
        </w:rPr>
        <w:t>10</w:t>
      </w:r>
      <w:r w:rsidR="00953581">
        <w:rPr>
          <w:rFonts w:ascii="Times New Roman" w:hAnsi="Times New Roman"/>
          <w:kern w:val="0"/>
          <w:sz w:val="24"/>
        </w:rPr>
        <w:t>日，有关财务数据和净值表现截止日为</w:t>
      </w:r>
      <w:r w:rsidR="00953581">
        <w:rPr>
          <w:rFonts w:ascii="Times New Roman" w:hAnsi="Times New Roman"/>
          <w:kern w:val="0"/>
          <w:sz w:val="24"/>
        </w:rPr>
        <w:t>2020</w:t>
      </w:r>
      <w:r w:rsidR="00953581">
        <w:rPr>
          <w:rFonts w:ascii="Times New Roman" w:hAnsi="Times New Roman"/>
          <w:kern w:val="0"/>
          <w:sz w:val="24"/>
        </w:rPr>
        <w:t>年</w:t>
      </w:r>
      <w:r w:rsidR="00953581">
        <w:rPr>
          <w:rFonts w:ascii="Times New Roman" w:hAnsi="Times New Roman"/>
          <w:kern w:val="0"/>
          <w:sz w:val="24"/>
        </w:rPr>
        <w:t>06</w:t>
      </w:r>
      <w:r w:rsidR="00953581">
        <w:rPr>
          <w:rFonts w:ascii="Times New Roman" w:hAnsi="Times New Roman"/>
          <w:kern w:val="0"/>
          <w:sz w:val="24"/>
        </w:rPr>
        <w:t>月</w:t>
      </w:r>
      <w:r w:rsidR="00953581">
        <w:rPr>
          <w:rFonts w:ascii="Times New Roman" w:hAnsi="Times New Roman"/>
          <w:kern w:val="0"/>
          <w:sz w:val="24"/>
        </w:rPr>
        <w:t>30</w:t>
      </w:r>
      <w:r w:rsidR="00953581">
        <w:rPr>
          <w:rFonts w:ascii="Times New Roman" w:hAnsi="Times New Roman"/>
          <w:kern w:val="0"/>
          <w:sz w:val="24"/>
        </w:rPr>
        <w:t>日。本招募说明书所载的财务数据未经审计。</w:t>
      </w:r>
    </w:p>
    <w:p w14:paraId="2C1E03C6" w14:textId="77777777" w:rsidR="009A30E5" w:rsidRPr="0003429F" w:rsidRDefault="009A30E5">
      <w:pPr>
        <w:autoSpaceDE w:val="0"/>
        <w:autoSpaceDN w:val="0"/>
        <w:adjustRightInd w:val="0"/>
        <w:snapToGrid w:val="0"/>
        <w:spacing w:before="51" w:line="360" w:lineRule="auto"/>
        <w:ind w:left="120" w:rightChars="6" w:right="13" w:firstLine="480"/>
        <w:rPr>
          <w:rFonts w:ascii="宋体" w:hAnsi="宋体"/>
          <w:kern w:val="0"/>
          <w:szCs w:val="24"/>
        </w:rPr>
        <w:sectPr w:rsidR="009A30E5" w:rsidRPr="0003429F">
          <w:headerReference w:type="default" r:id="rId17"/>
          <w:pgSz w:w="11920" w:h="16840"/>
          <w:pgMar w:top="1440" w:right="1680" w:bottom="280" w:left="1680" w:header="0" w:footer="1073" w:gutter="0"/>
          <w:pgNumType w:start="1"/>
          <w:cols w:space="720"/>
        </w:sectPr>
      </w:pPr>
    </w:p>
    <w:p w14:paraId="16837DD4" w14:textId="77777777" w:rsidR="009A30E5" w:rsidRDefault="00953581">
      <w:pPr>
        <w:pStyle w:val="af3"/>
        <w:snapToGrid w:val="0"/>
        <w:spacing w:after="240" w:line="360" w:lineRule="auto"/>
        <w:jc w:val="center"/>
        <w:rPr>
          <w:rFonts w:ascii="宋体" w:hAnsi="宋体"/>
          <w:color w:val="auto"/>
        </w:rPr>
      </w:pPr>
      <w:r>
        <w:rPr>
          <w:rFonts w:ascii="宋体" w:hAnsi="宋体"/>
          <w:color w:val="auto"/>
          <w:position w:val="-4"/>
          <w:sz w:val="30"/>
          <w:szCs w:val="30"/>
        </w:rPr>
        <w:lastRenderedPageBreak/>
        <w:t>目</w:t>
      </w:r>
      <w:r>
        <w:rPr>
          <w:rFonts w:ascii="宋体" w:hAnsi="宋体"/>
          <w:color w:val="auto"/>
          <w:position w:val="-4"/>
          <w:sz w:val="30"/>
          <w:szCs w:val="30"/>
        </w:rPr>
        <w:tab/>
        <w:t>录</w:t>
      </w:r>
    </w:p>
    <w:p w14:paraId="4D7ED8A6" w14:textId="77777777" w:rsidR="003F225F" w:rsidRPr="00841EAD" w:rsidRDefault="003F225F" w:rsidP="00841EAD">
      <w:pPr>
        <w:pStyle w:val="TOC1"/>
        <w:tabs>
          <w:tab w:val="right" w:leader="dot" w:pos="8450"/>
        </w:tabs>
        <w:adjustRightInd w:val="0"/>
        <w:snapToGrid w:val="0"/>
        <w:spacing w:line="360" w:lineRule="auto"/>
        <w:rPr>
          <w:rStyle w:val="af0"/>
          <w:rFonts w:ascii="宋体" w:eastAsia="黑体" w:hAnsi="宋体"/>
          <w:b/>
          <w:kern w:val="0"/>
          <w:sz w:val="24"/>
          <w:szCs w:val="20"/>
        </w:rPr>
      </w:pPr>
      <w:r w:rsidRPr="00841EAD">
        <w:rPr>
          <w:rStyle w:val="af0"/>
          <w:rFonts w:eastAsia="黑体"/>
          <w:b/>
          <w:noProof/>
          <w:sz w:val="24"/>
          <w:szCs w:val="20"/>
          <w:u w:val="none"/>
        </w:rPr>
        <w:fldChar w:fldCharType="begin"/>
      </w:r>
      <w:r w:rsidRPr="00841EAD">
        <w:rPr>
          <w:rStyle w:val="af0"/>
          <w:rFonts w:eastAsia="黑体"/>
          <w:b/>
          <w:noProof/>
          <w:sz w:val="24"/>
          <w:szCs w:val="20"/>
          <w:u w:val="none"/>
        </w:rPr>
        <w:instrText xml:space="preserve"> TOC \o "1-1" \h \z \u </w:instrText>
      </w:r>
      <w:r w:rsidRPr="00841EAD">
        <w:rPr>
          <w:rStyle w:val="af0"/>
          <w:rFonts w:eastAsia="黑体"/>
          <w:b/>
          <w:noProof/>
          <w:sz w:val="24"/>
          <w:szCs w:val="20"/>
          <w:u w:val="none"/>
        </w:rPr>
        <w:fldChar w:fldCharType="separate"/>
      </w:r>
      <w:hyperlink w:anchor="_Toc59040195" w:history="1">
        <w:r w:rsidRPr="00841EAD">
          <w:rPr>
            <w:rStyle w:val="af0"/>
            <w:rFonts w:ascii="宋体" w:eastAsia="黑体" w:hAnsi="宋体" w:hint="eastAsia"/>
            <w:b/>
            <w:noProof/>
            <w:kern w:val="0"/>
            <w:sz w:val="24"/>
            <w:szCs w:val="20"/>
            <w:u w:val="none"/>
          </w:rPr>
          <w:t>重要提示</w:t>
        </w:r>
        <w:r w:rsidRPr="00841EAD">
          <w:rPr>
            <w:rStyle w:val="af0"/>
            <w:rFonts w:ascii="宋体" w:eastAsia="黑体" w:hAnsi="宋体"/>
            <w:b/>
            <w:webHidden/>
            <w:kern w:val="0"/>
            <w:sz w:val="24"/>
            <w:szCs w:val="20"/>
            <w:u w:val="none"/>
          </w:rPr>
          <w:tab/>
        </w:r>
        <w:r w:rsidRPr="00841EAD">
          <w:rPr>
            <w:rStyle w:val="af0"/>
            <w:rFonts w:ascii="宋体" w:eastAsia="黑体" w:hAnsi="宋体"/>
            <w:b/>
            <w:webHidden/>
            <w:kern w:val="0"/>
            <w:sz w:val="24"/>
            <w:szCs w:val="20"/>
            <w:u w:val="none"/>
          </w:rPr>
          <w:fldChar w:fldCharType="begin"/>
        </w:r>
        <w:r w:rsidRPr="00841EAD">
          <w:rPr>
            <w:rStyle w:val="af0"/>
            <w:rFonts w:ascii="宋体" w:eastAsia="黑体" w:hAnsi="宋体"/>
            <w:b/>
            <w:webHidden/>
            <w:kern w:val="0"/>
            <w:sz w:val="24"/>
            <w:szCs w:val="20"/>
            <w:u w:val="none"/>
          </w:rPr>
          <w:instrText xml:space="preserve"> PAGEREF _Toc59040195 \h </w:instrText>
        </w:r>
        <w:r w:rsidRPr="00841EAD">
          <w:rPr>
            <w:rStyle w:val="af0"/>
            <w:rFonts w:ascii="宋体" w:eastAsia="黑体" w:hAnsi="宋体"/>
            <w:b/>
            <w:webHidden/>
            <w:kern w:val="0"/>
            <w:sz w:val="24"/>
            <w:szCs w:val="20"/>
            <w:u w:val="none"/>
          </w:rPr>
        </w:r>
        <w:r w:rsidRPr="00841EAD">
          <w:rPr>
            <w:rStyle w:val="af0"/>
            <w:rFonts w:ascii="宋体" w:eastAsia="黑体" w:hAnsi="宋体"/>
            <w:b/>
            <w:webHidden/>
            <w:kern w:val="0"/>
            <w:sz w:val="24"/>
            <w:szCs w:val="20"/>
            <w:u w:val="none"/>
          </w:rPr>
          <w:fldChar w:fldCharType="separate"/>
        </w:r>
        <w:r w:rsidRPr="00841EAD">
          <w:rPr>
            <w:rStyle w:val="af0"/>
            <w:rFonts w:ascii="宋体" w:eastAsia="黑体" w:hAnsi="宋体"/>
            <w:b/>
            <w:webHidden/>
            <w:kern w:val="0"/>
            <w:sz w:val="24"/>
            <w:szCs w:val="20"/>
            <w:u w:val="none"/>
          </w:rPr>
          <w:t>1</w:t>
        </w:r>
        <w:r w:rsidRPr="00841EAD">
          <w:rPr>
            <w:rStyle w:val="af0"/>
            <w:rFonts w:ascii="宋体" w:eastAsia="黑体" w:hAnsi="宋体"/>
            <w:b/>
            <w:webHidden/>
            <w:kern w:val="0"/>
            <w:sz w:val="24"/>
            <w:szCs w:val="20"/>
            <w:u w:val="none"/>
          </w:rPr>
          <w:fldChar w:fldCharType="end"/>
        </w:r>
      </w:hyperlink>
    </w:p>
    <w:p w14:paraId="164A3FB5"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196" w:history="1">
        <w:r w:rsidR="003F225F" w:rsidRPr="00841EAD">
          <w:rPr>
            <w:rStyle w:val="af0"/>
            <w:rFonts w:ascii="宋体" w:eastAsia="黑体" w:hAnsi="宋体" w:hint="eastAsia"/>
            <w:b/>
            <w:noProof/>
            <w:kern w:val="0"/>
            <w:sz w:val="24"/>
            <w:szCs w:val="20"/>
            <w:u w:val="none"/>
          </w:rPr>
          <w:t>一、绪言</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_Toc59040196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4</w:t>
        </w:r>
        <w:r w:rsidR="003F225F" w:rsidRPr="00841EAD">
          <w:rPr>
            <w:rStyle w:val="af0"/>
            <w:rFonts w:ascii="宋体" w:eastAsia="黑体" w:hAnsi="宋体"/>
            <w:b/>
            <w:webHidden/>
            <w:kern w:val="0"/>
            <w:sz w:val="24"/>
            <w:szCs w:val="20"/>
            <w:u w:val="none"/>
          </w:rPr>
          <w:fldChar w:fldCharType="end"/>
        </w:r>
      </w:hyperlink>
    </w:p>
    <w:p w14:paraId="397ACFB5"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197" w:history="1">
        <w:r w:rsidR="003F225F" w:rsidRPr="00841EAD">
          <w:rPr>
            <w:rStyle w:val="af0"/>
            <w:rFonts w:ascii="宋体" w:eastAsia="黑体" w:hAnsi="宋体" w:hint="eastAsia"/>
            <w:b/>
            <w:noProof/>
            <w:kern w:val="0"/>
            <w:sz w:val="24"/>
            <w:szCs w:val="20"/>
            <w:u w:val="none"/>
          </w:rPr>
          <w:t>二、释义</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_Toc59040197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5</w:t>
        </w:r>
        <w:r w:rsidR="003F225F" w:rsidRPr="00841EAD">
          <w:rPr>
            <w:rStyle w:val="af0"/>
            <w:rFonts w:ascii="宋体" w:eastAsia="黑体" w:hAnsi="宋体"/>
            <w:b/>
            <w:webHidden/>
            <w:kern w:val="0"/>
            <w:sz w:val="24"/>
            <w:szCs w:val="20"/>
            <w:u w:val="none"/>
          </w:rPr>
          <w:fldChar w:fldCharType="end"/>
        </w:r>
      </w:hyperlink>
    </w:p>
    <w:p w14:paraId="377F1B23"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198" w:history="1">
        <w:r w:rsidR="003F225F" w:rsidRPr="00841EAD">
          <w:rPr>
            <w:rStyle w:val="af0"/>
            <w:rFonts w:ascii="宋体" w:eastAsia="黑体" w:hAnsi="宋体" w:hint="eastAsia"/>
            <w:b/>
            <w:noProof/>
            <w:kern w:val="0"/>
            <w:sz w:val="24"/>
            <w:szCs w:val="20"/>
            <w:u w:val="none"/>
          </w:rPr>
          <w:t>三、基金管理人</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_Toc59040198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10</w:t>
        </w:r>
        <w:r w:rsidR="003F225F" w:rsidRPr="00841EAD">
          <w:rPr>
            <w:rStyle w:val="af0"/>
            <w:rFonts w:ascii="宋体" w:eastAsia="黑体" w:hAnsi="宋体"/>
            <w:b/>
            <w:webHidden/>
            <w:kern w:val="0"/>
            <w:sz w:val="24"/>
            <w:szCs w:val="20"/>
            <w:u w:val="none"/>
          </w:rPr>
          <w:fldChar w:fldCharType="end"/>
        </w:r>
      </w:hyperlink>
    </w:p>
    <w:p w14:paraId="2240D307"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199" w:history="1">
        <w:r w:rsidR="003F225F" w:rsidRPr="00841EAD">
          <w:rPr>
            <w:rStyle w:val="af0"/>
            <w:rFonts w:ascii="宋体" w:eastAsia="黑体" w:hAnsi="宋体" w:hint="eastAsia"/>
            <w:b/>
            <w:noProof/>
            <w:kern w:val="0"/>
            <w:sz w:val="24"/>
            <w:szCs w:val="20"/>
            <w:u w:val="none"/>
          </w:rPr>
          <w:t>四、基金托管人</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_Toc59040199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18</w:t>
        </w:r>
        <w:r w:rsidR="003F225F" w:rsidRPr="00841EAD">
          <w:rPr>
            <w:rStyle w:val="af0"/>
            <w:rFonts w:ascii="宋体" w:eastAsia="黑体" w:hAnsi="宋体"/>
            <w:b/>
            <w:webHidden/>
            <w:kern w:val="0"/>
            <w:sz w:val="24"/>
            <w:szCs w:val="20"/>
            <w:u w:val="none"/>
          </w:rPr>
          <w:fldChar w:fldCharType="end"/>
        </w:r>
      </w:hyperlink>
    </w:p>
    <w:p w14:paraId="2BEC67B2"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0" w:history="1">
        <w:r w:rsidR="003F225F" w:rsidRPr="00841EAD">
          <w:rPr>
            <w:rStyle w:val="af0"/>
            <w:rFonts w:ascii="宋体" w:eastAsia="黑体" w:hAnsi="宋体" w:hint="eastAsia"/>
            <w:b/>
            <w:noProof/>
            <w:kern w:val="0"/>
            <w:sz w:val="24"/>
            <w:szCs w:val="20"/>
            <w:u w:val="none"/>
          </w:rPr>
          <w:t>五、相关服务机构</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_Toc59040200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21</w:t>
        </w:r>
        <w:r w:rsidR="003F225F" w:rsidRPr="00841EAD">
          <w:rPr>
            <w:rStyle w:val="af0"/>
            <w:rFonts w:ascii="宋体" w:eastAsia="黑体" w:hAnsi="宋体"/>
            <w:b/>
            <w:webHidden/>
            <w:kern w:val="0"/>
            <w:sz w:val="24"/>
            <w:szCs w:val="20"/>
            <w:u w:val="none"/>
          </w:rPr>
          <w:fldChar w:fldCharType="end"/>
        </w:r>
      </w:hyperlink>
    </w:p>
    <w:p w14:paraId="2752DB53"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1" w:history="1">
        <w:r w:rsidR="003F225F" w:rsidRPr="00841EAD">
          <w:rPr>
            <w:rStyle w:val="af0"/>
            <w:rFonts w:ascii="宋体" w:eastAsia="黑体" w:hAnsi="宋体" w:hint="eastAsia"/>
            <w:b/>
            <w:noProof/>
            <w:kern w:val="0"/>
            <w:sz w:val="24"/>
            <w:szCs w:val="20"/>
            <w:u w:val="none"/>
          </w:rPr>
          <w:t>六、基金的募集</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_Toc59040201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44</w:t>
        </w:r>
        <w:r w:rsidR="003F225F" w:rsidRPr="00841EAD">
          <w:rPr>
            <w:rStyle w:val="af0"/>
            <w:rFonts w:ascii="宋体" w:eastAsia="黑体" w:hAnsi="宋体"/>
            <w:b/>
            <w:webHidden/>
            <w:kern w:val="0"/>
            <w:sz w:val="24"/>
            <w:szCs w:val="20"/>
            <w:u w:val="none"/>
          </w:rPr>
          <w:fldChar w:fldCharType="end"/>
        </w:r>
      </w:hyperlink>
    </w:p>
    <w:p w14:paraId="30B4D9D1"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2" w:history="1">
        <w:r w:rsidR="003F225F" w:rsidRPr="00841EAD">
          <w:rPr>
            <w:rStyle w:val="af0"/>
            <w:rFonts w:ascii="宋体" w:eastAsia="黑体" w:hAnsi="宋体" w:hint="eastAsia"/>
            <w:b/>
            <w:noProof/>
            <w:kern w:val="0"/>
            <w:sz w:val="24"/>
            <w:szCs w:val="20"/>
            <w:u w:val="none"/>
          </w:rPr>
          <w:t>七、基金合同的生效</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_Toc59040202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46</w:t>
        </w:r>
        <w:r w:rsidR="003F225F" w:rsidRPr="00841EAD">
          <w:rPr>
            <w:rStyle w:val="af0"/>
            <w:rFonts w:ascii="宋体" w:eastAsia="黑体" w:hAnsi="宋体"/>
            <w:b/>
            <w:webHidden/>
            <w:kern w:val="0"/>
            <w:sz w:val="24"/>
            <w:szCs w:val="20"/>
            <w:u w:val="none"/>
          </w:rPr>
          <w:fldChar w:fldCharType="end"/>
        </w:r>
      </w:hyperlink>
    </w:p>
    <w:p w14:paraId="2514F886"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3" w:history="1">
        <w:r w:rsidR="003F225F" w:rsidRPr="00841EAD">
          <w:rPr>
            <w:rStyle w:val="af0"/>
            <w:rFonts w:ascii="宋体" w:eastAsia="黑体" w:hAnsi="宋体" w:hint="eastAsia"/>
            <w:b/>
            <w:noProof/>
            <w:kern w:val="0"/>
            <w:sz w:val="24"/>
            <w:szCs w:val="20"/>
            <w:u w:val="none"/>
          </w:rPr>
          <w:t>八、基金份额的申购与赎回</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_Toc59040203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47</w:t>
        </w:r>
        <w:r w:rsidR="003F225F" w:rsidRPr="00841EAD">
          <w:rPr>
            <w:rStyle w:val="af0"/>
            <w:rFonts w:ascii="宋体" w:eastAsia="黑体" w:hAnsi="宋体"/>
            <w:b/>
            <w:webHidden/>
            <w:kern w:val="0"/>
            <w:sz w:val="24"/>
            <w:szCs w:val="20"/>
            <w:u w:val="none"/>
          </w:rPr>
          <w:fldChar w:fldCharType="end"/>
        </w:r>
      </w:hyperlink>
    </w:p>
    <w:p w14:paraId="308EFF1A"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4" w:history="1">
        <w:r w:rsidR="003F225F" w:rsidRPr="00841EAD">
          <w:rPr>
            <w:rStyle w:val="af0"/>
            <w:rFonts w:ascii="宋体" w:eastAsia="黑体" w:hAnsi="宋体" w:hint="eastAsia"/>
            <w:b/>
            <w:noProof/>
            <w:kern w:val="0"/>
            <w:sz w:val="24"/>
            <w:szCs w:val="20"/>
            <w:u w:val="none"/>
          </w:rPr>
          <w:t>九、基金的转换</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_Toc59040204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60</w:t>
        </w:r>
        <w:r w:rsidR="003F225F" w:rsidRPr="00841EAD">
          <w:rPr>
            <w:rStyle w:val="af0"/>
            <w:rFonts w:ascii="宋体" w:eastAsia="黑体" w:hAnsi="宋体"/>
            <w:b/>
            <w:webHidden/>
            <w:kern w:val="0"/>
            <w:sz w:val="24"/>
            <w:szCs w:val="20"/>
            <w:u w:val="none"/>
          </w:rPr>
          <w:fldChar w:fldCharType="end"/>
        </w:r>
      </w:hyperlink>
    </w:p>
    <w:p w14:paraId="78DD5ACA"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5" w:history="1">
        <w:r w:rsidR="003F225F" w:rsidRPr="00841EAD">
          <w:rPr>
            <w:rStyle w:val="af0"/>
            <w:rFonts w:ascii="宋体" w:eastAsia="黑体" w:hAnsi="宋体" w:hint="eastAsia"/>
            <w:b/>
            <w:noProof/>
            <w:kern w:val="0"/>
            <w:sz w:val="24"/>
            <w:szCs w:val="20"/>
            <w:u w:val="none"/>
          </w:rPr>
          <w:t>十、基金的投资</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_Toc59040205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67</w:t>
        </w:r>
        <w:r w:rsidR="003F225F" w:rsidRPr="00841EAD">
          <w:rPr>
            <w:rStyle w:val="af0"/>
            <w:rFonts w:ascii="宋体" w:eastAsia="黑体" w:hAnsi="宋体"/>
            <w:b/>
            <w:webHidden/>
            <w:kern w:val="0"/>
            <w:sz w:val="24"/>
            <w:szCs w:val="20"/>
            <w:u w:val="none"/>
          </w:rPr>
          <w:fldChar w:fldCharType="end"/>
        </w:r>
      </w:hyperlink>
    </w:p>
    <w:p w14:paraId="5EF0E91F"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6" w:history="1">
        <w:r w:rsidR="003F225F" w:rsidRPr="00841EAD">
          <w:rPr>
            <w:rStyle w:val="af0"/>
            <w:rFonts w:ascii="宋体" w:eastAsia="黑体" w:hAnsi="宋体" w:hint="eastAsia"/>
            <w:b/>
            <w:noProof/>
            <w:kern w:val="0"/>
            <w:sz w:val="24"/>
            <w:szCs w:val="20"/>
            <w:u w:val="none"/>
          </w:rPr>
          <w:t>十一、基金的业绩</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_Toc59040206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78</w:t>
        </w:r>
        <w:r w:rsidR="003F225F" w:rsidRPr="00841EAD">
          <w:rPr>
            <w:rStyle w:val="af0"/>
            <w:rFonts w:ascii="宋体" w:eastAsia="黑体" w:hAnsi="宋体"/>
            <w:b/>
            <w:webHidden/>
            <w:kern w:val="0"/>
            <w:sz w:val="24"/>
            <w:szCs w:val="20"/>
            <w:u w:val="none"/>
          </w:rPr>
          <w:fldChar w:fldCharType="end"/>
        </w:r>
      </w:hyperlink>
    </w:p>
    <w:p w14:paraId="5B2C4046"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7" w:history="1">
        <w:r w:rsidR="003F225F" w:rsidRPr="00841EAD">
          <w:rPr>
            <w:rStyle w:val="af0"/>
            <w:rFonts w:ascii="宋体" w:eastAsia="黑体" w:hAnsi="宋体" w:hint="eastAsia"/>
            <w:b/>
            <w:noProof/>
            <w:kern w:val="0"/>
            <w:sz w:val="24"/>
            <w:szCs w:val="20"/>
            <w:u w:val="none"/>
          </w:rPr>
          <w:t>十二、基金的财产</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_Toc59040207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80</w:t>
        </w:r>
        <w:r w:rsidR="003F225F" w:rsidRPr="00841EAD">
          <w:rPr>
            <w:rStyle w:val="af0"/>
            <w:rFonts w:ascii="宋体" w:eastAsia="黑体" w:hAnsi="宋体"/>
            <w:b/>
            <w:webHidden/>
            <w:kern w:val="0"/>
            <w:sz w:val="24"/>
            <w:szCs w:val="20"/>
            <w:u w:val="none"/>
          </w:rPr>
          <w:fldChar w:fldCharType="end"/>
        </w:r>
      </w:hyperlink>
    </w:p>
    <w:p w14:paraId="4BAA9A7E"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8" w:history="1">
        <w:r w:rsidR="003F225F" w:rsidRPr="00841EAD">
          <w:rPr>
            <w:rStyle w:val="af0"/>
            <w:rFonts w:ascii="宋体" w:eastAsia="黑体" w:hAnsi="宋体" w:hint="eastAsia"/>
            <w:b/>
            <w:noProof/>
            <w:kern w:val="0"/>
            <w:sz w:val="24"/>
            <w:szCs w:val="20"/>
            <w:u w:val="none"/>
          </w:rPr>
          <w:t>十三、基金资产的估值</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_Toc59040208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81</w:t>
        </w:r>
        <w:r w:rsidR="003F225F" w:rsidRPr="00841EAD">
          <w:rPr>
            <w:rStyle w:val="af0"/>
            <w:rFonts w:ascii="宋体" w:eastAsia="黑体" w:hAnsi="宋体"/>
            <w:b/>
            <w:webHidden/>
            <w:kern w:val="0"/>
            <w:sz w:val="24"/>
            <w:szCs w:val="20"/>
            <w:u w:val="none"/>
          </w:rPr>
          <w:fldChar w:fldCharType="end"/>
        </w:r>
      </w:hyperlink>
    </w:p>
    <w:p w14:paraId="6AF59E2D"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09" w:history="1">
        <w:r w:rsidR="003F225F" w:rsidRPr="00841EAD">
          <w:rPr>
            <w:rStyle w:val="af0"/>
            <w:rFonts w:ascii="宋体" w:eastAsia="黑体" w:hAnsi="宋体" w:hint="eastAsia"/>
            <w:b/>
            <w:noProof/>
            <w:kern w:val="0"/>
            <w:sz w:val="24"/>
            <w:szCs w:val="20"/>
            <w:u w:val="none"/>
          </w:rPr>
          <w:t>十四、基金的收益与分配</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_Toc59040209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88</w:t>
        </w:r>
        <w:r w:rsidR="003F225F" w:rsidRPr="00841EAD">
          <w:rPr>
            <w:rStyle w:val="af0"/>
            <w:rFonts w:ascii="宋体" w:eastAsia="黑体" w:hAnsi="宋体"/>
            <w:b/>
            <w:webHidden/>
            <w:kern w:val="0"/>
            <w:sz w:val="24"/>
            <w:szCs w:val="20"/>
            <w:u w:val="none"/>
          </w:rPr>
          <w:fldChar w:fldCharType="end"/>
        </w:r>
      </w:hyperlink>
    </w:p>
    <w:p w14:paraId="6BC20C59"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0" w:history="1">
        <w:r w:rsidR="003F225F" w:rsidRPr="00841EAD">
          <w:rPr>
            <w:rStyle w:val="af0"/>
            <w:rFonts w:ascii="宋体" w:eastAsia="黑体" w:hAnsi="宋体" w:hint="eastAsia"/>
            <w:b/>
            <w:noProof/>
            <w:kern w:val="0"/>
            <w:sz w:val="24"/>
            <w:szCs w:val="20"/>
            <w:u w:val="none"/>
          </w:rPr>
          <w:t>十五、基金的费用与税收</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_Toc59040210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90</w:t>
        </w:r>
        <w:r w:rsidR="003F225F" w:rsidRPr="00841EAD">
          <w:rPr>
            <w:rStyle w:val="af0"/>
            <w:rFonts w:ascii="宋体" w:eastAsia="黑体" w:hAnsi="宋体"/>
            <w:b/>
            <w:webHidden/>
            <w:kern w:val="0"/>
            <w:sz w:val="24"/>
            <w:szCs w:val="20"/>
            <w:u w:val="none"/>
          </w:rPr>
          <w:fldChar w:fldCharType="end"/>
        </w:r>
      </w:hyperlink>
    </w:p>
    <w:p w14:paraId="0E6090AC"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1" w:history="1">
        <w:r w:rsidR="003F225F" w:rsidRPr="00841EAD">
          <w:rPr>
            <w:rStyle w:val="af0"/>
            <w:rFonts w:ascii="宋体" w:eastAsia="黑体" w:hAnsi="宋体" w:hint="eastAsia"/>
            <w:b/>
            <w:noProof/>
            <w:kern w:val="0"/>
            <w:sz w:val="24"/>
            <w:szCs w:val="20"/>
            <w:u w:val="none"/>
          </w:rPr>
          <w:t>十六、基金的会计与审计</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_Toc59040211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92</w:t>
        </w:r>
        <w:r w:rsidR="003F225F" w:rsidRPr="00841EAD">
          <w:rPr>
            <w:rStyle w:val="af0"/>
            <w:rFonts w:ascii="宋体" w:eastAsia="黑体" w:hAnsi="宋体"/>
            <w:b/>
            <w:webHidden/>
            <w:kern w:val="0"/>
            <w:sz w:val="24"/>
            <w:szCs w:val="20"/>
            <w:u w:val="none"/>
          </w:rPr>
          <w:fldChar w:fldCharType="end"/>
        </w:r>
      </w:hyperlink>
    </w:p>
    <w:p w14:paraId="299ABDF9"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2" w:history="1">
        <w:r w:rsidR="003F225F" w:rsidRPr="00841EAD">
          <w:rPr>
            <w:rStyle w:val="af0"/>
            <w:rFonts w:ascii="宋体" w:eastAsia="黑体" w:hAnsi="宋体" w:hint="eastAsia"/>
            <w:b/>
            <w:noProof/>
            <w:kern w:val="0"/>
            <w:sz w:val="24"/>
            <w:szCs w:val="20"/>
            <w:u w:val="none"/>
          </w:rPr>
          <w:t>十七、基金的信息披露</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_Toc59040212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93</w:t>
        </w:r>
        <w:r w:rsidR="003F225F" w:rsidRPr="00841EAD">
          <w:rPr>
            <w:rStyle w:val="af0"/>
            <w:rFonts w:ascii="宋体" w:eastAsia="黑体" w:hAnsi="宋体"/>
            <w:b/>
            <w:webHidden/>
            <w:kern w:val="0"/>
            <w:sz w:val="24"/>
            <w:szCs w:val="20"/>
            <w:u w:val="none"/>
          </w:rPr>
          <w:fldChar w:fldCharType="end"/>
        </w:r>
      </w:hyperlink>
    </w:p>
    <w:p w14:paraId="3076C8BC"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3" w:history="1">
        <w:r w:rsidR="003F225F" w:rsidRPr="00841EAD">
          <w:rPr>
            <w:rStyle w:val="af0"/>
            <w:rFonts w:ascii="宋体" w:eastAsia="黑体" w:hAnsi="宋体" w:hint="eastAsia"/>
            <w:b/>
            <w:noProof/>
            <w:kern w:val="0"/>
            <w:sz w:val="24"/>
            <w:szCs w:val="20"/>
            <w:u w:val="none"/>
          </w:rPr>
          <w:t>十八、风险揭示</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_Toc59040213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99</w:t>
        </w:r>
        <w:r w:rsidR="003F225F" w:rsidRPr="00841EAD">
          <w:rPr>
            <w:rStyle w:val="af0"/>
            <w:rFonts w:ascii="宋体" w:eastAsia="黑体" w:hAnsi="宋体"/>
            <w:b/>
            <w:webHidden/>
            <w:kern w:val="0"/>
            <w:sz w:val="24"/>
            <w:szCs w:val="20"/>
            <w:u w:val="none"/>
          </w:rPr>
          <w:fldChar w:fldCharType="end"/>
        </w:r>
      </w:hyperlink>
    </w:p>
    <w:p w14:paraId="57FF8E84"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4" w:history="1">
        <w:r w:rsidR="003F225F" w:rsidRPr="00841EAD">
          <w:rPr>
            <w:rStyle w:val="af0"/>
            <w:rFonts w:ascii="宋体" w:eastAsia="黑体" w:hAnsi="宋体" w:hint="eastAsia"/>
            <w:b/>
            <w:noProof/>
            <w:kern w:val="0"/>
            <w:sz w:val="24"/>
            <w:szCs w:val="20"/>
            <w:u w:val="none"/>
          </w:rPr>
          <w:t>十九、基金合同的终止与基金财产的清算</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_Toc59040214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106</w:t>
        </w:r>
        <w:r w:rsidR="003F225F" w:rsidRPr="00841EAD">
          <w:rPr>
            <w:rStyle w:val="af0"/>
            <w:rFonts w:ascii="宋体" w:eastAsia="黑体" w:hAnsi="宋体"/>
            <w:b/>
            <w:webHidden/>
            <w:kern w:val="0"/>
            <w:sz w:val="24"/>
            <w:szCs w:val="20"/>
            <w:u w:val="none"/>
          </w:rPr>
          <w:fldChar w:fldCharType="end"/>
        </w:r>
      </w:hyperlink>
    </w:p>
    <w:p w14:paraId="020B3CF7"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5" w:history="1">
        <w:r w:rsidR="003F225F" w:rsidRPr="00841EAD">
          <w:rPr>
            <w:rStyle w:val="af0"/>
            <w:rFonts w:ascii="宋体" w:eastAsia="黑体" w:hAnsi="宋体" w:hint="eastAsia"/>
            <w:b/>
            <w:noProof/>
            <w:kern w:val="0"/>
            <w:sz w:val="24"/>
            <w:szCs w:val="20"/>
            <w:u w:val="none"/>
          </w:rPr>
          <w:t>二十、基金合同内容摘要</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_Toc59040215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108</w:t>
        </w:r>
        <w:r w:rsidR="003F225F" w:rsidRPr="00841EAD">
          <w:rPr>
            <w:rStyle w:val="af0"/>
            <w:rFonts w:ascii="宋体" w:eastAsia="黑体" w:hAnsi="宋体"/>
            <w:b/>
            <w:webHidden/>
            <w:kern w:val="0"/>
            <w:sz w:val="24"/>
            <w:szCs w:val="20"/>
            <w:u w:val="none"/>
          </w:rPr>
          <w:fldChar w:fldCharType="end"/>
        </w:r>
      </w:hyperlink>
    </w:p>
    <w:p w14:paraId="042E8F80"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6" w:history="1">
        <w:r w:rsidR="003F225F" w:rsidRPr="00841EAD">
          <w:rPr>
            <w:rStyle w:val="af0"/>
            <w:rFonts w:ascii="宋体" w:eastAsia="黑体" w:hAnsi="宋体" w:hint="eastAsia"/>
            <w:b/>
            <w:noProof/>
            <w:kern w:val="0"/>
            <w:sz w:val="24"/>
            <w:szCs w:val="20"/>
            <w:u w:val="none"/>
          </w:rPr>
          <w:t>二十一、托管协议的内容摘要</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_Toc59040216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123</w:t>
        </w:r>
        <w:r w:rsidR="003F225F" w:rsidRPr="00841EAD">
          <w:rPr>
            <w:rStyle w:val="af0"/>
            <w:rFonts w:ascii="宋体" w:eastAsia="黑体" w:hAnsi="宋体"/>
            <w:b/>
            <w:webHidden/>
            <w:kern w:val="0"/>
            <w:sz w:val="24"/>
            <w:szCs w:val="20"/>
            <w:u w:val="none"/>
          </w:rPr>
          <w:fldChar w:fldCharType="end"/>
        </w:r>
      </w:hyperlink>
    </w:p>
    <w:p w14:paraId="0943C4B9"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7" w:history="1">
        <w:r w:rsidR="003F225F" w:rsidRPr="00841EAD">
          <w:rPr>
            <w:rStyle w:val="af0"/>
            <w:rFonts w:ascii="宋体" w:eastAsia="黑体" w:hAnsi="宋体" w:hint="eastAsia"/>
            <w:b/>
            <w:noProof/>
            <w:kern w:val="0"/>
            <w:sz w:val="24"/>
            <w:szCs w:val="20"/>
            <w:u w:val="none"/>
          </w:rPr>
          <w:t>二十二、对基金份额持有人的服务</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_Toc59040217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138</w:t>
        </w:r>
        <w:r w:rsidR="003F225F" w:rsidRPr="00841EAD">
          <w:rPr>
            <w:rStyle w:val="af0"/>
            <w:rFonts w:ascii="宋体" w:eastAsia="黑体" w:hAnsi="宋体"/>
            <w:b/>
            <w:webHidden/>
            <w:kern w:val="0"/>
            <w:sz w:val="24"/>
            <w:szCs w:val="20"/>
            <w:u w:val="none"/>
          </w:rPr>
          <w:fldChar w:fldCharType="end"/>
        </w:r>
      </w:hyperlink>
    </w:p>
    <w:p w14:paraId="07DE9F8E"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8" w:history="1">
        <w:r w:rsidR="003F225F" w:rsidRPr="00841EAD">
          <w:rPr>
            <w:rStyle w:val="af0"/>
            <w:rFonts w:ascii="宋体" w:eastAsia="黑体" w:hAnsi="宋体" w:hint="eastAsia"/>
            <w:b/>
            <w:noProof/>
            <w:kern w:val="0"/>
            <w:sz w:val="24"/>
            <w:szCs w:val="20"/>
            <w:u w:val="none"/>
          </w:rPr>
          <w:t>二十三、其他应披露事项</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_Toc59040218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140</w:t>
        </w:r>
        <w:r w:rsidR="003F225F" w:rsidRPr="00841EAD">
          <w:rPr>
            <w:rStyle w:val="af0"/>
            <w:rFonts w:ascii="宋体" w:eastAsia="黑体" w:hAnsi="宋体"/>
            <w:b/>
            <w:webHidden/>
            <w:kern w:val="0"/>
            <w:sz w:val="24"/>
            <w:szCs w:val="20"/>
            <w:u w:val="none"/>
          </w:rPr>
          <w:fldChar w:fldCharType="end"/>
        </w:r>
      </w:hyperlink>
    </w:p>
    <w:p w14:paraId="029BB135"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19" w:history="1">
        <w:r w:rsidR="003F225F" w:rsidRPr="00841EAD">
          <w:rPr>
            <w:rStyle w:val="af0"/>
            <w:rFonts w:ascii="宋体" w:eastAsia="黑体" w:hAnsi="宋体" w:hint="eastAsia"/>
            <w:b/>
            <w:noProof/>
            <w:kern w:val="0"/>
            <w:sz w:val="24"/>
            <w:szCs w:val="20"/>
            <w:u w:val="none"/>
          </w:rPr>
          <w:t>二十四、招募说明书的存放及查阅方式</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_Toc59040219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142</w:t>
        </w:r>
        <w:r w:rsidR="003F225F" w:rsidRPr="00841EAD">
          <w:rPr>
            <w:rStyle w:val="af0"/>
            <w:rFonts w:ascii="宋体" w:eastAsia="黑体" w:hAnsi="宋体"/>
            <w:b/>
            <w:webHidden/>
            <w:kern w:val="0"/>
            <w:sz w:val="24"/>
            <w:szCs w:val="20"/>
            <w:u w:val="none"/>
          </w:rPr>
          <w:fldChar w:fldCharType="end"/>
        </w:r>
      </w:hyperlink>
    </w:p>
    <w:p w14:paraId="29E9E7AE" w14:textId="77777777" w:rsidR="003F225F" w:rsidRPr="00841EAD" w:rsidRDefault="000527C4" w:rsidP="00841EAD">
      <w:pPr>
        <w:pStyle w:val="TOC1"/>
        <w:tabs>
          <w:tab w:val="right" w:leader="dot" w:pos="8450"/>
        </w:tabs>
        <w:adjustRightInd w:val="0"/>
        <w:snapToGrid w:val="0"/>
        <w:spacing w:line="360" w:lineRule="auto"/>
        <w:rPr>
          <w:rStyle w:val="af0"/>
          <w:rFonts w:ascii="宋体" w:eastAsia="黑体" w:hAnsi="宋体"/>
          <w:b/>
          <w:kern w:val="0"/>
          <w:sz w:val="24"/>
          <w:szCs w:val="20"/>
        </w:rPr>
      </w:pPr>
      <w:hyperlink w:anchor="_Toc59040220" w:history="1">
        <w:r w:rsidR="003F225F" w:rsidRPr="00841EAD">
          <w:rPr>
            <w:rStyle w:val="af0"/>
            <w:rFonts w:ascii="宋体" w:eastAsia="黑体" w:hAnsi="宋体" w:hint="eastAsia"/>
            <w:b/>
            <w:noProof/>
            <w:kern w:val="0"/>
            <w:sz w:val="24"/>
            <w:szCs w:val="20"/>
            <w:u w:val="none"/>
          </w:rPr>
          <w:t>二十五、备查文件</w:t>
        </w:r>
        <w:r w:rsidR="003F225F" w:rsidRPr="00841EAD">
          <w:rPr>
            <w:rStyle w:val="af0"/>
            <w:rFonts w:ascii="宋体" w:eastAsia="黑体" w:hAnsi="宋体"/>
            <w:b/>
            <w:webHidden/>
            <w:kern w:val="0"/>
            <w:sz w:val="24"/>
            <w:szCs w:val="20"/>
            <w:u w:val="none"/>
          </w:rPr>
          <w:tab/>
        </w:r>
        <w:r w:rsidR="003F225F" w:rsidRPr="00841EAD">
          <w:rPr>
            <w:rStyle w:val="af0"/>
            <w:rFonts w:ascii="宋体" w:eastAsia="黑体" w:hAnsi="宋体"/>
            <w:b/>
            <w:webHidden/>
            <w:kern w:val="0"/>
            <w:sz w:val="24"/>
            <w:szCs w:val="20"/>
            <w:u w:val="none"/>
          </w:rPr>
          <w:fldChar w:fldCharType="begin"/>
        </w:r>
        <w:r w:rsidR="003F225F" w:rsidRPr="00841EAD">
          <w:rPr>
            <w:rStyle w:val="af0"/>
            <w:rFonts w:ascii="宋体" w:eastAsia="黑体" w:hAnsi="宋体"/>
            <w:b/>
            <w:webHidden/>
            <w:kern w:val="0"/>
            <w:sz w:val="24"/>
            <w:szCs w:val="20"/>
            <w:u w:val="none"/>
          </w:rPr>
          <w:instrText xml:space="preserve"> PAGEREF _Toc59040220 \h </w:instrText>
        </w:r>
        <w:r w:rsidR="003F225F" w:rsidRPr="00841EAD">
          <w:rPr>
            <w:rStyle w:val="af0"/>
            <w:rFonts w:ascii="宋体" w:eastAsia="黑体" w:hAnsi="宋体"/>
            <w:b/>
            <w:webHidden/>
            <w:kern w:val="0"/>
            <w:sz w:val="24"/>
            <w:szCs w:val="20"/>
            <w:u w:val="none"/>
          </w:rPr>
        </w:r>
        <w:r w:rsidR="003F225F" w:rsidRPr="00841EAD">
          <w:rPr>
            <w:rStyle w:val="af0"/>
            <w:rFonts w:ascii="宋体" w:eastAsia="黑体" w:hAnsi="宋体"/>
            <w:b/>
            <w:webHidden/>
            <w:kern w:val="0"/>
            <w:sz w:val="24"/>
            <w:szCs w:val="20"/>
            <w:u w:val="none"/>
          </w:rPr>
          <w:fldChar w:fldCharType="separate"/>
        </w:r>
        <w:r w:rsidR="003F225F" w:rsidRPr="00841EAD">
          <w:rPr>
            <w:rStyle w:val="af0"/>
            <w:rFonts w:ascii="宋体" w:eastAsia="黑体" w:hAnsi="宋体"/>
            <w:b/>
            <w:webHidden/>
            <w:kern w:val="0"/>
            <w:sz w:val="24"/>
            <w:szCs w:val="20"/>
            <w:u w:val="none"/>
          </w:rPr>
          <w:t>143</w:t>
        </w:r>
        <w:r w:rsidR="003F225F" w:rsidRPr="00841EAD">
          <w:rPr>
            <w:rStyle w:val="af0"/>
            <w:rFonts w:ascii="宋体" w:eastAsia="黑体" w:hAnsi="宋体"/>
            <w:b/>
            <w:webHidden/>
            <w:kern w:val="0"/>
            <w:sz w:val="24"/>
            <w:szCs w:val="20"/>
            <w:u w:val="none"/>
          </w:rPr>
          <w:fldChar w:fldCharType="end"/>
        </w:r>
      </w:hyperlink>
    </w:p>
    <w:p w14:paraId="0D69D9F5" w14:textId="77777777" w:rsidR="003F225F" w:rsidRDefault="003F225F" w:rsidP="00841EAD">
      <w:pPr>
        <w:pStyle w:val="TOC1"/>
        <w:tabs>
          <w:tab w:val="right" w:leader="dot" w:pos="8450"/>
        </w:tabs>
        <w:adjustRightInd w:val="0"/>
        <w:snapToGrid w:val="0"/>
        <w:spacing w:line="360" w:lineRule="auto"/>
        <w:rPr>
          <w:rFonts w:ascii="宋体" w:hAnsi="宋体"/>
          <w:kern w:val="0"/>
          <w:szCs w:val="24"/>
        </w:rPr>
        <w:sectPr w:rsidR="003F225F">
          <w:pgSz w:w="11920" w:h="16840"/>
          <w:pgMar w:top="1480" w:right="1680" w:bottom="280" w:left="1680" w:header="0" w:footer="1073" w:gutter="0"/>
          <w:cols w:space="720"/>
        </w:sectPr>
      </w:pPr>
      <w:r w:rsidRPr="00841EAD">
        <w:rPr>
          <w:rStyle w:val="af0"/>
          <w:rFonts w:eastAsia="黑体"/>
          <w:b/>
          <w:noProof/>
          <w:sz w:val="24"/>
          <w:szCs w:val="20"/>
          <w:u w:val="none"/>
        </w:rPr>
        <w:fldChar w:fldCharType="end"/>
      </w:r>
    </w:p>
    <w:p w14:paraId="30DB4420" w14:textId="77777777" w:rsidR="009A30E5" w:rsidRDefault="00953581">
      <w:pPr>
        <w:pStyle w:val="1"/>
        <w:snapToGrid w:val="0"/>
        <w:spacing w:beforeLines="0" w:before="240" w:after="240"/>
        <w:rPr>
          <w:rFonts w:ascii="宋体" w:hAnsi="宋体"/>
          <w:szCs w:val="30"/>
        </w:rPr>
      </w:pPr>
      <w:bookmarkStart w:id="3" w:name="_Toc59040196"/>
      <w:r>
        <w:rPr>
          <w:rFonts w:ascii="Times New Roman" w:hAnsi="Times New Roman"/>
          <w:sz w:val="30"/>
        </w:rPr>
        <w:lastRenderedPageBreak/>
        <w:t>一、绪言</w:t>
      </w:r>
      <w:bookmarkEnd w:id="3"/>
    </w:p>
    <w:p w14:paraId="66D15B56" w14:textId="08D04F91"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证券投资基金运作管理办法》、《证券投资基金销售管理办法》、《公开募集证券投资基金信息披露管理办法》、《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w:t>
      </w:r>
      <w:r w:rsidR="00507A4F" w:rsidRPr="001A0AD6">
        <w:rPr>
          <w:rFonts w:ascii="Times New Roman" w:hAnsi="Times New Roman" w:hint="eastAsia"/>
          <w:sz w:val="24"/>
        </w:rPr>
        <w:t>、《公开募集证券投资基金运作指引第</w:t>
      </w:r>
      <w:r w:rsidR="00507A4F" w:rsidRPr="001A0AD6">
        <w:rPr>
          <w:rFonts w:ascii="Times New Roman" w:hAnsi="Times New Roman" w:hint="eastAsia"/>
          <w:sz w:val="24"/>
        </w:rPr>
        <w:t>3</w:t>
      </w:r>
      <w:r w:rsidR="00507A4F" w:rsidRPr="001A0AD6">
        <w:rPr>
          <w:rFonts w:ascii="Times New Roman" w:hAnsi="Times New Roman" w:hint="eastAsia"/>
          <w:sz w:val="24"/>
        </w:rPr>
        <w:t>号——指数基金指引》（以下简称“《指数基金指引》”）</w:t>
      </w:r>
      <w:r>
        <w:rPr>
          <w:rFonts w:ascii="Times New Roman" w:hAnsi="Times New Roman"/>
          <w:sz w:val="24"/>
        </w:rPr>
        <w:t>和其他相关法律法规的规定以及《交银施罗德上证</w:t>
      </w:r>
      <w:r>
        <w:rPr>
          <w:rFonts w:ascii="Times New Roman" w:hAnsi="Times New Roman"/>
          <w:sz w:val="24"/>
        </w:rPr>
        <w:t>180</w:t>
      </w:r>
      <w:r>
        <w:rPr>
          <w:rFonts w:ascii="Times New Roman" w:hAnsi="Times New Roman"/>
          <w:sz w:val="24"/>
        </w:rPr>
        <w:t>公司治理交易型开放式指数证券投资基金联接基金基金合同》（以下简称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08A9D8A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6E9FD9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w:t>
      </w:r>
      <w:proofErr w:type="gramStart"/>
      <w:r>
        <w:rPr>
          <w:rFonts w:ascii="Times New Roman" w:hAnsi="Times New Roman"/>
          <w:sz w:val="24"/>
        </w:rPr>
        <w:t>投资者自依基金</w:t>
      </w:r>
      <w:proofErr w:type="gramEnd"/>
      <w:r>
        <w:rPr>
          <w:rFonts w:ascii="Times New Roman" w:hAnsi="Times New Roman"/>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09B1C7FF"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524227" w14:textId="77777777" w:rsidR="009A30E5" w:rsidRDefault="00953581">
      <w:pPr>
        <w:pStyle w:val="1"/>
        <w:snapToGrid w:val="0"/>
        <w:spacing w:beforeLines="0" w:before="240" w:after="240"/>
        <w:rPr>
          <w:rFonts w:ascii="宋体" w:hAnsi="宋体"/>
          <w:szCs w:val="30"/>
        </w:rPr>
      </w:pPr>
      <w:bookmarkStart w:id="4" w:name="_Toc59040197"/>
      <w:r>
        <w:rPr>
          <w:rFonts w:ascii="Times New Roman" w:hAnsi="Times New Roman"/>
          <w:sz w:val="30"/>
        </w:rPr>
        <w:lastRenderedPageBreak/>
        <w:t>二、释义</w:t>
      </w:r>
      <w:bookmarkEnd w:id="4"/>
    </w:p>
    <w:p w14:paraId="62C094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p w14:paraId="1115A29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、基金或本基金：指交银施罗德上证</w:t>
      </w:r>
      <w:r>
        <w:rPr>
          <w:rFonts w:ascii="Times New Roman" w:hAnsi="Times New Roman"/>
          <w:sz w:val="24"/>
        </w:rPr>
        <w:t>180</w:t>
      </w:r>
      <w:r>
        <w:rPr>
          <w:rFonts w:ascii="Times New Roman" w:hAnsi="Times New Roman"/>
          <w:sz w:val="24"/>
        </w:rPr>
        <w:t>公司治理交易型开放式指数证券投资基金联接基金</w:t>
      </w:r>
    </w:p>
    <w:p w14:paraId="060C707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14:paraId="2642B8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、基金托管人：指中国农业银行股份有限公司（以下简称</w:t>
      </w:r>
      <w:r>
        <w:rPr>
          <w:rFonts w:ascii="Times New Roman" w:hAnsi="Times New Roman"/>
          <w:sz w:val="24"/>
        </w:rPr>
        <w:t>“</w:t>
      </w:r>
      <w:r>
        <w:rPr>
          <w:rFonts w:ascii="Times New Roman" w:hAnsi="Times New Roman"/>
          <w:sz w:val="24"/>
        </w:rPr>
        <w:t>中国农业银行</w:t>
      </w:r>
      <w:r>
        <w:rPr>
          <w:rFonts w:ascii="Times New Roman" w:hAnsi="Times New Roman"/>
          <w:sz w:val="24"/>
        </w:rPr>
        <w:t>”</w:t>
      </w:r>
      <w:r>
        <w:rPr>
          <w:rFonts w:ascii="Times New Roman" w:hAnsi="Times New Roman"/>
          <w:sz w:val="24"/>
        </w:rPr>
        <w:t>）</w:t>
      </w:r>
    </w:p>
    <w:p w14:paraId="68AFE69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、基金合同：指《交银施罗德上证</w:t>
      </w:r>
      <w:r>
        <w:rPr>
          <w:rFonts w:ascii="Times New Roman" w:hAnsi="Times New Roman"/>
          <w:sz w:val="24"/>
        </w:rPr>
        <w:t>180</w:t>
      </w:r>
      <w:r>
        <w:rPr>
          <w:rFonts w:ascii="Times New Roman" w:hAnsi="Times New Roman"/>
          <w:sz w:val="24"/>
        </w:rPr>
        <w:t>公司治理交易型开放式指数证券投资基金联接基金基金合同》及对基金合同的任何有效修订和补充</w:t>
      </w:r>
    </w:p>
    <w:p w14:paraId="3F2D62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、托管协议：指基金管理人与基金托管人就本基金签订之《交银施罗德上证</w:t>
      </w:r>
      <w:r>
        <w:rPr>
          <w:rFonts w:ascii="Times New Roman" w:hAnsi="Times New Roman"/>
          <w:sz w:val="24"/>
        </w:rPr>
        <w:t>180</w:t>
      </w:r>
      <w:r>
        <w:rPr>
          <w:rFonts w:ascii="Times New Roman" w:hAnsi="Times New Roman"/>
          <w:sz w:val="24"/>
        </w:rPr>
        <w:t>公司治理交易型开放式指数证券投资基金联接基金托管协议》及对该托管协议的任何有效修订和补充</w:t>
      </w:r>
    </w:p>
    <w:p w14:paraId="4B3A04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、招募说明书：指《交银施罗德上证</w:t>
      </w:r>
      <w:r>
        <w:rPr>
          <w:rFonts w:ascii="Times New Roman" w:hAnsi="Times New Roman"/>
          <w:sz w:val="24"/>
        </w:rPr>
        <w:t>180</w:t>
      </w:r>
      <w:r>
        <w:rPr>
          <w:rFonts w:ascii="Times New Roman" w:hAnsi="Times New Roman"/>
          <w:sz w:val="24"/>
        </w:rPr>
        <w:t>公司治理交易型开放式指数证券投资基金联接基金招募说明书》，及其更新</w:t>
      </w:r>
    </w:p>
    <w:p w14:paraId="0BC7D47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、基金份额发售公告：指《交银施罗德上证</w:t>
      </w:r>
      <w:r>
        <w:rPr>
          <w:rFonts w:ascii="Times New Roman" w:hAnsi="Times New Roman"/>
          <w:sz w:val="24"/>
        </w:rPr>
        <w:t>180</w:t>
      </w:r>
      <w:r>
        <w:rPr>
          <w:rFonts w:ascii="Times New Roman" w:hAnsi="Times New Roman"/>
          <w:sz w:val="24"/>
        </w:rPr>
        <w:t>公司治理交易型开放式指数证券投资基金联接基金份额发售公告》</w:t>
      </w:r>
    </w:p>
    <w:p w14:paraId="0C2F769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、基金产品资料概要：指《交银施罗德上证</w:t>
      </w:r>
      <w:r>
        <w:rPr>
          <w:rFonts w:ascii="Times New Roman" w:hAnsi="Times New Roman"/>
          <w:sz w:val="24"/>
        </w:rPr>
        <w:t>180</w:t>
      </w:r>
      <w:r>
        <w:rPr>
          <w:rFonts w:ascii="Times New Roman" w:hAnsi="Times New Roman"/>
          <w:sz w:val="24"/>
        </w:rPr>
        <w:t>公司治理交易型开放式指数证券投资基金联接基金基金产品资料概要》及其更新</w:t>
      </w:r>
    </w:p>
    <w:p w14:paraId="13E419C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、法律法规：指中国现行有效并公布实施的法律、行政法规、司法解释、部门规章、地方性法规、地方政府规章及其他对基金合同当事人有约束力的规范性文件及对该等法律法规不时</w:t>
      </w:r>
      <w:proofErr w:type="gramStart"/>
      <w:r>
        <w:rPr>
          <w:rFonts w:ascii="Times New Roman" w:hAnsi="Times New Roman"/>
          <w:sz w:val="24"/>
        </w:rPr>
        <w:t>作出</w:t>
      </w:r>
      <w:proofErr w:type="gramEnd"/>
      <w:r>
        <w:rPr>
          <w:rFonts w:ascii="Times New Roman" w:hAnsi="Times New Roman"/>
          <w:sz w:val="24"/>
        </w:rPr>
        <w:t>的修订</w:t>
      </w:r>
    </w:p>
    <w:p w14:paraId="30BE9C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、《证券法》：</w:t>
      </w:r>
      <w:r>
        <w:rPr>
          <w:rFonts w:ascii="Times New Roman" w:hAnsi="Times New Roman"/>
          <w:sz w:val="24"/>
        </w:rPr>
        <w:t xml:space="preserve"> </w:t>
      </w:r>
      <w:r>
        <w:rPr>
          <w:rFonts w:ascii="Times New Roman" w:hAnsi="Times New Roman"/>
          <w:sz w:val="24"/>
        </w:rPr>
        <w:t>指</w:t>
      </w:r>
      <w:r>
        <w:rPr>
          <w:rFonts w:ascii="Times New Roman" w:hAnsi="Times New Roman"/>
          <w:sz w:val="24"/>
        </w:rPr>
        <w:t>2005</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27</w:t>
      </w:r>
      <w:r>
        <w:rPr>
          <w:rFonts w:ascii="Times New Roman" w:hAnsi="Times New Roman"/>
          <w:sz w:val="24"/>
        </w:rPr>
        <w:t>日经第十届全国人民代表大会常务委员会第十八次会议通过，自</w:t>
      </w:r>
      <w:r>
        <w:rPr>
          <w:rFonts w:ascii="Times New Roman" w:hAnsi="Times New Roman"/>
          <w:sz w:val="24"/>
        </w:rPr>
        <w:t>2006</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日实施的《中华人民共和国证券法》及颁布机关对其不时做出的修订</w:t>
      </w:r>
    </w:p>
    <w:p w14:paraId="1B902BF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、《基金法》：指</w:t>
      </w:r>
      <w:r>
        <w:rPr>
          <w:rFonts w:ascii="Times New Roman" w:hAnsi="Times New Roman"/>
          <w:sz w:val="24"/>
        </w:rPr>
        <w:t>2003</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28</w:t>
      </w:r>
      <w:r>
        <w:rPr>
          <w:rFonts w:ascii="Times New Roman" w:hAnsi="Times New Roman"/>
          <w:sz w:val="24"/>
        </w:rPr>
        <w:t>日经第十届全国人民代表大会常务委员会第五次会议通过，自</w:t>
      </w:r>
      <w:r>
        <w:rPr>
          <w:rFonts w:ascii="Times New Roman" w:hAnsi="Times New Roman"/>
          <w:sz w:val="24"/>
        </w:rPr>
        <w:t>2004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w:t>
      </w:r>
      <w:r>
        <w:rPr>
          <w:rFonts w:ascii="Times New Roman" w:hAnsi="Times New Roman"/>
          <w:sz w:val="24"/>
        </w:rPr>
        <w:t>日起实施的《中华人民共和国证券投资基金法》及颁布机关对其不时</w:t>
      </w:r>
      <w:proofErr w:type="gramStart"/>
      <w:r>
        <w:rPr>
          <w:rFonts w:ascii="Times New Roman" w:hAnsi="Times New Roman"/>
          <w:sz w:val="24"/>
        </w:rPr>
        <w:t>作出</w:t>
      </w:r>
      <w:proofErr w:type="gramEnd"/>
      <w:r>
        <w:rPr>
          <w:rFonts w:ascii="Times New Roman" w:hAnsi="Times New Roman"/>
          <w:sz w:val="24"/>
        </w:rPr>
        <w:t>的修订</w:t>
      </w:r>
    </w:p>
    <w:p w14:paraId="04F3A81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、《销售办法》：指中国证监会</w:t>
      </w:r>
      <w:r>
        <w:rPr>
          <w:rFonts w:ascii="Times New Roman" w:hAnsi="Times New Roman"/>
          <w:sz w:val="24"/>
        </w:rPr>
        <w:t>2011</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9</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日实施的《证券投资基金销售管理办法》及对其不时</w:t>
      </w:r>
      <w:proofErr w:type="gramStart"/>
      <w:r>
        <w:rPr>
          <w:rFonts w:ascii="Times New Roman" w:hAnsi="Times New Roman"/>
          <w:sz w:val="24"/>
        </w:rPr>
        <w:t>作出</w:t>
      </w:r>
      <w:proofErr w:type="gramEnd"/>
      <w:r>
        <w:rPr>
          <w:rFonts w:ascii="Times New Roman" w:hAnsi="Times New Roman"/>
          <w:sz w:val="24"/>
        </w:rPr>
        <w:t>的修订</w:t>
      </w:r>
    </w:p>
    <w:p w14:paraId="1284D39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、《信息披露办法》：指中国证监会</w:t>
      </w:r>
      <w:r>
        <w:rPr>
          <w:rFonts w:ascii="Times New Roman" w:hAnsi="Times New Roman"/>
          <w:sz w:val="24"/>
        </w:rPr>
        <w:t>2019</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26</w:t>
      </w:r>
      <w:r>
        <w:rPr>
          <w:rFonts w:ascii="Times New Roman" w:hAnsi="Times New Roman"/>
          <w:sz w:val="24"/>
        </w:rPr>
        <w:t>日颁布、同年</w:t>
      </w:r>
      <w:r>
        <w:rPr>
          <w:rFonts w:ascii="Times New Roman" w:hAnsi="Times New Roman"/>
          <w:sz w:val="24"/>
        </w:rPr>
        <w:t>9</w:t>
      </w:r>
      <w:r>
        <w:rPr>
          <w:rFonts w:ascii="Times New Roman" w:hAnsi="Times New Roman"/>
          <w:sz w:val="24"/>
        </w:rPr>
        <w:t>月</w:t>
      </w:r>
      <w:r>
        <w:rPr>
          <w:rFonts w:ascii="Times New Roman" w:hAnsi="Times New Roman"/>
          <w:sz w:val="24"/>
        </w:rPr>
        <w:t>1</w:t>
      </w:r>
      <w:r>
        <w:rPr>
          <w:rFonts w:ascii="Times New Roman" w:hAnsi="Times New Roman"/>
          <w:sz w:val="24"/>
        </w:rPr>
        <w:t>日实施的</w:t>
      </w:r>
      <w:r>
        <w:rPr>
          <w:rFonts w:ascii="Times New Roman" w:hAnsi="Times New Roman"/>
          <w:sz w:val="24"/>
        </w:rPr>
        <w:lastRenderedPageBreak/>
        <w:t>《公开募集证券投资基金信息披露管理办法》及对其不时</w:t>
      </w:r>
      <w:proofErr w:type="gramStart"/>
      <w:r>
        <w:rPr>
          <w:rFonts w:ascii="Times New Roman" w:hAnsi="Times New Roman"/>
          <w:sz w:val="24"/>
        </w:rPr>
        <w:t>作出</w:t>
      </w:r>
      <w:proofErr w:type="gramEnd"/>
      <w:r>
        <w:rPr>
          <w:rFonts w:ascii="Times New Roman" w:hAnsi="Times New Roman"/>
          <w:sz w:val="24"/>
        </w:rPr>
        <w:t>的修订</w:t>
      </w:r>
    </w:p>
    <w:p w14:paraId="0CB577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、《运作办法》：指中国证监会</w:t>
      </w:r>
      <w:r>
        <w:rPr>
          <w:rFonts w:ascii="Times New Roman" w:hAnsi="Times New Roman"/>
          <w:sz w:val="24"/>
        </w:rPr>
        <w:t>2004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29</w:t>
      </w:r>
      <w:r>
        <w:rPr>
          <w:rFonts w:ascii="Times New Roman" w:hAnsi="Times New Roman"/>
          <w:sz w:val="24"/>
        </w:rPr>
        <w:t>日颁布、同年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日实施的《证券投资基金运作管理办法》及对其不时</w:t>
      </w:r>
      <w:proofErr w:type="gramStart"/>
      <w:r>
        <w:rPr>
          <w:rFonts w:ascii="Times New Roman" w:hAnsi="Times New Roman"/>
          <w:sz w:val="24"/>
        </w:rPr>
        <w:t>作出</w:t>
      </w:r>
      <w:proofErr w:type="gramEnd"/>
      <w:r>
        <w:rPr>
          <w:rFonts w:ascii="Times New Roman" w:hAnsi="Times New Roman"/>
          <w:sz w:val="24"/>
        </w:rPr>
        <w:t>的修订</w:t>
      </w:r>
    </w:p>
    <w:p w14:paraId="28C8C0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、《流动性规定》：指中国证监会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日实施的《公开募集开放式证券投资基金流动性风险管理规定》及颁布机关对其不时做出的修订</w:t>
      </w:r>
    </w:p>
    <w:p w14:paraId="24150D40" w14:textId="77777777" w:rsidR="00507A4F" w:rsidRPr="00507A4F" w:rsidRDefault="00953581" w:rsidP="00507A4F">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16</w:t>
      </w:r>
      <w:r>
        <w:rPr>
          <w:rFonts w:ascii="Times New Roman" w:hAnsi="Times New Roman"/>
          <w:sz w:val="24"/>
        </w:rPr>
        <w:t>、</w:t>
      </w:r>
      <w:r w:rsidR="00507A4F" w:rsidRPr="00507A4F">
        <w:rPr>
          <w:rFonts w:ascii="Times New Roman" w:hAnsi="Times New Roman"/>
          <w:bCs/>
          <w:sz w:val="24"/>
        </w:rPr>
        <w:t>《</w:t>
      </w:r>
      <w:r w:rsidR="00507A4F" w:rsidRPr="00507A4F">
        <w:rPr>
          <w:rFonts w:ascii="Times New Roman" w:hAnsi="Times New Roman" w:hint="eastAsia"/>
          <w:bCs/>
          <w:sz w:val="24"/>
        </w:rPr>
        <w:t>指数基金指引》：指中国证监会</w:t>
      </w:r>
      <w:r w:rsidR="00507A4F" w:rsidRPr="00507A4F">
        <w:rPr>
          <w:rFonts w:ascii="Times New Roman" w:hAnsi="Times New Roman" w:hint="eastAsia"/>
          <w:bCs/>
          <w:sz w:val="24"/>
        </w:rPr>
        <w:t>2021</w:t>
      </w:r>
      <w:r w:rsidR="00507A4F" w:rsidRPr="00507A4F">
        <w:rPr>
          <w:rFonts w:ascii="Times New Roman" w:hAnsi="Times New Roman" w:hint="eastAsia"/>
          <w:bCs/>
          <w:sz w:val="24"/>
        </w:rPr>
        <w:t>年</w:t>
      </w:r>
      <w:r w:rsidR="00507A4F" w:rsidRPr="00507A4F">
        <w:rPr>
          <w:rFonts w:ascii="Times New Roman" w:hAnsi="Times New Roman" w:hint="eastAsia"/>
          <w:bCs/>
          <w:sz w:val="24"/>
        </w:rPr>
        <w:t>1</w:t>
      </w:r>
      <w:r w:rsidR="00507A4F" w:rsidRPr="00507A4F">
        <w:rPr>
          <w:rFonts w:ascii="Times New Roman" w:hAnsi="Times New Roman" w:hint="eastAsia"/>
          <w:bCs/>
          <w:sz w:val="24"/>
        </w:rPr>
        <w:t>月</w:t>
      </w:r>
      <w:r w:rsidR="00507A4F" w:rsidRPr="00507A4F">
        <w:rPr>
          <w:rFonts w:ascii="Times New Roman" w:hAnsi="Times New Roman" w:hint="eastAsia"/>
          <w:bCs/>
          <w:sz w:val="24"/>
        </w:rPr>
        <w:t>22</w:t>
      </w:r>
      <w:r w:rsidR="00507A4F" w:rsidRPr="00507A4F">
        <w:rPr>
          <w:rFonts w:ascii="Times New Roman" w:hAnsi="Times New Roman" w:hint="eastAsia"/>
          <w:bCs/>
          <w:sz w:val="24"/>
        </w:rPr>
        <w:t>日颁布、同年</w:t>
      </w:r>
      <w:r w:rsidR="00507A4F" w:rsidRPr="00507A4F">
        <w:rPr>
          <w:rFonts w:ascii="Times New Roman" w:hAnsi="Times New Roman" w:hint="eastAsia"/>
          <w:bCs/>
          <w:sz w:val="24"/>
        </w:rPr>
        <w:t>2</w:t>
      </w:r>
      <w:r w:rsidR="00507A4F" w:rsidRPr="00507A4F">
        <w:rPr>
          <w:rFonts w:ascii="Times New Roman" w:hAnsi="Times New Roman" w:hint="eastAsia"/>
          <w:bCs/>
          <w:sz w:val="24"/>
        </w:rPr>
        <w:t>月</w:t>
      </w:r>
      <w:r w:rsidR="00507A4F" w:rsidRPr="00507A4F">
        <w:rPr>
          <w:rFonts w:ascii="Times New Roman" w:hAnsi="Times New Roman" w:hint="eastAsia"/>
          <w:bCs/>
          <w:sz w:val="24"/>
        </w:rPr>
        <w:t>1</w:t>
      </w:r>
      <w:r w:rsidR="00507A4F" w:rsidRPr="00507A4F">
        <w:rPr>
          <w:rFonts w:ascii="Times New Roman" w:hAnsi="Times New Roman" w:hint="eastAsia"/>
          <w:bCs/>
          <w:sz w:val="24"/>
        </w:rPr>
        <w:t>日实施的《公开募集证券投资基金运作指引第</w:t>
      </w:r>
      <w:r w:rsidR="00507A4F" w:rsidRPr="00507A4F">
        <w:rPr>
          <w:rFonts w:ascii="Times New Roman" w:hAnsi="Times New Roman" w:hint="eastAsia"/>
          <w:bCs/>
          <w:sz w:val="24"/>
        </w:rPr>
        <w:t>3</w:t>
      </w:r>
      <w:r w:rsidR="00507A4F" w:rsidRPr="00507A4F">
        <w:rPr>
          <w:rFonts w:ascii="Times New Roman" w:hAnsi="Times New Roman" w:hint="eastAsia"/>
          <w:bCs/>
          <w:sz w:val="24"/>
        </w:rPr>
        <w:t>号——指数基金指引》及颁布机关对其不时做出的修订</w:t>
      </w:r>
    </w:p>
    <w:p w14:paraId="38848948" w14:textId="10678AC4" w:rsidR="009A30E5" w:rsidRDefault="00507A4F" w:rsidP="00507A4F">
      <w:pPr>
        <w:autoSpaceDE w:val="0"/>
        <w:autoSpaceDN w:val="0"/>
        <w:adjustRightInd w:val="0"/>
        <w:snapToGrid w:val="0"/>
        <w:spacing w:line="360" w:lineRule="auto"/>
        <w:ind w:firstLineChars="200" w:firstLine="480"/>
        <w:rPr>
          <w:rFonts w:ascii="宋体" w:hAnsi="宋体"/>
          <w:szCs w:val="24"/>
        </w:rPr>
      </w:pPr>
      <w:r w:rsidRPr="00507A4F">
        <w:rPr>
          <w:rFonts w:ascii="Times New Roman" w:hAnsi="Times New Roman" w:hint="eastAsia"/>
          <w:bCs/>
          <w:sz w:val="24"/>
        </w:rPr>
        <w:t>1</w:t>
      </w:r>
      <w:r>
        <w:rPr>
          <w:rFonts w:ascii="Times New Roman" w:hAnsi="Times New Roman"/>
          <w:bCs/>
          <w:sz w:val="24"/>
        </w:rPr>
        <w:t>7</w:t>
      </w:r>
      <w:r w:rsidRPr="00507A4F">
        <w:rPr>
          <w:rFonts w:ascii="Times New Roman" w:hAnsi="Times New Roman" w:hint="eastAsia"/>
          <w:bCs/>
          <w:sz w:val="24"/>
        </w:rPr>
        <w:t>、</w:t>
      </w:r>
      <w:r w:rsidR="00953581">
        <w:rPr>
          <w:rFonts w:ascii="Times New Roman" w:hAnsi="Times New Roman"/>
          <w:sz w:val="24"/>
        </w:rPr>
        <w:t>中国：指中华人民共和国，就基金合同而言，不包括香港特别行政区、澳门特别行政区和台湾地区</w:t>
      </w:r>
    </w:p>
    <w:p w14:paraId="4F9358CF" w14:textId="65D7B5E9"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sidR="00953581">
        <w:rPr>
          <w:rFonts w:ascii="Times New Roman" w:hAnsi="Times New Roman"/>
          <w:sz w:val="24"/>
        </w:rPr>
        <w:t>、中国证监会：指中国证券监督管理委员会</w:t>
      </w:r>
    </w:p>
    <w:p w14:paraId="62C2EC3E" w14:textId="1F6AA482"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sidR="00953581">
        <w:rPr>
          <w:rFonts w:ascii="Times New Roman" w:hAnsi="Times New Roman"/>
          <w:sz w:val="24"/>
        </w:rPr>
        <w:t>、银行业监督管理机构：指中国银行业监督管理委员会</w:t>
      </w:r>
    </w:p>
    <w:p w14:paraId="6AEDE7B4" w14:textId="5935C22D"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sidR="00953581">
        <w:rPr>
          <w:rFonts w:ascii="Times New Roman" w:hAnsi="Times New Roman"/>
          <w:sz w:val="24"/>
        </w:rPr>
        <w:t>、基金合同当事人：指受基金合同约束，根据基金合同享有权利并承担义务的法律主体，包括基金管理人、基金托管人和基金份额持有人</w:t>
      </w:r>
    </w:p>
    <w:p w14:paraId="43DED4C8" w14:textId="7E6725F7"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sidR="00953581">
        <w:rPr>
          <w:rFonts w:ascii="Times New Roman" w:hAnsi="Times New Roman"/>
          <w:sz w:val="24"/>
        </w:rPr>
        <w:t>、个人投资者：指符合法律法规规定的条件可以投资证券投资基金的自然人</w:t>
      </w:r>
    </w:p>
    <w:p w14:paraId="5695E82D" w14:textId="56286AF7"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sidR="00953581">
        <w:rPr>
          <w:rFonts w:ascii="Times New Roman" w:hAnsi="Times New Roman"/>
          <w:sz w:val="24"/>
        </w:rPr>
        <w:t>、机构投资者：指符合法律法规规定可以投资证券投资基金的在中华人民共和国注册登记或经政府有关部门批准设立的机构</w:t>
      </w:r>
    </w:p>
    <w:p w14:paraId="4FF8F949" w14:textId="679C77D8"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sidR="00953581">
        <w:rPr>
          <w:rFonts w:ascii="Times New Roman" w:hAnsi="Times New Roman"/>
          <w:sz w:val="24"/>
        </w:rPr>
        <w:t>、合格境外机构投资者：指符合《合格境外机构投资者境内证券投资管理办法》及其他相关法律法规的可投资于中国境内证券的中国境外的机构投资者</w:t>
      </w:r>
    </w:p>
    <w:p w14:paraId="1D8057CA" w14:textId="78AE8BCE"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sidR="00953581">
        <w:rPr>
          <w:rFonts w:ascii="Times New Roman" w:hAnsi="Times New Roman"/>
          <w:sz w:val="24"/>
        </w:rPr>
        <w:t>、基金投资者或投资者：指个人投资者、机构投资者和合格境外机构投资者的合称</w:t>
      </w:r>
    </w:p>
    <w:p w14:paraId="5FB493EF" w14:textId="5B366515"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sidR="00953581">
        <w:rPr>
          <w:rFonts w:ascii="Times New Roman" w:hAnsi="Times New Roman"/>
          <w:sz w:val="24"/>
        </w:rPr>
        <w:t>、基金份额持有人：指依基金合同和招募说明书合法取得基金份额的基金投资者</w:t>
      </w:r>
    </w:p>
    <w:p w14:paraId="2D9C1077" w14:textId="50D0AB39"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sidR="00953581">
        <w:rPr>
          <w:rFonts w:ascii="Times New Roman" w:hAnsi="Times New Roman"/>
          <w:sz w:val="24"/>
        </w:rPr>
        <w:t>、基金销售业务：指基金管理人或代销机构宣传推介基金，办理基金份额的认购、申购、赎回、转换、</w:t>
      </w:r>
      <w:proofErr w:type="gramStart"/>
      <w:r w:rsidR="00953581">
        <w:rPr>
          <w:rFonts w:ascii="Times New Roman" w:hAnsi="Times New Roman"/>
          <w:sz w:val="24"/>
        </w:rPr>
        <w:t>非交易</w:t>
      </w:r>
      <w:proofErr w:type="gramEnd"/>
      <w:r w:rsidR="00953581">
        <w:rPr>
          <w:rFonts w:ascii="Times New Roman" w:hAnsi="Times New Roman"/>
          <w:sz w:val="24"/>
        </w:rPr>
        <w:t>过户、转托管及定期定额投资等业务</w:t>
      </w:r>
    </w:p>
    <w:p w14:paraId="57307A7F" w14:textId="70458651"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sidR="00953581">
        <w:rPr>
          <w:rFonts w:ascii="Times New Roman" w:hAnsi="Times New Roman"/>
          <w:sz w:val="24"/>
        </w:rPr>
        <w:t>、销售机构：指直销机构和代销机构</w:t>
      </w:r>
    </w:p>
    <w:p w14:paraId="79D84F19" w14:textId="363EBEBF"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28</w:t>
      </w:r>
      <w:r w:rsidR="00953581">
        <w:rPr>
          <w:rFonts w:ascii="Times New Roman" w:hAnsi="Times New Roman"/>
          <w:sz w:val="24"/>
        </w:rPr>
        <w:t>、直销机构：指交银施罗德基金管理有限公司</w:t>
      </w:r>
    </w:p>
    <w:p w14:paraId="7A5F60AC" w14:textId="20287FD4"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29</w:t>
      </w:r>
      <w:r w:rsidR="00953581">
        <w:rPr>
          <w:rFonts w:ascii="Times New Roman" w:hAnsi="Times New Roman"/>
          <w:sz w:val="24"/>
        </w:rPr>
        <w:t>、代销机构：指符合《销售办法》和中国证监会规定的其他条件，取得基金代销业务资格并与基金管理人签订了基金销售服务代理协议，代为办理基金销售业</w:t>
      </w:r>
      <w:r w:rsidR="00953581">
        <w:rPr>
          <w:rFonts w:ascii="Times New Roman" w:hAnsi="Times New Roman"/>
          <w:sz w:val="24"/>
        </w:rPr>
        <w:lastRenderedPageBreak/>
        <w:t>务的机构</w:t>
      </w:r>
    </w:p>
    <w:p w14:paraId="380CAA95" w14:textId="4CBCA4B5"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30</w:t>
      </w:r>
      <w:r w:rsidR="00953581">
        <w:rPr>
          <w:rFonts w:ascii="Times New Roman" w:hAnsi="Times New Roman"/>
          <w:sz w:val="24"/>
        </w:rPr>
        <w:t>、基金销售网点：指直销机构的直销中心及代销机构的代销网点</w:t>
      </w:r>
    </w:p>
    <w:p w14:paraId="58F8F8F5" w14:textId="7C079289"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sidR="00953581">
        <w:rPr>
          <w:rFonts w:ascii="Times New Roman" w:hAnsi="Times New Roman"/>
          <w:sz w:val="24"/>
        </w:rPr>
        <w:t>、注册登记业务：指基金登记、存管、过户、清算和结算业务，具体内容包括基金投资者基金账户的建立和管理、基金份额注册登记、基金销售业务的确认、清算和结算、代理发放红利、建立并保管基金份额持有人名册等</w:t>
      </w:r>
    </w:p>
    <w:p w14:paraId="6273BF3F" w14:textId="498D895B"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sidR="00953581">
        <w:rPr>
          <w:rFonts w:ascii="Times New Roman" w:hAnsi="Times New Roman"/>
          <w:sz w:val="24"/>
        </w:rPr>
        <w:t>、注册登记机构：</w:t>
      </w:r>
      <w:proofErr w:type="gramStart"/>
      <w:r w:rsidR="00953581">
        <w:rPr>
          <w:rFonts w:ascii="Times New Roman" w:hAnsi="Times New Roman"/>
          <w:sz w:val="24"/>
        </w:rPr>
        <w:t>指办理</w:t>
      </w:r>
      <w:proofErr w:type="gramEnd"/>
      <w:r w:rsidR="00953581">
        <w:rPr>
          <w:rFonts w:ascii="Times New Roman" w:hAnsi="Times New Roman"/>
          <w:sz w:val="24"/>
        </w:rPr>
        <w:t>注册登记业务的机构。基金的注册登记机构为交银施罗德基金管理有限公司或接受交银施罗德基金管理有限公司委托代为办理注册登记业务的机构</w:t>
      </w:r>
    </w:p>
    <w:p w14:paraId="0D7CB17A" w14:textId="55DB3E00"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33</w:t>
      </w:r>
      <w:r w:rsidR="00953581">
        <w:rPr>
          <w:rFonts w:ascii="Times New Roman" w:hAnsi="Times New Roman"/>
          <w:sz w:val="24"/>
        </w:rPr>
        <w:t>、基金账户：指注册登记机构为基金投资者开立的、记录其持有的、基金管理人所管理的基金份额余额及其变动情况的账户</w:t>
      </w:r>
    </w:p>
    <w:p w14:paraId="03B143C8" w14:textId="56E66CF3"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34</w:t>
      </w:r>
      <w:r w:rsidR="00953581">
        <w:rPr>
          <w:rFonts w:ascii="Times New Roman" w:hAnsi="Times New Roman"/>
          <w:sz w:val="24"/>
        </w:rPr>
        <w:t>、基金交易账户：指销售机构为基金投资者开立的、记录基金投资者通过该销售机构买卖基金份额的变动及结余情况的账户</w:t>
      </w:r>
    </w:p>
    <w:p w14:paraId="4281F472" w14:textId="60EE9625"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35</w:t>
      </w:r>
      <w:r w:rsidR="00953581">
        <w:rPr>
          <w:rFonts w:ascii="Times New Roman" w:hAnsi="Times New Roman"/>
          <w:sz w:val="24"/>
        </w:rPr>
        <w:t>、基金合同生效日：指基金募集期结束后达到法律法规规定及基金合同约定的备案条件，基金管理人聘请法定机构验资并向中国证监会办理基金备案手续完毕，并收到其书面确认的日期</w:t>
      </w:r>
    </w:p>
    <w:p w14:paraId="0E8B9A60" w14:textId="3C02EA8D"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36</w:t>
      </w:r>
      <w:r w:rsidR="00953581">
        <w:rPr>
          <w:rFonts w:ascii="Times New Roman" w:hAnsi="Times New Roman"/>
          <w:sz w:val="24"/>
        </w:rPr>
        <w:t>、基金合同终止日：指基金合同规定的基金合同终止事由出现后，基金财产清算完毕，清算结果报中国证监会备案并予以公告的日期</w:t>
      </w:r>
    </w:p>
    <w:p w14:paraId="1CAE0A00" w14:textId="56ECE648"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37</w:t>
      </w:r>
      <w:r w:rsidR="00953581">
        <w:rPr>
          <w:rFonts w:ascii="Times New Roman" w:hAnsi="Times New Roman"/>
          <w:sz w:val="24"/>
        </w:rPr>
        <w:t>、目标</w:t>
      </w:r>
      <w:r w:rsidR="00953581">
        <w:rPr>
          <w:rFonts w:ascii="Times New Roman" w:hAnsi="Times New Roman"/>
          <w:sz w:val="24"/>
        </w:rPr>
        <w:t>ETF</w:t>
      </w:r>
      <w:r w:rsidR="00953581">
        <w:rPr>
          <w:rFonts w:ascii="Times New Roman" w:hAnsi="Times New Roman"/>
          <w:sz w:val="24"/>
        </w:rPr>
        <w:t>：指另一获中国证监会核准的交易型开放式指数证券投资基金（简称</w:t>
      </w:r>
      <w:r w:rsidR="00953581">
        <w:rPr>
          <w:rFonts w:ascii="Times New Roman" w:hAnsi="Times New Roman"/>
          <w:sz w:val="24"/>
        </w:rPr>
        <w:t>ETF</w:t>
      </w:r>
      <w:r w:rsidR="00953581">
        <w:rPr>
          <w:rFonts w:ascii="Times New Roman" w:hAnsi="Times New Roman"/>
          <w:sz w:val="24"/>
        </w:rPr>
        <w:t>），该</w:t>
      </w:r>
      <w:r w:rsidR="00953581">
        <w:rPr>
          <w:rFonts w:ascii="Times New Roman" w:hAnsi="Times New Roman"/>
          <w:sz w:val="24"/>
        </w:rPr>
        <w:t>ETF</w:t>
      </w:r>
      <w:r w:rsidR="00953581">
        <w:rPr>
          <w:rFonts w:ascii="Times New Roman" w:hAnsi="Times New Roman"/>
          <w:sz w:val="24"/>
        </w:rPr>
        <w:t>和本基金所跟踪的标的指数相同，并且，该</w:t>
      </w:r>
      <w:r w:rsidR="00953581">
        <w:rPr>
          <w:rFonts w:ascii="Times New Roman" w:hAnsi="Times New Roman"/>
          <w:sz w:val="24"/>
        </w:rPr>
        <w:t>ETF</w:t>
      </w:r>
      <w:r w:rsidR="00953581">
        <w:rPr>
          <w:rFonts w:ascii="Times New Roman" w:hAnsi="Times New Roman"/>
          <w:sz w:val="24"/>
        </w:rPr>
        <w:t>的投资目标和本基金的投资目标类似，本基金主要投资于该</w:t>
      </w:r>
      <w:r w:rsidR="00953581">
        <w:rPr>
          <w:rFonts w:ascii="Times New Roman" w:hAnsi="Times New Roman"/>
          <w:sz w:val="24"/>
        </w:rPr>
        <w:t>ETF</w:t>
      </w:r>
      <w:r w:rsidR="00953581">
        <w:rPr>
          <w:rFonts w:ascii="Times New Roman" w:hAnsi="Times New Roman"/>
          <w:sz w:val="24"/>
        </w:rPr>
        <w:t>以求达到投资目标。发售时，本基金选择上证</w:t>
      </w:r>
      <w:r w:rsidR="00953581">
        <w:rPr>
          <w:rFonts w:ascii="Times New Roman" w:hAnsi="Times New Roman"/>
          <w:sz w:val="24"/>
        </w:rPr>
        <w:t>180</w:t>
      </w:r>
      <w:r w:rsidR="00953581">
        <w:rPr>
          <w:rFonts w:ascii="Times New Roman" w:hAnsi="Times New Roman"/>
          <w:sz w:val="24"/>
        </w:rPr>
        <w:t>公司治理交易型开放式指数证券投资基金为目标</w:t>
      </w:r>
      <w:r w:rsidR="00953581">
        <w:rPr>
          <w:rFonts w:ascii="Times New Roman" w:hAnsi="Times New Roman"/>
          <w:sz w:val="24"/>
        </w:rPr>
        <w:t>ETF</w:t>
      </w:r>
    </w:p>
    <w:p w14:paraId="5BC27385" w14:textId="594B47CC"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38</w:t>
      </w:r>
      <w:r w:rsidR="00953581">
        <w:rPr>
          <w:rFonts w:ascii="Times New Roman" w:hAnsi="Times New Roman"/>
          <w:sz w:val="24"/>
        </w:rPr>
        <w:t>、</w:t>
      </w:r>
      <w:r w:rsidR="00953581">
        <w:rPr>
          <w:rFonts w:ascii="Times New Roman" w:hAnsi="Times New Roman"/>
          <w:sz w:val="24"/>
        </w:rPr>
        <w:t>ETF</w:t>
      </w:r>
      <w:r w:rsidR="00953581">
        <w:rPr>
          <w:rFonts w:ascii="Times New Roman" w:hAnsi="Times New Roman"/>
          <w:sz w:val="24"/>
        </w:rPr>
        <w:t>联接基金：指将绝大多数基金财产投资于跟踪同一标的指数的目标</w:t>
      </w:r>
      <w:r w:rsidR="00953581">
        <w:rPr>
          <w:rFonts w:ascii="Times New Roman" w:hAnsi="Times New Roman"/>
          <w:sz w:val="24"/>
        </w:rPr>
        <w:t>ETF</w:t>
      </w:r>
      <w:r w:rsidR="00953581">
        <w:rPr>
          <w:rFonts w:ascii="Times New Roman" w:hAnsi="Times New Roman"/>
          <w:sz w:val="24"/>
        </w:rPr>
        <w:t>，紧密跟踪标的指数表现，追求跟踪偏离度和跟踪误差最小化，采用开放式运作的基金，本基金是联接其所投资的目标</w:t>
      </w:r>
      <w:r w:rsidR="00953581">
        <w:rPr>
          <w:rFonts w:ascii="Times New Roman" w:hAnsi="Times New Roman"/>
          <w:sz w:val="24"/>
        </w:rPr>
        <w:t>ETF</w:t>
      </w:r>
      <w:r w:rsidR="00953581">
        <w:rPr>
          <w:rFonts w:ascii="Times New Roman" w:hAnsi="Times New Roman"/>
          <w:sz w:val="24"/>
        </w:rPr>
        <w:t>的</w:t>
      </w:r>
      <w:r w:rsidR="00953581">
        <w:rPr>
          <w:rFonts w:ascii="Times New Roman" w:hAnsi="Times New Roman"/>
          <w:sz w:val="24"/>
        </w:rPr>
        <w:t>ETF</w:t>
      </w:r>
      <w:r w:rsidR="00953581">
        <w:rPr>
          <w:rFonts w:ascii="Times New Roman" w:hAnsi="Times New Roman"/>
          <w:sz w:val="24"/>
        </w:rPr>
        <w:t>联接基金</w:t>
      </w:r>
    </w:p>
    <w:p w14:paraId="4DD6A722" w14:textId="380E4FAD"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39</w:t>
      </w:r>
      <w:r w:rsidR="00953581">
        <w:rPr>
          <w:rFonts w:ascii="Times New Roman" w:hAnsi="Times New Roman"/>
          <w:sz w:val="24"/>
        </w:rPr>
        <w:t>、基金募集期：指自基金份额发售之日起至发售结束之日止的期间，最长不得超过</w:t>
      </w:r>
      <w:r w:rsidR="00953581">
        <w:rPr>
          <w:rFonts w:ascii="Times New Roman" w:hAnsi="Times New Roman"/>
          <w:sz w:val="24"/>
        </w:rPr>
        <w:t>3</w:t>
      </w:r>
      <w:r w:rsidR="00953581">
        <w:rPr>
          <w:rFonts w:ascii="Times New Roman" w:hAnsi="Times New Roman"/>
          <w:sz w:val="24"/>
        </w:rPr>
        <w:t>个月</w:t>
      </w:r>
    </w:p>
    <w:p w14:paraId="3ED699D2" w14:textId="18136F46"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40</w:t>
      </w:r>
      <w:r w:rsidR="00953581">
        <w:rPr>
          <w:rFonts w:ascii="Times New Roman" w:hAnsi="Times New Roman"/>
          <w:sz w:val="24"/>
        </w:rPr>
        <w:t>、存续期：指基金合同生效至终止之间的不定期期限</w:t>
      </w:r>
    </w:p>
    <w:p w14:paraId="49D7D84B" w14:textId="3CA09896"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41</w:t>
      </w:r>
      <w:r w:rsidR="00953581">
        <w:rPr>
          <w:rFonts w:ascii="Times New Roman" w:hAnsi="Times New Roman"/>
          <w:sz w:val="24"/>
        </w:rPr>
        <w:t>、工作日：指上海证券交易所、深圳证券交易所的正常交易日</w:t>
      </w:r>
    </w:p>
    <w:p w14:paraId="78918843" w14:textId="780A8942"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42</w:t>
      </w:r>
      <w:r w:rsidR="00953581">
        <w:rPr>
          <w:rFonts w:ascii="Times New Roman" w:hAnsi="Times New Roman"/>
          <w:sz w:val="24"/>
        </w:rPr>
        <w:t>、日：指公历日</w:t>
      </w:r>
    </w:p>
    <w:p w14:paraId="02257C70" w14:textId="47408FDA"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43</w:t>
      </w:r>
      <w:r w:rsidR="00953581">
        <w:rPr>
          <w:rFonts w:ascii="Times New Roman" w:hAnsi="Times New Roman"/>
          <w:sz w:val="24"/>
        </w:rPr>
        <w:t>、月：指公历月</w:t>
      </w:r>
    </w:p>
    <w:p w14:paraId="73237F2B" w14:textId="12DB872C"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44</w:t>
      </w:r>
      <w:r w:rsidR="00953581">
        <w:rPr>
          <w:rFonts w:ascii="Times New Roman" w:hAnsi="Times New Roman"/>
          <w:sz w:val="24"/>
        </w:rPr>
        <w:t>、</w:t>
      </w:r>
      <w:r w:rsidR="00953581">
        <w:rPr>
          <w:rFonts w:ascii="Times New Roman" w:hAnsi="Times New Roman"/>
          <w:sz w:val="24"/>
        </w:rPr>
        <w:t>T</w:t>
      </w:r>
      <w:r w:rsidR="00953581">
        <w:rPr>
          <w:rFonts w:ascii="Times New Roman" w:hAnsi="Times New Roman"/>
          <w:sz w:val="24"/>
        </w:rPr>
        <w:t>日：指销售机构在规定时间受理基金投资者</w:t>
      </w:r>
      <w:proofErr w:type="gramStart"/>
      <w:r w:rsidR="00953581">
        <w:rPr>
          <w:rFonts w:ascii="Times New Roman" w:hAnsi="Times New Roman"/>
          <w:sz w:val="24"/>
        </w:rPr>
        <w:t>有效业务</w:t>
      </w:r>
      <w:proofErr w:type="gramEnd"/>
      <w:r w:rsidR="00953581">
        <w:rPr>
          <w:rFonts w:ascii="Times New Roman" w:hAnsi="Times New Roman"/>
          <w:sz w:val="24"/>
        </w:rPr>
        <w:t>申请的工作日</w:t>
      </w:r>
    </w:p>
    <w:p w14:paraId="33D29474" w14:textId="0ADD68D2"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45</w:t>
      </w:r>
      <w:r w:rsidR="00953581">
        <w:rPr>
          <w:rFonts w:ascii="Times New Roman" w:hAnsi="Times New Roman"/>
          <w:sz w:val="24"/>
        </w:rPr>
        <w:t>、</w:t>
      </w:r>
      <w:proofErr w:type="spellStart"/>
      <w:r w:rsidR="00953581">
        <w:rPr>
          <w:rFonts w:ascii="Times New Roman" w:hAnsi="Times New Roman"/>
          <w:sz w:val="24"/>
        </w:rPr>
        <w:t>T+n</w:t>
      </w:r>
      <w:proofErr w:type="spellEnd"/>
      <w:r w:rsidR="00953581">
        <w:rPr>
          <w:rFonts w:ascii="Times New Roman" w:hAnsi="Times New Roman"/>
          <w:sz w:val="24"/>
        </w:rPr>
        <w:t>日：指自</w:t>
      </w:r>
      <w:r w:rsidR="00953581">
        <w:rPr>
          <w:rFonts w:ascii="Times New Roman" w:hAnsi="Times New Roman"/>
          <w:sz w:val="24"/>
        </w:rPr>
        <w:t>T</w:t>
      </w:r>
      <w:r w:rsidR="00953581">
        <w:rPr>
          <w:rFonts w:ascii="Times New Roman" w:hAnsi="Times New Roman"/>
          <w:sz w:val="24"/>
        </w:rPr>
        <w:t>日起第</w:t>
      </w:r>
      <w:r w:rsidR="00953581">
        <w:rPr>
          <w:rFonts w:ascii="Times New Roman" w:hAnsi="Times New Roman"/>
          <w:sz w:val="24"/>
        </w:rPr>
        <w:t>n</w:t>
      </w:r>
      <w:proofErr w:type="gramStart"/>
      <w:r w:rsidR="00953581">
        <w:rPr>
          <w:rFonts w:ascii="Times New Roman" w:hAnsi="Times New Roman"/>
          <w:sz w:val="24"/>
        </w:rPr>
        <w:t>个</w:t>
      </w:r>
      <w:proofErr w:type="gramEnd"/>
      <w:r w:rsidR="00953581">
        <w:rPr>
          <w:rFonts w:ascii="Times New Roman" w:hAnsi="Times New Roman"/>
          <w:sz w:val="24"/>
        </w:rPr>
        <w:t>工作日</w:t>
      </w:r>
      <w:r w:rsidR="00953581">
        <w:rPr>
          <w:rFonts w:ascii="Times New Roman" w:hAnsi="Times New Roman"/>
          <w:sz w:val="24"/>
        </w:rPr>
        <w:t>(</w:t>
      </w:r>
      <w:r w:rsidR="00953581">
        <w:rPr>
          <w:rFonts w:ascii="Times New Roman" w:hAnsi="Times New Roman"/>
          <w:sz w:val="24"/>
        </w:rPr>
        <w:t>不包含</w:t>
      </w:r>
      <w:r w:rsidR="00953581">
        <w:rPr>
          <w:rFonts w:ascii="Times New Roman" w:hAnsi="Times New Roman"/>
          <w:sz w:val="24"/>
        </w:rPr>
        <w:t>T</w:t>
      </w:r>
      <w:r w:rsidR="00953581">
        <w:rPr>
          <w:rFonts w:ascii="Times New Roman" w:hAnsi="Times New Roman"/>
          <w:sz w:val="24"/>
        </w:rPr>
        <w:t>日</w:t>
      </w:r>
      <w:r w:rsidR="00953581">
        <w:rPr>
          <w:rFonts w:ascii="Times New Roman" w:hAnsi="Times New Roman"/>
          <w:sz w:val="24"/>
        </w:rPr>
        <w:t>)</w:t>
      </w:r>
    </w:p>
    <w:p w14:paraId="3095EC0D" w14:textId="6B0AFEDA"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46</w:t>
      </w:r>
      <w:r w:rsidR="00953581">
        <w:rPr>
          <w:rFonts w:ascii="Times New Roman" w:hAnsi="Times New Roman"/>
          <w:sz w:val="24"/>
        </w:rPr>
        <w:t>、开放日：指为基金投资者办理基金份额申购、赎回或其他业务的工作日</w:t>
      </w:r>
    </w:p>
    <w:p w14:paraId="028D7443" w14:textId="1FDFE4BD"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47</w:t>
      </w:r>
      <w:r w:rsidR="00953581">
        <w:rPr>
          <w:rFonts w:ascii="Times New Roman" w:hAnsi="Times New Roman"/>
          <w:sz w:val="24"/>
        </w:rPr>
        <w:t>、交易时间：指开放日基金接受申购、赎回或其他交易的时间段</w:t>
      </w:r>
    </w:p>
    <w:p w14:paraId="07B1D109" w14:textId="6B56DDBB"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48</w:t>
      </w:r>
      <w:r w:rsidR="00953581">
        <w:rPr>
          <w:rFonts w:ascii="Times New Roman" w:hAnsi="Times New Roman"/>
          <w:sz w:val="24"/>
        </w:rPr>
        <w:t>、《业务规则》：指《交银施罗德基金管理有限公司开放式基金业务规则》</w:t>
      </w:r>
    </w:p>
    <w:p w14:paraId="4BACFD92" w14:textId="7E853C2D"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49</w:t>
      </w:r>
      <w:r w:rsidR="00953581">
        <w:rPr>
          <w:rFonts w:ascii="Times New Roman" w:hAnsi="Times New Roman"/>
          <w:sz w:val="24"/>
        </w:rPr>
        <w:t>、认购：指在基金募集期间，基金投资者申请购买本</w:t>
      </w:r>
      <w:proofErr w:type="gramStart"/>
      <w:r w:rsidR="00953581">
        <w:rPr>
          <w:rFonts w:ascii="Times New Roman" w:hAnsi="Times New Roman"/>
          <w:sz w:val="24"/>
        </w:rPr>
        <w:t>基金基金</w:t>
      </w:r>
      <w:proofErr w:type="gramEnd"/>
      <w:r w:rsidR="00953581">
        <w:rPr>
          <w:rFonts w:ascii="Times New Roman" w:hAnsi="Times New Roman"/>
          <w:sz w:val="24"/>
        </w:rPr>
        <w:t>份额的行为</w:t>
      </w:r>
    </w:p>
    <w:p w14:paraId="46889675" w14:textId="58628441"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50</w:t>
      </w:r>
      <w:r w:rsidR="00953581">
        <w:rPr>
          <w:rFonts w:ascii="Times New Roman" w:hAnsi="Times New Roman"/>
          <w:sz w:val="24"/>
        </w:rPr>
        <w:t>、申购：指在基金存续期内，基金投资者申请购买本</w:t>
      </w:r>
      <w:proofErr w:type="gramStart"/>
      <w:r w:rsidR="00953581">
        <w:rPr>
          <w:rFonts w:ascii="Times New Roman" w:hAnsi="Times New Roman"/>
          <w:sz w:val="24"/>
        </w:rPr>
        <w:t>基金基金</w:t>
      </w:r>
      <w:proofErr w:type="gramEnd"/>
      <w:r w:rsidR="00953581">
        <w:rPr>
          <w:rFonts w:ascii="Times New Roman" w:hAnsi="Times New Roman"/>
          <w:sz w:val="24"/>
        </w:rPr>
        <w:t>份额的行为</w:t>
      </w:r>
    </w:p>
    <w:p w14:paraId="0100DB8D" w14:textId="56789FD5"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51</w:t>
      </w:r>
      <w:r w:rsidR="00953581">
        <w:rPr>
          <w:rFonts w:ascii="Times New Roman" w:hAnsi="Times New Roman"/>
          <w:sz w:val="24"/>
        </w:rPr>
        <w:t>、赎回：指在基金存续期内，基金份额持有人按基金合同规定的条件，要求卖回本</w:t>
      </w:r>
      <w:proofErr w:type="gramStart"/>
      <w:r w:rsidR="00953581">
        <w:rPr>
          <w:rFonts w:ascii="Times New Roman" w:hAnsi="Times New Roman"/>
          <w:sz w:val="24"/>
        </w:rPr>
        <w:t>基金基金</w:t>
      </w:r>
      <w:proofErr w:type="gramEnd"/>
      <w:r w:rsidR="00953581">
        <w:rPr>
          <w:rFonts w:ascii="Times New Roman" w:hAnsi="Times New Roman"/>
          <w:sz w:val="24"/>
        </w:rPr>
        <w:t>份额的行为</w:t>
      </w:r>
    </w:p>
    <w:p w14:paraId="18F369EC" w14:textId="6C988FA2"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52</w:t>
      </w:r>
      <w:r w:rsidR="00953581">
        <w:rPr>
          <w:rFonts w:ascii="Times New Roman" w:hAnsi="Times New Roman"/>
          <w:sz w:val="24"/>
        </w:rPr>
        <w:t>、标的指数：指上海证券交易所编制并发布的上证</w:t>
      </w:r>
      <w:r w:rsidR="00953581">
        <w:rPr>
          <w:rFonts w:ascii="Times New Roman" w:hAnsi="Times New Roman"/>
          <w:sz w:val="24"/>
        </w:rPr>
        <w:t>180</w:t>
      </w:r>
      <w:r w:rsidR="00953581">
        <w:rPr>
          <w:rFonts w:ascii="Times New Roman" w:hAnsi="Times New Roman"/>
          <w:sz w:val="24"/>
        </w:rPr>
        <w:t>公司治理指数及其未来可能发生的变更</w:t>
      </w:r>
    </w:p>
    <w:p w14:paraId="4D3330F7" w14:textId="33CB3137"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53</w:t>
      </w:r>
      <w:r w:rsidR="00953581">
        <w:rPr>
          <w:rFonts w:ascii="Times New Roman" w:hAnsi="Times New Roman"/>
          <w:sz w:val="24"/>
        </w:rPr>
        <w:t>、基金转换：指基金份额持有人按照基金合同和基金管理人届时的公告，在本</w:t>
      </w:r>
      <w:proofErr w:type="gramStart"/>
      <w:r w:rsidR="00953581">
        <w:rPr>
          <w:rFonts w:ascii="Times New Roman" w:hAnsi="Times New Roman"/>
          <w:sz w:val="24"/>
        </w:rPr>
        <w:t>基金基金</w:t>
      </w:r>
      <w:proofErr w:type="gramEnd"/>
      <w:r w:rsidR="00953581">
        <w:rPr>
          <w:rFonts w:ascii="Times New Roman" w:hAnsi="Times New Roman"/>
          <w:sz w:val="24"/>
        </w:rPr>
        <w:t>份额与基金管理人管理的，且由同一注册登记机构办理登记结算的其他</w:t>
      </w:r>
      <w:proofErr w:type="gramStart"/>
      <w:r w:rsidR="00953581">
        <w:rPr>
          <w:rFonts w:ascii="Times New Roman" w:hAnsi="Times New Roman"/>
          <w:sz w:val="24"/>
        </w:rPr>
        <w:t>基金基金</w:t>
      </w:r>
      <w:proofErr w:type="gramEnd"/>
      <w:r w:rsidR="00953581">
        <w:rPr>
          <w:rFonts w:ascii="Times New Roman" w:hAnsi="Times New Roman"/>
          <w:sz w:val="24"/>
        </w:rPr>
        <w:t>份额间进行的转换行为</w:t>
      </w:r>
    </w:p>
    <w:p w14:paraId="3FEA5BD8" w14:textId="152BCC19"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54</w:t>
      </w:r>
      <w:r w:rsidR="00953581">
        <w:rPr>
          <w:rFonts w:ascii="Times New Roman" w:hAnsi="Times New Roman"/>
          <w:sz w:val="24"/>
        </w:rPr>
        <w:t>、转托管：指基金份额持有人在本基金的不同销售机构之间实施变更所持基金份额销售机构的操作</w:t>
      </w:r>
    </w:p>
    <w:p w14:paraId="1CD2430A" w14:textId="4C4188A3"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55</w:t>
      </w:r>
      <w:r w:rsidR="00953581">
        <w:rPr>
          <w:rFonts w:ascii="Times New Roman" w:hAnsi="Times New Roman"/>
          <w:sz w:val="24"/>
        </w:rPr>
        <w:t>、定期定额投资计划：指投资者通过向有关销售机构提交申请，约定每期申购日、扣款金额及扣款方式，由指定的销售机构在投资者指定资金账户内自动扣款并于每期约定申购日提交基金申购申请的一种投资方式</w:t>
      </w:r>
    </w:p>
    <w:p w14:paraId="49629ABE" w14:textId="0923BFD7"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56</w:t>
      </w:r>
      <w:r w:rsidR="00953581">
        <w:rPr>
          <w:rFonts w:ascii="Times New Roman" w:hAnsi="Times New Roman"/>
          <w:sz w:val="24"/>
        </w:rPr>
        <w:t>、巨额赎回：本基金单个开放日，基金净赎回申请</w:t>
      </w:r>
      <w:r w:rsidR="00953581">
        <w:rPr>
          <w:rFonts w:ascii="Times New Roman" w:hAnsi="Times New Roman"/>
          <w:sz w:val="24"/>
        </w:rPr>
        <w:t>(</w:t>
      </w:r>
      <w:r w:rsidR="00953581">
        <w:rPr>
          <w:rFonts w:ascii="Times New Roman" w:hAnsi="Times New Roman"/>
          <w:sz w:val="24"/>
        </w:rPr>
        <w:t>赎回申请份额总数加上基金转换中转出申请份额总数后扣除申购申请份额总数及基金转换中转入申请份额总数后的余额</w:t>
      </w:r>
      <w:r w:rsidR="00953581">
        <w:rPr>
          <w:rFonts w:ascii="Times New Roman" w:hAnsi="Times New Roman"/>
          <w:sz w:val="24"/>
        </w:rPr>
        <w:t>)</w:t>
      </w:r>
      <w:r w:rsidR="00953581">
        <w:rPr>
          <w:rFonts w:ascii="Times New Roman" w:hAnsi="Times New Roman"/>
          <w:sz w:val="24"/>
        </w:rPr>
        <w:t>超过上一日基金总份额的</w:t>
      </w:r>
      <w:r w:rsidR="00953581">
        <w:rPr>
          <w:rFonts w:ascii="Times New Roman" w:hAnsi="Times New Roman"/>
          <w:sz w:val="24"/>
        </w:rPr>
        <w:t>10%</w:t>
      </w:r>
    </w:p>
    <w:p w14:paraId="66D74922" w14:textId="3B8360CA"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57</w:t>
      </w:r>
      <w:r w:rsidR="00953581">
        <w:rPr>
          <w:rFonts w:ascii="Times New Roman" w:hAnsi="Times New Roman"/>
          <w:sz w:val="24"/>
        </w:rPr>
        <w:t>、元：指人民币元</w:t>
      </w:r>
    </w:p>
    <w:p w14:paraId="6C1D7C95" w14:textId="3A24FC60"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58</w:t>
      </w:r>
      <w:r w:rsidR="00953581">
        <w:rPr>
          <w:rFonts w:ascii="Times New Roman" w:hAnsi="Times New Roman"/>
          <w:sz w:val="24"/>
        </w:rPr>
        <w:t>、基金利润：指基金投资所得红利、股息、债券利息、买卖证券价差、投资目标</w:t>
      </w:r>
      <w:r w:rsidR="00953581">
        <w:rPr>
          <w:rFonts w:ascii="Times New Roman" w:hAnsi="Times New Roman"/>
          <w:sz w:val="24"/>
        </w:rPr>
        <w:t>ETF</w:t>
      </w:r>
      <w:r w:rsidR="00953581">
        <w:rPr>
          <w:rFonts w:ascii="Times New Roman" w:hAnsi="Times New Roman"/>
          <w:sz w:val="24"/>
        </w:rPr>
        <w:t>份额所得收益、银行存款利息、已实现的其他合法收入及因运用基金财产带来的成本和费用的节约</w:t>
      </w:r>
    </w:p>
    <w:p w14:paraId="42415B29" w14:textId="37F2C44B"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59</w:t>
      </w:r>
      <w:r w:rsidR="00953581">
        <w:rPr>
          <w:rFonts w:ascii="Times New Roman" w:hAnsi="Times New Roman"/>
          <w:sz w:val="24"/>
        </w:rPr>
        <w:t>、基金资产总值：指基金拥有的包括目标</w:t>
      </w:r>
      <w:r w:rsidR="00953581">
        <w:rPr>
          <w:rFonts w:ascii="Times New Roman" w:hAnsi="Times New Roman"/>
          <w:sz w:val="24"/>
        </w:rPr>
        <w:t>ETF</w:t>
      </w:r>
      <w:r w:rsidR="00953581">
        <w:rPr>
          <w:rFonts w:ascii="Times New Roman" w:hAnsi="Times New Roman"/>
          <w:sz w:val="24"/>
        </w:rPr>
        <w:t>份额在内的各类有价证券、银行存款本息、基金应收申购款及其他资产的价值总和</w:t>
      </w:r>
    </w:p>
    <w:p w14:paraId="6053179F" w14:textId="77614DC8"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60</w:t>
      </w:r>
      <w:r w:rsidR="00953581">
        <w:rPr>
          <w:rFonts w:ascii="Times New Roman" w:hAnsi="Times New Roman"/>
          <w:sz w:val="24"/>
        </w:rPr>
        <w:t>、基金资产净值：指基金资产总值减去基金负债后的价值</w:t>
      </w:r>
    </w:p>
    <w:p w14:paraId="6EBE25E5" w14:textId="6AF1D802"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61</w:t>
      </w:r>
      <w:r w:rsidR="00953581">
        <w:rPr>
          <w:rFonts w:ascii="Times New Roman" w:hAnsi="Times New Roman"/>
          <w:sz w:val="24"/>
        </w:rPr>
        <w:t>、基金份额净值：指计算日基金资产净值除以计算日基金份额总数的数值</w:t>
      </w:r>
    </w:p>
    <w:p w14:paraId="0FC0BB0E" w14:textId="5AF8A35C"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62</w:t>
      </w:r>
      <w:r w:rsidR="00953581">
        <w:rPr>
          <w:rFonts w:ascii="Times New Roman" w:hAnsi="Times New Roman"/>
          <w:sz w:val="24"/>
        </w:rPr>
        <w:t>、基金资产估值：指计算评估基金资产和负债的价值，以确定基金资产净值和基金份额净值的过程</w:t>
      </w:r>
    </w:p>
    <w:p w14:paraId="6FD4BB1C" w14:textId="0F9FEA26"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63</w:t>
      </w:r>
      <w:r w:rsidR="00953581">
        <w:rPr>
          <w:rFonts w:ascii="Times New Roman" w:hAnsi="Times New Roman"/>
          <w:sz w:val="24"/>
        </w:rPr>
        <w:t>、流动性受限资产：指由于法律法规、监管、合同或操作障碍等原因无法以合理价格予以变现的资产，包括但不限于到期日在</w:t>
      </w:r>
      <w:r w:rsidR="00953581">
        <w:rPr>
          <w:rFonts w:ascii="Times New Roman" w:hAnsi="Times New Roman"/>
          <w:sz w:val="24"/>
        </w:rPr>
        <w:t>10</w:t>
      </w:r>
      <w:r w:rsidR="00953581">
        <w:rPr>
          <w:rFonts w:ascii="Times New Roman" w:hAnsi="Times New Roman"/>
          <w:sz w:val="24"/>
        </w:rPr>
        <w:t>个交易日以上的逆回购与银行定期存款（</w:t>
      </w:r>
      <w:proofErr w:type="gramStart"/>
      <w:r w:rsidR="00953581">
        <w:rPr>
          <w:rFonts w:ascii="Times New Roman" w:hAnsi="Times New Roman"/>
          <w:sz w:val="24"/>
        </w:rPr>
        <w:t>含协议</w:t>
      </w:r>
      <w:proofErr w:type="gramEnd"/>
      <w:r w:rsidR="00953581">
        <w:rPr>
          <w:rFonts w:ascii="Times New Roman" w:hAnsi="Times New Roman"/>
          <w:sz w:val="24"/>
        </w:rPr>
        <w:t>约定有条件提前支取的银行存款）、停牌股票、流通受限的新股及非公开发行股票、资产支持证券、因发行人债务违约无法进行转让或交易的债券等</w:t>
      </w:r>
    </w:p>
    <w:p w14:paraId="4F1B15C2" w14:textId="04E67299"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64</w:t>
      </w:r>
      <w:r w:rsidR="00953581">
        <w:rPr>
          <w:rFonts w:ascii="Times New Roman" w:hAnsi="Times New Roman"/>
          <w:sz w:val="24"/>
        </w:rPr>
        <w:t>、指定媒介：指中国证监会指定的用以进行信息披露的全国性报刊及指定互联网网站（包括基金管理人网站、基金托管人网站、中国证监会基金电子披露网站）等媒介</w:t>
      </w:r>
    </w:p>
    <w:p w14:paraId="5D1EA597" w14:textId="17C7134D" w:rsidR="009A30E5" w:rsidRDefault="00507A4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65</w:t>
      </w:r>
      <w:r w:rsidR="00953581">
        <w:rPr>
          <w:rFonts w:ascii="Times New Roman" w:hAnsi="Times New Roman"/>
          <w:sz w:val="24"/>
        </w:rPr>
        <w:t>、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7BC38431"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B3530D" w14:textId="77777777" w:rsidR="009A30E5" w:rsidRDefault="00953581">
      <w:pPr>
        <w:pStyle w:val="1"/>
        <w:snapToGrid w:val="0"/>
        <w:spacing w:beforeLines="0" w:before="240" w:after="240"/>
        <w:rPr>
          <w:rFonts w:ascii="宋体" w:hAnsi="宋体"/>
          <w:szCs w:val="30"/>
        </w:rPr>
      </w:pPr>
      <w:bookmarkStart w:id="5" w:name="_Toc59040198"/>
      <w:r>
        <w:rPr>
          <w:rFonts w:ascii="Times New Roman" w:hAnsi="Times New Roman"/>
          <w:sz w:val="30"/>
        </w:rPr>
        <w:lastRenderedPageBreak/>
        <w:t>三、基金管理人</w:t>
      </w:r>
      <w:bookmarkEnd w:id="5"/>
    </w:p>
    <w:p w14:paraId="7885C7F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14:paraId="3F54B84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302D5C9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5745276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14:paraId="1305768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53A015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3F6FF76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457376F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79A803A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3DA0E5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6089875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1719588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42657FD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w:t>
      </w:r>
      <w:proofErr w:type="gramStart"/>
      <w:r>
        <w:rPr>
          <w:rFonts w:ascii="Times New Roman" w:hAnsi="Times New Roman"/>
          <w:sz w:val="24"/>
        </w:rPr>
        <w:t>监基金字</w:t>
      </w:r>
      <w:proofErr w:type="gramEnd"/>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9A30E5" w14:paraId="537C6E6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AE73F2A"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46F0E1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9A30E5" w14:paraId="051F47A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7A474C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B1FFC50"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9A30E5" w14:paraId="1CF1984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C0BB8AB"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8B82F0C"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9A30E5" w14:paraId="20C128B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B6CC3F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6A706EB"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2D4473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14:paraId="35FFF51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14:paraId="3769AA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BCB4115"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陈朝灯先生</w:t>
      </w:r>
      <w:proofErr w:type="gramEnd"/>
      <w:r>
        <w:rPr>
          <w:rFonts w:ascii="Times New Roman" w:hAnsi="Times New Roman"/>
          <w:sz w:val="24"/>
        </w:rPr>
        <w:t>，副董事长，博士。现任施罗德证券投资信托股份有限公司投资总监兼专户管理部主管。历任复华证券投资信托股份有限公司专户投资经理，景顺证券投资信托股份有限公司部门主管、投资总监。</w:t>
      </w:r>
    </w:p>
    <w:p w14:paraId="6F8CBA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w:t>
      </w:r>
      <w:proofErr w:type="gramStart"/>
      <w:r>
        <w:rPr>
          <w:rFonts w:ascii="Times New Roman" w:hAnsi="Times New Roman"/>
          <w:sz w:val="24"/>
        </w:rPr>
        <w:t>兼风险</w:t>
      </w:r>
      <w:proofErr w:type="gramEnd"/>
      <w:r>
        <w:rPr>
          <w:rFonts w:ascii="Times New Roman" w:hAnsi="Times New Roman"/>
          <w:sz w:val="24"/>
        </w:rPr>
        <w:t>管理部副总经理。历任交通银行湖南省分行风险管理部、资产保全部、法律合</w:t>
      </w:r>
      <w:proofErr w:type="gramStart"/>
      <w:r>
        <w:rPr>
          <w:rFonts w:ascii="Times New Roman" w:hAnsi="Times New Roman"/>
          <w:sz w:val="24"/>
        </w:rPr>
        <w:t>规</w:t>
      </w:r>
      <w:proofErr w:type="gramEnd"/>
      <w:r>
        <w:rPr>
          <w:rFonts w:ascii="Times New Roman" w:hAnsi="Times New Roman"/>
          <w:sz w:val="24"/>
        </w:rPr>
        <w:t>部、</w:t>
      </w:r>
      <w:r>
        <w:rPr>
          <w:rFonts w:ascii="Times New Roman" w:hAnsi="Times New Roman"/>
          <w:sz w:val="24"/>
        </w:rPr>
        <w:lastRenderedPageBreak/>
        <w:t>个人金融业务部总经理，交通银行总行个人金融业务部总经理助理。</w:t>
      </w:r>
    </w:p>
    <w:p w14:paraId="04CAE6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w:t>
      </w:r>
      <w:proofErr w:type="gramStart"/>
      <w:r>
        <w:rPr>
          <w:rFonts w:ascii="Times New Roman" w:hAnsi="Times New Roman"/>
          <w:sz w:val="24"/>
        </w:rPr>
        <w:t>内控案防</w:t>
      </w:r>
      <w:proofErr w:type="gramEnd"/>
      <w:r>
        <w:rPr>
          <w:rFonts w:ascii="Times New Roman" w:hAnsi="Times New Roman"/>
          <w:sz w:val="24"/>
        </w:rPr>
        <w:t>办副主任。历任风险管理部副高级经理、高级经理，交通银行广西区柳州分行副行长，交通银行内蒙古区分行行长助理，交通银行总行风险管理部（资产保全部）副总经理。</w:t>
      </w:r>
    </w:p>
    <w:p w14:paraId="76F321B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8617DB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 xml:space="preserve">Lieven </w:t>
      </w:r>
      <w:proofErr w:type="spellStart"/>
      <w:r>
        <w:rPr>
          <w:rFonts w:ascii="Times New Roman" w:hAnsi="Times New Roman"/>
          <w:sz w:val="24"/>
        </w:rPr>
        <w:t>Debruyne</w:t>
      </w:r>
      <w:proofErr w:type="spellEnd"/>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7F1FADD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w:t>
      </w:r>
      <w:proofErr w:type="gramStart"/>
      <w:r>
        <w:rPr>
          <w:rFonts w:ascii="Times New Roman" w:hAnsi="Times New Roman"/>
          <w:sz w:val="24"/>
        </w:rPr>
        <w:t>非银司副</w:t>
      </w:r>
      <w:proofErr w:type="gramEnd"/>
      <w:r>
        <w:rPr>
          <w:rFonts w:ascii="Times New Roman" w:hAnsi="Times New Roman"/>
          <w:sz w:val="24"/>
        </w:rPr>
        <w:t>巡视员、副司长，银监会</w:t>
      </w:r>
      <w:proofErr w:type="gramStart"/>
      <w:r>
        <w:rPr>
          <w:rFonts w:ascii="Times New Roman" w:hAnsi="Times New Roman"/>
          <w:sz w:val="24"/>
        </w:rPr>
        <w:t>非银部副</w:t>
      </w:r>
      <w:proofErr w:type="gramEnd"/>
      <w:r>
        <w:rPr>
          <w:rFonts w:ascii="Times New Roman" w:hAnsi="Times New Roman"/>
          <w:sz w:val="24"/>
        </w:rPr>
        <w:t>主任，银行监管一部副主任、巡视员，汇金公司派出董事。</w:t>
      </w:r>
    </w:p>
    <w:p w14:paraId="7D5DEA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w:t>
      </w:r>
      <w:proofErr w:type="gramStart"/>
      <w:r>
        <w:rPr>
          <w:rFonts w:ascii="Times New Roman" w:hAnsi="Times New Roman"/>
          <w:sz w:val="24"/>
        </w:rPr>
        <w:t>大学民商经济</w:t>
      </w:r>
      <w:proofErr w:type="gramEnd"/>
      <w:r>
        <w:rPr>
          <w:rFonts w:ascii="Times New Roman" w:hAnsi="Times New Roman"/>
          <w:sz w:val="24"/>
        </w:rPr>
        <w:t>法学院教授，兼任基金业协会自律监察委员会委员。历任证监会办公厅副处长、上市公司</w:t>
      </w:r>
      <w:proofErr w:type="gramStart"/>
      <w:r>
        <w:rPr>
          <w:rFonts w:ascii="Times New Roman" w:hAnsi="Times New Roman"/>
          <w:sz w:val="24"/>
        </w:rPr>
        <w:t>监管部</w:t>
      </w:r>
      <w:proofErr w:type="gramEnd"/>
      <w:r>
        <w:rPr>
          <w:rFonts w:ascii="Times New Roman" w:hAnsi="Times New Roman"/>
          <w:sz w:val="24"/>
        </w:rPr>
        <w:t>处长、行政处罚委员会专职委员、副主任审理员，兼任证监会上市公司并购重组审核委员会委员、行政复议委员会委员。</w:t>
      </w:r>
    </w:p>
    <w:p w14:paraId="17067E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w:t>
      </w:r>
      <w:proofErr w:type="gramStart"/>
      <w:r>
        <w:rPr>
          <w:rFonts w:ascii="Times New Roman" w:hAnsi="Times New Roman"/>
          <w:sz w:val="24"/>
        </w:rPr>
        <w:t>江学者</w:t>
      </w:r>
      <w:proofErr w:type="gramEnd"/>
      <w:r>
        <w:rPr>
          <w:rFonts w:ascii="Times New Roman" w:hAnsi="Times New Roman"/>
          <w:sz w:val="24"/>
        </w:rPr>
        <w:t>讲座教授。现任香港大学工业工程系荣誉教授，亚洲风险</w:t>
      </w:r>
      <w:proofErr w:type="gramStart"/>
      <w:r>
        <w:rPr>
          <w:rFonts w:ascii="Times New Roman" w:hAnsi="Times New Roman"/>
          <w:sz w:val="24"/>
        </w:rPr>
        <w:t>及危机</w:t>
      </w:r>
      <w:proofErr w:type="gramEnd"/>
      <w:r>
        <w:rPr>
          <w:rFonts w:ascii="Times New Roman" w:hAnsi="Times New Roman"/>
          <w:sz w:val="24"/>
        </w:rPr>
        <w:t>管理协会主席，兼任深交所上市的中联重科集团独立非执行董事。历任香港城市大学管理科学讲座教授，湖南省政协委员并兼任湖南大学工商管理学院院长。</w:t>
      </w:r>
    </w:p>
    <w:p w14:paraId="6F1FFF4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14:paraId="39927A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w:t>
      </w:r>
      <w:proofErr w:type="gramStart"/>
      <w:r>
        <w:rPr>
          <w:rFonts w:ascii="Times New Roman" w:hAnsi="Times New Roman"/>
          <w:sz w:val="24"/>
        </w:rPr>
        <w:t>银金融</w:t>
      </w:r>
      <w:proofErr w:type="gramEnd"/>
      <w:r>
        <w:rPr>
          <w:rFonts w:ascii="Times New Roman" w:hAnsi="Times New Roman"/>
          <w:sz w:val="24"/>
        </w:rPr>
        <w:t>学院常务副院长，交通银行人力资源部副总经理、教育培训部总经理。历任交通银行办公室副处长，交通银行公司业务部副处长、高级经理、总经理助理、副总经理，交通银行投资银行部副总经理，</w:t>
      </w:r>
      <w:r>
        <w:rPr>
          <w:rFonts w:ascii="Times New Roman" w:hAnsi="Times New Roman"/>
          <w:sz w:val="24"/>
        </w:rPr>
        <w:lastRenderedPageBreak/>
        <w:t>交通银行江苏分行副行长，交通银行战略投资部总经理。</w:t>
      </w:r>
    </w:p>
    <w:p w14:paraId="436F83D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w:t>
      </w:r>
      <w:proofErr w:type="gramStart"/>
      <w:r>
        <w:rPr>
          <w:rFonts w:ascii="Times New Roman" w:hAnsi="Times New Roman"/>
          <w:sz w:val="24"/>
        </w:rPr>
        <w:t>志奋领</w:t>
      </w:r>
      <w:proofErr w:type="gramEnd"/>
      <w:r>
        <w:rPr>
          <w:rFonts w:ascii="Times New Roman" w:hAnsi="Times New Roman"/>
          <w:sz w:val="24"/>
        </w:rPr>
        <w:t>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14:paraId="2821733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64E1A5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w:t>
      </w:r>
      <w:proofErr w:type="gramStart"/>
      <w:r>
        <w:rPr>
          <w:rFonts w:ascii="Times New Roman" w:hAnsi="Times New Roman"/>
          <w:sz w:val="24"/>
        </w:rPr>
        <w:t>兼产品</w:t>
      </w:r>
      <w:proofErr w:type="gramEnd"/>
      <w:r>
        <w:rPr>
          <w:rFonts w:ascii="Times New Roman" w:hAnsi="Times New Roman"/>
          <w:sz w:val="24"/>
        </w:rPr>
        <w:t>开发部总经理。历任平安人寿保险公司上海分公司行政督导、营销管理经理，交银施罗德基金管理有限公司行政部总经理助理、西部营销中心总经理。</w:t>
      </w:r>
    </w:p>
    <w:p w14:paraId="1D54494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458BF6F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14:paraId="258D66B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CA9B12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4FCF92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Pr>
          <w:rFonts w:ascii="Times New Roman" w:hAnsi="Times New Roman"/>
          <w:sz w:val="24"/>
        </w:rPr>
        <w:t>财荷银基金</w:t>
      </w:r>
      <w:proofErr w:type="gramEnd"/>
      <w:r>
        <w:rPr>
          <w:rFonts w:ascii="Times New Roman" w:hAnsi="Times New Roman"/>
          <w:sz w:val="24"/>
        </w:rPr>
        <w:t>管理有限公司副总经理。</w:t>
      </w:r>
    </w:p>
    <w:p w14:paraId="07EE656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Times New Roman" w:hAnsi="Times New Roman"/>
          <w:sz w:val="24"/>
        </w:rPr>
        <w:t>风控副</w:t>
      </w:r>
      <w:proofErr w:type="gramEnd"/>
      <w:r>
        <w:rPr>
          <w:rFonts w:ascii="Times New Roman" w:hAnsi="Times New Roman"/>
          <w:sz w:val="24"/>
        </w:rPr>
        <w:t>总监、投资运营总监。</w:t>
      </w:r>
    </w:p>
    <w:p w14:paraId="5FB4979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经理</w:t>
      </w:r>
    </w:p>
    <w:p w14:paraId="2E27D1F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蔡铮先生，基金经理。复旦大学电子工程硕士，</w:t>
      </w:r>
      <w:r>
        <w:rPr>
          <w:rFonts w:ascii="Times New Roman" w:hAnsi="Times New Roman"/>
          <w:sz w:val="24"/>
        </w:rPr>
        <w:t>11</w:t>
      </w:r>
      <w:r>
        <w:rPr>
          <w:rFonts w:ascii="Times New Roman" w:hAnsi="Times New Roman"/>
          <w:sz w:val="24"/>
        </w:rPr>
        <w:t>年证券从业经验。</w:t>
      </w:r>
      <w:r>
        <w:rPr>
          <w:rFonts w:ascii="Times New Roman" w:hAnsi="Times New Roman"/>
          <w:sz w:val="24"/>
        </w:rPr>
        <w:t>2007</w:t>
      </w:r>
      <w:r>
        <w:rPr>
          <w:rFonts w:ascii="Times New Roman" w:hAnsi="Times New Roman"/>
          <w:sz w:val="24"/>
        </w:rPr>
        <w:t>年起</w:t>
      </w:r>
      <w:r>
        <w:rPr>
          <w:rFonts w:ascii="Times New Roman" w:hAnsi="Times New Roman"/>
          <w:sz w:val="24"/>
        </w:rPr>
        <w:lastRenderedPageBreak/>
        <w:t>在瑞士银行香港分行工作。</w:t>
      </w:r>
      <w:r>
        <w:rPr>
          <w:rFonts w:ascii="Times New Roman" w:hAnsi="Times New Roman"/>
          <w:sz w:val="24"/>
        </w:rPr>
        <w:t>2009</w:t>
      </w:r>
      <w:r>
        <w:rPr>
          <w:rFonts w:ascii="Times New Roman" w:hAnsi="Times New Roman"/>
          <w:sz w:val="24"/>
        </w:rPr>
        <w:t>年加入交银施罗德基金管理有限公司，曾任投资研究部数量分析师、量化投资部助理总经理、量化投资部副总经理，现任量化投资副总监兼多元资产管理副总监、基金经理。曾</w:t>
      </w:r>
      <w:proofErr w:type="gramStart"/>
      <w:r>
        <w:rPr>
          <w:rFonts w:ascii="Times New Roman" w:hAnsi="Times New Roman"/>
          <w:sz w:val="24"/>
        </w:rPr>
        <w:t>任基金</w:t>
      </w:r>
      <w:proofErr w:type="gramEnd"/>
      <w:r>
        <w:rPr>
          <w:rFonts w:ascii="Times New Roman" w:hAnsi="Times New Roman"/>
          <w:sz w:val="24"/>
        </w:rPr>
        <w:t>经理助理、交银施罗德沪深</w:t>
      </w:r>
      <w:r>
        <w:rPr>
          <w:rFonts w:ascii="Times New Roman" w:hAnsi="Times New Roman"/>
          <w:sz w:val="24"/>
        </w:rPr>
        <w:t>300</w:t>
      </w:r>
      <w:r>
        <w:rPr>
          <w:rFonts w:ascii="Times New Roman" w:hAnsi="Times New Roman"/>
          <w:sz w:val="24"/>
        </w:rPr>
        <w:t>行业分层等权重指数证券投资基金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w:t>
      </w:r>
      <w:r>
        <w:rPr>
          <w:rFonts w:ascii="Times New Roman" w:hAnsi="Times New Roman"/>
          <w:sz w:val="24"/>
        </w:rPr>
        <w:t>、交银施罗德环球精选价值证券投资基金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、交银施罗德全球自然资源证券投资基金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、交银施罗德中</w:t>
      </w:r>
      <w:proofErr w:type="gramStart"/>
      <w:r>
        <w:rPr>
          <w:rFonts w:ascii="Times New Roman" w:hAnsi="Times New Roman"/>
          <w:sz w:val="24"/>
        </w:rPr>
        <w:t>证环境</w:t>
      </w:r>
      <w:proofErr w:type="gramEnd"/>
      <w:r>
        <w:rPr>
          <w:rFonts w:ascii="Times New Roman" w:hAnsi="Times New Roman"/>
          <w:sz w:val="24"/>
        </w:rPr>
        <w:t>治理指数分级证券投资基金（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13</w:t>
      </w:r>
      <w:r>
        <w:rPr>
          <w:rFonts w:ascii="Times New Roman" w:hAnsi="Times New Roman"/>
          <w:sz w:val="24"/>
        </w:rPr>
        <w:t>日至</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18</w:t>
      </w:r>
      <w:r>
        <w:rPr>
          <w:rFonts w:ascii="Times New Roman" w:hAnsi="Times New Roman"/>
          <w:sz w:val="24"/>
        </w:rPr>
        <w:t>日）、交银施罗德致远</w:t>
      </w:r>
      <w:proofErr w:type="gramStart"/>
      <w:r>
        <w:rPr>
          <w:rFonts w:ascii="Times New Roman" w:hAnsi="Times New Roman"/>
          <w:sz w:val="24"/>
        </w:rPr>
        <w:t>量化智投策略</w:t>
      </w:r>
      <w:proofErr w:type="gramEnd"/>
      <w:r>
        <w:rPr>
          <w:rFonts w:ascii="Times New Roman" w:hAnsi="Times New Roman"/>
          <w:sz w:val="24"/>
        </w:rPr>
        <w:t>定期开放混合型证券投资基金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17</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w:t>
      </w:r>
      <w:proofErr w:type="gramStart"/>
      <w:r>
        <w:rPr>
          <w:rFonts w:ascii="Times New Roman" w:hAnsi="Times New Roman"/>
          <w:sz w:val="24"/>
        </w:rPr>
        <w:t>交银施罗</w:t>
      </w:r>
      <w:proofErr w:type="gramEnd"/>
      <w:r>
        <w:rPr>
          <w:rFonts w:ascii="Times New Roman" w:hAnsi="Times New Roman"/>
          <w:sz w:val="24"/>
        </w:rPr>
        <w:t>德国证新能源指数分级证券投资基金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w:t>
      </w:r>
      <w:proofErr w:type="gramStart"/>
      <w:r>
        <w:rPr>
          <w:rFonts w:ascii="Times New Roman" w:hAnsi="Times New Roman"/>
          <w:sz w:val="24"/>
        </w:rPr>
        <w:t>证海外</w:t>
      </w:r>
      <w:proofErr w:type="gramEnd"/>
      <w:r>
        <w:rPr>
          <w:rFonts w:ascii="Times New Roman" w:hAnsi="Times New Roman"/>
          <w:sz w:val="24"/>
        </w:rPr>
        <w:t>中国互联网指数型证券投资基金</w:t>
      </w:r>
      <w:r>
        <w:rPr>
          <w:rFonts w:ascii="Times New Roman" w:hAnsi="Times New Roman"/>
          <w:sz w:val="24"/>
        </w:rPr>
        <w:t>(LOF)(2015</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、交银施罗德中证互联网金融指数分级证券投资基金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w:t>
      </w:r>
      <w:proofErr w:type="gramStart"/>
      <w:r>
        <w:rPr>
          <w:rFonts w:ascii="Times New Roman" w:hAnsi="Times New Roman"/>
          <w:sz w:val="24"/>
        </w:rPr>
        <w:t>证环境</w:t>
      </w:r>
      <w:proofErr w:type="gramEnd"/>
      <w:r>
        <w:rPr>
          <w:rFonts w:ascii="Times New Roman" w:hAnsi="Times New Roman"/>
          <w:sz w:val="24"/>
        </w:rPr>
        <w:t>治理指数型证券投资基金（</w:t>
      </w:r>
      <w:r>
        <w:rPr>
          <w:rFonts w:ascii="Times New Roman" w:hAnsi="Times New Roman"/>
          <w:sz w:val="24"/>
        </w:rPr>
        <w:t>LOF</w:t>
      </w: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19</w:t>
      </w:r>
      <w:r>
        <w:rPr>
          <w:rFonts w:ascii="Times New Roman" w:hAnsi="Times New Roman"/>
          <w:sz w:val="24"/>
        </w:rPr>
        <w:t>日至今</w:t>
      </w:r>
      <w:r>
        <w:rPr>
          <w:rFonts w:ascii="Times New Roman" w:hAnsi="Times New Roman"/>
          <w:sz w:val="24"/>
        </w:rPr>
        <w:t>)</w:t>
      </w: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48AF02B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历任基金经理</w:t>
      </w:r>
    </w:p>
    <w:p w14:paraId="7D0713D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屈乐伟先生，</w:t>
      </w:r>
      <w:r>
        <w:rPr>
          <w:rFonts w:ascii="Times New Roman" w:hAnsi="Times New Roman"/>
          <w:sz w:val="24"/>
        </w:rPr>
        <w:t>2009</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29</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29</w:t>
      </w:r>
      <w:r>
        <w:rPr>
          <w:rFonts w:ascii="Times New Roman" w:hAnsi="Times New Roman"/>
          <w:sz w:val="24"/>
        </w:rPr>
        <w:t>日任本</w:t>
      </w:r>
      <w:proofErr w:type="gramStart"/>
      <w:r>
        <w:rPr>
          <w:rFonts w:ascii="Times New Roman" w:hAnsi="Times New Roman"/>
          <w:sz w:val="24"/>
        </w:rPr>
        <w:t>基金基金</w:t>
      </w:r>
      <w:proofErr w:type="gramEnd"/>
      <w:r>
        <w:rPr>
          <w:rFonts w:ascii="Times New Roman" w:hAnsi="Times New Roman"/>
          <w:sz w:val="24"/>
        </w:rPr>
        <w:t>经理</w:t>
      </w:r>
    </w:p>
    <w:p w14:paraId="1391339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14:paraId="4475E87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14:paraId="7A644D0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14:paraId="74EB4AD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14:paraId="01A444A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14:paraId="15EB577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10</w:t>
      </w:r>
      <w:r>
        <w:rPr>
          <w:rFonts w:ascii="Times New Roman" w:hAnsi="Times New Roman"/>
          <w:sz w:val="24"/>
        </w:rPr>
        <w:t>日，期后变动（如有）敬请关注基金管理人发布的相关公告。</w:t>
      </w:r>
    </w:p>
    <w:p w14:paraId="008780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14:paraId="695573F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14:paraId="0E4E1D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65DD6AA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、对所管理的不同基金财产分别管理、分别记账，进行证券投资；</w:t>
      </w:r>
    </w:p>
    <w:p w14:paraId="7A52472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4181DC3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2DE949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69B1A2B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5EBC76C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14:paraId="7F25E6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、召集基金份额持有人大会；</w:t>
      </w:r>
    </w:p>
    <w:p w14:paraId="6BFDCD1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02B1774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6D3967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4E40FCB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14:paraId="2E2BD3A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14:paraId="6264232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36A4AB4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664C0A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0E49264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274E973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0D0CB50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14:paraId="3B89E4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3419625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4CDF174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258CA6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14:paraId="1FDF66E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587BEF1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、不利用职务之便为自己、受雇人或任何第三者谋取利益；</w:t>
      </w:r>
    </w:p>
    <w:p w14:paraId="2590BF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14:paraId="3D085E7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051CE57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14:paraId="409C68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14:paraId="4B70B8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）全面性原则</w:t>
      </w:r>
    </w:p>
    <w:p w14:paraId="3E52115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14:paraId="6D70BE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）独立性原则</w:t>
      </w:r>
    </w:p>
    <w:p w14:paraId="193DAB2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6DDCD8E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）相互制约原则</w:t>
      </w:r>
    </w:p>
    <w:p w14:paraId="4C7A03E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7FF4F45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）定性和定量相结合原则</w:t>
      </w:r>
    </w:p>
    <w:p w14:paraId="734F4AC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14:paraId="43F4C11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1FA0282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5E3165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14:paraId="2800060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14:paraId="23F469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14:paraId="7283123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295F35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w:t>
      </w:r>
      <w:proofErr w:type="gramStart"/>
      <w:r>
        <w:rPr>
          <w:rFonts w:ascii="Times New Roman" w:hAnsi="Times New Roman"/>
          <w:sz w:val="24"/>
        </w:rPr>
        <w:t>规</w:t>
      </w:r>
      <w:proofErr w:type="gramEnd"/>
      <w:r>
        <w:rPr>
          <w:rFonts w:ascii="Times New Roman" w:hAnsi="Times New Roman"/>
          <w:sz w:val="24"/>
        </w:rPr>
        <w:t>审核及风险管理委员会</w:t>
      </w:r>
    </w:p>
    <w:p w14:paraId="4494683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w:t>
      </w:r>
      <w:proofErr w:type="gramStart"/>
      <w:r>
        <w:rPr>
          <w:rFonts w:ascii="Times New Roman" w:hAnsi="Times New Roman"/>
          <w:sz w:val="24"/>
        </w:rPr>
        <w:t>规</w:t>
      </w:r>
      <w:proofErr w:type="gramEnd"/>
      <w:r>
        <w:rPr>
          <w:rFonts w:ascii="Times New Roman" w:hAnsi="Times New Roman"/>
          <w:sz w:val="24"/>
        </w:rPr>
        <w:t>性审议；对公司资产与基金资产的经营进行评估。</w:t>
      </w:r>
    </w:p>
    <w:p w14:paraId="0C6EAB0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14:paraId="0CA2C82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5BE4B5D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14:paraId="7020CB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35356C0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14:paraId="5D7D21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47C169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477BF4A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Times New Roman" w:hAnsi="Times New Roman"/>
          <w:sz w:val="24"/>
        </w:rPr>
        <w:t>规</w:t>
      </w:r>
      <w:proofErr w:type="gramEnd"/>
      <w:r>
        <w:rPr>
          <w:rFonts w:ascii="Times New Roman" w:hAnsi="Times New Roman"/>
          <w:sz w:val="24"/>
        </w:rPr>
        <w:t>经营目标。</w:t>
      </w:r>
    </w:p>
    <w:p w14:paraId="796480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w:t>
      </w:r>
      <w:proofErr w:type="gramStart"/>
      <w:r>
        <w:rPr>
          <w:rFonts w:ascii="Times New Roman" w:hAnsi="Times New Roman"/>
          <w:sz w:val="24"/>
        </w:rPr>
        <w:t>规</w:t>
      </w:r>
      <w:proofErr w:type="gramEnd"/>
      <w:r>
        <w:rPr>
          <w:rFonts w:ascii="Times New Roman" w:hAnsi="Times New Roman"/>
          <w:sz w:val="24"/>
        </w:rPr>
        <w:t>部</w:t>
      </w:r>
    </w:p>
    <w:p w14:paraId="1F9FE1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w:t>
      </w:r>
      <w:proofErr w:type="gramStart"/>
      <w:r>
        <w:rPr>
          <w:rFonts w:ascii="Times New Roman" w:hAnsi="Times New Roman"/>
          <w:sz w:val="24"/>
        </w:rPr>
        <w:t>规</w:t>
      </w:r>
      <w:proofErr w:type="gramEnd"/>
      <w:r>
        <w:rPr>
          <w:rFonts w:ascii="Times New Roman" w:hAnsi="Times New Roman"/>
          <w:sz w:val="24"/>
        </w:rPr>
        <w:t>部负责公司的法律、合</w:t>
      </w:r>
      <w:proofErr w:type="gramStart"/>
      <w:r>
        <w:rPr>
          <w:rFonts w:ascii="Times New Roman" w:hAnsi="Times New Roman"/>
          <w:sz w:val="24"/>
        </w:rPr>
        <w:t>规</w:t>
      </w:r>
      <w:proofErr w:type="gramEnd"/>
      <w:r>
        <w:rPr>
          <w:rFonts w:ascii="Times New Roman" w:hAnsi="Times New Roman"/>
          <w:sz w:val="24"/>
        </w:rPr>
        <w:t>事务及协调实施信息披露事务，依法维护公司合法权益，评估并处理公司运营中发生的法律、合</w:t>
      </w:r>
      <w:proofErr w:type="gramStart"/>
      <w:r>
        <w:rPr>
          <w:rFonts w:ascii="Times New Roman" w:hAnsi="Times New Roman"/>
          <w:sz w:val="24"/>
        </w:rPr>
        <w:t>规</w:t>
      </w:r>
      <w:proofErr w:type="gramEnd"/>
      <w:r>
        <w:rPr>
          <w:rFonts w:ascii="Times New Roman" w:hAnsi="Times New Roman"/>
          <w:sz w:val="24"/>
        </w:rPr>
        <w:t>及信息披露相关问题，及时向公司管理层及全体员工传达法规及监管要求。</w:t>
      </w:r>
    </w:p>
    <w:p w14:paraId="53A5D6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1C23D23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25441AF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40CA414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14:paraId="2A38183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4504D4E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）建立相互分离、相互制衡的内控机制</w:t>
      </w:r>
    </w:p>
    <w:p w14:paraId="6567CE1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建立、健全了各项制度，做到基金经理分开，投资决策分开，基金交易集中，形成不同部门、不同岗位之间的制衡机制，从制度上减少和防范风险。</w:t>
      </w:r>
    </w:p>
    <w:p w14:paraId="5A597E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14:paraId="366723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14:paraId="2DCF006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14:paraId="794E4CB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Times New Roman" w:hAnsi="Times New Roman"/>
          <w:sz w:val="24"/>
        </w:rPr>
        <w:t>作出</w:t>
      </w:r>
      <w:proofErr w:type="gramEnd"/>
      <w:r>
        <w:rPr>
          <w:rFonts w:ascii="Times New Roman" w:hAnsi="Times New Roman"/>
          <w:sz w:val="24"/>
        </w:rPr>
        <w:t>决策。</w:t>
      </w:r>
    </w:p>
    <w:p w14:paraId="4BE32E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14:paraId="657AD82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34C36E9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14:paraId="48758A1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603E7C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14:paraId="5837472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14:paraId="5BB22EF6"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C0743F" w14:textId="77777777" w:rsidR="009A30E5" w:rsidRDefault="00953581">
      <w:pPr>
        <w:pStyle w:val="1"/>
        <w:snapToGrid w:val="0"/>
        <w:spacing w:beforeLines="0" w:before="240" w:after="240"/>
        <w:rPr>
          <w:rFonts w:ascii="宋体" w:hAnsi="宋体"/>
          <w:szCs w:val="30"/>
        </w:rPr>
      </w:pPr>
      <w:bookmarkStart w:id="6" w:name="_Toc59040199"/>
      <w:r>
        <w:rPr>
          <w:rFonts w:ascii="Times New Roman" w:hAnsi="Times New Roman"/>
          <w:sz w:val="30"/>
        </w:rPr>
        <w:lastRenderedPageBreak/>
        <w:t>四、基金托管人</w:t>
      </w:r>
      <w:bookmarkEnd w:id="6"/>
    </w:p>
    <w:p w14:paraId="3B388FC5"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14:paraId="03F04E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14:paraId="34F538B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14:paraId="3E8CDE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3D468C4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w:t>
      </w:r>
      <w:proofErr w:type="gramStart"/>
      <w:r>
        <w:rPr>
          <w:rFonts w:ascii="Times New Roman" w:hAnsi="Times New Roman"/>
          <w:sz w:val="24"/>
        </w:rPr>
        <w:t>凯</w:t>
      </w:r>
      <w:proofErr w:type="gramEnd"/>
      <w:r>
        <w:rPr>
          <w:rFonts w:ascii="Times New Roman" w:hAnsi="Times New Roman"/>
          <w:sz w:val="24"/>
        </w:rPr>
        <w:t>晨世贸中心东座</w:t>
      </w:r>
    </w:p>
    <w:p w14:paraId="568050F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13ADFC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14BD8BC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w:t>
      </w:r>
      <w:proofErr w:type="gramStart"/>
      <w:r>
        <w:rPr>
          <w:rFonts w:ascii="Times New Roman" w:hAnsi="Times New Roman"/>
          <w:sz w:val="24"/>
        </w:rPr>
        <w:t>会银监复</w:t>
      </w:r>
      <w:proofErr w:type="gramEnd"/>
      <w:r>
        <w:rPr>
          <w:rFonts w:ascii="Times New Roman" w:hAnsi="Times New Roman"/>
          <w:sz w:val="24"/>
        </w:rPr>
        <w:t>[2009]13</w:t>
      </w:r>
      <w:r>
        <w:rPr>
          <w:rFonts w:ascii="Times New Roman" w:hAnsi="Times New Roman"/>
          <w:sz w:val="24"/>
        </w:rPr>
        <w:t>号</w:t>
      </w:r>
    </w:p>
    <w:p w14:paraId="46A734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w:t>
      </w:r>
      <w:proofErr w:type="gramStart"/>
      <w:r>
        <w:rPr>
          <w:rFonts w:ascii="Times New Roman" w:hAnsi="Times New Roman"/>
          <w:sz w:val="24"/>
        </w:rPr>
        <w:t>证监基字</w:t>
      </w:r>
      <w:proofErr w:type="gramEnd"/>
      <w:r>
        <w:rPr>
          <w:rFonts w:ascii="Times New Roman" w:hAnsi="Times New Roman"/>
          <w:sz w:val="24"/>
        </w:rPr>
        <w:t>[1998]23</w:t>
      </w:r>
      <w:r>
        <w:rPr>
          <w:rFonts w:ascii="Times New Roman" w:hAnsi="Times New Roman"/>
          <w:sz w:val="24"/>
        </w:rPr>
        <w:t>号</w:t>
      </w:r>
    </w:p>
    <w:p w14:paraId="178C132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14:paraId="73C796D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4AF257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14:paraId="4E062AB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14:paraId="5DA092A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14:paraId="74260B8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14:paraId="7294CF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审计报告。</w:t>
      </w:r>
      <w:r>
        <w:rPr>
          <w:rFonts w:ascii="Times New Roman" w:hAnsi="Times New Roman"/>
          <w:sz w:val="24"/>
        </w:rPr>
        <w:lastRenderedPageBreak/>
        <w:t>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w:t>
      </w:r>
      <w:proofErr w:type="gramStart"/>
      <w:r>
        <w:rPr>
          <w:rFonts w:ascii="Times New Roman" w:hAnsi="Times New Roman"/>
          <w:sz w:val="24"/>
        </w:rPr>
        <w:t>公正第三</w:t>
      </w:r>
      <w:proofErr w:type="gramEnd"/>
      <w:r>
        <w:rPr>
          <w:rFonts w:ascii="Times New Roman" w:hAnsi="Times New Roman"/>
          <w:sz w:val="24"/>
        </w:rPr>
        <w:t>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w:t>
      </w:r>
      <w:proofErr w:type="gramStart"/>
      <w:r>
        <w:rPr>
          <w:rFonts w:ascii="Times New Roman" w:hAnsi="Times New Roman"/>
          <w:sz w:val="24"/>
        </w:rPr>
        <w:t>募基金</w:t>
      </w:r>
      <w:proofErr w:type="gramEnd"/>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p>
    <w:p w14:paraId="51F3AC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w:t>
      </w:r>
      <w:proofErr w:type="gramStart"/>
      <w:r>
        <w:rPr>
          <w:rFonts w:ascii="Times New Roman" w:hAnsi="Times New Roman"/>
          <w:sz w:val="24"/>
        </w:rPr>
        <w:t>规</w:t>
      </w:r>
      <w:proofErr w:type="gramEnd"/>
      <w:r>
        <w:rPr>
          <w:rFonts w:ascii="Times New Roman" w:hAnsi="Times New Roman"/>
          <w:sz w:val="24"/>
        </w:rPr>
        <w:t>部、产品研发与信息技术部、营运一部、营运二部、市场营销部、内控监管部、账户管理部，拥有先进的安全防范设施和基金托管业务系统。</w:t>
      </w:r>
    </w:p>
    <w:p w14:paraId="0C2CC4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14:paraId="2C7C1A5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14:paraId="300BC81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14:paraId="4F07C2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截止到</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日，中国农业银行托管的封闭式证券投资基金和开放式证券投资基金共</w:t>
      </w:r>
      <w:r>
        <w:rPr>
          <w:rFonts w:ascii="Times New Roman" w:hAnsi="Times New Roman"/>
          <w:sz w:val="24"/>
        </w:rPr>
        <w:t>529</w:t>
      </w:r>
      <w:r>
        <w:rPr>
          <w:rFonts w:ascii="Times New Roman" w:hAnsi="Times New Roman"/>
          <w:sz w:val="24"/>
        </w:rPr>
        <w:t>只。</w:t>
      </w:r>
    </w:p>
    <w:p w14:paraId="77B2AA18"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（二）基金托管人的内部风险控制制度说明</w:t>
      </w:r>
    </w:p>
    <w:p w14:paraId="1C344D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14:paraId="1D7D197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w:t>
      </w:r>
      <w:proofErr w:type="gramStart"/>
      <w:r>
        <w:rPr>
          <w:rFonts w:ascii="Times New Roman" w:hAnsi="Times New Roman"/>
          <w:sz w:val="24"/>
        </w:rPr>
        <w:t>完整</w:t>
      </w:r>
      <w:r>
        <w:rPr>
          <w:rFonts w:ascii="Times New Roman" w:hAnsi="Times New Roman"/>
          <w:sz w:val="24"/>
        </w:rPr>
        <w:t>,</w:t>
      </w:r>
      <w:proofErr w:type="gramEnd"/>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14:paraId="634766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、内部控制组织结构</w:t>
      </w:r>
    </w:p>
    <w:p w14:paraId="452640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14:paraId="67847A8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、内部控制制度及措施</w:t>
      </w:r>
    </w:p>
    <w:p w14:paraId="605CC6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Pr>
          <w:rFonts w:ascii="Times New Roman" w:hAnsi="Times New Roman"/>
          <w:sz w:val="24"/>
        </w:rPr>
        <w:t>操作区</w:t>
      </w:r>
      <w:proofErr w:type="gramEnd"/>
      <w:r>
        <w:rPr>
          <w:rFonts w:ascii="Times New Roman" w:hAnsi="Times New Roman"/>
          <w:sz w:val="24"/>
        </w:rPr>
        <w:t>专门设置，封闭管理，实施音像监控；业务信息由专职信息披露人负责，防止泄密；业务实现自动化操作，防止人为事故的发生，技术系统完整、独立。</w:t>
      </w:r>
    </w:p>
    <w:p w14:paraId="62395287"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14:paraId="4C2000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02B85C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当基金出现异常交易行为时，基金托管人应当针对不同情况进行以下方式的处理：</w:t>
      </w:r>
    </w:p>
    <w:p w14:paraId="75B1E1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14:paraId="4426E07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14:paraId="227D80D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14:paraId="43C52CAC"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E4F9786" w14:textId="77777777" w:rsidR="009A30E5" w:rsidRDefault="00953581">
      <w:pPr>
        <w:pStyle w:val="1"/>
        <w:snapToGrid w:val="0"/>
        <w:spacing w:beforeLines="0" w:before="240" w:after="240"/>
        <w:rPr>
          <w:rFonts w:ascii="宋体" w:hAnsi="宋体"/>
          <w:szCs w:val="30"/>
        </w:rPr>
      </w:pPr>
      <w:bookmarkStart w:id="7" w:name="_Toc59040200"/>
      <w:r>
        <w:rPr>
          <w:rFonts w:ascii="Times New Roman" w:hAnsi="Times New Roman"/>
          <w:sz w:val="30"/>
        </w:rPr>
        <w:lastRenderedPageBreak/>
        <w:t>五、相关服务机构</w:t>
      </w:r>
      <w:bookmarkEnd w:id="7"/>
    </w:p>
    <w:p w14:paraId="4E74F61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14:paraId="7812183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6936D3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本基金直销机构为本公司直销柜台以及本公司的网上直销交易平台（网站及</w:t>
      </w:r>
      <w:r>
        <w:rPr>
          <w:rFonts w:ascii="Times New Roman" w:hAnsi="Times New Roman"/>
          <w:sz w:val="24"/>
        </w:rPr>
        <w:t>APP</w:t>
      </w:r>
      <w:r>
        <w:rPr>
          <w:rFonts w:ascii="Times New Roman" w:hAnsi="Times New Roman"/>
          <w:sz w:val="24"/>
        </w:rPr>
        <w:t>，下同）。</w:t>
      </w:r>
    </w:p>
    <w:p w14:paraId="776F4FC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14:paraId="045447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305A35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14:paraId="0FB548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389BAC6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473152D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4A43EC2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2AC688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1D7540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362F432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4E2EF4F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个人投资者可以通过本公司网上直销交易平台办理开户、本基金的申购、赎回、转换及定期定额投资等业务，具体交易细则请参阅本公司网站。</w:t>
      </w:r>
    </w:p>
    <w:p w14:paraId="7A78BFD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 fund001.com</w:t>
      </w:r>
      <w:r>
        <w:rPr>
          <w:rFonts w:ascii="Times New Roman" w:hAnsi="Times New Roman"/>
          <w:sz w:val="24"/>
        </w:rPr>
        <w:t>。</w:t>
      </w:r>
    </w:p>
    <w:p w14:paraId="0564443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、代销机构</w:t>
      </w:r>
    </w:p>
    <w:p w14:paraId="729ACDB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）名称：中国建设银行股份有限公司</w:t>
      </w:r>
    </w:p>
    <w:p w14:paraId="37D30B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25</w:t>
      </w:r>
      <w:r>
        <w:rPr>
          <w:rFonts w:ascii="Times New Roman" w:hAnsi="Times New Roman"/>
          <w:sz w:val="24"/>
        </w:rPr>
        <w:t>号</w:t>
      </w:r>
    </w:p>
    <w:p w14:paraId="36795A6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25</w:t>
      </w:r>
      <w:r>
        <w:rPr>
          <w:rFonts w:ascii="Times New Roman" w:hAnsi="Times New Roman"/>
          <w:sz w:val="24"/>
        </w:rPr>
        <w:t>号</w:t>
      </w:r>
    </w:p>
    <w:p w14:paraId="688EA09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法定代表人：田国立</w:t>
      </w:r>
    </w:p>
    <w:p w14:paraId="42B4E73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3117726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6B8C236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95533</w:t>
      </w:r>
    </w:p>
    <w:p w14:paraId="7A36B4F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www.ccb.com</w:t>
      </w:r>
    </w:p>
    <w:p w14:paraId="1FC8D7C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）名称：中国工商银行股份有限公司</w:t>
      </w:r>
    </w:p>
    <w:p w14:paraId="770A866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住所：北京市复兴门内大街</w:t>
      </w:r>
      <w:r>
        <w:rPr>
          <w:rFonts w:ascii="Times New Roman" w:hAnsi="Times New Roman"/>
          <w:sz w:val="24"/>
        </w:rPr>
        <w:t>55</w:t>
      </w:r>
      <w:r>
        <w:rPr>
          <w:rFonts w:ascii="Times New Roman" w:hAnsi="Times New Roman"/>
          <w:sz w:val="24"/>
        </w:rPr>
        <w:t>号</w:t>
      </w:r>
    </w:p>
    <w:p w14:paraId="69D2A4C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办公地址：北京市复兴门内大街</w:t>
      </w:r>
      <w:r>
        <w:rPr>
          <w:rFonts w:ascii="Times New Roman" w:hAnsi="Times New Roman"/>
          <w:sz w:val="24"/>
        </w:rPr>
        <w:t>55</w:t>
      </w:r>
      <w:r>
        <w:rPr>
          <w:rFonts w:ascii="Times New Roman" w:hAnsi="Times New Roman"/>
          <w:sz w:val="24"/>
        </w:rPr>
        <w:t>号</w:t>
      </w:r>
    </w:p>
    <w:p w14:paraId="51079F2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法定代表人：易会满</w:t>
      </w:r>
    </w:p>
    <w:p w14:paraId="2C72BFD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95588</w:t>
      </w:r>
    </w:p>
    <w:p w14:paraId="493584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www.icbc.com.cn</w:t>
      </w:r>
    </w:p>
    <w:p w14:paraId="252618B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）名称：华夏银行股份有限公司</w:t>
      </w:r>
    </w:p>
    <w:p w14:paraId="418F43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22</w:t>
      </w:r>
      <w:r>
        <w:rPr>
          <w:rFonts w:ascii="Times New Roman" w:hAnsi="Times New Roman"/>
          <w:sz w:val="24"/>
        </w:rPr>
        <w:t>号</w:t>
      </w:r>
    </w:p>
    <w:p w14:paraId="302AE97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办公地址：北京市东城区建国门内大街</w:t>
      </w:r>
      <w:r>
        <w:rPr>
          <w:rFonts w:ascii="Times New Roman" w:hAnsi="Times New Roman"/>
          <w:sz w:val="24"/>
        </w:rPr>
        <w:t>22</w:t>
      </w:r>
      <w:r>
        <w:rPr>
          <w:rFonts w:ascii="Times New Roman" w:hAnsi="Times New Roman"/>
          <w:sz w:val="24"/>
        </w:rPr>
        <w:t>号</w:t>
      </w:r>
    </w:p>
    <w:p w14:paraId="794A9F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法定代表人：李民吉</w:t>
      </w:r>
    </w:p>
    <w:p w14:paraId="3EE0FF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95577</w:t>
      </w:r>
    </w:p>
    <w:p w14:paraId="58B1A41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www.hxb.com.cn</w:t>
      </w:r>
    </w:p>
    <w:p w14:paraId="31F028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）名称：江苏银行股份有限公司</w:t>
      </w:r>
    </w:p>
    <w:p w14:paraId="653F0D9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住所：南京市中华路</w:t>
      </w:r>
      <w:r>
        <w:rPr>
          <w:rFonts w:ascii="Times New Roman" w:hAnsi="Times New Roman"/>
          <w:sz w:val="24"/>
        </w:rPr>
        <w:t>26</w:t>
      </w:r>
      <w:r>
        <w:rPr>
          <w:rFonts w:ascii="Times New Roman" w:hAnsi="Times New Roman"/>
          <w:sz w:val="24"/>
        </w:rPr>
        <w:t>号</w:t>
      </w:r>
    </w:p>
    <w:p w14:paraId="3EF930C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办公地址：南京市中华路</w:t>
      </w:r>
      <w:r>
        <w:rPr>
          <w:rFonts w:ascii="Times New Roman" w:hAnsi="Times New Roman"/>
          <w:sz w:val="24"/>
        </w:rPr>
        <w:t>26</w:t>
      </w:r>
      <w:r>
        <w:rPr>
          <w:rFonts w:ascii="Times New Roman" w:hAnsi="Times New Roman"/>
          <w:sz w:val="24"/>
        </w:rPr>
        <w:t>号</w:t>
      </w:r>
    </w:p>
    <w:p w14:paraId="78D0EA6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法定代表人：夏平</w:t>
      </w:r>
    </w:p>
    <w:p w14:paraId="01BC6BE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w:t>
      </w:r>
      <w:r>
        <w:rPr>
          <w:rFonts w:ascii="Times New Roman" w:hAnsi="Times New Roman"/>
          <w:sz w:val="24"/>
        </w:rPr>
        <w:t>）</w:t>
      </w:r>
      <w:r>
        <w:rPr>
          <w:rFonts w:ascii="Times New Roman" w:hAnsi="Times New Roman"/>
          <w:sz w:val="24"/>
        </w:rPr>
        <w:t>58587018</w:t>
      </w:r>
    </w:p>
    <w:p w14:paraId="348416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w:t>
      </w:r>
      <w:r>
        <w:rPr>
          <w:rFonts w:ascii="Times New Roman" w:hAnsi="Times New Roman"/>
          <w:sz w:val="24"/>
        </w:rPr>
        <w:t>）</w:t>
      </w:r>
      <w:r>
        <w:rPr>
          <w:rFonts w:ascii="Times New Roman" w:hAnsi="Times New Roman"/>
          <w:sz w:val="24"/>
        </w:rPr>
        <w:t>58587038</w:t>
      </w:r>
    </w:p>
    <w:p w14:paraId="4A5911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联系人：田春慧</w:t>
      </w:r>
    </w:p>
    <w:p w14:paraId="55FC423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95319</w:t>
      </w:r>
    </w:p>
    <w:p w14:paraId="4985874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www.jsbchina.cn</w:t>
      </w:r>
    </w:p>
    <w:p w14:paraId="22A4AC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）名称：平安银行股份有限公司</w:t>
      </w:r>
    </w:p>
    <w:p w14:paraId="226E29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注册地址：深圳市罗湖区深南东路</w:t>
      </w:r>
      <w:r>
        <w:rPr>
          <w:rFonts w:ascii="Times New Roman" w:hAnsi="Times New Roman"/>
          <w:sz w:val="24"/>
        </w:rPr>
        <w:t>5047</w:t>
      </w:r>
      <w:r>
        <w:rPr>
          <w:rFonts w:ascii="Times New Roman" w:hAnsi="Times New Roman"/>
          <w:sz w:val="24"/>
        </w:rPr>
        <w:t>号</w:t>
      </w:r>
    </w:p>
    <w:p w14:paraId="7733E2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办公地址：深圳市深南东路</w:t>
      </w:r>
      <w:r>
        <w:rPr>
          <w:rFonts w:ascii="Times New Roman" w:hAnsi="Times New Roman"/>
          <w:sz w:val="24"/>
        </w:rPr>
        <w:t>5047</w:t>
      </w:r>
      <w:r>
        <w:rPr>
          <w:rFonts w:ascii="Times New Roman" w:hAnsi="Times New Roman"/>
          <w:sz w:val="24"/>
        </w:rPr>
        <w:t>号</w:t>
      </w:r>
    </w:p>
    <w:p w14:paraId="1C8A7BB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法人代表：谢永林</w:t>
      </w:r>
    </w:p>
    <w:p w14:paraId="07B979C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0755-22166574</w:t>
      </w:r>
    </w:p>
    <w:p w14:paraId="718237C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0755-82080406</w:t>
      </w:r>
    </w:p>
    <w:p w14:paraId="2BA402F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联系人：赵杨</w:t>
      </w:r>
    </w:p>
    <w:p w14:paraId="4E11FC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95511-3</w:t>
      </w:r>
      <w:r>
        <w:rPr>
          <w:rFonts w:ascii="Times New Roman" w:hAnsi="Times New Roman"/>
          <w:sz w:val="24"/>
        </w:rPr>
        <w:t>或</w:t>
      </w:r>
      <w:r>
        <w:rPr>
          <w:rFonts w:ascii="Times New Roman" w:hAnsi="Times New Roman"/>
          <w:sz w:val="24"/>
        </w:rPr>
        <w:t>95501</w:t>
      </w:r>
    </w:p>
    <w:p w14:paraId="231AD8E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bank.pingan.com</w:t>
      </w:r>
    </w:p>
    <w:p w14:paraId="57FFC66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）名称：北京银行股份有限公司</w:t>
      </w:r>
    </w:p>
    <w:p w14:paraId="0A6AFE8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住所：北京市西城区金融大街甲</w:t>
      </w:r>
      <w:r>
        <w:rPr>
          <w:rFonts w:ascii="Times New Roman" w:hAnsi="Times New Roman"/>
          <w:sz w:val="24"/>
        </w:rPr>
        <w:t>17</w:t>
      </w:r>
      <w:r>
        <w:rPr>
          <w:rFonts w:ascii="Times New Roman" w:hAnsi="Times New Roman"/>
          <w:sz w:val="24"/>
        </w:rPr>
        <w:t>号首层</w:t>
      </w:r>
    </w:p>
    <w:p w14:paraId="45B3B2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办公地址：北京市西城区金融大街甲</w:t>
      </w:r>
      <w:r>
        <w:rPr>
          <w:rFonts w:ascii="Times New Roman" w:hAnsi="Times New Roman"/>
          <w:sz w:val="24"/>
        </w:rPr>
        <w:t>17</w:t>
      </w:r>
      <w:r>
        <w:rPr>
          <w:rFonts w:ascii="Times New Roman" w:hAnsi="Times New Roman"/>
          <w:sz w:val="24"/>
        </w:rPr>
        <w:t>号首层</w:t>
      </w:r>
    </w:p>
    <w:p w14:paraId="19D58A7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法定代表人：张东宁</w:t>
      </w:r>
    </w:p>
    <w:p w14:paraId="302DB66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66226045</w:t>
      </w:r>
    </w:p>
    <w:p w14:paraId="64BB1F4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联系人：孔超</w:t>
      </w:r>
    </w:p>
    <w:p w14:paraId="79AABC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95526</w:t>
      </w:r>
    </w:p>
    <w:p w14:paraId="261ED8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www.bankofbeijing.com.cn</w:t>
      </w:r>
    </w:p>
    <w:p w14:paraId="086EBD0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）名称：宁波银行股份有限公司</w:t>
      </w:r>
    </w:p>
    <w:p w14:paraId="1B56AFF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住所：宁波市江东区中山东路</w:t>
      </w:r>
      <w:r>
        <w:rPr>
          <w:rFonts w:ascii="Times New Roman" w:hAnsi="Times New Roman"/>
          <w:sz w:val="24"/>
        </w:rPr>
        <w:t>294</w:t>
      </w:r>
      <w:r>
        <w:rPr>
          <w:rFonts w:ascii="Times New Roman" w:hAnsi="Times New Roman"/>
          <w:sz w:val="24"/>
        </w:rPr>
        <w:t>号</w:t>
      </w:r>
    </w:p>
    <w:p w14:paraId="67A9DC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法定代表人：陆华裕</w:t>
      </w:r>
    </w:p>
    <w:p w14:paraId="7A6A694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63586210</w:t>
      </w:r>
    </w:p>
    <w:p w14:paraId="5F54E0B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63586215</w:t>
      </w:r>
    </w:p>
    <w:p w14:paraId="563DC14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胡技勋</w:t>
      </w:r>
      <w:proofErr w:type="gramEnd"/>
    </w:p>
    <w:p w14:paraId="1A2D3AE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96528</w:t>
      </w:r>
      <w:r>
        <w:rPr>
          <w:rFonts w:ascii="Times New Roman" w:hAnsi="Times New Roman"/>
          <w:sz w:val="24"/>
        </w:rPr>
        <w:t>（上海地区</w:t>
      </w:r>
      <w:r>
        <w:rPr>
          <w:rFonts w:ascii="Times New Roman" w:hAnsi="Times New Roman"/>
          <w:sz w:val="24"/>
        </w:rPr>
        <w:t>962528</w:t>
      </w:r>
      <w:r>
        <w:rPr>
          <w:rFonts w:ascii="Times New Roman" w:hAnsi="Times New Roman"/>
          <w:sz w:val="24"/>
        </w:rPr>
        <w:t>）</w:t>
      </w:r>
    </w:p>
    <w:p w14:paraId="543995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www.nbcb.com.cn</w:t>
      </w:r>
    </w:p>
    <w:p w14:paraId="403854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）名称：中国光大银行股份有限公司</w:t>
      </w:r>
    </w:p>
    <w:p w14:paraId="4C02F2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281D3D3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04C31DD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法定代表人：唐双宁</w:t>
      </w:r>
    </w:p>
    <w:p w14:paraId="4C5D4C7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68098778</w:t>
      </w:r>
    </w:p>
    <w:p w14:paraId="324AB5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68560661</w:t>
      </w:r>
    </w:p>
    <w:p w14:paraId="7716C5D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联系人：李伟</w:t>
      </w:r>
    </w:p>
    <w:p w14:paraId="3FB182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95595</w:t>
      </w:r>
    </w:p>
    <w:p w14:paraId="17EF2D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www.cebbank.com</w:t>
      </w:r>
    </w:p>
    <w:p w14:paraId="4DB1244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）名称：中国民生银行股份有限公司</w:t>
      </w:r>
    </w:p>
    <w:p w14:paraId="1FC961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住所：北京市西城区复兴门内大街</w:t>
      </w:r>
      <w:r>
        <w:rPr>
          <w:rFonts w:ascii="Times New Roman" w:hAnsi="Times New Roman"/>
          <w:sz w:val="24"/>
        </w:rPr>
        <w:t>2</w:t>
      </w:r>
      <w:r>
        <w:rPr>
          <w:rFonts w:ascii="Times New Roman" w:hAnsi="Times New Roman"/>
          <w:sz w:val="24"/>
        </w:rPr>
        <w:t>号</w:t>
      </w:r>
    </w:p>
    <w:p w14:paraId="0BB5184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w:t>
      </w:r>
      <w:r>
        <w:rPr>
          <w:rFonts w:ascii="Times New Roman" w:hAnsi="Times New Roman"/>
          <w:sz w:val="24"/>
        </w:rPr>
        <w:t>号</w:t>
      </w:r>
    </w:p>
    <w:p w14:paraId="3D71C50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法定代表人：洪崎</w:t>
      </w:r>
    </w:p>
    <w:p w14:paraId="50A121F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58560666</w:t>
      </w:r>
    </w:p>
    <w:p w14:paraId="50A1F5C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57092611</w:t>
      </w:r>
    </w:p>
    <w:p w14:paraId="705F7BD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联系人：许野</w:t>
      </w:r>
    </w:p>
    <w:p w14:paraId="1A1F7E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 xml:space="preserve"> 95568</w:t>
      </w:r>
    </w:p>
    <w:p w14:paraId="4539CE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www.cmbc.com.cn</w:t>
      </w:r>
    </w:p>
    <w:p w14:paraId="55C66C9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）名称：广发银行股份有限公司</w:t>
      </w:r>
    </w:p>
    <w:p w14:paraId="383FDA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住所：广州市越秀区东风东路</w:t>
      </w:r>
      <w:r>
        <w:rPr>
          <w:rFonts w:ascii="Times New Roman" w:hAnsi="Times New Roman"/>
          <w:sz w:val="24"/>
        </w:rPr>
        <w:t>713</w:t>
      </w:r>
      <w:r>
        <w:rPr>
          <w:rFonts w:ascii="Times New Roman" w:hAnsi="Times New Roman"/>
          <w:sz w:val="24"/>
        </w:rPr>
        <w:t>号</w:t>
      </w:r>
    </w:p>
    <w:p w14:paraId="04AA988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法定代表人：杨明生</w:t>
      </w:r>
    </w:p>
    <w:p w14:paraId="1FAB521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联系人：李晓鹏</w:t>
      </w:r>
    </w:p>
    <w:p w14:paraId="0A78C8F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800-830-8003</w:t>
      </w:r>
      <w:r>
        <w:rPr>
          <w:rFonts w:ascii="Times New Roman" w:hAnsi="Times New Roman"/>
          <w:sz w:val="24"/>
        </w:rPr>
        <w:t>，</w:t>
      </w:r>
      <w:r>
        <w:rPr>
          <w:rFonts w:ascii="Times New Roman" w:hAnsi="Times New Roman"/>
          <w:sz w:val="24"/>
        </w:rPr>
        <w:t>400-830-8003</w:t>
      </w:r>
    </w:p>
    <w:p w14:paraId="56C1B32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www.gdb.com.cn</w:t>
      </w:r>
    </w:p>
    <w:p w14:paraId="60036ED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）名称：中国银行股份有限公司</w:t>
      </w:r>
    </w:p>
    <w:p w14:paraId="7EC0B98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proofErr w:type="gramStart"/>
      <w:r>
        <w:rPr>
          <w:rFonts w:ascii="Times New Roman" w:hAnsi="Times New Roman"/>
          <w:sz w:val="24"/>
        </w:rPr>
        <w:t>北京市北京市</w:t>
      </w:r>
      <w:proofErr w:type="gramEnd"/>
      <w:r>
        <w:rPr>
          <w:rFonts w:ascii="Times New Roman" w:hAnsi="Times New Roman"/>
          <w:sz w:val="24"/>
        </w:rPr>
        <w:t>复兴门内大街</w:t>
      </w:r>
      <w:r>
        <w:rPr>
          <w:rFonts w:ascii="Times New Roman" w:hAnsi="Times New Roman"/>
          <w:sz w:val="24"/>
        </w:rPr>
        <w:t>1</w:t>
      </w:r>
      <w:r>
        <w:rPr>
          <w:rFonts w:ascii="Times New Roman" w:hAnsi="Times New Roman"/>
          <w:sz w:val="24"/>
        </w:rPr>
        <w:t>号</w:t>
      </w:r>
    </w:p>
    <w:p w14:paraId="429A2E1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1</w:t>
      </w:r>
      <w:r>
        <w:rPr>
          <w:rFonts w:ascii="Times New Roman" w:hAnsi="Times New Roman"/>
          <w:sz w:val="24"/>
        </w:rPr>
        <w:t>号</w:t>
      </w:r>
    </w:p>
    <w:p w14:paraId="2FE6C4C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法定代表人：陈四清</w:t>
      </w:r>
    </w:p>
    <w:p w14:paraId="4316F3E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66594853</w:t>
      </w:r>
    </w:p>
    <w:p w14:paraId="629701C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95566</w:t>
      </w:r>
    </w:p>
    <w:p w14:paraId="562C704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www.boc.cn</w:t>
      </w:r>
    </w:p>
    <w:p w14:paraId="01DD5CF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）名称：中国农业银行股份有限公司</w:t>
      </w:r>
    </w:p>
    <w:p w14:paraId="244366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48AD60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w:t>
      </w:r>
      <w:proofErr w:type="gramStart"/>
      <w:r>
        <w:rPr>
          <w:rFonts w:ascii="Times New Roman" w:hAnsi="Times New Roman"/>
          <w:sz w:val="24"/>
        </w:rPr>
        <w:t>凯</w:t>
      </w:r>
      <w:proofErr w:type="gramEnd"/>
      <w:r>
        <w:rPr>
          <w:rFonts w:ascii="Times New Roman" w:hAnsi="Times New Roman"/>
          <w:sz w:val="24"/>
        </w:rPr>
        <w:t>晨世贸中心东座</w:t>
      </w:r>
    </w:p>
    <w:p w14:paraId="3E5AFB9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4371BBF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14:paraId="7D441DA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14:paraId="3933BC8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14:paraId="10D588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w:t>
      </w:r>
    </w:p>
    <w:p w14:paraId="6AEA113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www.abchina.com</w:t>
      </w:r>
    </w:p>
    <w:p w14:paraId="30A280A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）名称：中信银行股份有限公司</w:t>
      </w:r>
    </w:p>
    <w:p w14:paraId="652E909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14:paraId="466E99D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办公地址：北京市东城区朝阳门北大街</w:t>
      </w:r>
      <w:r>
        <w:rPr>
          <w:rFonts w:ascii="Times New Roman" w:hAnsi="Times New Roman"/>
          <w:sz w:val="24"/>
        </w:rPr>
        <w:t>9</w:t>
      </w:r>
      <w:r>
        <w:rPr>
          <w:rFonts w:ascii="Times New Roman" w:hAnsi="Times New Roman"/>
          <w:sz w:val="24"/>
        </w:rPr>
        <w:t>号</w:t>
      </w:r>
    </w:p>
    <w:p w14:paraId="1C11DAC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法定代表人：李庆萍</w:t>
      </w:r>
    </w:p>
    <w:p w14:paraId="7401D05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89936330</w:t>
      </w:r>
    </w:p>
    <w:p w14:paraId="04A181B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85230024</w:t>
      </w:r>
    </w:p>
    <w:p w14:paraId="42FA8F5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联系人：丰靖</w:t>
      </w:r>
    </w:p>
    <w:p w14:paraId="215AD7F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95558</w:t>
      </w:r>
    </w:p>
    <w:p w14:paraId="351C489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bank.ecitic.com</w:t>
      </w:r>
    </w:p>
    <w:p w14:paraId="1919C09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）名称：上海银行股份有限公司</w:t>
      </w:r>
    </w:p>
    <w:p w14:paraId="0BFE44B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168</w:t>
      </w:r>
      <w:r>
        <w:rPr>
          <w:rFonts w:ascii="Times New Roman" w:hAnsi="Times New Roman"/>
          <w:sz w:val="24"/>
        </w:rPr>
        <w:t>号</w:t>
      </w:r>
    </w:p>
    <w:p w14:paraId="349FBF0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168</w:t>
      </w:r>
      <w:r>
        <w:rPr>
          <w:rFonts w:ascii="Times New Roman" w:hAnsi="Times New Roman"/>
          <w:sz w:val="24"/>
        </w:rPr>
        <w:t>号</w:t>
      </w:r>
    </w:p>
    <w:p w14:paraId="6F6F79F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法定代表人：金煜</w:t>
      </w:r>
    </w:p>
    <w:p w14:paraId="22A76C4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68475888</w:t>
      </w:r>
    </w:p>
    <w:p w14:paraId="0BF0939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68476111</w:t>
      </w:r>
    </w:p>
    <w:p w14:paraId="275BC90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联系人：张萍</w:t>
      </w:r>
    </w:p>
    <w:p w14:paraId="073ACC1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962888</w:t>
      </w:r>
    </w:p>
    <w:p w14:paraId="75B5101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www.bankofshanghai.com</w:t>
      </w:r>
    </w:p>
    <w:p w14:paraId="3E37D6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）名称：招商银行股份有限公司</w:t>
      </w:r>
    </w:p>
    <w:p w14:paraId="7F1A3B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7088</w:t>
      </w:r>
      <w:r>
        <w:rPr>
          <w:rFonts w:ascii="Times New Roman" w:hAnsi="Times New Roman"/>
          <w:sz w:val="24"/>
        </w:rPr>
        <w:t>号</w:t>
      </w:r>
    </w:p>
    <w:p w14:paraId="2C5D4A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14:paraId="120D39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法定代表人：李建红</w:t>
      </w:r>
    </w:p>
    <w:p w14:paraId="2062E49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14:paraId="0CE79A6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14:paraId="2C1BCB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联系人：邓炯鹏</w:t>
      </w:r>
    </w:p>
    <w:p w14:paraId="415A8BB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95555</w:t>
      </w:r>
    </w:p>
    <w:p w14:paraId="49AE0D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www.cmbchina.com</w:t>
      </w:r>
    </w:p>
    <w:p w14:paraId="353E0A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）名称：交通银行股份有限公司</w:t>
      </w:r>
    </w:p>
    <w:p w14:paraId="281AB6E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w:t>
      </w:r>
      <w:proofErr w:type="gramStart"/>
      <w:r>
        <w:rPr>
          <w:rFonts w:ascii="Times New Roman" w:hAnsi="Times New Roman"/>
          <w:sz w:val="24"/>
        </w:rPr>
        <w:t>新区银</w:t>
      </w:r>
      <w:proofErr w:type="gramEnd"/>
      <w:r>
        <w:rPr>
          <w:rFonts w:ascii="Times New Roman" w:hAnsi="Times New Roman"/>
          <w:sz w:val="24"/>
        </w:rPr>
        <w:t>城中路</w:t>
      </w:r>
      <w:r>
        <w:rPr>
          <w:rFonts w:ascii="Times New Roman" w:hAnsi="Times New Roman"/>
          <w:sz w:val="24"/>
        </w:rPr>
        <w:t>188</w:t>
      </w:r>
      <w:r>
        <w:rPr>
          <w:rFonts w:ascii="Times New Roman" w:hAnsi="Times New Roman"/>
          <w:sz w:val="24"/>
        </w:rPr>
        <w:t>号</w:t>
      </w:r>
    </w:p>
    <w:p w14:paraId="23E7640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新区银</w:t>
      </w:r>
      <w:proofErr w:type="gramEnd"/>
      <w:r>
        <w:rPr>
          <w:rFonts w:ascii="Times New Roman" w:hAnsi="Times New Roman"/>
          <w:sz w:val="24"/>
        </w:rPr>
        <w:t>城中路</w:t>
      </w:r>
      <w:r>
        <w:rPr>
          <w:rFonts w:ascii="Times New Roman" w:hAnsi="Times New Roman"/>
          <w:sz w:val="24"/>
        </w:rPr>
        <w:t>188</w:t>
      </w:r>
      <w:r>
        <w:rPr>
          <w:rFonts w:ascii="Times New Roman" w:hAnsi="Times New Roman"/>
          <w:sz w:val="24"/>
        </w:rPr>
        <w:t>号</w:t>
      </w:r>
    </w:p>
    <w:p w14:paraId="7EF45B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14:paraId="7F54B4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6FA8B1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35BAE3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14:paraId="5DA3D19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14:paraId="70AB7B9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14:paraId="7DB160D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17</w:t>
      </w:r>
      <w:r>
        <w:rPr>
          <w:rFonts w:ascii="Times New Roman" w:hAnsi="Times New Roman"/>
          <w:sz w:val="24"/>
        </w:rPr>
        <w:t>）名称：杭州银行股份有限公司</w:t>
      </w:r>
    </w:p>
    <w:p w14:paraId="18DD043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住所：杭州市庆春路</w:t>
      </w:r>
      <w:r>
        <w:rPr>
          <w:rFonts w:ascii="Times New Roman" w:hAnsi="Times New Roman"/>
          <w:sz w:val="24"/>
        </w:rPr>
        <w:t>46</w:t>
      </w:r>
      <w:r>
        <w:rPr>
          <w:rFonts w:ascii="Times New Roman" w:hAnsi="Times New Roman"/>
          <w:sz w:val="24"/>
        </w:rPr>
        <w:t>号杭州银行大厦</w:t>
      </w:r>
    </w:p>
    <w:p w14:paraId="71F8031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办公地址：杭州市庆春路</w:t>
      </w:r>
      <w:r>
        <w:rPr>
          <w:rFonts w:ascii="Times New Roman" w:hAnsi="Times New Roman"/>
          <w:sz w:val="24"/>
        </w:rPr>
        <w:t>46</w:t>
      </w:r>
      <w:r>
        <w:rPr>
          <w:rFonts w:ascii="Times New Roman" w:hAnsi="Times New Roman"/>
          <w:sz w:val="24"/>
        </w:rPr>
        <w:t>号杭州银行大厦</w:t>
      </w:r>
    </w:p>
    <w:p w14:paraId="529BFB1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法定代表人：陈震山</w:t>
      </w:r>
    </w:p>
    <w:p w14:paraId="44FBE0D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85108195</w:t>
      </w:r>
      <w:r>
        <w:rPr>
          <w:rFonts w:ascii="Times New Roman" w:hAnsi="Times New Roman"/>
          <w:sz w:val="24"/>
        </w:rPr>
        <w:t>、</w:t>
      </w:r>
      <w:r>
        <w:rPr>
          <w:rFonts w:ascii="Times New Roman" w:hAnsi="Times New Roman"/>
          <w:sz w:val="24"/>
        </w:rPr>
        <w:t>85120696</w:t>
      </w:r>
    </w:p>
    <w:p w14:paraId="0DED894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86475527</w:t>
      </w:r>
    </w:p>
    <w:p w14:paraId="6CB71A5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联系人：严峻、夏帆</w:t>
      </w:r>
    </w:p>
    <w:p w14:paraId="477B51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:96523</w:t>
      </w:r>
    </w:p>
    <w:p w14:paraId="6100F46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www.hzbank.com.cn</w:t>
      </w:r>
    </w:p>
    <w:p w14:paraId="7CAC570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）名称：东莞农村商业银行股份有限公司</w:t>
      </w:r>
    </w:p>
    <w:p w14:paraId="7A9371F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住所：东莞市东城区鸿福东路</w:t>
      </w:r>
      <w:r>
        <w:rPr>
          <w:rFonts w:ascii="Times New Roman" w:hAnsi="Times New Roman"/>
          <w:sz w:val="24"/>
        </w:rPr>
        <w:t>2</w:t>
      </w:r>
      <w:r>
        <w:rPr>
          <w:rFonts w:ascii="Times New Roman" w:hAnsi="Times New Roman"/>
          <w:sz w:val="24"/>
        </w:rPr>
        <w:t>号</w:t>
      </w:r>
    </w:p>
    <w:p w14:paraId="058738F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办公地址：东莞市东城区鸿福东路</w:t>
      </w:r>
      <w:r>
        <w:rPr>
          <w:rFonts w:ascii="Times New Roman" w:hAnsi="Times New Roman"/>
          <w:sz w:val="24"/>
        </w:rPr>
        <w:t>2</w:t>
      </w:r>
      <w:r>
        <w:rPr>
          <w:rFonts w:ascii="Times New Roman" w:hAnsi="Times New Roman"/>
          <w:sz w:val="24"/>
        </w:rPr>
        <w:t>号</w:t>
      </w:r>
    </w:p>
    <w:p w14:paraId="2FA2274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法定代表人：王耀球</w:t>
      </w:r>
    </w:p>
    <w:p w14:paraId="7ACA12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22866254</w:t>
      </w:r>
    </w:p>
    <w:p w14:paraId="3534C9C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22866282</w:t>
      </w:r>
    </w:p>
    <w:p w14:paraId="452E05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联系人：林培珊</w:t>
      </w:r>
    </w:p>
    <w:p w14:paraId="119BA5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0769</w:t>
      </w:r>
      <w:r>
        <w:rPr>
          <w:rFonts w:ascii="Times New Roman" w:hAnsi="Times New Roman"/>
          <w:sz w:val="24"/>
        </w:rPr>
        <w:t>）</w:t>
      </w:r>
      <w:r>
        <w:rPr>
          <w:rFonts w:ascii="Times New Roman" w:hAnsi="Times New Roman"/>
          <w:sz w:val="24"/>
        </w:rPr>
        <w:t>961122</w:t>
      </w:r>
    </w:p>
    <w:p w14:paraId="1B1B4F3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www.drcbank.com</w:t>
      </w:r>
    </w:p>
    <w:p w14:paraId="01BBA5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）名称：江苏常熟农村商业银行股份有限公司</w:t>
      </w:r>
    </w:p>
    <w:p w14:paraId="16DB91B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住所：江苏省常熟市新世纪大道</w:t>
      </w:r>
      <w:r>
        <w:rPr>
          <w:rFonts w:ascii="Times New Roman" w:hAnsi="Times New Roman"/>
          <w:sz w:val="24"/>
        </w:rPr>
        <w:t>58</w:t>
      </w:r>
      <w:r>
        <w:rPr>
          <w:rFonts w:ascii="Times New Roman" w:hAnsi="Times New Roman"/>
          <w:sz w:val="24"/>
        </w:rPr>
        <w:t>号</w:t>
      </w:r>
    </w:p>
    <w:p w14:paraId="0070B7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办公地址：江苏省常熟市新世纪大道</w:t>
      </w:r>
      <w:r>
        <w:rPr>
          <w:rFonts w:ascii="Times New Roman" w:hAnsi="Times New Roman"/>
          <w:sz w:val="24"/>
        </w:rPr>
        <w:t>58</w:t>
      </w:r>
      <w:r>
        <w:rPr>
          <w:rFonts w:ascii="Times New Roman" w:hAnsi="Times New Roman"/>
          <w:sz w:val="24"/>
        </w:rPr>
        <w:t>号</w:t>
      </w:r>
    </w:p>
    <w:p w14:paraId="7F4DB9C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法定代表人：宋建明</w:t>
      </w:r>
    </w:p>
    <w:p w14:paraId="63DD9C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0512</w:t>
      </w:r>
      <w:r>
        <w:rPr>
          <w:rFonts w:ascii="Times New Roman" w:hAnsi="Times New Roman"/>
          <w:sz w:val="24"/>
        </w:rPr>
        <w:t>）</w:t>
      </w:r>
      <w:r>
        <w:rPr>
          <w:rFonts w:ascii="Times New Roman" w:hAnsi="Times New Roman"/>
          <w:sz w:val="24"/>
        </w:rPr>
        <w:t>52909128</w:t>
      </w:r>
    </w:p>
    <w:p w14:paraId="47D36E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0512</w:t>
      </w:r>
      <w:r>
        <w:rPr>
          <w:rFonts w:ascii="Times New Roman" w:hAnsi="Times New Roman"/>
          <w:sz w:val="24"/>
        </w:rPr>
        <w:t>）</w:t>
      </w:r>
      <w:r>
        <w:rPr>
          <w:rFonts w:ascii="Times New Roman" w:hAnsi="Times New Roman"/>
          <w:sz w:val="24"/>
        </w:rPr>
        <w:t>52909122</w:t>
      </w:r>
    </w:p>
    <w:p w14:paraId="154EB4B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联系人：黄晓</w:t>
      </w:r>
    </w:p>
    <w:p w14:paraId="0778CA0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962000</w:t>
      </w:r>
    </w:p>
    <w:p w14:paraId="3FEBEC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www.csrcbank.com</w:t>
      </w:r>
    </w:p>
    <w:p w14:paraId="58EA2D6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）名称：江苏江南农村商业银行股份有限公司</w:t>
      </w:r>
    </w:p>
    <w:p w14:paraId="2ADCA9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住所：江苏省常州市和平中路</w:t>
      </w:r>
      <w:r>
        <w:rPr>
          <w:rFonts w:ascii="Times New Roman" w:hAnsi="Times New Roman"/>
          <w:sz w:val="24"/>
        </w:rPr>
        <w:t>413</w:t>
      </w:r>
      <w:r>
        <w:rPr>
          <w:rFonts w:ascii="Times New Roman" w:hAnsi="Times New Roman"/>
          <w:sz w:val="24"/>
        </w:rPr>
        <w:t>号</w:t>
      </w:r>
    </w:p>
    <w:p w14:paraId="6E6BE2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办公地址：江苏省常州市和平中路</w:t>
      </w:r>
      <w:r>
        <w:rPr>
          <w:rFonts w:ascii="Times New Roman" w:hAnsi="Times New Roman"/>
          <w:sz w:val="24"/>
        </w:rPr>
        <w:t>413</w:t>
      </w:r>
      <w:r>
        <w:rPr>
          <w:rFonts w:ascii="Times New Roman" w:hAnsi="Times New Roman"/>
          <w:sz w:val="24"/>
        </w:rPr>
        <w:t>号</w:t>
      </w:r>
    </w:p>
    <w:p w14:paraId="3BE073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法定代表人：陆向阳</w:t>
      </w:r>
    </w:p>
    <w:p w14:paraId="2CC19B8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0519-80585939</w:t>
      </w:r>
    </w:p>
    <w:p w14:paraId="1A780C9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0519-89995170</w:t>
      </w:r>
    </w:p>
    <w:p w14:paraId="0A87DD7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联系人：蒋姣</w:t>
      </w:r>
    </w:p>
    <w:p w14:paraId="1946F0B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96005</w:t>
      </w:r>
    </w:p>
    <w:p w14:paraId="518CC2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http://www.jnbank.com.cn</w:t>
      </w:r>
    </w:p>
    <w:p w14:paraId="2019AF5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）名称：海通证券股份有限公司</w:t>
      </w:r>
    </w:p>
    <w:p w14:paraId="1467EB3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14:paraId="71B7F5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14:paraId="394D2D8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法定代表人：王开国</w:t>
      </w:r>
    </w:p>
    <w:p w14:paraId="60D8832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14:paraId="6D2CA40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14:paraId="649E26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联系人：李笑鸣</w:t>
      </w:r>
    </w:p>
    <w:p w14:paraId="222EEAA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14:paraId="7CEDBED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www.htsec.com"</w:t>
      </w:r>
    </w:p>
    <w:p w14:paraId="47C04A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）名称：联</w:t>
      </w:r>
      <w:proofErr w:type="gramStart"/>
      <w:r>
        <w:rPr>
          <w:rFonts w:ascii="Times New Roman" w:hAnsi="Times New Roman"/>
          <w:sz w:val="24"/>
        </w:rPr>
        <w:t>讯证券</w:t>
      </w:r>
      <w:proofErr w:type="gramEnd"/>
      <w:r>
        <w:rPr>
          <w:rFonts w:ascii="Times New Roman" w:hAnsi="Times New Roman"/>
          <w:sz w:val="24"/>
        </w:rPr>
        <w:t>股份有限公司</w:t>
      </w:r>
    </w:p>
    <w:p w14:paraId="36F8DF7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惠州市江北东江三路</w:t>
      </w:r>
      <w:r>
        <w:rPr>
          <w:rFonts w:ascii="Times New Roman" w:hAnsi="Times New Roman"/>
          <w:sz w:val="24"/>
        </w:rPr>
        <w:t>55</w:t>
      </w:r>
      <w:r>
        <w:rPr>
          <w:rFonts w:ascii="Times New Roman" w:hAnsi="Times New Roman"/>
          <w:sz w:val="24"/>
        </w:rPr>
        <w:t>号广播电视新闻中心西面一层大堂和三、四层</w:t>
      </w:r>
    </w:p>
    <w:p w14:paraId="04A17C5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办公地址：惠州市江北东江三路</w:t>
      </w:r>
      <w:r>
        <w:rPr>
          <w:rFonts w:ascii="Times New Roman" w:hAnsi="Times New Roman"/>
          <w:sz w:val="24"/>
        </w:rPr>
        <w:t>55</w:t>
      </w:r>
      <w:r>
        <w:rPr>
          <w:rFonts w:ascii="Times New Roman" w:hAnsi="Times New Roman"/>
          <w:sz w:val="24"/>
        </w:rPr>
        <w:t>号广播电视新闻中心西面一层大堂和三、四层</w:t>
      </w:r>
    </w:p>
    <w:p w14:paraId="422C2AF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法定代表人：徐刚</w:t>
      </w:r>
    </w:p>
    <w:p w14:paraId="3378136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33606736</w:t>
      </w:r>
    </w:p>
    <w:p w14:paraId="208D249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33606760</w:t>
      </w:r>
    </w:p>
    <w:p w14:paraId="61C0B9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联系人：陈思</w:t>
      </w:r>
    </w:p>
    <w:p w14:paraId="39A5A3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95564</w:t>
      </w:r>
    </w:p>
    <w:p w14:paraId="2287DD4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www.lxzq.com.cn</w:t>
      </w:r>
    </w:p>
    <w:p w14:paraId="514005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）名称：华西证券股份有限公司</w:t>
      </w:r>
    </w:p>
    <w:p w14:paraId="200D54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住所：四川省成都市高新区天府二街</w:t>
      </w:r>
      <w:r>
        <w:rPr>
          <w:rFonts w:ascii="Times New Roman" w:hAnsi="Times New Roman"/>
          <w:sz w:val="24"/>
        </w:rPr>
        <w:t>198</w:t>
      </w:r>
      <w:r>
        <w:rPr>
          <w:rFonts w:ascii="Times New Roman" w:hAnsi="Times New Roman"/>
          <w:sz w:val="24"/>
        </w:rPr>
        <w:t>号华西证券大厦</w:t>
      </w:r>
    </w:p>
    <w:p w14:paraId="3A77469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办公地址：四川省成都市高新区天府二街</w:t>
      </w:r>
      <w:r>
        <w:rPr>
          <w:rFonts w:ascii="Times New Roman" w:hAnsi="Times New Roman"/>
          <w:sz w:val="24"/>
        </w:rPr>
        <w:t>198</w:t>
      </w:r>
      <w:r>
        <w:rPr>
          <w:rFonts w:ascii="Times New Roman" w:hAnsi="Times New Roman"/>
          <w:sz w:val="24"/>
        </w:rPr>
        <w:t>号华西证券大厦</w:t>
      </w:r>
    </w:p>
    <w:p w14:paraId="0CDC20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法定代表人：杨炯洋</w:t>
      </w:r>
    </w:p>
    <w:p w14:paraId="73E3C57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86135991</w:t>
      </w:r>
    </w:p>
    <w:p w14:paraId="041B7AB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028</w:t>
      </w:r>
      <w:r>
        <w:rPr>
          <w:rFonts w:ascii="Times New Roman" w:hAnsi="Times New Roman"/>
          <w:sz w:val="24"/>
        </w:rPr>
        <w:t>）</w:t>
      </w:r>
      <w:r>
        <w:rPr>
          <w:rFonts w:ascii="Times New Roman" w:hAnsi="Times New Roman"/>
          <w:sz w:val="24"/>
        </w:rPr>
        <w:t>86150400</w:t>
      </w:r>
    </w:p>
    <w:p w14:paraId="2D407F1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联系人：周志茹</w:t>
      </w:r>
    </w:p>
    <w:p w14:paraId="1E58C52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95584</w:t>
      </w:r>
    </w:p>
    <w:p w14:paraId="4E8FAE8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www.hx168.com.cn</w:t>
      </w:r>
    </w:p>
    <w:p w14:paraId="792635B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）名称：平安证券股份有限公司</w:t>
      </w:r>
    </w:p>
    <w:p w14:paraId="49E7D0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14:paraId="5D2928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14:paraId="0F1043D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14:paraId="7E07DF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14:paraId="0F09D18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14:paraId="06B7545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郑舒丽</w:t>
      </w:r>
      <w:proofErr w:type="gramEnd"/>
    </w:p>
    <w:p w14:paraId="422BB84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95511-8</w:t>
      </w:r>
    </w:p>
    <w:p w14:paraId="2249E6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14:paraId="081E3F6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）名称：北京钱景财富投资管理有限公司</w:t>
      </w:r>
    </w:p>
    <w:p w14:paraId="0B735B9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638E5FE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6802719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法定代表人：赵荣春</w:t>
      </w:r>
    </w:p>
    <w:p w14:paraId="40CCA90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14:paraId="067DAF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14:paraId="1ECD92F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14:paraId="4F8C5C4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14:paraId="56BE14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www.niuji.net</w:t>
      </w:r>
    </w:p>
    <w:p w14:paraId="551A9A2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）名称：上海大智慧基金销售有限公司</w:t>
      </w:r>
    </w:p>
    <w:p w14:paraId="7898ED5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w:t>
      </w:r>
      <w:proofErr w:type="gramStart"/>
      <w:r>
        <w:rPr>
          <w:rFonts w:ascii="Times New Roman" w:hAnsi="Times New Roman"/>
          <w:sz w:val="24"/>
        </w:rPr>
        <w:t>新区杨</w:t>
      </w:r>
      <w:proofErr w:type="gramEnd"/>
      <w:r>
        <w:rPr>
          <w:rFonts w:ascii="Times New Roman" w:hAnsi="Times New Roman"/>
          <w:sz w:val="24"/>
        </w:rPr>
        <w:t>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1DD6D3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新区杨</w:t>
      </w:r>
      <w:proofErr w:type="gramEnd"/>
      <w:r>
        <w:rPr>
          <w:rFonts w:ascii="Times New Roman" w:hAnsi="Times New Roman"/>
          <w:sz w:val="24"/>
        </w:rPr>
        <w:t>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5587BF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法定代表人：申健</w:t>
      </w:r>
    </w:p>
    <w:p w14:paraId="53C996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021-0219988-35374</w:t>
      </w:r>
    </w:p>
    <w:p w14:paraId="778D0A7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021-20219923</w:t>
      </w:r>
    </w:p>
    <w:p w14:paraId="78D7707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w:t>
      </w:r>
      <w:proofErr w:type="gramStart"/>
      <w:r>
        <w:rPr>
          <w:rFonts w:ascii="Times New Roman" w:hAnsi="Times New Roman"/>
          <w:sz w:val="24"/>
        </w:rPr>
        <w:t>蜓</w:t>
      </w:r>
      <w:proofErr w:type="gramEnd"/>
    </w:p>
    <w:p w14:paraId="7C025B2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021-20292031</w:t>
      </w:r>
    </w:p>
    <w:p w14:paraId="01708E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https://www.wg.com.cn</w:t>
      </w:r>
    </w:p>
    <w:p w14:paraId="5604D9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）名称：上海利得基金销售有限公司</w:t>
      </w:r>
    </w:p>
    <w:p w14:paraId="131E262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w:t>
      </w:r>
      <w:proofErr w:type="gramStart"/>
      <w:r>
        <w:rPr>
          <w:rFonts w:ascii="Times New Roman" w:hAnsi="Times New Roman"/>
          <w:sz w:val="24"/>
        </w:rPr>
        <w:t>峨</w:t>
      </w:r>
      <w:proofErr w:type="gramEnd"/>
      <w:r>
        <w:rPr>
          <w:rFonts w:ascii="Times New Roman" w:hAnsi="Times New Roman"/>
          <w:sz w:val="24"/>
        </w:rPr>
        <w:t>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w:t>
      </w:r>
      <w:proofErr w:type="gramStart"/>
      <w:r>
        <w:rPr>
          <w:rFonts w:ascii="Times New Roman" w:hAnsi="Times New Roman"/>
          <w:sz w:val="24"/>
        </w:rPr>
        <w:t>嘴软件园</w:t>
      </w:r>
      <w:r>
        <w:rPr>
          <w:rFonts w:ascii="Times New Roman" w:hAnsi="Times New Roman"/>
          <w:sz w:val="24"/>
        </w:rPr>
        <w:t>10</w:t>
      </w:r>
      <w:r>
        <w:rPr>
          <w:rFonts w:ascii="Times New Roman" w:hAnsi="Times New Roman"/>
          <w:sz w:val="24"/>
        </w:rPr>
        <w:t>号</w:t>
      </w:r>
      <w:proofErr w:type="gramEnd"/>
      <w:r>
        <w:rPr>
          <w:rFonts w:ascii="Times New Roman" w:hAnsi="Times New Roman"/>
          <w:sz w:val="24"/>
        </w:rPr>
        <w:t>楼</w:t>
      </w:r>
      <w:r>
        <w:rPr>
          <w:rFonts w:ascii="Times New Roman" w:hAnsi="Times New Roman"/>
          <w:sz w:val="24"/>
        </w:rPr>
        <w:t>12</w:t>
      </w:r>
      <w:r>
        <w:rPr>
          <w:rFonts w:ascii="Times New Roman" w:hAnsi="Times New Roman"/>
          <w:sz w:val="24"/>
        </w:rPr>
        <w:t>楼</w:t>
      </w:r>
    </w:p>
    <w:p w14:paraId="06AB30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w:t>
      </w:r>
      <w:proofErr w:type="gramStart"/>
      <w:r>
        <w:rPr>
          <w:rFonts w:ascii="Times New Roman" w:hAnsi="Times New Roman"/>
          <w:sz w:val="24"/>
        </w:rPr>
        <w:t>峨</w:t>
      </w:r>
      <w:proofErr w:type="gramEnd"/>
      <w:r>
        <w:rPr>
          <w:rFonts w:ascii="Times New Roman" w:hAnsi="Times New Roman"/>
          <w:sz w:val="24"/>
        </w:rPr>
        <w:t>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w:t>
      </w:r>
      <w:proofErr w:type="gramStart"/>
      <w:r>
        <w:rPr>
          <w:rFonts w:ascii="Times New Roman" w:hAnsi="Times New Roman"/>
          <w:sz w:val="24"/>
        </w:rPr>
        <w:t>嘴软件园</w:t>
      </w:r>
      <w:r>
        <w:rPr>
          <w:rFonts w:ascii="Times New Roman" w:hAnsi="Times New Roman"/>
          <w:sz w:val="24"/>
        </w:rPr>
        <w:t>10</w:t>
      </w:r>
      <w:r>
        <w:rPr>
          <w:rFonts w:ascii="Times New Roman" w:hAnsi="Times New Roman"/>
          <w:sz w:val="24"/>
        </w:rPr>
        <w:t>号</w:t>
      </w:r>
      <w:proofErr w:type="gramEnd"/>
      <w:r>
        <w:rPr>
          <w:rFonts w:ascii="Times New Roman" w:hAnsi="Times New Roman"/>
          <w:sz w:val="24"/>
        </w:rPr>
        <w:t>楼</w:t>
      </w:r>
      <w:r>
        <w:rPr>
          <w:rFonts w:ascii="Times New Roman" w:hAnsi="Times New Roman"/>
          <w:sz w:val="24"/>
        </w:rPr>
        <w:t>12</w:t>
      </w:r>
      <w:r>
        <w:rPr>
          <w:rFonts w:ascii="Times New Roman" w:hAnsi="Times New Roman"/>
          <w:sz w:val="24"/>
        </w:rPr>
        <w:t>楼</w:t>
      </w:r>
    </w:p>
    <w:p w14:paraId="707A8D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法定代表人：沈继伟</w:t>
      </w:r>
    </w:p>
    <w:p w14:paraId="288C4C8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021-50583533</w:t>
      </w:r>
    </w:p>
    <w:p w14:paraId="296059F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021-50583633</w:t>
      </w:r>
    </w:p>
    <w:p w14:paraId="706835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14:paraId="68E477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400-005-6355</w:t>
      </w:r>
    </w:p>
    <w:p w14:paraId="1FBBD4E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a.leadfund.com.cn</w:t>
      </w:r>
    </w:p>
    <w:p w14:paraId="03E2A10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）名称：上海</w:t>
      </w:r>
      <w:proofErr w:type="gramStart"/>
      <w:r>
        <w:rPr>
          <w:rFonts w:ascii="Times New Roman" w:hAnsi="Times New Roman"/>
          <w:sz w:val="24"/>
        </w:rPr>
        <w:t>凯</w:t>
      </w:r>
      <w:proofErr w:type="gramEnd"/>
      <w:r>
        <w:rPr>
          <w:rFonts w:ascii="Times New Roman" w:hAnsi="Times New Roman"/>
          <w:sz w:val="24"/>
        </w:rPr>
        <w:t>石财富基金销售有限公司</w:t>
      </w:r>
    </w:p>
    <w:p w14:paraId="2848EC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14:paraId="10AB8B5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办公地址：上海市黄浦区延安东路</w:t>
      </w:r>
      <w:r>
        <w:rPr>
          <w:rFonts w:ascii="Times New Roman" w:hAnsi="Times New Roman"/>
          <w:sz w:val="24"/>
        </w:rPr>
        <w:t>1</w:t>
      </w:r>
      <w:r>
        <w:rPr>
          <w:rFonts w:ascii="Times New Roman" w:hAnsi="Times New Roman"/>
          <w:sz w:val="24"/>
        </w:rPr>
        <w:t>号</w:t>
      </w:r>
      <w:proofErr w:type="gramStart"/>
      <w:r>
        <w:rPr>
          <w:rFonts w:ascii="Times New Roman" w:hAnsi="Times New Roman"/>
          <w:sz w:val="24"/>
        </w:rPr>
        <w:t>凯石大厦</w:t>
      </w:r>
      <w:proofErr w:type="gramEnd"/>
      <w:r>
        <w:rPr>
          <w:rFonts w:ascii="Times New Roman" w:hAnsi="Times New Roman"/>
          <w:sz w:val="24"/>
        </w:rPr>
        <w:t>4</w:t>
      </w:r>
      <w:r>
        <w:rPr>
          <w:rFonts w:ascii="Times New Roman" w:hAnsi="Times New Roman"/>
          <w:sz w:val="24"/>
        </w:rPr>
        <w:t>楼</w:t>
      </w:r>
    </w:p>
    <w:p w14:paraId="200DB68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法定代表人：陈继武</w:t>
      </w:r>
    </w:p>
    <w:p w14:paraId="491FAFF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021-63333319</w:t>
      </w:r>
    </w:p>
    <w:p w14:paraId="5FAF1B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021-63332523</w:t>
      </w:r>
    </w:p>
    <w:p w14:paraId="5BC6BB5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联系人：李晓明</w:t>
      </w:r>
    </w:p>
    <w:p w14:paraId="720D77C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4000 178 000</w:t>
      </w:r>
    </w:p>
    <w:p w14:paraId="09B90D9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www.lingxianfund.com</w:t>
      </w:r>
    </w:p>
    <w:p w14:paraId="1B4A72A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）名称：北京虹点基金销售有限公司</w:t>
      </w:r>
    </w:p>
    <w:p w14:paraId="121E527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304F074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62D743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法定代表人：胡伟</w:t>
      </w:r>
    </w:p>
    <w:p w14:paraId="774EFA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2BEC49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22D826E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联系人：姜颖</w:t>
      </w:r>
    </w:p>
    <w:p w14:paraId="59590ED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400-618-0707</w:t>
      </w:r>
    </w:p>
    <w:p w14:paraId="489AF3F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www.hongdianfund.com/</w:t>
      </w:r>
    </w:p>
    <w:p w14:paraId="7B8D5A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14:paraId="78CF83C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14:paraId="4BFEA6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14:paraId="034D4F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法定代表人：汪静波</w:t>
      </w:r>
    </w:p>
    <w:p w14:paraId="47E190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14:paraId="337A5DC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14:paraId="786C983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联系人：方成</w:t>
      </w:r>
    </w:p>
    <w:p w14:paraId="7917AE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400-821-5399</w:t>
      </w:r>
    </w:p>
    <w:p w14:paraId="1C8E33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www.noah-fund.com</w:t>
      </w:r>
    </w:p>
    <w:p w14:paraId="165C73F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）名称：上海好买基金销售有限公司</w:t>
      </w:r>
    </w:p>
    <w:p w14:paraId="73DA09C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14:paraId="0EB6B7F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14:paraId="12BD5FD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法定代表人：杨文斌</w:t>
      </w:r>
    </w:p>
    <w:p w14:paraId="0613A4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14:paraId="3A91654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联系人：薛年</w:t>
      </w:r>
    </w:p>
    <w:p w14:paraId="76E7EEF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400-700-9665</w:t>
      </w:r>
    </w:p>
    <w:p w14:paraId="3AC7A28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www.ehowbuy.com</w:t>
      </w:r>
    </w:p>
    <w:p w14:paraId="17B391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）名称：上海长</w:t>
      </w:r>
      <w:proofErr w:type="gramStart"/>
      <w:r>
        <w:rPr>
          <w:rFonts w:ascii="Times New Roman" w:hAnsi="Times New Roman"/>
          <w:sz w:val="24"/>
        </w:rPr>
        <w:t>量基金</w:t>
      </w:r>
      <w:proofErr w:type="gramEnd"/>
      <w:r>
        <w:rPr>
          <w:rFonts w:ascii="Times New Roman" w:hAnsi="Times New Roman"/>
          <w:sz w:val="24"/>
        </w:rPr>
        <w:t>销售投资顾问有限公司</w:t>
      </w:r>
    </w:p>
    <w:p w14:paraId="5EE0CD2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14:paraId="712A8D0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w:t>
      </w:r>
      <w:proofErr w:type="gramStart"/>
      <w:r>
        <w:rPr>
          <w:rFonts w:ascii="Times New Roman" w:hAnsi="Times New Roman"/>
          <w:sz w:val="24"/>
        </w:rPr>
        <w:t>景国际</w:t>
      </w:r>
      <w:proofErr w:type="gramEnd"/>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14:paraId="08724E0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法定代表人：张跃伟</w:t>
      </w:r>
    </w:p>
    <w:p w14:paraId="2427DA1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14:paraId="27E5F6F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14:paraId="3C3F9F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联系人：单丙烨</w:t>
      </w:r>
    </w:p>
    <w:p w14:paraId="6FCDEF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400-820-2899</w:t>
      </w:r>
    </w:p>
    <w:p w14:paraId="4A6944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www.erichfund.com</w:t>
      </w:r>
    </w:p>
    <w:p w14:paraId="4378EE8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）名称：深圳</w:t>
      </w:r>
      <w:proofErr w:type="gramStart"/>
      <w:r>
        <w:rPr>
          <w:rFonts w:ascii="Times New Roman" w:hAnsi="Times New Roman"/>
          <w:sz w:val="24"/>
        </w:rPr>
        <w:t>众禄基金</w:t>
      </w:r>
      <w:proofErr w:type="gramEnd"/>
      <w:r>
        <w:rPr>
          <w:rFonts w:ascii="Times New Roman" w:hAnsi="Times New Roman"/>
          <w:sz w:val="24"/>
        </w:rPr>
        <w:t>销售有限公司</w:t>
      </w:r>
    </w:p>
    <w:p w14:paraId="1164A30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14:paraId="5CCF8E3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14:paraId="2190078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2D7CE82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14:paraId="2BE32FE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14:paraId="45B0B36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联系人：汤素娅</w:t>
      </w:r>
    </w:p>
    <w:p w14:paraId="26DFB9D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4006-788-887</w:t>
      </w:r>
    </w:p>
    <w:p w14:paraId="6FE8EF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14:paraId="56361A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）名称：蚂蚁（杭州）基金销售有限公司</w:t>
      </w:r>
    </w:p>
    <w:p w14:paraId="74A8CA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住所：杭州市余杭区仓前街道海</w:t>
      </w:r>
      <w:proofErr w:type="gramStart"/>
      <w:r>
        <w:rPr>
          <w:rFonts w:ascii="Times New Roman" w:hAnsi="Times New Roman"/>
          <w:sz w:val="24"/>
        </w:rPr>
        <w:t>曙</w:t>
      </w:r>
      <w:proofErr w:type="gramEnd"/>
      <w:r>
        <w:rPr>
          <w:rFonts w:ascii="Times New Roman" w:hAnsi="Times New Roman"/>
          <w:sz w:val="24"/>
        </w:rPr>
        <w:t>路东</w:t>
      </w:r>
      <w:r>
        <w:rPr>
          <w:rFonts w:ascii="Times New Roman" w:hAnsi="Times New Roman"/>
          <w:sz w:val="24"/>
        </w:rPr>
        <w:t>2</w:t>
      </w:r>
      <w:r>
        <w:rPr>
          <w:rFonts w:ascii="Times New Roman" w:hAnsi="Times New Roman"/>
          <w:sz w:val="24"/>
        </w:rPr>
        <w:t>号</w:t>
      </w:r>
    </w:p>
    <w:p w14:paraId="0A7681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14:paraId="7F48CD3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法定代表人：陈柏青</w:t>
      </w:r>
    </w:p>
    <w:p w14:paraId="26F5787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14:paraId="321B64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14:paraId="5FDD9D0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w:t>
      </w:r>
      <w:proofErr w:type="gramStart"/>
      <w:r>
        <w:rPr>
          <w:rFonts w:ascii="Times New Roman" w:hAnsi="Times New Roman"/>
          <w:sz w:val="24"/>
        </w:rPr>
        <w:t>嬿</w:t>
      </w:r>
      <w:proofErr w:type="gramEnd"/>
      <w:r>
        <w:rPr>
          <w:rFonts w:ascii="Times New Roman" w:hAnsi="Times New Roman"/>
          <w:sz w:val="24"/>
        </w:rPr>
        <w:t>旻</w:t>
      </w:r>
    </w:p>
    <w:p w14:paraId="53DE21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4000-766-123</w:t>
      </w:r>
    </w:p>
    <w:p w14:paraId="0BBB3DA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www.fund123.cn</w:t>
      </w:r>
    </w:p>
    <w:p w14:paraId="2937FD9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）名称：深圳市新兰德证券投资咨询有限公司</w:t>
      </w:r>
    </w:p>
    <w:p w14:paraId="6407605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14:paraId="0A08D4F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14:paraId="0FDDA6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法定代表人：陈操</w:t>
      </w:r>
    </w:p>
    <w:p w14:paraId="4537F0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14:paraId="0E0AA0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14:paraId="48CC6D9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联系人：刘宝文</w:t>
      </w:r>
    </w:p>
    <w:p w14:paraId="65958E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400-850-7771</w:t>
      </w:r>
    </w:p>
    <w:p w14:paraId="357772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http://8.jrj.com.cn/</w:t>
      </w:r>
    </w:p>
    <w:p w14:paraId="4262E51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）名称：北京</w:t>
      </w:r>
      <w:proofErr w:type="gramStart"/>
      <w:r>
        <w:rPr>
          <w:rFonts w:ascii="Times New Roman" w:hAnsi="Times New Roman"/>
          <w:sz w:val="24"/>
        </w:rPr>
        <w:t>展恒基金</w:t>
      </w:r>
      <w:proofErr w:type="gramEnd"/>
      <w:r>
        <w:rPr>
          <w:rFonts w:ascii="Times New Roman" w:hAnsi="Times New Roman"/>
          <w:sz w:val="24"/>
        </w:rPr>
        <w:t>销售股份有限公司</w:t>
      </w:r>
    </w:p>
    <w:p w14:paraId="66FB493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14:paraId="5133D29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14:paraId="4C22B30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法定代表人：闫振杰</w:t>
      </w:r>
    </w:p>
    <w:p w14:paraId="6A3A50D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14:paraId="5A3CC86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14:paraId="68E2333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14:paraId="48D3F6E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400-888-6661</w:t>
      </w:r>
    </w:p>
    <w:p w14:paraId="06B517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www.myfund.com</w:t>
      </w:r>
    </w:p>
    <w:p w14:paraId="6C61B9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37</w:t>
      </w:r>
      <w:r>
        <w:rPr>
          <w:rFonts w:ascii="Times New Roman" w:hAnsi="Times New Roman"/>
          <w:sz w:val="24"/>
        </w:rPr>
        <w:t>）名称：一路财富（北京）信息科技有限公司</w:t>
      </w:r>
    </w:p>
    <w:p w14:paraId="7C09D42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14:paraId="201CD01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14:paraId="0C678F7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14:paraId="7BF7C0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010-88312877</w:t>
      </w:r>
    </w:p>
    <w:p w14:paraId="6A97CA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010-88312099</w:t>
      </w:r>
    </w:p>
    <w:p w14:paraId="5C30C9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14:paraId="569C97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400-001-1566</w:t>
      </w:r>
    </w:p>
    <w:p w14:paraId="506E50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http://www.yilucaifu.com/</w:t>
      </w:r>
    </w:p>
    <w:p w14:paraId="3325DB2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）名称：和讯信息科技有限公司</w:t>
      </w:r>
    </w:p>
    <w:p w14:paraId="4E55D19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住所：北京市朝阳区朝外大街</w:t>
      </w:r>
      <w:proofErr w:type="gramStart"/>
      <w:r>
        <w:rPr>
          <w:rFonts w:ascii="Times New Roman" w:hAnsi="Times New Roman"/>
          <w:sz w:val="24"/>
        </w:rPr>
        <w:t>22</w:t>
      </w:r>
      <w:r>
        <w:rPr>
          <w:rFonts w:ascii="Times New Roman" w:hAnsi="Times New Roman"/>
          <w:sz w:val="24"/>
        </w:rPr>
        <w:t>号泛利大厦</w:t>
      </w:r>
      <w:proofErr w:type="gramEnd"/>
      <w:r>
        <w:rPr>
          <w:rFonts w:ascii="Times New Roman" w:hAnsi="Times New Roman"/>
          <w:sz w:val="24"/>
        </w:rPr>
        <w:t>10</w:t>
      </w:r>
      <w:r>
        <w:rPr>
          <w:rFonts w:ascii="Times New Roman" w:hAnsi="Times New Roman"/>
          <w:sz w:val="24"/>
        </w:rPr>
        <w:t>层</w:t>
      </w:r>
    </w:p>
    <w:p w14:paraId="4D5781C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办公地址：北京市朝阳区朝外大街</w:t>
      </w:r>
      <w:proofErr w:type="gramStart"/>
      <w:r>
        <w:rPr>
          <w:rFonts w:ascii="Times New Roman" w:hAnsi="Times New Roman"/>
          <w:sz w:val="24"/>
        </w:rPr>
        <w:t>22</w:t>
      </w:r>
      <w:r>
        <w:rPr>
          <w:rFonts w:ascii="Times New Roman" w:hAnsi="Times New Roman"/>
          <w:sz w:val="24"/>
        </w:rPr>
        <w:t>号泛利大厦</w:t>
      </w:r>
      <w:proofErr w:type="gramEnd"/>
      <w:r>
        <w:rPr>
          <w:rFonts w:ascii="Times New Roman" w:hAnsi="Times New Roman"/>
          <w:sz w:val="24"/>
        </w:rPr>
        <w:t>10</w:t>
      </w:r>
      <w:r>
        <w:rPr>
          <w:rFonts w:ascii="Times New Roman" w:hAnsi="Times New Roman"/>
          <w:sz w:val="24"/>
        </w:rPr>
        <w:t>层</w:t>
      </w:r>
    </w:p>
    <w:p w14:paraId="311B62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法定代表人：王莉</w:t>
      </w:r>
    </w:p>
    <w:p w14:paraId="029BB7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14:paraId="2AEDDD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14:paraId="0257054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联系人：周轶</w:t>
      </w:r>
    </w:p>
    <w:p w14:paraId="5F72C28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4009200022</w:t>
      </w:r>
    </w:p>
    <w:p w14:paraId="509E467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http://licaike.hexun.com/</w:t>
      </w:r>
    </w:p>
    <w:p w14:paraId="6301DF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）名称：上海天天基金销售有限公司</w:t>
      </w:r>
    </w:p>
    <w:p w14:paraId="59F876B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14:paraId="2BF0233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14:paraId="368437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法定代表人：其实</w:t>
      </w:r>
    </w:p>
    <w:p w14:paraId="0951CB4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14:paraId="21F0D3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14:paraId="2EDC00F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联系人：潘世友</w:t>
      </w:r>
    </w:p>
    <w:p w14:paraId="491DECA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400-1818-188</w:t>
      </w:r>
    </w:p>
    <w:p w14:paraId="1C0BC1B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www.1234567.com.cn</w:t>
      </w:r>
    </w:p>
    <w:p w14:paraId="0A1372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）名称：上海联泰资产管理有限公司</w:t>
      </w:r>
    </w:p>
    <w:p w14:paraId="271D983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14:paraId="35650A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14:paraId="003FD55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法定代表人：燕斌</w:t>
      </w:r>
    </w:p>
    <w:p w14:paraId="2BE92A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021-52822063</w:t>
      </w:r>
    </w:p>
    <w:p w14:paraId="2B122DE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021-52975270</w:t>
      </w:r>
    </w:p>
    <w:p w14:paraId="7378C8F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凌秋艳</w:t>
      </w:r>
      <w:proofErr w:type="gramEnd"/>
    </w:p>
    <w:p w14:paraId="7BC3A7B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4000-466-788</w:t>
      </w:r>
    </w:p>
    <w:p w14:paraId="1C050F0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www.66zichan.com</w:t>
      </w:r>
    </w:p>
    <w:p w14:paraId="091EAF1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）名称：珠海盈米财富管理有限公司</w:t>
      </w:r>
    </w:p>
    <w:p w14:paraId="793042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14:paraId="4B6D47B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办公地址：广州市海珠区</w:t>
      </w:r>
      <w:proofErr w:type="gramStart"/>
      <w:r>
        <w:rPr>
          <w:rFonts w:ascii="Times New Roman" w:hAnsi="Times New Roman"/>
          <w:sz w:val="24"/>
        </w:rPr>
        <w:t>琶</w:t>
      </w:r>
      <w:proofErr w:type="gramEnd"/>
      <w:r>
        <w:rPr>
          <w:rFonts w:ascii="Times New Roman" w:hAnsi="Times New Roman"/>
          <w:sz w:val="24"/>
        </w:rPr>
        <w:t>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14:paraId="3A65F28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法定代表人：肖雯</w:t>
      </w:r>
    </w:p>
    <w:p w14:paraId="741703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14:paraId="31F6139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14:paraId="485A63C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联系人：黄敏</w:t>
      </w:r>
      <w:proofErr w:type="gramStart"/>
      <w:r>
        <w:rPr>
          <w:rFonts w:ascii="Times New Roman" w:hAnsi="Times New Roman"/>
          <w:sz w:val="24"/>
        </w:rPr>
        <w:t>嫦</w:t>
      </w:r>
      <w:proofErr w:type="gramEnd"/>
    </w:p>
    <w:p w14:paraId="4EB337B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14:paraId="4C6D409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www.yingmi.cn</w:t>
      </w:r>
    </w:p>
    <w:p w14:paraId="1652F9C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）名称：上海基</w:t>
      </w:r>
      <w:proofErr w:type="gramStart"/>
      <w:r>
        <w:rPr>
          <w:rFonts w:ascii="Times New Roman" w:hAnsi="Times New Roman"/>
          <w:sz w:val="24"/>
        </w:rPr>
        <w:t>煜</w:t>
      </w:r>
      <w:proofErr w:type="gramEnd"/>
      <w:r>
        <w:rPr>
          <w:rFonts w:ascii="Times New Roman" w:hAnsi="Times New Roman"/>
          <w:sz w:val="24"/>
        </w:rPr>
        <w:t>基金销售有限公司</w:t>
      </w:r>
    </w:p>
    <w:p w14:paraId="08443D5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14:paraId="3CF270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14:paraId="3BC636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14:paraId="3E3708D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14:paraId="605B87B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14:paraId="327215E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14:paraId="5DBF0F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14:paraId="05AFECF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www.jiyufund.com.cn</w:t>
      </w:r>
    </w:p>
    <w:p w14:paraId="492271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w:t>
      </w:r>
      <w:proofErr w:type="gramStart"/>
      <w:r>
        <w:rPr>
          <w:rFonts w:ascii="Times New Roman" w:hAnsi="Times New Roman"/>
          <w:sz w:val="24"/>
        </w:rPr>
        <w:t>宜信普泽</w:t>
      </w:r>
      <w:proofErr w:type="gramEnd"/>
      <w:r>
        <w:rPr>
          <w:rFonts w:ascii="Times New Roman" w:hAnsi="Times New Roman"/>
          <w:sz w:val="24"/>
        </w:rPr>
        <w:t>投资顾问（北京）有限公司</w:t>
      </w:r>
    </w:p>
    <w:p w14:paraId="49658D0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14:paraId="57E0351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14:paraId="4F625E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法定代表人：沈伟桦</w:t>
      </w:r>
    </w:p>
    <w:p w14:paraId="0BDA7F1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010-52855713</w:t>
      </w:r>
    </w:p>
    <w:p w14:paraId="584B43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010-85894285</w:t>
      </w:r>
    </w:p>
    <w:p w14:paraId="5A6254B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联系人：程刚</w:t>
      </w:r>
    </w:p>
    <w:p w14:paraId="0958C59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400-6099-200</w:t>
      </w:r>
    </w:p>
    <w:p w14:paraId="2DA1659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www.yixinfund.com</w:t>
      </w:r>
    </w:p>
    <w:p w14:paraId="23C3E2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）名称：中国国际金融股份有限公司</w:t>
      </w:r>
    </w:p>
    <w:p w14:paraId="2CC782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7CE3796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3DB503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proofErr w:type="gramStart"/>
      <w:r>
        <w:rPr>
          <w:rFonts w:ascii="Times New Roman" w:hAnsi="Times New Roman"/>
          <w:sz w:val="24"/>
        </w:rPr>
        <w:t>毕明建</w:t>
      </w:r>
      <w:proofErr w:type="gramEnd"/>
    </w:p>
    <w:p w14:paraId="6460209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14:paraId="56CF65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14:paraId="6D830E9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14:paraId="57D4CCF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14:paraId="19C80C7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）名称：浙江同花</w:t>
      </w:r>
      <w:proofErr w:type="gramStart"/>
      <w:r>
        <w:rPr>
          <w:rFonts w:ascii="Times New Roman" w:hAnsi="Times New Roman"/>
          <w:sz w:val="24"/>
        </w:rPr>
        <w:t>顺基金</w:t>
      </w:r>
      <w:proofErr w:type="gramEnd"/>
      <w:r>
        <w:rPr>
          <w:rFonts w:ascii="Times New Roman" w:hAnsi="Times New Roman"/>
          <w:sz w:val="24"/>
        </w:rPr>
        <w:t>销售有限公司</w:t>
      </w:r>
    </w:p>
    <w:p w14:paraId="2A9287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14:paraId="525686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办公地址：浙江省杭州市西湖区</w:t>
      </w:r>
      <w:proofErr w:type="gramStart"/>
      <w:r>
        <w:rPr>
          <w:rFonts w:ascii="Times New Roman" w:hAnsi="Times New Roman"/>
          <w:sz w:val="24"/>
        </w:rPr>
        <w:t>翠柏路</w:t>
      </w:r>
      <w:proofErr w:type="gramEnd"/>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14:paraId="5C841E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proofErr w:type="gramStart"/>
      <w:r>
        <w:rPr>
          <w:rFonts w:ascii="Times New Roman" w:hAnsi="Times New Roman"/>
          <w:sz w:val="24"/>
        </w:rPr>
        <w:t>凌</w:t>
      </w:r>
      <w:proofErr w:type="gramEnd"/>
      <w:r>
        <w:rPr>
          <w:rFonts w:ascii="Times New Roman" w:hAnsi="Times New Roman"/>
          <w:sz w:val="24"/>
        </w:rPr>
        <w:t>顺平</w:t>
      </w:r>
    </w:p>
    <w:p w14:paraId="5394CD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14:paraId="0EAB159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14:paraId="54682E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联系人：吴强</w:t>
      </w:r>
    </w:p>
    <w:p w14:paraId="3BC9ED0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400-877-3772</w:t>
      </w:r>
    </w:p>
    <w:p w14:paraId="4C961E4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www.5ifund.com</w:t>
      </w:r>
    </w:p>
    <w:p w14:paraId="361528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）名称：中信期货有限公司</w:t>
      </w:r>
    </w:p>
    <w:p w14:paraId="64C9DB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2EEDA7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6E3C033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法定代表人：张皓</w:t>
      </w:r>
    </w:p>
    <w:p w14:paraId="0F553FC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010-60833754</w:t>
      </w:r>
    </w:p>
    <w:p w14:paraId="547CC8F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021-60819988</w:t>
      </w:r>
    </w:p>
    <w:p w14:paraId="5236F92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联系人：刘宏</w:t>
      </w:r>
      <w:proofErr w:type="gramStart"/>
      <w:r>
        <w:rPr>
          <w:rFonts w:ascii="Times New Roman" w:hAnsi="Times New Roman"/>
          <w:sz w:val="24"/>
        </w:rPr>
        <w:t>莹</w:t>
      </w:r>
      <w:proofErr w:type="gramEnd"/>
    </w:p>
    <w:p w14:paraId="22025C2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客服电话：</w:t>
      </w:r>
      <w:r>
        <w:rPr>
          <w:rFonts w:ascii="Times New Roman" w:hAnsi="Times New Roman"/>
          <w:sz w:val="24"/>
        </w:rPr>
        <w:t>400-990-8826</w:t>
      </w:r>
    </w:p>
    <w:p w14:paraId="4F9673C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网站：</w:t>
      </w:r>
      <w:r>
        <w:rPr>
          <w:rFonts w:ascii="Times New Roman" w:hAnsi="Times New Roman"/>
          <w:sz w:val="24"/>
        </w:rPr>
        <w:t>www.citicsf.com</w:t>
      </w:r>
    </w:p>
    <w:p w14:paraId="59E550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）名称：上海陆金</w:t>
      </w:r>
      <w:proofErr w:type="gramStart"/>
      <w:r>
        <w:rPr>
          <w:rFonts w:ascii="Times New Roman" w:hAnsi="Times New Roman"/>
          <w:sz w:val="24"/>
        </w:rPr>
        <w:t>所资产</w:t>
      </w:r>
      <w:proofErr w:type="gramEnd"/>
      <w:r>
        <w:rPr>
          <w:rFonts w:ascii="Times New Roman" w:hAnsi="Times New Roman"/>
          <w:sz w:val="24"/>
        </w:rPr>
        <w:t>管理有限公司</w:t>
      </w:r>
    </w:p>
    <w:p w14:paraId="4D47334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14:paraId="3F8619C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14:paraId="1698E1D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法定代表人：郭坚</w:t>
      </w:r>
    </w:p>
    <w:p w14:paraId="021C74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14:paraId="18B7074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14:paraId="409FAE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宁博宇</w:t>
      </w:r>
      <w:proofErr w:type="gramEnd"/>
    </w:p>
    <w:p w14:paraId="48F739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4008219031</w:t>
      </w:r>
    </w:p>
    <w:p w14:paraId="4F5A304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www.lufunds.com</w:t>
      </w:r>
    </w:p>
    <w:p w14:paraId="51FB94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）名称：北京</w:t>
      </w:r>
      <w:proofErr w:type="gramStart"/>
      <w:r>
        <w:rPr>
          <w:rFonts w:ascii="Times New Roman" w:hAnsi="Times New Roman"/>
          <w:sz w:val="24"/>
        </w:rPr>
        <w:t>恒</w:t>
      </w:r>
      <w:proofErr w:type="gramEnd"/>
      <w:r>
        <w:rPr>
          <w:rFonts w:ascii="Times New Roman" w:hAnsi="Times New Roman"/>
          <w:sz w:val="24"/>
        </w:rPr>
        <w:t>天明</w:t>
      </w:r>
      <w:proofErr w:type="gramStart"/>
      <w:r>
        <w:rPr>
          <w:rFonts w:ascii="Times New Roman" w:hAnsi="Times New Roman"/>
          <w:sz w:val="24"/>
        </w:rPr>
        <w:t>泽基金</w:t>
      </w:r>
      <w:proofErr w:type="gramEnd"/>
      <w:r>
        <w:rPr>
          <w:rFonts w:ascii="Times New Roman" w:hAnsi="Times New Roman"/>
          <w:sz w:val="24"/>
        </w:rPr>
        <w:t>销售有限公司</w:t>
      </w:r>
    </w:p>
    <w:p w14:paraId="3B6E522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14:paraId="1252D42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proofErr w:type="gramStart"/>
      <w:r>
        <w:rPr>
          <w:rFonts w:ascii="Times New Roman" w:hAnsi="Times New Roman"/>
          <w:sz w:val="24"/>
        </w:rPr>
        <w:t>嘉盛中心</w:t>
      </w:r>
      <w:proofErr w:type="gramEnd"/>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14:paraId="0EA092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w:t>
      </w:r>
    </w:p>
    <w:p w14:paraId="4119D3D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14:paraId="16E1A61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14:paraId="69ADB4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联系人：张晔</w:t>
      </w:r>
    </w:p>
    <w:p w14:paraId="47E994D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4007868868</w:t>
      </w:r>
    </w:p>
    <w:p w14:paraId="66FF7A1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www.chtfund.com</w:t>
      </w:r>
    </w:p>
    <w:p w14:paraId="71FB55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）名称：北京汇成基金销售有限公司</w:t>
      </w:r>
    </w:p>
    <w:p w14:paraId="51FE13E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1B4F60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4F41CC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法定代表人：王伟刚</w:t>
      </w:r>
    </w:p>
    <w:p w14:paraId="2A58BCA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14:paraId="29499FB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14:paraId="08811BE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丁向坤</w:t>
      </w:r>
      <w:proofErr w:type="gramEnd"/>
    </w:p>
    <w:p w14:paraId="5C18406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400-619-9059</w:t>
      </w:r>
    </w:p>
    <w:p w14:paraId="296AFD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14:paraId="087E2C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）名称：奕丰基金销售有限公司</w:t>
      </w:r>
    </w:p>
    <w:p w14:paraId="6B7D8C2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4A769EB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14:paraId="43B3B7B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TEO WEE HOWE</w:t>
      </w:r>
    </w:p>
    <w:p w14:paraId="609B83C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14:paraId="491C42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14:paraId="5C35480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联系人：叶健</w:t>
      </w:r>
    </w:p>
    <w:p w14:paraId="0318DB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400-684-0500</w:t>
      </w:r>
    </w:p>
    <w:p w14:paraId="6BB26EB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www.ifastps.com.cn</w:t>
      </w:r>
    </w:p>
    <w:p w14:paraId="374D93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）名称：北京创金启富投资管理有限公司</w:t>
      </w:r>
    </w:p>
    <w:p w14:paraId="3629617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w:t>
      </w:r>
      <w:proofErr w:type="gramStart"/>
      <w:r>
        <w:rPr>
          <w:rFonts w:ascii="Times New Roman" w:hAnsi="Times New Roman"/>
          <w:sz w:val="24"/>
        </w:rPr>
        <w:t>水大厦</w:t>
      </w:r>
      <w:proofErr w:type="gramEnd"/>
      <w:r>
        <w:rPr>
          <w:rFonts w:ascii="Times New Roman" w:hAnsi="Times New Roman"/>
          <w:sz w:val="24"/>
        </w:rPr>
        <w:t>215A</w:t>
      </w:r>
    </w:p>
    <w:p w14:paraId="6C8C3D8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14:paraId="5B228D6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法定代表人：梁蓉</w:t>
      </w:r>
    </w:p>
    <w:p w14:paraId="5797D5B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14:paraId="76EF1F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14:paraId="4E9B56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联系人：李婷婷</w:t>
      </w:r>
    </w:p>
    <w:p w14:paraId="386158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400-6262-818</w:t>
      </w:r>
    </w:p>
    <w:p w14:paraId="099A458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www.5irich.com</w:t>
      </w:r>
    </w:p>
    <w:p w14:paraId="7E6993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）名称：上海云湾投资管理有限公司</w:t>
      </w:r>
    </w:p>
    <w:p w14:paraId="3356DC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14:paraId="26678E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14:paraId="6DD39D9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法定代表人：戴新装</w:t>
      </w:r>
    </w:p>
    <w:p w14:paraId="6A52A8A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14:paraId="001D5B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14:paraId="01558E0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联系人：江辉</w:t>
      </w:r>
    </w:p>
    <w:p w14:paraId="4A3540C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400-820-1515</w:t>
      </w:r>
    </w:p>
    <w:p w14:paraId="78033C5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www.zhengtongfunds.com</w:t>
      </w:r>
    </w:p>
    <w:p w14:paraId="2F2FBD0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53</w:t>
      </w:r>
      <w:r>
        <w:rPr>
          <w:rFonts w:ascii="Times New Roman" w:hAnsi="Times New Roman"/>
          <w:sz w:val="24"/>
        </w:rPr>
        <w:t>）名称：中证金牛（北京）投资咨询有限公司</w:t>
      </w:r>
    </w:p>
    <w:p w14:paraId="5573E8D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14:paraId="5AB899D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w:t>
      </w:r>
      <w:proofErr w:type="gramStart"/>
      <w:r>
        <w:rPr>
          <w:rFonts w:ascii="Times New Roman" w:hAnsi="Times New Roman"/>
          <w:sz w:val="24"/>
        </w:rPr>
        <w:t>环球财讯中心</w:t>
      </w:r>
      <w:proofErr w:type="gramEnd"/>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76F35C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w:t>
      </w:r>
      <w:r>
        <w:rPr>
          <w:rFonts w:ascii="Times New Roman" w:hAnsi="Times New Roman"/>
          <w:sz w:val="24"/>
        </w:rPr>
        <w:t xml:space="preserve"> </w:t>
      </w:r>
      <w:r>
        <w:rPr>
          <w:rFonts w:ascii="Times New Roman" w:hAnsi="Times New Roman"/>
          <w:sz w:val="24"/>
        </w:rPr>
        <w:t>钱昊旻</w:t>
      </w:r>
    </w:p>
    <w:p w14:paraId="7127AA9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14:paraId="19C94A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14:paraId="5A3978D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proofErr w:type="gramStart"/>
      <w:r>
        <w:rPr>
          <w:rFonts w:ascii="Times New Roman" w:hAnsi="Times New Roman"/>
          <w:sz w:val="24"/>
        </w:rPr>
        <w:t>孟汉霄</w:t>
      </w:r>
      <w:proofErr w:type="gramEnd"/>
    </w:p>
    <w:p w14:paraId="69DD94E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4008-909-998</w:t>
      </w:r>
    </w:p>
    <w:p w14:paraId="74A5BEE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www.jnlc.com</w:t>
      </w:r>
    </w:p>
    <w:p w14:paraId="159A6A9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）名称：北京新</w:t>
      </w:r>
      <w:proofErr w:type="gramStart"/>
      <w:r>
        <w:rPr>
          <w:rFonts w:ascii="Times New Roman" w:hAnsi="Times New Roman"/>
          <w:sz w:val="24"/>
        </w:rPr>
        <w:t>浪仓石基金</w:t>
      </w:r>
      <w:proofErr w:type="gramEnd"/>
      <w:r>
        <w:rPr>
          <w:rFonts w:ascii="Times New Roman" w:hAnsi="Times New Roman"/>
          <w:sz w:val="24"/>
        </w:rPr>
        <w:t>销售有限公司</w:t>
      </w:r>
    </w:p>
    <w:p w14:paraId="5FF8945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5E6004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249C91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法定代表人：李昭琛</w:t>
      </w:r>
    </w:p>
    <w:p w14:paraId="258055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14:paraId="475BFCD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8610-62676582</w:t>
      </w:r>
    </w:p>
    <w:p w14:paraId="2F0098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联系人：付文红</w:t>
      </w:r>
    </w:p>
    <w:p w14:paraId="44E48E4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14:paraId="0F3202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www.xincai.com</w:t>
      </w:r>
    </w:p>
    <w:p w14:paraId="0C91B7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）名称：北京肯特瑞基金销售有限公司</w:t>
      </w:r>
    </w:p>
    <w:p w14:paraId="4D2D09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14:paraId="53DE9A4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w:t>
      </w:r>
      <w:proofErr w:type="gramStart"/>
      <w:r>
        <w:rPr>
          <w:rFonts w:ascii="Times New Roman" w:hAnsi="Times New Roman"/>
          <w:sz w:val="24"/>
        </w:rPr>
        <w:t>经济技术开发区科创十一</w:t>
      </w:r>
      <w:proofErr w:type="gramEnd"/>
      <w:r>
        <w:rPr>
          <w:rFonts w:ascii="Times New Roman" w:hAnsi="Times New Roman"/>
          <w:sz w:val="24"/>
        </w:rPr>
        <w:t>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14:paraId="1DD1593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14:paraId="0358F23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14:paraId="06501F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14:paraId="4ADF4D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14:paraId="739F14A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14:paraId="38E720F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14:paraId="15E820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）名称：北京蛋卷基金销售有限公司</w:t>
      </w:r>
    </w:p>
    <w:p w14:paraId="05453B9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14:paraId="4C0AADA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proofErr w:type="gramStart"/>
      <w:r>
        <w:rPr>
          <w:rFonts w:ascii="Times New Roman" w:hAnsi="Times New Roman"/>
          <w:sz w:val="24"/>
        </w:rPr>
        <w:t>号院融新</w:t>
      </w:r>
      <w:proofErr w:type="gramEnd"/>
      <w:r>
        <w:rPr>
          <w:rFonts w:ascii="Times New Roman" w:hAnsi="Times New Roman"/>
          <w:sz w:val="24"/>
        </w:rPr>
        <w:t>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14:paraId="50B484D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法定代表人：钟斐斐</w:t>
      </w:r>
    </w:p>
    <w:p w14:paraId="3858BCD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14:paraId="3F5064C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14:paraId="0A382C9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联系人：侯芳</w:t>
      </w:r>
      <w:proofErr w:type="gramStart"/>
      <w:r>
        <w:rPr>
          <w:rFonts w:ascii="Times New Roman" w:hAnsi="Times New Roman"/>
          <w:sz w:val="24"/>
        </w:rPr>
        <w:t>芳</w:t>
      </w:r>
      <w:proofErr w:type="gramEnd"/>
    </w:p>
    <w:p w14:paraId="2813A3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400-1599-288</w:t>
      </w:r>
    </w:p>
    <w:p w14:paraId="14716F2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https://danjuanapp.com</w:t>
      </w:r>
    </w:p>
    <w:p w14:paraId="5EC1195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w:t>
      </w:r>
      <w:proofErr w:type="gramStart"/>
      <w:r>
        <w:rPr>
          <w:rFonts w:ascii="Times New Roman" w:hAnsi="Times New Roman"/>
          <w:sz w:val="24"/>
        </w:rPr>
        <w:t>凤凰金</w:t>
      </w:r>
      <w:proofErr w:type="gramEnd"/>
      <w:r>
        <w:rPr>
          <w:rFonts w:ascii="Times New Roman" w:hAnsi="Times New Roman"/>
          <w:sz w:val="24"/>
        </w:rPr>
        <w:t>信（银川）投资管理有限公司</w:t>
      </w:r>
    </w:p>
    <w:p w14:paraId="30F6A62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住所：宁夏回族自治区银川市金</w:t>
      </w:r>
      <w:proofErr w:type="gramStart"/>
      <w:r>
        <w:rPr>
          <w:rFonts w:ascii="Times New Roman" w:hAnsi="Times New Roman"/>
          <w:sz w:val="24"/>
        </w:rPr>
        <w:t>凤区阅</w:t>
      </w:r>
      <w:proofErr w:type="gramEnd"/>
      <w:r>
        <w:rPr>
          <w:rFonts w:ascii="Times New Roman" w:hAnsi="Times New Roman"/>
          <w:sz w:val="24"/>
        </w:rPr>
        <w:t>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14:paraId="0150135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w:t>
      </w:r>
      <w:proofErr w:type="gramStart"/>
      <w:r>
        <w:rPr>
          <w:rFonts w:ascii="Times New Roman" w:hAnsi="Times New Roman"/>
          <w:sz w:val="24"/>
        </w:rPr>
        <w:t>朝阳区紫月</w:t>
      </w:r>
      <w:proofErr w:type="gramEnd"/>
      <w:r>
        <w:rPr>
          <w:rFonts w:ascii="Times New Roman" w:hAnsi="Times New Roman"/>
          <w:sz w:val="24"/>
        </w:rPr>
        <w:t>路</w:t>
      </w:r>
      <w:proofErr w:type="gramStart"/>
      <w:r>
        <w:rPr>
          <w:rFonts w:ascii="Times New Roman" w:hAnsi="Times New Roman"/>
          <w:sz w:val="24"/>
        </w:rPr>
        <w:t>18</w:t>
      </w:r>
      <w:r>
        <w:rPr>
          <w:rFonts w:ascii="Times New Roman" w:hAnsi="Times New Roman"/>
          <w:sz w:val="24"/>
        </w:rPr>
        <w:t>号院朝来</w:t>
      </w:r>
      <w:proofErr w:type="gramEnd"/>
      <w:r>
        <w:rPr>
          <w:rFonts w:ascii="Times New Roman" w:hAnsi="Times New Roman"/>
          <w:sz w:val="24"/>
        </w:rPr>
        <w:t>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14:paraId="780196F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法定代表人：程刚</w:t>
      </w:r>
    </w:p>
    <w:p w14:paraId="70085BD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14:paraId="0BB826A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14:paraId="32AF2BD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联系人：张旭</w:t>
      </w:r>
    </w:p>
    <w:p w14:paraId="0531647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400-810-5919</w:t>
      </w:r>
    </w:p>
    <w:p w14:paraId="52E729A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www.fengfd.com</w:t>
      </w:r>
    </w:p>
    <w:p w14:paraId="0934D28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58</w:t>
      </w:r>
      <w:r>
        <w:rPr>
          <w:rFonts w:ascii="Times New Roman" w:hAnsi="Times New Roman"/>
          <w:sz w:val="24"/>
        </w:rPr>
        <w:t>）名称：深圳市金斧子基金销售有限公司</w:t>
      </w:r>
    </w:p>
    <w:p w14:paraId="4A7CE1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14:paraId="33DC2E8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14:paraId="20F1A59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proofErr w:type="gramStart"/>
      <w:r>
        <w:rPr>
          <w:rFonts w:ascii="Times New Roman" w:hAnsi="Times New Roman"/>
          <w:sz w:val="24"/>
        </w:rPr>
        <w:t>赖任军</w:t>
      </w:r>
      <w:proofErr w:type="gramEnd"/>
    </w:p>
    <w:p w14:paraId="716992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14:paraId="7A19B4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14:paraId="4738BD1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联系人：张烨</w:t>
      </w:r>
    </w:p>
    <w:p w14:paraId="66BBC96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400-9500-888</w:t>
      </w:r>
    </w:p>
    <w:p w14:paraId="4D29E29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www.jfzinv.com</w:t>
      </w:r>
    </w:p>
    <w:p w14:paraId="5AE6657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59</w:t>
      </w:r>
      <w:r>
        <w:rPr>
          <w:rFonts w:ascii="Times New Roman" w:hAnsi="Times New Roman"/>
          <w:sz w:val="24"/>
        </w:rPr>
        <w:t>）名称：格</w:t>
      </w:r>
      <w:proofErr w:type="gramStart"/>
      <w:r>
        <w:rPr>
          <w:rFonts w:ascii="Times New Roman" w:hAnsi="Times New Roman"/>
          <w:sz w:val="24"/>
        </w:rPr>
        <w:t>上富信投资</w:t>
      </w:r>
      <w:proofErr w:type="gramEnd"/>
      <w:r>
        <w:rPr>
          <w:rFonts w:ascii="Times New Roman" w:hAnsi="Times New Roman"/>
          <w:sz w:val="24"/>
        </w:rPr>
        <w:t>顾问有限公司</w:t>
      </w:r>
    </w:p>
    <w:p w14:paraId="53D053C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7A2C1F8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09C1D3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法定代表人：李悦章</w:t>
      </w:r>
    </w:p>
    <w:p w14:paraId="6BD54FB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14:paraId="715F6E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14:paraId="751E204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联系人：张林</w:t>
      </w:r>
    </w:p>
    <w:p w14:paraId="1FC820A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400-066-8586</w:t>
      </w:r>
    </w:p>
    <w:p w14:paraId="5B9A56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www.igesafe.com</w:t>
      </w:r>
    </w:p>
    <w:p w14:paraId="4AE9DC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）名称：上海万得基金销售有限公司</w:t>
      </w:r>
    </w:p>
    <w:p w14:paraId="08AC1D1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14:paraId="4DE5D0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14:paraId="0479DF3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王廷富</w:t>
      </w:r>
    </w:p>
    <w:p w14:paraId="5274C68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021-50712782</w:t>
      </w:r>
    </w:p>
    <w:p w14:paraId="64F0ED7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021-50710161</w:t>
      </w:r>
    </w:p>
    <w:p w14:paraId="09D24E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14:paraId="64245D9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400-821-0203</w:t>
      </w:r>
    </w:p>
    <w:p w14:paraId="6227400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www.520fund.com.cn</w:t>
      </w:r>
    </w:p>
    <w:p w14:paraId="16CFFBA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）名称：天津万家财富资产管理有限公司</w:t>
      </w:r>
    </w:p>
    <w:p w14:paraId="43F6D8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w:t>
      </w:r>
      <w:proofErr w:type="gramStart"/>
      <w:r>
        <w:rPr>
          <w:rFonts w:ascii="Times New Roman" w:hAnsi="Times New Roman"/>
          <w:sz w:val="24"/>
        </w:rPr>
        <w:t>滨海浙商大厦</w:t>
      </w:r>
      <w:proofErr w:type="gramEnd"/>
      <w:r>
        <w:rPr>
          <w:rFonts w:ascii="Times New Roman" w:hAnsi="Times New Roman"/>
          <w:sz w:val="24"/>
        </w:rPr>
        <w:t>公寓</w:t>
      </w:r>
      <w:r>
        <w:rPr>
          <w:rFonts w:ascii="Times New Roman" w:hAnsi="Times New Roman"/>
          <w:sz w:val="24"/>
        </w:rPr>
        <w:t>2-2413</w:t>
      </w:r>
      <w:r>
        <w:rPr>
          <w:rFonts w:ascii="Times New Roman" w:hAnsi="Times New Roman"/>
          <w:sz w:val="24"/>
        </w:rPr>
        <w:t>室</w:t>
      </w:r>
    </w:p>
    <w:p w14:paraId="6FEF44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14:paraId="4915F7F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法定代表人：李修辞</w:t>
      </w:r>
    </w:p>
    <w:p w14:paraId="6AD58A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14:paraId="1D303C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14:paraId="5E9963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联系人：王芳</w:t>
      </w:r>
      <w:proofErr w:type="gramStart"/>
      <w:r>
        <w:rPr>
          <w:rFonts w:ascii="Times New Roman" w:hAnsi="Times New Roman"/>
          <w:sz w:val="24"/>
        </w:rPr>
        <w:t>芳</w:t>
      </w:r>
      <w:proofErr w:type="gramEnd"/>
    </w:p>
    <w:p w14:paraId="3D92EB6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010-59013842</w:t>
      </w:r>
    </w:p>
    <w:p w14:paraId="485E71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http://www.wanjiawealth.com/</w:t>
      </w:r>
    </w:p>
    <w:p w14:paraId="6A4121C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）名称：上海挖财金融信息服务有限公司</w:t>
      </w:r>
    </w:p>
    <w:p w14:paraId="5FB910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59BDD65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62D449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14:paraId="05083C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14:paraId="2803362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14:paraId="1E4263F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14:paraId="7401F2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14:paraId="09B143C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www.wacaijijin.com</w:t>
      </w:r>
    </w:p>
    <w:p w14:paraId="708136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）名称：嘉实财富管理有限公司</w:t>
      </w:r>
    </w:p>
    <w:p w14:paraId="2811E25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14:paraId="51250F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14:paraId="15CDB1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14:paraId="0F0DFB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14:paraId="26686F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14:paraId="0F89FF5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王宫</w:t>
      </w:r>
    </w:p>
    <w:p w14:paraId="3C1509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400-021-8850</w:t>
      </w:r>
    </w:p>
    <w:p w14:paraId="0E0A8D7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www.harvestwm.cn</w:t>
      </w:r>
    </w:p>
    <w:p w14:paraId="45E143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）名称：南京苏宁基金销售有限公司</w:t>
      </w:r>
    </w:p>
    <w:p w14:paraId="6DDFC89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14:paraId="3D1F77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14:paraId="7B35E6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法定代表人：王锋</w:t>
      </w:r>
    </w:p>
    <w:p w14:paraId="5DCDC6B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025-66996699</w:t>
      </w:r>
    </w:p>
    <w:p w14:paraId="3A4D22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025-66996699</w:t>
      </w:r>
    </w:p>
    <w:p w14:paraId="3C2B1E8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14:paraId="5D3DE5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95177</w:t>
      </w:r>
    </w:p>
    <w:p w14:paraId="2A9A208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www.snjijin.com</w:t>
      </w:r>
    </w:p>
    <w:p w14:paraId="75DF1B1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）名称：北京百度</w:t>
      </w:r>
      <w:proofErr w:type="gramStart"/>
      <w:r>
        <w:rPr>
          <w:rFonts w:ascii="Times New Roman" w:hAnsi="Times New Roman"/>
          <w:sz w:val="24"/>
        </w:rPr>
        <w:t>百盈基金</w:t>
      </w:r>
      <w:proofErr w:type="gramEnd"/>
      <w:r>
        <w:rPr>
          <w:rFonts w:ascii="Times New Roman" w:hAnsi="Times New Roman"/>
          <w:sz w:val="24"/>
        </w:rPr>
        <w:t>销售有限公司</w:t>
      </w:r>
    </w:p>
    <w:p w14:paraId="0B1EE36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住所：北京市海淀区上</w:t>
      </w:r>
      <w:proofErr w:type="gramStart"/>
      <w:r>
        <w:rPr>
          <w:rFonts w:ascii="Times New Roman" w:hAnsi="Times New Roman"/>
          <w:sz w:val="24"/>
        </w:rPr>
        <w:t>地十街</w:t>
      </w:r>
      <w:proofErr w:type="gramEnd"/>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14:paraId="3B059F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w:t>
      </w:r>
      <w:proofErr w:type="gramStart"/>
      <w:r>
        <w:rPr>
          <w:rFonts w:ascii="Times New Roman" w:hAnsi="Times New Roman"/>
          <w:sz w:val="24"/>
        </w:rPr>
        <w:t>奎</w:t>
      </w:r>
      <w:proofErr w:type="gramEnd"/>
      <w:r>
        <w:rPr>
          <w:rFonts w:ascii="Times New Roman" w:hAnsi="Times New Roman"/>
          <w:sz w:val="24"/>
        </w:rPr>
        <w:t>科大厦</w:t>
      </w:r>
    </w:p>
    <w:p w14:paraId="61BE685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14:paraId="60B5404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010-61952703</w:t>
      </w:r>
    </w:p>
    <w:p w14:paraId="24707F0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010-61951007</w:t>
      </w:r>
    </w:p>
    <w:p w14:paraId="0AC5D3B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霍博华</w:t>
      </w:r>
      <w:proofErr w:type="gramEnd"/>
    </w:p>
    <w:p w14:paraId="6258A2D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95599-9</w:t>
      </w:r>
    </w:p>
    <w:p w14:paraId="7D6D1B1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www.baiyingfund.com</w:t>
      </w:r>
    </w:p>
    <w:p w14:paraId="5DB5A95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66</w:t>
      </w:r>
      <w:r>
        <w:rPr>
          <w:rFonts w:ascii="Times New Roman" w:hAnsi="Times New Roman"/>
          <w:sz w:val="24"/>
        </w:rPr>
        <w:t>）名称：</w:t>
      </w:r>
      <w:proofErr w:type="gramStart"/>
      <w:r>
        <w:rPr>
          <w:rFonts w:ascii="Times New Roman" w:hAnsi="Times New Roman"/>
          <w:sz w:val="24"/>
        </w:rPr>
        <w:t>腾安基金</w:t>
      </w:r>
      <w:proofErr w:type="gramEnd"/>
      <w:r>
        <w:rPr>
          <w:rFonts w:ascii="Times New Roman" w:hAnsi="Times New Roman"/>
          <w:sz w:val="24"/>
        </w:rPr>
        <w:t>销售（深圳）有限公司</w:t>
      </w:r>
    </w:p>
    <w:p w14:paraId="1D2E098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w:t>
      </w:r>
      <w:r>
        <w:rPr>
          <w:rFonts w:ascii="Times New Roman" w:hAnsi="Times New Roman"/>
          <w:sz w:val="24"/>
        </w:rPr>
        <w:lastRenderedPageBreak/>
        <w:t>书有限公司）</w:t>
      </w:r>
    </w:p>
    <w:p w14:paraId="0A2F7BB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办公地址：深圳市南山区海天二路</w:t>
      </w:r>
      <w:proofErr w:type="gramStart"/>
      <w:r>
        <w:rPr>
          <w:rFonts w:ascii="Times New Roman" w:hAnsi="Times New Roman"/>
          <w:sz w:val="24"/>
        </w:rPr>
        <w:t>33</w:t>
      </w:r>
      <w:r>
        <w:rPr>
          <w:rFonts w:ascii="Times New Roman" w:hAnsi="Times New Roman"/>
          <w:sz w:val="24"/>
        </w:rPr>
        <w:t>号腾讯滨海</w:t>
      </w:r>
      <w:proofErr w:type="gramEnd"/>
      <w:r>
        <w:rPr>
          <w:rFonts w:ascii="Times New Roman" w:hAnsi="Times New Roman"/>
          <w:sz w:val="24"/>
        </w:rPr>
        <w:t>大厦</w:t>
      </w:r>
    </w:p>
    <w:p w14:paraId="5AAA243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法定代表人：刘明军</w:t>
      </w:r>
    </w:p>
    <w:p w14:paraId="4C3C8B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14:paraId="49C0A3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联系人：谭广峰</w:t>
      </w:r>
    </w:p>
    <w:p w14:paraId="7E59352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14:paraId="3F5839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http://www.tenganxinxi.com/</w:t>
      </w:r>
    </w:p>
    <w:p w14:paraId="36A7E5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）名称：北京唐鼎耀华投资咨询有限公司</w:t>
      </w:r>
    </w:p>
    <w:p w14:paraId="62195D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住所：北京市延庆县延庆经济开发区</w:t>
      </w:r>
      <w:proofErr w:type="gramStart"/>
      <w:r>
        <w:rPr>
          <w:rFonts w:ascii="Times New Roman" w:hAnsi="Times New Roman"/>
          <w:sz w:val="24"/>
        </w:rPr>
        <w:t>百泉街</w:t>
      </w:r>
      <w:r>
        <w:rPr>
          <w:rFonts w:ascii="Times New Roman" w:hAnsi="Times New Roman"/>
          <w:sz w:val="24"/>
        </w:rPr>
        <w:t>10</w:t>
      </w:r>
      <w:r>
        <w:rPr>
          <w:rFonts w:ascii="Times New Roman" w:hAnsi="Times New Roman"/>
          <w:sz w:val="24"/>
        </w:rPr>
        <w:t>号</w:t>
      </w:r>
      <w:proofErr w:type="gramEnd"/>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14:paraId="0230DE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14:paraId="27E37AA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法定代表人：张冠宇</w:t>
      </w:r>
    </w:p>
    <w:p w14:paraId="5CE4A6B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14:paraId="4ADBBF3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14:paraId="6B43CF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14:paraId="23732A3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400-819-9868</w:t>
      </w:r>
    </w:p>
    <w:p w14:paraId="1427309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www.tdyhfund.com</w:t>
      </w:r>
    </w:p>
    <w:p w14:paraId="3E80A6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68</w:t>
      </w:r>
      <w:r>
        <w:rPr>
          <w:rFonts w:ascii="Times New Roman" w:hAnsi="Times New Roman"/>
          <w:sz w:val="24"/>
        </w:rPr>
        <w:t>）名称：上海华夏财富投资管理有限公司</w:t>
      </w:r>
    </w:p>
    <w:p w14:paraId="68709C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14:paraId="433FBD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14:paraId="7F496C3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proofErr w:type="gramStart"/>
      <w:r>
        <w:rPr>
          <w:rFonts w:ascii="Times New Roman" w:hAnsi="Times New Roman"/>
          <w:sz w:val="24"/>
        </w:rPr>
        <w:t>毛淮平</w:t>
      </w:r>
      <w:proofErr w:type="gramEnd"/>
    </w:p>
    <w:p w14:paraId="3EC895E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010-88066632</w:t>
      </w:r>
    </w:p>
    <w:p w14:paraId="302A98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010-63136184</w:t>
      </w:r>
    </w:p>
    <w:p w14:paraId="6D34D5E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张静怡</w:t>
      </w:r>
    </w:p>
    <w:p w14:paraId="1EFFBCB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400-817-5666</w:t>
      </w:r>
    </w:p>
    <w:p w14:paraId="53F692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www.amcfortune.com</w:t>
      </w:r>
    </w:p>
    <w:p w14:paraId="356B1E7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69</w:t>
      </w:r>
      <w:r>
        <w:rPr>
          <w:rFonts w:ascii="Times New Roman" w:hAnsi="Times New Roman"/>
          <w:sz w:val="24"/>
        </w:rPr>
        <w:t>）名称：江苏汇林保大基金销售有限公司</w:t>
      </w:r>
    </w:p>
    <w:p w14:paraId="697C7A1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14:paraId="6764D3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14:paraId="221CF9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14:paraId="4C976BF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14:paraId="681563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025-56663409</w:t>
      </w:r>
    </w:p>
    <w:p w14:paraId="1799185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14:paraId="6747FF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025-66046166</w:t>
      </w:r>
    </w:p>
    <w:p w14:paraId="501DC99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www.huilinbd.com</w:t>
      </w:r>
    </w:p>
    <w:p w14:paraId="21CA8D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70</w:t>
      </w:r>
      <w:r>
        <w:rPr>
          <w:rFonts w:ascii="Times New Roman" w:hAnsi="Times New Roman"/>
          <w:sz w:val="24"/>
        </w:rPr>
        <w:t>）名称：</w:t>
      </w:r>
      <w:proofErr w:type="gramStart"/>
      <w:r>
        <w:rPr>
          <w:rFonts w:ascii="Times New Roman" w:hAnsi="Times New Roman"/>
          <w:sz w:val="24"/>
        </w:rPr>
        <w:t>玄元保险</w:t>
      </w:r>
      <w:proofErr w:type="gramEnd"/>
      <w:r>
        <w:rPr>
          <w:rFonts w:ascii="Times New Roman" w:hAnsi="Times New Roman"/>
          <w:sz w:val="24"/>
        </w:rPr>
        <w:t>代理有限公司</w:t>
      </w:r>
    </w:p>
    <w:p w14:paraId="72A4435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22B75B0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6F2B3AC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法定代表人：马永谙</w:t>
      </w:r>
    </w:p>
    <w:p w14:paraId="687C044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78BD9D1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1D3F7DA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400-080-8208</w:t>
      </w:r>
    </w:p>
    <w:p w14:paraId="27C3450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www.licaimofang.cn</w:t>
      </w:r>
    </w:p>
    <w:p w14:paraId="093D13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71</w:t>
      </w:r>
      <w:r>
        <w:rPr>
          <w:rFonts w:ascii="Times New Roman" w:hAnsi="Times New Roman"/>
          <w:sz w:val="24"/>
        </w:rPr>
        <w:t>）名称：阳光人寿保险股份有限公司</w:t>
      </w:r>
    </w:p>
    <w:p w14:paraId="071F720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14:paraId="5C653A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14:paraId="327B513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法定代表人：李科</w:t>
      </w:r>
    </w:p>
    <w:p w14:paraId="3FE7039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14:paraId="1C80BD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14:paraId="11E15A5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联系人：王超</w:t>
      </w:r>
    </w:p>
    <w:p w14:paraId="0D5475E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95510</w:t>
      </w:r>
    </w:p>
    <w:p w14:paraId="7C3D049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http://fund.sinosig.com</w:t>
      </w:r>
    </w:p>
    <w:p w14:paraId="4BE74DC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72</w:t>
      </w:r>
      <w:r>
        <w:rPr>
          <w:rFonts w:ascii="Times New Roman" w:hAnsi="Times New Roman"/>
          <w:sz w:val="24"/>
        </w:rPr>
        <w:t>）名称：大连</w:t>
      </w:r>
      <w:proofErr w:type="gramStart"/>
      <w:r>
        <w:rPr>
          <w:rFonts w:ascii="Times New Roman" w:hAnsi="Times New Roman"/>
          <w:sz w:val="24"/>
        </w:rPr>
        <w:t>网金基金</w:t>
      </w:r>
      <w:proofErr w:type="gramEnd"/>
      <w:r>
        <w:rPr>
          <w:rFonts w:ascii="Times New Roman" w:hAnsi="Times New Roman"/>
          <w:sz w:val="24"/>
        </w:rPr>
        <w:t>销售有限公司</w:t>
      </w:r>
    </w:p>
    <w:p w14:paraId="03A0D66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4C4D8C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5606752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14:paraId="50C85F5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14:paraId="31FE32B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14:paraId="7FED8E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14:paraId="5779BD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14:paraId="74741F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http://www.yibaijin.com</w:t>
      </w:r>
    </w:p>
    <w:p w14:paraId="25FC330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基金管理人可根据有关法律法规的要求，选择其它符合要求的机构代理销售本基金，并在管理人网站公示。</w:t>
      </w:r>
    </w:p>
    <w:p w14:paraId="573E992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（二）登记机构</w:t>
      </w:r>
    </w:p>
    <w:p w14:paraId="1785CE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14:paraId="035958F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15B6E4E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247959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14:paraId="5E5FD2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1D0BB10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6492DF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14:paraId="719678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14:paraId="34AC632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14:paraId="546539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4A66098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4788DE3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14:paraId="68C1606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5D9B743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2FC6D31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联系人：黎明</w:t>
      </w:r>
    </w:p>
    <w:p w14:paraId="799D53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经办律师：吕红、黎明</w:t>
      </w:r>
    </w:p>
    <w:p w14:paraId="23A6B00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14:paraId="4CBB001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w:t>
      </w:r>
      <w:r>
        <w:rPr>
          <w:rFonts w:ascii="Times New Roman" w:hAnsi="Times New Roman"/>
          <w:sz w:val="24"/>
        </w:rPr>
        <w:t>(</w:t>
      </w:r>
      <w:r>
        <w:rPr>
          <w:rFonts w:ascii="Times New Roman" w:hAnsi="Times New Roman"/>
          <w:sz w:val="24"/>
        </w:rPr>
        <w:t>特殊普通合伙）</w:t>
      </w:r>
    </w:p>
    <w:p w14:paraId="3CFF31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1318</w:t>
      </w:r>
      <w:r>
        <w:rPr>
          <w:rFonts w:ascii="Times New Roman" w:hAnsi="Times New Roman"/>
          <w:sz w:val="24"/>
        </w:rPr>
        <w:t>号</w:t>
      </w:r>
      <w:proofErr w:type="gramStart"/>
      <w:r>
        <w:rPr>
          <w:rFonts w:ascii="Times New Roman" w:hAnsi="Times New Roman"/>
          <w:sz w:val="24"/>
        </w:rPr>
        <w:t>星展银行</w:t>
      </w:r>
      <w:proofErr w:type="gramEnd"/>
      <w:r>
        <w:rPr>
          <w:rFonts w:ascii="Times New Roman" w:hAnsi="Times New Roman"/>
          <w:sz w:val="24"/>
        </w:rPr>
        <w:t>大厦</w:t>
      </w:r>
      <w:r>
        <w:rPr>
          <w:rFonts w:ascii="Times New Roman" w:hAnsi="Times New Roman"/>
          <w:sz w:val="24"/>
        </w:rPr>
        <w:t>6</w:t>
      </w:r>
      <w:r>
        <w:rPr>
          <w:rFonts w:ascii="Times New Roman" w:hAnsi="Times New Roman"/>
          <w:sz w:val="24"/>
        </w:rPr>
        <w:t>楼</w:t>
      </w:r>
    </w:p>
    <w:p w14:paraId="250D3A8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办公地址：上海市湖滨路</w:t>
      </w:r>
      <w:r>
        <w:rPr>
          <w:rFonts w:ascii="Times New Roman" w:hAnsi="Times New Roman"/>
          <w:sz w:val="24"/>
        </w:rPr>
        <w:t>202</w:t>
      </w:r>
      <w:r>
        <w:rPr>
          <w:rFonts w:ascii="Times New Roman" w:hAnsi="Times New Roman"/>
          <w:sz w:val="24"/>
        </w:rPr>
        <w:t>号普华永道中心</w:t>
      </w:r>
      <w:r>
        <w:rPr>
          <w:rFonts w:ascii="Times New Roman" w:hAnsi="Times New Roman"/>
          <w:sz w:val="24"/>
        </w:rPr>
        <w:t>11</w:t>
      </w:r>
      <w:r>
        <w:rPr>
          <w:rFonts w:ascii="Times New Roman" w:hAnsi="Times New Roman"/>
          <w:sz w:val="24"/>
        </w:rPr>
        <w:t>楼</w:t>
      </w:r>
    </w:p>
    <w:p w14:paraId="078AF79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14:paraId="7949AF6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1AD9ED5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3571DE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联系人：朱宏宇</w:t>
      </w:r>
    </w:p>
    <w:p w14:paraId="6C66E11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w:t>
      </w:r>
      <w:proofErr w:type="gramStart"/>
      <w:r>
        <w:rPr>
          <w:rFonts w:ascii="Times New Roman" w:hAnsi="Times New Roman"/>
          <w:sz w:val="24"/>
        </w:rPr>
        <w:t>童咏静</w:t>
      </w:r>
      <w:proofErr w:type="gramEnd"/>
      <w:r>
        <w:rPr>
          <w:rFonts w:ascii="Times New Roman" w:hAnsi="Times New Roman"/>
          <w:sz w:val="24"/>
        </w:rPr>
        <w:t>、朱宏宇</w:t>
      </w:r>
    </w:p>
    <w:p w14:paraId="41D6D60C"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9DE7355" w14:textId="77777777" w:rsidR="009A30E5" w:rsidRDefault="00953581">
      <w:pPr>
        <w:pStyle w:val="1"/>
        <w:snapToGrid w:val="0"/>
        <w:spacing w:beforeLines="0" w:before="240" w:after="240"/>
        <w:rPr>
          <w:rFonts w:ascii="宋体" w:hAnsi="宋体"/>
          <w:szCs w:val="30"/>
        </w:rPr>
      </w:pPr>
      <w:bookmarkStart w:id="8" w:name="_Toc59040201"/>
      <w:r>
        <w:rPr>
          <w:rFonts w:ascii="Times New Roman" w:hAnsi="Times New Roman"/>
          <w:sz w:val="30"/>
        </w:rPr>
        <w:lastRenderedPageBreak/>
        <w:t>六、基金的募集</w:t>
      </w:r>
      <w:bookmarkEnd w:id="8"/>
    </w:p>
    <w:p w14:paraId="15FB701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（一）本基金的募集情况</w:t>
      </w:r>
    </w:p>
    <w:p w14:paraId="6A076D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本基金由基金管理人依照《基金法》、《运作办法》、基金合同及其他有关规定，并经中国证监会证监许可</w:t>
      </w:r>
      <w:r>
        <w:rPr>
          <w:rFonts w:ascii="Times New Roman" w:hAnsi="Times New Roman"/>
          <w:sz w:val="24"/>
        </w:rPr>
        <w:t>[2009]795</w:t>
      </w:r>
      <w:r>
        <w:rPr>
          <w:rFonts w:ascii="Times New Roman" w:hAnsi="Times New Roman"/>
          <w:sz w:val="24"/>
        </w:rPr>
        <w:t>号文核准募集发售。</w:t>
      </w:r>
    </w:p>
    <w:p w14:paraId="3A0D518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本基金为契约型开放式</w:t>
      </w:r>
      <w:r>
        <w:rPr>
          <w:rFonts w:ascii="Times New Roman" w:hAnsi="Times New Roman"/>
          <w:sz w:val="24"/>
        </w:rPr>
        <w:t>ETF</w:t>
      </w:r>
      <w:r>
        <w:rPr>
          <w:rFonts w:ascii="Times New Roman" w:hAnsi="Times New Roman"/>
          <w:sz w:val="24"/>
        </w:rPr>
        <w:t>联接基金。基金存续期间为不定期。</w:t>
      </w:r>
    </w:p>
    <w:p w14:paraId="2BFE91E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602EF7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本基金的募集期限不超过</w:t>
      </w:r>
      <w:r>
        <w:rPr>
          <w:rFonts w:ascii="Times New Roman" w:hAnsi="Times New Roman"/>
          <w:sz w:val="24"/>
        </w:rPr>
        <w:t>3</w:t>
      </w:r>
      <w:r>
        <w:rPr>
          <w:rFonts w:ascii="Times New Roman" w:hAnsi="Times New Roman"/>
          <w:sz w:val="24"/>
        </w:rPr>
        <w:t>个月，自基金份额开始发售之日起计算。</w:t>
      </w:r>
    </w:p>
    <w:p w14:paraId="04D2E0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2009</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日至</w:t>
      </w:r>
      <w:r>
        <w:rPr>
          <w:rFonts w:ascii="Times New Roman" w:hAnsi="Times New Roman"/>
          <w:sz w:val="24"/>
        </w:rPr>
        <w:t>2009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23</w:t>
      </w:r>
      <w:r>
        <w:rPr>
          <w:rFonts w:ascii="Times New Roman" w:hAnsi="Times New Roman"/>
          <w:sz w:val="24"/>
        </w:rPr>
        <w:t>日</w:t>
      </w:r>
      <w:proofErr w:type="gramStart"/>
      <w:r>
        <w:rPr>
          <w:rFonts w:ascii="Times New Roman" w:hAnsi="Times New Roman"/>
          <w:sz w:val="24"/>
        </w:rPr>
        <w:t>止</w:t>
      </w:r>
      <w:proofErr w:type="gramEnd"/>
      <w:r>
        <w:rPr>
          <w:rFonts w:ascii="Times New Roman" w:hAnsi="Times New Roman"/>
          <w:sz w:val="24"/>
        </w:rPr>
        <w:t>进行发售。</w:t>
      </w:r>
    </w:p>
    <w:p w14:paraId="28F8950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本基金设立募集期共募集</w:t>
      </w:r>
      <w:r>
        <w:rPr>
          <w:rFonts w:ascii="Times New Roman" w:hAnsi="Times New Roman"/>
          <w:sz w:val="24"/>
        </w:rPr>
        <w:t>7,090,257,767.14</w:t>
      </w:r>
      <w:r>
        <w:rPr>
          <w:rFonts w:ascii="Times New Roman" w:hAnsi="Times New Roman"/>
          <w:sz w:val="24"/>
        </w:rPr>
        <w:t>份基金份额，有效认购户数为</w:t>
      </w:r>
      <w:r>
        <w:rPr>
          <w:rFonts w:ascii="Times New Roman" w:hAnsi="Times New Roman"/>
          <w:sz w:val="24"/>
        </w:rPr>
        <w:t>78,610</w:t>
      </w:r>
      <w:r>
        <w:rPr>
          <w:rFonts w:ascii="Times New Roman" w:hAnsi="Times New Roman"/>
          <w:sz w:val="24"/>
        </w:rPr>
        <w:t>户。</w:t>
      </w:r>
    </w:p>
    <w:p w14:paraId="637B23A8"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 本基金与目标ETF的差异</w:t>
      </w:r>
    </w:p>
    <w:p w14:paraId="0613E19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、交易方式的差异</w:t>
      </w:r>
    </w:p>
    <w:p w14:paraId="43C307F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本基金为目标</w:t>
      </w:r>
      <w:r>
        <w:rPr>
          <w:rFonts w:ascii="Times New Roman" w:hAnsi="Times New Roman"/>
          <w:sz w:val="24"/>
        </w:rPr>
        <w:t>ETF</w:t>
      </w:r>
      <w:r>
        <w:rPr>
          <w:rFonts w:ascii="Times New Roman" w:hAnsi="Times New Roman"/>
          <w:sz w:val="24"/>
        </w:rPr>
        <w:t>的联接基金，投资者可以通过本基金的销售机构申购赎回本基金的基金份额。</w:t>
      </w:r>
    </w:p>
    <w:p w14:paraId="2C1691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本基金的目标</w:t>
      </w:r>
      <w:r>
        <w:rPr>
          <w:rFonts w:ascii="Times New Roman" w:hAnsi="Times New Roman"/>
          <w:sz w:val="24"/>
        </w:rPr>
        <w:t>ETF</w:t>
      </w:r>
      <w:r>
        <w:rPr>
          <w:rFonts w:ascii="Times New Roman" w:hAnsi="Times New Roman"/>
          <w:sz w:val="24"/>
        </w:rPr>
        <w:t>属于交易型开放式指数证券投资基金，投资者可以通过目标</w:t>
      </w:r>
      <w:r>
        <w:rPr>
          <w:rFonts w:ascii="Times New Roman" w:hAnsi="Times New Roman"/>
          <w:sz w:val="24"/>
        </w:rPr>
        <w:t>ETF</w:t>
      </w:r>
      <w:r>
        <w:rPr>
          <w:rFonts w:ascii="Times New Roman" w:hAnsi="Times New Roman"/>
          <w:sz w:val="24"/>
        </w:rPr>
        <w:t>的申购赎回代理券商申购赎回目标</w:t>
      </w:r>
      <w:r>
        <w:rPr>
          <w:rFonts w:ascii="Times New Roman" w:hAnsi="Times New Roman"/>
          <w:sz w:val="24"/>
        </w:rPr>
        <w:t>ETF</w:t>
      </w:r>
      <w:r>
        <w:rPr>
          <w:rFonts w:ascii="Times New Roman" w:hAnsi="Times New Roman"/>
          <w:sz w:val="24"/>
        </w:rPr>
        <w:t>的基金份额。此外，目标</w:t>
      </w:r>
      <w:r>
        <w:rPr>
          <w:rFonts w:ascii="Times New Roman" w:hAnsi="Times New Roman"/>
          <w:sz w:val="24"/>
        </w:rPr>
        <w:t>ETF</w:t>
      </w:r>
      <w:r>
        <w:rPr>
          <w:rFonts w:ascii="Times New Roman" w:hAnsi="Times New Roman"/>
          <w:sz w:val="24"/>
        </w:rPr>
        <w:t>符合上市条件申请上市成功后，投资者还可通过上海证券交易所的交易系统在二级市场买卖目标</w:t>
      </w:r>
      <w:r>
        <w:rPr>
          <w:rFonts w:ascii="Times New Roman" w:hAnsi="Times New Roman"/>
          <w:sz w:val="24"/>
        </w:rPr>
        <w:t>ETF</w:t>
      </w:r>
      <w:r>
        <w:rPr>
          <w:rFonts w:ascii="Times New Roman" w:hAnsi="Times New Roman"/>
          <w:sz w:val="24"/>
        </w:rPr>
        <w:t>的基金份额。</w:t>
      </w:r>
    </w:p>
    <w:p w14:paraId="78E499A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、申购赎回方式的差异</w:t>
      </w:r>
    </w:p>
    <w:p w14:paraId="74E855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本基金为目标</w:t>
      </w:r>
      <w:r>
        <w:rPr>
          <w:rFonts w:ascii="Times New Roman" w:hAnsi="Times New Roman"/>
          <w:sz w:val="24"/>
        </w:rPr>
        <w:t>ETF</w:t>
      </w:r>
      <w:r>
        <w:rPr>
          <w:rFonts w:ascii="Times New Roman" w:hAnsi="Times New Roman"/>
          <w:sz w:val="24"/>
        </w:rPr>
        <w:t>的联接基金，属于开放式证券投资基金。投资者申购赎回本</w:t>
      </w:r>
      <w:proofErr w:type="gramStart"/>
      <w:r>
        <w:rPr>
          <w:rFonts w:ascii="Times New Roman" w:hAnsi="Times New Roman"/>
          <w:sz w:val="24"/>
        </w:rPr>
        <w:t>基金基金</w:t>
      </w:r>
      <w:proofErr w:type="gramEnd"/>
      <w:r>
        <w:rPr>
          <w:rFonts w:ascii="Times New Roman" w:hAnsi="Times New Roman"/>
          <w:sz w:val="24"/>
        </w:rPr>
        <w:t>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14:paraId="102F2A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本基金的目标</w:t>
      </w:r>
      <w:r>
        <w:rPr>
          <w:rFonts w:ascii="Times New Roman" w:hAnsi="Times New Roman"/>
          <w:sz w:val="24"/>
        </w:rPr>
        <w:t>ETF</w:t>
      </w:r>
      <w:r>
        <w:rPr>
          <w:rFonts w:ascii="Times New Roman" w:hAnsi="Times New Roman"/>
          <w:sz w:val="24"/>
        </w:rPr>
        <w:t>属于交易型开放式证券投资基金。投资者申购赎回目标</w:t>
      </w:r>
      <w:r>
        <w:rPr>
          <w:rFonts w:ascii="Times New Roman" w:hAnsi="Times New Roman"/>
          <w:sz w:val="24"/>
        </w:rPr>
        <w:t>ETF</w:t>
      </w:r>
      <w:r>
        <w:rPr>
          <w:rFonts w:ascii="Times New Roman" w:hAnsi="Times New Roman"/>
          <w:sz w:val="24"/>
        </w:rPr>
        <w:t>基金份额均采用实物申购赎回方式，申购和赎回均以份额申请。投资者申购</w:t>
      </w:r>
      <w:r>
        <w:rPr>
          <w:rFonts w:ascii="Times New Roman" w:hAnsi="Times New Roman"/>
          <w:sz w:val="24"/>
        </w:rPr>
        <w:t>ETF</w:t>
      </w:r>
      <w:r>
        <w:rPr>
          <w:rFonts w:ascii="Times New Roman" w:hAnsi="Times New Roman"/>
          <w:sz w:val="24"/>
        </w:rPr>
        <w:t>基金份额时应根据基金管理人公告的申购赎回清单交付申购对价，包括组合证券、现金替代、现金差额及其他对价。投资者赎回基金份额时，基金管理人应根据申购赎回清单交付给投资者赎回对价，包括组合证券、现金替代、现金差额及其他对价。申购、赎回对</w:t>
      </w:r>
      <w:proofErr w:type="gramStart"/>
      <w:r>
        <w:rPr>
          <w:rFonts w:ascii="Times New Roman" w:hAnsi="Times New Roman"/>
          <w:sz w:val="24"/>
        </w:rPr>
        <w:t>价根据</w:t>
      </w:r>
      <w:proofErr w:type="gramEnd"/>
      <w:r>
        <w:rPr>
          <w:rFonts w:ascii="Times New Roman" w:hAnsi="Times New Roman"/>
          <w:sz w:val="24"/>
        </w:rPr>
        <w:t>申购赎回清单和投资者申购、赎回的基金份额数额确定。</w:t>
      </w:r>
    </w:p>
    <w:p w14:paraId="7C8ACC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、投资方法的差异</w:t>
      </w:r>
    </w:p>
    <w:p w14:paraId="73DEA5E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本基金为目标</w:t>
      </w:r>
      <w:r>
        <w:rPr>
          <w:rFonts w:ascii="Times New Roman" w:hAnsi="Times New Roman"/>
          <w:sz w:val="24"/>
        </w:rPr>
        <w:t>ETF</w:t>
      </w:r>
      <w:r>
        <w:rPr>
          <w:rFonts w:ascii="Times New Roman" w:hAnsi="Times New Roman"/>
          <w:sz w:val="24"/>
        </w:rPr>
        <w:t>的联接基金，属于开放式证券投资基金，以被动式的指数</w:t>
      </w:r>
      <w:proofErr w:type="gramStart"/>
      <w:r>
        <w:rPr>
          <w:rFonts w:ascii="Times New Roman" w:hAnsi="Times New Roman"/>
          <w:sz w:val="24"/>
        </w:rPr>
        <w:t>化投资</w:t>
      </w:r>
      <w:proofErr w:type="gramEnd"/>
      <w:r>
        <w:rPr>
          <w:rFonts w:ascii="Times New Roman" w:hAnsi="Times New Roman"/>
          <w:sz w:val="24"/>
        </w:rPr>
        <w:t>管理方式，将</w:t>
      </w:r>
      <w:r>
        <w:rPr>
          <w:rFonts w:ascii="Times New Roman" w:hAnsi="Times New Roman"/>
          <w:sz w:val="24"/>
        </w:rPr>
        <w:t>90%</w:t>
      </w:r>
      <w:r>
        <w:rPr>
          <w:rFonts w:ascii="Times New Roman" w:hAnsi="Times New Roman"/>
          <w:sz w:val="24"/>
        </w:rPr>
        <w:t>以上的基金净资产投资于目标</w:t>
      </w:r>
      <w:r>
        <w:rPr>
          <w:rFonts w:ascii="Times New Roman" w:hAnsi="Times New Roman"/>
          <w:sz w:val="24"/>
        </w:rPr>
        <w:t>ETF</w:t>
      </w:r>
      <w:r>
        <w:rPr>
          <w:rFonts w:ascii="Times New Roman" w:hAnsi="Times New Roman"/>
          <w:sz w:val="24"/>
        </w:rPr>
        <w:t>，实现紧密跟踪标的指数的投资目标；</w:t>
      </w:r>
    </w:p>
    <w:p w14:paraId="3F8EED4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本基金的目标</w:t>
      </w:r>
      <w:r>
        <w:rPr>
          <w:rFonts w:ascii="Times New Roman" w:hAnsi="Times New Roman"/>
          <w:sz w:val="24"/>
        </w:rPr>
        <w:t>ETF</w:t>
      </w:r>
      <w:r>
        <w:rPr>
          <w:rFonts w:ascii="Times New Roman" w:hAnsi="Times New Roman"/>
          <w:sz w:val="24"/>
        </w:rPr>
        <w:t>属于交易型开放式指数证券投资基金，采用完全复制法紧密跟踪标的指数，按照标的指数成份</w:t>
      </w:r>
      <w:proofErr w:type="gramStart"/>
      <w:r>
        <w:rPr>
          <w:rFonts w:ascii="Times New Roman" w:hAnsi="Times New Roman"/>
          <w:sz w:val="24"/>
        </w:rPr>
        <w:t>股组成</w:t>
      </w:r>
      <w:proofErr w:type="gramEnd"/>
      <w:r>
        <w:rPr>
          <w:rFonts w:ascii="Times New Roman" w:hAnsi="Times New Roman"/>
          <w:sz w:val="24"/>
        </w:rPr>
        <w:t>及其权重构建基金股票投资组合，进行被动式指数化投资。</w:t>
      </w:r>
    </w:p>
    <w:p w14:paraId="6931815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、业绩表现的差异</w:t>
      </w:r>
    </w:p>
    <w:p w14:paraId="2B3C3B4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本基金为目标</w:t>
      </w:r>
      <w:r>
        <w:rPr>
          <w:rFonts w:ascii="Times New Roman" w:hAnsi="Times New Roman"/>
          <w:sz w:val="24"/>
        </w:rPr>
        <w:t>ETF</w:t>
      </w:r>
      <w:r>
        <w:rPr>
          <w:rFonts w:ascii="Times New Roman" w:hAnsi="Times New Roman"/>
          <w:sz w:val="24"/>
        </w:rPr>
        <w:t>的联接基金，将</w:t>
      </w:r>
      <w:r>
        <w:rPr>
          <w:rFonts w:ascii="Times New Roman" w:hAnsi="Times New Roman"/>
          <w:sz w:val="24"/>
        </w:rPr>
        <w:t>90%</w:t>
      </w:r>
      <w:r>
        <w:rPr>
          <w:rFonts w:ascii="Times New Roman" w:hAnsi="Times New Roman"/>
          <w:sz w:val="24"/>
        </w:rPr>
        <w:t>以上的基金净资产投资于目标</w:t>
      </w:r>
      <w:r>
        <w:rPr>
          <w:rFonts w:ascii="Times New Roman" w:hAnsi="Times New Roman"/>
          <w:sz w:val="24"/>
        </w:rPr>
        <w:t>ETF</w:t>
      </w:r>
      <w:r>
        <w:rPr>
          <w:rFonts w:ascii="Times New Roman" w:hAnsi="Times New Roman"/>
          <w:sz w:val="24"/>
        </w:rPr>
        <w:t>，以紧密跟踪标的指数，但不能保证本基金的表现与目标</w:t>
      </w:r>
      <w:r>
        <w:rPr>
          <w:rFonts w:ascii="Times New Roman" w:hAnsi="Times New Roman"/>
          <w:sz w:val="24"/>
        </w:rPr>
        <w:t>ETF</w:t>
      </w:r>
      <w:r>
        <w:rPr>
          <w:rFonts w:ascii="Times New Roman" w:hAnsi="Times New Roman"/>
          <w:sz w:val="24"/>
        </w:rPr>
        <w:t>的表现完全一致，产生业绩表现差异的原因包括以下几个方面：</w:t>
      </w:r>
    </w:p>
    <w:p w14:paraId="40B9F3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份额的赎回采用现金方式，为支付现金赎回款，相比目标</w:t>
      </w:r>
      <w:r>
        <w:rPr>
          <w:rFonts w:ascii="Times New Roman" w:hAnsi="Times New Roman"/>
          <w:sz w:val="24"/>
        </w:rPr>
        <w:t>ETF</w:t>
      </w:r>
      <w:r>
        <w:rPr>
          <w:rFonts w:ascii="Times New Roman" w:hAnsi="Times New Roman"/>
          <w:sz w:val="24"/>
        </w:rPr>
        <w:t>，本基金需要保留更多的现金资产；</w:t>
      </w:r>
    </w:p>
    <w:p w14:paraId="38B0C3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份额的申购采用现金方式，在利用到账的申购资金投资目标</w:t>
      </w:r>
      <w:r>
        <w:rPr>
          <w:rFonts w:ascii="Times New Roman" w:hAnsi="Times New Roman"/>
          <w:sz w:val="24"/>
        </w:rPr>
        <w:t>ETF</w:t>
      </w:r>
      <w:r>
        <w:rPr>
          <w:rFonts w:ascii="Times New Roman" w:hAnsi="Times New Roman"/>
          <w:sz w:val="24"/>
        </w:rPr>
        <w:t>过程中，市场波动等原因会造成本基金与目标</w:t>
      </w:r>
      <w:r>
        <w:rPr>
          <w:rFonts w:ascii="Times New Roman" w:hAnsi="Times New Roman"/>
          <w:sz w:val="24"/>
        </w:rPr>
        <w:t>ETF</w:t>
      </w:r>
      <w:r>
        <w:rPr>
          <w:rFonts w:ascii="Times New Roman" w:hAnsi="Times New Roman"/>
          <w:sz w:val="24"/>
        </w:rPr>
        <w:t>表现的差异；</w:t>
      </w:r>
    </w:p>
    <w:p w14:paraId="703C8A2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）本基金为应对投资者以现金方式申购赎回本</w:t>
      </w:r>
      <w:proofErr w:type="gramStart"/>
      <w:r>
        <w:rPr>
          <w:rFonts w:ascii="Times New Roman" w:hAnsi="Times New Roman"/>
          <w:sz w:val="24"/>
        </w:rPr>
        <w:t>基金基金</w:t>
      </w:r>
      <w:proofErr w:type="gramEnd"/>
      <w:r>
        <w:rPr>
          <w:rFonts w:ascii="Times New Roman" w:hAnsi="Times New Roman"/>
          <w:sz w:val="24"/>
        </w:rPr>
        <w:t>份额而进行的证券交易需支付一定的手续费，此等费用将影响本基金相对于目标</w:t>
      </w:r>
      <w:r>
        <w:rPr>
          <w:rFonts w:ascii="Times New Roman" w:hAnsi="Times New Roman"/>
          <w:sz w:val="24"/>
        </w:rPr>
        <w:t>ETF</w:t>
      </w:r>
      <w:r>
        <w:rPr>
          <w:rFonts w:ascii="Times New Roman" w:hAnsi="Times New Roman"/>
          <w:sz w:val="24"/>
        </w:rPr>
        <w:t>的表现。</w:t>
      </w:r>
    </w:p>
    <w:p w14:paraId="5D8D278D"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B33325A" w14:textId="77777777" w:rsidR="009A30E5" w:rsidRDefault="00953581">
      <w:pPr>
        <w:pStyle w:val="1"/>
        <w:snapToGrid w:val="0"/>
        <w:spacing w:beforeLines="0" w:before="240" w:after="240"/>
        <w:rPr>
          <w:rFonts w:ascii="宋体" w:hAnsi="宋体"/>
          <w:szCs w:val="30"/>
        </w:rPr>
      </w:pPr>
      <w:bookmarkStart w:id="9" w:name="_Toc59040202"/>
      <w:r>
        <w:rPr>
          <w:rFonts w:ascii="Times New Roman" w:hAnsi="Times New Roman"/>
          <w:sz w:val="30"/>
        </w:rPr>
        <w:lastRenderedPageBreak/>
        <w:t>七、基金合同的生效</w:t>
      </w:r>
      <w:bookmarkEnd w:id="9"/>
    </w:p>
    <w:p w14:paraId="461F704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2009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29</w:t>
      </w:r>
      <w:r>
        <w:rPr>
          <w:rFonts w:ascii="Times New Roman" w:hAnsi="Times New Roman"/>
          <w:sz w:val="24"/>
        </w:rPr>
        <w:t>日正式生效。自基金合同生效之日起，本基金管理人正式开始管理本基金。</w:t>
      </w:r>
    </w:p>
    <w:p w14:paraId="3F2315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合同生效后，基金份额持有人数量</w:t>
      </w:r>
      <w:proofErr w:type="gramStart"/>
      <w:r>
        <w:rPr>
          <w:rFonts w:ascii="Times New Roman" w:hAnsi="Times New Roman"/>
          <w:sz w:val="24"/>
        </w:rPr>
        <w:t>不满两百</w:t>
      </w:r>
      <w:proofErr w:type="gramEnd"/>
      <w:r>
        <w:rPr>
          <w:rFonts w:ascii="Times New Roman" w:hAnsi="Times New Roman"/>
          <w:sz w:val="24"/>
        </w:rPr>
        <w:t>人或者基金资产净值低于五千万元的，基金管理人应当及时报告中国证监会；连续</w:t>
      </w:r>
      <w:r>
        <w:rPr>
          <w:rFonts w:ascii="Times New Roman" w:hAnsi="Times New Roman"/>
          <w:sz w:val="24"/>
        </w:rPr>
        <w:t>20</w:t>
      </w:r>
      <w:r>
        <w:rPr>
          <w:rFonts w:ascii="Times New Roman" w:hAnsi="Times New Roman"/>
          <w:sz w:val="24"/>
        </w:rPr>
        <w:t>个工作日出现上述情形的，基金管理人应向中国证监会说明原因并报送解决方案。</w:t>
      </w:r>
    </w:p>
    <w:p w14:paraId="3FFCDB2B"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70CA46" w14:textId="77777777" w:rsidR="009A30E5" w:rsidRDefault="00953581">
      <w:pPr>
        <w:pStyle w:val="1"/>
        <w:snapToGrid w:val="0"/>
        <w:spacing w:beforeLines="0" w:before="240" w:after="240"/>
        <w:rPr>
          <w:rFonts w:ascii="宋体" w:hAnsi="宋体"/>
          <w:szCs w:val="30"/>
        </w:rPr>
      </w:pPr>
      <w:bookmarkStart w:id="10" w:name="_Toc59040203"/>
      <w:r>
        <w:rPr>
          <w:rFonts w:ascii="Times New Roman" w:hAnsi="Times New Roman"/>
          <w:sz w:val="30"/>
        </w:rPr>
        <w:lastRenderedPageBreak/>
        <w:t>八、基金份额的申购与赎回</w:t>
      </w:r>
      <w:bookmarkEnd w:id="10"/>
    </w:p>
    <w:p w14:paraId="1C0CCE7A"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14:paraId="3259D92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投资者可通过下述场所按照规定的方式进行申购或赎回：</w:t>
      </w:r>
    </w:p>
    <w:p w14:paraId="3BEC041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68666B5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本基金直销机构为本公司以及本公司的网上直销交易平台。</w:t>
      </w:r>
    </w:p>
    <w:p w14:paraId="3C30687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28241C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C629BB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14:paraId="3DFBD44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010C899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5907CDE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1B732B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2C67199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0A4CF7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个人投资者可以通过本公司网上直销交易平台办理开户、本基金的申购、赎回、转换及定期定额投资等业务，具体交易细则请参阅本公司网站。网上直销交易平台网址：</w:t>
      </w:r>
      <w:r>
        <w:rPr>
          <w:rFonts w:ascii="Times New Roman" w:hAnsi="Times New Roman"/>
          <w:sz w:val="24"/>
        </w:rPr>
        <w:t>www.fund001.com</w:t>
      </w:r>
    </w:p>
    <w:p w14:paraId="45B1F8A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、代销机构的代销网点</w:t>
      </w:r>
    </w:p>
    <w:p w14:paraId="579CA0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本基金的代销机构的代销网点请见本招募说明书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14:paraId="2EBC3D3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投资者可通过上述场所按照规定的方式进行申购或赎回。本基金管理人可根据情况变更或增减基金代销机构，并在管理人网站公示。</w:t>
      </w:r>
    </w:p>
    <w:p w14:paraId="068661BF"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若基金</w:t>
      </w:r>
      <w:proofErr w:type="gramEnd"/>
      <w:r>
        <w:rPr>
          <w:rFonts w:ascii="Times New Roman" w:hAnsi="Times New Roman"/>
          <w:sz w:val="24"/>
        </w:rPr>
        <w:t>管理人或其指定的代销机构开通电话、传真或网上等交易方式，投资者可以通过上述方式进行申购与赎回。</w:t>
      </w:r>
    </w:p>
    <w:p w14:paraId="6C609747"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14:paraId="5098762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14:paraId="03F99DA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开放日是指为基金投资者办理基金份额申购、赎回或其他业务的工作日（但基金管理人根据法律法规、中国证监会的要求或基金合同的规定公告暂停申购、赎回时除外）。基金投资者在开放日申请办理基金份额的申购和赎回，具体办理时间为上海证券交易所、深圳证券交易所的正常交易日的交易时间。</w:t>
      </w:r>
    </w:p>
    <w:p w14:paraId="1A2196D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若出现新的证券交易市场、证券交易所交易时间变更或其他特殊情况，基金管</w:t>
      </w:r>
      <w:r>
        <w:rPr>
          <w:rFonts w:ascii="Times New Roman" w:hAnsi="Times New Roman"/>
          <w:sz w:val="24"/>
        </w:rPr>
        <w:lastRenderedPageBreak/>
        <w:t>理人将视情况对前述开放日及开放时间进行相应的调整，但应在实施日前依照《信息披露办法》的有关规定在指定媒介上公告。</w:t>
      </w:r>
    </w:p>
    <w:p w14:paraId="15A560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不得在基金合同约定之外的日期或者时间办理基金份额的申购、赎回或者转换。基金投资者在基金合同约定之外的日期和时间提出申购、赎回或转换申请的，若该申请被成功确认，则其基金份额申购、赎回及转换价格为下次办理基金份额申购、赎回及转换时间所在开放日的价格。</w:t>
      </w:r>
    </w:p>
    <w:p w14:paraId="0475A0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、申购的开始日及业务办理时间</w:t>
      </w:r>
    </w:p>
    <w:p w14:paraId="2F9CCB7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29</w:t>
      </w:r>
      <w:r>
        <w:rPr>
          <w:rFonts w:ascii="Times New Roman" w:hAnsi="Times New Roman"/>
          <w:sz w:val="24"/>
        </w:rPr>
        <w:t>日起开放申购业务。</w:t>
      </w:r>
    </w:p>
    <w:p w14:paraId="2D374F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、赎回的开始日及业务办理时间</w:t>
      </w:r>
    </w:p>
    <w:p w14:paraId="3DFE54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29</w:t>
      </w:r>
      <w:r>
        <w:rPr>
          <w:rFonts w:ascii="Times New Roman" w:hAnsi="Times New Roman"/>
          <w:sz w:val="24"/>
        </w:rPr>
        <w:t>日起开放赎回业务。</w:t>
      </w:r>
    </w:p>
    <w:p w14:paraId="60FE8B93"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（三）申购和赎回的原则</w:t>
      </w:r>
    </w:p>
    <w:p w14:paraId="203D64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原则，即基金份额的申购与赎回价格以申请当日收市后计算的基金份额净值为基准进行计算；</w:t>
      </w:r>
    </w:p>
    <w:p w14:paraId="6E5434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、基金采用金额申购和份额赎回的方式，即申购以金额申请，赎回以份额申请；</w:t>
      </w:r>
    </w:p>
    <w:p w14:paraId="2F6288C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、赎回遵循</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原则，即按照基金投资者认购、申购和红利再投的先后次序进行顺序赎回；</w:t>
      </w:r>
    </w:p>
    <w:p w14:paraId="7225F97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、当日的申购与赎回申请可以在基金管理人规定的时间以内撤销；</w:t>
      </w:r>
    </w:p>
    <w:p w14:paraId="35DFDC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、基金管理人在不损害基金份额持有人权益的情况下可更改上述原则，但最迟应在新的原则实施前依照《信息披露办法》的有关规定在指定媒介上予以公告。</w:t>
      </w:r>
    </w:p>
    <w:p w14:paraId="680A34A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14:paraId="6A9267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14:paraId="0DA5C0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代销网点每个账户单笔申购的最低金额为单笔</w:t>
      </w:r>
      <w:r>
        <w:rPr>
          <w:rFonts w:ascii="Times New Roman" w:hAnsi="Times New Roman"/>
          <w:sz w:val="24"/>
        </w:rPr>
        <w:t>1</w:t>
      </w:r>
      <w:r>
        <w:rPr>
          <w:rFonts w:ascii="Times New Roman" w:hAnsi="Times New Roman"/>
          <w:sz w:val="24"/>
        </w:rPr>
        <w:t>元，如果代销机构业务规则规定的最低单笔申购金额高于</w:t>
      </w:r>
      <w:r>
        <w:rPr>
          <w:rFonts w:ascii="Times New Roman" w:hAnsi="Times New Roman"/>
          <w:sz w:val="24"/>
        </w:rPr>
        <w:t>1</w:t>
      </w:r>
      <w:r>
        <w:rPr>
          <w:rFonts w:ascii="Times New Roman" w:hAnsi="Times New Roman"/>
          <w:sz w:val="24"/>
        </w:rPr>
        <w:t>元，以代销机构的规定为准。</w:t>
      </w:r>
    </w:p>
    <w:p w14:paraId="2AE5263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直销中心每个账户首次申购的最低金额为单笔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w:t>
      </w:r>
      <w:r>
        <w:rPr>
          <w:rFonts w:ascii="Times New Roman" w:hAnsi="Times New Roman"/>
          <w:sz w:val="24"/>
        </w:rPr>
        <w:t>1</w:t>
      </w:r>
      <w:r>
        <w:rPr>
          <w:rFonts w:ascii="Times New Roman" w:hAnsi="Times New Roman"/>
          <w:sz w:val="24"/>
        </w:rPr>
        <w:t>元。本基金直销中心单笔申购最低金额可由基金管理人酌情调整。</w:t>
      </w:r>
    </w:p>
    <w:p w14:paraId="33F717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14:paraId="29465F6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赎回的最低份额为单笔</w:t>
      </w:r>
      <w:r>
        <w:rPr>
          <w:rFonts w:ascii="Times New Roman" w:hAnsi="Times New Roman"/>
          <w:sz w:val="24"/>
        </w:rPr>
        <w:t>1</w:t>
      </w:r>
      <w:r>
        <w:rPr>
          <w:rFonts w:ascii="Times New Roman" w:hAnsi="Times New Roman"/>
          <w:sz w:val="24"/>
        </w:rPr>
        <w:t>份基金份额，如果其他销售机构业务规则规定的单笔最低赎回份额高于</w:t>
      </w:r>
      <w:r>
        <w:rPr>
          <w:rFonts w:ascii="Times New Roman" w:hAnsi="Times New Roman"/>
          <w:sz w:val="24"/>
        </w:rPr>
        <w:t>1</w:t>
      </w:r>
      <w:r>
        <w:rPr>
          <w:rFonts w:ascii="Times New Roman" w:hAnsi="Times New Roman"/>
          <w:sz w:val="24"/>
        </w:rPr>
        <w:t>份，以该销售机构的规定为准。</w:t>
      </w:r>
    </w:p>
    <w:p w14:paraId="0BC60E1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、最低保留余额的限制</w:t>
      </w:r>
    </w:p>
    <w:p w14:paraId="481759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每个工作日投资者在单个交易账户保留的本基金份额余额少于</w:t>
      </w:r>
      <w:r>
        <w:rPr>
          <w:rFonts w:ascii="Times New Roman" w:hAnsi="Times New Roman"/>
          <w:sz w:val="24"/>
        </w:rPr>
        <w:t>1</w:t>
      </w:r>
      <w:r>
        <w:rPr>
          <w:rFonts w:ascii="Times New Roman" w:hAnsi="Times New Roman"/>
          <w:sz w:val="24"/>
        </w:rPr>
        <w:t>份时，若当日该账户同时有份额减少类业务（如赎回、转换出等）被确认，</w:t>
      </w:r>
      <w:proofErr w:type="gramStart"/>
      <w:r>
        <w:rPr>
          <w:rFonts w:ascii="Times New Roman" w:hAnsi="Times New Roman"/>
          <w:sz w:val="24"/>
        </w:rPr>
        <w:t>则基金</w:t>
      </w:r>
      <w:proofErr w:type="gramEnd"/>
      <w:r>
        <w:rPr>
          <w:rFonts w:ascii="Times New Roman" w:hAnsi="Times New Roman"/>
          <w:sz w:val="24"/>
        </w:rPr>
        <w:t>管理人有权将投资者在该账户保留的本基金份额一次性全部赎回。</w:t>
      </w:r>
    </w:p>
    <w:p w14:paraId="42DFD83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075A6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、基金管理人可根据市场情况，在法律法规允许的情况下，调整上述规定的数量或比例限制，基金管理人必须在调整前依照《信息披露办法》的有关规定在指定的媒介上公告。</w:t>
      </w:r>
    </w:p>
    <w:p w14:paraId="5C787011"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14:paraId="1370359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、申购和赎回的申请方式</w:t>
      </w:r>
    </w:p>
    <w:p w14:paraId="52C392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投资者必须根据基金销售机构规定的程序，在开放日的交易时间内向基金销售机构提出申购或赎回的申请。</w:t>
      </w:r>
    </w:p>
    <w:p w14:paraId="33DEED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投资者在申购本基金时须按销售机构规定的方式备足申购资金，否则所提交的申购申请无效而不予成交。</w:t>
      </w:r>
    </w:p>
    <w:p w14:paraId="0A5CAF0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投资者在提交赎回申请时，必须持有足够的基金份额余额，否则所提交的赎回申请无效而不予成交。</w:t>
      </w:r>
    </w:p>
    <w:p w14:paraId="20B4125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、申购和赎回申请的确认</w:t>
      </w:r>
    </w:p>
    <w:p w14:paraId="372F4E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基金管理人应以交易时间结束前收到申购和赎回申请的当日作为申购或赎回申请日</w:t>
      </w:r>
      <w:r>
        <w:rPr>
          <w:rFonts w:ascii="Times New Roman" w:hAnsi="Times New Roman"/>
          <w:sz w:val="24"/>
        </w:rPr>
        <w:t>(T</w:t>
      </w:r>
      <w:r>
        <w:rPr>
          <w:rFonts w:ascii="Times New Roman" w:hAnsi="Times New Roman"/>
          <w:sz w:val="24"/>
        </w:rPr>
        <w:t>日</w:t>
      </w:r>
      <w:r>
        <w:rPr>
          <w:rFonts w:ascii="Times New Roman" w:hAnsi="Times New Roman"/>
          <w:sz w:val="24"/>
        </w:rPr>
        <w:t>)</w:t>
      </w:r>
      <w:r>
        <w:rPr>
          <w:rFonts w:ascii="Times New Roman" w:hAnsi="Times New Roman"/>
          <w:sz w:val="24"/>
        </w:rPr>
        <w:t>，正常情况下，本基金注册登记机构在</w:t>
      </w:r>
      <w:r>
        <w:rPr>
          <w:rFonts w:ascii="Times New Roman" w:hAnsi="Times New Roman"/>
          <w:sz w:val="24"/>
        </w:rPr>
        <w:t>T+1</w:t>
      </w:r>
      <w:r>
        <w:rPr>
          <w:rFonts w:ascii="Times New Roman" w:hAnsi="Times New Roman"/>
          <w:sz w:val="24"/>
        </w:rPr>
        <w:t>日内对该交易的有效性进行确认。</w:t>
      </w:r>
      <w:r>
        <w:rPr>
          <w:rFonts w:ascii="Times New Roman" w:hAnsi="Times New Roman"/>
          <w:sz w:val="24"/>
        </w:rPr>
        <w:t>T</w:t>
      </w:r>
      <w:r>
        <w:rPr>
          <w:rFonts w:ascii="Times New Roman" w:hAnsi="Times New Roman"/>
          <w:sz w:val="24"/>
        </w:rPr>
        <w:t>日提交的有效申请，投资者可在</w:t>
      </w:r>
      <w:r>
        <w:rPr>
          <w:rFonts w:ascii="Times New Roman" w:hAnsi="Times New Roman"/>
          <w:sz w:val="24"/>
        </w:rPr>
        <w:t>T+2</w:t>
      </w:r>
      <w:r>
        <w:rPr>
          <w:rFonts w:ascii="Times New Roman" w:hAnsi="Times New Roman"/>
          <w:sz w:val="24"/>
        </w:rPr>
        <w:t>日后（包括该日）到销售网点柜台或以销售机构规定的其他方式查询申请的确认情况。</w:t>
      </w:r>
    </w:p>
    <w:p w14:paraId="2CDC6FA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、申购和赎回的款项支付</w:t>
      </w:r>
    </w:p>
    <w:p w14:paraId="1FB4985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申购采用全额缴款方式，若申购资金在规定时间内未全额到账，则申购不成功。若申购不成功或无效，基金管理人或基金管理人指定的代销机构将投资者已缴付的申购款项本金退还给投资者。</w:t>
      </w:r>
    </w:p>
    <w:p w14:paraId="6E45E5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投资者赎回申请成功后，基金管理人将指示基金托管人在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日（包括该日）内从托管账户将赎回款项划出，经销售机构</w:t>
      </w:r>
      <w:proofErr w:type="gramStart"/>
      <w:r>
        <w:rPr>
          <w:rFonts w:ascii="Times New Roman" w:hAnsi="Times New Roman"/>
          <w:sz w:val="24"/>
        </w:rPr>
        <w:t>划往基金</w:t>
      </w:r>
      <w:proofErr w:type="gramEnd"/>
      <w:r>
        <w:rPr>
          <w:rFonts w:ascii="Times New Roman" w:hAnsi="Times New Roman"/>
          <w:sz w:val="24"/>
        </w:rPr>
        <w:t>份额持有人银行账户。在发生巨额赎回时，款项的支付办法参照基金合同的有关条款处理。</w:t>
      </w:r>
    </w:p>
    <w:p w14:paraId="0A8EB8C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、申购和赎回基金份额的份额注册登记</w:t>
      </w:r>
    </w:p>
    <w:p w14:paraId="20537E2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投资者申购基金成功后，注册登记机构在</w:t>
      </w:r>
      <w:r>
        <w:rPr>
          <w:rFonts w:ascii="Times New Roman" w:hAnsi="Times New Roman"/>
          <w:sz w:val="24"/>
        </w:rPr>
        <w:t>T+1</w:t>
      </w:r>
      <w:r>
        <w:rPr>
          <w:rFonts w:ascii="Times New Roman" w:hAnsi="Times New Roman"/>
          <w:sz w:val="24"/>
        </w:rPr>
        <w:t>日为投资者登记权益并办理份额注册登记手续，投资者自</w:t>
      </w:r>
      <w:r>
        <w:rPr>
          <w:rFonts w:ascii="Times New Roman" w:hAnsi="Times New Roman"/>
          <w:sz w:val="24"/>
        </w:rPr>
        <w:t>T+2</w:t>
      </w:r>
      <w:r>
        <w:rPr>
          <w:rFonts w:ascii="Times New Roman" w:hAnsi="Times New Roman"/>
          <w:sz w:val="24"/>
        </w:rPr>
        <w:t>日（含该日）后有权赎回该部分基金份额。</w:t>
      </w:r>
    </w:p>
    <w:p w14:paraId="3E1AE8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投资者赎回基金成功后，注册登记机构在</w:t>
      </w:r>
      <w:r>
        <w:rPr>
          <w:rFonts w:ascii="Times New Roman" w:hAnsi="Times New Roman"/>
          <w:sz w:val="24"/>
        </w:rPr>
        <w:t>T+1</w:t>
      </w:r>
      <w:r>
        <w:rPr>
          <w:rFonts w:ascii="Times New Roman" w:hAnsi="Times New Roman"/>
          <w:sz w:val="24"/>
        </w:rPr>
        <w:t>日为投资者办理扣除权益的份额注册登记手续。</w:t>
      </w:r>
    </w:p>
    <w:p w14:paraId="29514E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基金管理人可以在法律法规允许的范围内，对上述份额注册登记办理时间进行调整，但不得影响投资者实质的合法权益，并依照《信息披露办法》的有关规定于开始实施前在指定媒介上公告。</w:t>
      </w:r>
    </w:p>
    <w:p w14:paraId="2F36500B"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（六）基金的申购费和赎回费</w:t>
      </w:r>
    </w:p>
    <w:p w14:paraId="51A98EE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、申购费用</w:t>
      </w:r>
    </w:p>
    <w:p w14:paraId="70DD57F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本基金提供两种申购费用的支付模式。投资者可以选择前端收费模式，即在申购时支付申购费用；也可以选择后端收费模式，即在赎回时才支付相应的申购费用，该费用随基金份额的持有时间递减。</w:t>
      </w:r>
    </w:p>
    <w:p w14:paraId="7684833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本基金的申购费用由基金申购人承担，不列入基金财产，主要用于本基金的市场推广、销售、注册登记等各项费用。</w:t>
      </w:r>
    </w:p>
    <w:p w14:paraId="54AA786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投资者可以多次申购本基金，申购费率按每笔申购申请单独计算。</w:t>
      </w:r>
    </w:p>
    <w:p w14:paraId="2ADA9DE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9A30E5" w14:paraId="711D1EB6"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FE96D0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申购费率（前端）</w:t>
            </w:r>
          </w:p>
        </w:tc>
        <w:tc>
          <w:tcPr>
            <w:tcW w:w="750" w:type="pct"/>
            <w:tcBorders>
              <w:top w:val="single" w:sz="4" w:space="0" w:color="auto"/>
              <w:left w:val="single" w:sz="4" w:space="0" w:color="auto"/>
              <w:bottom w:val="single" w:sz="4" w:space="0" w:color="auto"/>
              <w:right w:val="single" w:sz="4" w:space="0" w:color="auto"/>
            </w:tcBorders>
            <w:vAlign w:val="center"/>
          </w:tcPr>
          <w:p w14:paraId="5907AC6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166D107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rsidR="009A30E5" w14:paraId="26CF65D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5300D87"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F83AC9E"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1981E23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A30E5" w14:paraId="6D695E9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D83B6FC"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10FCA5F"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5D37CD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9A30E5" w14:paraId="6BF1707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E5F4EF9"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965B19A"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D5B204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9A30E5" w14:paraId="7878E21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874AC66"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F0681D3"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7AF3B0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9A30E5" w14:paraId="121860A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086AF66"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A03BF7C"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5CD5D34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9A30E5" w14:paraId="0052EF62"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C41CB07"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申购费率（后端）</w:t>
            </w:r>
          </w:p>
        </w:tc>
        <w:tc>
          <w:tcPr>
            <w:tcW w:w="750" w:type="pct"/>
            <w:tcBorders>
              <w:top w:val="single" w:sz="4" w:space="0" w:color="auto"/>
              <w:left w:val="single" w:sz="4" w:space="0" w:color="auto"/>
              <w:bottom w:val="single" w:sz="4" w:space="0" w:color="auto"/>
              <w:right w:val="single" w:sz="4" w:space="0" w:color="auto"/>
            </w:tcBorders>
            <w:vAlign w:val="center"/>
          </w:tcPr>
          <w:p w14:paraId="1316A0E4"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持有时间</w:t>
            </w:r>
          </w:p>
        </w:tc>
        <w:tc>
          <w:tcPr>
            <w:tcW w:w="400" w:type="pct"/>
            <w:tcBorders>
              <w:top w:val="single" w:sz="4" w:space="0" w:color="auto"/>
              <w:left w:val="single" w:sz="4" w:space="0" w:color="auto"/>
              <w:bottom w:val="single" w:sz="4" w:space="0" w:color="auto"/>
              <w:right w:val="single" w:sz="4" w:space="0" w:color="auto"/>
            </w:tcBorders>
            <w:vAlign w:val="center"/>
          </w:tcPr>
          <w:p w14:paraId="6626FA0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rsidR="009A30E5" w14:paraId="1C9D50B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8B63A5A"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1E9479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14:paraId="7D6B68B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9A30E5" w14:paraId="4485AEC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A2DFEF4"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19AB04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166890B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9A30E5" w14:paraId="75FAF3C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78ED565"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D9D5A03"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3892E22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9A30E5" w14:paraId="394ECD2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76795BA"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BE7D877"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2868032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1F21626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因红利自动再投资而产生的基金份额，不收取相应的申购费用。</w:t>
      </w:r>
    </w:p>
    <w:p w14:paraId="5EC7FD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本基金自</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11</w:t>
      </w:r>
      <w:r>
        <w:rPr>
          <w:rFonts w:ascii="Times New Roman" w:hAnsi="Times New Roman"/>
          <w:sz w:val="24"/>
        </w:rPr>
        <w:t>日起，对通过本公司直销柜台申购本基金前端基金份额的养老金客户实施特定申购费率。</w:t>
      </w:r>
    </w:p>
    <w:p w14:paraId="396178A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6B5E28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通过本公司直销柜台申购本基金前端基金份额的养老金客户特定申购费率如下表：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9A30E5" w14:paraId="01BB5487"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643EF0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14:paraId="473561DE"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65F84D5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前端特定申购费率</w:t>
            </w:r>
          </w:p>
        </w:tc>
      </w:tr>
      <w:tr w:rsidR="009A30E5" w14:paraId="23612AB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AA67DB0"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03076B9"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4E47610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9A30E5" w14:paraId="229DF9C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1B1357A"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65D7896"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AE8089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9A30E5" w14:paraId="3CFEB36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184CD65"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EC85DB3"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7BF9D34"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rsidR="009A30E5" w14:paraId="78C6516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23626C8"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27A7363"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EA987A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9A30E5" w14:paraId="64F8A1A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B2DFC16"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E2CDB3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79E1C2B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315D76B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有关养老金客户实施特定申购费率的具体规定以及活动时间如有变化，敬请投资人留意本公司发布的相关公告。</w:t>
      </w:r>
    </w:p>
    <w:p w14:paraId="69A0A4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2C8F2B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）通过本基金管理人直销柜台办理本</w:t>
      </w:r>
      <w:proofErr w:type="gramStart"/>
      <w:r>
        <w:rPr>
          <w:rFonts w:ascii="Times New Roman" w:hAnsi="Times New Roman"/>
          <w:sz w:val="24"/>
        </w:rPr>
        <w:t>基金基金</w:t>
      </w:r>
      <w:proofErr w:type="gramEnd"/>
      <w:r>
        <w:rPr>
          <w:rFonts w:ascii="Times New Roman" w:hAnsi="Times New Roman"/>
          <w:sz w:val="24"/>
        </w:rPr>
        <w:t>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213AE9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w:t>
      </w:r>
      <w:proofErr w:type="gramStart"/>
      <w:r>
        <w:rPr>
          <w:rFonts w:ascii="Times New Roman" w:hAnsi="Times New Roman"/>
          <w:sz w:val="24"/>
        </w:rPr>
        <w:t>基金基金</w:t>
      </w:r>
      <w:proofErr w:type="gramEnd"/>
      <w:r>
        <w:rPr>
          <w:rFonts w:ascii="Times New Roman" w:hAnsi="Times New Roman"/>
          <w:sz w:val="24"/>
        </w:rPr>
        <w:t>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481ECB5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606B068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本基金管理人可根据业务情况调整上述交易费用和限额要求，并依据相关法规</w:t>
      </w:r>
      <w:r>
        <w:rPr>
          <w:rFonts w:ascii="Times New Roman" w:hAnsi="Times New Roman"/>
          <w:sz w:val="24"/>
        </w:rPr>
        <w:lastRenderedPageBreak/>
        <w:t>的要求提前进行公告。</w:t>
      </w:r>
    </w:p>
    <w:p w14:paraId="04E605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、赎回费用</w:t>
      </w:r>
    </w:p>
    <w:p w14:paraId="0762F43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赎回费用由基金赎回人承担，赎回费用的</w:t>
      </w:r>
      <w:r>
        <w:rPr>
          <w:rFonts w:ascii="Times New Roman" w:hAnsi="Times New Roman"/>
          <w:sz w:val="24"/>
        </w:rPr>
        <w:t>25%</w:t>
      </w:r>
      <w:proofErr w:type="gramStart"/>
      <w:r>
        <w:rPr>
          <w:rFonts w:ascii="Times New Roman" w:hAnsi="Times New Roman"/>
          <w:sz w:val="24"/>
        </w:rPr>
        <w:t>归基金</w:t>
      </w:r>
      <w:proofErr w:type="gramEnd"/>
      <w:r>
        <w:rPr>
          <w:rFonts w:ascii="Times New Roman" w:hAnsi="Times New Roman"/>
          <w:sz w:val="24"/>
        </w:rPr>
        <w:t>财产，其余用于支付注册登记费和其他必要的手续费。但对持续持有期少于</w:t>
      </w:r>
      <w:r>
        <w:rPr>
          <w:rFonts w:ascii="Times New Roman" w:hAnsi="Times New Roman"/>
          <w:sz w:val="24"/>
        </w:rPr>
        <w:t>7</w:t>
      </w:r>
      <w:r>
        <w:rPr>
          <w:rFonts w:ascii="Times New Roman" w:hAnsi="Times New Roman"/>
          <w:sz w:val="24"/>
        </w:rPr>
        <w:t>日的基金份额持有人收取不低于</w:t>
      </w:r>
      <w:r>
        <w:rPr>
          <w:rFonts w:ascii="Times New Roman" w:hAnsi="Times New Roman"/>
          <w:sz w:val="24"/>
        </w:rPr>
        <w:t>1.5%</w:t>
      </w:r>
      <w:r>
        <w:rPr>
          <w:rFonts w:ascii="Times New Roman" w:hAnsi="Times New Roman"/>
          <w:sz w:val="24"/>
        </w:rPr>
        <w:t>的赎回费并全额计入基金财产。</w:t>
      </w:r>
    </w:p>
    <w:p w14:paraId="7A3F7E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9A30E5" w14:paraId="52A4BB08"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0DD4323"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365769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1683A02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9A30E5" w14:paraId="78C9F5E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4A81633"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F685269"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302E3C3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A30E5" w14:paraId="598816C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6EBA7E2"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9948AC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629DC47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9A30E5" w14:paraId="6E6F16D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4DF8812"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E73ECF6"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60566BB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9A30E5" w14:paraId="7359D05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6CCC56C"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8BE8F6E"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71916EF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w:t>
            </w:r>
          </w:p>
        </w:tc>
      </w:tr>
    </w:tbl>
    <w:p w14:paraId="5799994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介上公告。</w:t>
      </w:r>
    </w:p>
    <w:p w14:paraId="3A9926C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、对特定交易方式（如网上交易、电话交易等），在不违背法律法规规定的情况下，基金管理人可以采用低于柜台交易方式的基金申购费率和基金赎回费率。</w:t>
      </w:r>
    </w:p>
    <w:p w14:paraId="2070B9A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可适当调低基金申购费率、赎回费率和转换费率。</w:t>
      </w:r>
    </w:p>
    <w:p w14:paraId="1F8EA84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（七）申购和赎回的数额和价格</w:t>
      </w:r>
    </w:p>
    <w:p w14:paraId="3ED9EA7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14:paraId="4904555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）申购份额余额的处理方式：申购的有效份额为按实际确认的申购金额在扣除相应的费用后，以申请当日基金份额净值为基准计算，四舍五入保留到小数点后两位，由此误差产生的收益或损失由基金财产承担。</w:t>
      </w:r>
    </w:p>
    <w:p w14:paraId="464B6F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）赎回金额的处理方式：赎回金额为按实际确认的有效赎回份额乘以申请当日基金份额净值并扣除相应的费用，四舍五入保留到小数点后两位，由此误差产生的收益或损失由基金财产承担。</w:t>
      </w:r>
    </w:p>
    <w:p w14:paraId="570193D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、申购份额的计算</w:t>
      </w:r>
    </w:p>
    <w:p w14:paraId="729148C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）前端收费模式：</w:t>
      </w:r>
    </w:p>
    <w:p w14:paraId="4AA160B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申购总金额</w:t>
      </w:r>
      <w:r>
        <w:rPr>
          <w:rFonts w:ascii="Times New Roman" w:hAnsi="Times New Roman"/>
          <w:sz w:val="24"/>
        </w:rPr>
        <w:t>=</w:t>
      </w:r>
      <w:proofErr w:type="gramStart"/>
      <w:r>
        <w:rPr>
          <w:rFonts w:ascii="Times New Roman" w:hAnsi="Times New Roman"/>
          <w:sz w:val="24"/>
        </w:rPr>
        <w:t>申请总</w:t>
      </w:r>
      <w:proofErr w:type="gramEnd"/>
      <w:r>
        <w:rPr>
          <w:rFonts w:ascii="Times New Roman" w:hAnsi="Times New Roman"/>
          <w:sz w:val="24"/>
        </w:rPr>
        <w:t>金额</w:t>
      </w:r>
    </w:p>
    <w:p w14:paraId="2C0935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784D15D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404AE1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日基金份额净值</w:t>
      </w:r>
    </w:p>
    <w:p w14:paraId="13C8E87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w:t>
      </w:r>
      <w:proofErr w:type="gramStart"/>
      <w:r>
        <w:rPr>
          <w:rFonts w:ascii="Times New Roman" w:hAnsi="Times New Roman"/>
          <w:sz w:val="24"/>
        </w:rPr>
        <w:t>一</w:t>
      </w:r>
      <w:proofErr w:type="gramEnd"/>
      <w:r>
        <w:rPr>
          <w:rFonts w:ascii="Times New Roman" w:hAnsi="Times New Roman"/>
          <w:sz w:val="24"/>
        </w:rPr>
        <w:t>：某投资者投资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w:t>
      </w:r>
      <w:r>
        <w:rPr>
          <w:rFonts w:ascii="Times New Roman" w:hAnsi="Times New Roman"/>
          <w:sz w:val="24"/>
        </w:rPr>
        <w:t>元，如果其选择前端收费方式，申购费率为</w:t>
      </w:r>
      <w:r>
        <w:rPr>
          <w:rFonts w:ascii="Times New Roman" w:hAnsi="Times New Roman"/>
          <w:sz w:val="24"/>
        </w:rPr>
        <w:t>1.5%</w:t>
      </w:r>
      <w:r>
        <w:rPr>
          <w:rFonts w:ascii="Times New Roman" w:hAnsi="Times New Roman"/>
          <w:sz w:val="24"/>
        </w:rPr>
        <w:t>，则其可得到的申购份额为：</w:t>
      </w:r>
    </w:p>
    <w:p w14:paraId="1D8B8B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40,000</w:t>
      </w:r>
      <w:r>
        <w:rPr>
          <w:rFonts w:ascii="Times New Roman" w:hAnsi="Times New Roman"/>
          <w:sz w:val="24"/>
        </w:rPr>
        <w:t>元</w:t>
      </w:r>
    </w:p>
    <w:p w14:paraId="0D7F1E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=40,000/</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=39,408.87</w:t>
      </w:r>
      <w:r>
        <w:rPr>
          <w:rFonts w:ascii="Times New Roman" w:hAnsi="Times New Roman"/>
          <w:sz w:val="24"/>
        </w:rPr>
        <w:t>元</w:t>
      </w:r>
    </w:p>
    <w:p w14:paraId="60C1E4F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=40,000-39,408.87=591.13</w:t>
      </w:r>
      <w:r>
        <w:rPr>
          <w:rFonts w:ascii="Times New Roman" w:hAnsi="Times New Roman"/>
          <w:sz w:val="24"/>
        </w:rPr>
        <w:t>元</w:t>
      </w:r>
    </w:p>
    <w:p w14:paraId="097A017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40,000-591.13</w:t>
      </w:r>
      <w:r>
        <w:rPr>
          <w:rFonts w:ascii="Times New Roman" w:hAnsi="Times New Roman"/>
          <w:sz w:val="24"/>
        </w:rPr>
        <w:t>）</w:t>
      </w:r>
      <w:r>
        <w:rPr>
          <w:rFonts w:ascii="Times New Roman" w:hAnsi="Times New Roman"/>
          <w:sz w:val="24"/>
        </w:rPr>
        <w:t>/1.040=37,893.14</w:t>
      </w:r>
      <w:r>
        <w:rPr>
          <w:rFonts w:ascii="Times New Roman" w:hAnsi="Times New Roman"/>
          <w:sz w:val="24"/>
        </w:rPr>
        <w:t>份</w:t>
      </w:r>
    </w:p>
    <w:p w14:paraId="289635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）后端收费模式：</w:t>
      </w:r>
    </w:p>
    <w:p w14:paraId="259CB1F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proofErr w:type="gramStart"/>
      <w:r>
        <w:rPr>
          <w:rFonts w:ascii="Times New Roman" w:hAnsi="Times New Roman"/>
          <w:sz w:val="24"/>
        </w:rPr>
        <w:t>申请总</w:t>
      </w:r>
      <w:proofErr w:type="gramEnd"/>
      <w:r>
        <w:rPr>
          <w:rFonts w:ascii="Times New Roman" w:hAnsi="Times New Roman"/>
          <w:sz w:val="24"/>
        </w:rPr>
        <w:t>金额</w:t>
      </w:r>
    </w:p>
    <w:p w14:paraId="0763BB9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申购份额＝申购总金额</w:t>
      </w:r>
      <w:r>
        <w:rPr>
          <w:rFonts w:ascii="Times New Roman" w:hAnsi="Times New Roman"/>
          <w:sz w:val="24"/>
        </w:rPr>
        <w:t>/T</w:t>
      </w:r>
      <w:r>
        <w:rPr>
          <w:rFonts w:ascii="Times New Roman" w:hAnsi="Times New Roman"/>
          <w:sz w:val="24"/>
        </w:rPr>
        <w:t>日基金份额净值</w:t>
      </w:r>
    </w:p>
    <w:p w14:paraId="1820D43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当投资者提出赎回时，后端申购费用的计算方法为：</w:t>
      </w:r>
    </w:p>
    <w:p w14:paraId="3E7B2B6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后端申购费用＝赎回份额</w:t>
      </w:r>
      <w:r>
        <w:rPr>
          <w:rFonts w:ascii="Times New Roman" w:hAnsi="Times New Roman"/>
          <w:sz w:val="24"/>
        </w:rPr>
        <w:t>×</w:t>
      </w:r>
      <w:r>
        <w:rPr>
          <w:rFonts w:ascii="Times New Roman" w:hAnsi="Times New Roman"/>
          <w:sz w:val="24"/>
        </w:rPr>
        <w:t>申购日基金份额净值</w:t>
      </w:r>
      <w:r>
        <w:rPr>
          <w:rFonts w:ascii="Times New Roman" w:hAnsi="Times New Roman"/>
          <w:sz w:val="24"/>
        </w:rPr>
        <w:t>×</w:t>
      </w:r>
      <w:r>
        <w:rPr>
          <w:rFonts w:ascii="Times New Roman" w:hAnsi="Times New Roman"/>
          <w:sz w:val="24"/>
        </w:rPr>
        <w:t>后端申购费率</w:t>
      </w:r>
    </w:p>
    <w:p w14:paraId="163E242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w:t>
      </w:r>
      <w:r>
        <w:rPr>
          <w:rFonts w:ascii="Times New Roman" w:hAnsi="Times New Roman"/>
          <w:sz w:val="24"/>
        </w:rPr>
        <w:t>元，如果其选择后端收费方式，则其可得到的申购份额为：</w:t>
      </w:r>
    </w:p>
    <w:p w14:paraId="68FDDC6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40,000/1.040</w:t>
      </w:r>
      <w:r>
        <w:rPr>
          <w:rFonts w:ascii="Times New Roman" w:hAnsi="Times New Roman"/>
          <w:sz w:val="24"/>
        </w:rPr>
        <w:t>＝</w:t>
      </w:r>
      <w:r>
        <w:rPr>
          <w:rFonts w:ascii="Times New Roman" w:hAnsi="Times New Roman"/>
          <w:sz w:val="24"/>
        </w:rPr>
        <w:t>38,461.54</w:t>
      </w:r>
      <w:r>
        <w:rPr>
          <w:rFonts w:ascii="Times New Roman" w:hAnsi="Times New Roman"/>
          <w:sz w:val="24"/>
        </w:rPr>
        <w:t>份</w:t>
      </w:r>
    </w:p>
    <w:p w14:paraId="6DFD85B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w:t>
      </w:r>
      <w:r>
        <w:rPr>
          <w:rFonts w:ascii="Times New Roman" w:hAnsi="Times New Roman"/>
          <w:sz w:val="24"/>
        </w:rPr>
        <w:t>元，则可得到</w:t>
      </w:r>
      <w:r>
        <w:rPr>
          <w:rFonts w:ascii="Times New Roman" w:hAnsi="Times New Roman"/>
          <w:sz w:val="24"/>
        </w:rPr>
        <w:t>38,461.54</w:t>
      </w:r>
      <w:r>
        <w:rPr>
          <w:rFonts w:ascii="Times New Roman" w:hAnsi="Times New Roman"/>
          <w:sz w:val="24"/>
        </w:rPr>
        <w:t>份基金份额，但其在赎回时需根据其持有时间按对应的后端申购费率交纳后端申购费用。</w:t>
      </w:r>
    </w:p>
    <w:p w14:paraId="32002BC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、赎回金额的计算</w:t>
      </w:r>
    </w:p>
    <w:p w14:paraId="4B9B56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赎回金额为按实际确认的有效赎回份额乘以当日基金份额净值并扣除相应的费用，赎回金额单位为元，计算结果保留到小数点后两位，第三位四舍五入。</w:t>
      </w:r>
    </w:p>
    <w:p w14:paraId="21494FA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）如果投资者在认（申）购时选择交纳前端认（申）购费用，则赎回金额的计算方法如下：</w:t>
      </w:r>
    </w:p>
    <w:p w14:paraId="1481E1E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赎回费率</w:t>
      </w:r>
    </w:p>
    <w:p w14:paraId="55C36C9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赎回费用</w:t>
      </w:r>
    </w:p>
    <w:p w14:paraId="452B01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例三：某投资者赎回通过前端认购（申购）持有的</w:t>
      </w:r>
      <w:r>
        <w:rPr>
          <w:rFonts w:ascii="Times New Roman" w:hAnsi="Times New Roman"/>
          <w:sz w:val="24"/>
        </w:rPr>
        <w:t>10,000</w:t>
      </w:r>
      <w:r>
        <w:rPr>
          <w:rFonts w:ascii="Times New Roman" w:hAnsi="Times New Roman"/>
          <w:sz w:val="24"/>
        </w:rPr>
        <w:t>份基金份额，对应的赎回费率为</w:t>
      </w:r>
      <w:r>
        <w:rPr>
          <w:rFonts w:ascii="Times New Roman" w:hAnsi="Times New Roman"/>
          <w:sz w:val="24"/>
        </w:rPr>
        <w:t>0.5%</w:t>
      </w:r>
      <w:r>
        <w:rPr>
          <w:rFonts w:ascii="Times New Roman" w:hAnsi="Times New Roman"/>
          <w:sz w:val="24"/>
        </w:rPr>
        <w:t>，假设赎回当日基金份额净值是</w:t>
      </w:r>
      <w:r>
        <w:rPr>
          <w:rFonts w:ascii="Times New Roman" w:hAnsi="Times New Roman"/>
          <w:sz w:val="24"/>
        </w:rPr>
        <w:t>1.016</w:t>
      </w:r>
      <w:r>
        <w:rPr>
          <w:rFonts w:ascii="Times New Roman" w:hAnsi="Times New Roman"/>
          <w:sz w:val="24"/>
        </w:rPr>
        <w:t>元，则其可得到的赎回金额</w:t>
      </w:r>
      <w:r>
        <w:rPr>
          <w:rFonts w:ascii="Times New Roman" w:hAnsi="Times New Roman"/>
          <w:sz w:val="24"/>
        </w:rPr>
        <w:lastRenderedPageBreak/>
        <w:t>为：</w:t>
      </w:r>
    </w:p>
    <w:p w14:paraId="1DE8613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76E705C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10,000×1.016-50.80 </w:t>
      </w:r>
      <w:r>
        <w:rPr>
          <w:rFonts w:ascii="Times New Roman" w:hAnsi="Times New Roman"/>
          <w:sz w:val="24"/>
        </w:rPr>
        <w:t>＝</w:t>
      </w:r>
      <w:r>
        <w:rPr>
          <w:rFonts w:ascii="Times New Roman" w:hAnsi="Times New Roman"/>
          <w:sz w:val="24"/>
        </w:rPr>
        <w:t xml:space="preserve"> 10,109.20</w:t>
      </w:r>
      <w:r>
        <w:rPr>
          <w:rFonts w:ascii="Times New Roman" w:hAnsi="Times New Roman"/>
          <w:sz w:val="24"/>
        </w:rPr>
        <w:t>元</w:t>
      </w:r>
    </w:p>
    <w:p w14:paraId="17D65C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即：投资者赎回本基金</w:t>
      </w:r>
      <w:r>
        <w:rPr>
          <w:rFonts w:ascii="Times New Roman" w:hAnsi="Times New Roman"/>
          <w:sz w:val="24"/>
        </w:rPr>
        <w:t>10,000</w:t>
      </w:r>
      <w:r>
        <w:rPr>
          <w:rFonts w:ascii="Times New Roman" w:hAnsi="Times New Roman"/>
          <w:sz w:val="24"/>
        </w:rPr>
        <w:t>份基金份额，假设赎回当日基金份额净值是</w:t>
      </w:r>
      <w:r>
        <w:rPr>
          <w:rFonts w:ascii="Times New Roman" w:hAnsi="Times New Roman"/>
          <w:sz w:val="24"/>
        </w:rPr>
        <w:t>1.016</w:t>
      </w:r>
      <w:r>
        <w:rPr>
          <w:rFonts w:ascii="Times New Roman" w:hAnsi="Times New Roman"/>
          <w:sz w:val="24"/>
        </w:rPr>
        <w:t>元，则其可得到的赎回金额为</w:t>
      </w:r>
      <w:r>
        <w:rPr>
          <w:rFonts w:ascii="Times New Roman" w:hAnsi="Times New Roman"/>
          <w:sz w:val="24"/>
        </w:rPr>
        <w:t>10,109.20</w:t>
      </w:r>
      <w:r>
        <w:rPr>
          <w:rFonts w:ascii="Times New Roman" w:hAnsi="Times New Roman"/>
          <w:sz w:val="24"/>
        </w:rPr>
        <w:t>元。</w:t>
      </w:r>
    </w:p>
    <w:p w14:paraId="15A7318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）如果投资者在认（申）购时选择交纳后端认（申）购费用，则赎回金额的计算方法如下：</w:t>
      </w:r>
    </w:p>
    <w:p w14:paraId="4A22F2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赎回总额＝赎回份额</w:t>
      </w:r>
      <w:r>
        <w:rPr>
          <w:rFonts w:ascii="Times New Roman" w:hAnsi="Times New Roman"/>
          <w:sz w:val="24"/>
        </w:rPr>
        <w:t>×T</w:t>
      </w:r>
      <w:r>
        <w:rPr>
          <w:rFonts w:ascii="Times New Roman" w:hAnsi="Times New Roman"/>
          <w:sz w:val="24"/>
        </w:rPr>
        <w:t>日基金份额净值</w:t>
      </w:r>
    </w:p>
    <w:p w14:paraId="39C329B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后端认（申）购费用＝赎回份额</w:t>
      </w:r>
      <w:r>
        <w:rPr>
          <w:rFonts w:ascii="Times New Roman" w:hAnsi="Times New Roman"/>
          <w:sz w:val="24"/>
        </w:rPr>
        <w:t>×</w:t>
      </w:r>
      <w:r>
        <w:rPr>
          <w:rFonts w:ascii="Times New Roman" w:hAnsi="Times New Roman"/>
          <w:sz w:val="24"/>
        </w:rPr>
        <w:t>认（申）</w:t>
      </w:r>
      <w:proofErr w:type="gramStart"/>
      <w:r>
        <w:rPr>
          <w:rFonts w:ascii="Times New Roman" w:hAnsi="Times New Roman"/>
          <w:sz w:val="24"/>
        </w:rPr>
        <w:t>购日基金</w:t>
      </w:r>
      <w:proofErr w:type="gramEnd"/>
      <w:r>
        <w:rPr>
          <w:rFonts w:ascii="Times New Roman" w:hAnsi="Times New Roman"/>
          <w:sz w:val="24"/>
        </w:rPr>
        <w:t>份额净值</w:t>
      </w:r>
      <w:r>
        <w:rPr>
          <w:rFonts w:ascii="Times New Roman" w:hAnsi="Times New Roman"/>
          <w:sz w:val="24"/>
        </w:rPr>
        <w:t>×</w:t>
      </w:r>
      <w:r>
        <w:rPr>
          <w:rFonts w:ascii="Times New Roman" w:hAnsi="Times New Roman"/>
          <w:sz w:val="24"/>
        </w:rPr>
        <w:t>后端认（申）购费率</w:t>
      </w:r>
    </w:p>
    <w:p w14:paraId="0F24046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赎回费用＝赎回总额</w:t>
      </w:r>
      <w:r>
        <w:rPr>
          <w:rFonts w:ascii="Times New Roman" w:hAnsi="Times New Roman"/>
          <w:sz w:val="24"/>
        </w:rPr>
        <w:t>×</w:t>
      </w:r>
      <w:r>
        <w:rPr>
          <w:rFonts w:ascii="Times New Roman" w:hAnsi="Times New Roman"/>
          <w:sz w:val="24"/>
        </w:rPr>
        <w:t>赎回费率</w:t>
      </w:r>
    </w:p>
    <w:p w14:paraId="73CADD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赎回金额＝赎回总额－后端认（申）购费用－赎回费用</w:t>
      </w:r>
    </w:p>
    <w:p w14:paraId="48A36D0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例四：某投资者赎回通过后端认购持有的</w:t>
      </w:r>
      <w:r>
        <w:rPr>
          <w:rFonts w:ascii="Times New Roman" w:hAnsi="Times New Roman"/>
          <w:sz w:val="24"/>
        </w:rPr>
        <w:t>10,000</w:t>
      </w:r>
      <w:r>
        <w:rPr>
          <w:rFonts w:ascii="Times New Roman" w:hAnsi="Times New Roman"/>
          <w:sz w:val="24"/>
        </w:rPr>
        <w:t>份基金份额，对应的后端认购费率为</w:t>
      </w:r>
      <w:r>
        <w:rPr>
          <w:rFonts w:ascii="Times New Roman" w:hAnsi="Times New Roman"/>
          <w:sz w:val="24"/>
        </w:rPr>
        <w:t>1.6%</w:t>
      </w:r>
      <w:r>
        <w:rPr>
          <w:rFonts w:ascii="Times New Roman" w:hAnsi="Times New Roman"/>
          <w:sz w:val="24"/>
        </w:rPr>
        <w:t>，赎回费率为</w:t>
      </w:r>
      <w:r>
        <w:rPr>
          <w:rFonts w:ascii="Times New Roman" w:hAnsi="Times New Roman"/>
          <w:sz w:val="24"/>
        </w:rPr>
        <w:t>0.5%</w:t>
      </w:r>
      <w:r>
        <w:rPr>
          <w:rFonts w:ascii="Times New Roman" w:hAnsi="Times New Roman"/>
          <w:sz w:val="24"/>
        </w:rPr>
        <w:t>，假设赎回当日基金份额净值是</w:t>
      </w:r>
      <w:r>
        <w:rPr>
          <w:rFonts w:ascii="Times New Roman" w:hAnsi="Times New Roman"/>
          <w:sz w:val="24"/>
        </w:rPr>
        <w:t>1.016</w:t>
      </w:r>
      <w:r>
        <w:rPr>
          <w:rFonts w:ascii="Times New Roman" w:hAnsi="Times New Roman"/>
          <w:sz w:val="24"/>
        </w:rPr>
        <w:t>元，则其可得到的赎回金额为：</w:t>
      </w:r>
    </w:p>
    <w:p w14:paraId="40998B1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后端认购费用</w:t>
      </w:r>
      <w:r>
        <w:rPr>
          <w:rFonts w:ascii="Times New Roman" w:hAnsi="Times New Roman"/>
          <w:sz w:val="24"/>
        </w:rPr>
        <w:t xml:space="preserve"> = 10,000×1.00×1.6% = 160.00</w:t>
      </w:r>
      <w:r>
        <w:rPr>
          <w:rFonts w:ascii="Times New Roman" w:hAnsi="Times New Roman"/>
          <w:sz w:val="24"/>
        </w:rPr>
        <w:t>元</w:t>
      </w:r>
    </w:p>
    <w:p w14:paraId="5D7AC9E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4A9F774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10,000×1.016-160.00-50.80 </w:t>
      </w:r>
      <w:r>
        <w:rPr>
          <w:rFonts w:ascii="Times New Roman" w:hAnsi="Times New Roman"/>
          <w:sz w:val="24"/>
        </w:rPr>
        <w:t>＝</w:t>
      </w:r>
      <w:r>
        <w:rPr>
          <w:rFonts w:ascii="Times New Roman" w:hAnsi="Times New Roman"/>
          <w:sz w:val="24"/>
        </w:rPr>
        <w:t xml:space="preserve"> 9,949.20</w:t>
      </w:r>
      <w:r>
        <w:rPr>
          <w:rFonts w:ascii="Times New Roman" w:hAnsi="Times New Roman"/>
          <w:sz w:val="24"/>
        </w:rPr>
        <w:t>元</w:t>
      </w:r>
    </w:p>
    <w:p w14:paraId="62AEF3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即：投资者赎回通过后端认购所得本基金</w:t>
      </w:r>
      <w:r>
        <w:rPr>
          <w:rFonts w:ascii="Times New Roman" w:hAnsi="Times New Roman"/>
          <w:sz w:val="24"/>
        </w:rPr>
        <w:t>10,000</w:t>
      </w:r>
      <w:r>
        <w:rPr>
          <w:rFonts w:ascii="Times New Roman" w:hAnsi="Times New Roman"/>
          <w:sz w:val="24"/>
        </w:rPr>
        <w:t>份基金份额，假设赎回当日基金份额净值是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9,949.20</w:t>
      </w:r>
      <w:r>
        <w:rPr>
          <w:rFonts w:ascii="Times New Roman" w:hAnsi="Times New Roman"/>
          <w:sz w:val="24"/>
        </w:rPr>
        <w:t>元。</w:t>
      </w:r>
    </w:p>
    <w:p w14:paraId="6CC024C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例五：某投资者赎回通过后端申购持有的</w:t>
      </w:r>
      <w:r>
        <w:rPr>
          <w:rFonts w:ascii="Times New Roman" w:hAnsi="Times New Roman"/>
          <w:sz w:val="24"/>
        </w:rPr>
        <w:t>10,000</w:t>
      </w:r>
      <w:r>
        <w:rPr>
          <w:rFonts w:ascii="Times New Roman" w:hAnsi="Times New Roman"/>
          <w:sz w:val="24"/>
        </w:rPr>
        <w:t>份基金份额，对应的后端申购费率为</w:t>
      </w:r>
      <w:r>
        <w:rPr>
          <w:rFonts w:ascii="Times New Roman" w:hAnsi="Times New Roman"/>
          <w:sz w:val="24"/>
        </w:rPr>
        <w:t>1.8%</w:t>
      </w:r>
      <w:r>
        <w:rPr>
          <w:rFonts w:ascii="Times New Roman" w:hAnsi="Times New Roman"/>
          <w:sz w:val="24"/>
        </w:rPr>
        <w:t>，赎回费率为</w:t>
      </w:r>
      <w:r>
        <w:rPr>
          <w:rFonts w:ascii="Times New Roman" w:hAnsi="Times New Roman"/>
          <w:sz w:val="24"/>
        </w:rPr>
        <w:t>0.5%</w:t>
      </w:r>
      <w:r>
        <w:rPr>
          <w:rFonts w:ascii="Times New Roman" w:hAnsi="Times New Roman"/>
          <w:sz w:val="24"/>
        </w:rPr>
        <w:t>，假设申购当日基金份额净值是</w:t>
      </w:r>
      <w:r>
        <w:rPr>
          <w:rFonts w:ascii="Times New Roman" w:hAnsi="Times New Roman"/>
          <w:sz w:val="24"/>
        </w:rPr>
        <w:t>1.010</w:t>
      </w:r>
      <w:r>
        <w:rPr>
          <w:rFonts w:ascii="Times New Roman" w:hAnsi="Times New Roman"/>
          <w:sz w:val="24"/>
        </w:rPr>
        <w:t>元，赎回当日基金份额净值是</w:t>
      </w:r>
      <w:r>
        <w:rPr>
          <w:rFonts w:ascii="Times New Roman" w:hAnsi="Times New Roman"/>
          <w:sz w:val="24"/>
        </w:rPr>
        <w:t>1.016</w:t>
      </w:r>
      <w:r>
        <w:rPr>
          <w:rFonts w:ascii="Times New Roman" w:hAnsi="Times New Roman"/>
          <w:sz w:val="24"/>
        </w:rPr>
        <w:t>元，则其可得到的赎回金额为：</w:t>
      </w:r>
    </w:p>
    <w:p w14:paraId="224FD7B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后端申购费用</w:t>
      </w:r>
      <w:r>
        <w:rPr>
          <w:rFonts w:ascii="Times New Roman" w:hAnsi="Times New Roman"/>
          <w:sz w:val="24"/>
        </w:rPr>
        <w:t xml:space="preserve"> = 10,000×1.010×1.8% = 181.80</w:t>
      </w:r>
      <w:r>
        <w:rPr>
          <w:rFonts w:ascii="Times New Roman" w:hAnsi="Times New Roman"/>
          <w:sz w:val="24"/>
        </w:rPr>
        <w:t>元</w:t>
      </w:r>
    </w:p>
    <w:p w14:paraId="6C14216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5B538CD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10,000×1.016-181.80-50.80 </w:t>
      </w:r>
      <w:r>
        <w:rPr>
          <w:rFonts w:ascii="Times New Roman" w:hAnsi="Times New Roman"/>
          <w:sz w:val="24"/>
        </w:rPr>
        <w:t>＝</w:t>
      </w:r>
      <w:r>
        <w:rPr>
          <w:rFonts w:ascii="Times New Roman" w:hAnsi="Times New Roman"/>
          <w:sz w:val="24"/>
        </w:rPr>
        <w:t xml:space="preserve"> 9,927.40</w:t>
      </w:r>
      <w:r>
        <w:rPr>
          <w:rFonts w:ascii="Times New Roman" w:hAnsi="Times New Roman"/>
          <w:sz w:val="24"/>
        </w:rPr>
        <w:t>元</w:t>
      </w:r>
    </w:p>
    <w:p w14:paraId="2F50101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即：投资者赎回通过后端申购所得本基金</w:t>
      </w:r>
      <w:r>
        <w:rPr>
          <w:rFonts w:ascii="Times New Roman" w:hAnsi="Times New Roman"/>
          <w:sz w:val="24"/>
        </w:rPr>
        <w:t>10,000</w:t>
      </w:r>
      <w:r>
        <w:rPr>
          <w:rFonts w:ascii="Times New Roman" w:hAnsi="Times New Roman"/>
          <w:sz w:val="24"/>
        </w:rPr>
        <w:t>份基金份额，假设申购当日基金份额净值是</w:t>
      </w:r>
      <w:r>
        <w:rPr>
          <w:rFonts w:ascii="Times New Roman" w:hAnsi="Times New Roman"/>
          <w:sz w:val="24"/>
        </w:rPr>
        <w:t>1.010</w:t>
      </w:r>
      <w:r>
        <w:rPr>
          <w:rFonts w:ascii="Times New Roman" w:hAnsi="Times New Roman"/>
          <w:sz w:val="24"/>
        </w:rPr>
        <w:t>元，赎回当日基金份额净值是</w:t>
      </w:r>
      <w:r>
        <w:rPr>
          <w:rFonts w:ascii="Times New Roman" w:hAnsi="Times New Roman"/>
          <w:sz w:val="24"/>
        </w:rPr>
        <w:t>1.016</w:t>
      </w:r>
      <w:r>
        <w:rPr>
          <w:rFonts w:ascii="Times New Roman" w:hAnsi="Times New Roman"/>
          <w:sz w:val="24"/>
        </w:rPr>
        <w:t>元，则其可得到的赎回金额为</w:t>
      </w:r>
      <w:r>
        <w:rPr>
          <w:rFonts w:ascii="Times New Roman" w:hAnsi="Times New Roman"/>
          <w:sz w:val="24"/>
        </w:rPr>
        <w:t>9,927.40</w:t>
      </w:r>
      <w:r>
        <w:rPr>
          <w:rFonts w:ascii="Times New Roman" w:hAnsi="Times New Roman"/>
          <w:sz w:val="24"/>
        </w:rPr>
        <w:t>元。</w:t>
      </w:r>
    </w:p>
    <w:p w14:paraId="2D8539D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14:paraId="6B08A2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基金份额净值＝基金资产净值总额</w:t>
      </w:r>
      <w:r>
        <w:rPr>
          <w:rFonts w:ascii="Times New Roman" w:hAnsi="Times New Roman"/>
          <w:sz w:val="24"/>
        </w:rPr>
        <w:t>/</w:t>
      </w:r>
      <w:r>
        <w:rPr>
          <w:rFonts w:ascii="Times New Roman" w:hAnsi="Times New Roman"/>
          <w:sz w:val="24"/>
        </w:rPr>
        <w:t>发行在外的基金份额总数</w:t>
      </w:r>
    </w:p>
    <w:p w14:paraId="455002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日公告。遇特殊情况，经中国证监会同意，可以适当延迟计算或公告。</w:t>
      </w:r>
    </w:p>
    <w:p w14:paraId="297A6405"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（八）拒绝或暂停申购的情形及处理方式</w:t>
      </w:r>
    </w:p>
    <w:p w14:paraId="575BEBC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发生下列情况时，基金管理人可拒绝或暂停接受投资者的申购申请：</w:t>
      </w:r>
    </w:p>
    <w:p w14:paraId="7C713AE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）因不可抗力导致基金无法正常运作；</w:t>
      </w:r>
    </w:p>
    <w:p w14:paraId="1EEED68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）证券交易场所在交易时间非正常停市，导致基金管理人无法计算当日的基金资产净值；</w:t>
      </w:r>
    </w:p>
    <w:p w14:paraId="4BA84A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）所投资的目标</w:t>
      </w:r>
      <w:r>
        <w:rPr>
          <w:rFonts w:ascii="Times New Roman" w:hAnsi="Times New Roman"/>
          <w:sz w:val="24"/>
        </w:rPr>
        <w:t>ETF</w:t>
      </w:r>
      <w:r>
        <w:rPr>
          <w:rFonts w:ascii="Times New Roman" w:hAnsi="Times New Roman"/>
          <w:sz w:val="24"/>
        </w:rPr>
        <w:t>暂停估值，导致基金管理人无法计算当日基金资产净值；</w:t>
      </w:r>
    </w:p>
    <w:p w14:paraId="124AE4A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）所投资的目标</w:t>
      </w:r>
      <w:r>
        <w:rPr>
          <w:rFonts w:ascii="Times New Roman" w:hAnsi="Times New Roman"/>
          <w:sz w:val="24"/>
        </w:rPr>
        <w:t>ETF</w:t>
      </w:r>
      <w:r>
        <w:rPr>
          <w:rFonts w:ascii="Times New Roman" w:hAnsi="Times New Roman"/>
          <w:sz w:val="24"/>
        </w:rPr>
        <w:t>暂停申购或二级市场交易停牌；</w:t>
      </w:r>
    </w:p>
    <w:p w14:paraId="5E31D0E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）发生基金合同规定的暂停基金资产估值情况；</w:t>
      </w:r>
    </w:p>
    <w:p w14:paraId="3826F9C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）基金财产规模过大，使基金管理人无法找到合适的投资品种，或基金管理人认为继续接受申购会损害已有基金份额持有人利益；</w:t>
      </w:r>
    </w:p>
    <w:p w14:paraId="4A49A11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）基金管理人认为会有损于现有基金份额持有人利益的，或违反有关法律法规的某笔申购或某些申购；</w:t>
      </w:r>
    </w:p>
    <w:p w14:paraId="05B68A2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公允价值存在重大不确定性时，经与基金托管人协商确认后，基金管理人应当暂停接受基金申购申请；</w:t>
      </w:r>
    </w:p>
    <w:p w14:paraId="46DE27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）法律法规规定或中国证监会认定的其他情形。</w:t>
      </w:r>
    </w:p>
    <w:p w14:paraId="53AA8B9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9</w:t>
      </w:r>
      <w:r>
        <w:rPr>
          <w:rFonts w:ascii="Times New Roman" w:hAnsi="Times New Roman"/>
          <w:sz w:val="24"/>
        </w:rPr>
        <w:t>项暂停申购情形时，基金管理人应当根据《信息披露办法》的有关规定在指定媒介上刊登暂停申购公告。如果投资者的申购申请被拒绝，被拒绝的申购款项将全额退还投资者。在暂停申购的情况消除时，基金管理人应及时恢复申购业务的办理。</w:t>
      </w:r>
    </w:p>
    <w:p w14:paraId="50B9F3B3"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（九）暂停赎回或者延缓支付赎回款项的情形及处理方式</w:t>
      </w:r>
    </w:p>
    <w:p w14:paraId="08C6FDB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发生下列情形时，基金管理人可暂停接受投资者的赎回申请或延缓支付赎回款项：</w:t>
      </w:r>
    </w:p>
    <w:p w14:paraId="54FEEC6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）因不可抗力导致基金管理人不能支付赎回款项；</w:t>
      </w:r>
    </w:p>
    <w:p w14:paraId="52BF1BD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）证券交易场所交易时间非正常停市，导致基金管理人无法计算当日基金资产净值；</w:t>
      </w:r>
    </w:p>
    <w:p w14:paraId="089C79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）连续两个或两个以上开放日发生巨额赎回；</w:t>
      </w:r>
    </w:p>
    <w:p w14:paraId="75EDEE4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）所投资的目标</w:t>
      </w:r>
      <w:r>
        <w:rPr>
          <w:rFonts w:ascii="Times New Roman" w:hAnsi="Times New Roman"/>
          <w:sz w:val="24"/>
        </w:rPr>
        <w:t>ETF</w:t>
      </w:r>
      <w:r>
        <w:rPr>
          <w:rFonts w:ascii="Times New Roman" w:hAnsi="Times New Roman"/>
          <w:sz w:val="24"/>
        </w:rPr>
        <w:t>暂停估值，导致基金管理人无法计算当日基金资产净值；</w:t>
      </w:r>
    </w:p>
    <w:p w14:paraId="43DAFE4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）所投资的目标</w:t>
      </w:r>
      <w:r>
        <w:rPr>
          <w:rFonts w:ascii="Times New Roman" w:hAnsi="Times New Roman"/>
          <w:sz w:val="24"/>
        </w:rPr>
        <w:t>ETF</w:t>
      </w:r>
      <w:r>
        <w:rPr>
          <w:rFonts w:ascii="Times New Roman" w:hAnsi="Times New Roman"/>
          <w:sz w:val="24"/>
        </w:rPr>
        <w:t>暂停赎回；</w:t>
      </w:r>
    </w:p>
    <w:p w14:paraId="43598D3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公允价值存在重大不确定性时，经与基金托管人协商确认后，基金管理人应当暂停接受基金赎回申请或延缓支付赎回款项；</w:t>
      </w:r>
    </w:p>
    <w:p w14:paraId="5D8C0D6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）发生基金合同规定的暂停基金资产估值情况；</w:t>
      </w:r>
    </w:p>
    <w:p w14:paraId="60EB747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）法律法规规定或中国证监会认定的其他情形。</w:t>
      </w:r>
    </w:p>
    <w:p w14:paraId="43DF2A8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时，基金管理人应在当日报中国证监会报告，已接受的赎回申请，基金管理人应足额支付；如暂时不能足额支付，应将可支付部分按单个账户申请量占申请总量的比例分配给赎回申请人，未支付部分可延期支付，并以后续开放日的基金份额净值为依据计算赎回金额，若发生上述第（</w:t>
      </w:r>
      <w:r>
        <w:rPr>
          <w:rFonts w:ascii="Times New Roman" w:hAnsi="Times New Roman"/>
          <w:sz w:val="24"/>
        </w:rPr>
        <w:t>3</w:t>
      </w:r>
      <w:r>
        <w:rPr>
          <w:rFonts w:ascii="Times New Roman" w:hAnsi="Times New Roman"/>
          <w:sz w:val="24"/>
        </w:rPr>
        <w:t>）项所述情形，按基金合同的相关条款处理。投资者在申请赎回时可事先选择将当日可能未获受理部分予以撤销。在暂停赎回的情况消除时，基金管理人应及时恢复赎回业务的办理并予以公告。</w:t>
      </w:r>
    </w:p>
    <w:p w14:paraId="63706E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暂停基金的赎回，基金管理人应根据《信息披露办法》的有关规定及时在指定媒介上刊登暂停赎回公告。</w:t>
      </w:r>
    </w:p>
    <w:p w14:paraId="6B3B4BE7"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（十）巨额赎回的情形及处理方式</w:t>
      </w:r>
    </w:p>
    <w:p w14:paraId="5CDBD2E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14:paraId="7837D19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本基金单个开放日内的基金份额净赎回申请（赎回申请份额总数加上基金转换中转出申请份额总数扣除申购申请份额总数及基金转换中转入申请份额总数后的余额）超过上一日基金总份额的</w:t>
      </w:r>
      <w:r>
        <w:rPr>
          <w:rFonts w:ascii="Times New Roman" w:hAnsi="Times New Roman"/>
          <w:sz w:val="24"/>
        </w:rPr>
        <w:t>10%</w:t>
      </w:r>
      <w:r>
        <w:rPr>
          <w:rFonts w:ascii="Times New Roman" w:hAnsi="Times New Roman"/>
          <w:sz w:val="24"/>
        </w:rPr>
        <w:t>时，即认为发生了巨额赎回。</w:t>
      </w:r>
    </w:p>
    <w:p w14:paraId="1070ABF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14:paraId="4D8193A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当基金出现巨额赎回时，基金管理人可以根据本基金当时的资产组合状况决定全额赎回或部分延期赎回。</w:t>
      </w:r>
    </w:p>
    <w:p w14:paraId="7F0AF3C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）全额赎回：当基金管理人认为有能力支付投资者的全部赎回申请时，按正常赎回程序执行。</w:t>
      </w:r>
    </w:p>
    <w:p w14:paraId="62368E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基金投资者的赎回申请有困难或认为支付投资者的赎回申请而进行的财产变现可能会对基金资产净值造成较大波动时，基金管理人在当日接受赎回比例不低于上一日基金总份额的</w:t>
      </w:r>
      <w:r>
        <w:rPr>
          <w:rFonts w:ascii="Times New Roman" w:hAnsi="Times New Roman"/>
          <w:sz w:val="24"/>
        </w:rPr>
        <w:t>10%</w:t>
      </w:r>
      <w:r>
        <w:rPr>
          <w:rFonts w:ascii="Times New Roman" w:hAnsi="Times New Roman"/>
          <w:sz w:val="24"/>
        </w:rPr>
        <w:t>的前提下，对</w:t>
      </w:r>
      <w:r>
        <w:rPr>
          <w:rFonts w:ascii="Times New Roman" w:hAnsi="Times New Roman"/>
          <w:sz w:val="24"/>
        </w:rPr>
        <w:lastRenderedPageBreak/>
        <w:t>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62089E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）部分顺延赎回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7FBB532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）当出现巨额赎回时，基金转换中转出份额的申请的处理方式遵照相关的业务规则及届时开展转换业务的公告。</w:t>
      </w:r>
    </w:p>
    <w:p w14:paraId="5072850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w:t>
      </w:r>
      <w:r>
        <w:rPr>
          <w:rFonts w:ascii="Times New Roman" w:hAnsi="Times New Roman"/>
          <w:sz w:val="24"/>
        </w:rPr>
        <w:t>(</w:t>
      </w:r>
      <w:r>
        <w:rPr>
          <w:rFonts w:ascii="Times New Roman" w:hAnsi="Times New Roman"/>
          <w:sz w:val="24"/>
        </w:rPr>
        <w:t>含本数</w:t>
      </w:r>
      <w:r>
        <w:rPr>
          <w:rFonts w:ascii="Times New Roman" w:hAnsi="Times New Roman"/>
          <w:sz w:val="24"/>
        </w:rPr>
        <w:t>)</w:t>
      </w:r>
      <w:r>
        <w:rPr>
          <w:rFonts w:ascii="Times New Roman" w:hAnsi="Times New Roman"/>
          <w:sz w:val="24"/>
        </w:rPr>
        <w:t>发生巨额赎回，如基金管理人认为有必要，可暂停接受基金的赎回申请；已经接受的赎回申请可以延缓支付赎回款项，但不得超过正常支付时间</w:t>
      </w:r>
      <w:r>
        <w:rPr>
          <w:rFonts w:ascii="Times New Roman" w:hAnsi="Times New Roman"/>
          <w:sz w:val="24"/>
        </w:rPr>
        <w:t>20</w:t>
      </w:r>
      <w:r>
        <w:rPr>
          <w:rFonts w:ascii="Times New Roman" w:hAnsi="Times New Roman"/>
          <w:sz w:val="24"/>
        </w:rPr>
        <w:t>个工作日，并应当在指定媒介上进行公告。</w:t>
      </w:r>
    </w:p>
    <w:p w14:paraId="5466CA8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、巨额赎回的公告：当发生巨额赎回并顺延赎回时，基金管理人应当通过邮寄、传真、刊登公告或者通知代销机构代为告知等方式在</w:t>
      </w:r>
      <w:r>
        <w:rPr>
          <w:rFonts w:ascii="Times New Roman" w:hAnsi="Times New Roman"/>
          <w:sz w:val="24"/>
        </w:rPr>
        <w:t>3</w:t>
      </w:r>
      <w:r>
        <w:rPr>
          <w:rFonts w:ascii="Times New Roman" w:hAnsi="Times New Roman"/>
          <w:sz w:val="24"/>
        </w:rPr>
        <w:t>个工作日内通知基金份额持有人，说明有关处理方法，并在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14:paraId="0674FE48"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（十一）暂停申购或赎回的公告和重新开放申购或赎回的公告</w:t>
      </w:r>
    </w:p>
    <w:p w14:paraId="514BC41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14:paraId="62AE2EB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、如发生暂停的时间为</w:t>
      </w:r>
      <w:r>
        <w:rPr>
          <w:rFonts w:ascii="Times New Roman" w:hAnsi="Times New Roman"/>
          <w:sz w:val="24"/>
        </w:rPr>
        <w:t>1</w:t>
      </w:r>
      <w:r>
        <w:rPr>
          <w:rFonts w:ascii="Times New Roman" w:hAnsi="Times New Roman"/>
          <w:sz w:val="24"/>
        </w:rPr>
        <w:t>日，第</w:t>
      </w:r>
      <w:r>
        <w:rPr>
          <w:rFonts w:ascii="Times New Roman" w:hAnsi="Times New Roman"/>
          <w:sz w:val="24"/>
        </w:rPr>
        <w:t>2</w:t>
      </w:r>
      <w:r>
        <w:rPr>
          <w:rFonts w:ascii="Times New Roman" w:hAnsi="Times New Roman"/>
          <w:sz w:val="24"/>
        </w:rPr>
        <w:t>个工作日基金管理人应依照《信息披露办法》的有关规定在指定媒介上刊登基金重新开放申购或赎回公告，并公布最近</w:t>
      </w:r>
      <w:r>
        <w:rPr>
          <w:rFonts w:ascii="Times New Roman" w:hAnsi="Times New Roman"/>
          <w:sz w:val="24"/>
        </w:rPr>
        <w:t>1</w:t>
      </w:r>
      <w:r>
        <w:rPr>
          <w:rFonts w:ascii="Times New Roman" w:hAnsi="Times New Roman"/>
          <w:sz w:val="24"/>
        </w:rPr>
        <w:t>个开放日的基金份额净值。</w:t>
      </w:r>
    </w:p>
    <w:p w14:paraId="4F443C6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、如发生暂停的时间超过</w:t>
      </w:r>
      <w:r>
        <w:rPr>
          <w:rFonts w:ascii="Times New Roman" w:hAnsi="Times New Roman"/>
          <w:sz w:val="24"/>
        </w:rPr>
        <w:t>1</w:t>
      </w:r>
      <w:r>
        <w:rPr>
          <w:rFonts w:ascii="Times New Roman" w:hAnsi="Times New Roman"/>
          <w:sz w:val="24"/>
        </w:rPr>
        <w:t>日但少于两周，暂停结束，基金重新开放申购或赎回时，基金管理人应依照《信息披露办法》的有关规定在指定媒介上刊登基金重新</w:t>
      </w:r>
      <w:r>
        <w:rPr>
          <w:rFonts w:ascii="Times New Roman" w:hAnsi="Times New Roman"/>
          <w:sz w:val="24"/>
        </w:rPr>
        <w:lastRenderedPageBreak/>
        <w:t>开放申购或赎回公告，并公告最近</w:t>
      </w:r>
      <w:r>
        <w:rPr>
          <w:rFonts w:ascii="Times New Roman" w:hAnsi="Times New Roman"/>
          <w:sz w:val="24"/>
        </w:rPr>
        <w:t>1</w:t>
      </w:r>
      <w:r>
        <w:rPr>
          <w:rFonts w:ascii="Times New Roman" w:hAnsi="Times New Roman"/>
          <w:sz w:val="24"/>
        </w:rPr>
        <w:t>个开放日的基金份额净值。</w:t>
      </w:r>
    </w:p>
    <w:p w14:paraId="07CE7E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、如发生暂停的时间超过两周，暂停期间，基金管理人应每</w:t>
      </w:r>
      <w:r>
        <w:rPr>
          <w:rFonts w:ascii="Times New Roman" w:hAnsi="Times New Roman"/>
          <w:sz w:val="24"/>
        </w:rPr>
        <w:t>2</w:t>
      </w:r>
      <w:r>
        <w:rPr>
          <w:rFonts w:ascii="Times New Roman" w:hAnsi="Times New Roman"/>
          <w:sz w:val="24"/>
        </w:rPr>
        <w:t>周至少刊登暂停公告</w:t>
      </w:r>
      <w:r>
        <w:rPr>
          <w:rFonts w:ascii="Times New Roman" w:hAnsi="Times New Roman"/>
          <w:sz w:val="24"/>
        </w:rPr>
        <w:t>1</w:t>
      </w:r>
      <w:r>
        <w:rPr>
          <w:rFonts w:ascii="Times New Roman" w:hAnsi="Times New Roman"/>
          <w:sz w:val="24"/>
        </w:rPr>
        <w:t>次。暂停结束，基金重新开放申购或赎回时，基金管理人应依照《信息披露办法》的有关规定在指定媒介上刊登基金重新开放申购或赎回公告，并公告最近</w:t>
      </w:r>
      <w:r>
        <w:rPr>
          <w:rFonts w:ascii="Times New Roman" w:hAnsi="Times New Roman"/>
          <w:sz w:val="24"/>
        </w:rPr>
        <w:t>1</w:t>
      </w:r>
      <w:r>
        <w:rPr>
          <w:rFonts w:ascii="Times New Roman" w:hAnsi="Times New Roman"/>
          <w:sz w:val="24"/>
        </w:rPr>
        <w:t>个开放日的基金份额净值。</w:t>
      </w:r>
    </w:p>
    <w:p w14:paraId="17EA402C"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（十二）转托管</w:t>
      </w:r>
    </w:p>
    <w:p w14:paraId="10AC9B6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本基金目前实行份额托管的交易制度。基金份额持有人可办理已持有基金份额在不同销售机构之间的转托管，基金销售机构可以按照规定的标准收取转托管费。</w:t>
      </w:r>
    </w:p>
    <w:p w14:paraId="48D343F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6BE4453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如果基金管理人、注册登记机构、办理转托管的销售机构出现技术系统性能限制或出于其它合理原因，可以暂停该业务或者拒绝基金份额持有人的转托管申请。</w:t>
      </w:r>
    </w:p>
    <w:p w14:paraId="2F40E018"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（十三）定期定额投资计划</w:t>
      </w:r>
    </w:p>
    <w:p w14:paraId="66E1D5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29</w:t>
      </w:r>
      <w:r>
        <w:rPr>
          <w:rFonts w:ascii="Times New Roman" w:hAnsi="Times New Roman"/>
          <w:sz w:val="24"/>
        </w:rPr>
        <w:t>日公告自即日起开通定期定额投资计划业务，具体开通销售机构名单和业务规则参见相关公告。</w:t>
      </w:r>
    </w:p>
    <w:p w14:paraId="00D0443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（十四）定时</w:t>
      </w:r>
      <w:proofErr w:type="gramStart"/>
      <w:r w:rsidRPr="00BB248E">
        <w:rPr>
          <w:rFonts w:ascii="宋体" w:hAnsi="宋体" w:hint="eastAsia"/>
          <w:b/>
          <w:szCs w:val="24"/>
        </w:rPr>
        <w:t>不</w:t>
      </w:r>
      <w:proofErr w:type="gramEnd"/>
      <w:r w:rsidRPr="00BB248E">
        <w:rPr>
          <w:rFonts w:ascii="宋体" w:hAnsi="宋体" w:hint="eastAsia"/>
          <w:b/>
          <w:szCs w:val="24"/>
        </w:rPr>
        <w:t>定额投资计划</w:t>
      </w:r>
    </w:p>
    <w:p w14:paraId="50D4D18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自</w:t>
      </w:r>
      <w:r>
        <w:rPr>
          <w:rFonts w:ascii="Times New Roman" w:hAnsi="Times New Roman"/>
          <w:sz w:val="24"/>
        </w:rPr>
        <w:t>2010</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25</w:t>
      </w:r>
      <w:r>
        <w:rPr>
          <w:rFonts w:ascii="Times New Roman" w:hAnsi="Times New Roman"/>
          <w:sz w:val="24"/>
        </w:rPr>
        <w:t>日，投资者可通过中国工商银行股份有限公司的</w:t>
      </w:r>
      <w:r>
        <w:rPr>
          <w:rFonts w:ascii="Times New Roman" w:hAnsi="Times New Roman"/>
          <w:sz w:val="24"/>
        </w:rPr>
        <w:t>“</w:t>
      </w:r>
      <w:r>
        <w:rPr>
          <w:rFonts w:ascii="Times New Roman" w:hAnsi="Times New Roman"/>
          <w:sz w:val="24"/>
        </w:rPr>
        <w:t>基智定投</w:t>
      </w:r>
      <w:r>
        <w:rPr>
          <w:rFonts w:ascii="Times New Roman" w:hAnsi="Times New Roman"/>
          <w:sz w:val="24"/>
        </w:rPr>
        <w:t>”</w:t>
      </w:r>
      <w:r>
        <w:rPr>
          <w:rFonts w:ascii="Times New Roman" w:hAnsi="Times New Roman"/>
          <w:sz w:val="24"/>
        </w:rPr>
        <w:t>办理本基金的定时</w:t>
      </w:r>
      <w:proofErr w:type="gramStart"/>
      <w:r>
        <w:rPr>
          <w:rFonts w:ascii="Times New Roman" w:hAnsi="Times New Roman"/>
          <w:sz w:val="24"/>
        </w:rPr>
        <w:t>不</w:t>
      </w:r>
      <w:proofErr w:type="gramEnd"/>
      <w:r>
        <w:rPr>
          <w:rFonts w:ascii="Times New Roman" w:hAnsi="Times New Roman"/>
          <w:sz w:val="24"/>
        </w:rPr>
        <w:t>定额投资业务。</w:t>
      </w:r>
    </w:p>
    <w:p w14:paraId="0F7838E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基智</w:t>
      </w:r>
      <w:proofErr w:type="gramStart"/>
      <w:r>
        <w:rPr>
          <w:rFonts w:ascii="Times New Roman" w:hAnsi="Times New Roman"/>
          <w:sz w:val="24"/>
        </w:rPr>
        <w:t>定投业务</w:t>
      </w:r>
      <w:proofErr w:type="gramEnd"/>
      <w:r>
        <w:rPr>
          <w:rFonts w:ascii="Times New Roman" w:hAnsi="Times New Roman"/>
          <w:sz w:val="24"/>
        </w:rPr>
        <w:t>是中国工商银行股份有限公司普通基金</w:t>
      </w:r>
      <w:proofErr w:type="gramStart"/>
      <w:r>
        <w:rPr>
          <w:rFonts w:ascii="Times New Roman" w:hAnsi="Times New Roman"/>
          <w:sz w:val="24"/>
        </w:rPr>
        <w:t>定投业务</w:t>
      </w:r>
      <w:proofErr w:type="gramEnd"/>
      <w:r>
        <w:rPr>
          <w:rFonts w:ascii="Times New Roman" w:hAnsi="Times New Roman"/>
          <w:sz w:val="24"/>
        </w:rPr>
        <w:t>的升级业务，基智</w:t>
      </w:r>
      <w:proofErr w:type="gramStart"/>
      <w:r>
        <w:rPr>
          <w:rFonts w:ascii="Times New Roman" w:hAnsi="Times New Roman"/>
          <w:sz w:val="24"/>
        </w:rPr>
        <w:t>定投分为</w:t>
      </w:r>
      <w:proofErr w:type="gramEnd"/>
      <w:r>
        <w:rPr>
          <w:rFonts w:ascii="Times New Roman" w:hAnsi="Times New Roman"/>
          <w:sz w:val="24"/>
        </w:rPr>
        <w:t>定时</w:t>
      </w:r>
      <w:proofErr w:type="gramStart"/>
      <w:r>
        <w:rPr>
          <w:rFonts w:ascii="Times New Roman" w:hAnsi="Times New Roman"/>
          <w:sz w:val="24"/>
        </w:rPr>
        <w:t>不</w:t>
      </w:r>
      <w:proofErr w:type="gramEnd"/>
      <w:r>
        <w:rPr>
          <w:rFonts w:ascii="Times New Roman" w:hAnsi="Times New Roman"/>
          <w:sz w:val="24"/>
        </w:rPr>
        <w:t>定额和定时定额两种投资方式。</w:t>
      </w:r>
    </w:p>
    <w:p w14:paraId="122C1F6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投资者通过中国工商银行股份有限公司办理本公司旗下基金的基</w:t>
      </w:r>
      <w:proofErr w:type="gramStart"/>
      <w:r>
        <w:rPr>
          <w:rFonts w:ascii="Times New Roman" w:hAnsi="Times New Roman"/>
          <w:sz w:val="24"/>
        </w:rPr>
        <w:t>智定投业务</w:t>
      </w:r>
      <w:proofErr w:type="gramEnd"/>
      <w:r>
        <w:rPr>
          <w:rFonts w:ascii="Times New Roman" w:hAnsi="Times New Roman"/>
          <w:sz w:val="24"/>
        </w:rPr>
        <w:t>，相关流程和业务规则遵循中国工商银行股份有限公司的有关规定。详情请咨询当地中国工商银行股份有限公司的代销网点或中国工商银行股份有限公司客户服务电话（</w:t>
      </w:r>
      <w:r>
        <w:rPr>
          <w:rFonts w:ascii="Times New Roman" w:hAnsi="Times New Roman"/>
          <w:sz w:val="24"/>
        </w:rPr>
        <w:t>95588</w:t>
      </w:r>
      <w:r>
        <w:rPr>
          <w:rFonts w:ascii="Times New Roman" w:hAnsi="Times New Roman"/>
          <w:sz w:val="24"/>
        </w:rPr>
        <w:t>）。</w:t>
      </w:r>
    </w:p>
    <w:p w14:paraId="41BDADAD"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（十五）定期定额赎回业务</w:t>
      </w:r>
    </w:p>
    <w:p w14:paraId="24BC97F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29</w:t>
      </w:r>
      <w:r>
        <w:rPr>
          <w:rFonts w:ascii="Times New Roman" w:hAnsi="Times New Roman"/>
          <w:sz w:val="24"/>
        </w:rPr>
        <w:t>日刊登公告自即日起在中国农业银行股份有限公司下属各代销网点开通定期定额赎回业务。</w:t>
      </w:r>
    </w:p>
    <w:p w14:paraId="721EE1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ascii="Times New Roman" w:hAnsi="Times New Roman"/>
          <w:sz w:val="24"/>
        </w:rPr>
        <w:t>95599</w:t>
      </w:r>
      <w:r>
        <w:rPr>
          <w:rFonts w:ascii="Times New Roman" w:hAnsi="Times New Roman"/>
          <w:sz w:val="24"/>
        </w:rPr>
        <w:t>）。</w:t>
      </w:r>
    </w:p>
    <w:p w14:paraId="25CE4353"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（十六）基金的</w:t>
      </w:r>
      <w:proofErr w:type="gramStart"/>
      <w:r w:rsidRPr="00BB248E">
        <w:rPr>
          <w:rFonts w:ascii="宋体" w:hAnsi="宋体" w:hint="eastAsia"/>
          <w:b/>
          <w:szCs w:val="24"/>
        </w:rPr>
        <w:t>非交易</w:t>
      </w:r>
      <w:proofErr w:type="gramEnd"/>
      <w:r w:rsidRPr="00BB248E">
        <w:rPr>
          <w:rFonts w:ascii="宋体" w:hAnsi="宋体" w:hint="eastAsia"/>
          <w:b/>
          <w:szCs w:val="24"/>
        </w:rPr>
        <w:t>过户</w:t>
      </w:r>
    </w:p>
    <w:p w14:paraId="74F995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指基金注册登记机构受理继承、捐赠、司法强制执行和经注册登记机构认可的其它情况而产生的</w:t>
      </w:r>
      <w:proofErr w:type="gramStart"/>
      <w:r>
        <w:rPr>
          <w:rFonts w:ascii="Times New Roman" w:hAnsi="Times New Roman"/>
          <w:sz w:val="24"/>
        </w:rPr>
        <w:t>非交易</w:t>
      </w:r>
      <w:proofErr w:type="gramEnd"/>
      <w:r>
        <w:rPr>
          <w:rFonts w:ascii="Times New Roman" w:hAnsi="Times New Roman"/>
          <w:sz w:val="24"/>
        </w:rPr>
        <w:t>过户。无论在上述何种情况下，接受划转的主体必须是依法可以持有本</w:t>
      </w:r>
      <w:proofErr w:type="gramStart"/>
      <w:r>
        <w:rPr>
          <w:rFonts w:ascii="Times New Roman" w:hAnsi="Times New Roman"/>
          <w:sz w:val="24"/>
        </w:rPr>
        <w:t>基金基金</w:t>
      </w:r>
      <w:proofErr w:type="gramEnd"/>
      <w:r>
        <w:rPr>
          <w:rFonts w:ascii="Times New Roman" w:hAnsi="Times New Roman"/>
          <w:sz w:val="24"/>
        </w:rPr>
        <w:t>份额的基金投资者。</w:t>
      </w:r>
    </w:p>
    <w:p w14:paraId="25E196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继承是指基金份额持有人死亡，其持有的基金份额由其合法的继承人继承；</w:t>
      </w:r>
      <w:proofErr w:type="gramStart"/>
      <w:r>
        <w:rPr>
          <w:rFonts w:ascii="Times New Roman" w:hAnsi="Times New Roman"/>
          <w:sz w:val="24"/>
        </w:rPr>
        <w:t>捐赠指</w:t>
      </w:r>
      <w:proofErr w:type="gramEnd"/>
      <w:r>
        <w:rPr>
          <w:rFonts w:ascii="Times New Roman" w:hAnsi="Times New Roman"/>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Times New Roman" w:hAnsi="Times New Roman"/>
          <w:sz w:val="24"/>
        </w:rPr>
        <w:t>非交易</w:t>
      </w:r>
      <w:proofErr w:type="gramEnd"/>
      <w:r>
        <w:rPr>
          <w:rFonts w:ascii="Times New Roman" w:hAnsi="Times New Roman"/>
          <w:sz w:val="24"/>
        </w:rPr>
        <w:t>过户必须提供基金注册登记机构要求提供的相关资料，对于符合条件的</w:t>
      </w:r>
      <w:proofErr w:type="gramStart"/>
      <w:r>
        <w:rPr>
          <w:rFonts w:ascii="Times New Roman" w:hAnsi="Times New Roman"/>
          <w:sz w:val="24"/>
        </w:rPr>
        <w:t>非交易过户申请按</w:t>
      </w:r>
      <w:proofErr w:type="gramEnd"/>
      <w:r>
        <w:rPr>
          <w:rFonts w:ascii="Times New Roman" w:hAnsi="Times New Roman"/>
          <w:sz w:val="24"/>
        </w:rPr>
        <w:t>注册登记机构的规定办理，并按注册登记机构规定的标准收费。</w:t>
      </w:r>
    </w:p>
    <w:p w14:paraId="5A48F38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（十七）基金的冻结和解冻</w:t>
      </w:r>
    </w:p>
    <w:p w14:paraId="3BB2B0A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基金份额冻结、解冻的业务，由注册登记机构办理。</w:t>
      </w:r>
    </w:p>
    <w:p w14:paraId="5130864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基金注册登记机构只受理国家有权机关依法要求的基金份额的冻结与解冻，以及注册登记机构认可、符合法律法规的其他情况下的基金份额的冻结与解冻。</w:t>
      </w:r>
    </w:p>
    <w:p w14:paraId="4D9C632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当基金份额处于冻结状态时，基金注册登记机构或其他相关机构应拒绝该部分基金份额的赎回、转换出申请、</w:t>
      </w:r>
      <w:proofErr w:type="gramStart"/>
      <w:r>
        <w:rPr>
          <w:rFonts w:ascii="Times New Roman" w:hAnsi="Times New Roman"/>
          <w:sz w:val="24"/>
        </w:rPr>
        <w:t>非交易</w:t>
      </w:r>
      <w:proofErr w:type="gramEnd"/>
      <w:r>
        <w:rPr>
          <w:rFonts w:ascii="Times New Roman" w:hAnsi="Times New Roman"/>
          <w:sz w:val="24"/>
        </w:rPr>
        <w:t>过户以及基金的转托管。</w:t>
      </w:r>
    </w:p>
    <w:p w14:paraId="0394B7B2"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B57EA0C" w14:textId="77777777" w:rsidR="009A30E5" w:rsidRDefault="00953581">
      <w:pPr>
        <w:pStyle w:val="1"/>
        <w:snapToGrid w:val="0"/>
        <w:spacing w:beforeLines="0" w:before="240" w:after="240"/>
        <w:rPr>
          <w:rFonts w:ascii="宋体" w:hAnsi="宋体"/>
          <w:szCs w:val="30"/>
        </w:rPr>
      </w:pPr>
      <w:bookmarkStart w:id="11" w:name="_Toc59040204"/>
      <w:r>
        <w:rPr>
          <w:rFonts w:ascii="Times New Roman" w:hAnsi="Times New Roman"/>
          <w:sz w:val="30"/>
        </w:rPr>
        <w:lastRenderedPageBreak/>
        <w:t>九、基金的转换</w:t>
      </w:r>
      <w:bookmarkEnd w:id="11"/>
    </w:p>
    <w:p w14:paraId="76BACC0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（一）基金转换</w:t>
      </w:r>
    </w:p>
    <w:p w14:paraId="7731807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w:t>
      </w:r>
    </w:p>
    <w:p w14:paraId="4119DB9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（二）转换业务办理时间</w:t>
      </w:r>
    </w:p>
    <w:p w14:paraId="180A675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25</w:t>
      </w:r>
      <w:r>
        <w:rPr>
          <w:rFonts w:ascii="Times New Roman" w:hAnsi="Times New Roman"/>
          <w:sz w:val="24"/>
        </w:rPr>
        <w:t>日刊登公告自</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29</w:t>
      </w:r>
      <w:r>
        <w:rPr>
          <w:rFonts w:ascii="Times New Roman" w:hAnsi="Times New Roman"/>
          <w:sz w:val="24"/>
        </w:rPr>
        <w:t>日起开放日常转换业务。</w:t>
      </w:r>
    </w:p>
    <w:p w14:paraId="622BE1A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14:paraId="487D9E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1648198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本基金转换业务具体开通销售机构名单、可转换旗下基金范围参见相关公告。</w:t>
      </w:r>
    </w:p>
    <w:p w14:paraId="670872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（三）基金转换的程序</w:t>
      </w:r>
    </w:p>
    <w:p w14:paraId="4A1457D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14:paraId="097ADB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、基金转换申请的确认</w:t>
      </w:r>
    </w:p>
    <w:p w14:paraId="494B40E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投资人可向销售机构查询转换的确认情况。</w:t>
      </w:r>
    </w:p>
    <w:p w14:paraId="67051C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、基金转换的注册登记</w:t>
      </w:r>
    </w:p>
    <w:p w14:paraId="4A292A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日）。投资人转换基金成功的，注册登记机构将在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日对投资人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日后（包括该日）投资人可向销售机构查询基金转换的成交情况，并有权转换或赎回该部分基金份额。</w:t>
      </w:r>
    </w:p>
    <w:p w14:paraId="285DD48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（四）基金转换的数额限制</w:t>
      </w:r>
    </w:p>
    <w:p w14:paraId="32AEDEA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基金转换以份额为单位进行申请，申请转换份额精确到小数点后两位，小数点后两位以后的部分四舍五入，误差部分</w:t>
      </w:r>
      <w:proofErr w:type="gramStart"/>
      <w:r>
        <w:rPr>
          <w:rFonts w:ascii="Times New Roman" w:hAnsi="Times New Roman"/>
          <w:sz w:val="24"/>
        </w:rPr>
        <w:t>归基金</w:t>
      </w:r>
      <w:proofErr w:type="gramEnd"/>
      <w:r>
        <w:rPr>
          <w:rFonts w:ascii="Times New Roman" w:hAnsi="Times New Roman"/>
          <w:sz w:val="24"/>
        </w:rPr>
        <w:t>财产。</w:t>
      </w:r>
    </w:p>
    <w:p w14:paraId="79A0EC4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份。基金持有人可将其全部或部分基金份额转换成其它基金，单笔转换申请不受转入基金最低申购限额限制。</w:t>
      </w:r>
    </w:p>
    <w:p w14:paraId="2D948B4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基于各基金关于投资人在单个交易账户最低保留余额的规定，每个工作日投资人在单个交易账户保留的某</w:t>
      </w:r>
      <w:proofErr w:type="gramStart"/>
      <w:r>
        <w:rPr>
          <w:rFonts w:ascii="Times New Roman" w:hAnsi="Times New Roman"/>
          <w:sz w:val="24"/>
        </w:rPr>
        <w:t>基金基金</w:t>
      </w:r>
      <w:proofErr w:type="gramEnd"/>
      <w:r>
        <w:rPr>
          <w:rFonts w:ascii="Times New Roman" w:hAnsi="Times New Roman"/>
          <w:sz w:val="24"/>
        </w:rPr>
        <w:t>份额余额少于该基金的最低保留余额时，若当日该账户同时有该基金的基金份额减少类业务（如赎回、转换出等）被确认，基金管理人有权将投资人在该账户保留的该</w:t>
      </w:r>
      <w:proofErr w:type="gramStart"/>
      <w:r>
        <w:rPr>
          <w:rFonts w:ascii="Times New Roman" w:hAnsi="Times New Roman"/>
          <w:sz w:val="24"/>
        </w:rPr>
        <w:t>基金基金</w:t>
      </w:r>
      <w:proofErr w:type="gramEnd"/>
      <w:r>
        <w:rPr>
          <w:rFonts w:ascii="Times New Roman" w:hAnsi="Times New Roman"/>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36AFDA7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（五）基金转换费用</w:t>
      </w:r>
    </w:p>
    <w:p w14:paraId="135CDF8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14:paraId="6CF6E3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、转出基金的赎回费用</w:t>
      </w:r>
    </w:p>
    <w:p w14:paraId="5692DE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转出基金的赎回费用及归入基金财产的比例按照各基金最新的更新招募说明书及相关公告规定的赎回费率和计费方式收取。</w:t>
      </w:r>
    </w:p>
    <w:p w14:paraId="5B671CB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、前端收费模式下转出与转入基金的申购补差费用</w:t>
      </w:r>
    </w:p>
    <w:p w14:paraId="1DC4A1A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B7A0D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、后端收费模式下转出与转入基金的申购补差费用</w:t>
      </w:r>
    </w:p>
    <w:p w14:paraId="3469DFC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w:t>
      </w:r>
      <w:r>
        <w:rPr>
          <w:rFonts w:ascii="Times New Roman" w:hAnsi="Times New Roman"/>
          <w:sz w:val="24"/>
        </w:rPr>
        <w:lastRenderedPageBreak/>
        <w:t>转入基金的后端申购费。后端申购补差费用按照转出份额持有时间对应分档的转出基金后端申购费率减去转入基金后端申购费率差额进行补差。</w:t>
      </w:r>
    </w:p>
    <w:p w14:paraId="5CBA02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、网上直销的申购补差费率优惠</w:t>
      </w:r>
    </w:p>
    <w:p w14:paraId="66FEA6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25924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具体转换费率水平请参见本基金管理人网站（</w:t>
      </w:r>
      <w:r>
        <w:rPr>
          <w:rFonts w:ascii="Times New Roman" w:hAnsi="Times New Roman"/>
          <w:sz w:val="24"/>
        </w:rPr>
        <w:t>www.fund001.com</w:t>
      </w:r>
      <w:r>
        <w:rPr>
          <w:rFonts w:ascii="Times New Roman" w:hAnsi="Times New Roman"/>
          <w:sz w:val="24"/>
        </w:rPr>
        <w:t>）列示的相关转换费率表或相关公告。</w:t>
      </w:r>
    </w:p>
    <w:p w14:paraId="40D964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、基金管理人可以根据法律法规及基金合同的规定对上述收费方式和费率进行调整，并应于调整后的收费方式和费率在实施前依照《信息披露办法》的有关规定在中国证监会指定媒介上公告。</w:t>
      </w:r>
    </w:p>
    <w:p w14:paraId="6EE1A54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（六）基金转换份额的计算公式</w:t>
      </w:r>
    </w:p>
    <w:p w14:paraId="618EE70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14:paraId="42425E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073D7A1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5C823E6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0BA0615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14:paraId="22C306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（注：对于适用固定金额申购补差费用的，转出与转入基金的申购补差费＝固定金额的申购补差费）</w:t>
      </w:r>
    </w:p>
    <w:p w14:paraId="2ED8341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37533E6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0F8EE7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w:t>
      </w:r>
      <w:proofErr w:type="gramStart"/>
      <w:r>
        <w:rPr>
          <w:rFonts w:ascii="Times New Roman" w:hAnsi="Times New Roman"/>
          <w:sz w:val="24"/>
        </w:rPr>
        <w:t>待支付</w:t>
      </w:r>
      <w:proofErr w:type="gramEnd"/>
      <w:r>
        <w:rPr>
          <w:rFonts w:ascii="Times New Roman" w:hAnsi="Times New Roman"/>
          <w:sz w:val="24"/>
        </w:rPr>
        <w:t>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784AE55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w:t>
      </w:r>
      <w:proofErr w:type="gramStart"/>
      <w:r>
        <w:rPr>
          <w:rFonts w:ascii="Times New Roman" w:hAnsi="Times New Roman"/>
          <w:sz w:val="24"/>
        </w:rPr>
        <w:t>归基金</w:t>
      </w:r>
      <w:proofErr w:type="gramEnd"/>
      <w:r>
        <w:rPr>
          <w:rFonts w:ascii="Times New Roman" w:hAnsi="Times New Roman"/>
          <w:sz w:val="24"/>
        </w:rPr>
        <w:t>财产。</w:t>
      </w:r>
    </w:p>
    <w:p w14:paraId="6C4DC31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w:t>
      </w:r>
      <w:proofErr w:type="gramStart"/>
      <w:r>
        <w:rPr>
          <w:rFonts w:ascii="Times New Roman" w:hAnsi="Times New Roman"/>
          <w:sz w:val="24"/>
        </w:rPr>
        <w:t>一</w:t>
      </w:r>
      <w:proofErr w:type="gramEnd"/>
      <w:r>
        <w:rPr>
          <w:rFonts w:ascii="Times New Roman" w:hAnsi="Times New Roman"/>
          <w:sz w:val="24"/>
        </w:rPr>
        <w:t>：某投资者持有交</w:t>
      </w:r>
      <w:proofErr w:type="gramStart"/>
      <w:r>
        <w:rPr>
          <w:rFonts w:ascii="Times New Roman" w:hAnsi="Times New Roman"/>
          <w:sz w:val="24"/>
        </w:rPr>
        <w:t>银趋势</w:t>
      </w:r>
      <w:proofErr w:type="gramEnd"/>
      <w:r>
        <w:rPr>
          <w:rFonts w:ascii="Times New Roman" w:hAnsi="Times New Roman"/>
          <w:sz w:val="24"/>
        </w:rPr>
        <w:t>前端收费模式的基金份额</w:t>
      </w:r>
      <w:r>
        <w:rPr>
          <w:rFonts w:ascii="Times New Roman" w:hAnsi="Times New Roman"/>
          <w:sz w:val="24"/>
        </w:rPr>
        <w:t>100,000</w:t>
      </w:r>
      <w:r>
        <w:rPr>
          <w:rFonts w:ascii="Times New Roman" w:hAnsi="Times New Roman"/>
          <w:sz w:val="24"/>
        </w:rPr>
        <w:t>份，持有期半</w:t>
      </w:r>
      <w:r>
        <w:rPr>
          <w:rFonts w:ascii="Times New Roman" w:hAnsi="Times New Roman"/>
          <w:sz w:val="24"/>
        </w:rPr>
        <w:lastRenderedPageBreak/>
        <w:t>年，转换申请当日交</w:t>
      </w:r>
      <w:proofErr w:type="gramStart"/>
      <w:r>
        <w:rPr>
          <w:rFonts w:ascii="Times New Roman" w:hAnsi="Times New Roman"/>
          <w:sz w:val="24"/>
        </w:rPr>
        <w:t>银趋势</w:t>
      </w:r>
      <w:proofErr w:type="gramEnd"/>
      <w:r>
        <w:rPr>
          <w:rFonts w:ascii="Times New Roman" w:hAnsi="Times New Roman"/>
          <w:sz w:val="24"/>
        </w:rPr>
        <w:t>的基金份额净值为</w:t>
      </w:r>
      <w:r>
        <w:rPr>
          <w:rFonts w:ascii="Times New Roman" w:hAnsi="Times New Roman"/>
          <w:sz w:val="24"/>
        </w:rPr>
        <w:t>1.010</w:t>
      </w:r>
      <w:r>
        <w:rPr>
          <w:rFonts w:ascii="Times New Roman" w:hAnsi="Times New Roman"/>
          <w:sz w:val="24"/>
        </w:rPr>
        <w:t>元，交</w:t>
      </w:r>
      <w:proofErr w:type="gramStart"/>
      <w:r>
        <w:rPr>
          <w:rFonts w:ascii="Times New Roman" w:hAnsi="Times New Roman"/>
          <w:sz w:val="24"/>
        </w:rPr>
        <w:t>银成长</w:t>
      </w:r>
      <w:proofErr w:type="gramEnd"/>
      <w:r>
        <w:rPr>
          <w:rFonts w:ascii="Times New Roman" w:hAnsi="Times New Roman"/>
          <w:sz w:val="24"/>
        </w:rPr>
        <w:t>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w:t>
      </w:r>
      <w:proofErr w:type="gramStart"/>
      <w:r>
        <w:rPr>
          <w:rFonts w:ascii="Times New Roman" w:hAnsi="Times New Roman"/>
          <w:sz w:val="24"/>
        </w:rPr>
        <w:t>银趋势</w:t>
      </w:r>
      <w:proofErr w:type="gramEnd"/>
      <w:r>
        <w:rPr>
          <w:rFonts w:ascii="Times New Roman" w:hAnsi="Times New Roman"/>
          <w:sz w:val="24"/>
        </w:rPr>
        <w:t>前端基金份额转换为交</w:t>
      </w:r>
      <w:proofErr w:type="gramStart"/>
      <w:r>
        <w:rPr>
          <w:rFonts w:ascii="Times New Roman" w:hAnsi="Times New Roman"/>
          <w:sz w:val="24"/>
        </w:rPr>
        <w:t>银成长</w:t>
      </w:r>
      <w:proofErr w:type="gramEnd"/>
      <w:r>
        <w:rPr>
          <w:rFonts w:ascii="Times New Roman" w:hAnsi="Times New Roman"/>
          <w:sz w:val="24"/>
        </w:rPr>
        <w:t>前端基金份额，则转入交</w:t>
      </w:r>
      <w:proofErr w:type="gramStart"/>
      <w:r>
        <w:rPr>
          <w:rFonts w:ascii="Times New Roman" w:hAnsi="Times New Roman"/>
          <w:sz w:val="24"/>
        </w:rPr>
        <w:t>银成长</w:t>
      </w:r>
      <w:proofErr w:type="gramEnd"/>
      <w:r>
        <w:rPr>
          <w:rFonts w:ascii="Times New Roman" w:hAnsi="Times New Roman"/>
          <w:sz w:val="24"/>
        </w:rPr>
        <w:t>确认的基金份额为：</w:t>
      </w:r>
    </w:p>
    <w:p w14:paraId="7E429DC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=100,000×1.010=101,000</w:t>
      </w:r>
      <w:r>
        <w:rPr>
          <w:rFonts w:ascii="Times New Roman" w:hAnsi="Times New Roman"/>
          <w:sz w:val="24"/>
        </w:rPr>
        <w:t>元</w:t>
      </w:r>
    </w:p>
    <w:p w14:paraId="5CABB35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14:paraId="420BAE3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14:paraId="5526D1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14:paraId="4D2F3A4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14:paraId="27DBFC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w:t>
      </w:r>
      <w:proofErr w:type="gramStart"/>
      <w:r>
        <w:rPr>
          <w:rFonts w:ascii="Times New Roman" w:hAnsi="Times New Roman"/>
          <w:sz w:val="24"/>
        </w:rPr>
        <w:t>银趋势</w:t>
      </w:r>
      <w:proofErr w:type="gramEnd"/>
      <w:r>
        <w:rPr>
          <w:rFonts w:ascii="Times New Roman" w:hAnsi="Times New Roman"/>
          <w:sz w:val="24"/>
        </w:rPr>
        <w:t>的基金份额净值为</w:t>
      </w:r>
      <w:r>
        <w:rPr>
          <w:rFonts w:ascii="Times New Roman" w:hAnsi="Times New Roman"/>
          <w:sz w:val="24"/>
        </w:rPr>
        <w:t>1.010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w:t>
      </w:r>
      <w:proofErr w:type="gramStart"/>
      <w:r>
        <w:rPr>
          <w:rFonts w:ascii="Times New Roman" w:hAnsi="Times New Roman"/>
          <w:sz w:val="24"/>
        </w:rPr>
        <w:t>银趋势</w:t>
      </w:r>
      <w:proofErr w:type="gramEnd"/>
      <w:r>
        <w:rPr>
          <w:rFonts w:ascii="Times New Roman" w:hAnsi="Times New Roman"/>
          <w:sz w:val="24"/>
        </w:rPr>
        <w:t>前端基金份额，则转入交</w:t>
      </w:r>
      <w:proofErr w:type="gramStart"/>
      <w:r>
        <w:rPr>
          <w:rFonts w:ascii="Times New Roman" w:hAnsi="Times New Roman"/>
          <w:sz w:val="24"/>
        </w:rPr>
        <w:t>银趋势</w:t>
      </w:r>
      <w:proofErr w:type="gramEnd"/>
      <w:r>
        <w:rPr>
          <w:rFonts w:ascii="Times New Roman" w:hAnsi="Times New Roman"/>
          <w:sz w:val="24"/>
        </w:rPr>
        <w:t>确认的基金份额为：</w:t>
      </w:r>
    </w:p>
    <w:p w14:paraId="3D7E2F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14:paraId="2CE197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14:paraId="6588113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14:paraId="300880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14:paraId="5139B0A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/1.010=1,004,374.17</w:t>
      </w:r>
      <w:r>
        <w:rPr>
          <w:rFonts w:ascii="Times New Roman" w:hAnsi="Times New Roman"/>
          <w:sz w:val="24"/>
        </w:rPr>
        <w:t>份</w:t>
      </w:r>
    </w:p>
    <w:p w14:paraId="2D3B501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14:paraId="577D20A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14:paraId="765AA8B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0F08677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14:paraId="50758C4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14:paraId="48946A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14:paraId="00D5B5E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例四：某投资者持有交</w:t>
      </w:r>
      <w:proofErr w:type="gramStart"/>
      <w:r>
        <w:rPr>
          <w:rFonts w:ascii="Times New Roman" w:hAnsi="Times New Roman"/>
          <w:sz w:val="24"/>
        </w:rPr>
        <w:t>银货币</w:t>
      </w:r>
      <w:r>
        <w:rPr>
          <w:rFonts w:ascii="Times New Roman" w:hAnsi="Times New Roman"/>
          <w:sz w:val="24"/>
        </w:rPr>
        <w:t>A</w:t>
      </w:r>
      <w:r>
        <w:rPr>
          <w:rFonts w:ascii="Times New Roman" w:hAnsi="Times New Roman"/>
          <w:sz w:val="24"/>
        </w:rPr>
        <w:t>级基金</w:t>
      </w:r>
      <w:proofErr w:type="gramEnd"/>
      <w:r>
        <w:rPr>
          <w:rFonts w:ascii="Times New Roman" w:hAnsi="Times New Roman"/>
          <w:sz w:val="24"/>
        </w:rPr>
        <w:t>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w:t>
      </w:r>
      <w:proofErr w:type="gramStart"/>
      <w:r>
        <w:rPr>
          <w:rFonts w:ascii="Times New Roman" w:hAnsi="Times New Roman"/>
          <w:sz w:val="24"/>
        </w:rPr>
        <w:t>待支付</w:t>
      </w:r>
      <w:proofErr w:type="gramEnd"/>
      <w:r>
        <w:rPr>
          <w:rFonts w:ascii="Times New Roman" w:hAnsi="Times New Roman"/>
          <w:sz w:val="24"/>
        </w:rPr>
        <w:t>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w:t>
      </w:r>
      <w:proofErr w:type="gramStart"/>
      <w:r>
        <w:rPr>
          <w:rFonts w:ascii="Times New Roman" w:hAnsi="Times New Roman"/>
          <w:sz w:val="24"/>
        </w:rPr>
        <w:t>银货币</w:t>
      </w:r>
      <w:proofErr w:type="gramEnd"/>
      <w:r>
        <w:rPr>
          <w:rFonts w:ascii="Times New Roman" w:hAnsi="Times New Roman"/>
          <w:sz w:val="24"/>
        </w:rPr>
        <w:t>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w:t>
      </w:r>
      <w:proofErr w:type="gramStart"/>
      <w:r>
        <w:rPr>
          <w:rFonts w:ascii="Times New Roman" w:hAnsi="Times New Roman"/>
          <w:sz w:val="24"/>
        </w:rPr>
        <w:t>银货币</w:t>
      </w:r>
      <w:r>
        <w:rPr>
          <w:rFonts w:ascii="Times New Roman" w:hAnsi="Times New Roman"/>
          <w:sz w:val="24"/>
        </w:rPr>
        <w:t>A</w:t>
      </w:r>
      <w:r>
        <w:rPr>
          <w:rFonts w:ascii="Times New Roman" w:hAnsi="Times New Roman"/>
          <w:sz w:val="24"/>
        </w:rPr>
        <w:t>级基金</w:t>
      </w:r>
      <w:proofErr w:type="gramEnd"/>
      <w:r>
        <w:rPr>
          <w:rFonts w:ascii="Times New Roman" w:hAnsi="Times New Roman"/>
          <w:sz w:val="24"/>
        </w:rPr>
        <w:t>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14:paraId="21AF0E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转出确认金额</w:t>
      </w:r>
      <w:r>
        <w:rPr>
          <w:rFonts w:ascii="Times New Roman" w:hAnsi="Times New Roman"/>
          <w:sz w:val="24"/>
        </w:rPr>
        <w:t>=100,000×1.00=100,000</w:t>
      </w:r>
      <w:r>
        <w:rPr>
          <w:rFonts w:ascii="Times New Roman" w:hAnsi="Times New Roman"/>
          <w:sz w:val="24"/>
        </w:rPr>
        <w:t>元</w:t>
      </w:r>
    </w:p>
    <w:p w14:paraId="53C51F4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4C4CE02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3C414BE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14:paraId="3008EA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14:paraId="611EE2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14:paraId="78E1870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7F05F5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2296E7F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124CB18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14:paraId="2343BC5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789C70A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249B835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w:t>
      </w:r>
      <w:proofErr w:type="gramStart"/>
      <w:r>
        <w:rPr>
          <w:rFonts w:ascii="Times New Roman" w:hAnsi="Times New Roman"/>
          <w:sz w:val="24"/>
        </w:rPr>
        <w:t>待支付</w:t>
      </w:r>
      <w:proofErr w:type="gramEnd"/>
      <w:r>
        <w:rPr>
          <w:rFonts w:ascii="Times New Roman" w:hAnsi="Times New Roman"/>
          <w:sz w:val="24"/>
        </w:rPr>
        <w:t>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7D0AD9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w:t>
      </w:r>
      <w:proofErr w:type="gramStart"/>
      <w:r>
        <w:rPr>
          <w:rFonts w:ascii="Times New Roman" w:hAnsi="Times New Roman"/>
          <w:sz w:val="24"/>
        </w:rPr>
        <w:t>归基金</w:t>
      </w:r>
      <w:proofErr w:type="gramEnd"/>
      <w:r>
        <w:rPr>
          <w:rFonts w:ascii="Times New Roman" w:hAnsi="Times New Roman"/>
          <w:sz w:val="24"/>
        </w:rPr>
        <w:t>财产。</w:t>
      </w:r>
    </w:p>
    <w:p w14:paraId="2450949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例五：某投资者持有交</w:t>
      </w:r>
      <w:proofErr w:type="gramStart"/>
      <w:r>
        <w:rPr>
          <w:rFonts w:ascii="Times New Roman" w:hAnsi="Times New Roman"/>
          <w:sz w:val="24"/>
        </w:rPr>
        <w:t>银主题</w:t>
      </w:r>
      <w:proofErr w:type="gramEnd"/>
      <w:r>
        <w:rPr>
          <w:rFonts w:ascii="Times New Roman" w:hAnsi="Times New Roman"/>
          <w:sz w:val="24"/>
        </w:rPr>
        <w:t>后端收费模式的基金份额</w:t>
      </w:r>
      <w:r>
        <w:rPr>
          <w:rFonts w:ascii="Times New Roman" w:hAnsi="Times New Roman"/>
          <w:sz w:val="24"/>
        </w:rPr>
        <w:t>100,000</w:t>
      </w:r>
      <w:r>
        <w:rPr>
          <w:rFonts w:ascii="Times New Roman" w:hAnsi="Times New Roman"/>
          <w:sz w:val="24"/>
        </w:rPr>
        <w:t>份，持有期一年半，转换申请当日交</w:t>
      </w:r>
      <w:proofErr w:type="gramStart"/>
      <w:r>
        <w:rPr>
          <w:rFonts w:ascii="Times New Roman" w:hAnsi="Times New Roman"/>
          <w:sz w:val="24"/>
        </w:rPr>
        <w:t>银主题</w:t>
      </w:r>
      <w:proofErr w:type="gramEnd"/>
      <w:r>
        <w:rPr>
          <w:rFonts w:ascii="Times New Roman" w:hAnsi="Times New Roman"/>
          <w:sz w:val="24"/>
        </w:rPr>
        <w:t>的基金份额净值为</w:t>
      </w:r>
      <w:r>
        <w:rPr>
          <w:rFonts w:ascii="Times New Roman" w:hAnsi="Times New Roman"/>
          <w:sz w:val="24"/>
        </w:rPr>
        <w:t>1.2500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w:t>
      </w:r>
      <w:proofErr w:type="gramStart"/>
      <w:r>
        <w:rPr>
          <w:rFonts w:ascii="Times New Roman" w:hAnsi="Times New Roman"/>
          <w:sz w:val="24"/>
        </w:rPr>
        <w:t>银主题</w:t>
      </w:r>
      <w:proofErr w:type="gramEnd"/>
      <w:r>
        <w:rPr>
          <w:rFonts w:ascii="Times New Roman" w:hAnsi="Times New Roman"/>
          <w:sz w:val="24"/>
        </w:rPr>
        <w:t>后端基金份额转换为交银稳健后端基金份额，则转入交银稳健确认的基金份额为：</w:t>
      </w:r>
    </w:p>
    <w:p w14:paraId="4260FF7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1E34F17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702114E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402C19F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14:paraId="76EC10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14:paraId="594522C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例六：某投资者持有交银先锋后端收费模式的基金份额</w:t>
      </w:r>
      <w:r>
        <w:rPr>
          <w:rFonts w:ascii="Times New Roman" w:hAnsi="Times New Roman"/>
          <w:sz w:val="24"/>
        </w:rPr>
        <w:t>100,000</w:t>
      </w:r>
      <w:r>
        <w:rPr>
          <w:rFonts w:ascii="Times New Roman" w:hAnsi="Times New Roman"/>
          <w:sz w:val="24"/>
        </w:rPr>
        <w:t>份，持有期一年半，转换申请当日交银先锋的基金份额净值为</w:t>
      </w:r>
      <w:r>
        <w:rPr>
          <w:rFonts w:ascii="Times New Roman" w:hAnsi="Times New Roman"/>
          <w:sz w:val="24"/>
        </w:rPr>
        <w:t>1.2500</w:t>
      </w:r>
      <w:r>
        <w:rPr>
          <w:rFonts w:ascii="Times New Roman" w:hAnsi="Times New Roman"/>
          <w:sz w:val="24"/>
        </w:rPr>
        <w:t>元，交</w:t>
      </w:r>
      <w:proofErr w:type="gramStart"/>
      <w:r>
        <w:rPr>
          <w:rFonts w:ascii="Times New Roman" w:hAnsi="Times New Roman"/>
          <w:sz w:val="24"/>
        </w:rPr>
        <w:t>银货币</w:t>
      </w:r>
      <w:proofErr w:type="gramEnd"/>
      <w:r>
        <w:rPr>
          <w:rFonts w:ascii="Times New Roman" w:hAnsi="Times New Roman"/>
          <w:sz w:val="24"/>
        </w:rPr>
        <w:t>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份交银先锋后端基金份额转换为交银货币，则转</w:t>
      </w:r>
      <w:r>
        <w:rPr>
          <w:rFonts w:ascii="Times New Roman" w:hAnsi="Times New Roman"/>
          <w:sz w:val="24"/>
        </w:rPr>
        <w:lastRenderedPageBreak/>
        <w:t>入交</w:t>
      </w:r>
      <w:proofErr w:type="gramStart"/>
      <w:r>
        <w:rPr>
          <w:rFonts w:ascii="Times New Roman" w:hAnsi="Times New Roman"/>
          <w:sz w:val="24"/>
        </w:rPr>
        <w:t>银货币</w:t>
      </w:r>
      <w:proofErr w:type="gramEnd"/>
      <w:r>
        <w:rPr>
          <w:rFonts w:ascii="Times New Roman" w:hAnsi="Times New Roman"/>
          <w:sz w:val="24"/>
        </w:rPr>
        <w:t>的基金份额为：</w:t>
      </w:r>
    </w:p>
    <w:p w14:paraId="4C53456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319AE4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1E4298C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7BEC20B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14:paraId="2CB135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14:paraId="255A673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14:paraId="183594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=100,000×0.850=85,000</w:t>
      </w:r>
      <w:r>
        <w:rPr>
          <w:rFonts w:ascii="Times New Roman" w:hAnsi="Times New Roman"/>
          <w:sz w:val="24"/>
        </w:rPr>
        <w:t>元</w:t>
      </w:r>
    </w:p>
    <w:p w14:paraId="5A823FD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14:paraId="51D8DFF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14:paraId="081603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14:paraId="4FA01B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14:paraId="4C5AE0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例八：某投资者持有交</w:t>
      </w:r>
      <w:proofErr w:type="gramStart"/>
      <w:r>
        <w:rPr>
          <w:rFonts w:ascii="Times New Roman" w:hAnsi="Times New Roman"/>
          <w:sz w:val="24"/>
        </w:rPr>
        <w:t>银货币</w:t>
      </w:r>
      <w:r>
        <w:rPr>
          <w:rFonts w:ascii="Times New Roman" w:hAnsi="Times New Roman"/>
          <w:sz w:val="24"/>
        </w:rPr>
        <w:t>A</w:t>
      </w:r>
      <w:r>
        <w:rPr>
          <w:rFonts w:ascii="Times New Roman" w:hAnsi="Times New Roman"/>
          <w:sz w:val="24"/>
        </w:rPr>
        <w:t>级基金</w:t>
      </w:r>
      <w:proofErr w:type="gramEnd"/>
      <w:r>
        <w:rPr>
          <w:rFonts w:ascii="Times New Roman" w:hAnsi="Times New Roman"/>
          <w:sz w:val="24"/>
        </w:rPr>
        <w:t>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w:t>
      </w:r>
      <w:proofErr w:type="gramStart"/>
      <w:r>
        <w:rPr>
          <w:rFonts w:ascii="Times New Roman" w:hAnsi="Times New Roman"/>
          <w:sz w:val="24"/>
        </w:rPr>
        <w:t>待支付</w:t>
      </w:r>
      <w:proofErr w:type="gramEnd"/>
      <w:r>
        <w:rPr>
          <w:rFonts w:ascii="Times New Roman" w:hAnsi="Times New Roman"/>
          <w:sz w:val="24"/>
        </w:rPr>
        <w:t>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w:t>
      </w:r>
      <w:proofErr w:type="gramStart"/>
      <w:r>
        <w:rPr>
          <w:rFonts w:ascii="Times New Roman" w:hAnsi="Times New Roman"/>
          <w:sz w:val="24"/>
        </w:rPr>
        <w:t>银货币</w:t>
      </w:r>
      <w:proofErr w:type="gramEnd"/>
      <w:r>
        <w:rPr>
          <w:rFonts w:ascii="Times New Roman" w:hAnsi="Times New Roman"/>
          <w:sz w:val="24"/>
        </w:rPr>
        <w:t>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w:t>
      </w:r>
      <w:proofErr w:type="gramStart"/>
      <w:r>
        <w:rPr>
          <w:rFonts w:ascii="Times New Roman" w:hAnsi="Times New Roman"/>
          <w:sz w:val="24"/>
        </w:rPr>
        <w:t>银货币</w:t>
      </w:r>
      <w:r>
        <w:rPr>
          <w:rFonts w:ascii="Times New Roman" w:hAnsi="Times New Roman"/>
          <w:sz w:val="24"/>
        </w:rPr>
        <w:t>A</w:t>
      </w:r>
      <w:r>
        <w:rPr>
          <w:rFonts w:ascii="Times New Roman" w:hAnsi="Times New Roman"/>
          <w:sz w:val="24"/>
        </w:rPr>
        <w:t>级基金</w:t>
      </w:r>
      <w:proofErr w:type="gramEnd"/>
      <w:r>
        <w:rPr>
          <w:rFonts w:ascii="Times New Roman" w:hAnsi="Times New Roman"/>
          <w:sz w:val="24"/>
        </w:rPr>
        <w:t>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14:paraId="555FC2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55C14E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73EF38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3B53EF0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14:paraId="1E05EC7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14:paraId="644E1E1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（七）业务规则</w:t>
      </w:r>
    </w:p>
    <w:p w14:paraId="23E48E4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23214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w:t>
      </w:r>
      <w:r>
        <w:rPr>
          <w:rFonts w:ascii="Times New Roman" w:hAnsi="Times New Roman"/>
          <w:sz w:val="24"/>
        </w:rPr>
        <w:lastRenderedPageBreak/>
        <w:t>只能转换到前端收费模式的其他基金，后端收费模式的基金只能转换到后端收费模式的其他基金。货币市场基金、债券基金</w:t>
      </w:r>
      <w:r>
        <w:rPr>
          <w:rFonts w:ascii="Times New Roman" w:hAnsi="Times New Roman"/>
          <w:sz w:val="24"/>
        </w:rPr>
        <w:t>C</w:t>
      </w:r>
      <w:r>
        <w:rPr>
          <w:rFonts w:ascii="Times New Roman" w:hAnsi="Times New Roman"/>
          <w:sz w:val="24"/>
        </w:rPr>
        <w:t>类基金份额与其他基金之间的转换不受上述收费模式的限制。</w:t>
      </w:r>
    </w:p>
    <w:p w14:paraId="2654D75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w:t>
      </w:r>
      <w:proofErr w:type="gramStart"/>
      <w:r>
        <w:rPr>
          <w:rFonts w:ascii="Times New Roman" w:hAnsi="Times New Roman"/>
          <w:sz w:val="24"/>
        </w:rPr>
        <w:t>固定价</w:t>
      </w:r>
      <w:proofErr w:type="gramEnd"/>
      <w:r>
        <w:rPr>
          <w:rFonts w:ascii="Times New Roman" w:hAnsi="Times New Roman"/>
          <w:sz w:val="24"/>
        </w:rPr>
        <w:t>1.00</w:t>
      </w:r>
      <w:r>
        <w:rPr>
          <w:rFonts w:ascii="Times New Roman" w:hAnsi="Times New Roman"/>
          <w:sz w:val="24"/>
        </w:rPr>
        <w:t>元）。</w:t>
      </w:r>
    </w:p>
    <w:p w14:paraId="1FD6CA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、投资人申请转出其账户内货币市场基金的基金份额时，注册登记机构将自动结转该转出份额对应的</w:t>
      </w:r>
      <w:proofErr w:type="gramStart"/>
      <w:r>
        <w:rPr>
          <w:rFonts w:ascii="Times New Roman" w:hAnsi="Times New Roman"/>
          <w:sz w:val="24"/>
        </w:rPr>
        <w:t>待支付</w:t>
      </w:r>
      <w:proofErr w:type="gramEnd"/>
      <w:r>
        <w:rPr>
          <w:rFonts w:ascii="Times New Roman" w:hAnsi="Times New Roman"/>
          <w:sz w:val="24"/>
        </w:rPr>
        <w:t>收益，该收益将一并计入转出金额并折算为转入基金的基金份额，但收益部分不收取转换费用。</w:t>
      </w:r>
    </w:p>
    <w:p w14:paraId="0E33AC2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14:paraId="6F604E0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（八）暂停基金转换</w:t>
      </w:r>
    </w:p>
    <w:p w14:paraId="5C9D3D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1740C5D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本基金单个开放日，基金净赎回申请份额（该基金赎回</w:t>
      </w:r>
      <w:proofErr w:type="gramStart"/>
      <w:r>
        <w:rPr>
          <w:rFonts w:ascii="Times New Roman" w:hAnsi="Times New Roman"/>
          <w:sz w:val="24"/>
        </w:rPr>
        <w:t>申请总</w:t>
      </w:r>
      <w:proofErr w:type="gramEnd"/>
      <w:r>
        <w:rPr>
          <w:rFonts w:ascii="Times New Roman" w:hAnsi="Times New Roman"/>
          <w:sz w:val="24"/>
        </w:rPr>
        <w:t>份额加上基金转换中转出</w:t>
      </w:r>
      <w:proofErr w:type="gramStart"/>
      <w:r>
        <w:rPr>
          <w:rFonts w:ascii="Times New Roman" w:hAnsi="Times New Roman"/>
          <w:sz w:val="24"/>
        </w:rPr>
        <w:t>申请总</w:t>
      </w:r>
      <w:proofErr w:type="gramEnd"/>
      <w:r>
        <w:rPr>
          <w:rFonts w:ascii="Times New Roman" w:hAnsi="Times New Roman"/>
          <w:sz w:val="24"/>
        </w:rPr>
        <w:t>份额后扣除申购</w:t>
      </w:r>
      <w:proofErr w:type="gramStart"/>
      <w:r>
        <w:rPr>
          <w:rFonts w:ascii="Times New Roman" w:hAnsi="Times New Roman"/>
          <w:sz w:val="24"/>
        </w:rPr>
        <w:t>申请总</w:t>
      </w:r>
      <w:proofErr w:type="gramEnd"/>
      <w:r>
        <w:rPr>
          <w:rFonts w:ascii="Times New Roman" w:hAnsi="Times New Roman"/>
          <w:sz w:val="24"/>
        </w:rPr>
        <w:t>份额及基金转换中转入</w:t>
      </w:r>
      <w:proofErr w:type="gramStart"/>
      <w:r>
        <w:rPr>
          <w:rFonts w:ascii="Times New Roman" w:hAnsi="Times New Roman"/>
          <w:sz w:val="24"/>
        </w:rPr>
        <w:t>申请总</w:t>
      </w:r>
      <w:proofErr w:type="gramEnd"/>
      <w:r>
        <w:rPr>
          <w:rFonts w:ascii="Times New Roman" w:hAnsi="Times New Roman"/>
          <w:sz w:val="24"/>
        </w:rPr>
        <w:t>份额后的余额）超过上一日基金总份额的</w:t>
      </w:r>
      <w:r>
        <w:rPr>
          <w:rFonts w:ascii="Times New Roman" w:hAnsi="Times New Roman"/>
          <w:sz w:val="24"/>
        </w:rPr>
        <w:t>10%</w:t>
      </w:r>
      <w:r>
        <w:rPr>
          <w:rFonts w:ascii="Times New Roman" w:hAnsi="Times New Roman"/>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AF25818"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E2A50C9" w14:textId="77777777" w:rsidR="009A30E5" w:rsidRDefault="00953581">
      <w:pPr>
        <w:pStyle w:val="1"/>
        <w:snapToGrid w:val="0"/>
        <w:spacing w:beforeLines="0" w:before="240" w:after="240"/>
        <w:rPr>
          <w:rFonts w:ascii="宋体" w:hAnsi="宋体"/>
          <w:szCs w:val="30"/>
        </w:rPr>
      </w:pPr>
      <w:bookmarkStart w:id="12" w:name="_Toc59040205"/>
      <w:r>
        <w:rPr>
          <w:rFonts w:ascii="Times New Roman" w:hAnsi="Times New Roman"/>
          <w:sz w:val="30"/>
        </w:rPr>
        <w:lastRenderedPageBreak/>
        <w:t>十、基金的投资</w:t>
      </w:r>
      <w:bookmarkEnd w:id="12"/>
    </w:p>
    <w:p w14:paraId="2869EE1C"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14:paraId="02E07F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紧密跟踪标的指数，追求跟踪偏离度与跟踪误差最小化。</w:t>
      </w:r>
    </w:p>
    <w:p w14:paraId="799242A3"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（二）投资理念</w:t>
      </w:r>
    </w:p>
    <w:p w14:paraId="7B136F8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本基金遵循指数</w:t>
      </w:r>
      <w:proofErr w:type="gramStart"/>
      <w:r>
        <w:rPr>
          <w:rFonts w:ascii="Times New Roman" w:hAnsi="Times New Roman"/>
          <w:sz w:val="24"/>
        </w:rPr>
        <w:t>化投资</w:t>
      </w:r>
      <w:proofErr w:type="gramEnd"/>
      <w:r>
        <w:rPr>
          <w:rFonts w:ascii="Times New Roman" w:hAnsi="Times New Roman"/>
          <w:sz w:val="24"/>
        </w:rPr>
        <w:t>理念，以目标</w:t>
      </w:r>
      <w:r>
        <w:rPr>
          <w:rFonts w:ascii="Times New Roman" w:hAnsi="Times New Roman"/>
          <w:sz w:val="24"/>
        </w:rPr>
        <w:t>ETF</w:t>
      </w:r>
      <w:r>
        <w:rPr>
          <w:rFonts w:ascii="Times New Roman" w:hAnsi="Times New Roman"/>
          <w:sz w:val="24"/>
        </w:rPr>
        <w:t>为主要投资对象，帮助投资者以较低的成本获取与标的指数和目标</w:t>
      </w:r>
      <w:r>
        <w:rPr>
          <w:rFonts w:ascii="Times New Roman" w:hAnsi="Times New Roman"/>
          <w:sz w:val="24"/>
        </w:rPr>
        <w:t>ETF</w:t>
      </w:r>
      <w:r>
        <w:rPr>
          <w:rFonts w:ascii="Times New Roman" w:hAnsi="Times New Roman"/>
          <w:sz w:val="24"/>
        </w:rPr>
        <w:t>同步的收益。</w:t>
      </w:r>
    </w:p>
    <w:p w14:paraId="33A9CE9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（三）目标ETF的投资</w:t>
      </w:r>
    </w:p>
    <w:p w14:paraId="1466E37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本基金的目标</w:t>
      </w:r>
      <w:r>
        <w:rPr>
          <w:rFonts w:ascii="Times New Roman" w:hAnsi="Times New Roman"/>
          <w:sz w:val="24"/>
        </w:rPr>
        <w:t>ETF</w:t>
      </w:r>
      <w:r>
        <w:rPr>
          <w:rFonts w:ascii="Times New Roman" w:hAnsi="Times New Roman"/>
          <w:sz w:val="24"/>
        </w:rPr>
        <w:t>为上证</w:t>
      </w:r>
      <w:r>
        <w:rPr>
          <w:rFonts w:ascii="Times New Roman" w:hAnsi="Times New Roman"/>
          <w:sz w:val="24"/>
        </w:rPr>
        <w:t>180</w:t>
      </w:r>
      <w:r>
        <w:rPr>
          <w:rFonts w:ascii="Times New Roman" w:hAnsi="Times New Roman"/>
          <w:sz w:val="24"/>
        </w:rPr>
        <w:t>公司治理交易型开放式指数证券投资基金，经</w:t>
      </w:r>
      <w:r>
        <w:rPr>
          <w:rFonts w:ascii="Times New Roman" w:hAnsi="Times New Roman"/>
          <w:sz w:val="24"/>
        </w:rPr>
        <w:t>2009</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17</w:t>
      </w:r>
      <w:r>
        <w:rPr>
          <w:rFonts w:ascii="Times New Roman" w:hAnsi="Times New Roman"/>
          <w:sz w:val="24"/>
        </w:rPr>
        <w:t>日中国证券监督管理委员会证监许可【</w:t>
      </w:r>
      <w:r>
        <w:rPr>
          <w:rFonts w:ascii="Times New Roman" w:hAnsi="Times New Roman"/>
          <w:sz w:val="24"/>
        </w:rPr>
        <w:t>2009</w:t>
      </w:r>
      <w:r>
        <w:rPr>
          <w:rFonts w:ascii="Times New Roman" w:hAnsi="Times New Roman"/>
          <w:sz w:val="24"/>
        </w:rPr>
        <w:t>】</w:t>
      </w:r>
      <w:r>
        <w:rPr>
          <w:rFonts w:ascii="Times New Roman" w:hAnsi="Times New Roman"/>
          <w:sz w:val="24"/>
        </w:rPr>
        <w:t>795</w:t>
      </w:r>
      <w:r>
        <w:rPr>
          <w:rFonts w:ascii="Times New Roman" w:hAnsi="Times New Roman"/>
          <w:sz w:val="24"/>
        </w:rPr>
        <w:t>号文核准募集。</w:t>
      </w:r>
    </w:p>
    <w:p w14:paraId="4A308A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目标</w:t>
      </w:r>
      <w:r>
        <w:rPr>
          <w:rFonts w:ascii="Times New Roman" w:hAnsi="Times New Roman"/>
          <w:sz w:val="24"/>
        </w:rPr>
        <w:t>ETF</w:t>
      </w:r>
      <w:r>
        <w:rPr>
          <w:rFonts w:ascii="Times New Roman" w:hAnsi="Times New Roman"/>
          <w:sz w:val="24"/>
        </w:rPr>
        <w:t>投资目标：紧密跟踪标的指数，追求跟踪偏离度与跟踪误差最小化。</w:t>
      </w:r>
    </w:p>
    <w:p w14:paraId="434D3E0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目标</w:t>
      </w:r>
      <w:r>
        <w:rPr>
          <w:rFonts w:ascii="Times New Roman" w:hAnsi="Times New Roman"/>
          <w:sz w:val="24"/>
        </w:rPr>
        <w:t>ETF</w:t>
      </w:r>
      <w:r>
        <w:rPr>
          <w:rFonts w:ascii="Times New Roman" w:hAnsi="Times New Roman"/>
          <w:sz w:val="24"/>
        </w:rPr>
        <w:t>的投资范围、投资策略以及投资组合管理等具体内容以目标</w:t>
      </w:r>
      <w:r>
        <w:rPr>
          <w:rFonts w:ascii="Times New Roman" w:hAnsi="Times New Roman"/>
          <w:sz w:val="24"/>
        </w:rPr>
        <w:t>ETF</w:t>
      </w:r>
      <w:r>
        <w:rPr>
          <w:rFonts w:ascii="Times New Roman" w:hAnsi="Times New Roman"/>
          <w:sz w:val="24"/>
        </w:rPr>
        <w:t>基金合同和招募说明书列示为准。</w:t>
      </w:r>
    </w:p>
    <w:p w14:paraId="0552177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（四）投资范围</w:t>
      </w:r>
    </w:p>
    <w:p w14:paraId="395A360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本基金以目标</w:t>
      </w:r>
      <w:r>
        <w:rPr>
          <w:rFonts w:ascii="Times New Roman" w:hAnsi="Times New Roman"/>
          <w:sz w:val="24"/>
        </w:rPr>
        <w:t>ETF</w:t>
      </w:r>
      <w:r>
        <w:rPr>
          <w:rFonts w:ascii="Times New Roman" w:hAnsi="Times New Roman"/>
          <w:sz w:val="24"/>
        </w:rPr>
        <w:t>、标的指数成份股</w:t>
      </w:r>
      <w:r w:rsidR="00916E54" w:rsidRPr="00916E54">
        <w:rPr>
          <w:rFonts w:ascii="Times New Roman" w:hAnsi="Times New Roman" w:hint="eastAsia"/>
          <w:bCs/>
          <w:sz w:val="24"/>
        </w:rPr>
        <w:t>（</w:t>
      </w:r>
      <w:proofErr w:type="gramStart"/>
      <w:r w:rsidR="00916E54" w:rsidRPr="00916E54">
        <w:rPr>
          <w:rFonts w:ascii="Times New Roman" w:hAnsi="Times New Roman" w:hint="eastAsia"/>
          <w:bCs/>
          <w:sz w:val="24"/>
        </w:rPr>
        <w:t>含存托</w:t>
      </w:r>
      <w:proofErr w:type="gramEnd"/>
      <w:r w:rsidR="00916E54" w:rsidRPr="00916E54">
        <w:rPr>
          <w:rFonts w:ascii="Times New Roman" w:hAnsi="Times New Roman" w:hint="eastAsia"/>
          <w:bCs/>
          <w:sz w:val="24"/>
        </w:rPr>
        <w:t>凭证）</w:t>
      </w:r>
      <w:r>
        <w:rPr>
          <w:rFonts w:ascii="Times New Roman" w:hAnsi="Times New Roman"/>
          <w:sz w:val="24"/>
        </w:rPr>
        <w:t>、备选成份股</w:t>
      </w:r>
      <w:r w:rsidR="00916E54" w:rsidRPr="00B917D7">
        <w:rPr>
          <w:rFonts w:ascii="宋体" w:hAnsi="宋体" w:hint="eastAsia"/>
          <w:bCs/>
          <w:sz w:val="24"/>
        </w:rPr>
        <w:t>（</w:t>
      </w:r>
      <w:proofErr w:type="gramStart"/>
      <w:r w:rsidR="00916E54" w:rsidRPr="00B917D7">
        <w:rPr>
          <w:rFonts w:ascii="宋体" w:hAnsi="宋体" w:hint="eastAsia"/>
          <w:bCs/>
          <w:sz w:val="24"/>
        </w:rPr>
        <w:t>含存托</w:t>
      </w:r>
      <w:proofErr w:type="gramEnd"/>
      <w:r w:rsidR="00916E54" w:rsidRPr="00B917D7">
        <w:rPr>
          <w:rFonts w:ascii="宋体" w:hAnsi="宋体" w:hint="eastAsia"/>
          <w:bCs/>
          <w:sz w:val="24"/>
        </w:rPr>
        <w:t>凭证）</w:t>
      </w:r>
      <w:r>
        <w:rPr>
          <w:rFonts w:ascii="Times New Roman" w:hAnsi="Times New Roman"/>
          <w:sz w:val="24"/>
        </w:rPr>
        <w:t>为主要投资对象，把全部或接近全部的基金资产用于跟踪标的指数的表现，正常情况下投资于目标</w:t>
      </w:r>
      <w:r>
        <w:rPr>
          <w:rFonts w:ascii="Times New Roman" w:hAnsi="Times New Roman"/>
          <w:sz w:val="24"/>
        </w:rPr>
        <w:t>ETF</w:t>
      </w:r>
      <w:r>
        <w:rPr>
          <w:rFonts w:ascii="Times New Roman" w:hAnsi="Times New Roman"/>
          <w:sz w:val="24"/>
        </w:rPr>
        <w:t>的资产比例不低于基金资产净值的</w:t>
      </w:r>
      <w:r>
        <w:rPr>
          <w:rFonts w:ascii="Times New Roman" w:hAnsi="Times New Roman"/>
          <w:sz w:val="24"/>
        </w:rPr>
        <w:t>90%</w:t>
      </w:r>
      <w:r>
        <w:rPr>
          <w:rFonts w:ascii="Times New Roman" w:hAnsi="Times New Roman"/>
          <w:sz w:val="24"/>
        </w:rPr>
        <w:t>，基金持有的现金或者到期日在一年以内的政府债券的比例不低于基金资产净值的</w:t>
      </w:r>
      <w:r>
        <w:rPr>
          <w:rFonts w:ascii="Times New Roman" w:hAnsi="Times New Roman"/>
          <w:sz w:val="24"/>
        </w:rPr>
        <w:t>5%</w:t>
      </w:r>
      <w:r>
        <w:rPr>
          <w:rFonts w:ascii="Times New Roman" w:hAnsi="Times New Roman"/>
          <w:sz w:val="24"/>
        </w:rPr>
        <w:t>，其中现金不包括结算备付金、存出保证金和应收申购款等。此外，为更好地实现投资目标，本基金也可少量投资于新股</w:t>
      </w:r>
      <w:r w:rsidR="00810C55">
        <w:rPr>
          <w:rFonts w:ascii="宋体" w:hAnsi="宋体" w:hint="eastAsia"/>
          <w:bCs/>
          <w:sz w:val="24"/>
        </w:rPr>
        <w:t>（</w:t>
      </w:r>
      <w:proofErr w:type="gramStart"/>
      <w:r w:rsidR="00810C55">
        <w:rPr>
          <w:rFonts w:ascii="宋体" w:hAnsi="宋体" w:hint="eastAsia"/>
          <w:bCs/>
          <w:sz w:val="24"/>
        </w:rPr>
        <w:t>含存托</w:t>
      </w:r>
      <w:proofErr w:type="gramEnd"/>
      <w:r w:rsidR="00810C55">
        <w:rPr>
          <w:rFonts w:ascii="宋体" w:hAnsi="宋体" w:hint="eastAsia"/>
          <w:bCs/>
          <w:sz w:val="24"/>
        </w:rPr>
        <w:t>凭证）</w:t>
      </w:r>
      <w:r>
        <w:rPr>
          <w:rFonts w:ascii="Times New Roman" w:hAnsi="Times New Roman"/>
          <w:sz w:val="24"/>
        </w:rPr>
        <w:t>、债券及中国证监会允许基金投资的其它金融工具。</w:t>
      </w:r>
    </w:p>
    <w:p w14:paraId="54D7543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（五）投资策略</w:t>
      </w:r>
    </w:p>
    <w:p w14:paraId="63C628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本基金通过把全部或接近全部的基金资产投资于目标</w:t>
      </w:r>
      <w:r>
        <w:rPr>
          <w:rFonts w:ascii="Times New Roman" w:hAnsi="Times New Roman"/>
          <w:sz w:val="24"/>
        </w:rPr>
        <w:t>ETF</w:t>
      </w:r>
      <w:r>
        <w:rPr>
          <w:rFonts w:ascii="Times New Roman" w:hAnsi="Times New Roman"/>
          <w:sz w:val="24"/>
        </w:rPr>
        <w:t>、标的指数成份股和备选成份股进行被动式指数化投资，正常情况下投资于目标</w:t>
      </w:r>
      <w:r>
        <w:rPr>
          <w:rFonts w:ascii="Times New Roman" w:hAnsi="Times New Roman"/>
          <w:sz w:val="24"/>
        </w:rPr>
        <w:t>ETF</w:t>
      </w:r>
      <w:r>
        <w:rPr>
          <w:rFonts w:ascii="Times New Roman" w:hAnsi="Times New Roman"/>
          <w:sz w:val="24"/>
        </w:rPr>
        <w:t>的比例不低于基金资产净值的</w:t>
      </w:r>
      <w:r>
        <w:rPr>
          <w:rFonts w:ascii="Times New Roman" w:hAnsi="Times New Roman"/>
          <w:sz w:val="24"/>
        </w:rPr>
        <w:t>90%</w:t>
      </w:r>
      <w:r>
        <w:rPr>
          <w:rFonts w:ascii="Times New Roman" w:hAnsi="Times New Roman"/>
          <w:sz w:val="24"/>
        </w:rPr>
        <w:t>。</w:t>
      </w:r>
    </w:p>
    <w:p w14:paraId="4409E0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本基金投资于目标</w:t>
      </w:r>
      <w:r>
        <w:rPr>
          <w:rFonts w:ascii="Times New Roman" w:hAnsi="Times New Roman"/>
          <w:sz w:val="24"/>
        </w:rPr>
        <w:t>ETF</w:t>
      </w:r>
      <w:r>
        <w:rPr>
          <w:rFonts w:ascii="Times New Roman" w:hAnsi="Times New Roman"/>
          <w:sz w:val="24"/>
        </w:rPr>
        <w:t>的方式以申购和赎回为主，但在目标</w:t>
      </w:r>
      <w:r>
        <w:rPr>
          <w:rFonts w:ascii="Times New Roman" w:hAnsi="Times New Roman"/>
          <w:sz w:val="24"/>
        </w:rPr>
        <w:t>ETF</w:t>
      </w:r>
      <w:r>
        <w:rPr>
          <w:rFonts w:ascii="Times New Roman" w:hAnsi="Times New Roman"/>
          <w:sz w:val="24"/>
        </w:rPr>
        <w:t>二级市场流动性较好的情况下，为了更好地实现本基金的投资目标，减小与标的指数的跟踪偏离度和跟踪误差，也可以通过二级市场交易买卖目标</w:t>
      </w:r>
      <w:r>
        <w:rPr>
          <w:rFonts w:ascii="Times New Roman" w:hAnsi="Times New Roman"/>
          <w:sz w:val="24"/>
        </w:rPr>
        <w:t>ETF</w:t>
      </w:r>
      <w:r>
        <w:rPr>
          <w:rFonts w:ascii="Times New Roman" w:hAnsi="Times New Roman"/>
          <w:sz w:val="24"/>
        </w:rPr>
        <w:t>。</w:t>
      </w:r>
    </w:p>
    <w:p w14:paraId="49E7EF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除流动性管理所需以外，本基金对于目标</w:t>
      </w:r>
      <w:r>
        <w:rPr>
          <w:rFonts w:ascii="Times New Roman" w:hAnsi="Times New Roman"/>
          <w:sz w:val="24"/>
        </w:rPr>
        <w:t>ETF</w:t>
      </w:r>
      <w:r>
        <w:rPr>
          <w:rFonts w:ascii="Times New Roman" w:hAnsi="Times New Roman"/>
          <w:sz w:val="24"/>
        </w:rPr>
        <w:t>以外的证券投资均进行被动式指数化投资。</w:t>
      </w:r>
    </w:p>
    <w:p w14:paraId="61CDDE71" w14:textId="77777777" w:rsidR="00916E54" w:rsidRPr="00916E54" w:rsidRDefault="00916E54" w:rsidP="00916E54">
      <w:pPr>
        <w:snapToGrid w:val="0"/>
        <w:spacing w:line="360" w:lineRule="auto"/>
        <w:ind w:firstLineChars="200" w:firstLine="480"/>
        <w:rPr>
          <w:rFonts w:ascii="宋体" w:hAnsi="宋体"/>
          <w:bCs/>
          <w:sz w:val="24"/>
          <w:szCs w:val="24"/>
        </w:rPr>
      </w:pPr>
      <w:r w:rsidRPr="00916E54">
        <w:rPr>
          <w:rFonts w:ascii="宋体" w:hAnsi="宋体" w:hint="eastAsia"/>
          <w:bCs/>
          <w:sz w:val="24"/>
          <w:szCs w:val="24"/>
        </w:rPr>
        <w:t>本基金投资存托凭证的策略依照境内上市交易的股票投资策略执行。</w:t>
      </w:r>
    </w:p>
    <w:p w14:paraId="31DB6E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法律法规或监管机构日后允许本基金投资的其他品种（如股指期货等），基金管理人在履行适当程序后，可以将其纳入投资范围。</w:t>
      </w:r>
    </w:p>
    <w:p w14:paraId="4A39F28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、决策依据</w:t>
      </w:r>
    </w:p>
    <w:p w14:paraId="2C18F1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有关法律法规、基金合同和标的指数的相关规定是基金管理人运用基金财产的决策依据。</w:t>
      </w:r>
    </w:p>
    <w:p w14:paraId="540486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、决策和交易机制</w:t>
      </w:r>
    </w:p>
    <w:p w14:paraId="4C9792D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本基金实行投资决策委员会领导下的基金经理负责制。</w:t>
      </w:r>
    </w:p>
    <w:p w14:paraId="6DE90E1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投资决策委员会的主要职责是决定有关指数重大调整的应对决策、其他重大组合调整决策以及重大的单项投资决策。</w:t>
      </w:r>
    </w:p>
    <w:p w14:paraId="20CE1C8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基金经理的主要职责是决定日常指数跟踪维护过程中的组合构建、调整决策，特别是对目标</w:t>
      </w:r>
      <w:r>
        <w:rPr>
          <w:rFonts w:ascii="Times New Roman" w:hAnsi="Times New Roman"/>
          <w:sz w:val="24"/>
        </w:rPr>
        <w:t>ETF</w:t>
      </w:r>
      <w:r>
        <w:rPr>
          <w:rFonts w:ascii="Times New Roman" w:hAnsi="Times New Roman"/>
          <w:sz w:val="24"/>
        </w:rPr>
        <w:t>份额的投资决策。</w:t>
      </w:r>
    </w:p>
    <w:p w14:paraId="1E28A23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w:t>
      </w:r>
      <w:proofErr w:type="gramStart"/>
      <w:r>
        <w:rPr>
          <w:rFonts w:ascii="Times New Roman" w:hAnsi="Times New Roman"/>
          <w:sz w:val="24"/>
        </w:rPr>
        <w:t>规</w:t>
      </w:r>
      <w:proofErr w:type="gramEnd"/>
      <w:r>
        <w:rPr>
          <w:rFonts w:ascii="Times New Roman" w:hAnsi="Times New Roman"/>
          <w:sz w:val="24"/>
        </w:rPr>
        <w:t>的前提下得到高效的执行。</w:t>
      </w:r>
    </w:p>
    <w:p w14:paraId="17E2C1B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、投资程序</w:t>
      </w:r>
    </w:p>
    <w:p w14:paraId="712D43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14:paraId="709282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）研究支持：量化投资部依托公司整体研究平台，整合外部信息以及券商等外部研究力量的研究成果开展指数跟踪、成份股公司行为等相关信息的搜集与分析、目标</w:t>
      </w:r>
      <w:r>
        <w:rPr>
          <w:rFonts w:ascii="Times New Roman" w:hAnsi="Times New Roman"/>
          <w:sz w:val="24"/>
        </w:rPr>
        <w:t>ETF</w:t>
      </w:r>
      <w:r>
        <w:rPr>
          <w:rFonts w:ascii="Times New Roman" w:hAnsi="Times New Roman"/>
          <w:sz w:val="24"/>
        </w:rPr>
        <w:t>二级市场的流动性和折溢价分析、成份股流动性分析、误差及其归因分析等工作，以作为基金投资决策的重要依据。</w:t>
      </w:r>
    </w:p>
    <w:p w14:paraId="3FA75D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）投资决策：投资决策委员会依据量化投资部提供的研究报告，定期召开或遇重大事项时召开投资决策会议，决策相关事项。基金经理根据投资决策委员会的决议，每日进行基金投资管理的日常决策。</w:t>
      </w:r>
    </w:p>
    <w:p w14:paraId="12C7323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）组合构建：根据标的指数情况，结合研究支持，基金经理构建以目标</w:t>
      </w:r>
      <w:r>
        <w:rPr>
          <w:rFonts w:ascii="Times New Roman" w:hAnsi="Times New Roman"/>
          <w:sz w:val="24"/>
        </w:rPr>
        <w:t>ETF</w:t>
      </w:r>
      <w:r>
        <w:rPr>
          <w:rFonts w:ascii="Times New Roman" w:hAnsi="Times New Roman"/>
          <w:sz w:val="24"/>
        </w:rPr>
        <w:t>为主的证券组合。在追求跟踪误差和偏离度最小化的前提下，基金经理将采取适当的方法，以降低买入成本、控制投资风险。</w:t>
      </w:r>
    </w:p>
    <w:p w14:paraId="7EDDEA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）交易执行：中央交易室负责具体的交易执行，同时履行一线监控的职责。</w:t>
      </w:r>
    </w:p>
    <w:p w14:paraId="22869D1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）绩效评估：量化投资部定期和不定期对基金进行投资绩效评估，并提供相关报告。绩效评估能够确认组合是否实现了投资预期、组合误差的来源及投资策</w:t>
      </w:r>
      <w:r>
        <w:rPr>
          <w:rFonts w:ascii="Times New Roman" w:hAnsi="Times New Roman"/>
          <w:sz w:val="24"/>
        </w:rPr>
        <w:lastRenderedPageBreak/>
        <w:t>略成功与否，基金经理可以据此检讨投资策略，进而调整投资组合。</w:t>
      </w:r>
    </w:p>
    <w:p w14:paraId="214609C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）组合监控与调整：基金经理将跟踪目标</w:t>
      </w:r>
      <w:r>
        <w:rPr>
          <w:rFonts w:ascii="Times New Roman" w:hAnsi="Times New Roman"/>
          <w:sz w:val="24"/>
        </w:rPr>
        <w:t>ETF</w:t>
      </w:r>
      <w:r>
        <w:rPr>
          <w:rFonts w:ascii="Times New Roman" w:hAnsi="Times New Roman"/>
          <w:sz w:val="24"/>
        </w:rPr>
        <w:t>及标的指数变动，结合成份股基本面情况、成份股公司行为、流动性状况、基金申购和赎回的现金流量情况以及组合投资绩效评估的结果等，采取适当的跟踪技术对投资组合进行监控和调整，密切跟踪标的指数。</w:t>
      </w:r>
    </w:p>
    <w:p w14:paraId="16F1B92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基金管理人在确保基金份额持有人利益的前提下有权根据环境变化和实际需要对上述投资管理程序做出调整，并在基金招募说明书更新中公告。</w:t>
      </w:r>
    </w:p>
    <w:p w14:paraId="525937A1"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（六）投资组合管理</w:t>
      </w:r>
    </w:p>
    <w:p w14:paraId="43B7FE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由于本基金的特殊性，本基金将以全部或接近全部的基金资产投资于目标</w:t>
      </w:r>
      <w:r>
        <w:rPr>
          <w:rFonts w:ascii="Times New Roman" w:hAnsi="Times New Roman"/>
          <w:sz w:val="24"/>
        </w:rPr>
        <w:t>ETF</w:t>
      </w:r>
      <w:r>
        <w:rPr>
          <w:rFonts w:ascii="Times New Roman" w:hAnsi="Times New Roman"/>
          <w:sz w:val="24"/>
        </w:rPr>
        <w:t>。正常情况下本基金投资于目标</w:t>
      </w:r>
      <w:r>
        <w:rPr>
          <w:rFonts w:ascii="Times New Roman" w:hAnsi="Times New Roman"/>
          <w:sz w:val="24"/>
        </w:rPr>
        <w:t>ETF</w:t>
      </w:r>
      <w:r>
        <w:rPr>
          <w:rFonts w:ascii="Times New Roman" w:hAnsi="Times New Roman"/>
          <w:sz w:val="24"/>
        </w:rPr>
        <w:t>的比例不低于基金资产净值的</w:t>
      </w:r>
      <w:r>
        <w:rPr>
          <w:rFonts w:ascii="Times New Roman" w:hAnsi="Times New Roman"/>
          <w:sz w:val="24"/>
        </w:rPr>
        <w:t>90%</w:t>
      </w:r>
      <w:r>
        <w:rPr>
          <w:rFonts w:ascii="Times New Roman" w:hAnsi="Times New Roman"/>
          <w:sz w:val="24"/>
        </w:rPr>
        <w:t>，剩余资产除流动性管理所需以外，均进行被动式指数化投资。本基金将在基金合同生效之日起</w:t>
      </w:r>
      <w:r>
        <w:rPr>
          <w:rFonts w:ascii="Times New Roman" w:hAnsi="Times New Roman"/>
          <w:sz w:val="24"/>
        </w:rPr>
        <w:t>3</w:t>
      </w:r>
      <w:r>
        <w:rPr>
          <w:rFonts w:ascii="Times New Roman" w:hAnsi="Times New Roman"/>
          <w:sz w:val="24"/>
        </w:rPr>
        <w:t>个月内达到这一投资比例。此后，如因证券市场波动、基金规模变动等因素导致基金不符合这一投资比例的，基金管理人将在</w:t>
      </w:r>
      <w:r>
        <w:rPr>
          <w:rFonts w:ascii="Times New Roman" w:hAnsi="Times New Roman"/>
          <w:sz w:val="24"/>
        </w:rPr>
        <w:t>10</w:t>
      </w:r>
      <w:r>
        <w:rPr>
          <w:rFonts w:ascii="Times New Roman" w:hAnsi="Times New Roman"/>
          <w:sz w:val="24"/>
        </w:rPr>
        <w:t>个交易日内进行调整。</w:t>
      </w:r>
    </w:p>
    <w:p w14:paraId="04A179C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、投资组合的建立</w:t>
      </w:r>
    </w:p>
    <w:p w14:paraId="41CA68D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基金管理人构建投资组合的过程主要分为三步：确定目标组合、确定建仓策略和逐步调整。</w:t>
      </w:r>
    </w:p>
    <w:p w14:paraId="0D23EE6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）确定目标组合：基金管理人首先根据基金规模确定目标</w:t>
      </w:r>
      <w:r>
        <w:rPr>
          <w:rFonts w:ascii="Times New Roman" w:hAnsi="Times New Roman"/>
          <w:sz w:val="24"/>
        </w:rPr>
        <w:t>ETF</w:t>
      </w:r>
      <w:r>
        <w:rPr>
          <w:rFonts w:ascii="Times New Roman" w:hAnsi="Times New Roman"/>
          <w:sz w:val="24"/>
        </w:rPr>
        <w:t>的持有量，剩余资产，除流动性管理所需以外，均进行被动式指数</w:t>
      </w:r>
      <w:proofErr w:type="gramStart"/>
      <w:r>
        <w:rPr>
          <w:rFonts w:ascii="Times New Roman" w:hAnsi="Times New Roman"/>
          <w:sz w:val="24"/>
        </w:rPr>
        <w:t>化投资</w:t>
      </w:r>
      <w:proofErr w:type="gramEnd"/>
      <w:r>
        <w:rPr>
          <w:rFonts w:ascii="Times New Roman" w:hAnsi="Times New Roman"/>
          <w:sz w:val="24"/>
        </w:rPr>
        <w:t>管理。</w:t>
      </w:r>
    </w:p>
    <w:p w14:paraId="367C813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）确定建仓策略：基金经理根据对成份股流动性、公司行为、基本面等因素的分析，确定合理的建仓策略。</w:t>
      </w:r>
    </w:p>
    <w:p w14:paraId="6174DD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）逐步调整：基金经理在规定时间内采用适当的手段构建和调整实际组合直至达到跟踪指数要求。</w:t>
      </w:r>
    </w:p>
    <w:p w14:paraId="5B678F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、日常投资组合管理</w:t>
      </w:r>
    </w:p>
    <w:p w14:paraId="2F059B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）对目标</w:t>
      </w:r>
      <w:r>
        <w:rPr>
          <w:rFonts w:ascii="Times New Roman" w:hAnsi="Times New Roman"/>
          <w:sz w:val="24"/>
        </w:rPr>
        <w:t>ETF</w:t>
      </w:r>
      <w:r>
        <w:rPr>
          <w:rFonts w:ascii="Times New Roman" w:hAnsi="Times New Roman"/>
          <w:sz w:val="24"/>
        </w:rPr>
        <w:t>二级市场流动性及折溢价进行跟踪与分析，适当制订目标</w:t>
      </w:r>
      <w:r>
        <w:rPr>
          <w:rFonts w:ascii="Times New Roman" w:hAnsi="Times New Roman"/>
          <w:sz w:val="24"/>
        </w:rPr>
        <w:t>ETF</w:t>
      </w:r>
      <w:r>
        <w:rPr>
          <w:rFonts w:ascii="Times New Roman" w:hAnsi="Times New Roman"/>
          <w:sz w:val="24"/>
        </w:rPr>
        <w:t>份额的申购赎回、二级市场买卖策略。</w:t>
      </w:r>
    </w:p>
    <w:p w14:paraId="051DC0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）跟踪本基金申购和赎回信息，分析其对组合的影响，并进行相应的流动性管理。</w:t>
      </w:r>
    </w:p>
    <w:p w14:paraId="61630B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）本基金直接投资于标的指数成份股和备选成份股的部分，采用被动式指数</w:t>
      </w:r>
      <w:proofErr w:type="gramStart"/>
      <w:r>
        <w:rPr>
          <w:rFonts w:ascii="Times New Roman" w:hAnsi="Times New Roman"/>
          <w:sz w:val="24"/>
        </w:rPr>
        <w:t>化投资</w:t>
      </w:r>
      <w:proofErr w:type="gramEnd"/>
      <w:r>
        <w:rPr>
          <w:rFonts w:ascii="Times New Roman" w:hAnsi="Times New Roman"/>
          <w:sz w:val="24"/>
        </w:rPr>
        <w:t>的方法进行日常管理。</w:t>
      </w:r>
    </w:p>
    <w:p w14:paraId="2FB4060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、投资绩效评估</w:t>
      </w:r>
    </w:p>
    <w:p w14:paraId="2857D13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）每日，基金经理分析基金的跟踪偏离度。</w:t>
      </w:r>
    </w:p>
    <w:p w14:paraId="4C0339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）每月末，量化投资部对本基金的运行情况进行量化评估。</w:t>
      </w:r>
    </w:p>
    <w:p w14:paraId="32B449C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每月末，基金经理根据评估报告分析当月的投资操作、组合状况和跟踪误差等情况，重点分析基金的偏离度和跟踪误差产生原因、现金控制情况、标的指数成份股调整前后的操作、以及成份股未来可能发生的变化等。</w:t>
      </w:r>
    </w:p>
    <w:p w14:paraId="497F7BD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在正常市场情况下，本基金日均跟踪偏离度的绝对值不超过</w:t>
      </w:r>
      <w:r>
        <w:rPr>
          <w:rFonts w:ascii="Times New Roman" w:hAnsi="Times New Roman"/>
          <w:sz w:val="24"/>
        </w:rPr>
        <w:t>0.3%</w:t>
      </w:r>
      <w:r>
        <w:rPr>
          <w:rFonts w:ascii="Times New Roman" w:hAnsi="Times New Roman"/>
          <w:sz w:val="24"/>
        </w:rPr>
        <w:t>，年跟踪误差不超过</w:t>
      </w:r>
      <w:r>
        <w:rPr>
          <w:rFonts w:ascii="Times New Roman" w:hAnsi="Times New Roman"/>
          <w:sz w:val="24"/>
        </w:rPr>
        <w:t>4%</w:t>
      </w:r>
      <w:r>
        <w:rPr>
          <w:rFonts w:ascii="Times New Roman" w:hAnsi="Times New Roman"/>
          <w:sz w:val="24"/>
        </w:rPr>
        <w:t>。在目标</w:t>
      </w:r>
      <w:r>
        <w:rPr>
          <w:rFonts w:ascii="Times New Roman" w:hAnsi="Times New Roman"/>
          <w:sz w:val="24"/>
        </w:rPr>
        <w:t>ETF</w:t>
      </w:r>
      <w:r>
        <w:rPr>
          <w:rFonts w:ascii="Times New Roman" w:hAnsi="Times New Roman"/>
          <w:sz w:val="24"/>
        </w:rPr>
        <w:t>日均跟踪偏离度符合其基金合同所设定目标的前提下，如因指数编制规则调整或其他因素导致跟踪偏离度超过上述范围，基金管理人应采取合理措施避免跟踪偏离度进一步扩大。</w:t>
      </w:r>
    </w:p>
    <w:p w14:paraId="3ABE9616"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（七）标的指数</w:t>
      </w:r>
    </w:p>
    <w:p w14:paraId="3C909F9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本基金的标的指数即目标</w:t>
      </w:r>
      <w:r>
        <w:rPr>
          <w:rFonts w:ascii="Times New Roman" w:hAnsi="Times New Roman"/>
          <w:sz w:val="24"/>
        </w:rPr>
        <w:t>ETF</w:t>
      </w:r>
      <w:r>
        <w:rPr>
          <w:rFonts w:ascii="Times New Roman" w:hAnsi="Times New Roman"/>
          <w:sz w:val="24"/>
        </w:rPr>
        <w:t>的标的指数，为上证</w:t>
      </w:r>
      <w:r>
        <w:rPr>
          <w:rFonts w:ascii="Times New Roman" w:hAnsi="Times New Roman"/>
          <w:sz w:val="24"/>
        </w:rPr>
        <w:t>180</w:t>
      </w:r>
      <w:r>
        <w:rPr>
          <w:rFonts w:ascii="Times New Roman" w:hAnsi="Times New Roman"/>
          <w:sz w:val="24"/>
        </w:rPr>
        <w:t>公司治理指数。</w:t>
      </w:r>
    </w:p>
    <w:p w14:paraId="13461B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上证</w:t>
      </w:r>
      <w:r>
        <w:rPr>
          <w:rFonts w:ascii="Times New Roman" w:hAnsi="Times New Roman"/>
          <w:sz w:val="24"/>
        </w:rPr>
        <w:t>180</w:t>
      </w:r>
      <w:r>
        <w:rPr>
          <w:rFonts w:ascii="Times New Roman" w:hAnsi="Times New Roman"/>
          <w:sz w:val="24"/>
        </w:rPr>
        <w:t>公司治理指数由上海证券交易所委托中证指数有限公司管理。上证</w:t>
      </w:r>
      <w:r>
        <w:rPr>
          <w:rFonts w:ascii="Times New Roman" w:hAnsi="Times New Roman"/>
          <w:sz w:val="24"/>
        </w:rPr>
        <w:t>180</w:t>
      </w:r>
      <w:r>
        <w:rPr>
          <w:rFonts w:ascii="Times New Roman" w:hAnsi="Times New Roman"/>
          <w:sz w:val="24"/>
        </w:rPr>
        <w:t>公司治理指数的所有权归属上海证券交易所。</w:t>
      </w:r>
    </w:p>
    <w:p w14:paraId="0396DC5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本基金按照基金合同的约定通过适当程序变更目标</w:t>
      </w:r>
      <w:r>
        <w:rPr>
          <w:rFonts w:ascii="Times New Roman" w:hAnsi="Times New Roman"/>
          <w:sz w:val="24"/>
        </w:rPr>
        <w:t>ETF</w:t>
      </w:r>
      <w:r>
        <w:rPr>
          <w:rFonts w:ascii="Times New Roman" w:hAnsi="Times New Roman"/>
          <w:sz w:val="24"/>
        </w:rPr>
        <w:t>时，标的指数应相应变更。</w:t>
      </w:r>
    </w:p>
    <w:p w14:paraId="4D8FFB3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（八）业绩比较基准</w:t>
      </w:r>
    </w:p>
    <w:p w14:paraId="27A4CE9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本基金的业绩比较基准为：标的指数</w:t>
      </w:r>
      <w:r>
        <w:rPr>
          <w:rFonts w:ascii="Times New Roman" w:hAnsi="Times New Roman"/>
          <w:sz w:val="24"/>
        </w:rPr>
        <w:t>×95%</w:t>
      </w:r>
      <w:r>
        <w:rPr>
          <w:rFonts w:ascii="Times New Roman" w:hAnsi="Times New Roman"/>
          <w:sz w:val="24"/>
        </w:rPr>
        <w:t>＋银行活期存款税后收益率</w:t>
      </w:r>
      <w:r>
        <w:rPr>
          <w:rFonts w:ascii="Times New Roman" w:hAnsi="Times New Roman"/>
          <w:sz w:val="24"/>
        </w:rPr>
        <w:t>×5%</w:t>
      </w:r>
      <w:r>
        <w:rPr>
          <w:rFonts w:ascii="Times New Roman" w:hAnsi="Times New Roman"/>
          <w:sz w:val="24"/>
        </w:rPr>
        <w:t>。</w:t>
      </w:r>
    </w:p>
    <w:p w14:paraId="75AC006D" w14:textId="7BE2F599"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1A0B30">
        <w:rPr>
          <w:rFonts w:hint="eastAsia"/>
          <w:bCs/>
          <w:sz w:val="24"/>
        </w:rPr>
        <w:t>更换基金标的指数、转换运作方式，与其他基金合并</w:t>
      </w:r>
      <w:r w:rsidR="001A0B30" w:rsidRPr="00486238">
        <w:rPr>
          <w:rFonts w:hint="eastAsia"/>
          <w:bCs/>
          <w:sz w:val="24"/>
        </w:rPr>
        <w:t>或者终止基金合同等，并</w:t>
      </w:r>
      <w:r w:rsidRPr="00AB5027">
        <w:rPr>
          <w:rFonts w:ascii="Times New Roman" w:hAnsi="Times New Roman" w:hint="eastAsia"/>
          <w:bCs/>
          <w:sz w:val="24"/>
        </w:rPr>
        <w:t>在</w:t>
      </w:r>
      <w:r w:rsidRPr="00AB5027">
        <w:rPr>
          <w:rFonts w:ascii="Times New Roman" w:hAnsi="Times New Roman"/>
          <w:bCs/>
          <w:sz w:val="24"/>
        </w:rPr>
        <w:t>6</w:t>
      </w:r>
      <w:r w:rsidRPr="00AB5027">
        <w:rPr>
          <w:rFonts w:ascii="Times New Roman" w:hAnsi="Times New Roman" w:hint="eastAsia"/>
          <w:bCs/>
          <w:sz w:val="24"/>
        </w:rPr>
        <w:t>个月内召集基金份额持有人大会进</w:t>
      </w:r>
      <w:r>
        <w:rPr>
          <w:rFonts w:ascii="Times New Roman" w:hAnsi="Times New Roman" w:hint="eastAsia"/>
          <w:bCs/>
          <w:sz w:val="24"/>
        </w:rPr>
        <w:t>行表决，基金份额持有人大会未成功召开或就上述事项表决未通过的，</w:t>
      </w:r>
      <w:r w:rsidRPr="00AB5027">
        <w:rPr>
          <w:rFonts w:ascii="Times New Roman" w:hAnsi="Times New Roman" w:hint="eastAsia"/>
          <w:bCs/>
          <w:sz w:val="24"/>
        </w:rPr>
        <w:t>基金合同终止。</w:t>
      </w:r>
    </w:p>
    <w:p w14:paraId="6D5BE6CF" w14:textId="77777777" w:rsidR="000D57E7" w:rsidRDefault="00AB5027" w:rsidP="00AB5027">
      <w:pPr>
        <w:autoSpaceDE w:val="0"/>
        <w:autoSpaceDN w:val="0"/>
        <w:adjustRightInd w:val="0"/>
        <w:snapToGrid w:val="0"/>
        <w:spacing w:line="360" w:lineRule="auto"/>
        <w:ind w:firstLineChars="200" w:firstLine="480"/>
        <w:rPr>
          <w:rFonts w:ascii="Times New Roman" w:hAnsi="Times New Roman"/>
          <w:bCs/>
          <w:sz w:val="24"/>
        </w:rPr>
      </w:pPr>
      <w:proofErr w:type="gramStart"/>
      <w:r w:rsidRPr="00AB5027">
        <w:rPr>
          <w:rFonts w:ascii="Times New Roman" w:hAnsi="Times New Roman" w:hint="eastAsia"/>
          <w:bCs/>
          <w:sz w:val="24"/>
        </w:rPr>
        <w:t>自指数</w:t>
      </w:r>
      <w:proofErr w:type="gramEnd"/>
      <w:r w:rsidRPr="00AB5027">
        <w:rPr>
          <w:rFonts w:ascii="Times New Roman" w:hAnsi="Times New Roman" w:hint="eastAsia"/>
          <w:bCs/>
          <w:sz w:val="24"/>
        </w:rPr>
        <w:t>编制机构停止标的指数的编制及发布</w:t>
      </w:r>
      <w:proofErr w:type="gramStart"/>
      <w:r w:rsidRPr="00AB5027">
        <w:rPr>
          <w:rFonts w:ascii="Times New Roman" w:hAnsi="Times New Roman" w:hint="eastAsia"/>
          <w:bCs/>
          <w:sz w:val="24"/>
        </w:rPr>
        <w:t>至解决</w:t>
      </w:r>
      <w:proofErr w:type="gramEnd"/>
      <w:r w:rsidRPr="00AB5027">
        <w:rPr>
          <w:rFonts w:ascii="Times New Roman" w:hAnsi="Times New Roman" w:hint="eastAsia"/>
          <w:bCs/>
          <w:sz w:val="24"/>
        </w:rPr>
        <w:t>方案确定期间，基金管理人应按照指数编制机构提供的最近一个交易日的指数信息遵循基金份额持有人利益优先原则维持基金投资运作。</w:t>
      </w:r>
    </w:p>
    <w:p w14:paraId="4FF0A911" w14:textId="77777777" w:rsidR="000D57E7" w:rsidRDefault="000D57E7">
      <w:pPr>
        <w:autoSpaceDE w:val="0"/>
        <w:autoSpaceDN w:val="0"/>
        <w:adjustRightInd w:val="0"/>
        <w:snapToGrid w:val="0"/>
        <w:spacing w:line="360" w:lineRule="auto"/>
        <w:ind w:firstLineChars="200" w:firstLine="480"/>
        <w:rPr>
          <w:rFonts w:ascii="Times New Roman" w:hAnsi="Times New Roman"/>
          <w:bCs/>
          <w:sz w:val="24"/>
        </w:rPr>
      </w:pPr>
      <w:proofErr w:type="gramStart"/>
      <w:r w:rsidRPr="000A7497">
        <w:rPr>
          <w:rFonts w:ascii="Times New Roman" w:hAnsi="Times New Roman" w:hint="eastAsia"/>
          <w:bCs/>
          <w:sz w:val="24"/>
        </w:rPr>
        <w:t>若基金</w:t>
      </w:r>
      <w:proofErr w:type="gramEnd"/>
      <w:r w:rsidRPr="000A7497">
        <w:rPr>
          <w:rFonts w:ascii="Times New Roman" w:hAnsi="Times New Roman"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p>
    <w:p w14:paraId="0D1A4F3F"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（九）风险收益特征</w:t>
      </w:r>
    </w:p>
    <w:p w14:paraId="455ED8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本基金属</w:t>
      </w:r>
      <w:r>
        <w:rPr>
          <w:rFonts w:ascii="Times New Roman" w:hAnsi="Times New Roman"/>
          <w:sz w:val="24"/>
        </w:rPr>
        <w:t>ETF</w:t>
      </w:r>
      <w:r>
        <w:rPr>
          <w:rFonts w:ascii="Times New Roman" w:hAnsi="Times New Roman"/>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29B5AE7"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（十）投资限制</w:t>
      </w:r>
    </w:p>
    <w:p w14:paraId="7CFB44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本基金的投资组合将遵循以下限制：</w:t>
      </w:r>
    </w:p>
    <w:p w14:paraId="4E82DA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进入全国银行间同业市场的债券回购融入的资金余额不得超过基金资产净值的</w:t>
      </w:r>
      <w:r>
        <w:rPr>
          <w:rFonts w:ascii="Times New Roman" w:hAnsi="Times New Roman"/>
          <w:sz w:val="24"/>
        </w:rPr>
        <w:t>40%</w:t>
      </w:r>
      <w:r>
        <w:rPr>
          <w:rFonts w:ascii="Times New Roman" w:hAnsi="Times New Roman"/>
          <w:sz w:val="24"/>
        </w:rPr>
        <w:t>；</w:t>
      </w:r>
    </w:p>
    <w:p w14:paraId="0D12A50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14:paraId="1F52C4F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455BA2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本基金投资权证，在任何交易日买入的总金额，不超过上一交易日基金资产净值的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 xml:space="preserve"> 3%</w:t>
      </w:r>
      <w:r>
        <w:rPr>
          <w:rFonts w:ascii="Times New Roman" w:hAnsi="Times New Roman"/>
          <w:sz w:val="24"/>
        </w:rPr>
        <w:t>，本基金管理人管理的全部基金持有同一权证的比例不超过该权证的</w:t>
      </w:r>
      <w:r>
        <w:rPr>
          <w:rFonts w:ascii="Times New Roman" w:hAnsi="Times New Roman"/>
          <w:sz w:val="24"/>
        </w:rPr>
        <w:t>10%</w:t>
      </w:r>
      <w:r>
        <w:rPr>
          <w:rFonts w:ascii="Times New Roman" w:hAnsi="Times New Roman"/>
          <w:sz w:val="24"/>
        </w:rPr>
        <w:t>。投资于其他权证的投资比例，遵从法律法规或监管部门的相关规定；</w:t>
      </w:r>
    </w:p>
    <w:p w14:paraId="6769A61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本基金持有的资产支持证券的信用级别均在</w:t>
      </w:r>
      <w:r>
        <w:rPr>
          <w:rFonts w:ascii="Times New Roman" w:hAnsi="Times New Roman"/>
          <w:sz w:val="24"/>
        </w:rPr>
        <w:t>BBB</w:t>
      </w:r>
      <w:r>
        <w:rPr>
          <w:rFonts w:ascii="Times New Roman" w:hAnsi="Times New Roman"/>
          <w:sz w:val="24"/>
        </w:rPr>
        <w:t>级以上。本基金持有的同一（指同一信用级别）资产支持证券的比例，不得超过该资产支持证券规模的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；本基金投资于同一原始权益人的各类资产支持证券的比例，不得超过该基金资产净值的</w:t>
      </w:r>
      <w:r>
        <w:rPr>
          <w:rFonts w:ascii="Times New Roman" w:hAnsi="Times New Roman"/>
          <w:sz w:val="24"/>
        </w:rPr>
        <w:t>10%</w:t>
      </w:r>
      <w:r>
        <w:rPr>
          <w:rFonts w:ascii="Times New Roman" w:hAnsi="Times New Roman"/>
          <w:sz w:val="24"/>
        </w:rPr>
        <w:t>；基金管理人管理的全部证券投资基金投资于同一原始权益人的各类资产支持证券，不得超过其各类资产支持证券合计规模的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；本基金持有的全部资产支持证券，其市值不得超过该基金资产净值的</w:t>
      </w:r>
      <w:r>
        <w:rPr>
          <w:rFonts w:ascii="Times New Roman" w:hAnsi="Times New Roman"/>
          <w:sz w:val="24"/>
        </w:rPr>
        <w:t>20%</w:t>
      </w:r>
      <w:r>
        <w:rPr>
          <w:rFonts w:ascii="Times New Roman" w:hAnsi="Times New Roman"/>
          <w:sz w:val="24"/>
        </w:rPr>
        <w:t>；</w:t>
      </w:r>
    </w:p>
    <w:p w14:paraId="5B16737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07594AC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本基金与私募类</w:t>
      </w:r>
      <w:proofErr w:type="gramStart"/>
      <w:r>
        <w:rPr>
          <w:rFonts w:ascii="Times New Roman" w:hAnsi="Times New Roman"/>
          <w:sz w:val="24"/>
        </w:rPr>
        <w:t>证券资管产品</w:t>
      </w:r>
      <w:proofErr w:type="gramEnd"/>
      <w:r>
        <w:rPr>
          <w:rFonts w:ascii="Times New Roman" w:hAnsi="Times New Roman"/>
          <w:sz w:val="24"/>
        </w:rPr>
        <w:t>及中国证监会认定的其他主体为交易对手开展逆回购交易的，可接受质押品的资质要求应当与基金合同约定的投资范围保持一</w:t>
      </w:r>
      <w:r>
        <w:rPr>
          <w:rFonts w:ascii="Times New Roman" w:hAnsi="Times New Roman"/>
          <w:sz w:val="24"/>
        </w:rPr>
        <w:lastRenderedPageBreak/>
        <w:t>致；</w:t>
      </w:r>
    </w:p>
    <w:p w14:paraId="0797130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本基金不得违反基金合同中有关投资范围、投资策略、投资比例的规定；</w:t>
      </w:r>
    </w:p>
    <w:p w14:paraId="49C2DA99" w14:textId="77777777" w:rsidR="00916E54" w:rsidRPr="00916E54" w:rsidRDefault="00953581" w:rsidP="00916E54">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(9)</w:t>
      </w:r>
      <w:r w:rsidR="00916E54" w:rsidRPr="00916E54">
        <w:rPr>
          <w:rFonts w:ascii="Times New Roman" w:hAnsi="Times New Roman" w:hint="eastAsia"/>
          <w:bCs/>
          <w:sz w:val="24"/>
        </w:rPr>
        <w:t>本基金投资存托凭证的比例限制依照境内上市交易的股票执行；</w:t>
      </w:r>
    </w:p>
    <w:p w14:paraId="5349099B" w14:textId="77777777" w:rsidR="009A30E5" w:rsidRDefault="00916E54" w:rsidP="00916E54">
      <w:pPr>
        <w:autoSpaceDE w:val="0"/>
        <w:autoSpaceDN w:val="0"/>
        <w:adjustRightInd w:val="0"/>
        <w:snapToGrid w:val="0"/>
        <w:spacing w:line="360" w:lineRule="auto"/>
        <w:ind w:firstLineChars="200" w:firstLine="480"/>
        <w:rPr>
          <w:rFonts w:ascii="宋体" w:hAnsi="宋体"/>
          <w:szCs w:val="24"/>
        </w:rPr>
      </w:pPr>
      <w:r w:rsidRPr="00916E54">
        <w:rPr>
          <w:rFonts w:ascii="Times New Roman" w:hAnsi="Times New Roman"/>
          <w:sz w:val="24"/>
        </w:rPr>
        <w:t>(10)</w:t>
      </w:r>
      <w:r w:rsidR="00953581">
        <w:rPr>
          <w:rFonts w:ascii="Times New Roman" w:hAnsi="Times New Roman"/>
          <w:sz w:val="24"/>
        </w:rPr>
        <w:t>法律法规或监管部门对上述比例限制另有规定的，从其规定。</w:t>
      </w:r>
    </w:p>
    <w:p w14:paraId="340259F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3</w:t>
      </w:r>
      <w:r>
        <w:rPr>
          <w:rFonts w:ascii="Times New Roman" w:hAnsi="Times New Roman"/>
          <w:sz w:val="24"/>
        </w:rPr>
        <w:t>个月内使基金的投资组合比例符合基金合同的约定。在符合相关法律法规规定的前提下，除上述第（</w:t>
      </w:r>
      <w:r>
        <w:rPr>
          <w:rFonts w:ascii="Times New Roman" w:hAnsi="Times New Roman"/>
          <w:sz w:val="24"/>
        </w:rPr>
        <w:t>3</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7</w:t>
      </w:r>
      <w:r>
        <w:rPr>
          <w:rFonts w:ascii="Times New Roman" w:hAnsi="Times New Roman"/>
          <w:sz w:val="24"/>
        </w:rPr>
        <w:t>）项以外</w:t>
      </w:r>
      <w:r>
        <w:rPr>
          <w:rFonts w:ascii="Times New Roman" w:hAnsi="Times New Roman"/>
          <w:sz w:val="24"/>
        </w:rPr>
        <w:t>,</w:t>
      </w:r>
      <w:r>
        <w:rPr>
          <w:rFonts w:ascii="Times New Roman" w:hAnsi="Times New Roman"/>
          <w:sz w:val="24"/>
        </w:rPr>
        <w:t>因证券市场波动、上市公司合并、基金规模变动等非本基金管理人的因素致使基金的投资组合不符合上述规定的投资比例的，基金管理人应当在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14:paraId="5942770D"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若法律</w:t>
      </w:r>
      <w:proofErr w:type="gramEnd"/>
      <w:r>
        <w:rPr>
          <w:rFonts w:ascii="Times New Roman" w:hAnsi="Times New Roman"/>
          <w:sz w:val="24"/>
        </w:rPr>
        <w:t>法规或监管部门取消上述限制，履行适当程序后，本基金投资可不受上述规定限制。</w:t>
      </w:r>
    </w:p>
    <w:p w14:paraId="65DE2681"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（十一）禁止行为</w:t>
      </w:r>
    </w:p>
    <w:p w14:paraId="16781B9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为维护基金份额持有人的合法权益，本基金禁止从事下列行为：</w:t>
      </w:r>
    </w:p>
    <w:p w14:paraId="18C6A1C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14:paraId="1739452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、向他人贷款或者提供担保；</w:t>
      </w:r>
    </w:p>
    <w:p w14:paraId="0B1EDEA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3A50A5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、买卖其他基金份额，但是国务院另有规定和指定的目标</w:t>
      </w:r>
      <w:r>
        <w:rPr>
          <w:rFonts w:ascii="Times New Roman" w:hAnsi="Times New Roman"/>
          <w:sz w:val="24"/>
        </w:rPr>
        <w:t>ETF</w:t>
      </w:r>
      <w:r>
        <w:rPr>
          <w:rFonts w:ascii="Times New Roman" w:hAnsi="Times New Roman"/>
          <w:sz w:val="24"/>
        </w:rPr>
        <w:t>除外；</w:t>
      </w:r>
    </w:p>
    <w:p w14:paraId="42F0C5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、向基金管理人、基金托管人出资或者买卖基金管理人、基金托管人发行的股票或者债券；</w:t>
      </w:r>
    </w:p>
    <w:p w14:paraId="29C6357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、买卖与基金管理人、基金托管人有控股关系的股东或者与基金管理人、基金托管人有其他重大利害关系的公司发行的证券或者承销期内承销的证券，但指定的目标</w:t>
      </w:r>
      <w:r>
        <w:rPr>
          <w:rFonts w:ascii="Times New Roman" w:hAnsi="Times New Roman"/>
          <w:sz w:val="24"/>
        </w:rPr>
        <w:t>ETF</w:t>
      </w:r>
      <w:r>
        <w:rPr>
          <w:rFonts w:ascii="Times New Roman" w:hAnsi="Times New Roman"/>
          <w:sz w:val="24"/>
        </w:rPr>
        <w:t>除外；</w:t>
      </w:r>
    </w:p>
    <w:p w14:paraId="33FDC0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、从事内幕交易、操纵证券交易价格及其他不正当的证券交易活动；</w:t>
      </w:r>
    </w:p>
    <w:p w14:paraId="28CE66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、依照法律法规有关规定，由中国证监会规定禁止的其他活动。</w:t>
      </w:r>
    </w:p>
    <w:p w14:paraId="1138AC70"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若法律</w:t>
      </w:r>
      <w:proofErr w:type="gramEnd"/>
      <w:r>
        <w:rPr>
          <w:rFonts w:ascii="Times New Roman" w:hAnsi="Times New Roman"/>
          <w:sz w:val="24"/>
        </w:rPr>
        <w:t>法规或监管部门取消上述禁止性规定，履行适当程序后，本基金投资可不受上述规定限制。</w:t>
      </w:r>
    </w:p>
    <w:p w14:paraId="463C0B3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（十二）目标ETF的变更</w:t>
      </w:r>
    </w:p>
    <w:p w14:paraId="0886541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当出现以下情形时，基金管理人可以在履行适当的程序后变更本基金所联接的目标</w:t>
      </w:r>
      <w:r>
        <w:rPr>
          <w:rFonts w:ascii="Times New Roman" w:hAnsi="Times New Roman"/>
          <w:sz w:val="24"/>
        </w:rPr>
        <w:t>ETF</w:t>
      </w:r>
      <w:r>
        <w:rPr>
          <w:rFonts w:ascii="Times New Roman" w:hAnsi="Times New Roman"/>
          <w:sz w:val="24"/>
        </w:rPr>
        <w:t>，以与原目标</w:t>
      </w:r>
      <w:r>
        <w:rPr>
          <w:rFonts w:ascii="Times New Roman" w:hAnsi="Times New Roman"/>
          <w:sz w:val="24"/>
        </w:rPr>
        <w:t>ETF</w:t>
      </w:r>
      <w:r>
        <w:rPr>
          <w:rFonts w:ascii="Times New Roman" w:hAnsi="Times New Roman"/>
          <w:sz w:val="24"/>
        </w:rPr>
        <w:t>有类似投资目标的</w:t>
      </w:r>
      <w:r>
        <w:rPr>
          <w:rFonts w:ascii="Times New Roman" w:hAnsi="Times New Roman"/>
          <w:sz w:val="24"/>
        </w:rPr>
        <w:t>ETF</w:t>
      </w:r>
      <w:r>
        <w:rPr>
          <w:rFonts w:ascii="Times New Roman" w:hAnsi="Times New Roman"/>
          <w:sz w:val="24"/>
        </w:rPr>
        <w:t>作为新的目标</w:t>
      </w:r>
      <w:r>
        <w:rPr>
          <w:rFonts w:ascii="Times New Roman" w:hAnsi="Times New Roman"/>
          <w:sz w:val="24"/>
        </w:rPr>
        <w:t>ETF</w:t>
      </w:r>
      <w:r>
        <w:rPr>
          <w:rFonts w:ascii="Times New Roman" w:hAnsi="Times New Roman"/>
          <w:sz w:val="24"/>
        </w:rPr>
        <w:t>：</w:t>
      </w:r>
    </w:p>
    <w:p w14:paraId="2454781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）目标</w:t>
      </w:r>
      <w:r>
        <w:rPr>
          <w:rFonts w:ascii="Times New Roman" w:hAnsi="Times New Roman"/>
          <w:sz w:val="24"/>
        </w:rPr>
        <w:t>ETF</w:t>
      </w:r>
      <w:r>
        <w:rPr>
          <w:rFonts w:ascii="Times New Roman" w:hAnsi="Times New Roman"/>
          <w:sz w:val="24"/>
        </w:rPr>
        <w:t>的基金合同终止；</w:t>
      </w:r>
    </w:p>
    <w:p w14:paraId="578F77E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）目标</w:t>
      </w:r>
      <w:r>
        <w:rPr>
          <w:rFonts w:ascii="Times New Roman" w:hAnsi="Times New Roman"/>
          <w:sz w:val="24"/>
        </w:rPr>
        <w:t>ETF</w:t>
      </w:r>
      <w:r>
        <w:rPr>
          <w:rFonts w:ascii="Times New Roman" w:hAnsi="Times New Roman"/>
          <w:sz w:val="24"/>
        </w:rPr>
        <w:t>与其他基金进行合并；</w:t>
      </w:r>
    </w:p>
    <w:p w14:paraId="35F87EB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）目标</w:t>
      </w:r>
      <w:r>
        <w:rPr>
          <w:rFonts w:ascii="Times New Roman" w:hAnsi="Times New Roman"/>
          <w:sz w:val="24"/>
        </w:rPr>
        <w:t>ETF</w:t>
      </w:r>
      <w:r>
        <w:rPr>
          <w:rFonts w:ascii="Times New Roman" w:hAnsi="Times New Roman"/>
          <w:sz w:val="24"/>
        </w:rPr>
        <w:t>变更标的指数；</w:t>
      </w:r>
    </w:p>
    <w:p w14:paraId="1921EE2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）目标</w:t>
      </w:r>
      <w:r>
        <w:rPr>
          <w:rFonts w:ascii="Times New Roman" w:hAnsi="Times New Roman"/>
          <w:sz w:val="24"/>
        </w:rPr>
        <w:t>ETF</w:t>
      </w:r>
      <w:r>
        <w:rPr>
          <w:rFonts w:ascii="Times New Roman" w:hAnsi="Times New Roman"/>
          <w:sz w:val="24"/>
        </w:rPr>
        <w:t>的基金管理人或基金托管人发生变更；</w:t>
      </w:r>
    </w:p>
    <w:p w14:paraId="45B90B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）中国证监会规定的其他情形。</w:t>
      </w:r>
    </w:p>
    <w:p w14:paraId="66FE1151"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（十三）基金管理人代表基金行使股东权利的处理原则及方法</w:t>
      </w:r>
    </w:p>
    <w:p w14:paraId="3BEB477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、基金管理人按照国家有关规定代表基金独立行使股东权利，保护基金份额持有人的利益；</w:t>
      </w:r>
    </w:p>
    <w:p w14:paraId="4C2251F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14:paraId="5BAE419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47185E0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0CDB4620"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（十四）基金的融资、融券</w:t>
      </w:r>
    </w:p>
    <w:p w14:paraId="531DF37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本基金可以根据有关法律法规和政策的规定进行融资、融券。</w:t>
      </w:r>
    </w:p>
    <w:p w14:paraId="3F122520"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（十五）基金投资组合报告</w:t>
      </w:r>
    </w:p>
    <w:p w14:paraId="362710F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14:paraId="13C3CE5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本基金托管人中国农业银行根据本基金合同规定，于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14:paraId="59CFD94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本投资组合报告期为</w:t>
      </w:r>
      <w:r>
        <w:rPr>
          <w:rFonts w:ascii="Times New Roman" w:hAnsi="Times New Roman"/>
          <w:sz w:val="24"/>
        </w:rPr>
        <w:t>2020</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15CFC52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14:paraId="5ECA1CE9" w14:textId="77777777" w:rsidR="009A30E5" w:rsidRDefault="00953581">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A30E5" w14:paraId="6A3AA6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C4110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ECD1E9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3E1B6EC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14:paraId="3D75C60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9A30E5" w14:paraId="5F8907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02153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5F40763"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DCC5435"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44,826.74</w:t>
            </w:r>
          </w:p>
        </w:tc>
        <w:tc>
          <w:tcPr>
            <w:tcW w:w="400" w:type="pct"/>
            <w:tcBorders>
              <w:top w:val="single" w:sz="4" w:space="0" w:color="auto"/>
              <w:left w:val="single" w:sz="4" w:space="0" w:color="auto"/>
              <w:bottom w:val="single" w:sz="4" w:space="0" w:color="auto"/>
              <w:right w:val="single" w:sz="4" w:space="0" w:color="auto"/>
            </w:tcBorders>
            <w:vAlign w:val="center"/>
          </w:tcPr>
          <w:p w14:paraId="72C736AA"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9A30E5" w14:paraId="4C988F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F3865D"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77664F7"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440C4700"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44,826.74</w:t>
            </w:r>
          </w:p>
        </w:tc>
        <w:tc>
          <w:tcPr>
            <w:tcW w:w="400" w:type="pct"/>
            <w:tcBorders>
              <w:top w:val="single" w:sz="4" w:space="0" w:color="auto"/>
              <w:left w:val="single" w:sz="4" w:space="0" w:color="auto"/>
              <w:bottom w:val="single" w:sz="4" w:space="0" w:color="auto"/>
              <w:right w:val="single" w:sz="4" w:space="0" w:color="auto"/>
            </w:tcBorders>
            <w:vAlign w:val="center"/>
          </w:tcPr>
          <w:p w14:paraId="260C9ABA"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9A30E5" w14:paraId="38BF7C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BBDD7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92B206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7687D068"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272,465,307.46</w:t>
            </w:r>
          </w:p>
        </w:tc>
        <w:tc>
          <w:tcPr>
            <w:tcW w:w="400" w:type="pct"/>
            <w:tcBorders>
              <w:top w:val="single" w:sz="4" w:space="0" w:color="auto"/>
              <w:left w:val="single" w:sz="4" w:space="0" w:color="auto"/>
              <w:bottom w:val="single" w:sz="4" w:space="0" w:color="auto"/>
              <w:right w:val="single" w:sz="4" w:space="0" w:color="auto"/>
            </w:tcBorders>
            <w:vAlign w:val="center"/>
          </w:tcPr>
          <w:p w14:paraId="53532BAD"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93.68</w:t>
            </w:r>
          </w:p>
        </w:tc>
      </w:tr>
      <w:tr w:rsidR="009A30E5" w14:paraId="3C49CC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16BB4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41C12D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740AF5AD"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sz="4" w:space="0" w:color="auto"/>
              <w:left w:val="single" w:sz="4" w:space="0" w:color="auto"/>
              <w:bottom w:val="single" w:sz="4" w:space="0" w:color="auto"/>
              <w:right w:val="single" w:sz="4" w:space="0" w:color="auto"/>
            </w:tcBorders>
            <w:vAlign w:val="center"/>
          </w:tcPr>
          <w:p w14:paraId="637FE38F"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rsidR="009A30E5" w14:paraId="44D06E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3A0541"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AE8975C"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38036AEE"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sz="4" w:space="0" w:color="auto"/>
              <w:left w:val="single" w:sz="4" w:space="0" w:color="auto"/>
              <w:bottom w:val="single" w:sz="4" w:space="0" w:color="auto"/>
              <w:right w:val="single" w:sz="4" w:space="0" w:color="auto"/>
            </w:tcBorders>
            <w:vAlign w:val="center"/>
          </w:tcPr>
          <w:p w14:paraId="762A0360"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rsidR="009A30E5" w14:paraId="4384C7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3336AC"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6C52B1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15120910"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FF2752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25E903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D75FB4"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C7F50C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3B4A108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3699E4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2F88D4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4471D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5</w:t>
            </w:r>
          </w:p>
        </w:tc>
        <w:tc>
          <w:tcPr>
            <w:tcW w:w="750" w:type="pct"/>
            <w:tcBorders>
              <w:top w:val="single" w:sz="4" w:space="0" w:color="auto"/>
              <w:left w:val="single" w:sz="4" w:space="0" w:color="auto"/>
              <w:bottom w:val="single" w:sz="4" w:space="0" w:color="auto"/>
              <w:right w:val="single" w:sz="4" w:space="0" w:color="auto"/>
            </w:tcBorders>
            <w:vAlign w:val="center"/>
          </w:tcPr>
          <w:p w14:paraId="17CF59A9"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08AF704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72288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14D442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42761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3B9DD20"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C64DD0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47F5B09"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1D0A13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12DCAE"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4A8D9E0"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7CBB37F8"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55F1DE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07E11D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8AFE5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D4D5203"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5A500C36"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16,663,913.09</w:t>
            </w:r>
          </w:p>
        </w:tc>
        <w:tc>
          <w:tcPr>
            <w:tcW w:w="400" w:type="pct"/>
            <w:tcBorders>
              <w:top w:val="single" w:sz="4" w:space="0" w:color="auto"/>
              <w:left w:val="single" w:sz="4" w:space="0" w:color="auto"/>
              <w:bottom w:val="single" w:sz="4" w:space="0" w:color="auto"/>
              <w:right w:val="single" w:sz="4" w:space="0" w:color="auto"/>
            </w:tcBorders>
            <w:vAlign w:val="center"/>
          </w:tcPr>
          <w:p w14:paraId="4BF16CA0"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5.73</w:t>
            </w:r>
          </w:p>
        </w:tc>
      </w:tr>
      <w:tr w:rsidR="009A30E5" w14:paraId="20D3E8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30D14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5D87B3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14:paraId="5CFC97B8"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174,164.49</w:t>
            </w:r>
          </w:p>
        </w:tc>
        <w:tc>
          <w:tcPr>
            <w:tcW w:w="400" w:type="pct"/>
            <w:tcBorders>
              <w:top w:val="single" w:sz="4" w:space="0" w:color="auto"/>
              <w:left w:val="single" w:sz="4" w:space="0" w:color="auto"/>
              <w:bottom w:val="single" w:sz="4" w:space="0" w:color="auto"/>
              <w:right w:val="single" w:sz="4" w:space="0" w:color="auto"/>
            </w:tcBorders>
            <w:vAlign w:val="center"/>
          </w:tcPr>
          <w:p w14:paraId="61554F66"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r>
      <w:tr w:rsidR="009A30E5" w14:paraId="1CF2D20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9BA30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9C99EE6"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6E1E4A6"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290,843,451.28</w:t>
            </w:r>
          </w:p>
        </w:tc>
        <w:tc>
          <w:tcPr>
            <w:tcW w:w="400" w:type="pct"/>
            <w:tcBorders>
              <w:top w:val="single" w:sz="4" w:space="0" w:color="auto"/>
              <w:left w:val="single" w:sz="4" w:space="0" w:color="auto"/>
              <w:bottom w:val="single" w:sz="4" w:space="0" w:color="auto"/>
              <w:right w:val="single" w:sz="4" w:space="0" w:color="auto"/>
            </w:tcBorders>
            <w:vAlign w:val="center"/>
          </w:tcPr>
          <w:p w14:paraId="630DA15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2A6F5CF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、期末投资目标基金明细</w:t>
      </w:r>
    </w:p>
    <w:tbl>
      <w:tblPr>
        <w:tblW w:w="5000" w:type="pct"/>
        <w:tblCellMar>
          <w:left w:w="0" w:type="dxa"/>
          <w:right w:w="0" w:type="dxa"/>
        </w:tblCellMar>
        <w:tblLook w:val="0000" w:firstRow="0" w:lastRow="0" w:firstColumn="0" w:lastColumn="0" w:noHBand="0" w:noVBand="0"/>
      </w:tblPr>
      <w:tblGrid>
        <w:gridCol w:w="1251"/>
        <w:gridCol w:w="1251"/>
        <w:gridCol w:w="1252"/>
        <w:gridCol w:w="1252"/>
        <w:gridCol w:w="1252"/>
        <w:gridCol w:w="1573"/>
        <w:gridCol w:w="819"/>
      </w:tblGrid>
      <w:tr w:rsidR="009A30E5" w14:paraId="6ABD08D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4D1E3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28D9C5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tcBorders>
              <w:top w:val="single" w:sz="4" w:space="0" w:color="auto"/>
              <w:left w:val="single" w:sz="4" w:space="0" w:color="auto"/>
              <w:bottom w:val="single" w:sz="4" w:space="0" w:color="auto"/>
              <w:right w:val="single" w:sz="4" w:space="0" w:color="auto"/>
            </w:tcBorders>
            <w:vAlign w:val="center"/>
          </w:tcPr>
          <w:p w14:paraId="6DB4A14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基金类型</w:t>
            </w:r>
          </w:p>
        </w:tc>
        <w:tc>
          <w:tcPr>
            <w:tcW w:w="750" w:type="pct"/>
            <w:tcBorders>
              <w:top w:val="single" w:sz="4" w:space="0" w:color="auto"/>
              <w:left w:val="single" w:sz="4" w:space="0" w:color="auto"/>
              <w:bottom w:val="single" w:sz="4" w:space="0" w:color="auto"/>
              <w:right w:val="single" w:sz="4" w:space="0" w:color="auto"/>
            </w:tcBorders>
            <w:vAlign w:val="center"/>
          </w:tcPr>
          <w:p w14:paraId="459D216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运作方式</w:t>
            </w:r>
          </w:p>
        </w:tc>
        <w:tc>
          <w:tcPr>
            <w:tcW w:w="750" w:type="pct"/>
            <w:tcBorders>
              <w:top w:val="single" w:sz="4" w:space="0" w:color="auto"/>
              <w:left w:val="single" w:sz="4" w:space="0" w:color="auto"/>
              <w:bottom w:val="single" w:sz="4" w:space="0" w:color="auto"/>
              <w:right w:val="single" w:sz="4" w:space="0" w:color="auto"/>
            </w:tcBorders>
            <w:vAlign w:val="center"/>
          </w:tcPr>
          <w:p w14:paraId="38172DD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管理人</w:t>
            </w:r>
          </w:p>
        </w:tc>
        <w:tc>
          <w:tcPr>
            <w:tcW w:w="750" w:type="pct"/>
            <w:tcBorders>
              <w:top w:val="single" w:sz="4" w:space="0" w:color="auto"/>
              <w:left w:val="single" w:sz="4" w:space="0" w:color="auto"/>
              <w:bottom w:val="single" w:sz="4" w:space="0" w:color="auto"/>
              <w:right w:val="single" w:sz="4" w:space="0" w:color="auto"/>
            </w:tcBorders>
            <w:vAlign w:val="center"/>
          </w:tcPr>
          <w:p w14:paraId="6C460DC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vAlign w:val="center"/>
          </w:tcPr>
          <w:p w14:paraId="568C985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9A30E5" w14:paraId="25309BE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109D62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169AE8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p>
        </w:tc>
        <w:tc>
          <w:tcPr>
            <w:tcW w:w="750" w:type="pct"/>
            <w:tcBorders>
              <w:top w:val="single" w:sz="4" w:space="0" w:color="auto"/>
              <w:left w:val="single" w:sz="4" w:space="0" w:color="auto"/>
              <w:bottom w:val="single" w:sz="4" w:space="0" w:color="auto"/>
              <w:right w:val="single" w:sz="4" w:space="0" w:color="auto"/>
            </w:tcBorders>
            <w:vAlign w:val="center"/>
          </w:tcPr>
          <w:p w14:paraId="6E58229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股票型</w:t>
            </w:r>
          </w:p>
        </w:tc>
        <w:tc>
          <w:tcPr>
            <w:tcW w:w="750" w:type="pct"/>
            <w:tcBorders>
              <w:top w:val="single" w:sz="4" w:space="0" w:color="auto"/>
              <w:left w:val="single" w:sz="4" w:space="0" w:color="auto"/>
              <w:bottom w:val="single" w:sz="4" w:space="0" w:color="auto"/>
              <w:right w:val="single" w:sz="4" w:space="0" w:color="auto"/>
            </w:tcBorders>
            <w:vAlign w:val="center"/>
          </w:tcPr>
          <w:p w14:paraId="4634D12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交易型开放式</w:t>
            </w:r>
          </w:p>
        </w:tc>
        <w:tc>
          <w:tcPr>
            <w:tcW w:w="750" w:type="pct"/>
            <w:tcBorders>
              <w:top w:val="single" w:sz="4" w:space="0" w:color="auto"/>
              <w:left w:val="single" w:sz="4" w:space="0" w:color="auto"/>
              <w:bottom w:val="single" w:sz="4" w:space="0" w:color="auto"/>
              <w:right w:val="single" w:sz="4" w:space="0" w:color="auto"/>
            </w:tcBorders>
            <w:vAlign w:val="center"/>
          </w:tcPr>
          <w:p w14:paraId="7347AEA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交银施罗德基金管理有限公司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0038047"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272,465,307.46</w:t>
            </w:r>
          </w:p>
        </w:tc>
        <w:tc>
          <w:tcPr>
            <w:tcW w:w="750" w:type="pct"/>
            <w:tcBorders>
              <w:top w:val="single" w:sz="4" w:space="0" w:color="auto"/>
              <w:left w:val="single" w:sz="4" w:space="0" w:color="auto"/>
              <w:bottom w:val="single" w:sz="4" w:space="0" w:color="auto"/>
              <w:right w:val="single" w:sz="4" w:space="0" w:color="auto"/>
            </w:tcBorders>
            <w:vAlign w:val="center"/>
          </w:tcPr>
          <w:p w14:paraId="415CEE59"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94.19</w:t>
            </w:r>
          </w:p>
        </w:tc>
      </w:tr>
    </w:tbl>
    <w:p w14:paraId="54D9E9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、报告期末按行业分类的股票投资组合</w:t>
      </w:r>
    </w:p>
    <w:p w14:paraId="46DAD6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报告期末按行业分类的境内股票投资组合</w:t>
      </w:r>
    </w:p>
    <w:p w14:paraId="545FEEAE" w14:textId="77777777" w:rsidR="009A30E5" w:rsidRDefault="00953581">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A30E5" w14:paraId="5BB3D5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546B1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14:paraId="649C4D8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14:paraId="5B582D7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60D4B86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9A30E5" w14:paraId="2D5F8D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197B3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75996C6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19E0DA27"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21DD41F"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29DACB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D05BA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6557D4A7"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7585E81A"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D261AB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062CFC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CB0B9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0D896054"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6A412545"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1,515.64</w:t>
            </w:r>
          </w:p>
        </w:tc>
        <w:tc>
          <w:tcPr>
            <w:tcW w:w="400" w:type="pct"/>
            <w:tcBorders>
              <w:top w:val="single" w:sz="4" w:space="0" w:color="auto"/>
              <w:left w:val="single" w:sz="4" w:space="0" w:color="auto"/>
              <w:bottom w:val="single" w:sz="4" w:space="0" w:color="auto"/>
              <w:right w:val="single" w:sz="4" w:space="0" w:color="auto"/>
            </w:tcBorders>
            <w:vAlign w:val="center"/>
          </w:tcPr>
          <w:p w14:paraId="603FAF17"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616273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D3C0C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0497C8D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4DFFE60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D29385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09D7B1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E5EFF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4834339E"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15AD2086"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95.40</w:t>
            </w:r>
          </w:p>
        </w:tc>
        <w:tc>
          <w:tcPr>
            <w:tcW w:w="400" w:type="pct"/>
            <w:tcBorders>
              <w:top w:val="single" w:sz="4" w:space="0" w:color="auto"/>
              <w:left w:val="single" w:sz="4" w:space="0" w:color="auto"/>
              <w:bottom w:val="single" w:sz="4" w:space="0" w:color="auto"/>
              <w:right w:val="single" w:sz="4" w:space="0" w:color="auto"/>
            </w:tcBorders>
            <w:vAlign w:val="center"/>
          </w:tcPr>
          <w:p w14:paraId="2DC56C47"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76F7FC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B19C4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62C4BF8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30F4B4A6"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81.00</w:t>
            </w:r>
          </w:p>
        </w:tc>
        <w:tc>
          <w:tcPr>
            <w:tcW w:w="400" w:type="pct"/>
            <w:tcBorders>
              <w:top w:val="single" w:sz="4" w:space="0" w:color="auto"/>
              <w:left w:val="single" w:sz="4" w:space="0" w:color="auto"/>
              <w:bottom w:val="single" w:sz="4" w:space="0" w:color="auto"/>
              <w:right w:val="single" w:sz="4" w:space="0" w:color="auto"/>
            </w:tcBorders>
            <w:vAlign w:val="center"/>
          </w:tcPr>
          <w:p w14:paraId="36C321E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3FF1E1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A4377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10F0648A"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714DBE39"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E878478"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6AD1E8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728ED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6EDE806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68F004DE"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AF7ADC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70C46E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BE6A3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50FDC9EC"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3384BEF"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41,983.20</w:t>
            </w:r>
          </w:p>
        </w:tc>
        <w:tc>
          <w:tcPr>
            <w:tcW w:w="400" w:type="pct"/>
            <w:tcBorders>
              <w:top w:val="single" w:sz="4" w:space="0" w:color="auto"/>
              <w:left w:val="single" w:sz="4" w:space="0" w:color="auto"/>
              <w:bottom w:val="single" w:sz="4" w:space="0" w:color="auto"/>
              <w:right w:val="single" w:sz="4" w:space="0" w:color="auto"/>
            </w:tcBorders>
            <w:vAlign w:val="center"/>
          </w:tcPr>
          <w:p w14:paraId="11C5EA9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9A30E5" w14:paraId="5B984B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DE7C0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04495E6F"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0DB870CA"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839.50</w:t>
            </w:r>
          </w:p>
        </w:tc>
        <w:tc>
          <w:tcPr>
            <w:tcW w:w="400" w:type="pct"/>
            <w:tcBorders>
              <w:top w:val="single" w:sz="4" w:space="0" w:color="auto"/>
              <w:left w:val="single" w:sz="4" w:space="0" w:color="auto"/>
              <w:bottom w:val="single" w:sz="4" w:space="0" w:color="auto"/>
              <w:right w:val="single" w:sz="4" w:space="0" w:color="auto"/>
            </w:tcBorders>
            <w:vAlign w:val="center"/>
          </w:tcPr>
          <w:p w14:paraId="77CBAC27"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7394CF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A4C0F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578AF08F"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083B867A"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EA2B8B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21B5E3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D7CA5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277B24E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3A42B670"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5DB357"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29476A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E4951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3139528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7F20BCF7"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5FE567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629FD9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C97EC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N</w:t>
            </w:r>
          </w:p>
        </w:tc>
        <w:tc>
          <w:tcPr>
            <w:tcW w:w="750" w:type="pct"/>
            <w:tcBorders>
              <w:top w:val="single" w:sz="4" w:space="0" w:color="auto"/>
              <w:left w:val="single" w:sz="4" w:space="0" w:color="auto"/>
              <w:bottom w:val="single" w:sz="4" w:space="0" w:color="auto"/>
              <w:right w:val="single" w:sz="4" w:space="0" w:color="auto"/>
            </w:tcBorders>
            <w:vAlign w:val="center"/>
          </w:tcPr>
          <w:p w14:paraId="541098B0"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1BBE8B5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312.00</w:t>
            </w:r>
          </w:p>
        </w:tc>
        <w:tc>
          <w:tcPr>
            <w:tcW w:w="400" w:type="pct"/>
            <w:tcBorders>
              <w:top w:val="single" w:sz="4" w:space="0" w:color="auto"/>
              <w:left w:val="single" w:sz="4" w:space="0" w:color="auto"/>
              <w:bottom w:val="single" w:sz="4" w:space="0" w:color="auto"/>
              <w:right w:val="single" w:sz="4" w:space="0" w:color="auto"/>
            </w:tcBorders>
            <w:vAlign w:val="center"/>
          </w:tcPr>
          <w:p w14:paraId="77F3E4DD"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3151D1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74C1C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7F3AE3BA"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113F611E"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7D69D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5A715D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D0435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12B43979"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270D9AC5"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FF739CD"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259E0A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10F3F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076C62C4"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64159B5E"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BF65EC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39DC00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0F2C2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501DF484"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283A3AB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CEAE18F"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25B193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09D28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3BDF73D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066AF7CA"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0B0B236"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4CBAD5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721704"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BE9BA70"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0A2273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44,826.74</w:t>
            </w:r>
          </w:p>
        </w:tc>
        <w:tc>
          <w:tcPr>
            <w:tcW w:w="400" w:type="pct"/>
            <w:tcBorders>
              <w:top w:val="single" w:sz="4" w:space="0" w:color="auto"/>
              <w:left w:val="single" w:sz="4" w:space="0" w:color="auto"/>
              <w:bottom w:val="single" w:sz="4" w:space="0" w:color="auto"/>
              <w:right w:val="single" w:sz="4" w:space="0" w:color="auto"/>
            </w:tcBorders>
            <w:vAlign w:val="center"/>
          </w:tcPr>
          <w:p w14:paraId="37C647B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bl>
    <w:p w14:paraId="3696F6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报告期末按行业分类的港股通投资股票投资组合</w:t>
      </w:r>
    </w:p>
    <w:p w14:paraId="586DC23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14:paraId="05C134A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9A30E5" w14:paraId="605D7D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0D3DE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70DE92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6BB6ED5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63BAF60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14:paraId="167DF81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9A23F2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9A30E5" w14:paraId="02D4B3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A967D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700D76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600588</w:t>
            </w:r>
          </w:p>
        </w:tc>
        <w:tc>
          <w:tcPr>
            <w:tcW w:w="750" w:type="pct"/>
            <w:tcBorders>
              <w:top w:val="single" w:sz="4" w:space="0" w:color="auto"/>
              <w:left w:val="single" w:sz="4" w:space="0" w:color="auto"/>
              <w:bottom w:val="single" w:sz="4" w:space="0" w:color="auto"/>
              <w:right w:val="single" w:sz="4" w:space="0" w:color="auto"/>
            </w:tcBorders>
            <w:vAlign w:val="center"/>
          </w:tcPr>
          <w:p w14:paraId="26555F6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用</w:t>
            </w:r>
            <w:proofErr w:type="gramStart"/>
            <w:r>
              <w:rPr>
                <w:rFonts w:ascii="Times New Roman" w:hAnsi="Times New Roman"/>
                <w:color w:val="000000"/>
                <w:kern w:val="0"/>
                <w:sz w:val="25"/>
                <w:szCs w:val="24"/>
              </w:rPr>
              <w:t>友网络</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343A5826"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952</w:t>
            </w:r>
          </w:p>
        </w:tc>
        <w:tc>
          <w:tcPr>
            <w:tcW w:w="750" w:type="pct"/>
            <w:tcBorders>
              <w:top w:val="single" w:sz="4" w:space="0" w:color="auto"/>
              <w:left w:val="single" w:sz="4" w:space="0" w:color="auto"/>
              <w:bottom w:val="single" w:sz="4" w:space="0" w:color="auto"/>
              <w:right w:val="single" w:sz="4" w:space="0" w:color="auto"/>
            </w:tcBorders>
            <w:vAlign w:val="center"/>
          </w:tcPr>
          <w:p w14:paraId="3D54803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41,983.20</w:t>
            </w:r>
          </w:p>
        </w:tc>
        <w:tc>
          <w:tcPr>
            <w:tcW w:w="750" w:type="pct"/>
            <w:tcBorders>
              <w:top w:val="single" w:sz="4" w:space="0" w:color="auto"/>
              <w:left w:val="single" w:sz="4" w:space="0" w:color="auto"/>
              <w:bottom w:val="single" w:sz="4" w:space="0" w:color="auto"/>
              <w:right w:val="single" w:sz="4" w:space="0" w:color="auto"/>
            </w:tcBorders>
            <w:vAlign w:val="center"/>
          </w:tcPr>
          <w:p w14:paraId="6DC6E88F"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9A30E5" w14:paraId="6E03C4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F54C9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187584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600535</w:t>
            </w:r>
          </w:p>
        </w:tc>
        <w:tc>
          <w:tcPr>
            <w:tcW w:w="750" w:type="pct"/>
            <w:tcBorders>
              <w:top w:val="single" w:sz="4" w:space="0" w:color="auto"/>
              <w:left w:val="single" w:sz="4" w:space="0" w:color="auto"/>
              <w:bottom w:val="single" w:sz="4" w:space="0" w:color="auto"/>
              <w:right w:val="single" w:sz="4" w:space="0" w:color="auto"/>
            </w:tcBorders>
            <w:vAlign w:val="center"/>
          </w:tcPr>
          <w:p w14:paraId="00537BF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天士力</w:t>
            </w:r>
          </w:p>
        </w:tc>
        <w:tc>
          <w:tcPr>
            <w:tcW w:w="750" w:type="pct"/>
            <w:tcBorders>
              <w:top w:val="single" w:sz="4" w:space="0" w:color="auto"/>
              <w:left w:val="single" w:sz="4" w:space="0" w:color="auto"/>
              <w:bottom w:val="single" w:sz="4" w:space="0" w:color="auto"/>
              <w:right w:val="single" w:sz="4" w:space="0" w:color="auto"/>
            </w:tcBorders>
            <w:vAlign w:val="center"/>
          </w:tcPr>
          <w:p w14:paraId="1DC734C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sz="4" w:space="0" w:color="auto"/>
              <w:left w:val="single" w:sz="4" w:space="0" w:color="auto"/>
              <w:bottom w:val="single" w:sz="4" w:space="0" w:color="auto"/>
              <w:right w:val="single" w:sz="4" w:space="0" w:color="auto"/>
            </w:tcBorders>
            <w:vAlign w:val="center"/>
          </w:tcPr>
          <w:p w14:paraId="7E3FA647"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648.80</w:t>
            </w:r>
          </w:p>
        </w:tc>
        <w:tc>
          <w:tcPr>
            <w:tcW w:w="750" w:type="pct"/>
            <w:tcBorders>
              <w:top w:val="single" w:sz="4" w:space="0" w:color="auto"/>
              <w:left w:val="single" w:sz="4" w:space="0" w:color="auto"/>
              <w:bottom w:val="single" w:sz="4" w:space="0" w:color="auto"/>
              <w:right w:val="single" w:sz="4" w:space="0" w:color="auto"/>
            </w:tcBorders>
            <w:vAlign w:val="center"/>
          </w:tcPr>
          <w:p w14:paraId="6ADAFC09"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2FBE16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851E6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AEB729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600549</w:t>
            </w:r>
          </w:p>
        </w:tc>
        <w:tc>
          <w:tcPr>
            <w:tcW w:w="750" w:type="pct"/>
            <w:tcBorders>
              <w:top w:val="single" w:sz="4" w:space="0" w:color="auto"/>
              <w:left w:val="single" w:sz="4" w:space="0" w:color="auto"/>
              <w:bottom w:val="single" w:sz="4" w:space="0" w:color="auto"/>
              <w:right w:val="single" w:sz="4" w:space="0" w:color="auto"/>
            </w:tcBorders>
            <w:vAlign w:val="center"/>
          </w:tcPr>
          <w:p w14:paraId="0597CE4B" w14:textId="77777777" w:rsidR="009A30E5" w:rsidRDefault="00953581">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厦门钨业</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2BD1D90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sz="4" w:space="0" w:color="auto"/>
              <w:left w:val="single" w:sz="4" w:space="0" w:color="auto"/>
              <w:bottom w:val="single" w:sz="4" w:space="0" w:color="auto"/>
              <w:right w:val="single" w:sz="4" w:space="0" w:color="auto"/>
            </w:tcBorders>
            <w:vAlign w:val="center"/>
          </w:tcPr>
          <w:p w14:paraId="2C7ED95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473.60</w:t>
            </w:r>
          </w:p>
        </w:tc>
        <w:tc>
          <w:tcPr>
            <w:tcW w:w="750" w:type="pct"/>
            <w:tcBorders>
              <w:top w:val="single" w:sz="4" w:space="0" w:color="auto"/>
              <w:left w:val="single" w:sz="4" w:space="0" w:color="auto"/>
              <w:bottom w:val="single" w:sz="4" w:space="0" w:color="auto"/>
              <w:right w:val="single" w:sz="4" w:space="0" w:color="auto"/>
            </w:tcBorders>
            <w:vAlign w:val="center"/>
          </w:tcPr>
          <w:p w14:paraId="1964167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0F183D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7940C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8B68F7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14:paraId="5EA9E5F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浦发银行</w:t>
            </w:r>
          </w:p>
        </w:tc>
        <w:tc>
          <w:tcPr>
            <w:tcW w:w="750" w:type="pct"/>
            <w:tcBorders>
              <w:top w:val="single" w:sz="4" w:space="0" w:color="auto"/>
              <w:left w:val="single" w:sz="4" w:space="0" w:color="auto"/>
              <w:bottom w:val="single" w:sz="4" w:space="0" w:color="auto"/>
              <w:right w:val="single" w:sz="4" w:space="0" w:color="auto"/>
            </w:tcBorders>
            <w:vAlign w:val="center"/>
          </w:tcPr>
          <w:p w14:paraId="36E962D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sz="4" w:space="0" w:color="auto"/>
              <w:left w:val="single" w:sz="4" w:space="0" w:color="auto"/>
              <w:bottom w:val="single" w:sz="4" w:space="0" w:color="auto"/>
              <w:right w:val="single" w:sz="4" w:space="0" w:color="auto"/>
            </w:tcBorders>
            <w:vAlign w:val="center"/>
          </w:tcPr>
          <w:p w14:paraId="3280DD7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423.20</w:t>
            </w:r>
          </w:p>
        </w:tc>
        <w:tc>
          <w:tcPr>
            <w:tcW w:w="750" w:type="pct"/>
            <w:tcBorders>
              <w:top w:val="single" w:sz="4" w:space="0" w:color="auto"/>
              <w:left w:val="single" w:sz="4" w:space="0" w:color="auto"/>
              <w:bottom w:val="single" w:sz="4" w:space="0" w:color="auto"/>
              <w:right w:val="single" w:sz="4" w:space="0" w:color="auto"/>
            </w:tcBorders>
            <w:vAlign w:val="center"/>
          </w:tcPr>
          <w:p w14:paraId="14BC190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0627AB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F1388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411785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601555</w:t>
            </w:r>
          </w:p>
        </w:tc>
        <w:tc>
          <w:tcPr>
            <w:tcW w:w="750" w:type="pct"/>
            <w:tcBorders>
              <w:top w:val="single" w:sz="4" w:space="0" w:color="auto"/>
              <w:left w:val="single" w:sz="4" w:space="0" w:color="auto"/>
              <w:bottom w:val="single" w:sz="4" w:space="0" w:color="auto"/>
              <w:right w:val="single" w:sz="4" w:space="0" w:color="auto"/>
            </w:tcBorders>
            <w:vAlign w:val="center"/>
          </w:tcPr>
          <w:p w14:paraId="3D4191E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东吴证券</w:t>
            </w:r>
          </w:p>
        </w:tc>
        <w:tc>
          <w:tcPr>
            <w:tcW w:w="750" w:type="pct"/>
            <w:tcBorders>
              <w:top w:val="single" w:sz="4" w:space="0" w:color="auto"/>
              <w:left w:val="single" w:sz="4" w:space="0" w:color="auto"/>
              <w:bottom w:val="single" w:sz="4" w:space="0" w:color="auto"/>
              <w:right w:val="single" w:sz="4" w:space="0" w:color="auto"/>
            </w:tcBorders>
            <w:vAlign w:val="center"/>
          </w:tcPr>
          <w:p w14:paraId="1786C93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50</w:t>
            </w:r>
          </w:p>
        </w:tc>
        <w:tc>
          <w:tcPr>
            <w:tcW w:w="750" w:type="pct"/>
            <w:tcBorders>
              <w:top w:val="single" w:sz="4" w:space="0" w:color="auto"/>
              <w:left w:val="single" w:sz="4" w:space="0" w:color="auto"/>
              <w:bottom w:val="single" w:sz="4" w:space="0" w:color="auto"/>
              <w:right w:val="single" w:sz="4" w:space="0" w:color="auto"/>
            </w:tcBorders>
            <w:vAlign w:val="center"/>
          </w:tcPr>
          <w:p w14:paraId="28E15630"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408.00</w:t>
            </w:r>
          </w:p>
        </w:tc>
        <w:tc>
          <w:tcPr>
            <w:tcW w:w="750" w:type="pct"/>
            <w:tcBorders>
              <w:top w:val="single" w:sz="4" w:space="0" w:color="auto"/>
              <w:left w:val="single" w:sz="4" w:space="0" w:color="auto"/>
              <w:bottom w:val="single" w:sz="4" w:space="0" w:color="auto"/>
              <w:right w:val="single" w:sz="4" w:space="0" w:color="auto"/>
            </w:tcBorders>
            <w:vAlign w:val="center"/>
          </w:tcPr>
          <w:p w14:paraId="67B42CCD"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09977A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EF522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A3014F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601200</w:t>
            </w:r>
          </w:p>
        </w:tc>
        <w:tc>
          <w:tcPr>
            <w:tcW w:w="750" w:type="pct"/>
            <w:tcBorders>
              <w:top w:val="single" w:sz="4" w:space="0" w:color="auto"/>
              <w:left w:val="single" w:sz="4" w:space="0" w:color="auto"/>
              <w:bottom w:val="single" w:sz="4" w:space="0" w:color="auto"/>
              <w:right w:val="single" w:sz="4" w:space="0" w:color="auto"/>
            </w:tcBorders>
            <w:vAlign w:val="center"/>
          </w:tcPr>
          <w:p w14:paraId="71A0027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上海环境</w:t>
            </w:r>
          </w:p>
        </w:tc>
        <w:tc>
          <w:tcPr>
            <w:tcW w:w="750" w:type="pct"/>
            <w:tcBorders>
              <w:top w:val="single" w:sz="4" w:space="0" w:color="auto"/>
              <w:left w:val="single" w:sz="4" w:space="0" w:color="auto"/>
              <w:bottom w:val="single" w:sz="4" w:space="0" w:color="auto"/>
              <w:right w:val="single" w:sz="4" w:space="0" w:color="auto"/>
            </w:tcBorders>
            <w:vAlign w:val="center"/>
          </w:tcPr>
          <w:p w14:paraId="228A9F4A"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3B0DA5A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312.00</w:t>
            </w:r>
          </w:p>
        </w:tc>
        <w:tc>
          <w:tcPr>
            <w:tcW w:w="750" w:type="pct"/>
            <w:tcBorders>
              <w:top w:val="single" w:sz="4" w:space="0" w:color="auto"/>
              <w:left w:val="single" w:sz="4" w:space="0" w:color="auto"/>
              <w:bottom w:val="single" w:sz="4" w:space="0" w:color="auto"/>
              <w:right w:val="single" w:sz="4" w:space="0" w:color="auto"/>
            </w:tcBorders>
            <w:vAlign w:val="center"/>
          </w:tcPr>
          <w:p w14:paraId="15982A3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05CDC4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4A601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7554E5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600089</w:t>
            </w:r>
          </w:p>
        </w:tc>
        <w:tc>
          <w:tcPr>
            <w:tcW w:w="750" w:type="pct"/>
            <w:tcBorders>
              <w:top w:val="single" w:sz="4" w:space="0" w:color="auto"/>
              <w:left w:val="single" w:sz="4" w:space="0" w:color="auto"/>
              <w:bottom w:val="single" w:sz="4" w:space="0" w:color="auto"/>
              <w:right w:val="single" w:sz="4" w:space="0" w:color="auto"/>
            </w:tcBorders>
            <w:vAlign w:val="center"/>
          </w:tcPr>
          <w:p w14:paraId="0EAC10D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特变电工</w:t>
            </w:r>
          </w:p>
        </w:tc>
        <w:tc>
          <w:tcPr>
            <w:tcW w:w="750" w:type="pct"/>
            <w:tcBorders>
              <w:top w:val="single" w:sz="4" w:space="0" w:color="auto"/>
              <w:left w:val="single" w:sz="4" w:space="0" w:color="auto"/>
              <w:bottom w:val="single" w:sz="4" w:space="0" w:color="auto"/>
              <w:right w:val="single" w:sz="4" w:space="0" w:color="auto"/>
            </w:tcBorders>
            <w:vAlign w:val="center"/>
          </w:tcPr>
          <w:p w14:paraId="7A0FC845"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sz="4" w:space="0" w:color="auto"/>
              <w:left w:val="single" w:sz="4" w:space="0" w:color="auto"/>
              <w:bottom w:val="single" w:sz="4" w:space="0" w:color="auto"/>
              <w:right w:val="single" w:sz="4" w:space="0" w:color="auto"/>
            </w:tcBorders>
            <w:vAlign w:val="center"/>
          </w:tcPr>
          <w:p w14:paraId="4A83050A"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297.88</w:t>
            </w:r>
          </w:p>
        </w:tc>
        <w:tc>
          <w:tcPr>
            <w:tcW w:w="750" w:type="pct"/>
            <w:tcBorders>
              <w:top w:val="single" w:sz="4" w:space="0" w:color="auto"/>
              <w:left w:val="single" w:sz="4" w:space="0" w:color="auto"/>
              <w:bottom w:val="single" w:sz="4" w:space="0" w:color="auto"/>
              <w:right w:val="single" w:sz="4" w:space="0" w:color="auto"/>
            </w:tcBorders>
            <w:vAlign w:val="center"/>
          </w:tcPr>
          <w:p w14:paraId="1F6521C8"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697988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FD3F9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B7C407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601668</w:t>
            </w:r>
          </w:p>
        </w:tc>
        <w:tc>
          <w:tcPr>
            <w:tcW w:w="750" w:type="pct"/>
            <w:tcBorders>
              <w:top w:val="single" w:sz="4" w:space="0" w:color="auto"/>
              <w:left w:val="single" w:sz="4" w:space="0" w:color="auto"/>
              <w:bottom w:val="single" w:sz="4" w:space="0" w:color="auto"/>
              <w:right w:val="single" w:sz="4" w:space="0" w:color="auto"/>
            </w:tcBorders>
            <w:vAlign w:val="center"/>
          </w:tcPr>
          <w:p w14:paraId="58C113A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中国建筑</w:t>
            </w:r>
          </w:p>
        </w:tc>
        <w:tc>
          <w:tcPr>
            <w:tcW w:w="750" w:type="pct"/>
            <w:tcBorders>
              <w:top w:val="single" w:sz="4" w:space="0" w:color="auto"/>
              <w:left w:val="single" w:sz="4" w:space="0" w:color="auto"/>
              <w:bottom w:val="single" w:sz="4" w:space="0" w:color="auto"/>
              <w:right w:val="single" w:sz="4" w:space="0" w:color="auto"/>
            </w:tcBorders>
            <w:vAlign w:val="center"/>
          </w:tcPr>
          <w:p w14:paraId="021CD1E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26AC6C26"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95.40</w:t>
            </w:r>
          </w:p>
        </w:tc>
        <w:tc>
          <w:tcPr>
            <w:tcW w:w="750" w:type="pct"/>
            <w:tcBorders>
              <w:top w:val="single" w:sz="4" w:space="0" w:color="auto"/>
              <w:left w:val="single" w:sz="4" w:space="0" w:color="auto"/>
              <w:bottom w:val="single" w:sz="4" w:space="0" w:color="auto"/>
              <w:right w:val="single" w:sz="4" w:space="0" w:color="auto"/>
            </w:tcBorders>
            <w:vAlign w:val="center"/>
          </w:tcPr>
          <w:p w14:paraId="3FBDA54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60C3F5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88BAE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677392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600177</w:t>
            </w:r>
          </w:p>
        </w:tc>
        <w:tc>
          <w:tcPr>
            <w:tcW w:w="750" w:type="pct"/>
            <w:tcBorders>
              <w:top w:val="single" w:sz="4" w:space="0" w:color="auto"/>
              <w:left w:val="single" w:sz="4" w:space="0" w:color="auto"/>
              <w:bottom w:val="single" w:sz="4" w:space="0" w:color="auto"/>
              <w:right w:val="single" w:sz="4" w:space="0" w:color="auto"/>
            </w:tcBorders>
            <w:vAlign w:val="center"/>
          </w:tcPr>
          <w:p w14:paraId="56D9B74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雅戈尔</w:t>
            </w:r>
          </w:p>
        </w:tc>
        <w:tc>
          <w:tcPr>
            <w:tcW w:w="750" w:type="pct"/>
            <w:tcBorders>
              <w:top w:val="single" w:sz="4" w:space="0" w:color="auto"/>
              <w:left w:val="single" w:sz="4" w:space="0" w:color="auto"/>
              <w:bottom w:val="single" w:sz="4" w:space="0" w:color="auto"/>
              <w:right w:val="single" w:sz="4" w:space="0" w:color="auto"/>
            </w:tcBorders>
            <w:vAlign w:val="center"/>
          </w:tcPr>
          <w:p w14:paraId="7959450E"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0BB2C9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95.36</w:t>
            </w:r>
          </w:p>
        </w:tc>
        <w:tc>
          <w:tcPr>
            <w:tcW w:w="750" w:type="pct"/>
            <w:tcBorders>
              <w:top w:val="single" w:sz="4" w:space="0" w:color="auto"/>
              <w:left w:val="single" w:sz="4" w:space="0" w:color="auto"/>
              <w:bottom w:val="single" w:sz="4" w:space="0" w:color="auto"/>
              <w:right w:val="single" w:sz="4" w:space="0" w:color="auto"/>
            </w:tcBorders>
            <w:vAlign w:val="center"/>
          </w:tcPr>
          <w:p w14:paraId="57AB46B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A30E5" w14:paraId="30B326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AA48F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7BEB9D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600153</w:t>
            </w:r>
          </w:p>
        </w:tc>
        <w:tc>
          <w:tcPr>
            <w:tcW w:w="750" w:type="pct"/>
            <w:tcBorders>
              <w:top w:val="single" w:sz="4" w:space="0" w:color="auto"/>
              <w:left w:val="single" w:sz="4" w:space="0" w:color="auto"/>
              <w:bottom w:val="single" w:sz="4" w:space="0" w:color="auto"/>
              <w:right w:val="single" w:sz="4" w:space="0" w:color="auto"/>
            </w:tcBorders>
            <w:vAlign w:val="center"/>
          </w:tcPr>
          <w:p w14:paraId="0AEC8C8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建发股份</w:t>
            </w:r>
          </w:p>
        </w:tc>
        <w:tc>
          <w:tcPr>
            <w:tcW w:w="750" w:type="pct"/>
            <w:tcBorders>
              <w:top w:val="single" w:sz="4" w:space="0" w:color="auto"/>
              <w:left w:val="single" w:sz="4" w:space="0" w:color="auto"/>
              <w:bottom w:val="single" w:sz="4" w:space="0" w:color="auto"/>
              <w:right w:val="single" w:sz="4" w:space="0" w:color="auto"/>
            </w:tcBorders>
            <w:vAlign w:val="center"/>
          </w:tcPr>
          <w:p w14:paraId="2FD8EB7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FCD2F4F"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81.00</w:t>
            </w:r>
          </w:p>
        </w:tc>
        <w:tc>
          <w:tcPr>
            <w:tcW w:w="750" w:type="pct"/>
            <w:tcBorders>
              <w:top w:val="single" w:sz="4" w:space="0" w:color="auto"/>
              <w:left w:val="single" w:sz="4" w:space="0" w:color="auto"/>
              <w:bottom w:val="single" w:sz="4" w:space="0" w:color="auto"/>
              <w:right w:val="single" w:sz="4" w:space="0" w:color="auto"/>
            </w:tcBorders>
            <w:vAlign w:val="center"/>
          </w:tcPr>
          <w:p w14:paraId="6D9CBAB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14:paraId="63C8272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14:paraId="1091E55F" w14:textId="77777777" w:rsidR="009A30E5" w:rsidRDefault="00953581">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A30E5" w14:paraId="18C642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1932D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09BF7CC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vAlign w:val="center"/>
          </w:tcPr>
          <w:p w14:paraId="1223AE8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7DEA18C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9A30E5" w14:paraId="289198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E17F0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DD3559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3F8722C0"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E4CEFA0"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4813AD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9CFBF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57B689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2A67EFFA"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06E071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2F1C90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EDB94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BEA7884"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6D1E4CF9"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sz="4" w:space="0" w:color="auto"/>
              <w:left w:val="single" w:sz="4" w:space="0" w:color="auto"/>
              <w:bottom w:val="single" w:sz="4" w:space="0" w:color="auto"/>
              <w:right w:val="single" w:sz="4" w:space="0" w:color="auto"/>
            </w:tcBorders>
            <w:vAlign w:val="center"/>
          </w:tcPr>
          <w:p w14:paraId="3E7BD16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rsidR="009A30E5" w14:paraId="4B2EE9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D5723B" w14:textId="77777777" w:rsidR="009A30E5" w:rsidRDefault="009A30E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88C42F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57F299A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sz="4" w:space="0" w:color="auto"/>
              <w:left w:val="single" w:sz="4" w:space="0" w:color="auto"/>
              <w:bottom w:val="single" w:sz="4" w:space="0" w:color="auto"/>
              <w:right w:val="single" w:sz="4" w:space="0" w:color="auto"/>
            </w:tcBorders>
            <w:vAlign w:val="center"/>
          </w:tcPr>
          <w:p w14:paraId="10FCBEC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rsidR="009A30E5" w14:paraId="45E469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B9EE9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503F89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7464A6D9"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461C58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72541B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A84F7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1FE682B"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77EF19D3"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ABEBC8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53C17D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A84E0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6C5987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3575E83D"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75B470D"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25BF60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064D5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9D1FC7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77CE3BD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DDB6BB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619BE3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E26054"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14:paraId="3C965B9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F44B15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953DEE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5FD7FE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81973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A92CB1B"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1C86B882"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76103B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43D64C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4128B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AC434BF"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42860D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sz="4" w:space="0" w:color="auto"/>
              <w:left w:val="single" w:sz="4" w:space="0" w:color="auto"/>
              <w:bottom w:val="single" w:sz="4" w:space="0" w:color="auto"/>
              <w:right w:val="single" w:sz="4" w:space="0" w:color="auto"/>
            </w:tcBorders>
            <w:vAlign w:val="center"/>
          </w:tcPr>
          <w:p w14:paraId="1C17459D"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bl>
    <w:p w14:paraId="0F2FD15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14:paraId="387F72F7" w14:textId="77777777" w:rsidR="009A30E5" w:rsidRDefault="00953581">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9A30E5" w14:paraId="117A92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6A3E9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2EF8D3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vAlign w:val="center"/>
          </w:tcPr>
          <w:p w14:paraId="1B09E5A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vAlign w:val="center"/>
          </w:tcPr>
          <w:p w14:paraId="65BB191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vAlign w:val="center"/>
          </w:tcPr>
          <w:p w14:paraId="55BF869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F9C126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9A30E5" w14:paraId="50AB4F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650B9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D7B3F8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018007</w:t>
            </w:r>
          </w:p>
        </w:tc>
        <w:tc>
          <w:tcPr>
            <w:tcW w:w="750" w:type="pct"/>
            <w:tcBorders>
              <w:top w:val="single" w:sz="4" w:space="0" w:color="auto"/>
              <w:left w:val="single" w:sz="4" w:space="0" w:color="auto"/>
              <w:bottom w:val="single" w:sz="4" w:space="0" w:color="auto"/>
              <w:right w:val="single" w:sz="4" w:space="0" w:color="auto"/>
            </w:tcBorders>
            <w:vAlign w:val="center"/>
          </w:tcPr>
          <w:p w14:paraId="4C401DE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国开</w:t>
            </w:r>
            <w:r>
              <w:rPr>
                <w:rFonts w:ascii="Times New Roman" w:hAnsi="Times New Roman"/>
                <w:color w:val="000000"/>
                <w:kern w:val="0"/>
                <w:sz w:val="25"/>
                <w:szCs w:val="24"/>
              </w:rPr>
              <w:t>1801</w:t>
            </w:r>
          </w:p>
        </w:tc>
        <w:tc>
          <w:tcPr>
            <w:tcW w:w="750" w:type="pct"/>
            <w:tcBorders>
              <w:top w:val="single" w:sz="4" w:space="0" w:color="auto"/>
              <w:left w:val="single" w:sz="4" w:space="0" w:color="auto"/>
              <w:bottom w:val="single" w:sz="4" w:space="0" w:color="auto"/>
              <w:right w:val="single" w:sz="4" w:space="0" w:color="auto"/>
            </w:tcBorders>
            <w:vAlign w:val="center"/>
          </w:tcPr>
          <w:p w14:paraId="52C882FB"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14,930</w:t>
            </w:r>
          </w:p>
        </w:tc>
        <w:tc>
          <w:tcPr>
            <w:tcW w:w="750" w:type="pct"/>
            <w:tcBorders>
              <w:top w:val="single" w:sz="4" w:space="0" w:color="auto"/>
              <w:left w:val="single" w:sz="4" w:space="0" w:color="auto"/>
              <w:bottom w:val="single" w:sz="4" w:space="0" w:color="auto"/>
              <w:right w:val="single" w:sz="4" w:space="0" w:color="auto"/>
            </w:tcBorders>
            <w:vAlign w:val="center"/>
          </w:tcPr>
          <w:p w14:paraId="7155C36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750" w:type="pct"/>
            <w:tcBorders>
              <w:top w:val="single" w:sz="4" w:space="0" w:color="auto"/>
              <w:left w:val="single" w:sz="4" w:space="0" w:color="auto"/>
              <w:bottom w:val="single" w:sz="4" w:space="0" w:color="auto"/>
              <w:right w:val="single" w:sz="4" w:space="0" w:color="auto"/>
            </w:tcBorders>
            <w:vAlign w:val="center"/>
          </w:tcPr>
          <w:p w14:paraId="0235452C"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bl>
    <w:p w14:paraId="572402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、报告期末按公允价值占基金资产净值比例大小排序的前十名资产支持证券投资明细</w:t>
      </w:r>
    </w:p>
    <w:p w14:paraId="1B77DC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14:paraId="606210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报告期末按公允价值占基金资产净值比例大小排序的前五名贵金属投资明细</w:t>
      </w:r>
    </w:p>
    <w:p w14:paraId="2D11EB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14:paraId="23837C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报告期末按公允价值占基金资产净值比例大小排序的前五名权证投资明细</w:t>
      </w:r>
    </w:p>
    <w:p w14:paraId="06411C1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14:paraId="0ADFEE4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、报告期末本基金投资的股指期货交易情况说明</w:t>
      </w:r>
    </w:p>
    <w:p w14:paraId="4BC51C0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14:paraId="63D0B9D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、报告期末本基金投资的国债期货交易情况说明</w:t>
      </w:r>
    </w:p>
    <w:p w14:paraId="597564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14:paraId="078F6B0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、投资组合报告附注</w:t>
      </w:r>
    </w:p>
    <w:p w14:paraId="240AD7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4F0758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12.2</w:t>
      </w:r>
      <w:r>
        <w:rPr>
          <w:rFonts w:ascii="Times New Roman" w:hAnsi="Times New Roman"/>
          <w:sz w:val="24"/>
        </w:rPr>
        <w:t>本基金投资的前十名股票中，没有超出基金合同规定的备选股票库之外的股票。</w:t>
      </w:r>
    </w:p>
    <w:p w14:paraId="67DD06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12.3</w:t>
      </w:r>
      <w:r>
        <w:rPr>
          <w:rFonts w:ascii="Times New Roman" w:hAnsi="Times New Roman"/>
          <w:sz w:val="24"/>
        </w:rPr>
        <w:t>其他资产构成</w:t>
      </w:r>
    </w:p>
    <w:p w14:paraId="25483D40" w14:textId="77777777" w:rsidR="009A30E5" w:rsidRDefault="00953581">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9A30E5" w14:paraId="3AF1E5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62825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12EFF0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14:paraId="62FA649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9A30E5" w14:paraId="62ADA9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08AC8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0CEA6F6"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12E7D39B"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18,693.19</w:t>
            </w:r>
          </w:p>
        </w:tc>
      </w:tr>
      <w:tr w:rsidR="009A30E5" w14:paraId="79F5FB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4DFC5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9D79397"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1E45E1D9"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4DDE6E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ADFF6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A2C548E"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41B4BDB4"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1997D4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3CED0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15E206C"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730ECB3D"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50,666.42</w:t>
            </w:r>
          </w:p>
        </w:tc>
      </w:tr>
      <w:tr w:rsidR="009A30E5" w14:paraId="60C7FD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C3F21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5</w:t>
            </w:r>
          </w:p>
        </w:tc>
        <w:tc>
          <w:tcPr>
            <w:tcW w:w="750" w:type="pct"/>
            <w:tcBorders>
              <w:top w:val="single" w:sz="4" w:space="0" w:color="auto"/>
              <w:left w:val="single" w:sz="4" w:space="0" w:color="auto"/>
              <w:bottom w:val="single" w:sz="4" w:space="0" w:color="auto"/>
              <w:right w:val="single" w:sz="4" w:space="0" w:color="auto"/>
            </w:tcBorders>
            <w:vAlign w:val="center"/>
          </w:tcPr>
          <w:p w14:paraId="282AFD2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143F7068"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104,804.88</w:t>
            </w:r>
          </w:p>
        </w:tc>
      </w:tr>
      <w:tr w:rsidR="009A30E5" w14:paraId="642B43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44C40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022141F"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266AA43B"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0691FE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C5835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64C479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276270E6"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1DF7F4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E1F62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CACE83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7055931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A30E5" w14:paraId="795346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6BC01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CB6352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55214B51" w14:textId="77777777" w:rsidR="009A30E5" w:rsidRDefault="00953581">
            <w:pPr>
              <w:widowControl/>
              <w:snapToGrid w:val="0"/>
              <w:jc w:val="right"/>
              <w:rPr>
                <w:rFonts w:ascii="宋体" w:hAnsi="宋体"/>
                <w:color w:val="000000"/>
                <w:kern w:val="0"/>
                <w:sz w:val="25"/>
                <w:szCs w:val="24"/>
              </w:rPr>
            </w:pPr>
            <w:r>
              <w:rPr>
                <w:rFonts w:ascii="Times New Roman" w:hAnsi="Times New Roman"/>
                <w:color w:val="000000"/>
                <w:kern w:val="0"/>
                <w:sz w:val="25"/>
                <w:szCs w:val="24"/>
              </w:rPr>
              <w:t>174,164.49</w:t>
            </w:r>
          </w:p>
        </w:tc>
      </w:tr>
    </w:tbl>
    <w:p w14:paraId="0AD11C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12.4</w:t>
      </w:r>
      <w:r>
        <w:rPr>
          <w:rFonts w:ascii="Times New Roman" w:hAnsi="Times New Roman"/>
          <w:sz w:val="24"/>
        </w:rPr>
        <w:t>报告期末持有的处于转股期的可转换债券明细</w:t>
      </w:r>
    </w:p>
    <w:p w14:paraId="133164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14:paraId="68F9956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12.5</w:t>
      </w:r>
      <w:r>
        <w:rPr>
          <w:rFonts w:ascii="Times New Roman" w:hAnsi="Times New Roman"/>
          <w:sz w:val="24"/>
        </w:rPr>
        <w:t>报告</w:t>
      </w:r>
      <w:proofErr w:type="gramStart"/>
      <w:r>
        <w:rPr>
          <w:rFonts w:ascii="Times New Roman" w:hAnsi="Times New Roman"/>
          <w:sz w:val="24"/>
        </w:rPr>
        <w:t>期末前</w:t>
      </w:r>
      <w:proofErr w:type="gramEnd"/>
      <w:r>
        <w:rPr>
          <w:rFonts w:ascii="Times New Roman" w:hAnsi="Times New Roman"/>
          <w:sz w:val="24"/>
        </w:rPr>
        <w:t>十名股票中存在流通受限情况的说明</w:t>
      </w:r>
    </w:p>
    <w:p w14:paraId="49E4E72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w:t>
      </w:r>
      <w:proofErr w:type="gramStart"/>
      <w:r>
        <w:rPr>
          <w:rFonts w:ascii="Times New Roman" w:hAnsi="Times New Roman"/>
          <w:sz w:val="24"/>
        </w:rPr>
        <w:t>期末前</w:t>
      </w:r>
      <w:proofErr w:type="gramEnd"/>
      <w:r>
        <w:rPr>
          <w:rFonts w:ascii="Times New Roman" w:hAnsi="Times New Roman"/>
          <w:sz w:val="24"/>
        </w:rPr>
        <w:t>十名股票中不存在流通受限情况。</w:t>
      </w:r>
    </w:p>
    <w:p w14:paraId="6D83D9F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12.6</w:t>
      </w:r>
      <w:r>
        <w:rPr>
          <w:rFonts w:ascii="Times New Roman" w:hAnsi="Times New Roman"/>
          <w:sz w:val="24"/>
        </w:rPr>
        <w:t>投资组合报告附注的其他文字描述部分</w:t>
      </w:r>
    </w:p>
    <w:p w14:paraId="764DD80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14:paraId="23659C20"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C233CCA" w14:textId="77777777" w:rsidR="009A30E5" w:rsidRDefault="00953581">
      <w:pPr>
        <w:pStyle w:val="1"/>
        <w:snapToGrid w:val="0"/>
        <w:spacing w:beforeLines="0" w:before="240" w:after="240"/>
        <w:rPr>
          <w:rFonts w:ascii="宋体" w:hAnsi="宋体"/>
          <w:szCs w:val="30"/>
        </w:rPr>
      </w:pPr>
      <w:bookmarkStart w:id="13" w:name="_Toc59040206"/>
      <w:r>
        <w:rPr>
          <w:rFonts w:ascii="Times New Roman" w:hAnsi="Times New Roman"/>
          <w:sz w:val="30"/>
        </w:rPr>
        <w:lastRenderedPageBreak/>
        <w:t>十一、基金的业绩</w:t>
      </w:r>
      <w:bookmarkEnd w:id="13"/>
    </w:p>
    <w:p w14:paraId="3EDFB79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2793347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555152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9A30E5" w14:paraId="58D84F6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BE8800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1183A20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01EA823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1C93266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434A81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0320679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0D322C4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9A30E5" w14:paraId="0CC0F1A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D6BA73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25FB7E84"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5.56%</w:t>
            </w:r>
          </w:p>
        </w:tc>
        <w:tc>
          <w:tcPr>
            <w:tcW w:w="750" w:type="pct"/>
            <w:tcBorders>
              <w:top w:val="single" w:sz="4" w:space="0" w:color="auto"/>
              <w:left w:val="single" w:sz="4" w:space="0" w:color="auto"/>
              <w:bottom w:val="single" w:sz="4" w:space="0" w:color="auto"/>
              <w:right w:val="single" w:sz="4" w:space="0" w:color="auto"/>
            </w:tcBorders>
            <w:vAlign w:val="center"/>
          </w:tcPr>
          <w:p w14:paraId="3C31600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14:paraId="4D3CB5D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2.41%</w:t>
            </w:r>
          </w:p>
        </w:tc>
        <w:tc>
          <w:tcPr>
            <w:tcW w:w="750" w:type="pct"/>
            <w:tcBorders>
              <w:top w:val="single" w:sz="4" w:space="0" w:color="auto"/>
              <w:left w:val="single" w:sz="4" w:space="0" w:color="auto"/>
              <w:bottom w:val="single" w:sz="4" w:space="0" w:color="auto"/>
              <w:right w:val="single" w:sz="4" w:space="0" w:color="auto"/>
            </w:tcBorders>
            <w:vAlign w:val="center"/>
          </w:tcPr>
          <w:p w14:paraId="2D19E5A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14:paraId="558B457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3.15%</w:t>
            </w:r>
          </w:p>
        </w:tc>
        <w:tc>
          <w:tcPr>
            <w:tcW w:w="750" w:type="pct"/>
            <w:tcBorders>
              <w:top w:val="single" w:sz="4" w:space="0" w:color="auto"/>
              <w:left w:val="single" w:sz="4" w:space="0" w:color="auto"/>
              <w:bottom w:val="single" w:sz="4" w:space="0" w:color="auto"/>
              <w:right w:val="single" w:sz="4" w:space="0" w:color="auto"/>
            </w:tcBorders>
            <w:vAlign w:val="center"/>
          </w:tcPr>
          <w:p w14:paraId="5AF53A0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9A30E5" w14:paraId="4A59FAC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1040B0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7327160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-6.12%</w:t>
            </w:r>
          </w:p>
        </w:tc>
        <w:tc>
          <w:tcPr>
            <w:tcW w:w="750" w:type="pct"/>
            <w:tcBorders>
              <w:top w:val="single" w:sz="4" w:space="0" w:color="auto"/>
              <w:left w:val="single" w:sz="4" w:space="0" w:color="auto"/>
              <w:bottom w:val="single" w:sz="4" w:space="0" w:color="auto"/>
              <w:right w:val="single" w:sz="4" w:space="0" w:color="auto"/>
            </w:tcBorders>
            <w:vAlign w:val="center"/>
          </w:tcPr>
          <w:p w14:paraId="3D85F81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1.29%</w:t>
            </w:r>
          </w:p>
        </w:tc>
        <w:tc>
          <w:tcPr>
            <w:tcW w:w="750" w:type="pct"/>
            <w:tcBorders>
              <w:top w:val="single" w:sz="4" w:space="0" w:color="auto"/>
              <w:left w:val="single" w:sz="4" w:space="0" w:color="auto"/>
              <w:bottom w:val="single" w:sz="4" w:space="0" w:color="auto"/>
              <w:right w:val="single" w:sz="4" w:space="0" w:color="auto"/>
            </w:tcBorders>
            <w:vAlign w:val="center"/>
          </w:tcPr>
          <w:p w14:paraId="578C796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-10.32%</w:t>
            </w:r>
          </w:p>
        </w:tc>
        <w:tc>
          <w:tcPr>
            <w:tcW w:w="750" w:type="pct"/>
            <w:tcBorders>
              <w:top w:val="single" w:sz="4" w:space="0" w:color="auto"/>
              <w:left w:val="single" w:sz="4" w:space="0" w:color="auto"/>
              <w:bottom w:val="single" w:sz="4" w:space="0" w:color="auto"/>
              <w:right w:val="single" w:sz="4" w:space="0" w:color="auto"/>
            </w:tcBorders>
            <w:vAlign w:val="center"/>
          </w:tcPr>
          <w:p w14:paraId="431B455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w:t>
            </w:r>
          </w:p>
        </w:tc>
        <w:tc>
          <w:tcPr>
            <w:tcW w:w="750" w:type="pct"/>
            <w:tcBorders>
              <w:top w:val="single" w:sz="4" w:space="0" w:color="auto"/>
              <w:left w:val="single" w:sz="4" w:space="0" w:color="auto"/>
              <w:bottom w:val="single" w:sz="4" w:space="0" w:color="auto"/>
              <w:right w:val="single" w:sz="4" w:space="0" w:color="auto"/>
            </w:tcBorders>
            <w:vAlign w:val="center"/>
          </w:tcPr>
          <w:p w14:paraId="083F959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4.20%</w:t>
            </w:r>
          </w:p>
        </w:tc>
        <w:tc>
          <w:tcPr>
            <w:tcW w:w="750" w:type="pct"/>
            <w:tcBorders>
              <w:top w:val="single" w:sz="4" w:space="0" w:color="auto"/>
              <w:left w:val="single" w:sz="4" w:space="0" w:color="auto"/>
              <w:bottom w:val="single" w:sz="4" w:space="0" w:color="auto"/>
              <w:right w:val="single" w:sz="4" w:space="0" w:color="auto"/>
            </w:tcBorders>
            <w:vAlign w:val="center"/>
          </w:tcPr>
          <w:p w14:paraId="0A5A6ED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9A30E5" w14:paraId="02149C7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8F7711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7BBAC9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24.98%</w:t>
            </w:r>
          </w:p>
        </w:tc>
        <w:tc>
          <w:tcPr>
            <w:tcW w:w="750" w:type="pct"/>
            <w:tcBorders>
              <w:top w:val="single" w:sz="4" w:space="0" w:color="auto"/>
              <w:left w:val="single" w:sz="4" w:space="0" w:color="auto"/>
              <w:bottom w:val="single" w:sz="4" w:space="0" w:color="auto"/>
              <w:right w:val="single" w:sz="4" w:space="0" w:color="auto"/>
            </w:tcBorders>
            <w:vAlign w:val="center"/>
          </w:tcPr>
          <w:p w14:paraId="05DA1B1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14:paraId="1B4D23B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20.71%</w:t>
            </w:r>
          </w:p>
        </w:tc>
        <w:tc>
          <w:tcPr>
            <w:tcW w:w="750" w:type="pct"/>
            <w:tcBorders>
              <w:top w:val="single" w:sz="4" w:space="0" w:color="auto"/>
              <w:left w:val="single" w:sz="4" w:space="0" w:color="auto"/>
              <w:bottom w:val="single" w:sz="4" w:space="0" w:color="auto"/>
              <w:right w:val="single" w:sz="4" w:space="0" w:color="auto"/>
            </w:tcBorders>
            <w:vAlign w:val="center"/>
          </w:tcPr>
          <w:p w14:paraId="795FA9F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14:paraId="6609944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4.27%</w:t>
            </w:r>
          </w:p>
        </w:tc>
        <w:tc>
          <w:tcPr>
            <w:tcW w:w="750" w:type="pct"/>
            <w:tcBorders>
              <w:top w:val="single" w:sz="4" w:space="0" w:color="auto"/>
              <w:left w:val="single" w:sz="4" w:space="0" w:color="auto"/>
              <w:bottom w:val="single" w:sz="4" w:space="0" w:color="auto"/>
              <w:right w:val="single" w:sz="4" w:space="0" w:color="auto"/>
            </w:tcBorders>
            <w:vAlign w:val="center"/>
          </w:tcPr>
          <w:p w14:paraId="188A05F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9A30E5" w14:paraId="79A7458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BC36E1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363B25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-18.24%</w:t>
            </w:r>
          </w:p>
        </w:tc>
        <w:tc>
          <w:tcPr>
            <w:tcW w:w="750" w:type="pct"/>
            <w:tcBorders>
              <w:top w:val="single" w:sz="4" w:space="0" w:color="auto"/>
              <w:left w:val="single" w:sz="4" w:space="0" w:color="auto"/>
              <w:bottom w:val="single" w:sz="4" w:space="0" w:color="auto"/>
              <w:right w:val="single" w:sz="4" w:space="0" w:color="auto"/>
            </w:tcBorders>
            <w:vAlign w:val="center"/>
          </w:tcPr>
          <w:p w14:paraId="62BE7F5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14:paraId="4126FE9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-19.65%</w:t>
            </w:r>
          </w:p>
        </w:tc>
        <w:tc>
          <w:tcPr>
            <w:tcW w:w="750" w:type="pct"/>
            <w:tcBorders>
              <w:top w:val="single" w:sz="4" w:space="0" w:color="auto"/>
              <w:left w:val="single" w:sz="4" w:space="0" w:color="auto"/>
              <w:bottom w:val="single" w:sz="4" w:space="0" w:color="auto"/>
              <w:right w:val="single" w:sz="4" w:space="0" w:color="auto"/>
            </w:tcBorders>
            <w:vAlign w:val="center"/>
          </w:tcPr>
          <w:p w14:paraId="1002FC7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14:paraId="5D9B5D5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sz="4" w:space="0" w:color="auto"/>
              <w:left w:val="single" w:sz="4" w:space="0" w:color="auto"/>
              <w:bottom w:val="single" w:sz="4" w:space="0" w:color="auto"/>
              <w:right w:val="single" w:sz="4" w:space="0" w:color="auto"/>
            </w:tcBorders>
            <w:vAlign w:val="center"/>
          </w:tcPr>
          <w:p w14:paraId="2C5951E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9A30E5" w14:paraId="5F0C923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1236AF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6CB699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21.52%</w:t>
            </w:r>
          </w:p>
        </w:tc>
        <w:tc>
          <w:tcPr>
            <w:tcW w:w="750" w:type="pct"/>
            <w:tcBorders>
              <w:top w:val="single" w:sz="4" w:space="0" w:color="auto"/>
              <w:left w:val="single" w:sz="4" w:space="0" w:color="auto"/>
              <w:bottom w:val="single" w:sz="4" w:space="0" w:color="auto"/>
              <w:right w:val="single" w:sz="4" w:space="0" w:color="auto"/>
            </w:tcBorders>
            <w:vAlign w:val="center"/>
          </w:tcPr>
          <w:p w14:paraId="249F646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14:paraId="11DACDD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19.44%</w:t>
            </w:r>
          </w:p>
        </w:tc>
        <w:tc>
          <w:tcPr>
            <w:tcW w:w="750" w:type="pct"/>
            <w:tcBorders>
              <w:top w:val="single" w:sz="4" w:space="0" w:color="auto"/>
              <w:left w:val="single" w:sz="4" w:space="0" w:color="auto"/>
              <w:bottom w:val="single" w:sz="4" w:space="0" w:color="auto"/>
              <w:right w:val="single" w:sz="4" w:space="0" w:color="auto"/>
            </w:tcBorders>
            <w:vAlign w:val="center"/>
          </w:tcPr>
          <w:p w14:paraId="121824A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14:paraId="4341CE5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2.08%</w:t>
            </w:r>
          </w:p>
        </w:tc>
        <w:tc>
          <w:tcPr>
            <w:tcW w:w="750" w:type="pct"/>
            <w:tcBorders>
              <w:top w:val="single" w:sz="4" w:space="0" w:color="auto"/>
              <w:left w:val="single" w:sz="4" w:space="0" w:color="auto"/>
              <w:bottom w:val="single" w:sz="4" w:space="0" w:color="auto"/>
              <w:right w:val="single" w:sz="4" w:space="0" w:color="auto"/>
            </w:tcBorders>
            <w:vAlign w:val="center"/>
          </w:tcPr>
          <w:p w14:paraId="4E95ACA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9A30E5" w14:paraId="678E62C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51961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4F7582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-5.70%</w:t>
            </w:r>
          </w:p>
        </w:tc>
        <w:tc>
          <w:tcPr>
            <w:tcW w:w="750" w:type="pct"/>
            <w:tcBorders>
              <w:top w:val="single" w:sz="4" w:space="0" w:color="auto"/>
              <w:left w:val="single" w:sz="4" w:space="0" w:color="auto"/>
              <w:bottom w:val="single" w:sz="4" w:space="0" w:color="auto"/>
              <w:right w:val="single" w:sz="4" w:space="0" w:color="auto"/>
            </w:tcBorders>
            <w:vAlign w:val="center"/>
          </w:tcPr>
          <w:p w14:paraId="2FFDB6A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14:paraId="3355B8E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-7.85%</w:t>
            </w:r>
          </w:p>
        </w:tc>
        <w:tc>
          <w:tcPr>
            <w:tcW w:w="750" w:type="pct"/>
            <w:tcBorders>
              <w:top w:val="single" w:sz="4" w:space="0" w:color="auto"/>
              <w:left w:val="single" w:sz="4" w:space="0" w:color="auto"/>
              <w:bottom w:val="single" w:sz="4" w:space="0" w:color="auto"/>
              <w:right w:val="single" w:sz="4" w:space="0" w:color="auto"/>
            </w:tcBorders>
            <w:vAlign w:val="center"/>
          </w:tcPr>
          <w:p w14:paraId="7AA4512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14:paraId="0CC97AE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sz="4" w:space="0" w:color="auto"/>
              <w:left w:val="single" w:sz="4" w:space="0" w:color="auto"/>
              <w:bottom w:val="single" w:sz="4" w:space="0" w:color="auto"/>
              <w:right w:val="single" w:sz="4" w:space="0" w:color="auto"/>
            </w:tcBorders>
            <w:vAlign w:val="center"/>
          </w:tcPr>
          <w:p w14:paraId="287D3CB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9A30E5" w14:paraId="18C7096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6FB47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46B536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sz="4" w:space="0" w:color="auto"/>
              <w:left w:val="single" w:sz="4" w:space="0" w:color="auto"/>
              <w:bottom w:val="single" w:sz="4" w:space="0" w:color="auto"/>
              <w:right w:val="single" w:sz="4" w:space="0" w:color="auto"/>
            </w:tcBorders>
            <w:vAlign w:val="center"/>
          </w:tcPr>
          <w:p w14:paraId="646C9C1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sz="4" w:space="0" w:color="auto"/>
              <w:left w:val="single" w:sz="4" w:space="0" w:color="auto"/>
              <w:bottom w:val="single" w:sz="4" w:space="0" w:color="auto"/>
              <w:right w:val="single" w:sz="4" w:space="0" w:color="auto"/>
            </w:tcBorders>
            <w:vAlign w:val="center"/>
          </w:tcPr>
          <w:p w14:paraId="35AE201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-4.74%</w:t>
            </w:r>
          </w:p>
        </w:tc>
        <w:tc>
          <w:tcPr>
            <w:tcW w:w="750" w:type="pct"/>
            <w:tcBorders>
              <w:top w:val="single" w:sz="4" w:space="0" w:color="auto"/>
              <w:left w:val="single" w:sz="4" w:space="0" w:color="auto"/>
              <w:bottom w:val="single" w:sz="4" w:space="0" w:color="auto"/>
              <w:right w:val="single" w:sz="4" w:space="0" w:color="auto"/>
            </w:tcBorders>
            <w:vAlign w:val="center"/>
          </w:tcPr>
          <w:p w14:paraId="7411C92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2.41%</w:t>
            </w:r>
          </w:p>
        </w:tc>
        <w:tc>
          <w:tcPr>
            <w:tcW w:w="750" w:type="pct"/>
            <w:tcBorders>
              <w:top w:val="single" w:sz="4" w:space="0" w:color="auto"/>
              <w:left w:val="single" w:sz="4" w:space="0" w:color="auto"/>
              <w:bottom w:val="single" w:sz="4" w:space="0" w:color="auto"/>
              <w:right w:val="single" w:sz="4" w:space="0" w:color="auto"/>
            </w:tcBorders>
            <w:vAlign w:val="center"/>
          </w:tcPr>
          <w:p w14:paraId="695DC85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w:t>
            </w:r>
          </w:p>
        </w:tc>
        <w:tc>
          <w:tcPr>
            <w:tcW w:w="750" w:type="pct"/>
            <w:tcBorders>
              <w:top w:val="single" w:sz="4" w:space="0" w:color="auto"/>
              <w:left w:val="single" w:sz="4" w:space="0" w:color="auto"/>
              <w:bottom w:val="single" w:sz="4" w:space="0" w:color="auto"/>
              <w:right w:val="single" w:sz="4" w:space="0" w:color="auto"/>
            </w:tcBorders>
            <w:vAlign w:val="center"/>
          </w:tcPr>
          <w:p w14:paraId="4DDC557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-0.04%</w:t>
            </w:r>
          </w:p>
        </w:tc>
      </w:tr>
      <w:tr w:rsidR="009A30E5" w14:paraId="25447D2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6C15C9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0AA77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65.09%</w:t>
            </w:r>
          </w:p>
        </w:tc>
        <w:tc>
          <w:tcPr>
            <w:tcW w:w="750" w:type="pct"/>
            <w:tcBorders>
              <w:top w:val="single" w:sz="4" w:space="0" w:color="auto"/>
              <w:left w:val="single" w:sz="4" w:space="0" w:color="auto"/>
              <w:bottom w:val="single" w:sz="4" w:space="0" w:color="auto"/>
              <w:right w:val="single" w:sz="4" w:space="0" w:color="auto"/>
            </w:tcBorders>
            <w:vAlign w:val="center"/>
          </w:tcPr>
          <w:p w14:paraId="2AC81F9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14:paraId="5A70614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61.43%</w:t>
            </w:r>
          </w:p>
        </w:tc>
        <w:tc>
          <w:tcPr>
            <w:tcW w:w="750" w:type="pct"/>
            <w:tcBorders>
              <w:top w:val="single" w:sz="4" w:space="0" w:color="auto"/>
              <w:left w:val="single" w:sz="4" w:space="0" w:color="auto"/>
              <w:bottom w:val="single" w:sz="4" w:space="0" w:color="auto"/>
              <w:right w:val="single" w:sz="4" w:space="0" w:color="auto"/>
            </w:tcBorders>
            <w:vAlign w:val="center"/>
          </w:tcPr>
          <w:p w14:paraId="2451E6C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14:paraId="750FE47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3.66%</w:t>
            </w:r>
          </w:p>
        </w:tc>
        <w:tc>
          <w:tcPr>
            <w:tcW w:w="750" w:type="pct"/>
            <w:tcBorders>
              <w:top w:val="single" w:sz="4" w:space="0" w:color="auto"/>
              <w:left w:val="single" w:sz="4" w:space="0" w:color="auto"/>
              <w:bottom w:val="single" w:sz="4" w:space="0" w:color="auto"/>
              <w:right w:val="single" w:sz="4" w:space="0" w:color="auto"/>
            </w:tcBorders>
            <w:vAlign w:val="center"/>
          </w:tcPr>
          <w:p w14:paraId="7DBBB610"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9A30E5" w14:paraId="189C023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F80EB1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FC7F9F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-7.58%</w:t>
            </w:r>
          </w:p>
        </w:tc>
        <w:tc>
          <w:tcPr>
            <w:tcW w:w="750" w:type="pct"/>
            <w:tcBorders>
              <w:top w:val="single" w:sz="4" w:space="0" w:color="auto"/>
              <w:left w:val="single" w:sz="4" w:space="0" w:color="auto"/>
              <w:bottom w:val="single" w:sz="4" w:space="0" w:color="auto"/>
              <w:right w:val="single" w:sz="4" w:space="0" w:color="auto"/>
            </w:tcBorders>
            <w:vAlign w:val="center"/>
          </w:tcPr>
          <w:p w14:paraId="55CC86E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1.45%</w:t>
            </w:r>
          </w:p>
        </w:tc>
        <w:tc>
          <w:tcPr>
            <w:tcW w:w="750" w:type="pct"/>
            <w:tcBorders>
              <w:top w:val="single" w:sz="4" w:space="0" w:color="auto"/>
              <w:left w:val="single" w:sz="4" w:space="0" w:color="auto"/>
              <w:bottom w:val="single" w:sz="4" w:space="0" w:color="auto"/>
              <w:right w:val="single" w:sz="4" w:space="0" w:color="auto"/>
            </w:tcBorders>
            <w:vAlign w:val="center"/>
          </w:tcPr>
          <w:p w14:paraId="22609C3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-9.52%</w:t>
            </w:r>
          </w:p>
        </w:tc>
        <w:tc>
          <w:tcPr>
            <w:tcW w:w="750" w:type="pct"/>
            <w:tcBorders>
              <w:top w:val="single" w:sz="4" w:space="0" w:color="auto"/>
              <w:left w:val="single" w:sz="4" w:space="0" w:color="auto"/>
              <w:bottom w:val="single" w:sz="4" w:space="0" w:color="auto"/>
              <w:right w:val="single" w:sz="4" w:space="0" w:color="auto"/>
            </w:tcBorders>
            <w:vAlign w:val="center"/>
          </w:tcPr>
          <w:p w14:paraId="6F55E8A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sz="4" w:space="0" w:color="auto"/>
              <w:left w:val="single" w:sz="4" w:space="0" w:color="auto"/>
              <w:bottom w:val="single" w:sz="4" w:space="0" w:color="auto"/>
              <w:right w:val="single" w:sz="4" w:space="0" w:color="auto"/>
            </w:tcBorders>
            <w:vAlign w:val="center"/>
          </w:tcPr>
          <w:p w14:paraId="4DCC615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1.94%</w:t>
            </w:r>
          </w:p>
        </w:tc>
        <w:tc>
          <w:tcPr>
            <w:tcW w:w="750" w:type="pct"/>
            <w:tcBorders>
              <w:top w:val="single" w:sz="4" w:space="0" w:color="auto"/>
              <w:left w:val="single" w:sz="4" w:space="0" w:color="auto"/>
              <w:bottom w:val="single" w:sz="4" w:space="0" w:color="auto"/>
              <w:right w:val="single" w:sz="4" w:space="0" w:color="auto"/>
            </w:tcBorders>
            <w:vAlign w:val="center"/>
          </w:tcPr>
          <w:p w14:paraId="34BED91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9A30E5" w14:paraId="265666C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40D687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16DACC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13.58%</w:t>
            </w:r>
          </w:p>
        </w:tc>
        <w:tc>
          <w:tcPr>
            <w:tcW w:w="750" w:type="pct"/>
            <w:tcBorders>
              <w:top w:val="single" w:sz="4" w:space="0" w:color="auto"/>
              <w:left w:val="single" w:sz="4" w:space="0" w:color="auto"/>
              <w:bottom w:val="single" w:sz="4" w:space="0" w:color="auto"/>
              <w:right w:val="single" w:sz="4" w:space="0" w:color="auto"/>
            </w:tcBorders>
            <w:vAlign w:val="center"/>
          </w:tcPr>
          <w:p w14:paraId="678AC27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5153E79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11.46%</w:t>
            </w:r>
          </w:p>
        </w:tc>
        <w:tc>
          <w:tcPr>
            <w:tcW w:w="750" w:type="pct"/>
            <w:tcBorders>
              <w:top w:val="single" w:sz="4" w:space="0" w:color="auto"/>
              <w:left w:val="single" w:sz="4" w:space="0" w:color="auto"/>
              <w:bottom w:val="single" w:sz="4" w:space="0" w:color="auto"/>
              <w:right w:val="single" w:sz="4" w:space="0" w:color="auto"/>
            </w:tcBorders>
            <w:vAlign w:val="center"/>
          </w:tcPr>
          <w:p w14:paraId="1AE94BC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14:paraId="030DC22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2.12%</w:t>
            </w:r>
          </w:p>
        </w:tc>
        <w:tc>
          <w:tcPr>
            <w:tcW w:w="750" w:type="pct"/>
            <w:tcBorders>
              <w:top w:val="single" w:sz="4" w:space="0" w:color="auto"/>
              <w:left w:val="single" w:sz="4" w:space="0" w:color="auto"/>
              <w:bottom w:val="single" w:sz="4" w:space="0" w:color="auto"/>
              <w:right w:val="single" w:sz="4" w:space="0" w:color="auto"/>
            </w:tcBorders>
            <w:vAlign w:val="center"/>
          </w:tcPr>
          <w:p w14:paraId="41DF15D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9A30E5" w14:paraId="47C538C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BB1A03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85BE8C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-18.74%</w:t>
            </w:r>
          </w:p>
        </w:tc>
        <w:tc>
          <w:tcPr>
            <w:tcW w:w="750" w:type="pct"/>
            <w:tcBorders>
              <w:top w:val="single" w:sz="4" w:space="0" w:color="auto"/>
              <w:left w:val="single" w:sz="4" w:space="0" w:color="auto"/>
              <w:bottom w:val="single" w:sz="4" w:space="0" w:color="auto"/>
              <w:right w:val="single" w:sz="4" w:space="0" w:color="auto"/>
            </w:tcBorders>
            <w:vAlign w:val="center"/>
          </w:tcPr>
          <w:p w14:paraId="08FDAD6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sz="4" w:space="0" w:color="auto"/>
              <w:left w:val="single" w:sz="4" w:space="0" w:color="auto"/>
              <w:bottom w:val="single" w:sz="4" w:space="0" w:color="auto"/>
              <w:right w:val="single" w:sz="4" w:space="0" w:color="auto"/>
            </w:tcBorders>
            <w:vAlign w:val="center"/>
          </w:tcPr>
          <w:p w14:paraId="06F2081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-19.15%</w:t>
            </w:r>
          </w:p>
        </w:tc>
        <w:tc>
          <w:tcPr>
            <w:tcW w:w="750" w:type="pct"/>
            <w:tcBorders>
              <w:top w:val="single" w:sz="4" w:space="0" w:color="auto"/>
              <w:left w:val="single" w:sz="4" w:space="0" w:color="auto"/>
              <w:bottom w:val="single" w:sz="4" w:space="0" w:color="auto"/>
              <w:right w:val="single" w:sz="4" w:space="0" w:color="auto"/>
            </w:tcBorders>
            <w:vAlign w:val="center"/>
          </w:tcPr>
          <w:p w14:paraId="0E2DDCC9"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14:paraId="107BD0D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0.41%</w:t>
            </w:r>
          </w:p>
        </w:tc>
        <w:tc>
          <w:tcPr>
            <w:tcW w:w="750" w:type="pct"/>
            <w:tcBorders>
              <w:top w:val="single" w:sz="4" w:space="0" w:color="auto"/>
              <w:left w:val="single" w:sz="4" w:space="0" w:color="auto"/>
              <w:bottom w:val="single" w:sz="4" w:space="0" w:color="auto"/>
              <w:right w:val="single" w:sz="4" w:space="0" w:color="auto"/>
            </w:tcBorders>
            <w:vAlign w:val="center"/>
          </w:tcPr>
          <w:p w14:paraId="7908201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9A30E5" w14:paraId="24AF081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420EDE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E53CA8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-16.95%</w:t>
            </w:r>
          </w:p>
        </w:tc>
        <w:tc>
          <w:tcPr>
            <w:tcW w:w="750" w:type="pct"/>
            <w:tcBorders>
              <w:top w:val="single" w:sz="4" w:space="0" w:color="auto"/>
              <w:left w:val="single" w:sz="4" w:space="0" w:color="auto"/>
              <w:bottom w:val="single" w:sz="4" w:space="0" w:color="auto"/>
              <w:right w:val="single" w:sz="4" w:space="0" w:color="auto"/>
            </w:tcBorders>
            <w:vAlign w:val="center"/>
          </w:tcPr>
          <w:p w14:paraId="5F8D709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14:paraId="502518A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-18.77%</w:t>
            </w:r>
          </w:p>
        </w:tc>
        <w:tc>
          <w:tcPr>
            <w:tcW w:w="750" w:type="pct"/>
            <w:tcBorders>
              <w:top w:val="single" w:sz="4" w:space="0" w:color="auto"/>
              <w:left w:val="single" w:sz="4" w:space="0" w:color="auto"/>
              <w:bottom w:val="single" w:sz="4" w:space="0" w:color="auto"/>
              <w:right w:val="single" w:sz="4" w:space="0" w:color="auto"/>
            </w:tcBorders>
            <w:vAlign w:val="center"/>
          </w:tcPr>
          <w:p w14:paraId="3A2EFF8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14:paraId="380CCCF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1.82%</w:t>
            </w:r>
          </w:p>
        </w:tc>
        <w:tc>
          <w:tcPr>
            <w:tcW w:w="750" w:type="pct"/>
            <w:tcBorders>
              <w:top w:val="single" w:sz="4" w:space="0" w:color="auto"/>
              <w:left w:val="single" w:sz="4" w:space="0" w:color="auto"/>
              <w:bottom w:val="single" w:sz="4" w:space="0" w:color="auto"/>
              <w:right w:val="single" w:sz="4" w:space="0" w:color="auto"/>
            </w:tcBorders>
            <w:vAlign w:val="center"/>
          </w:tcPr>
          <w:p w14:paraId="5E20A03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9A30E5" w14:paraId="0E30424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D6375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w:t>
            </w:r>
            <w:r>
              <w:rPr>
                <w:rFonts w:ascii="Times New Roman" w:hAnsi="Times New Roman"/>
                <w:color w:val="000000"/>
                <w:kern w:val="0"/>
                <w:sz w:val="25"/>
                <w:szCs w:val="24"/>
              </w:rPr>
              <w:t>2009</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日至</w:t>
            </w:r>
            <w:r>
              <w:rPr>
                <w:rFonts w:ascii="Times New Roman" w:hAnsi="Times New Roman"/>
                <w:color w:val="000000"/>
                <w:kern w:val="0"/>
                <w:sz w:val="25"/>
                <w:szCs w:val="24"/>
              </w:rPr>
              <w:t>2009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A15EE6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14:paraId="1667D18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sz="4" w:space="0" w:color="auto"/>
              <w:left w:val="single" w:sz="4" w:space="0" w:color="auto"/>
              <w:bottom w:val="single" w:sz="4" w:space="0" w:color="auto"/>
              <w:right w:val="single" w:sz="4" w:space="0" w:color="auto"/>
            </w:tcBorders>
            <w:vAlign w:val="center"/>
          </w:tcPr>
          <w:p w14:paraId="27DE791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17.55%</w:t>
            </w:r>
          </w:p>
        </w:tc>
        <w:tc>
          <w:tcPr>
            <w:tcW w:w="750" w:type="pct"/>
            <w:tcBorders>
              <w:top w:val="single" w:sz="4" w:space="0" w:color="auto"/>
              <w:left w:val="single" w:sz="4" w:space="0" w:color="auto"/>
              <w:bottom w:val="single" w:sz="4" w:space="0" w:color="auto"/>
              <w:right w:val="single" w:sz="4" w:space="0" w:color="auto"/>
            </w:tcBorders>
            <w:vAlign w:val="center"/>
          </w:tcPr>
          <w:p w14:paraId="1CD85F0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1.68%</w:t>
            </w:r>
          </w:p>
        </w:tc>
        <w:tc>
          <w:tcPr>
            <w:tcW w:w="750" w:type="pct"/>
            <w:tcBorders>
              <w:top w:val="single" w:sz="4" w:space="0" w:color="auto"/>
              <w:left w:val="single" w:sz="4" w:space="0" w:color="auto"/>
              <w:bottom w:val="single" w:sz="4" w:space="0" w:color="auto"/>
              <w:right w:val="single" w:sz="4" w:space="0" w:color="auto"/>
            </w:tcBorders>
            <w:vAlign w:val="center"/>
          </w:tcPr>
          <w:p w14:paraId="33C1F95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-16.05%</w:t>
            </w:r>
          </w:p>
        </w:tc>
        <w:tc>
          <w:tcPr>
            <w:tcW w:w="750" w:type="pct"/>
            <w:tcBorders>
              <w:top w:val="single" w:sz="4" w:space="0" w:color="auto"/>
              <w:left w:val="single" w:sz="4" w:space="0" w:color="auto"/>
              <w:bottom w:val="single" w:sz="4" w:space="0" w:color="auto"/>
              <w:right w:val="single" w:sz="4" w:space="0" w:color="auto"/>
            </w:tcBorders>
            <w:vAlign w:val="center"/>
          </w:tcPr>
          <w:p w14:paraId="3388479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-0.45%</w:t>
            </w:r>
          </w:p>
        </w:tc>
      </w:tr>
    </w:tbl>
    <w:p w14:paraId="6C6B7B6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72690D0E" w14:textId="77777777" w:rsidR="009A30E5" w:rsidRDefault="00953581">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w:t>
      </w:r>
    </w:p>
    <w:p w14:paraId="4326C39A" w14:textId="77777777" w:rsidR="009A30E5" w:rsidRDefault="00953581">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份额累计净值增长率与业绩比较基准收益率的历史走势对比图</w:t>
      </w:r>
    </w:p>
    <w:p w14:paraId="412ACBFA" w14:textId="77777777" w:rsidR="009A30E5" w:rsidRDefault="00953581">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2009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29</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p>
    <w:p w14:paraId="21E01847" w14:textId="307E6CEA" w:rsidR="009A30E5" w:rsidRDefault="00411EE2">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14:anchorId="150C4D05" wp14:editId="36AD46B5">
            <wp:extent cx="5581650" cy="3289300"/>
            <wp:effectExtent l="0" t="0" r="0" b="635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650" cy="3289300"/>
                    </a:xfrm>
                    <a:prstGeom prst="rect">
                      <a:avLst/>
                    </a:prstGeom>
                    <a:noFill/>
                    <a:ln>
                      <a:noFill/>
                    </a:ln>
                  </pic:spPr>
                </pic:pic>
              </a:graphicData>
            </a:graphic>
          </wp:inline>
        </w:drawing>
      </w:r>
    </w:p>
    <w:p w14:paraId="2D10293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3</w:t>
      </w:r>
      <w:r>
        <w:rPr>
          <w:rFonts w:ascii="Times New Roman" w:hAnsi="Times New Roman"/>
          <w:sz w:val="24"/>
        </w:rPr>
        <w:t>个月。截至建仓期结束，本基金各项资产配置比例符合基金合同及招募说明书有关投资比例的约定。</w:t>
      </w:r>
    </w:p>
    <w:p w14:paraId="60092EFD"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5C9938" w14:textId="77777777" w:rsidR="009A30E5" w:rsidRDefault="00953581">
      <w:pPr>
        <w:pStyle w:val="1"/>
        <w:snapToGrid w:val="0"/>
        <w:spacing w:beforeLines="0" w:before="240" w:after="240"/>
        <w:rPr>
          <w:rFonts w:ascii="宋体" w:hAnsi="宋体"/>
          <w:szCs w:val="30"/>
        </w:rPr>
      </w:pPr>
      <w:bookmarkStart w:id="14" w:name="_Toc59040207"/>
      <w:r>
        <w:rPr>
          <w:rFonts w:ascii="Times New Roman" w:hAnsi="Times New Roman"/>
          <w:sz w:val="30"/>
        </w:rPr>
        <w:lastRenderedPageBreak/>
        <w:t>十二、基金的财产</w:t>
      </w:r>
      <w:bookmarkEnd w:id="14"/>
    </w:p>
    <w:p w14:paraId="0A6ED61C"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14:paraId="59189EB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基金资产总值是指基金拥有的包括目标</w:t>
      </w:r>
      <w:r>
        <w:rPr>
          <w:rFonts w:ascii="Times New Roman" w:hAnsi="Times New Roman"/>
          <w:sz w:val="24"/>
        </w:rPr>
        <w:t>ETF</w:t>
      </w:r>
      <w:r>
        <w:rPr>
          <w:rFonts w:ascii="Times New Roman" w:hAnsi="Times New Roman"/>
          <w:sz w:val="24"/>
        </w:rPr>
        <w:t>份额在内的各类有价证券、银行存款本息、基金应收款项以及其他资产的价值总和。</w:t>
      </w:r>
    </w:p>
    <w:p w14:paraId="208D318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14:paraId="63B14B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基金资产净值是指基金资产总值减去基金负债后的金额。</w:t>
      </w:r>
    </w:p>
    <w:p w14:paraId="23A77076"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14:paraId="69922CD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27D01DDC"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（四）基金财产的保管与处分</w:t>
      </w:r>
    </w:p>
    <w:p w14:paraId="7616594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26B3F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14:paraId="7760815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基金财产的债权，不得与基金管理人、基金托管人固有财产的债务相</w:t>
      </w:r>
      <w:proofErr w:type="gramStart"/>
      <w:r>
        <w:rPr>
          <w:rFonts w:ascii="Times New Roman" w:hAnsi="Times New Roman"/>
          <w:sz w:val="24"/>
        </w:rPr>
        <w:t>抵销</w:t>
      </w:r>
      <w:proofErr w:type="gramEnd"/>
      <w:r>
        <w:rPr>
          <w:rFonts w:ascii="Times New Roman" w:hAnsi="Times New Roman"/>
          <w:sz w:val="24"/>
        </w:rPr>
        <w:t>；不同基金财产的债权债务，不得相互</w:t>
      </w:r>
      <w:proofErr w:type="gramStart"/>
      <w:r>
        <w:rPr>
          <w:rFonts w:ascii="Times New Roman" w:hAnsi="Times New Roman"/>
          <w:sz w:val="24"/>
        </w:rPr>
        <w:t>抵销</w:t>
      </w:r>
      <w:proofErr w:type="gramEnd"/>
      <w:r>
        <w:rPr>
          <w:rFonts w:ascii="Times New Roman" w:hAnsi="Times New Roman"/>
          <w:sz w:val="24"/>
        </w:rPr>
        <w:t>。</w:t>
      </w:r>
    </w:p>
    <w:p w14:paraId="4C4DD51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14:paraId="60F4DD72"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E0558D" w14:textId="77777777" w:rsidR="009A30E5" w:rsidRDefault="00953581">
      <w:pPr>
        <w:pStyle w:val="1"/>
        <w:snapToGrid w:val="0"/>
        <w:spacing w:beforeLines="0" w:before="240" w:after="240"/>
        <w:rPr>
          <w:rFonts w:ascii="宋体" w:hAnsi="宋体"/>
          <w:szCs w:val="30"/>
        </w:rPr>
      </w:pPr>
      <w:bookmarkStart w:id="15" w:name="_Toc59040208"/>
      <w:r>
        <w:rPr>
          <w:rFonts w:ascii="Times New Roman" w:hAnsi="Times New Roman"/>
          <w:sz w:val="30"/>
        </w:rPr>
        <w:lastRenderedPageBreak/>
        <w:t>十三、基金资产的估值</w:t>
      </w:r>
      <w:bookmarkEnd w:id="15"/>
    </w:p>
    <w:p w14:paraId="353ED4B8"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（一）估值目的</w:t>
      </w:r>
    </w:p>
    <w:p w14:paraId="4673702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基金资产的估值目的是客观、准确地反映基金资产是否保值、增值，并为基金份额提供计价依据。</w:t>
      </w:r>
    </w:p>
    <w:p w14:paraId="55A29C26"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（二）估值日</w:t>
      </w:r>
    </w:p>
    <w:p w14:paraId="5A4D540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本基金的估值日为相关的证券交易场所的正常营业日，以及国家法律法规规定需要对外披露基金净值的非营业日。</w:t>
      </w:r>
    </w:p>
    <w:p w14:paraId="639DF599"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（三）估值对象</w:t>
      </w:r>
    </w:p>
    <w:p w14:paraId="3DE3D2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基金依法拥有的目标</w:t>
      </w:r>
      <w:r>
        <w:rPr>
          <w:rFonts w:ascii="Times New Roman" w:hAnsi="Times New Roman"/>
          <w:sz w:val="24"/>
        </w:rPr>
        <w:t>ETF</w:t>
      </w:r>
      <w:r>
        <w:rPr>
          <w:rFonts w:ascii="Times New Roman" w:hAnsi="Times New Roman"/>
          <w:sz w:val="24"/>
        </w:rPr>
        <w:t>份额、股票、债券、权证和银行存款本息、应收款项、其它投资等资产。</w:t>
      </w:r>
    </w:p>
    <w:p w14:paraId="6821F6AB"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（四）估值方法</w:t>
      </w:r>
    </w:p>
    <w:p w14:paraId="7A00F84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、目标</w:t>
      </w:r>
      <w:r>
        <w:rPr>
          <w:rFonts w:ascii="Times New Roman" w:hAnsi="Times New Roman"/>
          <w:sz w:val="24"/>
        </w:rPr>
        <w:t>ETF</w:t>
      </w:r>
      <w:r>
        <w:rPr>
          <w:rFonts w:ascii="Times New Roman" w:hAnsi="Times New Roman"/>
          <w:sz w:val="24"/>
        </w:rPr>
        <w:t>估值方法：</w:t>
      </w:r>
    </w:p>
    <w:p w14:paraId="1240B2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本基金投资的目标</w:t>
      </w:r>
      <w:r>
        <w:rPr>
          <w:rFonts w:ascii="Times New Roman" w:hAnsi="Times New Roman"/>
          <w:sz w:val="24"/>
        </w:rPr>
        <w:t>ETF</w:t>
      </w:r>
      <w:r>
        <w:rPr>
          <w:rFonts w:ascii="Times New Roman" w:hAnsi="Times New Roman"/>
          <w:sz w:val="24"/>
        </w:rPr>
        <w:t>份额以目标</w:t>
      </w:r>
      <w:r>
        <w:rPr>
          <w:rFonts w:ascii="Times New Roman" w:hAnsi="Times New Roman"/>
          <w:sz w:val="24"/>
        </w:rPr>
        <w:t>ETF</w:t>
      </w:r>
      <w:r>
        <w:rPr>
          <w:rFonts w:ascii="Times New Roman" w:hAnsi="Times New Roman"/>
          <w:sz w:val="24"/>
        </w:rPr>
        <w:t>估值日的净值估值。</w:t>
      </w:r>
    </w:p>
    <w:p w14:paraId="570501F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、股票估值方法：</w:t>
      </w:r>
    </w:p>
    <w:p w14:paraId="76298AA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）上市股票的估值：</w:t>
      </w:r>
    </w:p>
    <w:p w14:paraId="32B99A7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56780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）未上市股票的估值：</w:t>
      </w:r>
    </w:p>
    <w:p w14:paraId="3EC1391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首次发行未上市的股票，采用估值技术确定公允价值，在估值技术难以可靠计量公允价值的情况下，按成本价估值；</w:t>
      </w:r>
    </w:p>
    <w:p w14:paraId="15B79D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送股、转增股、配股和公开增发新股等发行未上市的股票，按估值日在证券交易所上市的同一股票的市价进行估值；</w:t>
      </w:r>
    </w:p>
    <w:p w14:paraId="4018195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首次公开发行有明确锁定期的股票，同一股票在交易所上市后，按估值日在证券交易所上市的同一股票的市价进行估值；</w:t>
      </w:r>
    </w:p>
    <w:p w14:paraId="77919C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非公开发行的且在发行时明确一定期限锁定期的股票，按监管机构或行业协会有关规定确定公允价值。</w:t>
      </w:r>
    </w:p>
    <w:p w14:paraId="28406317" w14:textId="77777777" w:rsidR="00916E54" w:rsidRPr="00916E54" w:rsidRDefault="00953581" w:rsidP="00916E54">
      <w:pPr>
        <w:snapToGrid w:val="0"/>
        <w:spacing w:line="360" w:lineRule="auto"/>
        <w:ind w:firstLineChars="200" w:firstLine="480"/>
        <w:rPr>
          <w:rFonts w:ascii="宋体" w:hAnsi="宋体"/>
          <w:bCs/>
          <w:sz w:val="24"/>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916E54" w:rsidRPr="00916E54">
        <w:rPr>
          <w:rFonts w:ascii="宋体" w:hAnsi="宋体" w:hint="eastAsia"/>
          <w:bCs/>
          <w:sz w:val="24"/>
          <w:szCs w:val="24"/>
        </w:rPr>
        <w:t>本基金投资存托凭证的估值核算依照境内上市交易的股票执行。</w:t>
      </w:r>
    </w:p>
    <w:p w14:paraId="4926206D" w14:textId="77777777" w:rsidR="009A30E5" w:rsidRDefault="00916E54" w:rsidP="00916E54">
      <w:pPr>
        <w:autoSpaceDE w:val="0"/>
        <w:autoSpaceDN w:val="0"/>
        <w:adjustRightInd w:val="0"/>
        <w:snapToGrid w:val="0"/>
        <w:spacing w:line="360" w:lineRule="auto"/>
        <w:ind w:firstLineChars="200" w:firstLine="480"/>
        <w:rPr>
          <w:rFonts w:ascii="宋体" w:hAnsi="宋体"/>
          <w:szCs w:val="24"/>
        </w:rPr>
      </w:pPr>
      <w:r w:rsidRPr="00916E54">
        <w:rPr>
          <w:rFonts w:ascii="宋体" w:hAnsi="宋体" w:hint="eastAsia"/>
          <w:bCs/>
          <w:sz w:val="24"/>
          <w:szCs w:val="24"/>
        </w:rPr>
        <w:t>（4）</w:t>
      </w:r>
      <w:r w:rsidR="00953581">
        <w:rPr>
          <w:rFonts w:ascii="Times New Roman" w:hAnsi="Times New Roman"/>
          <w:sz w:val="24"/>
        </w:rPr>
        <w:t>在任何情况下，基金管理人如采用本项第（</w:t>
      </w:r>
      <w:r w:rsidR="00953581">
        <w:rPr>
          <w:rFonts w:ascii="Times New Roman" w:hAnsi="Times New Roman"/>
          <w:sz w:val="24"/>
        </w:rPr>
        <w:t>1</w:t>
      </w:r>
      <w:r w:rsidR="00953581">
        <w:rPr>
          <w:rFonts w:ascii="Times New Roman" w:hAnsi="Times New Roman"/>
          <w:sz w:val="24"/>
        </w:rPr>
        <w:t>）－（</w:t>
      </w:r>
      <w:r>
        <w:rPr>
          <w:rFonts w:ascii="Times New Roman" w:hAnsi="Times New Roman"/>
          <w:sz w:val="24"/>
        </w:rPr>
        <w:t>3</w:t>
      </w:r>
      <w:r w:rsidR="00953581">
        <w:rPr>
          <w:rFonts w:ascii="Times New Roman" w:hAnsi="Times New Roman"/>
          <w:sz w:val="24"/>
        </w:rPr>
        <w:t>）小项规定的方法</w:t>
      </w:r>
      <w:r w:rsidR="00953581">
        <w:rPr>
          <w:rFonts w:ascii="Times New Roman" w:hAnsi="Times New Roman"/>
          <w:sz w:val="24"/>
        </w:rPr>
        <w:lastRenderedPageBreak/>
        <w:t>对基金资产进行估值，均应被认为采用了适当的估值方法。但是，如果基金管理人认为按本项第（</w:t>
      </w:r>
      <w:r w:rsidR="00953581">
        <w:rPr>
          <w:rFonts w:ascii="Times New Roman" w:hAnsi="Times New Roman"/>
          <w:sz w:val="24"/>
        </w:rPr>
        <w:t>1</w:t>
      </w:r>
      <w:r w:rsidR="00953581">
        <w:rPr>
          <w:rFonts w:ascii="Times New Roman" w:hAnsi="Times New Roman"/>
          <w:sz w:val="24"/>
        </w:rPr>
        <w:t>）－（</w:t>
      </w:r>
      <w:r>
        <w:rPr>
          <w:rFonts w:ascii="宋体" w:hAnsi="宋体"/>
          <w:sz w:val="24"/>
        </w:rPr>
        <w:t>3</w:t>
      </w:r>
      <w:r w:rsidR="00953581">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14:paraId="56B6E2D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916E54">
        <w:rPr>
          <w:rFonts w:ascii="Times New Roman" w:hAnsi="Times New Roman"/>
          <w:sz w:val="24"/>
        </w:rPr>
        <w:t>5</w:t>
      </w:r>
      <w:r>
        <w:rPr>
          <w:rFonts w:ascii="Times New Roman" w:hAnsi="Times New Roman"/>
          <w:sz w:val="24"/>
        </w:rPr>
        <w:t>）国家有最新规定的，按其规定进行估值。</w:t>
      </w:r>
    </w:p>
    <w:p w14:paraId="41294BD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、债券估值方法：</w:t>
      </w:r>
    </w:p>
    <w:p w14:paraId="68503D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）交易所市场上市交易或挂牌转让的固定收益品种（另有规定的除外），选取第三方估值机构提供的相应品种当日的估值净价进行估值。</w:t>
      </w:r>
    </w:p>
    <w:p w14:paraId="6953ED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53C39D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）首次发行未上市债券采用估值技术确定的公允价值进行估值，在估值技术难以可靠计量公允价值的情况下，按成本估值。</w:t>
      </w:r>
    </w:p>
    <w:p w14:paraId="1285F07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3766B23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）在全国银行间债券市场交易的债券、资产支持证券等固定收益品种，采用估值技术确定公允价值。</w:t>
      </w:r>
    </w:p>
    <w:p w14:paraId="79CEB4A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）同一债券同时在两个或两个以上市场交易的，按债券所处的市场分别估值。</w:t>
      </w:r>
    </w:p>
    <w:p w14:paraId="09F637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5BBFDA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）国家有最新规定的，按其规定进行估值。</w:t>
      </w:r>
    </w:p>
    <w:p w14:paraId="57FE7C1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、权证估值办法：</w:t>
      </w:r>
    </w:p>
    <w:p w14:paraId="58EBF7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F8274E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）首次发行未上市的权证，采用估值技术确定公允价值，在估值技术难以可靠计量公允价值的情况下，按成本估值。</w:t>
      </w:r>
    </w:p>
    <w:p w14:paraId="7ACB19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）因持有股票而享有的配股权，以及停止交易、但未行权的权证，采用估值技术确定公允价值进行估值。</w:t>
      </w:r>
    </w:p>
    <w:p w14:paraId="5CA513B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43F2DFF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）国家有最新规定的，按其规定进行估值。</w:t>
      </w:r>
    </w:p>
    <w:p w14:paraId="578640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、其他有价证券等资产按国家有关规定进行估值。</w:t>
      </w:r>
    </w:p>
    <w:p w14:paraId="5457C799"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（五）估值程序</w:t>
      </w:r>
    </w:p>
    <w:p w14:paraId="4691119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465CEC5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（六）估值错误的处理</w:t>
      </w:r>
    </w:p>
    <w:p w14:paraId="75E332D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w:t>
      </w:r>
    </w:p>
    <w:p w14:paraId="282385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基金合同的当事人应按照以下约定处理：</w:t>
      </w:r>
    </w:p>
    <w:p w14:paraId="75C48BE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、差错类型</w:t>
      </w:r>
    </w:p>
    <w:p w14:paraId="103752E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）按下述</w:t>
      </w:r>
      <w:r>
        <w:rPr>
          <w:rFonts w:ascii="Times New Roman" w:hAnsi="Times New Roman"/>
          <w:sz w:val="24"/>
        </w:rPr>
        <w:t>“</w:t>
      </w:r>
      <w:r>
        <w:rPr>
          <w:rFonts w:ascii="Times New Roman" w:hAnsi="Times New Roman"/>
          <w:sz w:val="24"/>
        </w:rPr>
        <w:t>差错处理原则</w:t>
      </w:r>
      <w:r>
        <w:rPr>
          <w:rFonts w:ascii="Times New Roman" w:hAnsi="Times New Roman"/>
          <w:sz w:val="24"/>
        </w:rPr>
        <w:t>”</w:t>
      </w:r>
      <w:r>
        <w:rPr>
          <w:rFonts w:ascii="Times New Roman" w:hAnsi="Times New Roman"/>
          <w:sz w:val="24"/>
        </w:rPr>
        <w:t>给予赔偿，</w:t>
      </w:r>
      <w:r>
        <w:rPr>
          <w:rFonts w:ascii="Times New Roman" w:hAnsi="Times New Roman"/>
          <w:sz w:val="24"/>
        </w:rPr>
        <w:lastRenderedPageBreak/>
        <w:t>承担赔偿责任。</w:t>
      </w:r>
    </w:p>
    <w:p w14:paraId="3573BC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3425E6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D0171F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、差错处理原则</w:t>
      </w:r>
    </w:p>
    <w:p w14:paraId="2B7CED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2A04A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）差错的责任方对可能导致有关当事人的直接损失负责，不对间接损失负责，并且仅对差错的有关直接当事人负责，不对第三方负责；</w:t>
      </w:r>
    </w:p>
    <w:p w14:paraId="0A4C2F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）因差错而获得不当得利的当事人负有及时返还不当得利的义务。但差错责任方仍应对差错负责。如果由于获得不当得利的当事人</w:t>
      </w:r>
      <w:proofErr w:type="gramStart"/>
      <w:r>
        <w:rPr>
          <w:rFonts w:ascii="Times New Roman" w:hAnsi="Times New Roman"/>
          <w:sz w:val="24"/>
        </w:rPr>
        <w:t>不</w:t>
      </w:r>
      <w:proofErr w:type="gramEnd"/>
      <w:r>
        <w:rPr>
          <w:rFonts w:ascii="Times New Roman" w:hAnsi="Times New Roman"/>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7C302A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）差错调整采用尽量恢复至假设未发生差错的正确情形的方式；</w:t>
      </w:r>
    </w:p>
    <w:p w14:paraId="7F493C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379C017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）如果出现差错的当事人未按规定对受损方进行赔偿，并且依据法律法规、</w:t>
      </w:r>
      <w:r>
        <w:rPr>
          <w:rFonts w:ascii="Times New Roman" w:hAnsi="Times New Roman"/>
          <w:sz w:val="24"/>
        </w:rPr>
        <w:lastRenderedPageBreak/>
        <w:t>基金合同或其他规定，基金管理人自行或依据法院判决、仲裁裁决对受损方承担了赔偿责任，</w:t>
      </w:r>
      <w:proofErr w:type="gramStart"/>
      <w:r>
        <w:rPr>
          <w:rFonts w:ascii="Times New Roman" w:hAnsi="Times New Roman"/>
          <w:sz w:val="24"/>
        </w:rPr>
        <w:t>则基金</w:t>
      </w:r>
      <w:proofErr w:type="gramEnd"/>
      <w:r>
        <w:rPr>
          <w:rFonts w:ascii="Times New Roman" w:hAnsi="Times New Roman"/>
          <w:sz w:val="24"/>
        </w:rPr>
        <w:t>管理人有权向有责任的当事人进行追索，并有权要求其赔偿或补偿由此发生的费用和遭受的损失；</w:t>
      </w:r>
    </w:p>
    <w:p w14:paraId="76F0E67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）按法律法规规定的其他原则处理差错。</w:t>
      </w:r>
    </w:p>
    <w:p w14:paraId="12C5E1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、差错处理程序</w:t>
      </w:r>
    </w:p>
    <w:p w14:paraId="4C5AAB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差错被发现后，有关的当事人应当及时进行处理，处理的程序如下：</w:t>
      </w:r>
    </w:p>
    <w:p w14:paraId="4D81422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）查明差错发生的原因，列明所有的当事人，并根据差错发生的原因确定差错的责任方；</w:t>
      </w:r>
    </w:p>
    <w:p w14:paraId="72D4142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）根据差错处理原则或当事人协商的方法对因差错造成的损失进行评估；</w:t>
      </w:r>
    </w:p>
    <w:p w14:paraId="4D1626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）根据差错处理原则或当事人协商的方法由差错的责任方进行更正和赔偿损失；</w:t>
      </w:r>
    </w:p>
    <w:p w14:paraId="65D5087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）根据差错处理的方法，需要修改基金注册登记机构交易数据的，由基金注册登记机构进行更正，并就差错的更正向有关当事人进行确认。</w:t>
      </w:r>
    </w:p>
    <w:p w14:paraId="38B2A17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、基金份额净值差错处理的原则和方法</w:t>
      </w:r>
    </w:p>
    <w:p w14:paraId="37E9ED3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位）发生差错时，视为基金份额净值错误；基金份额净值出现错误时，基金管理人应当立即予以纠正，通报基金托管人，并采取合理的措施防止损失进一步扩大；</w:t>
      </w:r>
      <w:proofErr w:type="gramStart"/>
      <w:r>
        <w:rPr>
          <w:rFonts w:ascii="Times New Roman" w:hAnsi="Times New Roman"/>
          <w:sz w:val="24"/>
        </w:rPr>
        <w:t>当错误</w:t>
      </w:r>
      <w:proofErr w:type="gramEnd"/>
      <w:r>
        <w:rPr>
          <w:rFonts w:ascii="Times New Roman" w:hAnsi="Times New Roman"/>
          <w:sz w:val="24"/>
        </w:rPr>
        <w:t>达到或超过基金份额净值的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243EF2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14:paraId="1DF5CB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97ED2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proofErr w:type="gramStart"/>
      <w:r>
        <w:rPr>
          <w:rFonts w:ascii="Times New Roman" w:hAnsi="Times New Roman"/>
          <w:sz w:val="24"/>
        </w:rPr>
        <w:t>若基金</w:t>
      </w:r>
      <w:proofErr w:type="gramEnd"/>
      <w:r>
        <w:rPr>
          <w:rFonts w:ascii="Times New Roman" w:hAnsi="Times New Roman"/>
          <w:sz w:val="24"/>
        </w:rPr>
        <w:t>管理人计算的基金份额净值已由基金托管人复核确认后公告，而且基金托管人未对计算过程提出疑义或要求基金管理人书面说明，份额净值出错且造</w:t>
      </w:r>
      <w:r>
        <w:rPr>
          <w:rFonts w:ascii="Times New Roman" w:hAnsi="Times New Roman"/>
          <w:sz w:val="24"/>
        </w:rPr>
        <w:lastRenderedPageBreak/>
        <w:t>成基金份额持有人损失的，应根据法律法规的规定对投资者或基金支付赔偿金，就实际向投资者或基金支付的赔偿金额，其中基金管理人承担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14:paraId="11655CA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8A0BE8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由于基金管理人提供的信息错误（包括但不限于基金申购或赎回金额等），进而导致基金份额净值计算错误而引起的基金份额持有人和基金的损失，由基金管理人负责赔付。</w:t>
      </w:r>
    </w:p>
    <w:p w14:paraId="49BAE4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14:paraId="21CC26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）前述内容如法律法规或者监管部门另有规定的，从其规定。如果行业有通行做法，双方当事人应本着平等和保护基金份额持有人利益的原则进行协商。</w:t>
      </w:r>
    </w:p>
    <w:p w14:paraId="2FEF1EC0"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（七）暂停估值的情形</w:t>
      </w:r>
    </w:p>
    <w:p w14:paraId="037B827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、基金投资所涉及的证券交易所遇法定节假日或因其他原因暂停营业时；</w:t>
      </w:r>
    </w:p>
    <w:p w14:paraId="344808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、基金所投资之目标</w:t>
      </w:r>
      <w:r>
        <w:rPr>
          <w:rFonts w:ascii="Times New Roman" w:hAnsi="Times New Roman"/>
          <w:sz w:val="24"/>
        </w:rPr>
        <w:t>ETF</w:t>
      </w:r>
      <w:r>
        <w:rPr>
          <w:rFonts w:ascii="Times New Roman" w:hAnsi="Times New Roman"/>
          <w:sz w:val="24"/>
        </w:rPr>
        <w:t>发生暂停估值，暂停公告基金份额净值的情形；</w:t>
      </w:r>
    </w:p>
    <w:p w14:paraId="4A8C8C0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、因不可抗力或其他情形致使基金管理人、基金托管人无法准确评估基金资产价值时；</w:t>
      </w:r>
    </w:p>
    <w:p w14:paraId="0CE4A70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、占基金相当比例的投资品种的估值出现重大转变，而基金管理人为保障投资者的利益，已决定延迟估值；</w:t>
      </w:r>
    </w:p>
    <w:p w14:paraId="3AE8CA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、如出现基金管理人认为属于紧急事故的任何情况，会导致基金管理人不能出售或评估基金资产的；</w:t>
      </w:r>
    </w:p>
    <w:p w14:paraId="0FAC8BB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公允价值存在重大不确定性时，经与基金托管人协商确认后，基金管理人应当暂停估值；</w:t>
      </w:r>
    </w:p>
    <w:p w14:paraId="69793D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、中国证监会和基金合同认定的其他情形。</w:t>
      </w:r>
    </w:p>
    <w:p w14:paraId="6B395D05"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（八）基金净值的确认</w:t>
      </w:r>
    </w:p>
    <w:p w14:paraId="12B27CE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w:t>
      </w:r>
      <w:r>
        <w:rPr>
          <w:rFonts w:ascii="Times New Roman" w:hAnsi="Times New Roman"/>
          <w:sz w:val="24"/>
        </w:rPr>
        <w:lastRenderedPageBreak/>
        <w:t>结果发送给基金托管人。基金托管人对净值计算结果复核确认后发送给基金管理人，由基金管理人依据基金合同和有关法律法规的规定对基金净值予以公布。</w:t>
      </w:r>
    </w:p>
    <w:p w14:paraId="646DAB8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基金份额净值的计算精确到</w:t>
      </w:r>
      <w:r>
        <w:rPr>
          <w:rFonts w:ascii="Times New Roman" w:hAnsi="Times New Roman"/>
          <w:sz w:val="24"/>
        </w:rPr>
        <w:t>0.001</w:t>
      </w:r>
      <w:r>
        <w:rPr>
          <w:rFonts w:ascii="Times New Roman" w:hAnsi="Times New Roman"/>
          <w:sz w:val="24"/>
        </w:rPr>
        <w:t>元，小数点后第四位四舍五入。国家另有规定的，从其规定。</w:t>
      </w:r>
    </w:p>
    <w:p w14:paraId="5E59B06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（九）特殊情形的处理</w:t>
      </w:r>
    </w:p>
    <w:p w14:paraId="31D079B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、基金管理人或基金托管人按股票估值方法的第（</w:t>
      </w:r>
      <w:r w:rsidR="00916E54">
        <w:rPr>
          <w:rFonts w:ascii="Times New Roman" w:hAnsi="Times New Roman"/>
          <w:sz w:val="24"/>
        </w:rPr>
        <w:t>4</w:t>
      </w:r>
      <w:r>
        <w:rPr>
          <w:rFonts w:ascii="Times New Roman" w:hAnsi="Times New Roman"/>
          <w:sz w:val="24"/>
        </w:rPr>
        <w:t>）项、债券估值方法的第（</w:t>
      </w:r>
      <w:r>
        <w:rPr>
          <w:rFonts w:ascii="Times New Roman" w:hAnsi="Times New Roman"/>
          <w:sz w:val="24"/>
        </w:rPr>
        <w:t>7</w:t>
      </w:r>
      <w:r>
        <w:rPr>
          <w:rFonts w:ascii="Times New Roman" w:hAnsi="Times New Roman"/>
          <w:sz w:val="24"/>
        </w:rPr>
        <w:t>）项、权证估值方法的第（</w:t>
      </w:r>
      <w:r>
        <w:rPr>
          <w:rFonts w:ascii="Times New Roman" w:hAnsi="Times New Roman"/>
          <w:sz w:val="24"/>
        </w:rPr>
        <w:t>4</w:t>
      </w:r>
      <w:r>
        <w:rPr>
          <w:rFonts w:ascii="Times New Roman" w:hAnsi="Times New Roman"/>
          <w:sz w:val="24"/>
        </w:rPr>
        <w:t>）项进行估值时，所造成的误差不作为基金资产估值错误处理。</w:t>
      </w:r>
    </w:p>
    <w:p w14:paraId="25DB353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6594FB28"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F74239F" w14:textId="77777777" w:rsidR="009A30E5" w:rsidRDefault="00953581">
      <w:pPr>
        <w:pStyle w:val="1"/>
        <w:snapToGrid w:val="0"/>
        <w:spacing w:beforeLines="0" w:before="240" w:after="240"/>
        <w:rPr>
          <w:rFonts w:ascii="宋体" w:hAnsi="宋体"/>
          <w:szCs w:val="30"/>
        </w:rPr>
      </w:pPr>
      <w:bookmarkStart w:id="16" w:name="_Toc59040209"/>
      <w:r>
        <w:rPr>
          <w:rFonts w:ascii="Times New Roman" w:hAnsi="Times New Roman"/>
          <w:sz w:val="30"/>
        </w:rPr>
        <w:lastRenderedPageBreak/>
        <w:t>十四、基金的收益与分配</w:t>
      </w:r>
      <w:bookmarkEnd w:id="16"/>
    </w:p>
    <w:p w14:paraId="4587486D"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14:paraId="71F26A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、买卖证券差价；</w:t>
      </w:r>
    </w:p>
    <w:p w14:paraId="7BE2B4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、基金投资所得红利、股息、债券利息；</w:t>
      </w:r>
    </w:p>
    <w:p w14:paraId="4342B67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、投资目标</w:t>
      </w:r>
      <w:r>
        <w:rPr>
          <w:rFonts w:ascii="Times New Roman" w:hAnsi="Times New Roman"/>
          <w:sz w:val="24"/>
        </w:rPr>
        <w:t>ETF</w:t>
      </w:r>
      <w:r>
        <w:rPr>
          <w:rFonts w:ascii="Times New Roman" w:hAnsi="Times New Roman"/>
          <w:sz w:val="24"/>
        </w:rPr>
        <w:t>份额所得收益；</w:t>
      </w:r>
    </w:p>
    <w:p w14:paraId="715DF3A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、银行存款利息；</w:t>
      </w:r>
    </w:p>
    <w:p w14:paraId="3C58348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、已实现的其他合法收入。</w:t>
      </w:r>
    </w:p>
    <w:p w14:paraId="1EE37B4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因运用基金财产带来的成本或费用的节约应计入收益。</w:t>
      </w:r>
    </w:p>
    <w:p w14:paraId="17FE2087"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（二）基金净收益</w:t>
      </w:r>
    </w:p>
    <w:p w14:paraId="0B328F9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基金净收益为基金利润扣除按国家有关规定可以在基金利润中扣除的费用后的余额。</w:t>
      </w:r>
    </w:p>
    <w:p w14:paraId="2DBA942E"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（三）收益分配原则</w:t>
      </w:r>
    </w:p>
    <w:p w14:paraId="69D36E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本基金收益分配应遵循下列原则：</w:t>
      </w:r>
    </w:p>
    <w:p w14:paraId="6F4D4F0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、本基金的每份基金份额享有同等分配权；</w:t>
      </w:r>
    </w:p>
    <w:p w14:paraId="03DDF37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、收益分配时所发生的银行转账或其他手续费用由基金投资者自行承担；</w:t>
      </w:r>
    </w:p>
    <w:p w14:paraId="74D13A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proofErr w:type="gramStart"/>
      <w:r>
        <w:rPr>
          <w:rFonts w:ascii="Times New Roman" w:hAnsi="Times New Roman"/>
          <w:sz w:val="24"/>
        </w:rPr>
        <w:t>若基金</w:t>
      </w:r>
      <w:proofErr w:type="gramEnd"/>
      <w:r>
        <w:rPr>
          <w:rFonts w:ascii="Times New Roman" w:hAnsi="Times New Roman"/>
          <w:sz w:val="24"/>
        </w:rPr>
        <w:t>合同生效不满</w:t>
      </w:r>
      <w:r>
        <w:rPr>
          <w:rFonts w:ascii="Times New Roman" w:hAnsi="Times New Roman"/>
          <w:sz w:val="24"/>
        </w:rPr>
        <w:t>3</w:t>
      </w:r>
      <w:r>
        <w:rPr>
          <w:rFonts w:ascii="Times New Roman" w:hAnsi="Times New Roman"/>
          <w:sz w:val="24"/>
        </w:rPr>
        <w:t>个月则可不进行收益分配；</w:t>
      </w:r>
    </w:p>
    <w:p w14:paraId="19CD65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、本基金收益每年最多分配</w:t>
      </w:r>
      <w:r>
        <w:rPr>
          <w:rFonts w:ascii="Times New Roman" w:hAnsi="Times New Roman"/>
          <w:sz w:val="24"/>
        </w:rPr>
        <w:t>4</w:t>
      </w:r>
      <w:r>
        <w:rPr>
          <w:rFonts w:ascii="Times New Roman" w:hAnsi="Times New Roman"/>
          <w:sz w:val="24"/>
        </w:rPr>
        <w:t>次，每次基金收益分配比例不低于可供分配利润的</w:t>
      </w:r>
      <w:r>
        <w:rPr>
          <w:rFonts w:ascii="Times New Roman" w:hAnsi="Times New Roman"/>
          <w:sz w:val="24"/>
        </w:rPr>
        <w:t>10%</w:t>
      </w:r>
      <w:r>
        <w:rPr>
          <w:rFonts w:ascii="Times New Roman" w:hAnsi="Times New Roman"/>
          <w:sz w:val="24"/>
        </w:rPr>
        <w:t>；基金的收益分配比例应当以收益分配基准日可供分配利润为基准计算。收益分配基准日可供分配利润</w:t>
      </w:r>
      <w:proofErr w:type="gramStart"/>
      <w:r>
        <w:rPr>
          <w:rFonts w:ascii="Times New Roman" w:hAnsi="Times New Roman"/>
          <w:sz w:val="24"/>
        </w:rPr>
        <w:t>指收益</w:t>
      </w:r>
      <w:proofErr w:type="gramEnd"/>
      <w:r>
        <w:rPr>
          <w:rFonts w:ascii="Times New Roman" w:hAnsi="Times New Roman"/>
          <w:sz w:val="24"/>
        </w:rPr>
        <w:t>分配基准日资产负债表中未分配利润与未分配利润中已实现利润的孰低数；</w:t>
      </w:r>
    </w:p>
    <w:p w14:paraId="77B2C82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收益分配方式分为两种：现金分红与红利再投资，基金投资者可选择现金红利或将现金红利按除息日的基金份额净值自动转为基金份额进行再投资；若投资者不选择，本基金默认的收益分配方式是现金分红；</w:t>
      </w:r>
    </w:p>
    <w:p w14:paraId="20B47F7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、法律法规或监管机构另有规定的从其规定。</w:t>
      </w:r>
    </w:p>
    <w:p w14:paraId="4789E9CB"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14:paraId="10DADF2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基金收益分配方案中应载明基金期末可供分配利润、基金收益分配对象、分配时间、分配数额及比例、分配方式、支付方式等内容。</w:t>
      </w:r>
    </w:p>
    <w:p w14:paraId="37AE81F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（五）收益分配的时间和程序</w:t>
      </w:r>
    </w:p>
    <w:p w14:paraId="3CBC316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、本基金收益分配方案由基金管理人拟定、由基金托管人核实后确定，依照《信息披露办法》的有关规定在指定媒介公告。</w:t>
      </w:r>
    </w:p>
    <w:p w14:paraId="1ABF118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、在分配方案公布后，依据具体方案的规定，基金管理人就支付的现金红利向基金托管人发送划款指令，基金托管人按照基金管理人的指令及时进行分红资金的划付。</w:t>
      </w:r>
    </w:p>
    <w:p w14:paraId="2F0F75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、基金红利发放</w:t>
      </w:r>
      <w:proofErr w:type="gramStart"/>
      <w:r>
        <w:rPr>
          <w:rFonts w:ascii="Times New Roman" w:hAnsi="Times New Roman"/>
          <w:sz w:val="24"/>
        </w:rPr>
        <w:t>日距离</w:t>
      </w:r>
      <w:proofErr w:type="gramEnd"/>
      <w:r>
        <w:rPr>
          <w:rFonts w:ascii="Times New Roman" w:hAnsi="Times New Roman"/>
          <w:sz w:val="24"/>
        </w:rPr>
        <w:t>收益分配基准日（可供分配利润计算截至日）的时间不得超过</w:t>
      </w:r>
      <w:r>
        <w:rPr>
          <w:rFonts w:ascii="Times New Roman" w:hAnsi="Times New Roman"/>
          <w:sz w:val="24"/>
        </w:rPr>
        <w:t>15</w:t>
      </w:r>
      <w:r>
        <w:rPr>
          <w:rFonts w:ascii="Times New Roman" w:hAnsi="Times New Roman"/>
          <w:sz w:val="24"/>
        </w:rPr>
        <w:t>个工作日。</w:t>
      </w:r>
    </w:p>
    <w:p w14:paraId="7F234D2F"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（六）收益分配中发生的费用</w:t>
      </w:r>
    </w:p>
    <w:p w14:paraId="0854F9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、收益分配采用红利再投资方式免收再投资的费用。</w:t>
      </w:r>
    </w:p>
    <w:p w14:paraId="3EEB5C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、收益分配时发生的银行转账等手续费用由基金份额持有人自行承担。</w:t>
      </w:r>
    </w:p>
    <w:p w14:paraId="664785B1"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（七）收益分配方式的修改</w:t>
      </w:r>
    </w:p>
    <w:p w14:paraId="60E0BB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至销售机构办理收益分配方式的修改，投资者对不同的交易账户可设置不同的收益分配方式。投资者同一日多次申报分红方式变更的，按照《业务规则》执行，最终确认的分红方式以注册登记机构记录为准。</w:t>
      </w:r>
    </w:p>
    <w:p w14:paraId="2879B26C"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BEA37D" w14:textId="77777777" w:rsidR="009A30E5" w:rsidRDefault="00953581">
      <w:pPr>
        <w:pStyle w:val="1"/>
        <w:snapToGrid w:val="0"/>
        <w:spacing w:beforeLines="0" w:before="240" w:after="240"/>
        <w:rPr>
          <w:rFonts w:ascii="宋体" w:hAnsi="宋体"/>
          <w:szCs w:val="30"/>
        </w:rPr>
      </w:pPr>
      <w:bookmarkStart w:id="17" w:name="_Toc59040210"/>
      <w:r>
        <w:rPr>
          <w:rFonts w:ascii="Times New Roman" w:hAnsi="Times New Roman"/>
          <w:sz w:val="30"/>
        </w:rPr>
        <w:lastRenderedPageBreak/>
        <w:t>十五、基金的费用与税收</w:t>
      </w:r>
      <w:bookmarkEnd w:id="17"/>
    </w:p>
    <w:p w14:paraId="2F92CC7A"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14:paraId="2DBB24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7F7568C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5642297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、基金合同生效后的信息披露费用；</w:t>
      </w:r>
    </w:p>
    <w:p w14:paraId="433D552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、基金份额持有人大会费用；</w:t>
      </w:r>
    </w:p>
    <w:p w14:paraId="22F7B4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、基金合同生效后与基金有关的会计师费和律师费；</w:t>
      </w:r>
    </w:p>
    <w:p w14:paraId="13E1A4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、基金的证券交易费用；</w:t>
      </w:r>
    </w:p>
    <w:p w14:paraId="527E05A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、基金财产拨</w:t>
      </w:r>
      <w:proofErr w:type="gramStart"/>
      <w:r>
        <w:rPr>
          <w:rFonts w:ascii="Times New Roman" w:hAnsi="Times New Roman"/>
          <w:sz w:val="24"/>
        </w:rPr>
        <w:t>划支付</w:t>
      </w:r>
      <w:proofErr w:type="gramEnd"/>
      <w:r>
        <w:rPr>
          <w:rFonts w:ascii="Times New Roman" w:hAnsi="Times New Roman"/>
          <w:sz w:val="24"/>
        </w:rPr>
        <w:t>的银行费用；</w:t>
      </w:r>
    </w:p>
    <w:p w14:paraId="47AAC1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、按照国家有关规定可以在基金财产中列支的其他费用。</w:t>
      </w:r>
    </w:p>
    <w:p w14:paraId="7CCBB841"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14:paraId="2E689C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14:paraId="7E3F79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6426ED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财产中投资于目标</w:t>
      </w:r>
      <w:r>
        <w:rPr>
          <w:rFonts w:ascii="Times New Roman" w:hAnsi="Times New Roman"/>
          <w:sz w:val="24"/>
        </w:rPr>
        <w:t>ETF</w:t>
      </w:r>
      <w:r>
        <w:rPr>
          <w:rFonts w:ascii="Times New Roman" w:hAnsi="Times New Roman"/>
          <w:sz w:val="24"/>
        </w:rPr>
        <w:t>的部分不收取管理费。在通常情况下，按前一日基金资产净值扣除基金财产中目标</w:t>
      </w:r>
      <w:r>
        <w:rPr>
          <w:rFonts w:ascii="Times New Roman" w:hAnsi="Times New Roman"/>
          <w:sz w:val="24"/>
        </w:rPr>
        <w:t>ETF</w:t>
      </w:r>
      <w:r>
        <w:rPr>
          <w:rFonts w:ascii="Times New Roman" w:hAnsi="Times New Roman"/>
          <w:sz w:val="24"/>
        </w:rPr>
        <w:t>份额所对应资产净值后剩余部分（若为负数，则取</w:t>
      </w:r>
      <w:r>
        <w:rPr>
          <w:rFonts w:ascii="Times New Roman" w:hAnsi="Times New Roman"/>
          <w:sz w:val="24"/>
        </w:rPr>
        <w:t>0</w:t>
      </w:r>
      <w:r>
        <w:rPr>
          <w:rFonts w:ascii="Times New Roman" w:hAnsi="Times New Roman"/>
          <w:sz w:val="24"/>
        </w:rPr>
        <w:t>）的</w:t>
      </w:r>
      <w:r>
        <w:rPr>
          <w:rFonts w:ascii="Times New Roman" w:hAnsi="Times New Roman"/>
          <w:sz w:val="24"/>
        </w:rPr>
        <w:t>0.5%</w:t>
      </w:r>
      <w:r>
        <w:rPr>
          <w:rFonts w:ascii="Times New Roman" w:hAnsi="Times New Roman"/>
          <w:sz w:val="24"/>
        </w:rPr>
        <w:t>年费率计提基金管理费。计算方法如下：</w:t>
      </w:r>
    </w:p>
    <w:p w14:paraId="446FCC0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年管理费率</w:t>
      </w:r>
      <w:r>
        <w:rPr>
          <w:rFonts w:ascii="Times New Roman" w:hAnsi="Times New Roman"/>
          <w:sz w:val="24"/>
        </w:rPr>
        <w:t>÷</w:t>
      </w:r>
      <w:r>
        <w:rPr>
          <w:rFonts w:ascii="Times New Roman" w:hAnsi="Times New Roman"/>
          <w:sz w:val="24"/>
        </w:rPr>
        <w:t>当年天数，本基金年管理费率为</w:t>
      </w:r>
      <w:r>
        <w:rPr>
          <w:rFonts w:ascii="Times New Roman" w:hAnsi="Times New Roman"/>
          <w:sz w:val="24"/>
        </w:rPr>
        <w:t>0.5%</w:t>
      </w:r>
    </w:p>
    <w:p w14:paraId="0FF25F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603D74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为前一日基金资产净值扣除基金财产中目标</w:t>
      </w:r>
      <w:r>
        <w:rPr>
          <w:rFonts w:ascii="Times New Roman" w:hAnsi="Times New Roman"/>
          <w:sz w:val="24"/>
        </w:rPr>
        <w:t>ETF</w:t>
      </w:r>
      <w:r>
        <w:rPr>
          <w:rFonts w:ascii="Times New Roman" w:hAnsi="Times New Roman"/>
          <w:sz w:val="24"/>
        </w:rPr>
        <w:t>份额所对应资产净值后的剩余部分，若为负数，则</w:t>
      </w:r>
      <w:r>
        <w:rPr>
          <w:rFonts w:ascii="Times New Roman" w:hAnsi="Times New Roman"/>
          <w:sz w:val="24"/>
        </w:rPr>
        <w:t>E</w:t>
      </w:r>
      <w:r>
        <w:rPr>
          <w:rFonts w:ascii="Times New Roman" w:hAnsi="Times New Roman"/>
          <w:sz w:val="24"/>
        </w:rPr>
        <w:t>取</w:t>
      </w:r>
      <w:r>
        <w:rPr>
          <w:rFonts w:ascii="Times New Roman" w:hAnsi="Times New Roman"/>
          <w:sz w:val="24"/>
        </w:rPr>
        <w:t>0</w:t>
      </w:r>
    </w:p>
    <w:p w14:paraId="30B749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个工作日内从基金财产中一次性支付给基金管理人，若遇法定节假日、休息日，支付日期顺延。</w:t>
      </w:r>
    </w:p>
    <w:p w14:paraId="0298CE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3B27346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财产中投资于目标</w:t>
      </w:r>
      <w:r>
        <w:rPr>
          <w:rFonts w:ascii="Times New Roman" w:hAnsi="Times New Roman"/>
          <w:sz w:val="24"/>
        </w:rPr>
        <w:t>ETF</w:t>
      </w:r>
      <w:r>
        <w:rPr>
          <w:rFonts w:ascii="Times New Roman" w:hAnsi="Times New Roman"/>
          <w:sz w:val="24"/>
        </w:rPr>
        <w:t>的部分不收取托管费。在通常情况下，按前一日基金资产净值扣除基金财产中目标</w:t>
      </w:r>
      <w:r>
        <w:rPr>
          <w:rFonts w:ascii="Times New Roman" w:hAnsi="Times New Roman"/>
          <w:sz w:val="24"/>
        </w:rPr>
        <w:t>ETF</w:t>
      </w:r>
      <w:r>
        <w:rPr>
          <w:rFonts w:ascii="Times New Roman" w:hAnsi="Times New Roman"/>
          <w:sz w:val="24"/>
        </w:rPr>
        <w:t>份额所对应资产净值后剩余部分（若为负数，则取</w:t>
      </w:r>
      <w:r>
        <w:rPr>
          <w:rFonts w:ascii="Times New Roman" w:hAnsi="Times New Roman"/>
          <w:sz w:val="24"/>
        </w:rPr>
        <w:t>0</w:t>
      </w:r>
      <w:r>
        <w:rPr>
          <w:rFonts w:ascii="Times New Roman" w:hAnsi="Times New Roman"/>
          <w:sz w:val="24"/>
        </w:rPr>
        <w:t>）的</w:t>
      </w:r>
      <w:r>
        <w:rPr>
          <w:rFonts w:ascii="Times New Roman" w:hAnsi="Times New Roman"/>
          <w:sz w:val="24"/>
        </w:rPr>
        <w:t>0.1%</w:t>
      </w:r>
      <w:r>
        <w:rPr>
          <w:rFonts w:ascii="Times New Roman" w:hAnsi="Times New Roman"/>
          <w:sz w:val="24"/>
        </w:rPr>
        <w:t>年费率计提基金托管费。计算方法如下：</w:t>
      </w:r>
    </w:p>
    <w:p w14:paraId="6A122A6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年托管费率</w:t>
      </w:r>
      <w:r>
        <w:rPr>
          <w:rFonts w:ascii="Times New Roman" w:hAnsi="Times New Roman"/>
          <w:sz w:val="24"/>
        </w:rPr>
        <w:t>÷</w:t>
      </w:r>
      <w:r>
        <w:rPr>
          <w:rFonts w:ascii="Times New Roman" w:hAnsi="Times New Roman"/>
          <w:sz w:val="24"/>
        </w:rPr>
        <w:t>当年天数，本基金年托管费率为</w:t>
      </w:r>
      <w:r>
        <w:rPr>
          <w:rFonts w:ascii="Times New Roman" w:hAnsi="Times New Roman"/>
          <w:sz w:val="24"/>
        </w:rPr>
        <w:t>0.1%</w:t>
      </w:r>
    </w:p>
    <w:p w14:paraId="55F1EA9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14:paraId="3CC090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为前一日基金资产净值扣除基金财产中目标</w:t>
      </w:r>
      <w:r>
        <w:rPr>
          <w:rFonts w:ascii="Times New Roman" w:hAnsi="Times New Roman"/>
          <w:sz w:val="24"/>
        </w:rPr>
        <w:t>ETF</w:t>
      </w:r>
      <w:r>
        <w:rPr>
          <w:rFonts w:ascii="Times New Roman" w:hAnsi="Times New Roman"/>
          <w:sz w:val="24"/>
        </w:rPr>
        <w:t>份额所对应资产净值后的剩</w:t>
      </w:r>
      <w:r>
        <w:rPr>
          <w:rFonts w:ascii="Times New Roman" w:hAnsi="Times New Roman"/>
          <w:sz w:val="24"/>
        </w:rPr>
        <w:lastRenderedPageBreak/>
        <w:t>余部分，若为负数，则</w:t>
      </w:r>
      <w:r>
        <w:rPr>
          <w:rFonts w:ascii="Times New Roman" w:hAnsi="Times New Roman"/>
          <w:sz w:val="24"/>
        </w:rPr>
        <w:t>E</w:t>
      </w:r>
      <w:r>
        <w:rPr>
          <w:rFonts w:ascii="Times New Roman" w:hAnsi="Times New Roman"/>
          <w:sz w:val="24"/>
        </w:rPr>
        <w:t>取</w:t>
      </w:r>
      <w:r>
        <w:rPr>
          <w:rFonts w:ascii="Times New Roman" w:hAnsi="Times New Roman"/>
          <w:sz w:val="24"/>
        </w:rPr>
        <w:t>0</w:t>
      </w:r>
    </w:p>
    <w:p w14:paraId="4266C29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个工作日内从基金财产中一次性支付给基金托管人，若遇法定节假日、休息日，支付日期顺延。</w:t>
      </w:r>
    </w:p>
    <w:p w14:paraId="7B4505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）上述</w:t>
      </w: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中</w:t>
      </w:r>
      <w:r>
        <w:rPr>
          <w:rFonts w:ascii="Times New Roman" w:hAnsi="Times New Roman"/>
          <w:sz w:val="24"/>
        </w:rPr>
        <w:t>3</w:t>
      </w:r>
      <w:r>
        <w:rPr>
          <w:rFonts w:ascii="Times New Roman" w:hAnsi="Times New Roman"/>
          <w:sz w:val="24"/>
        </w:rPr>
        <w:t>到</w:t>
      </w:r>
      <w:r>
        <w:rPr>
          <w:rFonts w:ascii="Times New Roman" w:hAnsi="Times New Roman"/>
          <w:sz w:val="24"/>
        </w:rPr>
        <w:t>8</w:t>
      </w:r>
      <w:r>
        <w:rPr>
          <w:rFonts w:ascii="Times New Roman" w:hAnsi="Times New Roman"/>
          <w:sz w:val="24"/>
        </w:rPr>
        <w:t>项费用由基金托管人根据其他有关法律法规及相应协议的规定，按费用支出金额支付，列入或摊入当期基金费用。</w:t>
      </w:r>
    </w:p>
    <w:p w14:paraId="21FCAAF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14:paraId="7536CA2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51F6E60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07E398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414CE7B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3E622BC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）转换费</w:t>
      </w:r>
    </w:p>
    <w:p w14:paraId="5736320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本基金转换费的费率水平、计算公式和收取方式详见</w:t>
      </w:r>
      <w:r>
        <w:rPr>
          <w:rFonts w:ascii="Times New Roman" w:hAnsi="Times New Roman"/>
          <w:sz w:val="24"/>
        </w:rPr>
        <w:t>“</w:t>
      </w:r>
      <w:r>
        <w:rPr>
          <w:rFonts w:ascii="Times New Roman" w:hAnsi="Times New Roman"/>
          <w:sz w:val="24"/>
        </w:rPr>
        <w:t>基金的转换</w:t>
      </w:r>
      <w:r>
        <w:rPr>
          <w:rFonts w:ascii="Times New Roman" w:hAnsi="Times New Roman"/>
          <w:sz w:val="24"/>
        </w:rPr>
        <w:t>”</w:t>
      </w:r>
      <w:r>
        <w:rPr>
          <w:rFonts w:ascii="Times New Roman" w:hAnsi="Times New Roman"/>
          <w:sz w:val="24"/>
        </w:rPr>
        <w:t>一章。</w:t>
      </w:r>
    </w:p>
    <w:p w14:paraId="552A3459"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14:paraId="4F27133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29184F57"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（四）基金管理费和托管费的调整</w:t>
      </w:r>
    </w:p>
    <w:p w14:paraId="24A87ED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可根据基金发展情况调整基金管理费率和基金托管费率。降低基金管理费率、基金托管费率或改变收费模式，无须召开基金份额持有人大会。基金管理人必须依照有关规定在新的费率或收费模式实施日前在指定媒介上刊登公告。</w:t>
      </w:r>
    </w:p>
    <w:p w14:paraId="6F16EDD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（五）基金税收</w:t>
      </w:r>
    </w:p>
    <w:p w14:paraId="5DAE8A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基金和基金份额持有人根据国家法律法规的规定，履行纳税义务。</w:t>
      </w:r>
    </w:p>
    <w:p w14:paraId="0C108C1C"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1DBBE46" w14:textId="77777777" w:rsidR="009A30E5" w:rsidRDefault="00953581">
      <w:pPr>
        <w:pStyle w:val="1"/>
        <w:snapToGrid w:val="0"/>
        <w:spacing w:beforeLines="0" w:before="240" w:after="240"/>
        <w:rPr>
          <w:rFonts w:ascii="宋体" w:hAnsi="宋体"/>
          <w:szCs w:val="30"/>
        </w:rPr>
      </w:pPr>
      <w:bookmarkStart w:id="18" w:name="_Toc59040211"/>
      <w:r>
        <w:rPr>
          <w:rFonts w:ascii="Times New Roman" w:hAnsi="Times New Roman"/>
          <w:sz w:val="30"/>
        </w:rPr>
        <w:lastRenderedPageBreak/>
        <w:t>十六、基金的会计与审计</w:t>
      </w:r>
      <w:bookmarkEnd w:id="18"/>
    </w:p>
    <w:p w14:paraId="161F74CD"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14:paraId="4FD0893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、基金管理人为本基金的会计责任方；</w:t>
      </w:r>
    </w:p>
    <w:p w14:paraId="0E2C7A9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、本基金的会计年度为公历每年的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5B67BF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、本基金的会计核算以人民币为记账本位币，以人民币元为记账单位；</w:t>
      </w:r>
    </w:p>
    <w:p w14:paraId="362AB1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、会计制度执行国家有关的会计制度；</w:t>
      </w:r>
    </w:p>
    <w:p w14:paraId="1ED8E1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015E276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、基金管理人及基金托管人分别保留完整的会计账目、凭证并进行日常的会计核算，按照有关规定编制基金会计报表；</w:t>
      </w:r>
    </w:p>
    <w:p w14:paraId="1419F91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、基金托管人定期与基金管理人就基金的会计核算、报表编制等进行核对并书面确认。</w:t>
      </w:r>
    </w:p>
    <w:p w14:paraId="43752E43"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（二）基金的审计</w:t>
      </w:r>
    </w:p>
    <w:p w14:paraId="017C95F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、基金管理人聘请具有证券、期货相关从业资格的会计师事务所及其注册会计师对本基金年度财务报表及其他规定事项进行审计。会计师事务所及其注册会计师与基金管理人、基金托管人相互独立。</w:t>
      </w:r>
    </w:p>
    <w:p w14:paraId="23913FB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、会计师事务所更换经办注册会计师时，应事先征得基金管理人同意。</w:t>
      </w:r>
    </w:p>
    <w:p w14:paraId="1646A21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w:t>
      </w:r>
      <w:r>
        <w:rPr>
          <w:rFonts w:ascii="Times New Roman" w:hAnsi="Times New Roman"/>
          <w:sz w:val="24"/>
        </w:rPr>
        <w:t>(</w:t>
      </w:r>
      <w:r>
        <w:rPr>
          <w:rFonts w:ascii="Times New Roman" w:hAnsi="Times New Roman"/>
          <w:sz w:val="24"/>
        </w:rPr>
        <w:t>或基金托管人</w:t>
      </w:r>
      <w:r>
        <w:rPr>
          <w:rFonts w:ascii="Times New Roman" w:hAnsi="Times New Roman"/>
          <w:sz w:val="24"/>
        </w:rPr>
        <w:t>)</w:t>
      </w:r>
      <w:r>
        <w:rPr>
          <w:rFonts w:ascii="Times New Roman" w:hAnsi="Times New Roman"/>
          <w:sz w:val="24"/>
        </w:rPr>
        <w:t>认为有充足理由更换会计师事务所，经基金托管人</w:t>
      </w:r>
      <w:r>
        <w:rPr>
          <w:rFonts w:ascii="Times New Roman" w:hAnsi="Times New Roman"/>
          <w:sz w:val="24"/>
        </w:rPr>
        <w:t>(</w:t>
      </w:r>
      <w:r>
        <w:rPr>
          <w:rFonts w:ascii="Times New Roman" w:hAnsi="Times New Roman"/>
          <w:sz w:val="24"/>
        </w:rPr>
        <w:t>或基金管理人</w:t>
      </w:r>
      <w:r>
        <w:rPr>
          <w:rFonts w:ascii="Times New Roman" w:hAnsi="Times New Roman"/>
          <w:sz w:val="24"/>
        </w:rPr>
        <w:t>)</w:t>
      </w:r>
      <w:r>
        <w:rPr>
          <w:rFonts w:ascii="Times New Roman" w:hAnsi="Times New Roman"/>
          <w:sz w:val="24"/>
        </w:rPr>
        <w:t>同意后可以更换。更换会计师事务所需按照《信息披露办法》的有关规定在指定媒介公告。</w:t>
      </w:r>
    </w:p>
    <w:p w14:paraId="2EC5BB7E"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2B68C27" w14:textId="77777777" w:rsidR="009A30E5" w:rsidRDefault="00953581">
      <w:pPr>
        <w:pStyle w:val="1"/>
        <w:snapToGrid w:val="0"/>
        <w:spacing w:beforeLines="0" w:before="240" w:after="240"/>
        <w:rPr>
          <w:rFonts w:ascii="宋体" w:hAnsi="宋体"/>
          <w:szCs w:val="30"/>
        </w:rPr>
      </w:pPr>
      <w:bookmarkStart w:id="19" w:name="_Toc59040212"/>
      <w:r>
        <w:rPr>
          <w:rFonts w:ascii="Times New Roman" w:hAnsi="Times New Roman"/>
          <w:sz w:val="30"/>
        </w:rPr>
        <w:lastRenderedPageBreak/>
        <w:t>十七、基金的信息披露</w:t>
      </w:r>
      <w:bookmarkEnd w:id="19"/>
    </w:p>
    <w:p w14:paraId="602B9F4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本基金的信息披露应符合《基金法》、《运作办法》、《信息披露办法》、《流动性规定》、《基金合同》及其他有关规定。</w:t>
      </w:r>
    </w:p>
    <w:p w14:paraId="048A46A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14:paraId="47C44E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50F7FD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54BE1E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本基金信息披露义务人承诺公开披露的基金信息，不得有下列行为：</w:t>
      </w:r>
    </w:p>
    <w:p w14:paraId="1CB78E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48E1AB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147D04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1B1F82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14:paraId="22DFEA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0325F9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62ED63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本基金公开披露的信息应采用中文文本。如同时采用外文文本的，基金信息披露义务人应保证不同文本的内容一致。不同文本之间发生歧义的，以中文文本为准。</w:t>
      </w:r>
    </w:p>
    <w:p w14:paraId="48197A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14:paraId="146FDEC5"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（一）公开披露的基金信息</w:t>
      </w:r>
    </w:p>
    <w:p w14:paraId="22C1F2A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、招募说明书、基金合同、托管协议、基金产品资料概要</w:t>
      </w:r>
    </w:p>
    <w:p w14:paraId="058798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3DFD2AD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w:t>
      </w:r>
      <w:r>
        <w:rPr>
          <w:rFonts w:ascii="Times New Roman" w:hAnsi="Times New Roman"/>
          <w:sz w:val="24"/>
        </w:rPr>
        <w:lastRenderedPageBreak/>
        <w:t>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46243F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14:paraId="38D53E5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7C5FFA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日前，将基金招募说明书、《基金合同》摘要登载在指定媒介上；基金管理人、基金托管人应当将《基金合同》、基金托管协议登载在网站上。</w:t>
      </w:r>
    </w:p>
    <w:p w14:paraId="31EE68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14:paraId="2236D82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14:paraId="2D0F816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14:paraId="46E3099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基金管理人应当在收到中国证监会确认文件的次日在指定媒介上登载《基金合同》生效公告。</w:t>
      </w:r>
    </w:p>
    <w:p w14:paraId="0EF44E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14:paraId="4D85EA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《基金合同》生效后，在开始办理基金份额申购或者赎回前，基金管理人应当至少每周在指定网站披露一次基金份额净值和基金份额累计净值。</w:t>
      </w:r>
    </w:p>
    <w:p w14:paraId="257158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在开始办理基金份额申购或者赎回后，基金管理人应当在不晚于每个开放日的次日，通过指定网站、销售机构网站或者营业网点披露开放日的基金份额净值和基金份额累计净值。</w:t>
      </w:r>
    </w:p>
    <w:p w14:paraId="08600D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14:paraId="67FCF6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14:paraId="6E8AD9E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基金管理人应当在《基金合同》、招募说明书等信息披露文件上载</w:t>
      </w:r>
      <w:proofErr w:type="gramStart"/>
      <w:r>
        <w:rPr>
          <w:rFonts w:ascii="Times New Roman" w:hAnsi="Times New Roman"/>
          <w:sz w:val="24"/>
        </w:rPr>
        <w:t>明基金</w:t>
      </w:r>
      <w:proofErr w:type="gramEnd"/>
      <w:r>
        <w:rPr>
          <w:rFonts w:ascii="Times New Roman" w:hAnsi="Times New Roman"/>
          <w:sz w:val="24"/>
        </w:rPr>
        <w:t>份额</w:t>
      </w:r>
      <w:r>
        <w:rPr>
          <w:rFonts w:ascii="Times New Roman" w:hAnsi="Times New Roman"/>
          <w:sz w:val="24"/>
        </w:rPr>
        <w:lastRenderedPageBreak/>
        <w:t>申购、赎回价格的计算方式及有关申购、赎回费率，并保证投资者能够在基金销售机构网站或营业网点查阅或者复制前述信息资料。</w:t>
      </w:r>
    </w:p>
    <w:p w14:paraId="5FD687F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14:paraId="442A5A0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7CDB0B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1900357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380FF4C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572ECC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395764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68A8B8B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14:paraId="2BC38BA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14:paraId="07D0E4C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73E563B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422FFB0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14:paraId="45BE7D1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14:paraId="37D16F4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14:paraId="78A729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3FEFCF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6</w:t>
      </w:r>
      <w:r>
        <w:rPr>
          <w:rFonts w:ascii="Times New Roman" w:hAnsi="Times New Roman"/>
          <w:sz w:val="24"/>
        </w:rPr>
        <w:t>）基金管理人、基金托管人的法定名称、住所发生变更；</w:t>
      </w:r>
    </w:p>
    <w:p w14:paraId="6DEA886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597F6F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08DB94B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6AE5C9C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0C7A130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423907F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0F3D5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5449F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74A0CD1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）管理费、托管费、申购费、赎回费等费用计提标准、计提方式和费率发生变更；</w:t>
      </w:r>
    </w:p>
    <w:p w14:paraId="57E84C4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）基金份额净值计价错误</w:t>
      </w:r>
      <w:proofErr w:type="gramStart"/>
      <w:r>
        <w:rPr>
          <w:rFonts w:ascii="Times New Roman" w:hAnsi="Times New Roman"/>
          <w:sz w:val="24"/>
        </w:rPr>
        <w:t>达基金</w:t>
      </w:r>
      <w:proofErr w:type="gramEnd"/>
      <w:r>
        <w:rPr>
          <w:rFonts w:ascii="Times New Roman" w:hAnsi="Times New Roman"/>
          <w:sz w:val="24"/>
        </w:rPr>
        <w:t>份额净值百分之零点五；</w:t>
      </w:r>
    </w:p>
    <w:p w14:paraId="05C271A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0F8E8F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14:paraId="6B22E8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14:paraId="3532E52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14:paraId="7C8E40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14:paraId="785973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）基金推出新业务或服务；</w:t>
      </w:r>
    </w:p>
    <w:p w14:paraId="1AB022B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）基金信息披露义务人认为可能对基金份额持有人权益或者基金份额的价格产生重大影响的其他事项或中国证监会规定的其他事项。</w:t>
      </w:r>
    </w:p>
    <w:p w14:paraId="723038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14:paraId="3EED6EF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w:t>
      </w:r>
      <w:r>
        <w:rPr>
          <w:rFonts w:ascii="Times New Roman" w:hAnsi="Times New Roman"/>
          <w:sz w:val="24"/>
        </w:rPr>
        <w:lastRenderedPageBreak/>
        <w:t>有人权益的，相关信息披露义务人知悉后应当立即对该消息进行公开澄清，并将有关情况立即报告中国证监会。</w:t>
      </w:r>
    </w:p>
    <w:p w14:paraId="35C6D72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14:paraId="283953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14:paraId="3A454F4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0FFE773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、清算报告</w:t>
      </w:r>
    </w:p>
    <w:p w14:paraId="302F289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基金合同终止的，基金管理人应当依法组织清算组对基金财产进行清算并</w:t>
      </w:r>
      <w:proofErr w:type="gramStart"/>
      <w:r>
        <w:rPr>
          <w:rFonts w:ascii="Times New Roman" w:hAnsi="Times New Roman"/>
          <w:sz w:val="24"/>
        </w:rPr>
        <w:t>作出</w:t>
      </w:r>
      <w:proofErr w:type="gramEnd"/>
      <w:r>
        <w:rPr>
          <w:rFonts w:ascii="Times New Roman" w:hAnsi="Times New Roman"/>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1C3596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、中国证监会规定的其他信息。</w:t>
      </w:r>
    </w:p>
    <w:p w14:paraId="4EE258EB"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（二）信息披露事务管理</w:t>
      </w:r>
    </w:p>
    <w:p w14:paraId="5C7A02B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4FC6198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14:paraId="7DCEA9C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C54580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AC15CC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710471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14:paraId="4683CAD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基金管理人、基金托管人除按法律法规要求披露信息外，也可着眼于为投资者决策提供有用信息的角度，在保证公平对待投资者、</w:t>
      </w:r>
      <w:proofErr w:type="gramStart"/>
      <w:r>
        <w:rPr>
          <w:rFonts w:ascii="Times New Roman" w:hAnsi="Times New Roman"/>
          <w:sz w:val="24"/>
        </w:rPr>
        <w:t>不</w:t>
      </w:r>
      <w:proofErr w:type="gramEnd"/>
      <w:r>
        <w:rPr>
          <w:rFonts w:ascii="Times New Roman" w:hAnsi="Times New Roman"/>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9098E9E"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（三）信息披露文件的存放与查阅</w:t>
      </w:r>
    </w:p>
    <w:p w14:paraId="0EB12E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3E5380F5"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（四）本基金信息披露事项以法律法规规定及本章节约定的内容为准。</w:t>
      </w:r>
    </w:p>
    <w:p w14:paraId="24871783"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9DD4A1" w14:textId="77777777" w:rsidR="009A30E5" w:rsidRDefault="00953581">
      <w:pPr>
        <w:pStyle w:val="1"/>
        <w:snapToGrid w:val="0"/>
        <w:spacing w:beforeLines="0" w:before="240" w:after="240"/>
        <w:rPr>
          <w:rFonts w:ascii="宋体" w:hAnsi="宋体"/>
          <w:szCs w:val="30"/>
        </w:rPr>
      </w:pPr>
      <w:bookmarkStart w:id="20" w:name="_Toc59040213"/>
      <w:r>
        <w:rPr>
          <w:rFonts w:ascii="Times New Roman" w:hAnsi="Times New Roman"/>
          <w:sz w:val="30"/>
        </w:rPr>
        <w:lastRenderedPageBreak/>
        <w:t>十八、风险揭示</w:t>
      </w:r>
      <w:bookmarkEnd w:id="20"/>
    </w:p>
    <w:p w14:paraId="5AF30E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98932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w:t>
      </w:r>
      <w:proofErr w:type="gramStart"/>
      <w:r>
        <w:rPr>
          <w:rFonts w:ascii="Times New Roman" w:hAnsi="Times New Roman"/>
          <w:sz w:val="24"/>
        </w:rPr>
        <w:t>规</w:t>
      </w:r>
      <w:proofErr w:type="gramEnd"/>
      <w:r>
        <w:rPr>
          <w:rFonts w:ascii="Times New Roman" w:hAnsi="Times New Roman"/>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5F50969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31AF43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w:t>
      </w:r>
      <w:proofErr w:type="gramStart"/>
      <w:r>
        <w:rPr>
          <w:rFonts w:ascii="Times New Roman" w:hAnsi="Times New Roman"/>
          <w:sz w:val="24"/>
        </w:rPr>
        <w:t>等判断</w:t>
      </w:r>
      <w:proofErr w:type="gramEnd"/>
      <w:r>
        <w:rPr>
          <w:rFonts w:ascii="Times New Roman" w:hAnsi="Times New Roman"/>
          <w:sz w:val="24"/>
        </w:rPr>
        <w:t>基金是否和投资者的风险承受能力相适应。</w:t>
      </w:r>
    </w:p>
    <w:p w14:paraId="2BBA9B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30EC040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6963061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原则，在做出投资决策后，基金运营状况与基金净值变化引致的投资风险，由投资者自行负担。</w:t>
      </w:r>
    </w:p>
    <w:p w14:paraId="16ED64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基金份额持有人须了解并承受以下风险：</w:t>
      </w:r>
    </w:p>
    <w:p w14:paraId="2C3F86D3"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14:paraId="1C241B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303C149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0BEE93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、经济周期风险。证券市场受宏观经济运行的影响，而经济运行具有周期性的特点，而宏观经济运行状况将对证券市场的收益水平产生影响，从而对基金收益造成影响。</w:t>
      </w:r>
    </w:p>
    <w:p w14:paraId="5AB00E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F17EA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39D718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0A1813B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14:paraId="58B83F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F5A6F97"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14:paraId="3B77B9D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Times New Roman" w:hAnsi="Times New Roman"/>
          <w:sz w:val="24"/>
        </w:rPr>
        <w:t>仓位</w:t>
      </w:r>
      <w:proofErr w:type="gramEnd"/>
      <w:r>
        <w:rPr>
          <w:rFonts w:ascii="Times New Roman" w:hAnsi="Times New Roman"/>
          <w:sz w:val="24"/>
        </w:rPr>
        <w:t>调整的困难，导致流动性风险，可能</w:t>
      </w:r>
      <w:r>
        <w:rPr>
          <w:rFonts w:ascii="Times New Roman" w:hAnsi="Times New Roman"/>
          <w:sz w:val="24"/>
        </w:rPr>
        <w:lastRenderedPageBreak/>
        <w:t>影响基金份额净值。</w:t>
      </w:r>
    </w:p>
    <w:p w14:paraId="7B21399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14:paraId="44ABDA9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FEE4A5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43A6EA3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ascii="Times New Roman" w:hAnsi="Times New Roman"/>
          <w:sz w:val="24"/>
        </w:rPr>
        <w:t>券</w:t>
      </w:r>
      <w:proofErr w:type="gramEnd"/>
      <w:r>
        <w:rPr>
          <w:rFonts w:ascii="Times New Roman" w:hAnsi="Times New Roman"/>
          <w:sz w:val="24"/>
        </w:rPr>
        <w:t>方面未有高集中度的特征，综合评估在正常市场环境下本基金的流动性风险适中。</w:t>
      </w:r>
    </w:p>
    <w:p w14:paraId="7574D8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14:paraId="1EA5D5B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w:t>
      </w:r>
      <w:r>
        <w:rPr>
          <w:rFonts w:ascii="Times New Roman" w:hAnsi="Times New Roman"/>
          <w:sz w:val="24"/>
        </w:rPr>
        <w:t>(</w:t>
      </w:r>
      <w:r>
        <w:rPr>
          <w:rFonts w:ascii="Times New Roman" w:hAnsi="Times New Roman"/>
          <w:sz w:val="24"/>
        </w:rPr>
        <w:t>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超过前一日的基金总份额的</w:t>
      </w:r>
      <w:r>
        <w:rPr>
          <w:rFonts w:ascii="Times New Roman" w:hAnsi="Times New Roman"/>
          <w:sz w:val="24"/>
        </w:rPr>
        <w:t>10%</w:t>
      </w:r>
      <w:r>
        <w:rPr>
          <w:rFonts w:ascii="Times New Roman" w:hAnsi="Times New Roman"/>
          <w:sz w:val="24"/>
        </w:rPr>
        <w:t>，即认为是发生了巨额赎回。</w:t>
      </w:r>
    </w:p>
    <w:p w14:paraId="5B03FA6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当基金出现巨额赎回时，基金管理人可以根据基金当时的资产组合状况决定全额赎回或部分顺延赎回。</w:t>
      </w:r>
    </w:p>
    <w:p w14:paraId="42A970F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全额赎回：当基金管理人认为有能力支付基金投资者的赎回申请时，按正常赎回程序执行。</w:t>
      </w:r>
    </w:p>
    <w:p w14:paraId="795ECA9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部分顺延赎回：当基金管理人认为支付基金投资者的赎回申请有困难或认为支付投资者的赎回申请而进行的财产变现可能会对基金资产净值造成较大波动时，基金管理人在当日接受赎回比例不低于上一日基金总份额的</w:t>
      </w:r>
      <w:r>
        <w:rPr>
          <w:rFonts w:ascii="Times New Roman" w:hAnsi="Times New Roman"/>
          <w:sz w:val="24"/>
        </w:rPr>
        <w:t>10%</w:t>
      </w:r>
      <w:r>
        <w:rPr>
          <w:rFonts w:ascii="Times New Roman" w:hAnsi="Times New Roman"/>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448F7C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lastRenderedPageBreak/>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）部分顺延赎回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4F9D370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w:t>
      </w:r>
      <w:r>
        <w:rPr>
          <w:rFonts w:ascii="Times New Roman" w:hAnsi="Times New Roman"/>
          <w:sz w:val="24"/>
        </w:rPr>
        <w:t>(</w:t>
      </w:r>
      <w:r>
        <w:rPr>
          <w:rFonts w:ascii="Times New Roman" w:hAnsi="Times New Roman"/>
          <w:sz w:val="24"/>
        </w:rPr>
        <w:t>含本数</w:t>
      </w:r>
      <w:r>
        <w:rPr>
          <w:rFonts w:ascii="Times New Roman" w:hAnsi="Times New Roman"/>
          <w:sz w:val="24"/>
        </w:rPr>
        <w:t>)</w:t>
      </w:r>
      <w:r>
        <w:rPr>
          <w:rFonts w:ascii="Times New Roman" w:hAnsi="Times New Roman"/>
          <w:sz w:val="24"/>
        </w:rPr>
        <w:t>发生巨额赎回，如基金管理人认为有必要，可暂停接受基金的赎回申请；已经接受的赎回申请可以延缓支付赎回款项，但不得超过正常支付时间</w:t>
      </w:r>
      <w:r>
        <w:rPr>
          <w:rFonts w:ascii="Times New Roman" w:hAnsi="Times New Roman"/>
          <w:sz w:val="24"/>
        </w:rPr>
        <w:t>20</w:t>
      </w:r>
      <w:r>
        <w:rPr>
          <w:rFonts w:ascii="Times New Roman" w:hAnsi="Times New Roman"/>
          <w:sz w:val="24"/>
        </w:rPr>
        <w:t>个工作日，并应当在指定媒介进行公告。</w:t>
      </w:r>
    </w:p>
    <w:p w14:paraId="5D53DF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75BF9AC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14:paraId="52A1329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D1F699C"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（四）信用风险</w:t>
      </w:r>
    </w:p>
    <w:p w14:paraId="09233E7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14:paraId="28204F4C"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（五）投资本基金的特有风险</w:t>
      </w:r>
    </w:p>
    <w:p w14:paraId="7A8ED7F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、目标</w:t>
      </w:r>
      <w:r>
        <w:rPr>
          <w:rFonts w:ascii="Times New Roman" w:hAnsi="Times New Roman"/>
          <w:sz w:val="24"/>
        </w:rPr>
        <w:t>ETF</w:t>
      </w:r>
      <w:r>
        <w:rPr>
          <w:rFonts w:ascii="Times New Roman" w:hAnsi="Times New Roman"/>
          <w:sz w:val="24"/>
        </w:rPr>
        <w:t>的风险</w:t>
      </w:r>
    </w:p>
    <w:p w14:paraId="54FF47B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w:t>
      </w:r>
      <w:r>
        <w:rPr>
          <w:rFonts w:ascii="Times New Roman" w:hAnsi="Times New Roman"/>
          <w:sz w:val="24"/>
        </w:rPr>
        <w:t>ETF</w:t>
      </w:r>
      <w:r>
        <w:rPr>
          <w:rFonts w:ascii="Times New Roman" w:hAnsi="Times New Roman"/>
          <w:sz w:val="24"/>
        </w:rPr>
        <w:t>联接基金，主要投资对象是目标</w:t>
      </w:r>
      <w:r>
        <w:rPr>
          <w:rFonts w:ascii="Times New Roman" w:hAnsi="Times New Roman"/>
          <w:sz w:val="24"/>
        </w:rPr>
        <w:t>ETF</w:t>
      </w:r>
      <w:r>
        <w:rPr>
          <w:rFonts w:ascii="Times New Roman" w:hAnsi="Times New Roman"/>
          <w:sz w:val="24"/>
        </w:rPr>
        <w:t>，因此目标</w:t>
      </w:r>
      <w:r>
        <w:rPr>
          <w:rFonts w:ascii="Times New Roman" w:hAnsi="Times New Roman"/>
          <w:sz w:val="24"/>
        </w:rPr>
        <w:t>ETF</w:t>
      </w:r>
      <w:r>
        <w:rPr>
          <w:rFonts w:ascii="Times New Roman" w:hAnsi="Times New Roman"/>
          <w:sz w:val="24"/>
        </w:rPr>
        <w:t>面临的风险可能直接或间接成为本基金的风险。</w:t>
      </w:r>
    </w:p>
    <w:p w14:paraId="606FFBF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、标的指数回报与股票市场平均回报偏离的风险</w:t>
      </w:r>
    </w:p>
    <w:p w14:paraId="4323336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14:paraId="387831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、标的指数波动的风险</w:t>
      </w:r>
    </w:p>
    <w:p w14:paraId="761BDD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标的指数成份股的价格可能受到政治因素、经济因素、上市公司经营状况、投资者心理和交易制度等各种因素的影响而波动，导致指数波动，从而使基金收益水平发生变化，产生风险。</w:t>
      </w:r>
    </w:p>
    <w:p w14:paraId="2604585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、基金投资组合回报与标的指数回报偏离的风险</w:t>
      </w:r>
    </w:p>
    <w:p w14:paraId="0FBDC4F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w:t>
      </w:r>
      <w:r>
        <w:rPr>
          <w:rFonts w:ascii="Times New Roman" w:hAnsi="Times New Roman"/>
          <w:sz w:val="24"/>
        </w:rPr>
        <w:t>90%</w:t>
      </w:r>
      <w:r>
        <w:rPr>
          <w:rFonts w:ascii="Times New Roman" w:hAnsi="Times New Roman"/>
          <w:sz w:val="24"/>
        </w:rPr>
        <w:t>以上的净资产投资于目标</w:t>
      </w:r>
      <w:r>
        <w:rPr>
          <w:rFonts w:ascii="Times New Roman" w:hAnsi="Times New Roman"/>
          <w:sz w:val="24"/>
        </w:rPr>
        <w:t>ETF</w:t>
      </w:r>
      <w:r>
        <w:rPr>
          <w:rFonts w:ascii="Times New Roman" w:hAnsi="Times New Roman"/>
          <w:sz w:val="24"/>
        </w:rPr>
        <w:t>，目标</w:t>
      </w:r>
      <w:r>
        <w:rPr>
          <w:rFonts w:ascii="Times New Roman" w:hAnsi="Times New Roman"/>
          <w:sz w:val="24"/>
        </w:rPr>
        <w:t>ETF</w:t>
      </w:r>
      <w:r>
        <w:rPr>
          <w:rFonts w:ascii="Times New Roman" w:hAnsi="Times New Roman"/>
          <w:sz w:val="24"/>
        </w:rPr>
        <w:t>回报与标的指数回报的偏离会造成本基金与标的指数的跟踪偏离；</w:t>
      </w:r>
    </w:p>
    <w:p w14:paraId="7E3A1C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）本基金有投资成本、各种费用及税收，而指数编制不考虑费用和税收，这将导致本基金收益率落后于标的指数收益率，产生负的跟踪偏离度；</w:t>
      </w:r>
    </w:p>
    <w:p w14:paraId="1672EC3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）受市场流动性风险的影响，本基金在实际管理过程中，由于投资者申购而增加的资金可能不能及时地转化为目标</w:t>
      </w:r>
      <w:r>
        <w:rPr>
          <w:rFonts w:ascii="Times New Roman" w:hAnsi="Times New Roman"/>
          <w:sz w:val="24"/>
        </w:rPr>
        <w:t>ETF</w:t>
      </w:r>
      <w:r>
        <w:rPr>
          <w:rFonts w:ascii="Times New Roman" w:hAnsi="Times New Roman"/>
          <w:sz w:val="24"/>
        </w:rPr>
        <w:t>份额和成份股、或在面临投资者赎回时无法以赎回价格将目标</w:t>
      </w:r>
      <w:r>
        <w:rPr>
          <w:rFonts w:ascii="Times New Roman" w:hAnsi="Times New Roman"/>
          <w:sz w:val="24"/>
        </w:rPr>
        <w:t>ETF</w:t>
      </w:r>
      <w:r>
        <w:rPr>
          <w:rFonts w:ascii="Times New Roman" w:hAnsi="Times New Roman"/>
          <w:sz w:val="24"/>
        </w:rPr>
        <w:t>份额和成份股及时地转化为现金，使得本基金在跟踪标的指数时存在一定的跟踪偏离风险；</w:t>
      </w:r>
    </w:p>
    <w:p w14:paraId="51DB981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）在本基金实行指数</w:t>
      </w:r>
      <w:proofErr w:type="gramStart"/>
      <w:r>
        <w:rPr>
          <w:rFonts w:ascii="Times New Roman" w:hAnsi="Times New Roman"/>
          <w:sz w:val="24"/>
        </w:rPr>
        <w:t>化投资</w:t>
      </w:r>
      <w:proofErr w:type="gramEnd"/>
      <w:r>
        <w:rPr>
          <w:rFonts w:ascii="Times New Roman" w:hAnsi="Times New Roman"/>
          <w:sz w:val="24"/>
        </w:rPr>
        <w:t>过程中，基金管理人对指数基金的管理能力，例如跟踪标的指数的水平、技术手段、买入卖出证券的时机选择等，都会对本基金的收益产生影响，从而影响本基金相对于对标的指数的偏离程度。</w:t>
      </w:r>
    </w:p>
    <w:p w14:paraId="28EFCF50" w14:textId="77777777"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sz w:val="24"/>
        </w:rPr>
        <w:t>5</w:t>
      </w:r>
      <w:r w:rsidRPr="00AB5027">
        <w:rPr>
          <w:rFonts w:ascii="Times New Roman" w:hAnsi="Times New Roman" w:hint="eastAsia"/>
          <w:sz w:val="24"/>
        </w:rPr>
        <w:t>、</w:t>
      </w:r>
      <w:r w:rsidRPr="00AB5027">
        <w:rPr>
          <w:rFonts w:ascii="Times New Roman" w:hAnsi="Times New Roman" w:hint="eastAsia"/>
          <w:bCs/>
          <w:sz w:val="24"/>
        </w:rPr>
        <w:t>跟踪误差控制未达约定目标的风险</w:t>
      </w:r>
    </w:p>
    <w:p w14:paraId="12F100C3" w14:textId="158EAB25"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bCs/>
          <w:sz w:val="24"/>
        </w:rPr>
        <w:t>本基金力争控制本基金日均跟踪偏离度的绝对值不超过</w:t>
      </w:r>
      <w:r w:rsidRPr="00AB5027">
        <w:rPr>
          <w:rFonts w:ascii="Times New Roman" w:hAnsi="Times New Roman" w:hint="eastAsia"/>
          <w:bCs/>
          <w:sz w:val="24"/>
        </w:rPr>
        <w:t>0.</w:t>
      </w:r>
      <w:r w:rsidRPr="00AB5027">
        <w:rPr>
          <w:rFonts w:ascii="Times New Roman" w:hAnsi="Times New Roman"/>
          <w:bCs/>
          <w:sz w:val="24"/>
        </w:rPr>
        <w:t>3</w:t>
      </w:r>
      <w:r w:rsidRPr="00AB5027">
        <w:rPr>
          <w:rFonts w:ascii="Times New Roman" w:hAnsi="Times New Roman" w:hint="eastAsia"/>
          <w:bCs/>
          <w:sz w:val="24"/>
        </w:rPr>
        <w:t>%</w:t>
      </w:r>
      <w:r w:rsidRPr="00AB5027">
        <w:rPr>
          <w:rFonts w:ascii="Times New Roman" w:hAnsi="Times New Roman" w:hint="eastAsia"/>
          <w:bCs/>
          <w:sz w:val="24"/>
        </w:rPr>
        <w:t>，年跟踪误差不超过</w:t>
      </w:r>
      <w:r w:rsidRPr="00AB5027">
        <w:rPr>
          <w:rFonts w:ascii="Times New Roman" w:hAnsi="Times New Roman"/>
          <w:bCs/>
          <w:sz w:val="24"/>
        </w:rPr>
        <w:t>4</w:t>
      </w:r>
      <w:r w:rsidRPr="00AB5027">
        <w:rPr>
          <w:rFonts w:ascii="Times New Roman" w:hAnsi="Times New Roman" w:hint="eastAsia"/>
          <w:bCs/>
          <w:sz w:val="24"/>
        </w:rPr>
        <w:t>%</w:t>
      </w:r>
      <w:r w:rsidRPr="00AB5027">
        <w:rPr>
          <w:rFonts w:ascii="Times New Roman" w:hAnsi="Times New Roman" w:hint="eastAsia"/>
          <w:bCs/>
          <w:sz w:val="24"/>
        </w:rPr>
        <w:t>。但因标的指数编制规则调整或其他因素可能导致跟踪误差超过上述范围，本基金净值表现与指数价格走势可能发生较大偏离。</w:t>
      </w:r>
    </w:p>
    <w:p w14:paraId="42B7045E" w14:textId="77777777"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bCs/>
          <w:sz w:val="24"/>
        </w:rPr>
        <w:t>6</w:t>
      </w:r>
      <w:r w:rsidRPr="00AB5027">
        <w:rPr>
          <w:rFonts w:ascii="Times New Roman" w:hAnsi="Times New Roman" w:hint="eastAsia"/>
          <w:bCs/>
          <w:sz w:val="24"/>
        </w:rPr>
        <w:t>、指数编制机构停止服务的风险</w:t>
      </w:r>
    </w:p>
    <w:p w14:paraId="022F6797" w14:textId="5CA6C1BB"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bCs/>
          <w:sz w:val="24"/>
        </w:rPr>
        <w:t>本基金的标的指数</w:t>
      </w:r>
      <w:proofErr w:type="gramStart"/>
      <w:r w:rsidRPr="00AB5027">
        <w:rPr>
          <w:rFonts w:ascii="Times New Roman" w:hAnsi="Times New Roman" w:hint="eastAsia"/>
          <w:bCs/>
          <w:sz w:val="24"/>
        </w:rPr>
        <w:t>由指数</w:t>
      </w:r>
      <w:proofErr w:type="gramEnd"/>
      <w:r w:rsidRPr="00AB5027">
        <w:rPr>
          <w:rFonts w:ascii="Times New Roman" w:hAnsi="Times New Roman" w:hint="eastAsia"/>
          <w:bCs/>
          <w:sz w:val="24"/>
        </w:rPr>
        <w:t>编制机构发布并管理和维护，未来指数编制机构可能由于各种原因停止对指数的管理和维护，本基金将根据基金合同的约定自该情形发生之日起十个工作日内向中国证监会报告并提出解决方案，如</w:t>
      </w:r>
      <w:r w:rsidR="00203351">
        <w:rPr>
          <w:rFonts w:hint="eastAsia"/>
          <w:bCs/>
          <w:sz w:val="24"/>
        </w:rPr>
        <w:t>更换基金标的指数、转换运作方式，与其他基金合并</w:t>
      </w:r>
      <w:r w:rsidR="00203351" w:rsidRPr="00486238">
        <w:rPr>
          <w:rFonts w:hint="eastAsia"/>
          <w:bCs/>
          <w:sz w:val="24"/>
        </w:rPr>
        <w:t>或者终止基金合同等，并</w:t>
      </w:r>
      <w:r w:rsidRPr="00AB5027">
        <w:rPr>
          <w:rFonts w:ascii="Times New Roman" w:hAnsi="Times New Roman" w:hint="eastAsia"/>
          <w:bCs/>
          <w:sz w:val="24"/>
        </w:rPr>
        <w:t>在</w:t>
      </w:r>
      <w:r w:rsidRPr="00AB5027">
        <w:rPr>
          <w:rFonts w:ascii="Times New Roman" w:hAnsi="Times New Roman"/>
          <w:bCs/>
          <w:sz w:val="24"/>
        </w:rPr>
        <w:t>6</w:t>
      </w:r>
      <w:r w:rsidRPr="00AB5027">
        <w:rPr>
          <w:rFonts w:ascii="Times New Roman" w:hAnsi="Times New Roman" w:hint="eastAsia"/>
          <w:bCs/>
          <w:sz w:val="24"/>
        </w:rPr>
        <w:t>个月内召集基金份额持有人大会进行表决，基金份额持有人大会未成功召开或就上述事项表决未通过的，基金合同终止。</w:t>
      </w:r>
      <w:r w:rsidRPr="00AB5027" w:rsidDel="008773E0">
        <w:rPr>
          <w:rFonts w:ascii="Times New Roman" w:hAnsi="Times New Roman" w:hint="eastAsia"/>
          <w:bCs/>
          <w:sz w:val="24"/>
        </w:rPr>
        <w:t xml:space="preserve"> </w:t>
      </w:r>
      <w:r w:rsidR="009913FC">
        <w:rPr>
          <w:rFonts w:hint="eastAsia"/>
          <w:bCs/>
          <w:sz w:val="24"/>
        </w:rPr>
        <w:t>投资人将面临更换基金标的指数、转换运作方式，与其他基金合并或者终止基金合同等风险。</w:t>
      </w:r>
    </w:p>
    <w:p w14:paraId="6FA5AC5F" w14:textId="67E942AC"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proofErr w:type="gramStart"/>
      <w:r w:rsidRPr="00AB5027">
        <w:rPr>
          <w:rFonts w:ascii="Times New Roman" w:hAnsi="Times New Roman" w:hint="eastAsia"/>
          <w:bCs/>
          <w:sz w:val="24"/>
        </w:rPr>
        <w:t>自指数</w:t>
      </w:r>
      <w:proofErr w:type="gramEnd"/>
      <w:r w:rsidRPr="00AB5027">
        <w:rPr>
          <w:rFonts w:ascii="Times New Roman" w:hAnsi="Times New Roman" w:hint="eastAsia"/>
          <w:bCs/>
          <w:sz w:val="24"/>
        </w:rPr>
        <w:t>编制机构停止标的指数的编制及发布</w:t>
      </w:r>
      <w:proofErr w:type="gramStart"/>
      <w:r w:rsidRPr="00AB5027">
        <w:rPr>
          <w:rFonts w:ascii="Times New Roman" w:hAnsi="Times New Roman" w:hint="eastAsia"/>
          <w:bCs/>
          <w:sz w:val="24"/>
        </w:rPr>
        <w:t>至解决</w:t>
      </w:r>
      <w:proofErr w:type="gramEnd"/>
      <w:r w:rsidRPr="00AB5027">
        <w:rPr>
          <w:rFonts w:ascii="Times New Roman" w:hAnsi="Times New Roman" w:hint="eastAsia"/>
          <w:bCs/>
          <w:sz w:val="24"/>
        </w:rPr>
        <w:t>方案确定</w:t>
      </w:r>
      <w:r w:rsidR="004117E1" w:rsidRPr="00486238">
        <w:rPr>
          <w:rFonts w:hint="eastAsia"/>
          <w:bCs/>
          <w:sz w:val="24"/>
        </w:rPr>
        <w:t>期间</w:t>
      </w:r>
      <w:r w:rsidRPr="00AB5027">
        <w:rPr>
          <w:rFonts w:ascii="Times New Roman" w:hAnsi="Times New Roman" w:hint="eastAsia"/>
          <w:bCs/>
          <w:sz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41D2B246" w14:textId="77777777"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bCs/>
          <w:sz w:val="24"/>
        </w:rPr>
        <w:t>7</w:t>
      </w:r>
      <w:r w:rsidRPr="00AB5027">
        <w:rPr>
          <w:rFonts w:ascii="Times New Roman" w:hAnsi="Times New Roman" w:hint="eastAsia"/>
          <w:bCs/>
          <w:sz w:val="24"/>
        </w:rPr>
        <w:t>、成份股停牌的风险</w:t>
      </w:r>
    </w:p>
    <w:p w14:paraId="4B0DF847" w14:textId="77777777"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bCs/>
          <w:sz w:val="24"/>
        </w:rPr>
        <w:t>标的指数成份股可能因各种原因临时或长期停牌，发生成份股停牌时可能面临</w:t>
      </w:r>
      <w:r w:rsidRPr="00AB5027">
        <w:rPr>
          <w:rFonts w:ascii="Times New Roman" w:hAnsi="Times New Roman" w:hint="eastAsia"/>
          <w:bCs/>
          <w:sz w:val="24"/>
        </w:rPr>
        <w:lastRenderedPageBreak/>
        <w:t>如下风险：</w:t>
      </w:r>
    </w:p>
    <w:p w14:paraId="71FA9541" w14:textId="77777777"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bCs/>
          <w:sz w:val="24"/>
        </w:rPr>
        <w:t>（</w:t>
      </w:r>
      <w:r w:rsidRPr="00AB5027">
        <w:rPr>
          <w:rFonts w:ascii="Times New Roman" w:hAnsi="Times New Roman" w:hint="eastAsia"/>
          <w:bCs/>
          <w:sz w:val="24"/>
        </w:rPr>
        <w:t>1</w:t>
      </w:r>
      <w:r w:rsidRPr="00AB5027">
        <w:rPr>
          <w:rFonts w:ascii="Times New Roman" w:hAnsi="Times New Roman" w:hint="eastAsia"/>
          <w:bCs/>
          <w:sz w:val="24"/>
        </w:rPr>
        <w:t>）基金可能因无法及时调整投资组合而导致跟踪偏离度和跟踪误差扩大。</w:t>
      </w:r>
    </w:p>
    <w:p w14:paraId="723171FF" w14:textId="77777777" w:rsid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bCs/>
          <w:sz w:val="24"/>
        </w:rPr>
        <w:t>（</w:t>
      </w:r>
      <w:r w:rsidRPr="00AB5027">
        <w:rPr>
          <w:rFonts w:ascii="Times New Roman" w:hAnsi="Times New Roman"/>
          <w:bCs/>
          <w:sz w:val="24"/>
        </w:rPr>
        <w:t>2</w:t>
      </w:r>
      <w:r w:rsidRPr="00AB5027">
        <w:rPr>
          <w:rFonts w:ascii="Times New Roman" w:hAnsi="Times New Roman" w:hint="eastAsia"/>
          <w:bCs/>
          <w:sz w:val="24"/>
        </w:rPr>
        <w:t>）若成份股停牌时间较长，在约定时间内仍未能及时买入或卖出的，由此可能影响投资者的投资损益并使基金产生跟踪偏离度和跟踪误差。</w:t>
      </w:r>
    </w:p>
    <w:p w14:paraId="353CDA2C" w14:textId="6DEF305B"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bCs/>
          <w:sz w:val="24"/>
        </w:rPr>
        <w:t>（</w:t>
      </w:r>
      <w:r w:rsidRPr="00AB5027">
        <w:rPr>
          <w:rFonts w:ascii="Times New Roman" w:hAnsi="Times New Roman"/>
          <w:bCs/>
          <w:sz w:val="24"/>
        </w:rPr>
        <w:t>3</w:t>
      </w:r>
      <w:r w:rsidRPr="00AB5027">
        <w:rPr>
          <w:rFonts w:ascii="Times New Roman" w:hAnsi="Times New Roman" w:hint="eastAsia"/>
          <w:bCs/>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7A8A91B0" w14:textId="77777777" w:rsidR="00AB5027" w:rsidRPr="00AB5027" w:rsidRDefault="00AB5027" w:rsidP="00AB5027">
      <w:pPr>
        <w:autoSpaceDE w:val="0"/>
        <w:autoSpaceDN w:val="0"/>
        <w:adjustRightInd w:val="0"/>
        <w:snapToGrid w:val="0"/>
        <w:spacing w:line="360" w:lineRule="auto"/>
        <w:ind w:firstLineChars="200" w:firstLine="480"/>
        <w:rPr>
          <w:rFonts w:ascii="Times New Roman" w:hAnsi="Times New Roman"/>
          <w:bCs/>
          <w:sz w:val="24"/>
        </w:rPr>
      </w:pPr>
      <w:r w:rsidRPr="00AB5027">
        <w:rPr>
          <w:rFonts w:ascii="Times New Roman" w:hAnsi="Times New Roman" w:hint="eastAsia"/>
          <w:bCs/>
          <w:sz w:val="24"/>
        </w:rPr>
        <w:t>本基金运作过程中，当标的指数成份股发生明显负面事件面临退市，且指数编制机构暂未</w:t>
      </w:r>
      <w:proofErr w:type="gramStart"/>
      <w:r w:rsidRPr="00AB5027">
        <w:rPr>
          <w:rFonts w:ascii="Times New Roman" w:hAnsi="Times New Roman" w:hint="eastAsia"/>
          <w:bCs/>
          <w:sz w:val="24"/>
        </w:rPr>
        <w:t>作出</w:t>
      </w:r>
      <w:proofErr w:type="gramEnd"/>
      <w:r w:rsidRPr="00AB5027">
        <w:rPr>
          <w:rFonts w:ascii="Times New Roman" w:hAnsi="Times New Roman" w:hint="eastAsia"/>
          <w:bCs/>
          <w:sz w:val="24"/>
        </w:rPr>
        <w:t>调整的，基金管理人应当按照持有人利益优先的原则，履行内部决策程序后及时对相关成份股进行调整，可能影响投资者的投资损益并使基金产生跟踪偏离度和跟踪误差。</w:t>
      </w:r>
    </w:p>
    <w:p w14:paraId="7065D1F0" w14:textId="7AAFB36C" w:rsidR="009A30E5" w:rsidRDefault="00C60BF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sidR="00953581">
        <w:rPr>
          <w:rFonts w:ascii="Times New Roman" w:hAnsi="Times New Roman"/>
          <w:sz w:val="24"/>
        </w:rPr>
        <w:t>、本基金为目标</w:t>
      </w:r>
      <w:r w:rsidR="00953581">
        <w:rPr>
          <w:rFonts w:ascii="Times New Roman" w:hAnsi="Times New Roman"/>
          <w:sz w:val="24"/>
        </w:rPr>
        <w:t>ETF</w:t>
      </w:r>
      <w:r w:rsidR="00953581">
        <w:rPr>
          <w:rFonts w:ascii="Times New Roman" w:hAnsi="Times New Roman"/>
          <w:sz w:val="24"/>
        </w:rPr>
        <w:t>的联接基金，但不能保证本基金的表现与目标</w:t>
      </w:r>
      <w:r w:rsidR="00953581">
        <w:rPr>
          <w:rFonts w:ascii="Times New Roman" w:hAnsi="Times New Roman"/>
          <w:sz w:val="24"/>
        </w:rPr>
        <w:t>ETF</w:t>
      </w:r>
      <w:r w:rsidR="00953581">
        <w:rPr>
          <w:rFonts w:ascii="Times New Roman" w:hAnsi="Times New Roman"/>
          <w:sz w:val="24"/>
        </w:rPr>
        <w:t>的表现完全一致，产生差异的原因包括以下几个方面：</w:t>
      </w:r>
    </w:p>
    <w:p w14:paraId="0D33D7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）本基金赎回采用现金方式，为支付现金赎回款，相比目标</w:t>
      </w:r>
      <w:r>
        <w:rPr>
          <w:rFonts w:ascii="Times New Roman" w:hAnsi="Times New Roman"/>
          <w:sz w:val="24"/>
        </w:rPr>
        <w:t>ETF</w:t>
      </w:r>
      <w:r>
        <w:rPr>
          <w:rFonts w:ascii="Times New Roman" w:hAnsi="Times New Roman"/>
          <w:sz w:val="24"/>
        </w:rPr>
        <w:t>，本基金需要保留更多的现金资产；</w:t>
      </w:r>
    </w:p>
    <w:p w14:paraId="18DF38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）本基金申购采用现金方式，在利用到账的申购资金投资目标</w:t>
      </w:r>
      <w:r>
        <w:rPr>
          <w:rFonts w:ascii="Times New Roman" w:hAnsi="Times New Roman"/>
          <w:sz w:val="24"/>
        </w:rPr>
        <w:t>ETF</w:t>
      </w:r>
      <w:r>
        <w:rPr>
          <w:rFonts w:ascii="Times New Roman" w:hAnsi="Times New Roman"/>
          <w:sz w:val="24"/>
        </w:rPr>
        <w:t>过程中，市场波动等原因会造成本基金与目标</w:t>
      </w:r>
      <w:r>
        <w:rPr>
          <w:rFonts w:ascii="Times New Roman" w:hAnsi="Times New Roman"/>
          <w:sz w:val="24"/>
        </w:rPr>
        <w:t>ETF</w:t>
      </w:r>
      <w:r>
        <w:rPr>
          <w:rFonts w:ascii="Times New Roman" w:hAnsi="Times New Roman"/>
          <w:sz w:val="24"/>
        </w:rPr>
        <w:t>表现的差异；</w:t>
      </w:r>
    </w:p>
    <w:p w14:paraId="46806E1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）本基金为应对现金申购赎回而进行的证券交易需支付一定的手续费，此等费用将影响本基金相对于目标</w:t>
      </w:r>
      <w:r>
        <w:rPr>
          <w:rFonts w:ascii="Times New Roman" w:hAnsi="Times New Roman"/>
          <w:sz w:val="24"/>
        </w:rPr>
        <w:t>ETF</w:t>
      </w:r>
      <w:r>
        <w:rPr>
          <w:rFonts w:ascii="Times New Roman" w:hAnsi="Times New Roman"/>
          <w:sz w:val="24"/>
        </w:rPr>
        <w:t>的表现。</w:t>
      </w:r>
    </w:p>
    <w:p w14:paraId="480B5891" w14:textId="41832880" w:rsidR="009A30E5" w:rsidRDefault="00C60BF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sidR="00953581">
        <w:rPr>
          <w:rFonts w:ascii="Times New Roman" w:hAnsi="Times New Roman"/>
          <w:sz w:val="24"/>
        </w:rPr>
        <w:t>、本基金可投资创业板股票，创业板个股上市后的前五个交易日不设价格涨跌幅限制，第六个交易日开始涨跌幅限制比例为</w:t>
      </w:r>
      <w:r w:rsidR="00953581">
        <w:rPr>
          <w:rFonts w:ascii="Times New Roman" w:hAnsi="Times New Roman"/>
          <w:sz w:val="24"/>
        </w:rPr>
        <w:t>20%</w:t>
      </w:r>
      <w:r w:rsidR="00953581">
        <w:rPr>
          <w:rFonts w:ascii="Times New Roman" w:hAnsi="Times New Roman"/>
          <w:sz w:val="24"/>
        </w:rPr>
        <w:t>。</w:t>
      </w:r>
    </w:p>
    <w:p w14:paraId="76519D1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（六）投资</w:t>
      </w:r>
      <w:proofErr w:type="gramStart"/>
      <w:r w:rsidRPr="00BB248E">
        <w:rPr>
          <w:rFonts w:ascii="宋体" w:hAnsi="宋体" w:hint="eastAsia"/>
          <w:b/>
          <w:szCs w:val="24"/>
        </w:rPr>
        <w:t>科创板股票</w:t>
      </w:r>
      <w:proofErr w:type="gramEnd"/>
      <w:r w:rsidRPr="00BB248E">
        <w:rPr>
          <w:rFonts w:ascii="宋体" w:hAnsi="宋体" w:hint="eastAsia"/>
          <w:b/>
          <w:szCs w:val="24"/>
        </w:rPr>
        <w:t>的特定风险</w:t>
      </w:r>
    </w:p>
    <w:p w14:paraId="3403B90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本基金可投资于</w:t>
      </w:r>
      <w:proofErr w:type="gramStart"/>
      <w:r>
        <w:rPr>
          <w:rFonts w:ascii="Times New Roman" w:hAnsi="Times New Roman"/>
          <w:sz w:val="24"/>
        </w:rPr>
        <w:t>科创板</w:t>
      </w:r>
      <w:proofErr w:type="gramEnd"/>
      <w:r>
        <w:rPr>
          <w:rFonts w:ascii="Times New Roman" w:hAnsi="Times New Roman"/>
          <w:sz w:val="24"/>
        </w:rPr>
        <w:t>股票，会</w:t>
      </w:r>
      <w:proofErr w:type="gramStart"/>
      <w:r>
        <w:rPr>
          <w:rFonts w:ascii="Times New Roman" w:hAnsi="Times New Roman"/>
          <w:sz w:val="24"/>
        </w:rPr>
        <w:t>面临科创板机制</w:t>
      </w:r>
      <w:proofErr w:type="gramEnd"/>
      <w:r>
        <w:rPr>
          <w:rFonts w:ascii="Times New Roman" w:hAnsi="Times New Roman"/>
          <w:sz w:val="24"/>
        </w:rPr>
        <w:t>下因投资标的、市场制度以及交易规则等差异带来的特有风险，包括但不限于市场风险、流动性风险、退市风险、集中度风险、系统性风险、政策风险等。</w:t>
      </w:r>
    </w:p>
    <w:p w14:paraId="0DDEBE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w:t>
      </w:r>
    </w:p>
    <w:p w14:paraId="353C36DC"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w:t>
      </w:r>
      <w:proofErr w:type="gramEnd"/>
      <w:r>
        <w:rPr>
          <w:rFonts w:ascii="Times New Roman" w:hAnsi="Times New Roman"/>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Pr>
          <w:rFonts w:ascii="Times New Roman" w:hAnsi="Times New Roman"/>
          <w:sz w:val="24"/>
        </w:rPr>
        <w:t>个</w:t>
      </w:r>
      <w:proofErr w:type="gramEnd"/>
      <w:r>
        <w:rPr>
          <w:rFonts w:ascii="Times New Roman" w:hAnsi="Times New Roman"/>
          <w:sz w:val="24"/>
        </w:rPr>
        <w:t>股市</w:t>
      </w:r>
      <w:proofErr w:type="gramStart"/>
      <w:r>
        <w:rPr>
          <w:rFonts w:ascii="Times New Roman" w:hAnsi="Times New Roman"/>
          <w:sz w:val="24"/>
        </w:rPr>
        <w:t>场风险</w:t>
      </w:r>
      <w:proofErr w:type="gramEnd"/>
      <w:r>
        <w:rPr>
          <w:rFonts w:ascii="Times New Roman" w:hAnsi="Times New Roman"/>
          <w:sz w:val="24"/>
        </w:rPr>
        <w:t>加大。</w:t>
      </w:r>
    </w:p>
    <w:p w14:paraId="621178E7"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lastRenderedPageBreak/>
        <w:t>科创板</w:t>
      </w:r>
      <w:proofErr w:type="gramEnd"/>
      <w:r>
        <w:rPr>
          <w:rFonts w:ascii="Times New Roman" w:hAnsi="Times New Roman"/>
          <w:sz w:val="24"/>
        </w:rPr>
        <w:t>个股上市前五日无涨跌停限制，第六日开始涨跌幅限制在正负</w:t>
      </w:r>
      <w:r>
        <w:rPr>
          <w:rFonts w:ascii="Times New Roman" w:hAnsi="Times New Roman"/>
          <w:sz w:val="24"/>
        </w:rPr>
        <w:t>20%</w:t>
      </w:r>
      <w:r>
        <w:rPr>
          <w:rFonts w:ascii="Times New Roman" w:hAnsi="Times New Roman"/>
          <w:sz w:val="24"/>
        </w:rPr>
        <w:t>以内，个股波动幅度较其他股票加大，市场风险随之上升。</w:t>
      </w:r>
    </w:p>
    <w:p w14:paraId="53580D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w:t>
      </w:r>
    </w:p>
    <w:p w14:paraId="7413BAA3"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科创板整体</w:t>
      </w:r>
      <w:proofErr w:type="gramEnd"/>
      <w:r>
        <w:rPr>
          <w:rFonts w:ascii="Times New Roman" w:hAnsi="Times New Roman"/>
          <w:sz w:val="24"/>
        </w:rPr>
        <w:t>投资门槛较高，个人投资者必须满足交易满两年并且资金在</w:t>
      </w:r>
      <w:r>
        <w:rPr>
          <w:rFonts w:ascii="Times New Roman" w:hAnsi="Times New Roman"/>
          <w:sz w:val="24"/>
        </w:rPr>
        <w:t>50</w:t>
      </w:r>
      <w:r>
        <w:rPr>
          <w:rFonts w:ascii="Times New Roman" w:hAnsi="Times New Roman"/>
          <w:sz w:val="24"/>
        </w:rPr>
        <w:t>万以上才可参与，二级市场上个人投资者参与度相对较低，机构持有个股大量流通盘导致个股流动性较差，基金组合存在无法及时变</w:t>
      </w:r>
      <w:proofErr w:type="gramStart"/>
      <w:r>
        <w:rPr>
          <w:rFonts w:ascii="Times New Roman" w:hAnsi="Times New Roman"/>
          <w:sz w:val="24"/>
        </w:rPr>
        <w:t>现及其</w:t>
      </w:r>
      <w:proofErr w:type="gramEnd"/>
      <w:r>
        <w:rPr>
          <w:rFonts w:ascii="Times New Roman" w:hAnsi="Times New Roman"/>
          <w:sz w:val="24"/>
        </w:rPr>
        <w:t>他相关流动性风险。</w:t>
      </w:r>
    </w:p>
    <w:p w14:paraId="33EBFB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）退市风险</w:t>
      </w:r>
    </w:p>
    <w:p w14:paraId="7F0EA510"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科创板退</w:t>
      </w:r>
      <w:proofErr w:type="gramEnd"/>
      <w:r>
        <w:rPr>
          <w:rFonts w:ascii="Times New Roman" w:hAnsi="Times New Roman"/>
          <w:sz w:val="24"/>
        </w:rPr>
        <w:t>市制度较主板更为严格，退</w:t>
      </w:r>
      <w:proofErr w:type="gramStart"/>
      <w:r>
        <w:rPr>
          <w:rFonts w:ascii="Times New Roman" w:hAnsi="Times New Roman"/>
          <w:sz w:val="24"/>
        </w:rPr>
        <w:t>市时间</w:t>
      </w:r>
      <w:proofErr w:type="gramEnd"/>
      <w:r>
        <w:rPr>
          <w:rFonts w:ascii="Times New Roman" w:hAnsi="Times New Roman"/>
          <w:sz w:val="24"/>
        </w:rPr>
        <w:t>更短，退</w:t>
      </w:r>
      <w:proofErr w:type="gramStart"/>
      <w:r>
        <w:rPr>
          <w:rFonts w:ascii="Times New Roman" w:hAnsi="Times New Roman"/>
          <w:sz w:val="24"/>
        </w:rPr>
        <w:t>市速度</w:t>
      </w:r>
      <w:proofErr w:type="gramEnd"/>
      <w:r>
        <w:rPr>
          <w:rFonts w:ascii="Times New Roman" w:hAnsi="Times New Roman"/>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ascii="Times New Roman" w:hAnsi="Times New Roman"/>
          <w:sz w:val="24"/>
        </w:rPr>
        <w:t>市风险</w:t>
      </w:r>
      <w:proofErr w:type="gramEnd"/>
      <w:r>
        <w:rPr>
          <w:rFonts w:ascii="Times New Roman" w:hAnsi="Times New Roman"/>
          <w:sz w:val="24"/>
        </w:rPr>
        <w:t>更大。</w:t>
      </w:r>
    </w:p>
    <w:p w14:paraId="6FDF42D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）集中度风险</w:t>
      </w:r>
    </w:p>
    <w:p w14:paraId="6314C910"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w:t>
      </w:r>
      <w:proofErr w:type="gramEnd"/>
      <w:r>
        <w:rPr>
          <w:rFonts w:ascii="Times New Roman" w:hAnsi="Times New Roman"/>
          <w:sz w:val="24"/>
        </w:rPr>
        <w:t>为新设板块，初期可投标的较少，投资者容易集中投资于少量个股，市场可能存在高集中度状况，整体存在集中度风险。</w:t>
      </w:r>
    </w:p>
    <w:p w14:paraId="2F724E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）系统性风险</w:t>
      </w:r>
    </w:p>
    <w:p w14:paraId="4F307BC9"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科创板企业</w:t>
      </w:r>
      <w:proofErr w:type="gramEnd"/>
      <w:r>
        <w:rPr>
          <w:rFonts w:ascii="Times New Roman" w:hAnsi="Times New Roman"/>
          <w:sz w:val="24"/>
        </w:rPr>
        <w:t>均为市场认可度较高的科技创新企业，在企业经营及盈利模式上存在趋同，所以</w:t>
      </w:r>
      <w:proofErr w:type="gramStart"/>
      <w:r>
        <w:rPr>
          <w:rFonts w:ascii="Times New Roman" w:hAnsi="Times New Roman"/>
          <w:sz w:val="24"/>
        </w:rPr>
        <w:t>科创板</w:t>
      </w:r>
      <w:proofErr w:type="gramEnd"/>
      <w:r>
        <w:rPr>
          <w:rFonts w:ascii="Times New Roman" w:hAnsi="Times New Roman"/>
          <w:sz w:val="24"/>
        </w:rPr>
        <w:t>个股相关性较高，市场表现不佳时，系统性风险将更为显著。</w:t>
      </w:r>
    </w:p>
    <w:p w14:paraId="1209B10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）政策风险</w:t>
      </w:r>
    </w:p>
    <w:p w14:paraId="18D824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国家对高新技术产业扶持力度及重视程度的变化会对</w:t>
      </w:r>
      <w:proofErr w:type="gramStart"/>
      <w:r>
        <w:rPr>
          <w:rFonts w:ascii="Times New Roman" w:hAnsi="Times New Roman"/>
          <w:sz w:val="24"/>
        </w:rPr>
        <w:t>科创板企业</w:t>
      </w:r>
      <w:proofErr w:type="gramEnd"/>
      <w:r>
        <w:rPr>
          <w:rFonts w:ascii="Times New Roman" w:hAnsi="Times New Roman"/>
          <w:sz w:val="24"/>
        </w:rPr>
        <w:t>带来较大影响，国际经济形势变化对战略新兴产业及</w:t>
      </w:r>
      <w:proofErr w:type="gramStart"/>
      <w:r>
        <w:rPr>
          <w:rFonts w:ascii="Times New Roman" w:hAnsi="Times New Roman"/>
          <w:sz w:val="24"/>
        </w:rPr>
        <w:t>科创板</w:t>
      </w:r>
      <w:proofErr w:type="gramEnd"/>
      <w:r>
        <w:rPr>
          <w:rFonts w:ascii="Times New Roman" w:hAnsi="Times New Roman"/>
          <w:sz w:val="24"/>
        </w:rPr>
        <w:t>个股也会带来政策影响。</w:t>
      </w:r>
    </w:p>
    <w:p w14:paraId="37093B45" w14:textId="77777777" w:rsidR="00647B0A" w:rsidRDefault="00953581" w:rsidP="00647B0A">
      <w:pPr>
        <w:widowControl/>
        <w:adjustRightInd w:val="0"/>
        <w:snapToGrid w:val="0"/>
        <w:spacing w:line="360" w:lineRule="auto"/>
        <w:ind w:firstLineChars="200" w:firstLine="422"/>
        <w:rPr>
          <w:rFonts w:ascii="宋体" w:hAnsi="宋体"/>
          <w:b/>
          <w:szCs w:val="24"/>
        </w:rPr>
      </w:pPr>
      <w:r w:rsidRPr="00BB248E">
        <w:rPr>
          <w:rFonts w:ascii="宋体" w:hAnsi="宋体" w:hint="eastAsia"/>
          <w:b/>
          <w:szCs w:val="24"/>
        </w:rPr>
        <w:t>（七）</w:t>
      </w:r>
      <w:r w:rsidR="00647B0A" w:rsidRPr="00647B0A">
        <w:rPr>
          <w:rFonts w:ascii="宋体" w:hAnsi="宋体" w:hint="eastAsia"/>
          <w:b/>
          <w:szCs w:val="24"/>
        </w:rPr>
        <w:t>投资存托凭证的特定风险</w:t>
      </w:r>
    </w:p>
    <w:p w14:paraId="78339BA2" w14:textId="77777777" w:rsidR="00647B0A" w:rsidRPr="00647B0A" w:rsidRDefault="00647B0A" w:rsidP="00647B0A">
      <w:pPr>
        <w:widowControl/>
        <w:adjustRightInd w:val="0"/>
        <w:snapToGrid w:val="0"/>
        <w:spacing w:line="360" w:lineRule="auto"/>
        <w:ind w:firstLineChars="200" w:firstLine="480"/>
        <w:rPr>
          <w:rFonts w:ascii="Times New Roman" w:hAnsi="宋体"/>
          <w:kern w:val="0"/>
          <w:sz w:val="24"/>
          <w:szCs w:val="24"/>
        </w:rPr>
      </w:pPr>
      <w:r w:rsidRPr="00647B0A">
        <w:rPr>
          <w:rFonts w:ascii="Times New Roman" w:hAnsi="宋体" w:hint="eastAsia"/>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EE68052" w14:textId="77777777" w:rsidR="00647B0A" w:rsidRPr="00647B0A" w:rsidRDefault="00647B0A" w:rsidP="00647B0A">
      <w:pPr>
        <w:widowControl/>
        <w:adjustRightInd w:val="0"/>
        <w:snapToGrid w:val="0"/>
        <w:spacing w:line="360" w:lineRule="auto"/>
        <w:ind w:firstLineChars="200" w:firstLine="480"/>
        <w:rPr>
          <w:rFonts w:ascii="Times New Roman" w:hAnsi="宋体"/>
          <w:kern w:val="0"/>
          <w:sz w:val="24"/>
          <w:szCs w:val="24"/>
        </w:rPr>
      </w:pPr>
      <w:r w:rsidRPr="00647B0A">
        <w:rPr>
          <w:rFonts w:ascii="Times New Roman" w:hAnsi="宋体" w:hint="eastAsia"/>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647B0A">
        <w:rPr>
          <w:rFonts w:ascii="Times New Roman" w:hAnsi="宋体" w:hint="eastAsia"/>
          <w:kern w:val="0"/>
          <w:sz w:val="24"/>
          <w:szCs w:val="24"/>
        </w:rPr>
        <w:t>托协议</w:t>
      </w:r>
      <w:proofErr w:type="gramEnd"/>
      <w:r w:rsidRPr="00647B0A">
        <w:rPr>
          <w:rFonts w:ascii="Times New Roman" w:hAnsi="宋体" w:hint="eastAsia"/>
          <w:kern w:val="0"/>
          <w:sz w:val="24"/>
          <w:szCs w:val="24"/>
        </w:rPr>
        <w:t>自动约束存托凭证持有人的风险；因多地上市造成存托凭证价格差异以及波动的风险；存托凭证持有人权益被摊薄的风险；存托凭证退市的风险；已在境外上市的基础证券发行人，在持续信息披露监管</w:t>
      </w:r>
      <w:r w:rsidRPr="00647B0A">
        <w:rPr>
          <w:rFonts w:ascii="Times New Roman" w:hAnsi="宋体" w:hint="eastAsia"/>
          <w:kern w:val="0"/>
          <w:sz w:val="24"/>
          <w:szCs w:val="24"/>
        </w:rPr>
        <w:lastRenderedPageBreak/>
        <w:t>方面与境内可能存在差异的风险；境内外法律制度、监管环境差异可能导致的其他风险。</w:t>
      </w:r>
    </w:p>
    <w:p w14:paraId="1BD5CE57" w14:textId="77777777" w:rsidR="00647B0A" w:rsidRPr="00647B0A" w:rsidRDefault="00647B0A" w:rsidP="00647B0A">
      <w:pPr>
        <w:widowControl/>
        <w:adjustRightInd w:val="0"/>
        <w:snapToGrid w:val="0"/>
        <w:spacing w:line="360" w:lineRule="auto"/>
        <w:ind w:firstLineChars="200" w:firstLine="480"/>
        <w:rPr>
          <w:rFonts w:ascii="Times New Roman" w:hAnsi="宋体"/>
          <w:kern w:val="0"/>
          <w:sz w:val="24"/>
          <w:szCs w:val="24"/>
        </w:rPr>
      </w:pPr>
      <w:r w:rsidRPr="00647B0A">
        <w:rPr>
          <w:rFonts w:ascii="Times New Roman" w:hAnsi="宋体" w:hint="eastAsia"/>
          <w:kern w:val="0"/>
          <w:sz w:val="24"/>
          <w:szCs w:val="24"/>
        </w:rPr>
        <w:t>本基金可根据投资策略需要或市场环境的变化，选择将部分基金资产投资于存托凭证或选择不将基金资产投资于存托凭证，基金资产并非必然投资存托凭证。</w:t>
      </w:r>
    </w:p>
    <w:p w14:paraId="74599F84" w14:textId="77777777" w:rsidR="009A30E5" w:rsidRDefault="00647B0A" w:rsidP="00647B0A">
      <w:pPr>
        <w:autoSpaceDE w:val="0"/>
        <w:autoSpaceDN w:val="0"/>
        <w:adjustRightInd w:val="0"/>
        <w:snapToGrid w:val="0"/>
        <w:spacing w:line="360" w:lineRule="auto"/>
        <w:ind w:firstLineChars="200" w:firstLine="422"/>
        <w:rPr>
          <w:rFonts w:ascii="宋体" w:hAnsi="宋体"/>
          <w:szCs w:val="24"/>
        </w:rPr>
      </w:pPr>
      <w:r w:rsidRPr="00647B0A">
        <w:rPr>
          <w:rFonts w:ascii="宋体" w:hAnsi="宋体"/>
          <w:b/>
          <w:szCs w:val="24"/>
        </w:rPr>
        <w:t>（</w:t>
      </w:r>
      <w:r>
        <w:rPr>
          <w:rFonts w:ascii="宋体" w:hAnsi="宋体" w:hint="eastAsia"/>
          <w:b/>
          <w:szCs w:val="24"/>
        </w:rPr>
        <w:t>八</w:t>
      </w:r>
      <w:r w:rsidRPr="00647B0A">
        <w:rPr>
          <w:rFonts w:ascii="宋体" w:hAnsi="宋体"/>
          <w:b/>
          <w:szCs w:val="24"/>
        </w:rPr>
        <w:t>）</w:t>
      </w:r>
      <w:r w:rsidR="00953581" w:rsidRPr="00BB248E">
        <w:rPr>
          <w:rFonts w:ascii="宋体" w:hAnsi="宋体" w:hint="eastAsia"/>
          <w:b/>
          <w:szCs w:val="24"/>
        </w:rPr>
        <w:t>其他风险</w:t>
      </w:r>
    </w:p>
    <w:p w14:paraId="2D4988D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7913333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14:paraId="70A084A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590E7D3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14:paraId="1BE7AD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14:paraId="2200C29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1235E4A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14:paraId="3891FE03"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3CA9207" w14:textId="77777777" w:rsidR="009A30E5" w:rsidRDefault="00953581">
      <w:pPr>
        <w:pStyle w:val="1"/>
        <w:snapToGrid w:val="0"/>
        <w:spacing w:beforeLines="0" w:before="240" w:after="240"/>
        <w:rPr>
          <w:rFonts w:ascii="宋体" w:hAnsi="宋体"/>
          <w:szCs w:val="30"/>
        </w:rPr>
      </w:pPr>
      <w:bookmarkStart w:id="21" w:name="_Toc59040214"/>
      <w:r>
        <w:rPr>
          <w:rFonts w:ascii="Times New Roman" w:hAnsi="Times New Roman"/>
          <w:sz w:val="30"/>
        </w:rPr>
        <w:lastRenderedPageBreak/>
        <w:t>十九、基金合同的终止与基金财产的清算</w:t>
      </w:r>
      <w:bookmarkEnd w:id="21"/>
    </w:p>
    <w:p w14:paraId="1D5107B0"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（一）基金合同的终止</w:t>
      </w:r>
    </w:p>
    <w:p w14:paraId="48A0A90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有下列情形之一的，基金合同经中国证监会核准后将终止：</w:t>
      </w:r>
    </w:p>
    <w:p w14:paraId="568247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5F09EC9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14:paraId="1AC5A07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14:paraId="25A5665A" w14:textId="5FB5907D" w:rsidR="00CA3549" w:rsidRPr="00CA3549" w:rsidRDefault="00953581" w:rsidP="00CA3549">
      <w:pPr>
        <w:snapToGrid w:val="0"/>
        <w:spacing w:line="360" w:lineRule="auto"/>
        <w:ind w:firstLineChars="200" w:firstLine="480"/>
        <w:rPr>
          <w:rFonts w:ascii="宋体" w:hAnsi="宋体"/>
          <w:bCs/>
          <w:sz w:val="24"/>
          <w:szCs w:val="24"/>
        </w:rPr>
      </w:pPr>
      <w:r>
        <w:rPr>
          <w:rFonts w:ascii="Times New Roman" w:hAnsi="Times New Roman"/>
          <w:sz w:val="24"/>
        </w:rPr>
        <w:t>4</w:t>
      </w:r>
      <w:r>
        <w:rPr>
          <w:rFonts w:ascii="Times New Roman" w:hAnsi="Times New Roman"/>
          <w:sz w:val="24"/>
        </w:rPr>
        <w:t>、</w:t>
      </w:r>
      <w:r w:rsidR="00CA3549" w:rsidRPr="00CA3549">
        <w:rPr>
          <w:rFonts w:ascii="宋体" w:hAnsi="宋体" w:hint="eastAsia"/>
          <w:bCs/>
          <w:sz w:val="24"/>
          <w:szCs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AA9BFA3" w14:textId="55544464" w:rsidR="009A30E5" w:rsidRDefault="00CA3549" w:rsidP="00CA3549">
      <w:pPr>
        <w:autoSpaceDE w:val="0"/>
        <w:autoSpaceDN w:val="0"/>
        <w:adjustRightInd w:val="0"/>
        <w:snapToGrid w:val="0"/>
        <w:spacing w:line="360" w:lineRule="auto"/>
        <w:ind w:firstLineChars="200" w:firstLine="480"/>
        <w:rPr>
          <w:rFonts w:ascii="宋体" w:hAnsi="宋体"/>
          <w:szCs w:val="24"/>
        </w:rPr>
      </w:pPr>
      <w:r w:rsidRPr="00CA3549">
        <w:rPr>
          <w:rFonts w:ascii="宋体" w:hAnsi="宋体"/>
          <w:sz w:val="24"/>
          <w:szCs w:val="24"/>
        </w:rPr>
        <w:t>5</w:t>
      </w:r>
      <w:r w:rsidRPr="00CA3549">
        <w:rPr>
          <w:rFonts w:ascii="宋体" w:hAnsi="宋体" w:hint="eastAsia"/>
          <w:sz w:val="24"/>
          <w:szCs w:val="24"/>
        </w:rPr>
        <w:t>、</w:t>
      </w:r>
      <w:r w:rsidR="00953581">
        <w:rPr>
          <w:rFonts w:ascii="Times New Roman" w:hAnsi="Times New Roman"/>
          <w:sz w:val="24"/>
        </w:rPr>
        <w:t>相关法律法规和中国证监会规定的其他情况。</w:t>
      </w:r>
    </w:p>
    <w:p w14:paraId="4D2991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基金合同终止时，基金管理人应予公告并组织清算小组对基金财产进行清算。</w:t>
      </w:r>
    </w:p>
    <w:p w14:paraId="4ECD3688"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（二）基金财产的清算</w:t>
      </w:r>
    </w:p>
    <w:p w14:paraId="31B1CD2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、基金合同终止后，成立基金清算小组，基金清算小组在中国证监会的监督下进行基金财产清算。</w:t>
      </w:r>
    </w:p>
    <w:p w14:paraId="0D194C6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、基金清算小组成员由基金管理人、基金托管人、具有从事证券相关业务资格的注册会计师、律师以及中国证监会指定的人员组成。基金财产清算组可以聘用必要的工作人员。</w:t>
      </w:r>
    </w:p>
    <w:p w14:paraId="1E9409F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、基金清算小组负责基金财产的保管、清理、估价、变现和分配。基金清算小组可以依法进行必要的民事活动。</w:t>
      </w:r>
    </w:p>
    <w:p w14:paraId="304E413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14:paraId="452791B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基金合同终止，应当按法律法规和基金合同的有关规定对基金财产进行清算。基金财产清算程序主要包括：</w:t>
      </w:r>
    </w:p>
    <w:p w14:paraId="1A0E446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基金合同终止时，由基金清算小组统一接管基金财产；</w:t>
      </w:r>
    </w:p>
    <w:p w14:paraId="3062968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对基金财产进行清理和确认；</w:t>
      </w:r>
    </w:p>
    <w:p w14:paraId="5135AF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对基金财产进行估价和变现；</w:t>
      </w:r>
    </w:p>
    <w:p w14:paraId="13AC079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制作清算报告；</w:t>
      </w:r>
    </w:p>
    <w:p w14:paraId="49AC37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聘请律师事务所对清算报告出具法律意见书；</w:t>
      </w:r>
    </w:p>
    <w:p w14:paraId="6EE938A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聘请会计师事务所对清算报告进行审计；</w:t>
      </w:r>
    </w:p>
    <w:p w14:paraId="0430926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将基金清算结果报告中国证监会；</w:t>
      </w:r>
    </w:p>
    <w:p w14:paraId="566C500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(8)</w:t>
      </w:r>
      <w:r>
        <w:rPr>
          <w:rFonts w:ascii="Times New Roman" w:hAnsi="Times New Roman"/>
          <w:sz w:val="24"/>
        </w:rPr>
        <w:t>公布基金清算报告；</w:t>
      </w:r>
    </w:p>
    <w:p w14:paraId="14461C1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对基金剩余财产进行分配。</w:t>
      </w:r>
    </w:p>
    <w:p w14:paraId="60B177FF"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（三）清算费用</w:t>
      </w:r>
    </w:p>
    <w:p w14:paraId="13556E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清算费用是指基金财产清算组在进行基金清算过程中发生的所有合理费用，清算费用由基金财产清算组优先从基金财产中支付。</w:t>
      </w:r>
    </w:p>
    <w:p w14:paraId="4F75FCDB"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（四）基金财产的清偿、分配顺序</w:t>
      </w:r>
    </w:p>
    <w:p w14:paraId="7C7238D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基金财产按照下列顺序清偿和分配：</w:t>
      </w:r>
    </w:p>
    <w:p w14:paraId="44FAB3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、支付清算费用；</w:t>
      </w:r>
    </w:p>
    <w:p w14:paraId="60BC35F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、交纳所欠税款；</w:t>
      </w:r>
    </w:p>
    <w:p w14:paraId="2F6ED4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、清偿基金债务；</w:t>
      </w:r>
    </w:p>
    <w:p w14:paraId="49D3F8D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、按基金份额持有人持有的基金份额比例进行分配。</w:t>
      </w:r>
    </w:p>
    <w:p w14:paraId="63FF6DD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基金财产未按前款</w:t>
      </w:r>
      <w:r>
        <w:rPr>
          <w:rFonts w:ascii="Times New Roman" w:hAnsi="Times New Roman"/>
          <w:sz w:val="24"/>
        </w:rPr>
        <w:t>1-3</w:t>
      </w:r>
      <w:r>
        <w:rPr>
          <w:rFonts w:ascii="Times New Roman" w:hAnsi="Times New Roman"/>
          <w:sz w:val="24"/>
        </w:rPr>
        <w:t>项规定清偿前，不分配给基金份额持有人。</w:t>
      </w:r>
    </w:p>
    <w:p w14:paraId="59266B8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14:paraId="31F74B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基金财产清算公告于基金合同终止并报中国证监会备案后</w:t>
      </w:r>
      <w:r>
        <w:rPr>
          <w:rFonts w:ascii="Times New Roman" w:hAnsi="Times New Roman"/>
          <w:sz w:val="24"/>
        </w:rPr>
        <w:t>5</w:t>
      </w:r>
      <w:r>
        <w:rPr>
          <w:rFonts w:ascii="Times New Roman" w:hAnsi="Times New Roman"/>
          <w:sz w:val="24"/>
        </w:rPr>
        <w:t>个工作日内由基金清算小组公告；清算过程中的有关重大事项须及时公告；基金财产清算结果经会计师事务所审计，律师事务所出具法律意见书后，由基金财产清算小组报中国证监会备案并公告。</w:t>
      </w:r>
    </w:p>
    <w:p w14:paraId="770D79E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14:paraId="5B09CB6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21CE56BD"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E25C57" w14:textId="77777777" w:rsidR="009A30E5" w:rsidRDefault="00953581">
      <w:pPr>
        <w:pStyle w:val="1"/>
        <w:snapToGrid w:val="0"/>
        <w:spacing w:beforeLines="0" w:before="240" w:after="240"/>
        <w:rPr>
          <w:rFonts w:ascii="宋体" w:hAnsi="宋体"/>
          <w:szCs w:val="30"/>
        </w:rPr>
      </w:pPr>
      <w:bookmarkStart w:id="22" w:name="_Toc59040215"/>
      <w:r>
        <w:rPr>
          <w:rFonts w:ascii="Times New Roman" w:hAnsi="Times New Roman"/>
          <w:sz w:val="30"/>
        </w:rPr>
        <w:lastRenderedPageBreak/>
        <w:t>二十、基金合同内容摘要</w:t>
      </w:r>
      <w:bookmarkEnd w:id="22"/>
    </w:p>
    <w:p w14:paraId="1DFD3A9E"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（一）基金合同当事人及权利义务</w:t>
      </w:r>
    </w:p>
    <w:p w14:paraId="16BE7E0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w:t>
      </w:r>
    </w:p>
    <w:p w14:paraId="24F619C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）自本基金合同生效之日起，依照有关法律法规和本基金合同的规定独立运用基金财产；</w:t>
      </w:r>
    </w:p>
    <w:p w14:paraId="1047C07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）获得基金管理人报酬；</w:t>
      </w:r>
    </w:p>
    <w:p w14:paraId="2BAF283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）依照有关规定行使因基金财产投资于证券所产生的权利；</w:t>
      </w:r>
    </w:p>
    <w:p w14:paraId="79A591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）在符合有关法律法规和本基金合同的前提下，制订和调整有关基金认购、申购、赎回、转换、</w:t>
      </w:r>
      <w:proofErr w:type="gramStart"/>
      <w:r>
        <w:rPr>
          <w:rFonts w:ascii="Times New Roman" w:hAnsi="Times New Roman"/>
          <w:sz w:val="24"/>
        </w:rPr>
        <w:t>非交易</w:t>
      </w:r>
      <w:proofErr w:type="gramEnd"/>
      <w:r>
        <w:rPr>
          <w:rFonts w:ascii="Times New Roman" w:hAnsi="Times New Roman"/>
          <w:sz w:val="24"/>
        </w:rPr>
        <w:t>过户、转托管等业务的规则，在法律法规和本基金合同规定的范围内决定和调整基金的除调高托管费率、管理费率和赎回费率之外的费率结构和收费方式；</w:t>
      </w:r>
    </w:p>
    <w:p w14:paraId="5FCDBF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7336173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）在基金合同约定的范围内，拒绝或暂停受理申购、赎回和转换申请；</w:t>
      </w:r>
    </w:p>
    <w:p w14:paraId="7D253F3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）自行担任基金注册登记机构或选择、更换注册登记机构，并对注册登记机构的代理行为进行必要的监督和检查；</w:t>
      </w:r>
    </w:p>
    <w:p w14:paraId="18F62D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）选择、更换代销机构，并依据销售代理协议和有关法律法规，对其行为进行必要的监督和检查；</w:t>
      </w:r>
    </w:p>
    <w:p w14:paraId="37317EE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）在基金托管人更换时，提名新的基金托管人；</w:t>
      </w:r>
    </w:p>
    <w:p w14:paraId="00DE61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）依法召集基金份额持有人大会；</w:t>
      </w:r>
    </w:p>
    <w:p w14:paraId="6E54EF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）选择、更换律师事务所、会计师事务所、证券经纪商或其他为基金提供服务的外部机构；</w:t>
      </w:r>
    </w:p>
    <w:p w14:paraId="4B6965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）根据国家有关规定，在法律法规允许的前提下，为基金的利益依法为基金融资、融券；</w:t>
      </w:r>
    </w:p>
    <w:p w14:paraId="25741D0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）法律法规规定的其他权利。</w:t>
      </w:r>
    </w:p>
    <w:p w14:paraId="728B6DE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、基金管理人的义务</w:t>
      </w:r>
    </w:p>
    <w:p w14:paraId="6A047C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）依法募集基金，办理或者委托经由证监会认定的其他机构代为办理基金</w:t>
      </w:r>
      <w:r>
        <w:rPr>
          <w:rFonts w:ascii="Times New Roman" w:hAnsi="Times New Roman"/>
          <w:sz w:val="24"/>
        </w:rPr>
        <w:lastRenderedPageBreak/>
        <w:t>份额的发售、申购、赎回和注册登记事宜；</w:t>
      </w:r>
    </w:p>
    <w:p w14:paraId="493A79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14:paraId="635319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）自基金合同生效之日起，以诚实信用、勤勉尽责的原则管理和运用基金财产；</w:t>
      </w:r>
    </w:p>
    <w:p w14:paraId="05F9EE1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602F2C1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）建立健全内部风险控制、监察与稽核、财务管理及人事管理等制度，保证所管理的基金财产和基金管理人的财产相互独立，对所管理的不同基金财产分别管理，分别记账，进行证券投资；</w:t>
      </w:r>
    </w:p>
    <w:p w14:paraId="0CBC2C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）除依据《基金法》、基金合同及其他有关规定外，不得为自己及任何第三人谋取利益，不得委托第三人运作基金财产；</w:t>
      </w:r>
    </w:p>
    <w:p w14:paraId="2A126D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14:paraId="1FF190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）计算并公告基金净值信息，确定基金份额申购、赎回价格；</w:t>
      </w:r>
    </w:p>
    <w:p w14:paraId="113EDF6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）采取适当合理的措施使计算基金份额认购、申购、赎回和注销价格的方法符合基金合同等法律文件的规定；</w:t>
      </w:r>
    </w:p>
    <w:p w14:paraId="340DF7B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）按规定受理基金份额的申购和赎回申请，及时、足额支付赎回款项；</w:t>
      </w:r>
    </w:p>
    <w:p w14:paraId="16E429C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）进行基金会计核算并编制基金财务会计报告；</w:t>
      </w:r>
    </w:p>
    <w:p w14:paraId="4A228C8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）编制季度报告、中期报告和年度报告；</w:t>
      </w:r>
    </w:p>
    <w:p w14:paraId="2A7618D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）严格按照《基金法》、基金合同及其他有关规定，履行信息披露及报告义务；</w:t>
      </w:r>
    </w:p>
    <w:p w14:paraId="0FA2FA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）保守基金商业秘密，不得泄露基金投资计划、投资意向等。除《基金法》、基金合同及其他有关规定另有规定外，在基金信息公开披露前应予保密，不得向他人泄露；</w:t>
      </w:r>
    </w:p>
    <w:p w14:paraId="7A7E000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）按照基金合同的约定确定基金收益分配方案，及时向基金份额持有人分配收益；</w:t>
      </w:r>
    </w:p>
    <w:p w14:paraId="4ED47C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）依据《基金法》、基金合同及其他有关规定召集基金份额持有人大会或配合基金托管人、基金份额持有人依法召集基金份额持有人大会；</w:t>
      </w:r>
    </w:p>
    <w:p w14:paraId="48A94C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）保存基金财产管理业务活动的记录、账册、报表和其他相关资料；</w:t>
      </w:r>
    </w:p>
    <w:p w14:paraId="21FA1B3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）以基金管理人名义，代表基金份额持有人利益行使诉讼权利或者实施其他法律行为；</w:t>
      </w:r>
    </w:p>
    <w:p w14:paraId="12F3AA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19</w:t>
      </w:r>
      <w:r>
        <w:rPr>
          <w:rFonts w:ascii="Times New Roman" w:hAnsi="Times New Roman"/>
          <w:sz w:val="24"/>
        </w:rPr>
        <w:t>）组织并参加基金财产清算小组，参与基金财产的保管、清理、估价、变现和分配；</w:t>
      </w:r>
    </w:p>
    <w:p w14:paraId="28E2062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）因违反基金合同导致基金财产的损失或损害基金份额持有人合法权益，应当承担赔偿责任，其赔偿责任不因其退任而免除；</w:t>
      </w:r>
    </w:p>
    <w:p w14:paraId="02133C2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）基金托管人违反基金合同造成基金财产损失时，应为基金份额持有人利益向基金托管人追偿；</w:t>
      </w:r>
    </w:p>
    <w:p w14:paraId="36F81F5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）按规定向基金托管人提供基金份额持有人名册资料；</w:t>
      </w:r>
    </w:p>
    <w:p w14:paraId="67D6AD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）建立并保存基金份额持有人名册；</w:t>
      </w:r>
    </w:p>
    <w:p w14:paraId="31DC9C0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）面临解散、依法被撤销或者被依法宣告破产时，及时报告中国证监会并通知基金托管人；</w:t>
      </w:r>
    </w:p>
    <w:p w14:paraId="775B3E7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）执行生效的基金份额持有人大会的决定；</w:t>
      </w:r>
    </w:p>
    <w:p w14:paraId="027942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）不从事任何有损基金及其他基金合同当事人利益的活动；</w:t>
      </w:r>
    </w:p>
    <w:p w14:paraId="00EDF4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）依照法律法规为基金的利益对被投资公司行使股东权利，为基金的利益行使因基金财产投资于证券所产生的权利，不谋求对上市公司的控股和直接管理；</w:t>
      </w:r>
    </w:p>
    <w:p w14:paraId="43D3292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）法律法规、基金合同规定的以及中国证监会要求的其他义务。</w:t>
      </w:r>
    </w:p>
    <w:p w14:paraId="16DE2E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、基金托管人的权利</w:t>
      </w:r>
    </w:p>
    <w:p w14:paraId="649E54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）获得基金托管费；</w:t>
      </w:r>
    </w:p>
    <w:p w14:paraId="292A2D9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）自本基金合同生效之日起，依法保管基金财产；</w:t>
      </w:r>
    </w:p>
    <w:p w14:paraId="522430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）在基金管理人更换时，提名</w:t>
      </w:r>
      <w:proofErr w:type="gramStart"/>
      <w:r>
        <w:rPr>
          <w:rFonts w:ascii="Times New Roman" w:hAnsi="Times New Roman"/>
          <w:sz w:val="24"/>
        </w:rPr>
        <w:t>新任基金</w:t>
      </w:r>
      <w:proofErr w:type="gramEnd"/>
      <w:r>
        <w:rPr>
          <w:rFonts w:ascii="Times New Roman" w:hAnsi="Times New Roman"/>
          <w:sz w:val="24"/>
        </w:rPr>
        <w:t>管理人；</w:t>
      </w:r>
    </w:p>
    <w:p w14:paraId="517224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22F253B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）依法召集基金份额持有人大会；</w:t>
      </w:r>
    </w:p>
    <w:p w14:paraId="4582DA1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）按规定取得基金份额持有人名册；</w:t>
      </w:r>
    </w:p>
    <w:p w14:paraId="47F678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）法律法规规定的其他权利。</w:t>
      </w:r>
    </w:p>
    <w:p w14:paraId="5580858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、基金托管人的义务</w:t>
      </w:r>
    </w:p>
    <w:p w14:paraId="3E8E549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）以诚实信用、勤勉尽责的原则持有并安全保管基金财产；</w:t>
      </w:r>
    </w:p>
    <w:p w14:paraId="7551186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）设立专门的基金托管部，具有符合要求的营业场所，配备足够的、合格的熟悉基金托管业务的专职人员，负责基金财产托管事宜；</w:t>
      </w:r>
    </w:p>
    <w:p w14:paraId="4322DE1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BAE35A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）除依据《基金法》、基金合同及其他有关规定外，不得为自己及任何第三人谋取利益，不得委托第三人托管基金财产；</w:t>
      </w:r>
    </w:p>
    <w:p w14:paraId="554DFF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14:paraId="2C44EB3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w:t>
      </w:r>
    </w:p>
    <w:p w14:paraId="6B00C86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）保守基金商业秘密。除《基金法》、基金合同及其他有关规定另有规定外，在基金信息公开披露前应予保密，不得向他人泄露；</w:t>
      </w:r>
    </w:p>
    <w:p w14:paraId="18157B2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B2154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）保存基金托管业务活动的记录、账册、报表和其他相关资料不少于</w:t>
      </w:r>
      <w:r>
        <w:rPr>
          <w:rFonts w:ascii="Times New Roman" w:hAnsi="Times New Roman"/>
          <w:sz w:val="24"/>
        </w:rPr>
        <w:t>15</w:t>
      </w:r>
      <w:r>
        <w:rPr>
          <w:rFonts w:ascii="Times New Roman" w:hAnsi="Times New Roman"/>
          <w:sz w:val="24"/>
        </w:rPr>
        <w:t>年；</w:t>
      </w:r>
    </w:p>
    <w:p w14:paraId="18BDAA6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）按照基金合同的约定，根据基金管理人的投资指令，及时办理清算、交割事宜；</w:t>
      </w:r>
    </w:p>
    <w:p w14:paraId="3F3E60D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）办理与基金托管业务活动有关的信息披露事项；</w:t>
      </w:r>
    </w:p>
    <w:p w14:paraId="57171A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）复核、审查基金管理人计算的基金资产净值、基金份额净值和基金份额申购、赎回价格；</w:t>
      </w:r>
    </w:p>
    <w:p w14:paraId="2C69825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）按照规定监督基金管理人的投资运作；</w:t>
      </w:r>
    </w:p>
    <w:p w14:paraId="66B996C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）按规定制作相关账册并与基金管理人核对；</w:t>
      </w:r>
    </w:p>
    <w:p w14:paraId="78DAF8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）依据基金管理人的指令或有关规定向基金份额持有人支付基金收益和赎回款项；</w:t>
      </w:r>
    </w:p>
    <w:p w14:paraId="037B87D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）按照规定召集基金份额持有人大会或配合基金份额持有人依法自行召集基金份额持有人大会；</w:t>
      </w:r>
    </w:p>
    <w:p w14:paraId="3517E27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）因违反基金合同导致基金财产损失，应承担赔偿责任，其赔偿责任不因其退任而免除；</w:t>
      </w:r>
    </w:p>
    <w:p w14:paraId="70576C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）按规定监督基金管理人按照法律法规规定和基金合同履行其义务，基金管理人因违反基金合同造成基金财产损失时，应为基金向基金管理人追偿；</w:t>
      </w:r>
    </w:p>
    <w:p w14:paraId="64F148A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）根据本基金合同和托管协议规定建立并保存基金份额持有人名册；</w:t>
      </w:r>
    </w:p>
    <w:p w14:paraId="177DB2E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20</w:t>
      </w:r>
      <w:r>
        <w:rPr>
          <w:rFonts w:ascii="Times New Roman" w:hAnsi="Times New Roman"/>
          <w:sz w:val="24"/>
        </w:rPr>
        <w:t>）参加基金财产清算组，参与基金财产的保管、清理、估价、变现和分配；</w:t>
      </w:r>
    </w:p>
    <w:p w14:paraId="4C44CE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）面临解散、依法被撤销、破产或者由接管人接管其资产时，及时报告中国证监会和银行业监督管理机构，并通知基金管理人；</w:t>
      </w:r>
    </w:p>
    <w:p w14:paraId="06BED05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）执行生效的基金份额持有人大会的决定；</w:t>
      </w:r>
    </w:p>
    <w:p w14:paraId="614A633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）法律法规、基金合同规定的以及中国证监会要求的其他义务。</w:t>
      </w:r>
    </w:p>
    <w:p w14:paraId="7DCDA3E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、基金份额持有人的权利</w:t>
      </w:r>
    </w:p>
    <w:p w14:paraId="55169E9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根据《基金法》、《运作办法》及其他有关法律法规的规定，基金份额持有人的权利包括但不限于：</w:t>
      </w:r>
    </w:p>
    <w:p w14:paraId="5FCF5C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14:paraId="3110093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14:paraId="4F3E0E7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）依法转让或者根据基金合同约定申请赎回其持有的基金份额；</w:t>
      </w:r>
    </w:p>
    <w:p w14:paraId="1ABCFD3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w:t>
      </w:r>
    </w:p>
    <w:p w14:paraId="5F4BCE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）出席或者委派代表出席本</w:t>
      </w:r>
      <w:proofErr w:type="gramStart"/>
      <w:r>
        <w:rPr>
          <w:rFonts w:ascii="Times New Roman" w:hAnsi="Times New Roman"/>
          <w:sz w:val="24"/>
        </w:rPr>
        <w:t>基金基金</w:t>
      </w:r>
      <w:proofErr w:type="gramEnd"/>
      <w:r>
        <w:rPr>
          <w:rFonts w:ascii="Times New Roman" w:hAnsi="Times New Roman"/>
          <w:sz w:val="24"/>
        </w:rPr>
        <w:t>份额持有人大会或目标</w:t>
      </w:r>
      <w:r>
        <w:rPr>
          <w:rFonts w:ascii="Times New Roman" w:hAnsi="Times New Roman"/>
          <w:sz w:val="24"/>
        </w:rPr>
        <w:t>ETF</w:t>
      </w:r>
      <w:r>
        <w:rPr>
          <w:rFonts w:ascii="Times New Roman" w:hAnsi="Times New Roman"/>
          <w:sz w:val="24"/>
        </w:rPr>
        <w:t>基金份额持有人大会，对本</w:t>
      </w:r>
      <w:proofErr w:type="gramStart"/>
      <w:r>
        <w:rPr>
          <w:rFonts w:ascii="Times New Roman" w:hAnsi="Times New Roman"/>
          <w:sz w:val="24"/>
        </w:rPr>
        <w:t>基金基金</w:t>
      </w:r>
      <w:proofErr w:type="gramEnd"/>
      <w:r>
        <w:rPr>
          <w:rFonts w:ascii="Times New Roman" w:hAnsi="Times New Roman"/>
          <w:sz w:val="24"/>
        </w:rPr>
        <w:t>份额持有人大会或目标</w:t>
      </w:r>
      <w:r>
        <w:rPr>
          <w:rFonts w:ascii="Times New Roman" w:hAnsi="Times New Roman"/>
          <w:sz w:val="24"/>
        </w:rPr>
        <w:t>ETF</w:t>
      </w:r>
      <w:r>
        <w:rPr>
          <w:rFonts w:ascii="Times New Roman" w:hAnsi="Times New Roman"/>
          <w:sz w:val="24"/>
        </w:rPr>
        <w:t>基金份额持有人大会审议事项行使表决权；</w:t>
      </w:r>
    </w:p>
    <w:p w14:paraId="7A2F679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14:paraId="07A6982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14:paraId="1D28BB5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）对基金管理人、基金托管人、基金份额代销机构损害其合法权益的行为依法提起诉讼；</w:t>
      </w:r>
    </w:p>
    <w:p w14:paraId="3EA877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）法律法规和基金合同规定的其他权利。</w:t>
      </w:r>
    </w:p>
    <w:p w14:paraId="5FEC74F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、基金份额持有人的义务包括但不限于：</w:t>
      </w:r>
    </w:p>
    <w:p w14:paraId="0D4FB42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根据《基金法》、《运作办法》及其他有关法律法规的规定，基金份额持有人的义务包括但不限于：</w:t>
      </w:r>
    </w:p>
    <w:p w14:paraId="45BFB54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）遵守法律法规、基金合同及其他有关规定；</w:t>
      </w:r>
    </w:p>
    <w:p w14:paraId="669B497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）缴纳基金认购、申购款项及法律法规、基金合同和招募说明书规定的费用；</w:t>
      </w:r>
    </w:p>
    <w:p w14:paraId="6E5DB1F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）在持有的基金份额范围内，承担基金亏损或者基金合同终止的有限责任；</w:t>
      </w:r>
    </w:p>
    <w:p w14:paraId="1B8248B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）不从事任何有损基金及其他基金份额持有人合法权益的活动；</w:t>
      </w:r>
    </w:p>
    <w:p w14:paraId="702CA6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）执行生效的基金份额持有人大会决议；</w:t>
      </w:r>
    </w:p>
    <w:p w14:paraId="7C0E2FB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）返还在基金交易过程中因任何原因，自基金管理人、基金托管人及基金</w:t>
      </w:r>
      <w:r>
        <w:rPr>
          <w:rFonts w:ascii="Times New Roman" w:hAnsi="Times New Roman"/>
          <w:sz w:val="24"/>
        </w:rPr>
        <w:lastRenderedPageBreak/>
        <w:t>管理人的代理人处获得的不当得利；</w:t>
      </w:r>
    </w:p>
    <w:p w14:paraId="47486AB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）法律法规和基金合同规定的其他义务。</w:t>
      </w:r>
    </w:p>
    <w:p w14:paraId="40340C4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本基金合同当事各方的权利义务以本基金合同为依据，不因基金财产账户名称而有所改变。</w:t>
      </w:r>
    </w:p>
    <w:p w14:paraId="27C9144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w:t>
      </w:r>
    </w:p>
    <w:p w14:paraId="681AEE7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、基金份额持有人大会由基金份额持有人或基金份额持有人的合法授权代表共同组成。基金份额持有人持有的每一基金份额拥有平等的投票权。</w:t>
      </w:r>
    </w:p>
    <w:p w14:paraId="6C3BE1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、召开事由</w:t>
      </w:r>
    </w:p>
    <w:p w14:paraId="50588F2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）当出现或需要决定下列事由之一的，经基金管理人、基金托管人或持有基金份额</w:t>
      </w:r>
      <w:r>
        <w:rPr>
          <w:rFonts w:ascii="Times New Roman" w:hAnsi="Times New Roman"/>
          <w:sz w:val="24"/>
        </w:rPr>
        <w:t>10%</w:t>
      </w:r>
      <w:r>
        <w:rPr>
          <w:rFonts w:ascii="Times New Roman" w:hAnsi="Times New Roman"/>
          <w:sz w:val="24"/>
        </w:rPr>
        <w:t>以上</w:t>
      </w:r>
      <w:r>
        <w:rPr>
          <w:rFonts w:ascii="Times New Roman" w:hAnsi="Times New Roman"/>
          <w:sz w:val="24"/>
        </w:rPr>
        <w:t>(“</w:t>
      </w:r>
      <w:r>
        <w:rPr>
          <w:rFonts w:ascii="Times New Roman" w:hAnsi="Times New Roman"/>
          <w:sz w:val="24"/>
        </w:rPr>
        <w:t>以上</w:t>
      </w:r>
      <w:r>
        <w:rPr>
          <w:rFonts w:ascii="Times New Roman" w:hAnsi="Times New Roman"/>
          <w:sz w:val="24"/>
        </w:rPr>
        <w:t>”</w:t>
      </w:r>
      <w:r>
        <w:rPr>
          <w:rFonts w:ascii="Times New Roman" w:hAnsi="Times New Roman"/>
          <w:sz w:val="24"/>
        </w:rPr>
        <w:t>含本数，下同</w:t>
      </w:r>
      <w:r>
        <w:rPr>
          <w:rFonts w:ascii="Times New Roman" w:hAnsi="Times New Roman"/>
          <w:sz w:val="24"/>
        </w:rPr>
        <w:t>)</w:t>
      </w:r>
      <w:r>
        <w:rPr>
          <w:rFonts w:ascii="Times New Roman" w:hAnsi="Times New Roman"/>
          <w:sz w:val="24"/>
        </w:rPr>
        <w:t>的基金份额持有人</w:t>
      </w:r>
      <w:r>
        <w:rPr>
          <w:rFonts w:ascii="Times New Roman" w:hAnsi="Times New Roman"/>
          <w:sz w:val="24"/>
        </w:rPr>
        <w:t>(</w:t>
      </w:r>
      <w:r>
        <w:rPr>
          <w:rFonts w:ascii="Times New Roman" w:hAnsi="Times New Roman"/>
          <w:sz w:val="24"/>
        </w:rPr>
        <w:t>以基金管理人收到提议当日的基金份额计算，下同</w:t>
      </w:r>
      <w:r>
        <w:rPr>
          <w:rFonts w:ascii="Times New Roman" w:hAnsi="Times New Roman"/>
          <w:sz w:val="24"/>
        </w:rPr>
        <w:t>)</w:t>
      </w:r>
      <w:r>
        <w:rPr>
          <w:rFonts w:ascii="Times New Roman" w:hAnsi="Times New Roman"/>
          <w:sz w:val="24"/>
        </w:rPr>
        <w:t>提议时，应当召开基金份额持有人大会：</w:t>
      </w:r>
    </w:p>
    <w:p w14:paraId="7079B87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14:paraId="08A5B40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转换基金运作方式；</w:t>
      </w:r>
    </w:p>
    <w:p w14:paraId="57F71BA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变更基金类别、投资目标、投资范围或投资策略；</w:t>
      </w:r>
    </w:p>
    <w:p w14:paraId="3DED6DC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变更基金份额持有人大会议事程序；</w:t>
      </w:r>
    </w:p>
    <w:p w14:paraId="5898378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更换基金管理人、基金托管人；</w:t>
      </w:r>
    </w:p>
    <w:p w14:paraId="62978C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提高基金管理人、基金托管人的报酬标准以及赎回费率，但根据法律法规的要求提高该等报酬标准的除外；</w:t>
      </w:r>
    </w:p>
    <w:p w14:paraId="6AEFAB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14:paraId="07A4EBB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对基金合同当事人权利、义务产生重大影响，需召开基金份额持有人大会的变更基金合同等其他事项；</w:t>
      </w:r>
    </w:p>
    <w:p w14:paraId="5CF37BF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基金管理人代表本基金的基金份额持有人提议召开或召集目标</w:t>
      </w:r>
      <w:r>
        <w:rPr>
          <w:rFonts w:ascii="Times New Roman" w:hAnsi="Times New Roman"/>
          <w:sz w:val="24"/>
        </w:rPr>
        <w:t>ETF</w:t>
      </w:r>
      <w:r>
        <w:rPr>
          <w:rFonts w:ascii="Times New Roman" w:hAnsi="Times New Roman"/>
          <w:sz w:val="24"/>
        </w:rPr>
        <w:t>份额持有人大会；</w:t>
      </w:r>
    </w:p>
    <w:p w14:paraId="03E753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法律法规、基金合同或中国证监会规定的其他情形。</w:t>
      </w:r>
    </w:p>
    <w:p w14:paraId="5C88909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）出现以下情形之一的，可由基金管理人和基金托管人协商后修改，不需召开基金份额持有人大会：</w:t>
      </w:r>
    </w:p>
    <w:p w14:paraId="7E2096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调低基金管理费、基金托管费、其他应由基金或基金份额持有人承担的费用；</w:t>
      </w:r>
    </w:p>
    <w:p w14:paraId="4331E0F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在法律法规和本基金合同规定的范围内调整基金的申购费率、调低赎回费率或变更收费方式；</w:t>
      </w:r>
    </w:p>
    <w:p w14:paraId="6B8FF5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因为当事人名称、住所、法定代表人变更，当事人分立、合并等原因导致基</w:t>
      </w:r>
      <w:r>
        <w:rPr>
          <w:rFonts w:ascii="Times New Roman" w:hAnsi="Times New Roman"/>
          <w:sz w:val="24"/>
        </w:rPr>
        <w:lastRenderedPageBreak/>
        <w:t>金合同内容必须做出相应变动的；</w:t>
      </w:r>
    </w:p>
    <w:p w14:paraId="0CCF57D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proofErr w:type="gramStart"/>
      <w:r>
        <w:rPr>
          <w:rFonts w:ascii="Times New Roman" w:hAnsi="Times New Roman"/>
          <w:sz w:val="24"/>
        </w:rPr>
        <w:t>因相应</w:t>
      </w:r>
      <w:proofErr w:type="gramEnd"/>
      <w:r>
        <w:rPr>
          <w:rFonts w:ascii="Times New Roman" w:hAnsi="Times New Roman"/>
          <w:sz w:val="24"/>
        </w:rPr>
        <w:t>的法律法规发生变动必须对基金合同进行修改；</w:t>
      </w:r>
    </w:p>
    <w:p w14:paraId="096A97A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基金合同的修改不涉及本基金合同当事人权利义务关系发生变化；</w:t>
      </w:r>
    </w:p>
    <w:p w14:paraId="59477C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基金合同的修改对基金份额持有人利益无实质性不利影响；</w:t>
      </w:r>
    </w:p>
    <w:p w14:paraId="2681827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按照法律法规或本基金合同规定不需召开基金份额持有人大会的其他情形。</w:t>
      </w:r>
    </w:p>
    <w:p w14:paraId="5175E76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、召集人和召集方式</w:t>
      </w:r>
    </w:p>
    <w:p w14:paraId="333AC5F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）除法律法规或本基金合同另有约定外，基金份额持有人大会由基金管理人召集。基金管理人未按规定召集或者不能召集时，由基金托管人召集。</w:t>
      </w:r>
    </w:p>
    <w:p w14:paraId="70C9580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日内召开；基金管理人决定不召集，基金托管人仍认为有必要召开的，应当自行召集。</w:t>
      </w:r>
    </w:p>
    <w:p w14:paraId="77426F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14:paraId="4AC1A67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以上的基金份额持有人就同一事项要求召开基金份额持有人大会，而基金管理人、基金托管人都不召集的，代表基金份额</w:t>
      </w:r>
      <w:r>
        <w:rPr>
          <w:rFonts w:ascii="Times New Roman" w:hAnsi="Times New Roman"/>
          <w:sz w:val="24"/>
        </w:rPr>
        <w:t>10%</w:t>
      </w:r>
      <w:r>
        <w:rPr>
          <w:rFonts w:ascii="Times New Roman" w:hAnsi="Times New Roman"/>
          <w:sz w:val="24"/>
        </w:rPr>
        <w:t>以上的基金份额持有人有权自行召集基金份额持有人大会，但应当至少提前</w:t>
      </w:r>
      <w:r>
        <w:rPr>
          <w:rFonts w:ascii="Times New Roman" w:hAnsi="Times New Roman"/>
          <w:sz w:val="24"/>
        </w:rPr>
        <w:t>30</w:t>
      </w:r>
      <w:r>
        <w:rPr>
          <w:rFonts w:ascii="Times New Roman" w:hAnsi="Times New Roman"/>
          <w:sz w:val="24"/>
        </w:rPr>
        <w:t>日向中国证监会备案。</w:t>
      </w:r>
    </w:p>
    <w:p w14:paraId="021D075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）基金份额持有人依法自行召集基金份额持有人大会的，基金管理人、基金托管人应当配合，不得阻碍、干扰。</w:t>
      </w:r>
    </w:p>
    <w:p w14:paraId="2EB0619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、召开基金份额持有人大会的通知时间、通知内容、通知方式</w:t>
      </w:r>
    </w:p>
    <w:p w14:paraId="3F9C99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）基金份额持有人大会的召集人</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召集人</w:t>
      </w:r>
      <w:r>
        <w:rPr>
          <w:rFonts w:ascii="Times New Roman" w:hAnsi="Times New Roman"/>
          <w:sz w:val="24"/>
        </w:rPr>
        <w:t>”)</w:t>
      </w:r>
      <w:r>
        <w:rPr>
          <w:rFonts w:ascii="Times New Roman" w:hAnsi="Times New Roman"/>
          <w:sz w:val="24"/>
        </w:rPr>
        <w:t>负责选择确定开会时间、地点、方式和权益登记日。召开基金份额持有人大会，召集人必须至少于会议召开日前</w:t>
      </w:r>
      <w:r>
        <w:rPr>
          <w:rFonts w:ascii="Times New Roman" w:hAnsi="Times New Roman"/>
          <w:sz w:val="24"/>
        </w:rPr>
        <w:t>30</w:t>
      </w:r>
      <w:r>
        <w:rPr>
          <w:rFonts w:ascii="Times New Roman" w:hAnsi="Times New Roman"/>
          <w:sz w:val="24"/>
        </w:rPr>
        <w:t>日在指定媒介公告。基金份额持有人大会通知须至少载明以下内容：</w:t>
      </w:r>
    </w:p>
    <w:p w14:paraId="75B6C49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会议召开的时间、地点和出席方式；</w:t>
      </w:r>
    </w:p>
    <w:p w14:paraId="7FA08E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w:t>
      </w:r>
      <w:proofErr w:type="gramStart"/>
      <w:r>
        <w:rPr>
          <w:rFonts w:ascii="Times New Roman" w:hAnsi="Times New Roman"/>
          <w:sz w:val="24"/>
        </w:rPr>
        <w:t>拟审议</w:t>
      </w:r>
      <w:proofErr w:type="gramEnd"/>
      <w:r>
        <w:rPr>
          <w:rFonts w:ascii="Times New Roman" w:hAnsi="Times New Roman"/>
          <w:sz w:val="24"/>
        </w:rPr>
        <w:t>的主要事项；</w:t>
      </w:r>
    </w:p>
    <w:p w14:paraId="4D784C9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会议形式；</w:t>
      </w:r>
    </w:p>
    <w:p w14:paraId="1B1F32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议事程序；</w:t>
      </w:r>
    </w:p>
    <w:p w14:paraId="16D84CB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有权出席基金份额持有人大会的基金份额持有人权益登记日；</w:t>
      </w:r>
    </w:p>
    <w:p w14:paraId="030500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授权委托证明的内容要求</w:t>
      </w:r>
      <w:r>
        <w:rPr>
          <w:rFonts w:ascii="Times New Roman" w:hAnsi="Times New Roman"/>
          <w:sz w:val="24"/>
        </w:rPr>
        <w:t>(</w:t>
      </w:r>
      <w:r>
        <w:rPr>
          <w:rFonts w:ascii="Times New Roman" w:hAnsi="Times New Roman"/>
          <w:sz w:val="24"/>
        </w:rPr>
        <w:t>包括但不限于代理人身份、代理权限和代理有效期限等</w:t>
      </w:r>
      <w:r>
        <w:rPr>
          <w:rFonts w:ascii="Times New Roman" w:hAnsi="Times New Roman"/>
          <w:sz w:val="24"/>
        </w:rPr>
        <w:t>)</w:t>
      </w:r>
      <w:r>
        <w:rPr>
          <w:rFonts w:ascii="Times New Roman" w:hAnsi="Times New Roman"/>
          <w:sz w:val="24"/>
        </w:rPr>
        <w:t>、送达时间和地点；</w:t>
      </w:r>
    </w:p>
    <w:p w14:paraId="71ED07B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表决方式；</w:t>
      </w:r>
    </w:p>
    <w:p w14:paraId="2D4D0BD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会务常设联系人姓名、电话；</w:t>
      </w:r>
    </w:p>
    <w:p w14:paraId="7FCAF45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出席会议者必须准备的文件和必须履行的手续；</w:t>
      </w:r>
    </w:p>
    <w:p w14:paraId="280D90C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召集人需要通知的其他事项。</w:t>
      </w:r>
    </w:p>
    <w:p w14:paraId="2B77882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23AEBE3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Times New Roman" w:hAnsi="Times New Roman"/>
          <w:sz w:val="24"/>
        </w:rPr>
        <w:t>拒不派</w:t>
      </w:r>
      <w:proofErr w:type="gramEnd"/>
      <w:r>
        <w:rPr>
          <w:rFonts w:ascii="Times New Roman" w:hAnsi="Times New Roman"/>
          <w:sz w:val="24"/>
        </w:rPr>
        <w:t>代表对书面表决意见的计票进行监督的，不影响计票和表决结果。</w:t>
      </w:r>
    </w:p>
    <w:p w14:paraId="01C44E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、基金份额持有人出席会议的方式</w:t>
      </w:r>
    </w:p>
    <w:p w14:paraId="6310BE6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）会议方式</w:t>
      </w:r>
    </w:p>
    <w:p w14:paraId="1464854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基金份额持有人大会的召开方式包括现场开会和通讯方式开会。</w:t>
      </w:r>
    </w:p>
    <w:p w14:paraId="6F58DC5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现场开会由基金份额持有人本人出席或授权委托委派其代理人出席，现场开会时基金管理人和基金托管人的授权代表应当出席，基金管理人或基金托管人</w:t>
      </w:r>
      <w:proofErr w:type="gramStart"/>
      <w:r>
        <w:rPr>
          <w:rFonts w:ascii="Times New Roman" w:hAnsi="Times New Roman"/>
          <w:sz w:val="24"/>
        </w:rPr>
        <w:t>拒不派</w:t>
      </w:r>
      <w:proofErr w:type="gramEnd"/>
      <w:r>
        <w:rPr>
          <w:rFonts w:ascii="Times New Roman" w:hAnsi="Times New Roman"/>
          <w:sz w:val="24"/>
        </w:rPr>
        <w:t>代表出席的，不影响表决效力。</w:t>
      </w:r>
    </w:p>
    <w:p w14:paraId="3F08D0C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通讯方式</w:t>
      </w:r>
      <w:proofErr w:type="gramStart"/>
      <w:r>
        <w:rPr>
          <w:rFonts w:ascii="Times New Roman" w:hAnsi="Times New Roman"/>
          <w:sz w:val="24"/>
        </w:rPr>
        <w:t>开会指</w:t>
      </w:r>
      <w:proofErr w:type="gramEnd"/>
      <w:r>
        <w:rPr>
          <w:rFonts w:ascii="Times New Roman" w:hAnsi="Times New Roman"/>
          <w:sz w:val="24"/>
        </w:rPr>
        <w:t>按照本基金合同的相关规定以通讯的书面方式进行表决。</w:t>
      </w:r>
    </w:p>
    <w:p w14:paraId="503DB1A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）召开基金份额持有人大会的条件</w:t>
      </w:r>
    </w:p>
    <w:p w14:paraId="69D5A50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现场开会方式</w:t>
      </w:r>
    </w:p>
    <w:p w14:paraId="442877A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在同时符合以下条件时，现场会议方可举行：</w:t>
      </w:r>
    </w:p>
    <w:p w14:paraId="5F8201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经核对、汇总，到会者出示的在权益登记日持有基金份额的凭证显示，全部有效凭证所对应的基金份额应占权益登记日基金总份额的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，下同）；</w:t>
      </w:r>
    </w:p>
    <w:p w14:paraId="1982628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亲自出席会议者持有基金份额持有人凭证及身份证明和受托出席会议者身份证明及其出具的委托人持有基金份额的凭证及授权委托证明等文件符合有关法律法规和基金合同及会议通知的规定，并且持有基金份额的凭证与基金管理人持有的注册登记资料相符。</w:t>
      </w:r>
    </w:p>
    <w:p w14:paraId="3A0B9D6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未能满足上述条件的情况下，则召集人可另行确定并公告重新开会的时间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和地点，但确定有权出席会议的基金份额持有人资格的权益登记日不变。</w:t>
      </w:r>
    </w:p>
    <w:p w14:paraId="6AA16A2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通讯开会方式</w:t>
      </w:r>
    </w:p>
    <w:p w14:paraId="4D71504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在同时符合以下条件时，通讯会议方可举行：</w:t>
      </w:r>
    </w:p>
    <w:p w14:paraId="0F226B6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召集人按本基金合同规定公布会议通知后，在</w:t>
      </w:r>
      <w:r>
        <w:rPr>
          <w:rFonts w:ascii="Times New Roman" w:hAnsi="Times New Roman"/>
          <w:sz w:val="24"/>
        </w:rPr>
        <w:t>2</w:t>
      </w:r>
      <w:r>
        <w:rPr>
          <w:rFonts w:ascii="Times New Roman" w:hAnsi="Times New Roman"/>
          <w:sz w:val="24"/>
        </w:rPr>
        <w:t>个工作日内连续公布相关提示性公告；</w:t>
      </w:r>
    </w:p>
    <w:p w14:paraId="367FD2B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召集人在基金托管人</w:t>
      </w:r>
      <w:r>
        <w:rPr>
          <w:rFonts w:ascii="Times New Roman" w:hAnsi="Times New Roman"/>
          <w:sz w:val="24"/>
        </w:rPr>
        <w:t>(</w:t>
      </w:r>
      <w:r>
        <w:rPr>
          <w:rFonts w:ascii="Times New Roman" w:hAnsi="Times New Roman"/>
          <w:sz w:val="24"/>
        </w:rPr>
        <w:t>如果基金托管人为召集人，则为基金管理人；以下称为</w:t>
      </w:r>
      <w:r>
        <w:rPr>
          <w:rFonts w:ascii="Times New Roman" w:hAnsi="Times New Roman"/>
          <w:sz w:val="24"/>
        </w:rPr>
        <w:t>“</w:t>
      </w:r>
      <w:r>
        <w:rPr>
          <w:rFonts w:ascii="Times New Roman" w:hAnsi="Times New Roman"/>
          <w:sz w:val="24"/>
        </w:rPr>
        <w:t>监督人</w:t>
      </w:r>
      <w:r>
        <w:rPr>
          <w:rFonts w:ascii="Times New Roman" w:hAnsi="Times New Roman"/>
          <w:sz w:val="24"/>
        </w:rPr>
        <w:t>”)</w:t>
      </w:r>
      <w:r>
        <w:rPr>
          <w:rFonts w:ascii="Times New Roman" w:hAnsi="Times New Roman"/>
          <w:sz w:val="24"/>
        </w:rPr>
        <w:t>和公证机关的监督下按照会议通知规定的方式收取和统计基金份额持有人的书面表决意见，监督人经通知拒不参加收取和统计书面表决意见的，不影响表决效力；</w:t>
      </w:r>
    </w:p>
    <w:p w14:paraId="60C3B76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本人直接出具书面意见或授权他人代表出具书面意见的基金份额持有人所代表的基金份额应占权益登记日基金总份额的</w:t>
      </w:r>
      <w:r>
        <w:rPr>
          <w:rFonts w:ascii="Times New Roman" w:hAnsi="Times New Roman"/>
          <w:sz w:val="24"/>
        </w:rPr>
        <w:t>50%</w:t>
      </w:r>
      <w:r>
        <w:rPr>
          <w:rFonts w:ascii="Times New Roman" w:hAnsi="Times New Roman"/>
          <w:sz w:val="24"/>
        </w:rPr>
        <w:t>以上；</w:t>
      </w:r>
    </w:p>
    <w:p w14:paraId="4F60E7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53AF522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如果开会条件达不到上述的条件，则召集人可另行确定并公告重新表决的时间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，且确定有权出席会议的基金份额持有人资格的权益登记日不变。</w:t>
      </w:r>
    </w:p>
    <w:p w14:paraId="07F0A7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、议事内容与程序</w:t>
      </w:r>
    </w:p>
    <w:p w14:paraId="364546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1AA5361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议事内容为本基金合同规定的召开基金份额持有人大会事由所涉及的内容以及会议召集人认为需提交基金份额持有人大会讨论的其他事项。</w:t>
      </w:r>
    </w:p>
    <w:p w14:paraId="4F1890E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基金管理人、基金托管人、单独或合并持有权益登记日本基金总份额</w:t>
      </w:r>
      <w:r>
        <w:rPr>
          <w:rFonts w:ascii="Times New Roman" w:hAnsi="Times New Roman"/>
          <w:sz w:val="24"/>
        </w:rPr>
        <w:t>10%</w:t>
      </w:r>
      <w:r>
        <w:rPr>
          <w:rFonts w:ascii="Times New Roman" w:hAnsi="Times New Roman"/>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Times New Roman" w:hAnsi="Times New Roman"/>
          <w:sz w:val="24"/>
        </w:rPr>
        <w:t>35</w:t>
      </w:r>
      <w:r>
        <w:rPr>
          <w:rFonts w:ascii="Times New Roman" w:hAnsi="Times New Roman"/>
          <w:sz w:val="24"/>
        </w:rPr>
        <w:t>日提交召集人。召集人对于临时提案应当在大会召开日前</w:t>
      </w:r>
      <w:r>
        <w:rPr>
          <w:rFonts w:ascii="Times New Roman" w:hAnsi="Times New Roman"/>
          <w:sz w:val="24"/>
        </w:rPr>
        <w:t>30</w:t>
      </w:r>
      <w:r>
        <w:rPr>
          <w:rFonts w:ascii="Times New Roman" w:hAnsi="Times New Roman"/>
          <w:sz w:val="24"/>
        </w:rPr>
        <w:t>日公告。否则，会议的召开日期应当顺延并保证至少与临时提案公告日期有</w:t>
      </w:r>
      <w:r>
        <w:rPr>
          <w:rFonts w:ascii="Times New Roman" w:hAnsi="Times New Roman"/>
          <w:sz w:val="24"/>
        </w:rPr>
        <w:t>30</w:t>
      </w:r>
      <w:r>
        <w:rPr>
          <w:rFonts w:ascii="Times New Roman" w:hAnsi="Times New Roman"/>
          <w:sz w:val="24"/>
        </w:rPr>
        <w:t>日的间隔期。</w:t>
      </w:r>
    </w:p>
    <w:p w14:paraId="7C7AEB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对于基金份额持有人提交的提案</w:t>
      </w:r>
      <w:r>
        <w:rPr>
          <w:rFonts w:ascii="Times New Roman" w:hAnsi="Times New Roman"/>
          <w:sz w:val="24"/>
        </w:rPr>
        <w:t>(</w:t>
      </w:r>
      <w:r>
        <w:rPr>
          <w:rFonts w:ascii="Times New Roman" w:hAnsi="Times New Roman"/>
          <w:sz w:val="24"/>
        </w:rPr>
        <w:t>包括临时提案</w:t>
      </w:r>
      <w:r>
        <w:rPr>
          <w:rFonts w:ascii="Times New Roman" w:hAnsi="Times New Roman"/>
          <w:sz w:val="24"/>
        </w:rPr>
        <w:t>)</w:t>
      </w:r>
      <w:r>
        <w:rPr>
          <w:rFonts w:ascii="Times New Roman" w:hAnsi="Times New Roman"/>
          <w:sz w:val="24"/>
        </w:rPr>
        <w:t>，大会召集人应当按照以下原则对提案进行审核：</w:t>
      </w:r>
    </w:p>
    <w:p w14:paraId="12BC4A7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5C816C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程序性。大会召集人可以对基金份额持有人的提案涉及的程序性问题</w:t>
      </w:r>
      <w:proofErr w:type="gramStart"/>
      <w:r>
        <w:rPr>
          <w:rFonts w:ascii="Times New Roman" w:hAnsi="Times New Roman"/>
          <w:sz w:val="24"/>
        </w:rPr>
        <w:t>作出</w:t>
      </w:r>
      <w:proofErr w:type="gramEnd"/>
      <w:r>
        <w:rPr>
          <w:rFonts w:ascii="Times New Roman" w:hAnsi="Times New Roman"/>
          <w:sz w:val="24"/>
        </w:rPr>
        <w:t>决定。如将其提案进行分拆或合并表决，需征得原提案人同意；原提案人不同意变更的，大会主持人可以就程序性问题提请基金份额持有人大会</w:t>
      </w:r>
      <w:proofErr w:type="gramStart"/>
      <w:r>
        <w:rPr>
          <w:rFonts w:ascii="Times New Roman" w:hAnsi="Times New Roman"/>
          <w:sz w:val="24"/>
        </w:rPr>
        <w:t>作出</w:t>
      </w:r>
      <w:proofErr w:type="gramEnd"/>
      <w:r>
        <w:rPr>
          <w:rFonts w:ascii="Times New Roman" w:hAnsi="Times New Roman"/>
          <w:sz w:val="24"/>
        </w:rPr>
        <w:t>决定，并按照基金份额持有人大会决定的程序进行审议。</w:t>
      </w:r>
    </w:p>
    <w:p w14:paraId="6C3DAF8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单独或合并持有权益登记日基金总份额</w:t>
      </w:r>
      <w:r>
        <w:rPr>
          <w:rFonts w:ascii="Times New Roman" w:hAnsi="Times New Roman"/>
          <w:sz w:val="24"/>
        </w:rPr>
        <w:t>10%</w:t>
      </w:r>
      <w:r>
        <w:rPr>
          <w:rFonts w:ascii="Times New Roman" w:hAnsi="Times New Roman"/>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Times New Roman" w:hAnsi="Times New Roman"/>
          <w:sz w:val="24"/>
        </w:rPr>
        <w:t>6</w:t>
      </w:r>
      <w:r>
        <w:rPr>
          <w:rFonts w:ascii="Times New Roman" w:hAnsi="Times New Roman"/>
          <w:sz w:val="24"/>
        </w:rPr>
        <w:t>个月。法律法规另有规定的除外。</w:t>
      </w:r>
    </w:p>
    <w:p w14:paraId="15845EB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基金份额持有人大会的召集人发出召开会议的通知后，如果需要对原有提案进行修改，应当最迟在基金份额持有人大会召开日前</w:t>
      </w:r>
      <w:r>
        <w:rPr>
          <w:rFonts w:ascii="Times New Roman" w:hAnsi="Times New Roman"/>
          <w:sz w:val="24"/>
        </w:rPr>
        <w:t>30</w:t>
      </w:r>
      <w:r>
        <w:rPr>
          <w:rFonts w:ascii="Times New Roman" w:hAnsi="Times New Roman"/>
          <w:sz w:val="24"/>
        </w:rPr>
        <w:t>日公告。否则，会议的召开日期应当顺延并保证至少与公告日期有</w:t>
      </w:r>
      <w:r>
        <w:rPr>
          <w:rFonts w:ascii="Times New Roman" w:hAnsi="Times New Roman"/>
          <w:sz w:val="24"/>
        </w:rPr>
        <w:t>30</w:t>
      </w:r>
      <w:r>
        <w:rPr>
          <w:rFonts w:ascii="Times New Roman" w:hAnsi="Times New Roman"/>
          <w:sz w:val="24"/>
        </w:rPr>
        <w:t>日的间隔期。</w:t>
      </w:r>
    </w:p>
    <w:p w14:paraId="12321F4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27E75C6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14:paraId="71D0EB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w:t>
      </w:r>
      <w:r>
        <w:rPr>
          <w:rFonts w:ascii="Times New Roman" w:hAnsi="Times New Roman"/>
          <w:sz w:val="24"/>
        </w:rPr>
        <w:lastRenderedPageBreak/>
        <w:t>合法执业的律师见证后形成大会决议。</w:t>
      </w:r>
    </w:p>
    <w:p w14:paraId="76ED58C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Times New Roman" w:hAnsi="Times New Roman"/>
          <w:sz w:val="24"/>
        </w:rPr>
        <w:t>50%</w:t>
      </w:r>
      <w:r>
        <w:rPr>
          <w:rFonts w:ascii="Times New Roman" w:hAnsi="Times New Roman"/>
          <w:sz w:val="24"/>
        </w:rPr>
        <w:t>以上多数选举产生一名代表作为该次基金份额持有人大会的主持人。基金管理人和基金托管人不出席或主持基金份额持有人大会，不影响基金份额持有人大会</w:t>
      </w:r>
      <w:proofErr w:type="gramStart"/>
      <w:r>
        <w:rPr>
          <w:rFonts w:ascii="Times New Roman" w:hAnsi="Times New Roman"/>
          <w:sz w:val="24"/>
        </w:rPr>
        <w:t>作出</w:t>
      </w:r>
      <w:proofErr w:type="gramEnd"/>
      <w:r>
        <w:rPr>
          <w:rFonts w:ascii="Times New Roman" w:hAnsi="Times New Roman"/>
          <w:sz w:val="24"/>
        </w:rPr>
        <w:t>的决议的效力。</w:t>
      </w:r>
    </w:p>
    <w:p w14:paraId="0A72E45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召集人应当制作出席会议人员的签名册。签名</w:t>
      </w:r>
      <w:proofErr w:type="gramStart"/>
      <w:r>
        <w:rPr>
          <w:rFonts w:ascii="Times New Roman" w:hAnsi="Times New Roman"/>
          <w:sz w:val="24"/>
        </w:rPr>
        <w:t>册</w:t>
      </w:r>
      <w:proofErr w:type="gramEnd"/>
      <w:r>
        <w:rPr>
          <w:rFonts w:ascii="Times New Roman" w:hAnsi="Times New Roman"/>
          <w:sz w:val="24"/>
        </w:rPr>
        <w:t>载明参加会议人员姓名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、身份证号码、住所地址、持有或代表有表决权的基金份额、委托人姓名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等事项。</w:t>
      </w:r>
    </w:p>
    <w:p w14:paraId="74ADC92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通讯方式开会</w:t>
      </w:r>
    </w:p>
    <w:p w14:paraId="4A0B7D5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在通讯表决开会的方式下，首先由召集人提前</w:t>
      </w:r>
      <w:r>
        <w:rPr>
          <w:rFonts w:ascii="Times New Roman" w:hAnsi="Times New Roman"/>
          <w:sz w:val="24"/>
        </w:rPr>
        <w:t>30</w:t>
      </w:r>
      <w:r>
        <w:rPr>
          <w:rFonts w:ascii="Times New Roman" w:hAnsi="Times New Roman"/>
          <w:sz w:val="24"/>
        </w:rPr>
        <w:t>日公布提案，在所通知的表决截止日期第</w:t>
      </w:r>
      <w:r>
        <w:rPr>
          <w:rFonts w:ascii="Times New Roman" w:hAnsi="Times New Roman"/>
          <w:sz w:val="24"/>
        </w:rPr>
        <w:t>2</w:t>
      </w:r>
      <w:r>
        <w:rPr>
          <w:rFonts w:ascii="Times New Roman" w:hAnsi="Times New Roman"/>
          <w:sz w:val="24"/>
        </w:rPr>
        <w:t>日在公证机构及监督人的监督下由召集人统计全部有效表决并形成决议。如监督人经通知但拒绝到场监督，则在公正机关监督下形成的决议有效。</w:t>
      </w:r>
    </w:p>
    <w:p w14:paraId="35D4633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）基金份额持有人大会不得对未事先公告的议事内容进行表决。</w:t>
      </w:r>
    </w:p>
    <w:p w14:paraId="2FEF5BC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、决议形成的条件、表决方式、程序</w:t>
      </w:r>
    </w:p>
    <w:p w14:paraId="0CA07B2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）基金份额持有人所持每一基金份额享有平等的表决权。</w:t>
      </w:r>
    </w:p>
    <w:p w14:paraId="03A1077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）基金份额持有人大会决议分为一般决议和特别决议：</w:t>
      </w:r>
    </w:p>
    <w:p w14:paraId="53A855F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一般决议</w:t>
      </w:r>
    </w:p>
    <w:p w14:paraId="7BF5E6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一般决议须经出席会议的基金份额持有人及其代理人所持表决权的</w:t>
      </w:r>
      <w:r>
        <w:rPr>
          <w:rFonts w:ascii="Times New Roman" w:hAnsi="Times New Roman"/>
          <w:sz w:val="24"/>
        </w:rPr>
        <w:t>50%</w:t>
      </w:r>
      <w:r>
        <w:rPr>
          <w:rFonts w:ascii="Times New Roman" w:hAnsi="Times New Roman"/>
          <w:sz w:val="24"/>
        </w:rPr>
        <w:t>以上通过方为有效，除下列</w:t>
      </w:r>
      <w:r>
        <w:rPr>
          <w:rFonts w:ascii="Times New Roman" w:hAnsi="Times New Roman"/>
          <w:sz w:val="24"/>
        </w:rPr>
        <w:t>2)</w:t>
      </w:r>
      <w:r>
        <w:rPr>
          <w:rFonts w:ascii="Times New Roman" w:hAnsi="Times New Roman"/>
          <w:sz w:val="24"/>
        </w:rPr>
        <w:t>所规定的须以特别决议通过事项以外的其他事项均以一般决议的方式通过；</w:t>
      </w:r>
    </w:p>
    <w:p w14:paraId="23894E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特别决议</w:t>
      </w:r>
    </w:p>
    <w:p w14:paraId="658EF97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3904CA8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）基金份额持有人大会决定的事项，应当依法报中国证监会核准，或者备案，并予以公告。</w:t>
      </w:r>
    </w:p>
    <w:p w14:paraId="07DA92C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）采取通讯方式进行表决时，除非在计票时有充分的相反证据证明，否则表面符合法律法规和会议通知规定的书面表决意见即视为有效的表决，表决意见模</w:t>
      </w:r>
      <w:r>
        <w:rPr>
          <w:rFonts w:ascii="Times New Roman" w:hAnsi="Times New Roman"/>
          <w:sz w:val="24"/>
        </w:rPr>
        <w:lastRenderedPageBreak/>
        <w:t>糊不清或相互矛盾的视为弃权表决，但应当计入出具书面意见的基金份额持有人所代表的基金份额总数。</w:t>
      </w:r>
    </w:p>
    <w:p w14:paraId="673CDDA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）基金份额持有人大会采取记名方式进行投票表决。</w:t>
      </w:r>
    </w:p>
    <w:p w14:paraId="25109DA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）基金份额持有人大会的各项提案或同一项提案内并列的各项议题应当分开审议、逐项表决。</w:t>
      </w:r>
    </w:p>
    <w:p w14:paraId="097CA97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、计票</w:t>
      </w:r>
    </w:p>
    <w:p w14:paraId="0E7D40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761F35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如基金份额持有人大会由基金管理人或基金托管人召集，</w:t>
      </w:r>
      <w:proofErr w:type="gramStart"/>
      <w:r>
        <w:rPr>
          <w:rFonts w:ascii="Times New Roman" w:hAnsi="Times New Roman"/>
          <w:sz w:val="24"/>
        </w:rPr>
        <w:t>则基金</w:t>
      </w:r>
      <w:proofErr w:type="gramEnd"/>
      <w:r>
        <w:rPr>
          <w:rFonts w:ascii="Times New Roman" w:hAnsi="Times New Roman"/>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Times New Roman" w:hAnsi="Times New Roman"/>
          <w:sz w:val="24"/>
        </w:rPr>
        <w:t>或大会</w:t>
      </w:r>
      <w:proofErr w:type="gramEnd"/>
      <w:r>
        <w:rPr>
          <w:rFonts w:ascii="Times New Roman" w:hAnsi="Times New Roman"/>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Times New Roman" w:hAnsi="Times New Roman"/>
          <w:sz w:val="24"/>
        </w:rPr>
        <w:t>3</w:t>
      </w:r>
      <w:r>
        <w:rPr>
          <w:rFonts w:ascii="Times New Roman" w:hAnsi="Times New Roman"/>
          <w:sz w:val="24"/>
        </w:rPr>
        <w:t>名基金份额持有人担任监票人。基金管理人或基金托管人不出席大会的，不影响计票的效力及表决结果。</w:t>
      </w:r>
    </w:p>
    <w:p w14:paraId="26517DC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监票人应当在基金份额持有人表决后立即进行清点，由大会主持人当场公布计票结果。</w:t>
      </w:r>
    </w:p>
    <w:p w14:paraId="1F52F36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4C5105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w:t>
      </w:r>
    </w:p>
    <w:p w14:paraId="5B421B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）通讯方式开会</w:t>
      </w:r>
    </w:p>
    <w:p w14:paraId="12303A0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Times New Roman" w:hAnsi="Times New Roman"/>
          <w:sz w:val="24"/>
        </w:rPr>
        <w:t>方担任</w:t>
      </w:r>
      <w:proofErr w:type="gramEnd"/>
      <w:r>
        <w:rPr>
          <w:rFonts w:ascii="Times New Roman" w:hAnsi="Times New Roman"/>
          <w:sz w:val="24"/>
        </w:rPr>
        <w:t>监督计票人员。</w:t>
      </w:r>
    </w:p>
    <w:p w14:paraId="5F2EA9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、基金份额持有人大会决议报中国证监会核准或备案后的公告时间、方式</w:t>
      </w:r>
    </w:p>
    <w:p w14:paraId="1C25E19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）基金份额持有人大会通过的一般决议和特别决议，召集人应当自通过之日起</w:t>
      </w:r>
      <w:r>
        <w:rPr>
          <w:rFonts w:ascii="Times New Roman" w:hAnsi="Times New Roman"/>
          <w:sz w:val="24"/>
        </w:rPr>
        <w:t>5</w:t>
      </w:r>
      <w:r>
        <w:rPr>
          <w:rFonts w:ascii="Times New Roman" w:hAnsi="Times New Roman"/>
          <w:sz w:val="24"/>
        </w:rPr>
        <w:t>日内报中国证监会核准或者备案。基金份额持有人大会决定的事项自中国证</w:t>
      </w:r>
      <w:r>
        <w:rPr>
          <w:rFonts w:ascii="Times New Roman" w:hAnsi="Times New Roman"/>
          <w:sz w:val="24"/>
        </w:rPr>
        <w:lastRenderedPageBreak/>
        <w:t>监会依法核准或者出具无异议意见之日起生效，并在生效后方可执行。关于本章第</w:t>
      </w:r>
      <w:r>
        <w:rPr>
          <w:rFonts w:ascii="Times New Roman" w:hAnsi="Times New Roman"/>
          <w:sz w:val="24"/>
        </w:rPr>
        <w:t>2</w:t>
      </w:r>
      <w:r>
        <w:rPr>
          <w:rFonts w:ascii="Times New Roman" w:hAnsi="Times New Roman"/>
          <w:sz w:val="24"/>
        </w:rPr>
        <w:t>款所规定的第</w:t>
      </w:r>
      <w:r>
        <w:rPr>
          <w:rFonts w:ascii="Times New Roman" w:hAnsi="Times New Roman"/>
          <w:sz w:val="24"/>
        </w:rPr>
        <w:t>1)-7)</w:t>
      </w:r>
      <w:proofErr w:type="gramStart"/>
      <w:r>
        <w:rPr>
          <w:rFonts w:ascii="Times New Roman" w:hAnsi="Times New Roman"/>
          <w:sz w:val="24"/>
        </w:rPr>
        <w:t>项召开</w:t>
      </w:r>
      <w:proofErr w:type="gramEnd"/>
      <w:r>
        <w:rPr>
          <w:rFonts w:ascii="Times New Roman" w:hAnsi="Times New Roman"/>
          <w:sz w:val="24"/>
        </w:rPr>
        <w:t>事由的基金份额持有人大会决议经中国证监会核准生效后方可执行，关于本条第</w:t>
      </w:r>
      <w:r>
        <w:rPr>
          <w:rFonts w:ascii="Times New Roman" w:hAnsi="Times New Roman"/>
          <w:sz w:val="24"/>
        </w:rPr>
        <w:t>2</w:t>
      </w:r>
      <w:r>
        <w:rPr>
          <w:rFonts w:ascii="Times New Roman" w:hAnsi="Times New Roman"/>
          <w:sz w:val="24"/>
        </w:rPr>
        <w:t>款所规定的第</w:t>
      </w:r>
      <w:r>
        <w:rPr>
          <w:rFonts w:ascii="Times New Roman" w:hAnsi="Times New Roman"/>
          <w:sz w:val="24"/>
        </w:rPr>
        <w:t>8)</w:t>
      </w:r>
      <w:r>
        <w:rPr>
          <w:rFonts w:ascii="Times New Roman" w:hAnsi="Times New Roman"/>
          <w:sz w:val="24"/>
        </w:rPr>
        <w:t>、</w:t>
      </w:r>
      <w:r>
        <w:rPr>
          <w:rFonts w:ascii="Times New Roman" w:hAnsi="Times New Roman"/>
          <w:sz w:val="24"/>
        </w:rPr>
        <w:t>9)</w:t>
      </w:r>
      <w:proofErr w:type="gramStart"/>
      <w:r>
        <w:rPr>
          <w:rFonts w:ascii="Times New Roman" w:hAnsi="Times New Roman"/>
          <w:sz w:val="24"/>
        </w:rPr>
        <w:t>项召开</w:t>
      </w:r>
      <w:proofErr w:type="gramEnd"/>
      <w:r>
        <w:rPr>
          <w:rFonts w:ascii="Times New Roman" w:hAnsi="Times New Roman"/>
          <w:sz w:val="24"/>
        </w:rPr>
        <w:t>事由的基金份额持有人大会决议经中国证监会核准或出具无异议意见后方可执行。</w:t>
      </w:r>
    </w:p>
    <w:p w14:paraId="744BF30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）生效的基金份额持有人大会决议对全体基金份额持有人、基金管理人、基金托管人均有约束力。基金管理人、基金托管人和基金份额持有人应当执行生效的基金份额持有人大会的决定。</w:t>
      </w:r>
    </w:p>
    <w:p w14:paraId="20B86FC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）基金份额持有人大会决议应自生效之日起</w:t>
      </w:r>
      <w:r>
        <w:rPr>
          <w:rFonts w:ascii="Times New Roman" w:hAnsi="Times New Roman"/>
          <w:sz w:val="24"/>
        </w:rPr>
        <w:t>2</w:t>
      </w:r>
      <w:r>
        <w:rPr>
          <w:rFonts w:ascii="Times New Roman" w:hAnsi="Times New Roman"/>
          <w:sz w:val="24"/>
        </w:rPr>
        <w:t>日内在指定媒介公告。</w:t>
      </w:r>
    </w:p>
    <w:p w14:paraId="5EA5CDE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）如果采用通讯方式进行表决，在公告基金份额持有人大会决议时，必须将公证书全文、公证机关、公证员姓名等一同公告。</w:t>
      </w:r>
    </w:p>
    <w:p w14:paraId="19DA281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w:t>
      </w:r>
      <w:proofErr w:type="gramStart"/>
      <w:r>
        <w:rPr>
          <w:rFonts w:ascii="Times New Roman" w:hAnsi="Times New Roman"/>
          <w:sz w:val="24"/>
        </w:rPr>
        <w:t>鉴于本</w:t>
      </w:r>
      <w:proofErr w:type="gramEnd"/>
      <w:r>
        <w:rPr>
          <w:rFonts w:ascii="Times New Roman" w:hAnsi="Times New Roman"/>
          <w:sz w:val="24"/>
        </w:rPr>
        <w:t>基金是目标</w:t>
      </w:r>
      <w:r>
        <w:rPr>
          <w:rFonts w:ascii="Times New Roman" w:hAnsi="Times New Roman"/>
          <w:sz w:val="24"/>
        </w:rPr>
        <w:t>ETF</w:t>
      </w:r>
      <w:r>
        <w:rPr>
          <w:rFonts w:ascii="Times New Roman" w:hAnsi="Times New Roman"/>
          <w:sz w:val="24"/>
        </w:rPr>
        <w:t>的联接基金，本基金的基金份额持有人可以凭所持有的本基金份额出席或者委派代表出席目标</w:t>
      </w:r>
      <w:r>
        <w:rPr>
          <w:rFonts w:ascii="Times New Roman" w:hAnsi="Times New Roman"/>
          <w:sz w:val="24"/>
        </w:rPr>
        <w:t>ETF</w:t>
      </w:r>
      <w:r>
        <w:rPr>
          <w:rFonts w:ascii="Times New Roman" w:hAnsi="Times New Roman"/>
          <w:sz w:val="24"/>
        </w:rPr>
        <w:t>的份额持有人大会并参与表决，其持有的享有表决权的基金份额数和表决票数为，在目标</w:t>
      </w:r>
      <w:r>
        <w:rPr>
          <w:rFonts w:ascii="Times New Roman" w:hAnsi="Times New Roman"/>
          <w:sz w:val="24"/>
        </w:rPr>
        <w:t>ETF</w:t>
      </w:r>
      <w:r>
        <w:rPr>
          <w:rFonts w:ascii="Times New Roman" w:hAnsi="Times New Roman"/>
          <w:sz w:val="24"/>
        </w:rPr>
        <w:t>基金份额持有人大会的权益登记日，本基金持有目标</w:t>
      </w:r>
      <w:r>
        <w:rPr>
          <w:rFonts w:ascii="Times New Roman" w:hAnsi="Times New Roman"/>
          <w:sz w:val="24"/>
        </w:rPr>
        <w:t>ETF</w:t>
      </w:r>
      <w:r>
        <w:rPr>
          <w:rFonts w:ascii="Times New Roman" w:hAnsi="Times New Roman"/>
          <w:sz w:val="24"/>
        </w:rPr>
        <w:t>份额的总数乘以该持有人所持有的本基金份额占本基金总份额的比例，计算结果按照四舍五入的方法，保留到整数位。</w:t>
      </w:r>
    </w:p>
    <w:p w14:paraId="61409AC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本基金的基金管理人不应以本基金的名义代表本基金的全体基金份额持有人以目标</w:t>
      </w:r>
      <w:r>
        <w:rPr>
          <w:rFonts w:ascii="Times New Roman" w:hAnsi="Times New Roman"/>
          <w:sz w:val="24"/>
        </w:rPr>
        <w:t>ETF</w:t>
      </w:r>
      <w:r>
        <w:rPr>
          <w:rFonts w:ascii="Times New Roman" w:hAnsi="Times New Roman"/>
          <w:sz w:val="24"/>
        </w:rPr>
        <w:t>的基金份额持有人的身份行使表决权，但可接受本基金的</w:t>
      </w:r>
      <w:proofErr w:type="gramStart"/>
      <w:r>
        <w:rPr>
          <w:rFonts w:ascii="Times New Roman" w:hAnsi="Times New Roman"/>
          <w:sz w:val="24"/>
        </w:rPr>
        <w:t>特定基金</w:t>
      </w:r>
      <w:proofErr w:type="gramEnd"/>
      <w:r>
        <w:rPr>
          <w:rFonts w:ascii="Times New Roman" w:hAnsi="Times New Roman"/>
          <w:sz w:val="24"/>
        </w:rPr>
        <w:t>份额持有人的委托以本基金的基金份额持有人代理人的身份出席目标</w:t>
      </w:r>
      <w:r>
        <w:rPr>
          <w:rFonts w:ascii="Times New Roman" w:hAnsi="Times New Roman"/>
          <w:sz w:val="24"/>
        </w:rPr>
        <w:t>ETF</w:t>
      </w:r>
      <w:r>
        <w:rPr>
          <w:rFonts w:ascii="Times New Roman" w:hAnsi="Times New Roman"/>
          <w:sz w:val="24"/>
        </w:rPr>
        <w:t>的基金份额持有人大会并参与表决。</w:t>
      </w:r>
    </w:p>
    <w:p w14:paraId="067F76E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本基金的基金管理人代表本基金的基金份额持有人提议召开或召集目标</w:t>
      </w:r>
      <w:r>
        <w:rPr>
          <w:rFonts w:ascii="Times New Roman" w:hAnsi="Times New Roman"/>
          <w:sz w:val="24"/>
        </w:rPr>
        <w:t>ETF</w:t>
      </w:r>
      <w:r>
        <w:rPr>
          <w:rFonts w:ascii="Times New Roman" w:hAnsi="Times New Roman"/>
          <w:sz w:val="24"/>
        </w:rPr>
        <w:t>份额持有人大会的，须先遵照本</w:t>
      </w:r>
      <w:proofErr w:type="gramStart"/>
      <w:r>
        <w:rPr>
          <w:rFonts w:ascii="Times New Roman" w:hAnsi="Times New Roman"/>
          <w:sz w:val="24"/>
        </w:rPr>
        <w:t>基金基金</w:t>
      </w:r>
      <w:proofErr w:type="gramEnd"/>
      <w:r>
        <w:rPr>
          <w:rFonts w:ascii="Times New Roman" w:hAnsi="Times New Roman"/>
          <w:sz w:val="24"/>
        </w:rPr>
        <w:t>合同的约定召开本基金的基金份额持有人大会，本基金的基金份额持有人大会决定提议召开或召集目标</w:t>
      </w:r>
      <w:r>
        <w:rPr>
          <w:rFonts w:ascii="Times New Roman" w:hAnsi="Times New Roman"/>
          <w:sz w:val="24"/>
        </w:rPr>
        <w:t>ETF</w:t>
      </w:r>
      <w:r>
        <w:rPr>
          <w:rFonts w:ascii="Times New Roman" w:hAnsi="Times New Roman"/>
          <w:sz w:val="24"/>
        </w:rPr>
        <w:t>份额持有人大会的，由本</w:t>
      </w:r>
      <w:proofErr w:type="gramStart"/>
      <w:r>
        <w:rPr>
          <w:rFonts w:ascii="Times New Roman" w:hAnsi="Times New Roman"/>
          <w:sz w:val="24"/>
        </w:rPr>
        <w:t>基金基金</w:t>
      </w:r>
      <w:proofErr w:type="gramEnd"/>
      <w:r>
        <w:rPr>
          <w:rFonts w:ascii="Times New Roman" w:hAnsi="Times New Roman"/>
          <w:sz w:val="24"/>
        </w:rPr>
        <w:t>管理人代表本基金的基金份额持有人提议召开或召集目标</w:t>
      </w:r>
      <w:r>
        <w:rPr>
          <w:rFonts w:ascii="Times New Roman" w:hAnsi="Times New Roman"/>
          <w:sz w:val="24"/>
        </w:rPr>
        <w:t>ETF</w:t>
      </w:r>
      <w:r>
        <w:rPr>
          <w:rFonts w:ascii="Times New Roman" w:hAnsi="Times New Roman"/>
          <w:sz w:val="24"/>
        </w:rPr>
        <w:t>份额持有人大会。</w:t>
      </w:r>
    </w:p>
    <w:p w14:paraId="630139E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、法律法规或中国证监会对基金份额持有人大会另有规定的，从其规定。</w:t>
      </w:r>
    </w:p>
    <w:p w14:paraId="41167542"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（三）基金合同的变更与终止</w:t>
      </w:r>
    </w:p>
    <w:p w14:paraId="159D3CD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14:paraId="4C34ECF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）下列涉及到基金合同内容变更的事项应召</w:t>
      </w:r>
      <w:proofErr w:type="gramStart"/>
      <w:r>
        <w:rPr>
          <w:rFonts w:ascii="Times New Roman" w:hAnsi="Times New Roman"/>
          <w:sz w:val="24"/>
        </w:rPr>
        <w:t>开基金</w:t>
      </w:r>
      <w:proofErr w:type="gramEnd"/>
      <w:r>
        <w:rPr>
          <w:rFonts w:ascii="Times New Roman" w:hAnsi="Times New Roman"/>
          <w:sz w:val="24"/>
        </w:rPr>
        <w:t>份额持有人大会并经基金份额持有人大会决议同意：</w:t>
      </w:r>
    </w:p>
    <w:p w14:paraId="25736AD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转换基金运作方式；</w:t>
      </w:r>
    </w:p>
    <w:p w14:paraId="57D5986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变更基金类别，投资目标、投资范围或投资策略；</w:t>
      </w:r>
    </w:p>
    <w:p w14:paraId="3844CE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变更基金份额持有人大会议事程序；</w:t>
      </w:r>
    </w:p>
    <w:p w14:paraId="42BBCC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更换基金管理人、基金托管人；</w:t>
      </w:r>
    </w:p>
    <w:p w14:paraId="39B176A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提高基金管理人、基金托管人的报酬标准以及赎回费率，但根据法律法规的要求提高该等报酬标准的除外；</w:t>
      </w:r>
    </w:p>
    <w:p w14:paraId="682143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本基金与其他基金的合并；</w:t>
      </w:r>
    </w:p>
    <w:p w14:paraId="5F2947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对基金合同当事人权利、义务产生重大影响，需召开基金份额持有人大会的变更基金合同等其他事项；</w:t>
      </w:r>
    </w:p>
    <w:p w14:paraId="4D9A545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法律法规、基金合同或中国证监会规定的其他情形。</w:t>
      </w:r>
    </w:p>
    <w:p w14:paraId="34A3676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但出现下列情况时，可不经基金份额持有人大会决议，由基金管理人和基金托管人同意变更后公布经修订的基金合同，并报中国证监会备案：</w:t>
      </w:r>
    </w:p>
    <w:p w14:paraId="7BC2984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调低基金管理费、基金托管费、其他应由基金或基金份额持有人承担的费用；</w:t>
      </w:r>
    </w:p>
    <w:p w14:paraId="7359E9E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在法律法规和本基金合同规定的范围内调整基金的申购费率、调低赎回费率或变更收费方式；</w:t>
      </w:r>
    </w:p>
    <w:p w14:paraId="5B6E858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因为当事人名称、住所、法定代表人变更，当事人分立、合并等原因导致基金合同内容必须做出相应变动的；</w:t>
      </w:r>
    </w:p>
    <w:p w14:paraId="3A06553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proofErr w:type="gramStart"/>
      <w:r>
        <w:rPr>
          <w:rFonts w:ascii="Times New Roman" w:hAnsi="Times New Roman"/>
          <w:sz w:val="24"/>
        </w:rPr>
        <w:t>因相应</w:t>
      </w:r>
      <w:proofErr w:type="gramEnd"/>
      <w:r>
        <w:rPr>
          <w:rFonts w:ascii="Times New Roman" w:hAnsi="Times New Roman"/>
          <w:sz w:val="24"/>
        </w:rPr>
        <w:t>的法律法规发生变动必须对基金合同进行修改；</w:t>
      </w:r>
    </w:p>
    <w:p w14:paraId="1FFF83B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基金合同的修改不涉及本基金合同当事人权利义务关系发生变化；</w:t>
      </w:r>
    </w:p>
    <w:p w14:paraId="286C8C1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基金合同的修改对基金份额持有人利益无实质性不利影响；</w:t>
      </w:r>
    </w:p>
    <w:p w14:paraId="674770A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按照法律法规或本基金合同规定不需召开基金份额持有人大会的其他情形。</w:t>
      </w:r>
    </w:p>
    <w:p w14:paraId="3AB97AC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）关于变更基金合同的基金份额持有人大会决议经中国证监会核准或备案，并经中国证监会核准或出具无异议意见之日起生效。基金管理人应在上述基金份额持有人大会决议生效后</w:t>
      </w:r>
      <w:r>
        <w:rPr>
          <w:rFonts w:ascii="Times New Roman" w:hAnsi="Times New Roman"/>
          <w:sz w:val="24"/>
        </w:rPr>
        <w:t>2</w:t>
      </w:r>
      <w:r>
        <w:rPr>
          <w:rFonts w:ascii="Times New Roman" w:hAnsi="Times New Roman"/>
          <w:sz w:val="24"/>
        </w:rPr>
        <w:t>日内在指定媒介公告。</w:t>
      </w:r>
    </w:p>
    <w:p w14:paraId="78A802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w:t>
      </w:r>
    </w:p>
    <w:p w14:paraId="607108A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有下列情形之一的，本基金合同经中国证监会核准后将终止：</w:t>
      </w:r>
    </w:p>
    <w:p w14:paraId="6B65C36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3A067DB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14:paraId="2610D48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14:paraId="20086AF9" w14:textId="5374EB05" w:rsidR="00CA3549" w:rsidRPr="00CA3549" w:rsidRDefault="00953581" w:rsidP="00CA3549">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4</w:t>
      </w:r>
      <w:r>
        <w:rPr>
          <w:rFonts w:ascii="Times New Roman" w:hAnsi="Times New Roman"/>
          <w:sz w:val="24"/>
        </w:rPr>
        <w:t>）</w:t>
      </w:r>
      <w:r w:rsidR="00CA3549" w:rsidRPr="00CA3549">
        <w:rPr>
          <w:rFonts w:ascii="Times New Roman" w:hAnsi="Times New Roman" w:hint="eastAsia"/>
          <w:bCs/>
          <w:sz w:val="24"/>
        </w:rPr>
        <w:t>出现标的指数不符合要求（不包括因成份股价格波动等指数编制方法变动之外的因素致使标的指数不符合要求的情形）、指数编制机构退出等情形，基金</w:t>
      </w:r>
      <w:r w:rsidR="00CA3549" w:rsidRPr="00CA3549">
        <w:rPr>
          <w:rFonts w:ascii="Times New Roman" w:hAnsi="Times New Roman" w:hint="eastAsia"/>
          <w:bCs/>
          <w:sz w:val="24"/>
        </w:rPr>
        <w:lastRenderedPageBreak/>
        <w:t>管理人召集基金份额持有人大会对解决方案进行表决，基金份额持有人大会未成功召开或就上述事项表决未通过的；</w:t>
      </w:r>
    </w:p>
    <w:p w14:paraId="6EB62817" w14:textId="08B7CF94" w:rsidR="009A30E5" w:rsidRDefault="00CA3549" w:rsidP="00CA3549">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sidR="00953581">
        <w:rPr>
          <w:rFonts w:ascii="Times New Roman" w:hAnsi="Times New Roman"/>
          <w:sz w:val="24"/>
        </w:rPr>
        <w:t>相关法律法规和中国证监会规定的其他情况。</w:t>
      </w:r>
    </w:p>
    <w:p w14:paraId="5D2CED85"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（四）争议的处理</w:t>
      </w:r>
    </w:p>
    <w:p w14:paraId="1FA0E8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7AF8C10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14:paraId="3412BF0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本基金合同适用中华人民共和国法律并从其解释。</w:t>
      </w:r>
    </w:p>
    <w:p w14:paraId="4E365484"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（五）基金合同存放地和投资者取得基金合同的方式</w:t>
      </w:r>
    </w:p>
    <w:p w14:paraId="15552CE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14:paraId="7FA8C22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本基金合同可印制成册，</w:t>
      </w:r>
      <w:proofErr w:type="gramStart"/>
      <w:r>
        <w:rPr>
          <w:rFonts w:ascii="Times New Roman" w:hAnsi="Times New Roman"/>
          <w:sz w:val="24"/>
        </w:rPr>
        <w:t>供基金</w:t>
      </w:r>
      <w:proofErr w:type="gramEnd"/>
      <w:r>
        <w:rPr>
          <w:rFonts w:ascii="Times New Roman" w:hAnsi="Times New Roman"/>
          <w:sz w:val="24"/>
        </w:rPr>
        <w:t>投资者在基金管理人处、基金托管人处查阅。基金合同条款及内容应以基金合同正本为准。</w:t>
      </w:r>
    </w:p>
    <w:p w14:paraId="082C63E1"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0053D4" w14:textId="77777777" w:rsidR="009A30E5" w:rsidRDefault="00953581">
      <w:pPr>
        <w:pStyle w:val="1"/>
        <w:snapToGrid w:val="0"/>
        <w:spacing w:beforeLines="0" w:before="240" w:after="240"/>
        <w:rPr>
          <w:rFonts w:ascii="宋体" w:hAnsi="宋体"/>
          <w:szCs w:val="30"/>
        </w:rPr>
      </w:pPr>
      <w:bookmarkStart w:id="23" w:name="_Toc59040216"/>
      <w:r>
        <w:rPr>
          <w:rFonts w:ascii="Times New Roman" w:hAnsi="Times New Roman"/>
          <w:sz w:val="30"/>
        </w:rPr>
        <w:lastRenderedPageBreak/>
        <w:t>二十一、托管协议的内容摘要</w:t>
      </w:r>
      <w:bookmarkEnd w:id="23"/>
    </w:p>
    <w:p w14:paraId="699CC27B"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14:paraId="3DDDDA0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14:paraId="0302F7B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23E717C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738717E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14:paraId="20AC48F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0C77FBF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720A94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1AE6C48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w:t>
      </w:r>
      <w:proofErr w:type="gramStart"/>
      <w:r>
        <w:rPr>
          <w:rFonts w:ascii="Times New Roman" w:hAnsi="Times New Roman"/>
          <w:sz w:val="24"/>
        </w:rPr>
        <w:t>监基金字</w:t>
      </w:r>
      <w:proofErr w:type="gramEnd"/>
      <w:r>
        <w:rPr>
          <w:rFonts w:ascii="Times New Roman" w:hAnsi="Times New Roman"/>
          <w:sz w:val="24"/>
        </w:rPr>
        <w:t>【</w:t>
      </w:r>
      <w:r>
        <w:rPr>
          <w:rFonts w:ascii="Times New Roman" w:hAnsi="Times New Roman"/>
          <w:sz w:val="24"/>
        </w:rPr>
        <w:t>2005</w:t>
      </w:r>
      <w:r>
        <w:rPr>
          <w:rFonts w:ascii="Times New Roman" w:hAnsi="Times New Roman"/>
          <w:sz w:val="24"/>
        </w:rPr>
        <w:t>】</w:t>
      </w:r>
      <w:r>
        <w:rPr>
          <w:rFonts w:ascii="Times New Roman" w:hAnsi="Times New Roman"/>
          <w:sz w:val="24"/>
        </w:rPr>
        <w:t>128</w:t>
      </w:r>
      <w:r>
        <w:rPr>
          <w:rFonts w:ascii="Times New Roman" w:hAnsi="Times New Roman"/>
          <w:sz w:val="24"/>
        </w:rPr>
        <w:t>号</w:t>
      </w:r>
    </w:p>
    <w:p w14:paraId="220D4D9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14:paraId="7365C98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注册资本：贰亿元</w:t>
      </w:r>
    </w:p>
    <w:p w14:paraId="22F14B0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1DD8700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14:paraId="134DF17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14:paraId="30353BE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14:paraId="0548907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4BDB2D3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w:t>
      </w:r>
      <w:proofErr w:type="gramStart"/>
      <w:r>
        <w:rPr>
          <w:rFonts w:ascii="Times New Roman" w:hAnsi="Times New Roman"/>
          <w:sz w:val="24"/>
        </w:rPr>
        <w:t>凯</w:t>
      </w:r>
      <w:proofErr w:type="gramEnd"/>
      <w:r>
        <w:rPr>
          <w:rFonts w:ascii="Times New Roman" w:hAnsi="Times New Roman"/>
          <w:sz w:val="24"/>
        </w:rPr>
        <w:t>晨世贸中心东座</w:t>
      </w:r>
    </w:p>
    <w:p w14:paraId="3262D78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14F3E8A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6C3143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w:t>
      </w:r>
      <w:proofErr w:type="gramStart"/>
      <w:r>
        <w:rPr>
          <w:rFonts w:ascii="Times New Roman" w:hAnsi="Times New Roman"/>
          <w:sz w:val="24"/>
        </w:rPr>
        <w:t>会银监复</w:t>
      </w:r>
      <w:proofErr w:type="gramEnd"/>
      <w:r>
        <w:rPr>
          <w:rFonts w:ascii="Times New Roman" w:hAnsi="Times New Roman"/>
          <w:sz w:val="24"/>
        </w:rPr>
        <w:t>[2009]13</w:t>
      </w:r>
      <w:r>
        <w:rPr>
          <w:rFonts w:ascii="Times New Roman" w:hAnsi="Times New Roman"/>
          <w:sz w:val="24"/>
        </w:rPr>
        <w:t>号</w:t>
      </w:r>
    </w:p>
    <w:p w14:paraId="390505B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基金托管业务批准文号：中国证监会</w:t>
      </w:r>
      <w:proofErr w:type="gramStart"/>
      <w:r>
        <w:rPr>
          <w:rFonts w:ascii="Times New Roman" w:hAnsi="Times New Roman"/>
          <w:sz w:val="24"/>
        </w:rPr>
        <w:t>证监基字</w:t>
      </w:r>
      <w:proofErr w:type="gramEnd"/>
      <w:r>
        <w:rPr>
          <w:rFonts w:ascii="Times New Roman" w:hAnsi="Times New Roman"/>
          <w:sz w:val="24"/>
        </w:rPr>
        <w:t>[1998]23</w:t>
      </w:r>
      <w:r>
        <w:rPr>
          <w:rFonts w:ascii="Times New Roman" w:hAnsi="Times New Roman"/>
          <w:sz w:val="24"/>
        </w:rPr>
        <w:t>号</w:t>
      </w:r>
    </w:p>
    <w:p w14:paraId="10B84F1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32,479,411.7</w:t>
      </w:r>
      <w:r>
        <w:rPr>
          <w:rFonts w:ascii="Times New Roman" w:hAnsi="Times New Roman"/>
          <w:sz w:val="24"/>
        </w:rPr>
        <w:t>万元人民币</w:t>
      </w:r>
    </w:p>
    <w:p w14:paraId="09BFD00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1E9C2A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经营范围：吸收公众存款；发放短期、中期、长期贷款；办理国内外结</w:t>
      </w:r>
      <w:r>
        <w:rPr>
          <w:rFonts w:ascii="Times New Roman" w:hAnsi="Times New Roman"/>
          <w:sz w:val="24"/>
        </w:rPr>
        <w:t xml:space="preserve"> </w:t>
      </w:r>
      <w:r>
        <w:rPr>
          <w:rFonts w:ascii="Times New Roman" w:hAnsi="Times New Roman"/>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w:t>
      </w:r>
      <w:r>
        <w:rPr>
          <w:rFonts w:ascii="Times New Roman" w:hAnsi="Times New Roman"/>
          <w:sz w:val="24"/>
        </w:rPr>
        <w:lastRenderedPageBreak/>
        <w:t>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Times New Roman" w:hAnsi="Times New Roman"/>
          <w:sz w:val="24"/>
        </w:rPr>
        <w:t xml:space="preserve"> </w:t>
      </w:r>
      <w:proofErr w:type="gramStart"/>
      <w:r>
        <w:rPr>
          <w:rFonts w:ascii="Times New Roman" w:hAnsi="Times New Roman"/>
          <w:sz w:val="24"/>
        </w:rPr>
        <w:t>券</w:t>
      </w:r>
      <w:proofErr w:type="gramEnd"/>
      <w:r>
        <w:rPr>
          <w:rFonts w:ascii="Times New Roman" w:hAnsi="Times New Roman"/>
          <w:sz w:val="24"/>
        </w:rPr>
        <w:t>投资托管业务；代理开放式基金业务；电话银行、手机银行、网上银行业务；金融衍生产品交易业务；经国务院银行业监督管理机构等监管部门批准的其他业务。</w:t>
      </w:r>
    </w:p>
    <w:p w14:paraId="6813A268"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14:paraId="544A6CB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6386DE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本基金的投资范围为：本基金以目标</w:t>
      </w:r>
      <w:r>
        <w:rPr>
          <w:rFonts w:ascii="Times New Roman" w:hAnsi="Times New Roman"/>
          <w:sz w:val="24"/>
        </w:rPr>
        <w:t>ETF</w:t>
      </w:r>
      <w:r>
        <w:rPr>
          <w:rFonts w:ascii="Times New Roman" w:hAnsi="Times New Roman"/>
          <w:sz w:val="24"/>
        </w:rPr>
        <w:t>、标的指数成份股</w:t>
      </w:r>
      <w:r w:rsidR="00647B0A" w:rsidRPr="00B917D7">
        <w:rPr>
          <w:rFonts w:ascii="宋体" w:hAnsi="宋体" w:hint="eastAsia"/>
          <w:bCs/>
          <w:sz w:val="24"/>
        </w:rPr>
        <w:t>（</w:t>
      </w:r>
      <w:proofErr w:type="gramStart"/>
      <w:r w:rsidR="00647B0A" w:rsidRPr="00B917D7">
        <w:rPr>
          <w:rFonts w:ascii="宋体" w:hAnsi="宋体" w:hint="eastAsia"/>
          <w:bCs/>
          <w:sz w:val="24"/>
        </w:rPr>
        <w:t>含存托</w:t>
      </w:r>
      <w:proofErr w:type="gramEnd"/>
      <w:r w:rsidR="00647B0A" w:rsidRPr="00B917D7">
        <w:rPr>
          <w:rFonts w:ascii="宋体" w:hAnsi="宋体" w:hint="eastAsia"/>
          <w:bCs/>
          <w:sz w:val="24"/>
        </w:rPr>
        <w:t>凭证）</w:t>
      </w:r>
      <w:r>
        <w:rPr>
          <w:rFonts w:ascii="Times New Roman" w:hAnsi="Times New Roman"/>
          <w:sz w:val="24"/>
        </w:rPr>
        <w:t>、备选成份股</w:t>
      </w:r>
      <w:r w:rsidR="00647B0A" w:rsidRPr="00B917D7">
        <w:rPr>
          <w:rFonts w:ascii="宋体" w:hAnsi="宋体" w:hint="eastAsia"/>
          <w:bCs/>
          <w:sz w:val="24"/>
        </w:rPr>
        <w:t>（</w:t>
      </w:r>
      <w:proofErr w:type="gramStart"/>
      <w:r w:rsidR="00647B0A" w:rsidRPr="00B917D7">
        <w:rPr>
          <w:rFonts w:ascii="宋体" w:hAnsi="宋体" w:hint="eastAsia"/>
          <w:bCs/>
          <w:sz w:val="24"/>
        </w:rPr>
        <w:t>含存托</w:t>
      </w:r>
      <w:proofErr w:type="gramEnd"/>
      <w:r w:rsidR="00647B0A" w:rsidRPr="00B917D7">
        <w:rPr>
          <w:rFonts w:ascii="宋体" w:hAnsi="宋体" w:hint="eastAsia"/>
          <w:bCs/>
          <w:sz w:val="24"/>
        </w:rPr>
        <w:t>凭证）</w:t>
      </w:r>
      <w:r>
        <w:rPr>
          <w:rFonts w:ascii="Times New Roman" w:hAnsi="Times New Roman"/>
          <w:sz w:val="24"/>
        </w:rPr>
        <w:t>为主要投资对象，把全部或接近全部的基金资产用于跟踪标的指数的表现，正常情况下投资于目标</w:t>
      </w:r>
      <w:r>
        <w:rPr>
          <w:rFonts w:ascii="Times New Roman" w:hAnsi="Times New Roman"/>
          <w:sz w:val="24"/>
        </w:rPr>
        <w:t>ETF</w:t>
      </w:r>
      <w:r>
        <w:rPr>
          <w:rFonts w:ascii="Times New Roman" w:hAnsi="Times New Roman"/>
          <w:sz w:val="24"/>
        </w:rPr>
        <w:t>的资产比例不低于基金资产净值的</w:t>
      </w:r>
      <w:r>
        <w:rPr>
          <w:rFonts w:ascii="Times New Roman" w:hAnsi="Times New Roman"/>
          <w:sz w:val="24"/>
        </w:rPr>
        <w:t>90%</w:t>
      </w:r>
      <w:r>
        <w:rPr>
          <w:rFonts w:ascii="Times New Roman" w:hAnsi="Times New Roman"/>
          <w:sz w:val="24"/>
        </w:rPr>
        <w:t>，基金持有的现金或者到期日在一年以内的政府债券的比例不低于基金资产净值的</w:t>
      </w:r>
      <w:r>
        <w:rPr>
          <w:rFonts w:ascii="Times New Roman" w:hAnsi="Times New Roman"/>
          <w:sz w:val="24"/>
        </w:rPr>
        <w:t>5%</w:t>
      </w:r>
      <w:r>
        <w:rPr>
          <w:rFonts w:ascii="Times New Roman" w:hAnsi="Times New Roman"/>
          <w:sz w:val="24"/>
        </w:rPr>
        <w:t>，其中现金不包括结算备付金、存出保证金和应收申购款等。此外，为更好地实现投资目标，本基金也可少量投资于新股</w:t>
      </w:r>
      <w:r w:rsidR="00810C55">
        <w:rPr>
          <w:rFonts w:ascii="宋体" w:hAnsi="宋体" w:hint="eastAsia"/>
          <w:bCs/>
          <w:sz w:val="24"/>
        </w:rPr>
        <w:t>（</w:t>
      </w:r>
      <w:proofErr w:type="gramStart"/>
      <w:r w:rsidR="00810C55">
        <w:rPr>
          <w:rFonts w:ascii="宋体" w:hAnsi="宋体" w:hint="eastAsia"/>
          <w:bCs/>
          <w:sz w:val="24"/>
        </w:rPr>
        <w:t>含存托</w:t>
      </w:r>
      <w:proofErr w:type="gramEnd"/>
      <w:r w:rsidR="00810C55">
        <w:rPr>
          <w:rFonts w:ascii="宋体" w:hAnsi="宋体" w:hint="eastAsia"/>
          <w:bCs/>
          <w:sz w:val="24"/>
        </w:rPr>
        <w:t>凭证）</w:t>
      </w:r>
      <w:r>
        <w:rPr>
          <w:rFonts w:ascii="Times New Roman" w:hAnsi="Times New Roman"/>
          <w:sz w:val="24"/>
        </w:rPr>
        <w:t>、债券及中国证监会允许基金投资的其它金融工具。</w:t>
      </w:r>
    </w:p>
    <w:p w14:paraId="7DDD528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、基金托管人根据有关法律法规的规定及基金合同的约定，对基金投资、融资、融券比例进行监督。基金托管人按下述比例和调整期限进行监督：</w:t>
      </w:r>
    </w:p>
    <w:p w14:paraId="2EB4829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）进入全国银行间同业市场的债券回购融入的资金余额不得超过基金资产净值的</w:t>
      </w:r>
      <w:r>
        <w:rPr>
          <w:rFonts w:ascii="Times New Roman" w:hAnsi="Times New Roman"/>
          <w:sz w:val="24"/>
        </w:rPr>
        <w:t>40%</w:t>
      </w:r>
      <w:r>
        <w:rPr>
          <w:rFonts w:ascii="Times New Roman" w:hAnsi="Times New Roman"/>
          <w:sz w:val="24"/>
        </w:rPr>
        <w:t>；</w:t>
      </w:r>
    </w:p>
    <w:p w14:paraId="5E031B3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14:paraId="3837316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386FB10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）本基金投资权证，在任何交易日买入的总金额，不超过上一交易日基金资产净值的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 xml:space="preserve"> 3%</w:t>
      </w:r>
      <w:r>
        <w:rPr>
          <w:rFonts w:ascii="Times New Roman" w:hAnsi="Times New Roman"/>
          <w:sz w:val="24"/>
        </w:rPr>
        <w:t>，本基金</w:t>
      </w:r>
      <w:r>
        <w:rPr>
          <w:rFonts w:ascii="Times New Roman" w:hAnsi="Times New Roman"/>
          <w:sz w:val="24"/>
        </w:rPr>
        <w:lastRenderedPageBreak/>
        <w:t>管理人管理的全部基金持有同一权证的比例不超过该权证的</w:t>
      </w:r>
      <w:r>
        <w:rPr>
          <w:rFonts w:ascii="Times New Roman" w:hAnsi="Times New Roman"/>
          <w:sz w:val="24"/>
        </w:rPr>
        <w:t>10%</w:t>
      </w:r>
      <w:r>
        <w:rPr>
          <w:rFonts w:ascii="Times New Roman" w:hAnsi="Times New Roman"/>
          <w:sz w:val="24"/>
        </w:rPr>
        <w:t>。投资于其他权证的投资比例，遵从法律法规或监管部门的相关规定。</w:t>
      </w:r>
    </w:p>
    <w:p w14:paraId="2FE8687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）本基金持有的资产支持证券的信用级别均在</w:t>
      </w:r>
      <w:r>
        <w:rPr>
          <w:rFonts w:ascii="Times New Roman" w:hAnsi="Times New Roman"/>
          <w:sz w:val="24"/>
        </w:rPr>
        <w:t>BBB</w:t>
      </w:r>
      <w:r>
        <w:rPr>
          <w:rFonts w:ascii="Times New Roman" w:hAnsi="Times New Roman"/>
          <w:sz w:val="24"/>
        </w:rPr>
        <w:t>级以上。本基金持有的同一（指同一信用级别）资产支持证券的比例，不得超过该资产支持证券规模的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；本基金投资于同一原始权益人的各类资产支持证券的比例，不得超过该基金资产净值的</w:t>
      </w:r>
      <w:r>
        <w:rPr>
          <w:rFonts w:ascii="Times New Roman" w:hAnsi="Times New Roman"/>
          <w:sz w:val="24"/>
        </w:rPr>
        <w:t>10%</w:t>
      </w:r>
      <w:r>
        <w:rPr>
          <w:rFonts w:ascii="Times New Roman" w:hAnsi="Times New Roman"/>
          <w:sz w:val="24"/>
        </w:rPr>
        <w:t>；基金管理人管理的全部证券投资基金投资于同一原始权益人的各类资产支持证券，不得超过其各类资产支持证券合计规模的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；本基金持有的全部资产支持证券，其市值不得超过该基金资产净值的</w:t>
      </w:r>
      <w:r>
        <w:rPr>
          <w:rFonts w:ascii="Times New Roman" w:hAnsi="Times New Roman"/>
          <w:sz w:val="24"/>
        </w:rPr>
        <w:t>20%</w:t>
      </w:r>
      <w:r>
        <w:rPr>
          <w:rFonts w:ascii="Times New Roman" w:hAnsi="Times New Roman"/>
          <w:sz w:val="24"/>
        </w:rPr>
        <w:t>。</w:t>
      </w:r>
    </w:p>
    <w:p w14:paraId="01FC52C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48017D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）本基金与私募类</w:t>
      </w:r>
      <w:proofErr w:type="gramStart"/>
      <w:r>
        <w:rPr>
          <w:rFonts w:ascii="Times New Roman" w:hAnsi="Times New Roman"/>
          <w:sz w:val="24"/>
        </w:rPr>
        <w:t>证券资管产品</w:t>
      </w:r>
      <w:proofErr w:type="gramEnd"/>
      <w:r>
        <w:rPr>
          <w:rFonts w:ascii="Times New Roman" w:hAnsi="Times New Roman"/>
          <w:sz w:val="24"/>
        </w:rPr>
        <w:t>及中国证监会认定的其他主体为交易对手开展逆回购交易的，可接受质押品的资质要求应当与基金合同约定的投资范围保持一致；</w:t>
      </w:r>
    </w:p>
    <w:p w14:paraId="7C4420E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）本基金不得违反基金合同中有关投资范围、投资策略、投资比例的规定；</w:t>
      </w:r>
    </w:p>
    <w:p w14:paraId="5CB013D0" w14:textId="77777777" w:rsidR="00647B0A" w:rsidRPr="00647B0A" w:rsidRDefault="00953581" w:rsidP="00647B0A">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9</w:t>
      </w:r>
      <w:r>
        <w:rPr>
          <w:rFonts w:ascii="Times New Roman" w:hAnsi="Times New Roman"/>
          <w:sz w:val="24"/>
        </w:rPr>
        <w:t>）</w:t>
      </w:r>
      <w:r w:rsidR="00647B0A" w:rsidRPr="00647B0A">
        <w:rPr>
          <w:rFonts w:ascii="Times New Roman" w:hAnsi="Times New Roman" w:hint="eastAsia"/>
          <w:bCs/>
          <w:sz w:val="24"/>
        </w:rPr>
        <w:t>本基金投资存托凭证的比例限制依照境内上市交易的股票执行；</w:t>
      </w:r>
    </w:p>
    <w:p w14:paraId="69F50C2B" w14:textId="77777777" w:rsidR="009A30E5" w:rsidRDefault="00647B0A" w:rsidP="00647B0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w:t>
      </w:r>
      <w:r w:rsidR="00953581">
        <w:rPr>
          <w:rFonts w:ascii="Times New Roman" w:hAnsi="Times New Roman"/>
          <w:sz w:val="24"/>
        </w:rPr>
        <w:t>法律法规或监管部门对上述比例限制另有规定的，从其规定。</w:t>
      </w:r>
    </w:p>
    <w:p w14:paraId="78E0C64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3</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7</w:t>
      </w:r>
      <w:r>
        <w:rPr>
          <w:rFonts w:ascii="Times New Roman" w:hAnsi="Times New Roman"/>
          <w:sz w:val="24"/>
        </w:rPr>
        <w:t>）项以外</w:t>
      </w:r>
      <w:r>
        <w:rPr>
          <w:rFonts w:ascii="Times New Roman" w:hAnsi="Times New Roman"/>
          <w:sz w:val="24"/>
        </w:rPr>
        <w:t>,</w:t>
      </w:r>
      <w:r>
        <w:rPr>
          <w:rFonts w:ascii="Times New Roman" w:hAnsi="Times New Roman"/>
          <w:sz w:val="24"/>
        </w:rPr>
        <w:t>因证券市场波动、上市公司合并、基金规模变动等基金管理人之外的因素致使基金投资比例不符合上述规定的投资比例的，基金管理人应当在</w:t>
      </w:r>
      <w:r>
        <w:rPr>
          <w:rFonts w:ascii="Times New Roman" w:hAnsi="Times New Roman"/>
          <w:sz w:val="24"/>
        </w:rPr>
        <w:t>10</w:t>
      </w:r>
      <w:r>
        <w:rPr>
          <w:rFonts w:ascii="Times New Roman" w:hAnsi="Times New Roman"/>
          <w:sz w:val="24"/>
        </w:rPr>
        <w:t>个交易日内进行调整。</w:t>
      </w:r>
    </w:p>
    <w:p w14:paraId="6222966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3</w:t>
      </w:r>
      <w:r>
        <w:rPr>
          <w:rFonts w:ascii="Times New Roman" w:hAnsi="Times New Roman"/>
          <w:sz w:val="24"/>
        </w:rPr>
        <w:t>个月内使基金的投资组合比例符合基金合同的有关约定。法律法规或监管部门另有规定的，从其规定。</w:t>
      </w:r>
    </w:p>
    <w:p w14:paraId="63F027A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上述投资组合限制条款中，若属法律法规的强制性规定，则当法律法规或监管部门取消上述限制，在履行适当程序后，本基金投资可不受上述规定限制。</w:t>
      </w:r>
    </w:p>
    <w:p w14:paraId="0F2E541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基金托管人对基金投资的监督和检查自基金合同生效之日起开始。</w:t>
      </w:r>
    </w:p>
    <w:p w14:paraId="7F5DAE9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w:t>
      </w:r>
      <w:r>
        <w:rPr>
          <w:rFonts w:ascii="Times New Roman" w:hAnsi="Times New Roman"/>
          <w:sz w:val="24"/>
        </w:rPr>
        <w:lastRenderedPageBreak/>
        <w:t>管人有责任确保关联交易名单的真实性、准确性、完整性，并负责及时将更新后的名单发送给对方。</w:t>
      </w:r>
    </w:p>
    <w:p w14:paraId="47FF5FFF" w14:textId="77777777" w:rsidR="009A30E5" w:rsidRDefault="00953581">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若基金</w:t>
      </w:r>
      <w:proofErr w:type="gramEnd"/>
      <w:r>
        <w:rPr>
          <w:rFonts w:ascii="Times New Roman" w:hAnsi="Times New Roman"/>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2B1299C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z w:val="24"/>
        </w:rPr>
        <w:t>3</w:t>
      </w:r>
      <w:r>
        <w:rPr>
          <w:rFonts w:ascii="Times New Roman" w:hAnsi="Times New Roman"/>
          <w:sz w:val="24"/>
        </w:rPr>
        <w:t>个工作日内与基金托管人协商解决。基金管理人收到基金托管人以双方约定方式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03A1F62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76C287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基金</w:t>
      </w:r>
      <w:r>
        <w:rPr>
          <w:rFonts w:ascii="Times New Roman" w:hAnsi="Times New Roman"/>
          <w:sz w:val="24"/>
        </w:rPr>
        <w:lastRenderedPageBreak/>
        <w:t>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B59BE0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CDB764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A560917"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14:paraId="31A79C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61DA9F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Times New Roman" w:hAnsi="Times New Roman"/>
          <w:sz w:val="24"/>
        </w:rPr>
        <w:t>供基金</w:t>
      </w:r>
      <w:proofErr w:type="gramEnd"/>
      <w:r>
        <w:rPr>
          <w:rFonts w:ascii="Times New Roman" w:hAnsi="Times New Roman"/>
          <w:sz w:val="24"/>
        </w:rPr>
        <w:t>管理人核查托管财产的完整性和真实性，在规定时间内答复基金管理人并改正。</w:t>
      </w:r>
    </w:p>
    <w:p w14:paraId="3B0DDB2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w:t>
      </w:r>
      <w:r>
        <w:rPr>
          <w:rFonts w:ascii="Times New Roman" w:hAnsi="Times New Roman"/>
          <w:sz w:val="24"/>
        </w:rPr>
        <w:lastRenderedPageBreak/>
        <w:t>由，拒绝、阻挠对方根据本协议规定行使监督权，或采取拖延、欺诈等手段妨碍对方进行有效监督，情节严重或经基金管理人提出警告仍不改正的，基金管理人应报告中国证监会。</w:t>
      </w:r>
    </w:p>
    <w:p w14:paraId="1D9DDF2F"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w:t>
      </w:r>
    </w:p>
    <w:p w14:paraId="4C87CA6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14:paraId="106C40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14:paraId="23F86CA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）基金托管人应安全保管基金财产。未经基金管理人依据合法程序</w:t>
      </w:r>
      <w:proofErr w:type="gramStart"/>
      <w:r>
        <w:rPr>
          <w:rFonts w:ascii="Times New Roman" w:hAnsi="Times New Roman"/>
          <w:sz w:val="24"/>
        </w:rPr>
        <w:t>作出</w:t>
      </w:r>
      <w:proofErr w:type="gramEnd"/>
      <w:r>
        <w:rPr>
          <w:rFonts w:ascii="Times New Roman" w:hAnsi="Times New Roman"/>
          <w:sz w:val="24"/>
        </w:rPr>
        <w:t>的合法合</w:t>
      </w:r>
      <w:proofErr w:type="gramStart"/>
      <w:r>
        <w:rPr>
          <w:rFonts w:ascii="Times New Roman" w:hAnsi="Times New Roman"/>
          <w:sz w:val="24"/>
        </w:rPr>
        <w:t>规</w:t>
      </w:r>
      <w:proofErr w:type="gramEnd"/>
      <w:r>
        <w:rPr>
          <w:rFonts w:ascii="Times New Roman" w:hAnsi="Times New Roman"/>
          <w:sz w:val="24"/>
        </w:rPr>
        <w:t>指令，基金托管人不得自行运用、处分、分配基金的任何财产。</w:t>
      </w:r>
    </w:p>
    <w:p w14:paraId="0C6E234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w:t>
      </w:r>
    </w:p>
    <w:p w14:paraId="784C535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）基金托管人对所托管的不同基金财产分别设置账户，确保基金财产的完整与独立。</w:t>
      </w:r>
    </w:p>
    <w:p w14:paraId="2326878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14:paraId="182911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7A8745E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14:paraId="3291623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14:paraId="0E72CEB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）基金募集期间的资金应存于中国证券登记结算有限责任公司。该账户由基金管理人委托的注册登记机构开立并管理。</w:t>
      </w:r>
    </w:p>
    <w:p w14:paraId="65706B4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等有关规定后，基金管理人应将属于基金财产的全部资金划入基金托管人开立的基金资金账户，同时在规定时间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14:paraId="24CFD90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proofErr w:type="gramStart"/>
      <w:r>
        <w:rPr>
          <w:rFonts w:ascii="Times New Roman" w:hAnsi="Times New Roman"/>
          <w:sz w:val="24"/>
        </w:rPr>
        <w:t>若基金</w:t>
      </w:r>
      <w:proofErr w:type="gramEnd"/>
      <w:r>
        <w:rPr>
          <w:rFonts w:ascii="Times New Roman" w:hAnsi="Times New Roman"/>
          <w:sz w:val="24"/>
        </w:rPr>
        <w:t>募集期限届满，未能达到基金合同生效的条件，由基金管理人按规定办理退款等事宜，基金托管人应提供充分协助。</w:t>
      </w:r>
    </w:p>
    <w:p w14:paraId="54C6E79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、基金资金账户的开立和管理</w:t>
      </w:r>
    </w:p>
    <w:p w14:paraId="6DB08A1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）基金托管人应负责本基金的资金账户的开设和管理。</w:t>
      </w:r>
    </w:p>
    <w:p w14:paraId="28AD76B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）基金托管人可以本基金的名义在其营业机构开设本基金的资金账户，并根据基金管理人合法合</w:t>
      </w:r>
      <w:proofErr w:type="gramStart"/>
      <w:r>
        <w:rPr>
          <w:rFonts w:ascii="Times New Roman" w:hAnsi="Times New Roman"/>
          <w:sz w:val="24"/>
        </w:rPr>
        <w:t>规</w:t>
      </w:r>
      <w:proofErr w:type="gramEnd"/>
      <w:r>
        <w:rPr>
          <w:rFonts w:ascii="Times New Roman" w:hAnsi="Times New Roman"/>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21AFD10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70F1BF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）基金资金账户的开立和管理应符合相关法律法规的有关规定。</w:t>
      </w:r>
    </w:p>
    <w:p w14:paraId="0543A4D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）在符合法律法规规定的条件下，基金托管人可以通过基金托管人专用账户办理基金资产的支付。</w:t>
      </w:r>
    </w:p>
    <w:p w14:paraId="0F179F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、基金证券账户和结算备付金账户的开立和管理</w:t>
      </w:r>
    </w:p>
    <w:p w14:paraId="185A513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）基金托管人在中国证券登记结算有限责任公司上海分公司、深圳分公司为基金开立基金托管人与基金联名的证券账户。</w:t>
      </w:r>
    </w:p>
    <w:p w14:paraId="5BE996D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2B4CD8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3E222B0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）基金证券账户的开立和证券账户卡的保管由基金托管人负责，账户资产的管理和运用由基金管理人负责。</w:t>
      </w:r>
    </w:p>
    <w:p w14:paraId="3FD8DFB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）在本托管协议生效日之后，本基金被允许从事其他投资品种的投资业务，涉及相关账户的开设、使用的，按有关规定开设、使用并管理；若无相关规定，</w:t>
      </w:r>
      <w:proofErr w:type="gramStart"/>
      <w:r>
        <w:rPr>
          <w:rFonts w:ascii="Times New Roman" w:hAnsi="Times New Roman"/>
          <w:sz w:val="24"/>
        </w:rPr>
        <w:t>则基金</w:t>
      </w:r>
      <w:proofErr w:type="gramEnd"/>
      <w:r>
        <w:rPr>
          <w:rFonts w:ascii="Times New Roman" w:hAnsi="Times New Roman"/>
          <w:sz w:val="24"/>
        </w:rPr>
        <w:t>托管人应当比照并遵守上述关于账户开设、使用的规定。</w:t>
      </w:r>
    </w:p>
    <w:p w14:paraId="7E0B503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、债券托管专户的开设和管理</w:t>
      </w:r>
    </w:p>
    <w:p w14:paraId="1311149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w:t>
      </w:r>
      <w:r>
        <w:rPr>
          <w:rFonts w:ascii="Times New Roman" w:hAnsi="Times New Roman"/>
          <w:sz w:val="24"/>
        </w:rPr>
        <w:lastRenderedPageBreak/>
        <w:t>全国银行间债券市场债券回购主协议。</w:t>
      </w:r>
    </w:p>
    <w:p w14:paraId="114EB65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、其他账户的开立和管理</w:t>
      </w:r>
    </w:p>
    <w:p w14:paraId="13B64C9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）因业务发展需要而开立的其他账户，可以根据法律法规和基金合同的规定，在基金管理人和基金托管人商议后由基金托管人负责开立。新账户按有关规则使用并管理。</w:t>
      </w:r>
    </w:p>
    <w:p w14:paraId="53A562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p>
    <w:p w14:paraId="0ABBB9B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、基金财产投资的有关有价凭证等的保管</w:t>
      </w:r>
    </w:p>
    <w:p w14:paraId="5ED08E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01EC29E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14:paraId="5C0F26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Times New Roman" w:hAnsi="Times New Roman"/>
          <w:sz w:val="24"/>
        </w:rPr>
        <w:t>15</w:t>
      </w:r>
      <w:r>
        <w:rPr>
          <w:rFonts w:ascii="Times New Roman" w:hAnsi="Times New Roman"/>
          <w:sz w:val="24"/>
        </w:rPr>
        <w:t>年。</w:t>
      </w:r>
    </w:p>
    <w:p w14:paraId="4C4CA74D"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（五）基金资产估值、基金资产净值计算与复核</w:t>
      </w:r>
    </w:p>
    <w:p w14:paraId="33BB12A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、基金资产净值的计算及复核程序</w:t>
      </w:r>
    </w:p>
    <w:p w14:paraId="2AC6ACA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w:t>
      </w:r>
    </w:p>
    <w:p w14:paraId="22D9D69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基金资产净值是指基金资产总值减去负债后的金额。</w:t>
      </w:r>
    </w:p>
    <w:p w14:paraId="1A0B000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基金份额净值是指基金资产净值除以基金份额总数。基金份额净值的计算，精确到</w:t>
      </w:r>
      <w:r>
        <w:rPr>
          <w:rFonts w:ascii="Times New Roman" w:hAnsi="Times New Roman"/>
          <w:sz w:val="24"/>
        </w:rPr>
        <w:t>0.001</w:t>
      </w:r>
      <w:r>
        <w:rPr>
          <w:rFonts w:ascii="Times New Roman" w:hAnsi="Times New Roman"/>
          <w:sz w:val="24"/>
        </w:rPr>
        <w:t>元，小数点后第四位四舍五入，由此产生的误差计入基金财产。国家另有规定的，从其规定。</w:t>
      </w:r>
    </w:p>
    <w:p w14:paraId="330BFE5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每工作日计算基金资产净值及基金份额净值，经基金托管人复核后按规定公告。</w:t>
      </w:r>
    </w:p>
    <w:p w14:paraId="6E28BFC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14:paraId="2C52C27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基金管理人每工作日对基金资产进行估值后，将基金份额净值结果发送基金托管人，经基金托管人复核无误后，由基金管理人依据基金合同和有关法律法规的规定对外公布。</w:t>
      </w:r>
    </w:p>
    <w:p w14:paraId="7DFA078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、基金资产估值方法和特殊情形的处理</w:t>
      </w:r>
    </w:p>
    <w:p w14:paraId="7C005CE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14:paraId="34F9CCA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基金依法拥有的目标</w:t>
      </w:r>
      <w:r>
        <w:rPr>
          <w:rFonts w:ascii="Times New Roman" w:hAnsi="Times New Roman"/>
          <w:sz w:val="24"/>
        </w:rPr>
        <w:t>ETF</w:t>
      </w:r>
      <w:r>
        <w:rPr>
          <w:rFonts w:ascii="Times New Roman" w:hAnsi="Times New Roman"/>
          <w:sz w:val="24"/>
        </w:rPr>
        <w:t>份额、股票、债券、权证和银行存款本息、应收款项、其它投资等资产。</w:t>
      </w:r>
    </w:p>
    <w:p w14:paraId="6E2C494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）估值方法</w:t>
      </w:r>
    </w:p>
    <w:p w14:paraId="34040E3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）目标</w:t>
      </w:r>
      <w:r>
        <w:rPr>
          <w:rFonts w:ascii="Times New Roman" w:hAnsi="Times New Roman"/>
          <w:sz w:val="24"/>
        </w:rPr>
        <w:t>ETF</w:t>
      </w:r>
      <w:r>
        <w:rPr>
          <w:rFonts w:ascii="Times New Roman" w:hAnsi="Times New Roman"/>
          <w:sz w:val="24"/>
        </w:rPr>
        <w:t>估值方法：</w:t>
      </w:r>
    </w:p>
    <w:p w14:paraId="1AA35EA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本基金投资的目标</w:t>
      </w:r>
      <w:r>
        <w:rPr>
          <w:rFonts w:ascii="Times New Roman" w:hAnsi="Times New Roman"/>
          <w:sz w:val="24"/>
        </w:rPr>
        <w:t>ETF</w:t>
      </w:r>
      <w:r>
        <w:rPr>
          <w:rFonts w:ascii="Times New Roman" w:hAnsi="Times New Roman"/>
          <w:sz w:val="24"/>
        </w:rPr>
        <w:t>份额以目标</w:t>
      </w:r>
      <w:r>
        <w:rPr>
          <w:rFonts w:ascii="Times New Roman" w:hAnsi="Times New Roman"/>
          <w:sz w:val="24"/>
        </w:rPr>
        <w:t>ETF</w:t>
      </w:r>
      <w:r>
        <w:rPr>
          <w:rFonts w:ascii="Times New Roman" w:hAnsi="Times New Roman"/>
          <w:sz w:val="24"/>
        </w:rPr>
        <w:t>估值日的净值估值。</w:t>
      </w:r>
    </w:p>
    <w:p w14:paraId="087214D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）股票估值方法：</w:t>
      </w:r>
    </w:p>
    <w:p w14:paraId="1B973BF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上市股票的估值：</w:t>
      </w:r>
    </w:p>
    <w:p w14:paraId="13E4A98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46498E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未上市股票的估值。</w:t>
      </w:r>
    </w:p>
    <w:p w14:paraId="0EE1C7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首次发行未上市的股票，采用估值技术确定公允价值，在估值技术难以可靠计量公允价值的情况下，按成本价估值；</w:t>
      </w:r>
    </w:p>
    <w:p w14:paraId="06BB96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送股、转增股、配股和增发等方式发行的股票，按估值日在证券交易所上市的同一股票的市价进行估值；</w:t>
      </w:r>
    </w:p>
    <w:p w14:paraId="657998D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首次公开发行有明确锁定期的股票，同一股票在交易所上市后，按估值日在证券交易所上市的同一股票的市价进行估值；</w:t>
      </w:r>
    </w:p>
    <w:p w14:paraId="04E8671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非公开发行的且在发行时明确一定期限锁定期的股票，按监管机构或行业协会有关规定确定公允价值。</w:t>
      </w:r>
    </w:p>
    <w:p w14:paraId="62C6A22F" w14:textId="77777777" w:rsidR="00647B0A" w:rsidRPr="00A20D2A" w:rsidRDefault="00953581" w:rsidP="00647B0A">
      <w:pPr>
        <w:snapToGrid w:val="0"/>
        <w:spacing w:line="360" w:lineRule="auto"/>
        <w:ind w:firstLineChars="200" w:firstLine="480"/>
        <w:rPr>
          <w:rFonts w:ascii="宋体" w:hAnsi="宋体"/>
          <w:bCs/>
          <w:sz w:val="24"/>
        </w:rPr>
      </w:pPr>
      <w:r>
        <w:rPr>
          <w:rFonts w:ascii="Times New Roman" w:hAnsi="Times New Roman"/>
          <w:sz w:val="24"/>
        </w:rPr>
        <w:t>③</w:t>
      </w:r>
      <w:r w:rsidR="00647B0A" w:rsidRPr="00A20D2A">
        <w:rPr>
          <w:rFonts w:ascii="宋体" w:hAnsi="宋体" w:hint="eastAsia"/>
          <w:bCs/>
          <w:sz w:val="24"/>
        </w:rPr>
        <w:t>本基金投资存托凭证的估值核算依照境内上市交易的股票执行。</w:t>
      </w:r>
    </w:p>
    <w:p w14:paraId="7948C8F3" w14:textId="77777777" w:rsidR="009A30E5" w:rsidRDefault="00647B0A" w:rsidP="00647B0A">
      <w:pPr>
        <w:autoSpaceDE w:val="0"/>
        <w:autoSpaceDN w:val="0"/>
        <w:adjustRightInd w:val="0"/>
        <w:snapToGrid w:val="0"/>
        <w:spacing w:line="360" w:lineRule="auto"/>
        <w:ind w:firstLineChars="200" w:firstLine="480"/>
        <w:rPr>
          <w:rFonts w:ascii="宋体" w:hAnsi="宋体"/>
          <w:szCs w:val="24"/>
        </w:rPr>
      </w:pPr>
      <w:r>
        <w:rPr>
          <w:rFonts w:ascii="宋体" w:hAnsi="宋体" w:hint="eastAsia"/>
          <w:bCs/>
          <w:sz w:val="24"/>
        </w:rPr>
        <w:t>④</w:t>
      </w:r>
      <w:r w:rsidR="00953581">
        <w:rPr>
          <w:rFonts w:ascii="Times New Roman" w:hAnsi="Times New Roman"/>
          <w:sz w:val="24"/>
        </w:rPr>
        <w:t>在任何情况下，基金管理人如采用本项第</w:t>
      </w:r>
      <w:r w:rsidR="00953581">
        <w:rPr>
          <w:rFonts w:ascii="Times New Roman" w:hAnsi="Times New Roman"/>
          <w:sz w:val="24"/>
        </w:rPr>
        <w:t>①</w:t>
      </w:r>
      <w:r w:rsidR="00953581">
        <w:rPr>
          <w:rFonts w:ascii="Times New Roman" w:hAnsi="Times New Roman"/>
          <w:sz w:val="24"/>
        </w:rPr>
        <w:t>－</w:t>
      </w:r>
      <w:r>
        <w:rPr>
          <w:rFonts w:ascii="宋体" w:hAnsi="宋体" w:cs="宋体" w:hint="eastAsia"/>
          <w:sz w:val="24"/>
        </w:rPr>
        <w:t>③</w:t>
      </w:r>
      <w:r w:rsidR="00953581">
        <w:rPr>
          <w:rFonts w:ascii="Times New Roman" w:hAnsi="Times New Roman"/>
          <w:sz w:val="24"/>
        </w:rPr>
        <w:t>小项规定的方法对基金资产进行估值，均应被认为采用了适当的估值方法。但是，如果基金管理人认为按本项第</w:t>
      </w:r>
      <w:r w:rsidR="00953581">
        <w:rPr>
          <w:rFonts w:ascii="Times New Roman" w:hAnsi="Times New Roman"/>
          <w:sz w:val="24"/>
        </w:rPr>
        <w:t>①</w:t>
      </w:r>
      <w:r w:rsidR="00953581">
        <w:rPr>
          <w:rFonts w:ascii="Times New Roman" w:hAnsi="Times New Roman"/>
          <w:sz w:val="24"/>
        </w:rPr>
        <w:t>－</w:t>
      </w:r>
      <w:r>
        <w:rPr>
          <w:rFonts w:ascii="宋体" w:hAnsi="宋体" w:cs="宋体" w:hint="eastAsia"/>
          <w:sz w:val="24"/>
        </w:rPr>
        <w:t>③</w:t>
      </w:r>
      <w:r w:rsidR="00953581">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14:paraId="78521759" w14:textId="77777777" w:rsidR="009A30E5" w:rsidRDefault="00647B0A">
      <w:pPr>
        <w:autoSpaceDE w:val="0"/>
        <w:autoSpaceDN w:val="0"/>
        <w:adjustRightInd w:val="0"/>
        <w:snapToGrid w:val="0"/>
        <w:spacing w:line="360" w:lineRule="auto"/>
        <w:ind w:firstLineChars="200" w:firstLine="480"/>
        <w:rPr>
          <w:rFonts w:ascii="宋体" w:hAnsi="宋体"/>
          <w:szCs w:val="24"/>
        </w:rPr>
      </w:pPr>
      <w:r>
        <w:rPr>
          <w:rFonts w:ascii="宋体" w:hAnsi="宋体" w:cs="宋体" w:hint="eastAsia"/>
          <w:sz w:val="24"/>
        </w:rPr>
        <w:t>⑤</w:t>
      </w:r>
      <w:r w:rsidR="00953581">
        <w:rPr>
          <w:rFonts w:ascii="Times New Roman" w:hAnsi="Times New Roman"/>
          <w:sz w:val="24"/>
        </w:rPr>
        <w:t>国家有最新规定的，按其规定进行估值。</w:t>
      </w:r>
    </w:p>
    <w:p w14:paraId="0056A1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）债券估值办法：</w:t>
      </w:r>
    </w:p>
    <w:p w14:paraId="168FC16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交易所市场上市交易或挂牌转让的固定收益品种（另有规定的除外），选取</w:t>
      </w:r>
      <w:r>
        <w:rPr>
          <w:rFonts w:ascii="Times New Roman" w:hAnsi="Times New Roman"/>
          <w:sz w:val="24"/>
        </w:rPr>
        <w:lastRenderedPageBreak/>
        <w:t>第三方估值机构提供的相应品种当日的估值净价进行估值。</w:t>
      </w:r>
    </w:p>
    <w:p w14:paraId="23FBED0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12C2095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首次发行未上市债券采用估值技术确定的公允价值进行估值，在估值技术难以可靠计量公允价值的情况下，按成本估值。</w:t>
      </w:r>
    </w:p>
    <w:p w14:paraId="38EDE13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18E5F02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⑤</w:t>
      </w:r>
      <w:r>
        <w:rPr>
          <w:rFonts w:ascii="Times New Roman" w:hAnsi="Times New Roman"/>
          <w:sz w:val="24"/>
        </w:rPr>
        <w:t>在全国银行间债券市场交易的债券、资产支持证券等固定收益品种，采用估值技术确定公允价值。</w:t>
      </w:r>
    </w:p>
    <w:p w14:paraId="483B7EC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⑥</w:t>
      </w:r>
      <w:r>
        <w:rPr>
          <w:rFonts w:ascii="Times New Roman" w:hAnsi="Times New Roman"/>
          <w:sz w:val="24"/>
        </w:rPr>
        <w:t>同一债券同时在两个或两个以上市场交易的，按债券所处的市场分别估值。</w:t>
      </w:r>
    </w:p>
    <w:p w14:paraId="2D7AA9D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⑦</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55D2CDB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⑧</w:t>
      </w:r>
      <w:r>
        <w:rPr>
          <w:rFonts w:ascii="Times New Roman" w:hAnsi="Times New Roman"/>
          <w:sz w:val="24"/>
        </w:rPr>
        <w:t>国家有最新规定的，按其规定进行估值。</w:t>
      </w:r>
    </w:p>
    <w:p w14:paraId="132A9D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）权证估值方法：</w:t>
      </w:r>
    </w:p>
    <w:p w14:paraId="64F598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CDF692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首次发行未上市的权证，采用估值技术确定公允价值，在估值技术难以可靠计量公允价值的情况下，按成本估值。</w:t>
      </w:r>
    </w:p>
    <w:p w14:paraId="61D0FD9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因持有股票而享有的配股权，以及停止交易、但未行权的权证，采用估值技</w:t>
      </w:r>
      <w:r>
        <w:rPr>
          <w:rFonts w:ascii="Times New Roman" w:hAnsi="Times New Roman"/>
          <w:sz w:val="24"/>
        </w:rPr>
        <w:lastRenderedPageBreak/>
        <w:t>术确定公允价值进行估值。</w:t>
      </w:r>
    </w:p>
    <w:p w14:paraId="299C70B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719C78B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⑤</w:t>
      </w:r>
      <w:r>
        <w:rPr>
          <w:rFonts w:ascii="Times New Roman" w:hAnsi="Times New Roman"/>
          <w:sz w:val="24"/>
        </w:rPr>
        <w:t>国家有最新规定的，按其规定进行估值。</w:t>
      </w:r>
    </w:p>
    <w:p w14:paraId="1AD0D2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）其他有价证券等资产按国家有关规定进行估值。</w:t>
      </w:r>
    </w:p>
    <w:p w14:paraId="581D3CA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ACC71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）特殊情形的处理</w:t>
      </w:r>
    </w:p>
    <w:p w14:paraId="235F3AF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基金管理人、基金托管人按股票估值方法的第</w:t>
      </w:r>
      <w:r w:rsidR="009A0793">
        <w:rPr>
          <w:rFonts w:ascii="宋体" w:hAnsi="宋体" w:cs="宋体" w:hint="eastAsia"/>
          <w:sz w:val="24"/>
        </w:rPr>
        <w:t>④</w:t>
      </w:r>
      <w:r>
        <w:rPr>
          <w:rFonts w:ascii="Times New Roman" w:hAnsi="Times New Roman"/>
          <w:sz w:val="24"/>
        </w:rPr>
        <w:t>项、债券估值方法的第</w:t>
      </w:r>
      <w:r>
        <w:rPr>
          <w:rFonts w:ascii="Times New Roman" w:hAnsi="Times New Roman"/>
          <w:sz w:val="24"/>
        </w:rPr>
        <w:t>⑦</w:t>
      </w:r>
      <w:r>
        <w:rPr>
          <w:rFonts w:ascii="Times New Roman" w:hAnsi="Times New Roman"/>
          <w:sz w:val="24"/>
        </w:rPr>
        <w:t>项、权证估值方法的第</w:t>
      </w:r>
      <w:r>
        <w:rPr>
          <w:rFonts w:ascii="Times New Roman" w:hAnsi="Times New Roman"/>
          <w:sz w:val="24"/>
        </w:rPr>
        <w:t>④</w:t>
      </w:r>
      <w:r>
        <w:rPr>
          <w:rFonts w:ascii="Times New Roman" w:hAnsi="Times New Roman"/>
          <w:sz w:val="24"/>
        </w:rPr>
        <w:t>项进行估值时，所造成的误差不作为基金份额净值错误处理。</w:t>
      </w:r>
    </w:p>
    <w:p w14:paraId="1766D03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、基金份额净值错误的处理方式</w:t>
      </w:r>
    </w:p>
    <w:p w14:paraId="5E4E41F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w:t>
      </w:r>
      <w:r>
        <w:rPr>
          <w:rFonts w:ascii="Times New Roman" w:hAnsi="Times New Roman"/>
          <w:sz w:val="24"/>
        </w:rPr>
        <w:t>(</w:t>
      </w:r>
      <w:r>
        <w:rPr>
          <w:rFonts w:ascii="Times New Roman" w:hAnsi="Times New Roman"/>
          <w:sz w:val="24"/>
        </w:rPr>
        <w:t>含第</w:t>
      </w:r>
      <w:r>
        <w:rPr>
          <w:rFonts w:ascii="Times New Roman" w:hAnsi="Times New Roman"/>
          <w:sz w:val="24"/>
        </w:rPr>
        <w:t>3</w:t>
      </w:r>
      <w:r>
        <w:rPr>
          <w:rFonts w:ascii="Times New Roman" w:hAnsi="Times New Roman"/>
          <w:sz w:val="24"/>
        </w:rPr>
        <w:t>位</w:t>
      </w:r>
      <w:r>
        <w:rPr>
          <w:rFonts w:ascii="Times New Roman" w:hAnsi="Times New Roman"/>
          <w:sz w:val="24"/>
        </w:rPr>
        <w:t>)</w:t>
      </w:r>
      <w:r>
        <w:rPr>
          <w:rFonts w:ascii="Times New Roman" w:hAnsi="Times New Roman"/>
          <w:sz w:val="24"/>
        </w:rPr>
        <w:t>发生差错时，视为基金份额净值错误；基金份额净值出现错误时，基金管理人应当立即予以纠正，通报基金托管人，并采取合理的措施防止损失进一步扩大；错误偏差达到或超过基金份额净值的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0.50%</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B4684B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14:paraId="5B5E395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48CACF4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proofErr w:type="gramStart"/>
      <w:r>
        <w:rPr>
          <w:rFonts w:ascii="Times New Roman" w:hAnsi="Times New Roman"/>
          <w:sz w:val="24"/>
        </w:rPr>
        <w:t>若基金</w:t>
      </w:r>
      <w:proofErr w:type="gramEnd"/>
      <w:r>
        <w:rPr>
          <w:rFonts w:ascii="Times New Roman" w:hAnsi="Times New Roman"/>
          <w:sz w:val="24"/>
        </w:rPr>
        <w:t>管理人计算的基金份额净值已由基金托管人复核确认后公告，而且基金托管人未对计算过程提出疑义或要求基金管理人书面说明，基金份额净值出错且</w:t>
      </w:r>
      <w:r>
        <w:rPr>
          <w:rFonts w:ascii="Times New Roman" w:hAnsi="Times New Roman"/>
          <w:sz w:val="24"/>
        </w:rPr>
        <w:lastRenderedPageBreak/>
        <w:t>造成基金份额持有人损失的，应根据法律法规的规定对投资者或基金支付赔偿金，就实际向投资者或基金支付的赔偿金额，其中基金管理人承担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14:paraId="277F406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7D7305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于基金管理人提供的信息错误（包括但不限于基金申购或赎回金额等），基金托管人在采取必要的措施后仍不能发现该错误，进而导致基金份额净值计算错误而引起的基金份额持有人和基金财产的损失，由基金管理人负责赔付。</w:t>
      </w:r>
    </w:p>
    <w:p w14:paraId="75669A4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C3873D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）基金管理人和基金托管人由于各自技术系统设置而产生的净值计算尾差，以基金管理人计算结果为准。</w:t>
      </w:r>
    </w:p>
    <w:p w14:paraId="1CC21E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）前述内容如法律法规或监管机关另有规定的，从其规定处理。如果行业有通行做法，双方当事人应本着平等和保护基金份额持有人利益的原则进行协商。</w:t>
      </w:r>
    </w:p>
    <w:p w14:paraId="5E0ADC6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、暂停估值与公告基金份额净值的情形</w:t>
      </w:r>
    </w:p>
    <w:p w14:paraId="61B59A3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）基金投资所涉及的证券交易所遇法定节假日或因其他原因暂停营业时；</w:t>
      </w:r>
    </w:p>
    <w:p w14:paraId="0EEAA23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）基金所投资之目标</w:t>
      </w:r>
      <w:r>
        <w:rPr>
          <w:rFonts w:ascii="Times New Roman" w:hAnsi="Times New Roman"/>
          <w:sz w:val="24"/>
        </w:rPr>
        <w:t>ETF</w:t>
      </w:r>
      <w:r>
        <w:rPr>
          <w:rFonts w:ascii="Times New Roman" w:hAnsi="Times New Roman"/>
          <w:sz w:val="24"/>
        </w:rPr>
        <w:t>发生暂停估值，暂停公告基金份额净值的情形；</w:t>
      </w:r>
    </w:p>
    <w:p w14:paraId="5A5E47E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）因不可抗力或其他情形致使基金管理人、基金托管人无法准确评估基金资产价值时；</w:t>
      </w:r>
    </w:p>
    <w:p w14:paraId="6DF9A25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）占基金相当比例的投资品种的估值出现重大转变，而基金管理人为保障基金份额持有人的利益，已决定延迟估值时；</w:t>
      </w:r>
    </w:p>
    <w:p w14:paraId="1CD6B922"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）如果出现基金管理人认为属于紧急事故的任何情况，导致基金管理人不能出售或评估基金资产时；</w:t>
      </w:r>
    </w:p>
    <w:p w14:paraId="7488FDD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w:t>
      </w:r>
      <w:r>
        <w:rPr>
          <w:rFonts w:ascii="Times New Roman" w:hAnsi="Times New Roman"/>
          <w:sz w:val="24"/>
        </w:rPr>
        <w:lastRenderedPageBreak/>
        <w:t>后，基金管理人应当暂停估值；</w:t>
      </w:r>
    </w:p>
    <w:p w14:paraId="467E9BD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）中国证监会和基金合同认定的其他情形。</w:t>
      </w:r>
    </w:p>
    <w:p w14:paraId="022E2BD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、基金会计制度</w:t>
      </w:r>
    </w:p>
    <w:p w14:paraId="4055175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按国家有关部门规定的会计制度执行。</w:t>
      </w:r>
    </w:p>
    <w:p w14:paraId="1B6E74C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、基金账册的建立</w:t>
      </w:r>
    </w:p>
    <w:p w14:paraId="7783AC6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进行基金会计核算并编制基金财务会计报告。基金合同生效后，基金管理人和基金托管人应按照双方约定的同一记账方法和会计处理原则分别独立地设置、记录和保管本基金的全套账册，定期与对方的账册进行核对，相互监督，以保证基金财产的安全。</w:t>
      </w:r>
      <w:proofErr w:type="gramStart"/>
      <w:r>
        <w:rPr>
          <w:rFonts w:ascii="Times New Roman" w:hAnsi="Times New Roman"/>
          <w:sz w:val="24"/>
        </w:rPr>
        <w:t>若基金</w:t>
      </w:r>
      <w:proofErr w:type="gramEnd"/>
      <w:r>
        <w:rPr>
          <w:rFonts w:ascii="Times New Roman" w:hAnsi="Times New Roman"/>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117A7DC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、基金财务报表与定期报告的编制和复核</w:t>
      </w:r>
    </w:p>
    <w:p w14:paraId="2339284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）财务报表的编制</w:t>
      </w:r>
    </w:p>
    <w:p w14:paraId="62CAB0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基金财务报表由基金管理人和基金托管人每</w:t>
      </w:r>
      <w:proofErr w:type="gramStart"/>
      <w:r>
        <w:rPr>
          <w:rFonts w:ascii="Times New Roman" w:hAnsi="Times New Roman"/>
          <w:sz w:val="24"/>
        </w:rPr>
        <w:t>月分别独立</w:t>
      </w:r>
      <w:proofErr w:type="gramEnd"/>
      <w:r>
        <w:rPr>
          <w:rFonts w:ascii="Times New Roman" w:hAnsi="Times New Roman"/>
          <w:sz w:val="24"/>
        </w:rPr>
        <w:t>编制。</w:t>
      </w:r>
    </w:p>
    <w:p w14:paraId="14D41D1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基金管理人应当及时编制并对外提供真实、完整的基金财务会计报告。月度报表的编制，基金管理人应于每月终了后</w:t>
      </w:r>
      <w:r>
        <w:rPr>
          <w:rFonts w:ascii="Times New Roman" w:hAnsi="Times New Roman"/>
          <w:sz w:val="24"/>
        </w:rPr>
        <w:t>5</w:t>
      </w:r>
      <w:r>
        <w:rPr>
          <w:rFonts w:ascii="Times New Roman" w:hAnsi="Times New Roman"/>
          <w:sz w:val="24"/>
        </w:rPr>
        <w:t>工作日内完成。季度报告应在季度结束之日起</w:t>
      </w:r>
      <w:r>
        <w:rPr>
          <w:rFonts w:ascii="Times New Roman" w:hAnsi="Times New Roman"/>
          <w:sz w:val="24"/>
        </w:rPr>
        <w:t>15</w:t>
      </w:r>
      <w:r>
        <w:rPr>
          <w:rFonts w:ascii="Times New Roman" w:hAnsi="Times New Roman"/>
          <w:sz w:val="24"/>
        </w:rPr>
        <w:t>个工作日内编制完毕并予以公告；中期报告在会计年度上半年终了后两个月内编制完毕并予以公告；年度报告在会计年度结束后三个月内编制完毕并予以公告。基金合同生效不足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286C9DD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14:paraId="69EF7068"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21B82DE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基金管理人在月度报表完成当日，将报表盖章后提供给基金托管人复核；基金托管人在收到后应在</w:t>
      </w:r>
      <w:r>
        <w:rPr>
          <w:rFonts w:ascii="Times New Roman" w:hAnsi="Times New Roman"/>
          <w:sz w:val="24"/>
        </w:rPr>
        <w:t>2</w:t>
      </w:r>
      <w:r>
        <w:rPr>
          <w:rFonts w:ascii="Times New Roman" w:hAnsi="Times New Roman"/>
          <w:sz w:val="24"/>
        </w:rPr>
        <w:t>日内进行复核，并将复核结果书面通知基金管理人。基金管理人在季度报告完成当日，将有关报告提供给基金托管人复核，基金托管人应在收</w:t>
      </w:r>
      <w:r>
        <w:rPr>
          <w:rFonts w:ascii="Times New Roman" w:hAnsi="Times New Roman"/>
          <w:sz w:val="24"/>
        </w:rPr>
        <w:lastRenderedPageBreak/>
        <w:t>到后</w:t>
      </w:r>
      <w:r>
        <w:rPr>
          <w:rFonts w:ascii="Times New Roman" w:hAnsi="Times New Roman"/>
          <w:sz w:val="24"/>
        </w:rPr>
        <w:t>5</w:t>
      </w:r>
      <w:r>
        <w:rPr>
          <w:rFonts w:ascii="Times New Roman" w:hAnsi="Times New Roman"/>
          <w:sz w:val="24"/>
        </w:rPr>
        <w:t>个工作日内完成复核，并将复核结果书面通知基金管理人。基金管理人在中期报告完成当日，将有关报告提供给基金托管人复核，基金托管人应在收到后</w:t>
      </w:r>
      <w:r>
        <w:rPr>
          <w:rFonts w:ascii="Times New Roman" w:hAnsi="Times New Roman"/>
          <w:sz w:val="24"/>
        </w:rPr>
        <w:t>20</w:t>
      </w:r>
      <w:r>
        <w:rPr>
          <w:rFonts w:ascii="Times New Roman" w:hAnsi="Times New Roman"/>
          <w:sz w:val="24"/>
        </w:rPr>
        <w:t>日内完成复核，并将复核结果书面通知基金管理人。基金管理人在年度报告完成当日，将有关报告提供基金托管人复核，基金托管人应在收到后</w:t>
      </w:r>
      <w:r>
        <w:rPr>
          <w:rFonts w:ascii="Times New Roman" w:hAnsi="Times New Roman"/>
          <w:sz w:val="24"/>
        </w:rPr>
        <w:t>30</w:t>
      </w:r>
      <w:r>
        <w:rPr>
          <w:rFonts w:ascii="Times New Roman" w:hAnsi="Times New Roman"/>
          <w:sz w:val="24"/>
        </w:rPr>
        <w:t>日内完成复核，并将复核结果书面通知基金管理人。基金管理人和基金托管人之间的上述文件往来均以加密传真的方式或双方商定的其他方式进行。</w:t>
      </w:r>
    </w:p>
    <w:p w14:paraId="31C6EFB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Times New Roman" w:hAnsi="Times New Roman"/>
          <w:sz w:val="24"/>
        </w:rPr>
        <w:t>于应当</w:t>
      </w:r>
      <w:proofErr w:type="gramEnd"/>
      <w:r>
        <w:rPr>
          <w:rFonts w:ascii="Times New Roman" w:hAnsi="Times New Roman"/>
          <w:sz w:val="24"/>
        </w:rPr>
        <w:t>发布公告之日之前就相关报表达成一致，基金管理人有权按照其编制的报表对外发布公告，基金托管人有权就相关情况报中国证监会备案。</w:t>
      </w:r>
    </w:p>
    <w:p w14:paraId="37E7C4D5"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（六）基金份额持有人名册的登记与保管</w:t>
      </w:r>
    </w:p>
    <w:p w14:paraId="5176E86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日的基金份额持有人名册。基金份额持有人名册的内容至少应包括持有人的名称和持有的基金份额。</w:t>
      </w:r>
    </w:p>
    <w:p w14:paraId="59BFC7F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2D67EA5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14:paraId="0695AC4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w:t>
      </w:r>
      <w:proofErr w:type="gramStart"/>
      <w:r>
        <w:rPr>
          <w:rFonts w:ascii="Times New Roman" w:hAnsi="Times New Roman"/>
          <w:sz w:val="24"/>
        </w:rPr>
        <w:t>若基金</w:t>
      </w:r>
      <w:proofErr w:type="gramEnd"/>
      <w:r>
        <w:rPr>
          <w:rFonts w:ascii="Times New Roman" w:hAnsi="Times New Roman"/>
          <w:sz w:val="24"/>
        </w:rPr>
        <w:t>管理人或基金托管人由于自身原因无法妥善保管基金份额持有人名册，应按有关法规规定各自承担相应的责任。</w:t>
      </w:r>
    </w:p>
    <w:p w14:paraId="36FEDAC3"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14:paraId="6A1B42C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32DEBC1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14:paraId="25E3983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本协议适用中华人民共和国法律并从其解释。</w:t>
      </w:r>
    </w:p>
    <w:p w14:paraId="2753ADEE"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14:paraId="50445A8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14:paraId="6951C96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14:paraId="01A95961"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14:paraId="58D69E9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3C8F54E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14:paraId="61B9413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14:paraId="1B07BB4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14:paraId="12A7E2D8"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B6225A" w14:textId="77777777" w:rsidR="009A30E5" w:rsidRDefault="00953581">
      <w:pPr>
        <w:pStyle w:val="1"/>
        <w:snapToGrid w:val="0"/>
        <w:spacing w:beforeLines="0" w:before="240" w:after="240"/>
        <w:rPr>
          <w:rFonts w:ascii="宋体" w:hAnsi="宋体"/>
          <w:szCs w:val="30"/>
        </w:rPr>
      </w:pPr>
      <w:bookmarkStart w:id="24" w:name="_Toc59040217"/>
      <w:r>
        <w:rPr>
          <w:rFonts w:ascii="Times New Roman" w:hAnsi="Times New Roman"/>
          <w:sz w:val="30"/>
        </w:rPr>
        <w:lastRenderedPageBreak/>
        <w:t>二十二、对基金份额持有人的服务</w:t>
      </w:r>
      <w:bookmarkEnd w:id="24"/>
    </w:p>
    <w:p w14:paraId="5F50C52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本基金管理人承诺为基金份额持有人提供一系列的服务。本基金管理人根据基金份额持有人的需要和市场的变化，有权增加或变更服务项目。主要服务内容如下：</w:t>
      </w:r>
    </w:p>
    <w:p w14:paraId="38A7C5E1"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14:paraId="175F0D60"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14:paraId="3490DE0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w:t>
      </w:r>
      <w:proofErr w:type="gramStart"/>
      <w:r>
        <w:rPr>
          <w:rFonts w:ascii="Times New Roman" w:hAnsi="Times New Roman"/>
          <w:sz w:val="24"/>
        </w:rPr>
        <w:t>人客户</w:t>
      </w:r>
      <w:proofErr w:type="gramEnd"/>
      <w:r>
        <w:rPr>
          <w:rFonts w:ascii="Times New Roman" w:hAnsi="Times New Roman"/>
          <w:sz w:val="24"/>
        </w:rPr>
        <w:t>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14:paraId="34A2E805"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14:paraId="68ABDF1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开通基金网上直销业务，个人投资者可以直接通过本公司网站的网上直销交易平台办理开户和本基金前端基金份额的申购、赎回、定期定额投资和转换等业务。本公司暂不开展网上直销后端基金份额的认</w:t>
      </w:r>
      <w:r>
        <w:rPr>
          <w:rFonts w:ascii="Times New Roman" w:hAnsi="Times New Roman"/>
          <w:sz w:val="24"/>
        </w:rPr>
        <w:t>/</w:t>
      </w:r>
      <w:r>
        <w:rPr>
          <w:rFonts w:ascii="Times New Roman" w:hAnsi="Times New Roman"/>
          <w:sz w:val="24"/>
        </w:rPr>
        <w:t>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w:t>
      </w:r>
      <w:proofErr w:type="gramStart"/>
      <w:r>
        <w:rPr>
          <w:rFonts w:ascii="Times New Roman" w:hAnsi="Times New Roman"/>
          <w:sz w:val="24"/>
        </w:rPr>
        <w:t>入非零申购</w:t>
      </w:r>
      <w:proofErr w:type="gramEnd"/>
      <w:r>
        <w:rPr>
          <w:rFonts w:ascii="Times New Roman" w:hAnsi="Times New Roman"/>
          <w:sz w:val="24"/>
        </w:rPr>
        <w:t>费率的基金，转出与转入基金的前端申购补差费率将享受优惠，其他费率标准不变。具体优惠费率请参见公司网站列示的网上直销交易平台申购、定期定额投资及转换费率表或相关公告。</w:t>
      </w:r>
    </w:p>
    <w:p w14:paraId="249B001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695FB1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在条件成熟的时候，本基金管理人将根据基金网上直销业务的发展状况，适时调整可用于基金网上直销交易平台的银行卡种类，敬请投资者留意相关公告。</w:t>
      </w:r>
    </w:p>
    <w:p w14:paraId="17293CFD"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14:paraId="2415864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投资者如果想查询申购、赎回等交易情况、分红方式状态、基金账户余额、基金产品与服务等信息，请拨打本基金管理</w:t>
      </w:r>
      <w:proofErr w:type="gramStart"/>
      <w:r>
        <w:rPr>
          <w:rFonts w:ascii="Times New Roman" w:hAnsi="Times New Roman"/>
          <w:sz w:val="24"/>
        </w:rPr>
        <w:t>人客户</w:t>
      </w:r>
      <w:proofErr w:type="gramEnd"/>
      <w:r>
        <w:rPr>
          <w:rFonts w:ascii="Times New Roman" w:hAnsi="Times New Roman"/>
          <w:sz w:val="24"/>
        </w:rPr>
        <w:t>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68CE5AB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本基金管理人为投资者预设基金查询密码，预设的基金查询密码为投资者开户证件号码的后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补足。基金查询密码用于投资者通过客户服务电话查询基金账户下的账户和交易信息。投资者请在其知晓基金账号后，及时拨打本基金管理</w:t>
      </w:r>
      <w:proofErr w:type="gramStart"/>
      <w:r>
        <w:rPr>
          <w:rFonts w:ascii="Times New Roman" w:hAnsi="Times New Roman"/>
          <w:sz w:val="24"/>
        </w:rPr>
        <w:t>人客户</w:t>
      </w:r>
      <w:proofErr w:type="gramEnd"/>
      <w:r>
        <w:rPr>
          <w:rFonts w:ascii="Times New Roman" w:hAnsi="Times New Roman"/>
          <w:sz w:val="24"/>
        </w:rPr>
        <w:t>服务电话修改基金查询密码。</w:t>
      </w:r>
    </w:p>
    <w:p w14:paraId="4F7B0C6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投资者可以拨打本基金管理</w:t>
      </w:r>
      <w:proofErr w:type="gramStart"/>
      <w:r>
        <w:rPr>
          <w:rFonts w:ascii="Times New Roman" w:hAnsi="Times New Roman"/>
          <w:sz w:val="24"/>
        </w:rPr>
        <w:t>人客户</w:t>
      </w:r>
      <w:proofErr w:type="gramEnd"/>
      <w:r>
        <w:rPr>
          <w:rFonts w:ascii="Times New Roman" w:hAnsi="Times New Roman"/>
          <w:sz w:val="24"/>
        </w:rPr>
        <w:t>服务电话投诉直销机构的人员和服务。</w:t>
      </w:r>
    </w:p>
    <w:p w14:paraId="3E9790CD"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（四）基金红利再投资</w:t>
      </w:r>
    </w:p>
    <w:p w14:paraId="579AE9F4"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本基金收益分配时，投资者可以选择将当期分配所得的红利再投资于本基金，再投资红利按红利再投日（即除息日）除息后的基金份额净值自动转为基金份额，并免收申购费用。</w:t>
      </w:r>
    </w:p>
    <w:p w14:paraId="6D0E1B8A" w14:textId="77777777" w:rsidR="009A30E5" w:rsidRDefault="00953581">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（五）定期定额投资计划和转换业务</w:t>
      </w:r>
    </w:p>
    <w:p w14:paraId="51437E8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本基金已开通定期定额投资和转换业务，具体实施方法请参见相关公告。</w:t>
      </w:r>
    </w:p>
    <w:p w14:paraId="255A1BEC"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14:paraId="0CEDF186"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基金管理人的互联网地址及电子信箱</w:t>
      </w:r>
    </w:p>
    <w:p w14:paraId="1F574B6B"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72F5020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14:paraId="3C5B2B7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投资者也可登录本基金管理人网站，直接提出有关本基金的问题和建议。</w:t>
      </w:r>
    </w:p>
    <w:p w14:paraId="10A06B1A"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5396E41" w14:textId="77777777" w:rsidR="009A30E5" w:rsidRDefault="00953581">
      <w:pPr>
        <w:pStyle w:val="1"/>
        <w:snapToGrid w:val="0"/>
        <w:spacing w:beforeLines="0" w:before="240" w:after="240"/>
        <w:rPr>
          <w:rFonts w:ascii="宋体" w:hAnsi="宋体"/>
          <w:szCs w:val="30"/>
        </w:rPr>
      </w:pPr>
      <w:bookmarkStart w:id="25" w:name="_Toc59040218"/>
      <w:r>
        <w:rPr>
          <w:rFonts w:ascii="Times New Roman" w:hAnsi="Times New Roman"/>
          <w:sz w:val="30"/>
        </w:rPr>
        <w:lastRenderedPageBreak/>
        <w:t>二十三、其他应披露事项</w:t>
      </w:r>
      <w:bookmarkEnd w:id="25"/>
    </w:p>
    <w:p w14:paraId="37479B17"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14:paraId="51159559"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A30E5" w14:paraId="6B28F7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0F68EC"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E390DA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DCDE3C4"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2EA781BD"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9A30E5" w14:paraId="16279A12"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DAF441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67D3A694"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交银施罗德基金管理有限公司关于暂停北京增财基金销售有限公司办理相关销售业务的公告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3DAA6A83"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4DC4E8E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2019-12-19</w:t>
            </w:r>
          </w:p>
        </w:tc>
      </w:tr>
      <w:tr w:rsidR="009A30E5" w14:paraId="67E97D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4E6834"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300473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关于增加阳光人寿保险股份有限公司为旗下基金销售机构的公告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CB7F46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27BF7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2020-01-20</w:t>
            </w:r>
          </w:p>
        </w:tc>
      </w:tr>
      <w:tr w:rsidR="009A30E5" w14:paraId="314235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86D48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69301FF"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公司治理交易型开放式指数证券投资基金联接基金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0C08920"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559634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9A30E5" w14:paraId="341A0F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0449CE"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390347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E39576E"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DBD22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9A30E5" w14:paraId="4F4E1D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BFC98C"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6A3F4AC"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公司治理交易型开放式指数证券投资基金联接基金（更新）招募说明</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AEE4B24"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C58A0E"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9A30E5" w14:paraId="5D165583"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2BEEBA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1640A09"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25E1F256"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681A896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9A30E5" w14:paraId="23FE2C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DB70A9"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97DD6B7"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关于增加大连</w:t>
            </w:r>
            <w:proofErr w:type="gramStart"/>
            <w:r>
              <w:rPr>
                <w:rFonts w:ascii="Times New Roman" w:hAnsi="Times New Roman"/>
                <w:color w:val="000000"/>
                <w:kern w:val="0"/>
                <w:sz w:val="25"/>
                <w:szCs w:val="24"/>
              </w:rPr>
              <w:t>网金基金</w:t>
            </w:r>
            <w:proofErr w:type="gramEnd"/>
            <w:r>
              <w:rPr>
                <w:rFonts w:ascii="Times New Roman" w:hAnsi="Times New Roman"/>
                <w:color w:val="000000"/>
                <w:kern w:val="0"/>
                <w:sz w:val="25"/>
                <w:szCs w:val="24"/>
              </w:rPr>
              <w:t>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BA303B7"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D2907F"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2020-02-14</w:t>
            </w:r>
          </w:p>
        </w:tc>
      </w:tr>
      <w:tr w:rsidR="009A30E5" w14:paraId="4FF3F4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F59F5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1EDEC79"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关于旗下基金所持停牌股票估值调整的公告</w:t>
            </w:r>
          </w:p>
        </w:tc>
        <w:tc>
          <w:tcPr>
            <w:tcW w:w="750" w:type="pct"/>
            <w:tcBorders>
              <w:top w:val="single" w:sz="4" w:space="0" w:color="auto"/>
              <w:left w:val="single" w:sz="4" w:space="0" w:color="auto"/>
              <w:bottom w:val="single" w:sz="4" w:space="0" w:color="auto"/>
              <w:right w:val="single" w:sz="4" w:space="0" w:color="auto"/>
            </w:tcBorders>
            <w:vAlign w:val="center"/>
          </w:tcPr>
          <w:p w14:paraId="0F95B613"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D76C1C1"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2020-03-20</w:t>
            </w:r>
          </w:p>
        </w:tc>
      </w:tr>
      <w:tr w:rsidR="009A30E5" w14:paraId="35CC3A85"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CF9FE1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D94D67F"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终止泰诚财富</w:t>
            </w:r>
            <w:proofErr w:type="gramEnd"/>
            <w:r>
              <w:rPr>
                <w:rFonts w:ascii="Times New Roman" w:hAnsi="Times New Roman"/>
                <w:color w:val="000000"/>
                <w:kern w:val="0"/>
                <w:sz w:val="25"/>
                <w:szCs w:val="24"/>
              </w:rPr>
              <w:t>基金销售（大连）有限公司办理相关销售业务的公告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51F5BDCC"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5B7F181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9A30E5" w14:paraId="7074DE6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EDC61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AD4A4D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公司治理交易型开放式指数证券投资基金联接基金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6AC583BB"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5B87C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9A30E5" w14:paraId="02EC0A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84A14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14:paraId="512B2F6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0C7494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8522896"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9A30E5" w14:paraId="798E33DA"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46995C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51A3D6CD"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15744959"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292E8AC3"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9A30E5" w14:paraId="37DDF2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682A4E"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A2BD2C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公司治理交易型开放式指数证券投资基金联接基金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E41A0A4"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6BC7B95"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9A30E5" w14:paraId="467302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A622E8"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7896066E"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E81963C"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6D4168"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9A30E5" w14:paraId="79E12B75"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53F7260"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2E13A90A"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公司治理交易型开放式指数证券投资基金联接基金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4348A82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5567602B"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9A30E5" w14:paraId="158E3979"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E4D1F8A"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FBFCAAB"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公司治理交易型开放式指数证券投资基金联接基金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BCF04A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4FF217F7"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9A30E5" w14:paraId="2D98AF1F"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C3F892A"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C7DB831"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公司治理交易型开放式指数证券投资基金联接基金产品资料概要</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E1028E2"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4CFD5452"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9A30E5" w14:paraId="472983C6"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583103A"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2012645A"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w:t>
            </w:r>
            <w:proofErr w:type="gramStart"/>
            <w:r>
              <w:rPr>
                <w:rFonts w:ascii="Times New Roman" w:hAnsi="Times New Roman"/>
                <w:color w:val="000000"/>
                <w:kern w:val="0"/>
                <w:sz w:val="25"/>
                <w:szCs w:val="24"/>
              </w:rPr>
              <w:t>普益基金</w:t>
            </w:r>
            <w:proofErr w:type="gramEnd"/>
            <w:r>
              <w:rPr>
                <w:rFonts w:ascii="Times New Roman" w:hAnsi="Times New Roman"/>
                <w:color w:val="000000"/>
                <w:kern w:val="0"/>
                <w:sz w:val="25"/>
                <w:szCs w:val="24"/>
              </w:rPr>
              <w:t>销售有限公司为旗下基金销售机构的公告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CA09E05" w14:textId="77777777" w:rsidR="009A30E5" w:rsidRDefault="0095358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38DB110A" w14:textId="77777777" w:rsidR="009A30E5" w:rsidRDefault="0095358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bl>
    <w:p w14:paraId="1EB12649"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D1692D1" w14:textId="77777777" w:rsidR="009A30E5" w:rsidRDefault="00953581">
      <w:pPr>
        <w:pStyle w:val="1"/>
        <w:snapToGrid w:val="0"/>
        <w:spacing w:beforeLines="0" w:before="240" w:after="240"/>
        <w:rPr>
          <w:rFonts w:ascii="宋体" w:hAnsi="宋体"/>
          <w:szCs w:val="30"/>
        </w:rPr>
      </w:pPr>
      <w:bookmarkStart w:id="26" w:name="_Toc59040219"/>
      <w:r>
        <w:rPr>
          <w:rFonts w:ascii="Times New Roman" w:hAnsi="Times New Roman"/>
          <w:sz w:val="30"/>
        </w:rPr>
        <w:lastRenderedPageBreak/>
        <w:t>二十四、招募说明书的存放及查阅方式</w:t>
      </w:r>
      <w:bookmarkEnd w:id="26"/>
    </w:p>
    <w:p w14:paraId="360B1CA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处，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63577D33"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投资者还可以直接登录基金管理人的网站</w:t>
      </w:r>
      <w:r>
        <w:rPr>
          <w:rFonts w:ascii="Times New Roman" w:hAnsi="Times New Roman"/>
          <w:sz w:val="24"/>
        </w:rPr>
        <w:t>(www.fund001.com)</w:t>
      </w:r>
      <w:r>
        <w:rPr>
          <w:rFonts w:ascii="Times New Roman" w:hAnsi="Times New Roman"/>
          <w:sz w:val="24"/>
        </w:rPr>
        <w:t>查阅和下载招募说明书。</w:t>
      </w:r>
    </w:p>
    <w:p w14:paraId="2E6AE665" w14:textId="77777777" w:rsidR="00E3175C" w:rsidRDefault="00953581" w:rsidP="00E3175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157480" w14:textId="77777777" w:rsidR="009A30E5" w:rsidRDefault="00953581">
      <w:pPr>
        <w:pStyle w:val="1"/>
        <w:snapToGrid w:val="0"/>
        <w:spacing w:beforeLines="0" w:before="240" w:after="240"/>
        <w:rPr>
          <w:rFonts w:ascii="宋体" w:hAnsi="宋体"/>
          <w:szCs w:val="30"/>
        </w:rPr>
      </w:pPr>
      <w:bookmarkStart w:id="27" w:name="_Toc59040220"/>
      <w:r>
        <w:rPr>
          <w:rFonts w:ascii="Times New Roman" w:hAnsi="Times New Roman"/>
          <w:sz w:val="30"/>
        </w:rPr>
        <w:lastRenderedPageBreak/>
        <w:t>二十五、备查文件</w:t>
      </w:r>
      <w:bookmarkEnd w:id="27"/>
    </w:p>
    <w:p w14:paraId="10233B1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14:paraId="329F1DCD"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（一）中国证监会核准交银施罗德上证</w:t>
      </w:r>
      <w:r>
        <w:rPr>
          <w:rFonts w:ascii="Times New Roman" w:hAnsi="Times New Roman"/>
          <w:sz w:val="24"/>
        </w:rPr>
        <w:t>180</w:t>
      </w:r>
      <w:r>
        <w:rPr>
          <w:rFonts w:ascii="Times New Roman" w:hAnsi="Times New Roman"/>
          <w:sz w:val="24"/>
        </w:rPr>
        <w:t>公司治理交易型开放式指数证券投资基金联接基金募集的文件</w:t>
      </w:r>
    </w:p>
    <w:p w14:paraId="1D4714A5"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（二）《交银施罗德上证</w:t>
      </w:r>
      <w:r>
        <w:rPr>
          <w:rFonts w:ascii="Times New Roman" w:hAnsi="Times New Roman"/>
          <w:sz w:val="24"/>
        </w:rPr>
        <w:t>180</w:t>
      </w:r>
      <w:r>
        <w:rPr>
          <w:rFonts w:ascii="Times New Roman" w:hAnsi="Times New Roman"/>
          <w:sz w:val="24"/>
        </w:rPr>
        <w:t>公司治理交易型开放式指数证券投资基金联接基金基金合同》</w:t>
      </w:r>
    </w:p>
    <w:p w14:paraId="4AEFC9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（三）《交银施罗德上证</w:t>
      </w:r>
      <w:r>
        <w:rPr>
          <w:rFonts w:ascii="Times New Roman" w:hAnsi="Times New Roman"/>
          <w:sz w:val="24"/>
        </w:rPr>
        <w:t>180</w:t>
      </w:r>
      <w:r>
        <w:rPr>
          <w:rFonts w:ascii="Times New Roman" w:hAnsi="Times New Roman"/>
          <w:sz w:val="24"/>
        </w:rPr>
        <w:t>公司治理交易型开放式指数证券投资基金联接基金托管协议》</w:t>
      </w:r>
    </w:p>
    <w:p w14:paraId="6C083E6A"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14:paraId="134F621F"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14:paraId="6773EB3E" w14:textId="77777777" w:rsidR="009A30E5" w:rsidRDefault="0095358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（六）关于申请募集交银施罗德上证</w:t>
      </w:r>
      <w:r>
        <w:rPr>
          <w:rFonts w:ascii="Times New Roman" w:hAnsi="Times New Roman"/>
          <w:sz w:val="24"/>
        </w:rPr>
        <w:t>180</w:t>
      </w:r>
      <w:r>
        <w:rPr>
          <w:rFonts w:ascii="Times New Roman" w:hAnsi="Times New Roman"/>
          <w:sz w:val="24"/>
        </w:rPr>
        <w:t>公司治理交易型开放式指数证券投资基金联接基金之法律意见书</w:t>
      </w:r>
    </w:p>
    <w:sectPr w:rsidR="009A30E5">
      <w:footerReference w:type="default" r:id="rId19"/>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17969" w14:textId="77777777" w:rsidR="000527C4" w:rsidRDefault="000527C4">
      <w:r>
        <w:separator/>
      </w:r>
    </w:p>
  </w:endnote>
  <w:endnote w:type="continuationSeparator" w:id="0">
    <w:p w14:paraId="175B06F1" w14:textId="77777777" w:rsidR="000527C4" w:rsidRDefault="0005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8C1DD" w14:textId="77777777" w:rsidR="00FC532D" w:rsidRDefault="00FC532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99002" w14:textId="4EF60903" w:rsidR="00FC532D" w:rsidRDefault="00FC532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71DDF141" wp14:editId="55A5A69F">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8F3AF" w14:textId="77777777" w:rsidR="00FC532D" w:rsidRDefault="00FC532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F141"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45gEAALUDAAAOAAAAZHJzL2Uyb0RvYy54bWysU8Fu1DAQvSPxD5bvbHZTRCHabFVaFSEV&#10;itTyAY5jJxaxx4y9myxfz9jZLAVuiIs1mRk/v/dmsr2a7MAOCoMBV/PNas2ZchJa47qaf326e/WW&#10;sxCFa8UATtX8qAK/2r18sR19pUroYWgVMgJxoRp9zfsYfVUUQfbKirACrxwVNaAVkT6xK1oUI6Hb&#10;oSjX6zfFCNh6BKlCoOztXOS7jK+1kvFB66AiG2pO3GI+MZ9NOovdVlQdCt8beaIh/oGFFcbRo2eo&#10;WxEF26P5C8oaiRBAx5UEW4DWRqqsgdRs1n+oeeyFV1kLmRP82abw/2Dl58MXZKatecmZE5ZG9KSm&#10;yN7DxDbJndGHipoePbXFidI05aw0+HuQ3wJzcNML16lrRBh7JVpil28Wz67OOCGBNOMnaOkZsY+Q&#10;gSaNNllHZjBCpykdz5NJVCQly8vXFyVVJJU2F+8u13lyhaiWyx5D/KDAshTUHGnwGVwc7kMkGdS6&#10;tKS3HNyZYcjDH9xvCWpMmUw+8Z2Zx6mZTmY00B5JBsK8S7T7FPSAPzgbaY9qHr7vBSrOho+OrEhL&#10;twS4BM0SCCfpas0jZ3N4E+fl3Hs0XU/Is9kOrskubbKU5OvM4sSTdiMrPO1xWr7n37nr19+2+wkA&#10;AP//AwBQSwMEFAAGAAgAAAAhAKojdc7hAAAADQEAAA8AAABkcnMvZG93bnJldi54bWxMj8FOwzAQ&#10;RO9I/IO1SNyoQ1BMCHGqCsEJCZGGA0cndhOr8TrEbhv+nu2JHndmNPumXC9uZEczB+tRwv0qAWaw&#10;89piL+GrebvLgYWoUKvRo5HwawKsq+urUhXan7A2x23sGZVgKJSEIcap4Dx0g3EqrPxkkLydn52K&#10;dM4917M6UbkbeZokgjtlkT4MajIvg+n224OTsPnG+tX+fLSf9a62TfOU4LvYS3l7s2yegUWzxP8w&#10;nPEJHSpiav0BdWCjhCwXhB7JyESWAqOIeEhoXnuW8scUeFXyyxXVHwAAAP//AwBQSwECLQAUAAYA&#10;CAAAACEAtoM4kv4AAADhAQAAEwAAAAAAAAAAAAAAAAAAAAAAW0NvbnRlbnRfVHlwZXNdLnhtbFBL&#10;AQItABQABgAIAAAAIQA4/SH/1gAAAJQBAAALAAAAAAAAAAAAAAAAAC8BAABfcmVscy8ucmVsc1BL&#10;AQItABQABgAIAAAAIQD4ERA45gEAALUDAAAOAAAAAAAAAAAAAAAAAC4CAABkcnMvZTJvRG9jLnht&#10;bFBLAQItABQABgAIAAAAIQCqI3XO4QAAAA0BAAAPAAAAAAAAAAAAAAAAAEAEAABkcnMvZG93bnJl&#10;di54bWxQSwUGAAAAAAQABADzAAAATgUAAAAA&#10;" o:allowincell="f" filled="f" stroked="f">
              <v:textbox inset="0,0,0,0">
                <w:txbxContent>
                  <w:p w14:paraId="1E28F3AF" w14:textId="77777777" w:rsidR="00FC532D" w:rsidRDefault="00FC532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7E81" w14:textId="77777777" w:rsidR="00FC532D" w:rsidRDefault="00FC532D">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A81BB" w14:textId="175B5E50" w:rsidR="00FC532D" w:rsidRDefault="00FC532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21037EEC" wp14:editId="0AC0892E">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792B9" w14:textId="77777777" w:rsidR="00FC532D" w:rsidRDefault="00FC532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79</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37EE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G6wEAAL0DAAAOAAAAZHJzL2Uyb0RvYy54bWysU9tu2zAMfR+wfxD0vtjJ2l2MOEXXosOA&#10;rhvQ7gNoWY6F2aJGKbGzrx8lx2m7vg17EWiKPDrnkF5fjH0n9pq8QVvK5SKXQluFtbHbUv54uHnz&#10;QQofwNbQodWlPGgvLzavX60HV+gVttjVmgSDWF8MrpRtCK7IMq9a3YNfoNOWLxukHgJ/0jarCQZG&#10;77tslefvsgGpdoRKe8/Z6+lSbhJ+02gVvjWN10F0pWRuIZ2Uziqe2WYNxZbAtUYdacA/sOjBWH70&#10;BHUNAcSOzAuo3ihCj01YKOwzbBqjdNLAapb5X2ruW3A6aWFzvDvZ5P8frLrbfydhap6dFBZ6HtGD&#10;HoP4hKNYJXsG5wuuundcF0bOx9Io1btbVD+9sHjVgt3qSyIcWg0101tGY7MnrXEgnlsYpBq+Ys3v&#10;wC5gAhob6iMguyEYncd0OI0mclGcPFudn53zjeKr5duP7/PELYNibnbkw2eNvYhBKYknn8Bhf+tD&#10;JAPFXBLfsnhjui5Nv7PPElwYM4l85DsxD2M1Hm3ipqilwvrAaginneJ/gIMW6bcUA+9TKf2vHZCW&#10;ovti2ZG4fHNAc1DNAVjFraUMUkzhVZiWdOfIbFtGnjy3eMmuNSYpemRxpMs7koQe9zku4dPvVPX4&#10;123+AAAA//8DAFBLAwQUAAYACAAAACEAuompQeEAAAANAQAADwAAAGRycy9kb3ducmV2LnhtbEyP&#10;wU7DMBBE70j8g7VI3KjTqkmaNE5VITghIdJw4OjEbmI1XofYbcPfsz3BcWeeZmeK3WwHdtGTNw4F&#10;LBcRMI2tUwY7AZ/169MGmA8SlRwcagE/2sOuvL8rZK7cFSt9OYSOUQj6XAroQxhzzn3bayv9wo0a&#10;yTu6ycpA59RxNckrhduBr6Io4VYapA+9HPVzr9vT4WwF7L+wejHf781HdaxMXWcRviUnIR4f5v0W&#10;WNBz+IPhVp+qQ0mdGndG5dkgIN6sYkLJiNdpCoyQZJ2R1NykJEuBlwX/v6L8BQAA//8DAFBLAQIt&#10;ABQABgAIAAAAIQC2gziS/gAAAOEBAAATAAAAAAAAAAAAAAAAAAAAAABbQ29udGVudF9UeXBlc10u&#10;eG1sUEsBAi0AFAAGAAgAAAAhADj9If/WAAAAlAEAAAsAAAAAAAAAAAAAAAAALwEAAF9yZWxzLy5y&#10;ZWxzUEsBAi0AFAAGAAgAAAAhAKQcJ4brAQAAvQMAAA4AAAAAAAAAAAAAAAAALgIAAGRycy9lMm9E&#10;b2MueG1sUEsBAi0AFAAGAAgAAAAhALqJqUHhAAAADQEAAA8AAAAAAAAAAAAAAAAARQQAAGRycy9k&#10;b3ducmV2LnhtbFBLBQYAAAAABAAEAPMAAABTBQAAAAA=&#10;" o:allowincell="f" filled="f" stroked="f">
              <v:textbox inset="0,0,0,0">
                <w:txbxContent>
                  <w:p w14:paraId="7A9792B9" w14:textId="77777777" w:rsidR="00FC532D" w:rsidRDefault="00FC532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79</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D91A8" w14:textId="77777777" w:rsidR="000527C4" w:rsidRDefault="000527C4">
      <w:r>
        <w:separator/>
      </w:r>
    </w:p>
  </w:footnote>
  <w:footnote w:type="continuationSeparator" w:id="0">
    <w:p w14:paraId="444BD7EA" w14:textId="77777777" w:rsidR="000527C4" w:rsidRDefault="0005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0653B" w14:textId="77777777" w:rsidR="00FC532D" w:rsidRDefault="00FC53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DBBD" w14:textId="5807C2FA" w:rsidR="00FC532D" w:rsidRDefault="00FC532D">
    <w:pPr>
      <w:pStyle w:val="a3"/>
      <w:jc w:val="right"/>
    </w:pPr>
    <w:r>
      <w:rPr>
        <w:noProof/>
      </w:rPr>
      <w:drawing>
        <wp:anchor distT="0" distB="0" distL="114300" distR="114300" simplePos="0" relativeHeight="251655680" behindDoc="0" locked="0" layoutInCell="1" allowOverlap="1" wp14:anchorId="37AC8E5A" wp14:editId="62184479">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CA0D319" w14:textId="77777777" w:rsidR="00FC532D" w:rsidRDefault="00FC532D">
    <w:pPr>
      <w:pStyle w:val="a3"/>
      <w:jc w:val="right"/>
      <w:rPr>
        <w:rFonts w:ascii="宋体" w:hAnsi="宋体"/>
      </w:rPr>
    </w:pPr>
    <w:r>
      <w:rPr>
        <w:rFonts w:ascii="宋体" w:hAnsi="宋体" w:hint="eastAsia"/>
      </w:rPr>
      <w:t>交银施罗德上证180公司治理交易型开放式指数证券投资基金联接基金(更新)招募说明书(2020年第1号)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02D31" w14:textId="77777777" w:rsidR="00FC532D" w:rsidRDefault="00FC532D">
    <w:pPr>
      <w:pStyle w:val="TOC1"/>
      <w:jc w:val="right"/>
    </w:pPr>
  </w:p>
  <w:p w14:paraId="70429820" w14:textId="77777777" w:rsidR="00FC532D" w:rsidRDefault="00FC532D">
    <w:pPr>
      <w:pStyle w:val="TOC1"/>
      <w:jc w:val="right"/>
    </w:pPr>
  </w:p>
  <w:p w14:paraId="45D2EFF9" w14:textId="77777777" w:rsidR="00FC532D" w:rsidRDefault="00FC532D">
    <w:pPr>
      <w:pStyle w:val="a3"/>
      <w:jc w:val="right"/>
    </w:pPr>
  </w:p>
  <w:p w14:paraId="484CF01C" w14:textId="2BDFDBE5" w:rsidR="00FC532D" w:rsidRDefault="00FC532D">
    <w:pPr>
      <w:pStyle w:val="a3"/>
      <w:jc w:val="right"/>
    </w:pPr>
    <w:r>
      <w:rPr>
        <w:noProof/>
      </w:rPr>
      <w:drawing>
        <wp:anchor distT="0" distB="0" distL="114300" distR="114300" simplePos="0" relativeHeight="251656704" behindDoc="0" locked="0" layoutInCell="1" allowOverlap="1" wp14:anchorId="6A7D2D4B" wp14:editId="1141FEFD">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AA4350B" w14:textId="3C43D577" w:rsidR="00FC532D" w:rsidRDefault="00FC532D">
    <w:pPr>
      <w:pStyle w:val="a3"/>
      <w:jc w:val="right"/>
      <w:rPr>
        <w:rFonts w:ascii="宋体" w:hAnsi="宋体"/>
      </w:rPr>
    </w:pPr>
    <w:r>
      <w:rPr>
        <w:rFonts w:ascii="宋体" w:hAnsi="宋体" w:hint="eastAsia"/>
      </w:rPr>
      <w:t>交银施罗德上证180公司治理交易型开放式指数证券投资基金联接基金(更新)招募说明书(202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E6A65" w14:textId="77777777" w:rsidR="00FC532D" w:rsidRDefault="00FC532D">
    <w:pPr>
      <w:pStyle w:val="a3"/>
      <w:jc w:val="right"/>
    </w:pPr>
  </w:p>
  <w:p w14:paraId="02049CCE" w14:textId="77777777" w:rsidR="00FC532D" w:rsidRDefault="00FC532D">
    <w:pPr>
      <w:pStyle w:val="a3"/>
      <w:jc w:val="right"/>
    </w:pPr>
  </w:p>
  <w:p w14:paraId="060044E9" w14:textId="77777777" w:rsidR="00FC532D" w:rsidRDefault="00FC532D">
    <w:pPr>
      <w:pStyle w:val="a3"/>
      <w:jc w:val="right"/>
    </w:pPr>
  </w:p>
  <w:p w14:paraId="5360495B" w14:textId="59FE6630" w:rsidR="00FC532D" w:rsidRDefault="00FC532D">
    <w:pPr>
      <w:pStyle w:val="a3"/>
      <w:jc w:val="right"/>
    </w:pPr>
    <w:r>
      <w:rPr>
        <w:noProof/>
      </w:rPr>
      <w:drawing>
        <wp:anchor distT="0" distB="0" distL="114300" distR="114300" simplePos="0" relativeHeight="251657728" behindDoc="0" locked="0" layoutInCell="1" allowOverlap="1" wp14:anchorId="5F3F78A0" wp14:editId="15D6516C">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FEB070F" w14:textId="6BFF3763" w:rsidR="00FC532D" w:rsidRDefault="00FC532D">
    <w:pPr>
      <w:pStyle w:val="a3"/>
      <w:jc w:val="right"/>
      <w:rPr>
        <w:rFonts w:ascii="宋体" w:hAnsi="宋体"/>
      </w:rPr>
    </w:pPr>
    <w:r>
      <w:rPr>
        <w:rFonts w:ascii="宋体" w:hAnsi="宋体" w:hint="eastAsia"/>
      </w:rPr>
      <w:t>交银施罗德上证180公司治理交易型开放式指数证券投资基金联接基金(更新)招募说明书(202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429F"/>
    <w:rsid w:val="000368A2"/>
    <w:rsid w:val="00044AFD"/>
    <w:rsid w:val="00044E2C"/>
    <w:rsid w:val="000457B7"/>
    <w:rsid w:val="0004614E"/>
    <w:rsid w:val="00046212"/>
    <w:rsid w:val="000500B8"/>
    <w:rsid w:val="000506ED"/>
    <w:rsid w:val="000527C4"/>
    <w:rsid w:val="000543D5"/>
    <w:rsid w:val="00055792"/>
    <w:rsid w:val="00055F52"/>
    <w:rsid w:val="00061C0D"/>
    <w:rsid w:val="0006212F"/>
    <w:rsid w:val="0006220F"/>
    <w:rsid w:val="000647B8"/>
    <w:rsid w:val="00064FD1"/>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57E7"/>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0FB9"/>
    <w:rsid w:val="0013182D"/>
    <w:rsid w:val="00131CEE"/>
    <w:rsid w:val="0013315B"/>
    <w:rsid w:val="00134FCF"/>
    <w:rsid w:val="00135AD8"/>
    <w:rsid w:val="0013630D"/>
    <w:rsid w:val="001367F2"/>
    <w:rsid w:val="001412E8"/>
    <w:rsid w:val="0014250F"/>
    <w:rsid w:val="00144B52"/>
    <w:rsid w:val="00152C2F"/>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525F"/>
    <w:rsid w:val="00197A55"/>
    <w:rsid w:val="00197F7E"/>
    <w:rsid w:val="001A0B30"/>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6CB5"/>
    <w:rsid w:val="001D7ECC"/>
    <w:rsid w:val="001E144C"/>
    <w:rsid w:val="001E25FD"/>
    <w:rsid w:val="001E2A4F"/>
    <w:rsid w:val="001E3F8F"/>
    <w:rsid w:val="001E5250"/>
    <w:rsid w:val="001F33EB"/>
    <w:rsid w:val="001F373A"/>
    <w:rsid w:val="001F4DEA"/>
    <w:rsid w:val="001F4ECB"/>
    <w:rsid w:val="001F7353"/>
    <w:rsid w:val="00201F27"/>
    <w:rsid w:val="00201F9B"/>
    <w:rsid w:val="00203351"/>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59"/>
    <w:rsid w:val="00240BB6"/>
    <w:rsid w:val="00241C7B"/>
    <w:rsid w:val="002432CA"/>
    <w:rsid w:val="00243D40"/>
    <w:rsid w:val="00245250"/>
    <w:rsid w:val="002477CB"/>
    <w:rsid w:val="00247BF6"/>
    <w:rsid w:val="00250A33"/>
    <w:rsid w:val="00251126"/>
    <w:rsid w:val="002524D2"/>
    <w:rsid w:val="00252802"/>
    <w:rsid w:val="00261A50"/>
    <w:rsid w:val="002634C3"/>
    <w:rsid w:val="00264850"/>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75A"/>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B81"/>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4A71"/>
    <w:rsid w:val="003A6045"/>
    <w:rsid w:val="003A60A9"/>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225F"/>
    <w:rsid w:val="003F317C"/>
    <w:rsid w:val="003F4813"/>
    <w:rsid w:val="00406654"/>
    <w:rsid w:val="0041100B"/>
    <w:rsid w:val="004114F3"/>
    <w:rsid w:val="004117E1"/>
    <w:rsid w:val="00411EE2"/>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12D5"/>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07A4F"/>
    <w:rsid w:val="00512DC1"/>
    <w:rsid w:val="00514C6B"/>
    <w:rsid w:val="00515335"/>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5FBB"/>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4A4"/>
    <w:rsid w:val="005856E9"/>
    <w:rsid w:val="005867BB"/>
    <w:rsid w:val="00587452"/>
    <w:rsid w:val="00591C2A"/>
    <w:rsid w:val="00592461"/>
    <w:rsid w:val="00592539"/>
    <w:rsid w:val="00596A05"/>
    <w:rsid w:val="00596D6D"/>
    <w:rsid w:val="00597284"/>
    <w:rsid w:val="00597F8F"/>
    <w:rsid w:val="005A1EA2"/>
    <w:rsid w:val="005A2467"/>
    <w:rsid w:val="005A3C09"/>
    <w:rsid w:val="005A5858"/>
    <w:rsid w:val="005A6E51"/>
    <w:rsid w:val="005A7C7F"/>
    <w:rsid w:val="005A7D88"/>
    <w:rsid w:val="005B130C"/>
    <w:rsid w:val="005B14FF"/>
    <w:rsid w:val="005B3B71"/>
    <w:rsid w:val="005B4814"/>
    <w:rsid w:val="005B4B1B"/>
    <w:rsid w:val="005B4F0F"/>
    <w:rsid w:val="005B58F0"/>
    <w:rsid w:val="005B6FED"/>
    <w:rsid w:val="005C0E62"/>
    <w:rsid w:val="005C0F5B"/>
    <w:rsid w:val="005C2E15"/>
    <w:rsid w:val="005C403B"/>
    <w:rsid w:val="005C63CB"/>
    <w:rsid w:val="005D0AA6"/>
    <w:rsid w:val="005D165F"/>
    <w:rsid w:val="005D21F3"/>
    <w:rsid w:val="005D3CF8"/>
    <w:rsid w:val="005D4043"/>
    <w:rsid w:val="005D5D89"/>
    <w:rsid w:val="005E0D2D"/>
    <w:rsid w:val="005E3FB6"/>
    <w:rsid w:val="005E4C81"/>
    <w:rsid w:val="005F4583"/>
    <w:rsid w:val="005F4ABB"/>
    <w:rsid w:val="005F6066"/>
    <w:rsid w:val="005F6562"/>
    <w:rsid w:val="005F65FC"/>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2502"/>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0A"/>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11AB"/>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0C55"/>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1EAD"/>
    <w:rsid w:val="00843042"/>
    <w:rsid w:val="00843C37"/>
    <w:rsid w:val="00844886"/>
    <w:rsid w:val="00844C2D"/>
    <w:rsid w:val="008460E1"/>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40BB"/>
    <w:rsid w:val="008B6003"/>
    <w:rsid w:val="008B691D"/>
    <w:rsid w:val="008C4D11"/>
    <w:rsid w:val="008D0773"/>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6E54"/>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581"/>
    <w:rsid w:val="00953DBA"/>
    <w:rsid w:val="00954137"/>
    <w:rsid w:val="00955882"/>
    <w:rsid w:val="00955ABF"/>
    <w:rsid w:val="00956F74"/>
    <w:rsid w:val="00956F84"/>
    <w:rsid w:val="009575A0"/>
    <w:rsid w:val="00957C6C"/>
    <w:rsid w:val="00960AA2"/>
    <w:rsid w:val="009649DC"/>
    <w:rsid w:val="00966EB2"/>
    <w:rsid w:val="00970C67"/>
    <w:rsid w:val="00974456"/>
    <w:rsid w:val="009913FC"/>
    <w:rsid w:val="00991483"/>
    <w:rsid w:val="0099296D"/>
    <w:rsid w:val="009935AA"/>
    <w:rsid w:val="00993F94"/>
    <w:rsid w:val="009951B2"/>
    <w:rsid w:val="009A039C"/>
    <w:rsid w:val="009A0793"/>
    <w:rsid w:val="009A2859"/>
    <w:rsid w:val="009A30E5"/>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193A"/>
    <w:rsid w:val="00A8209D"/>
    <w:rsid w:val="00A82740"/>
    <w:rsid w:val="00A860C9"/>
    <w:rsid w:val="00A9137F"/>
    <w:rsid w:val="00A9483B"/>
    <w:rsid w:val="00A94F2C"/>
    <w:rsid w:val="00A972E1"/>
    <w:rsid w:val="00AA3F8C"/>
    <w:rsid w:val="00AA6E6B"/>
    <w:rsid w:val="00AB3052"/>
    <w:rsid w:val="00AB4248"/>
    <w:rsid w:val="00AB4520"/>
    <w:rsid w:val="00AB5027"/>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3A52"/>
    <w:rsid w:val="00AD560B"/>
    <w:rsid w:val="00AD5BBB"/>
    <w:rsid w:val="00AE02B5"/>
    <w:rsid w:val="00AE0494"/>
    <w:rsid w:val="00AE0B28"/>
    <w:rsid w:val="00AE0C8D"/>
    <w:rsid w:val="00AE0D50"/>
    <w:rsid w:val="00AE1947"/>
    <w:rsid w:val="00AE242E"/>
    <w:rsid w:val="00AE2D8E"/>
    <w:rsid w:val="00AE46C0"/>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37A8F"/>
    <w:rsid w:val="00B41203"/>
    <w:rsid w:val="00B41500"/>
    <w:rsid w:val="00B5297F"/>
    <w:rsid w:val="00B52E16"/>
    <w:rsid w:val="00B53812"/>
    <w:rsid w:val="00B53C36"/>
    <w:rsid w:val="00B6020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0A47"/>
    <w:rsid w:val="00BB124C"/>
    <w:rsid w:val="00BB17E3"/>
    <w:rsid w:val="00BB1CDB"/>
    <w:rsid w:val="00BB2110"/>
    <w:rsid w:val="00BB3645"/>
    <w:rsid w:val="00BB547E"/>
    <w:rsid w:val="00BB69B7"/>
    <w:rsid w:val="00BC2581"/>
    <w:rsid w:val="00BC3F55"/>
    <w:rsid w:val="00BC4018"/>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5FDC"/>
    <w:rsid w:val="00C22B21"/>
    <w:rsid w:val="00C23593"/>
    <w:rsid w:val="00C23845"/>
    <w:rsid w:val="00C31846"/>
    <w:rsid w:val="00C32A33"/>
    <w:rsid w:val="00C367FB"/>
    <w:rsid w:val="00C41389"/>
    <w:rsid w:val="00C41BB7"/>
    <w:rsid w:val="00C42379"/>
    <w:rsid w:val="00C44004"/>
    <w:rsid w:val="00C445F4"/>
    <w:rsid w:val="00C539F5"/>
    <w:rsid w:val="00C54DF3"/>
    <w:rsid w:val="00C60BF0"/>
    <w:rsid w:val="00C610B6"/>
    <w:rsid w:val="00C6257F"/>
    <w:rsid w:val="00C63117"/>
    <w:rsid w:val="00C640C7"/>
    <w:rsid w:val="00C65784"/>
    <w:rsid w:val="00C67BDD"/>
    <w:rsid w:val="00C70F24"/>
    <w:rsid w:val="00C717F6"/>
    <w:rsid w:val="00C72FD7"/>
    <w:rsid w:val="00C80912"/>
    <w:rsid w:val="00C8155C"/>
    <w:rsid w:val="00C907F0"/>
    <w:rsid w:val="00C93A91"/>
    <w:rsid w:val="00C95601"/>
    <w:rsid w:val="00CA1947"/>
    <w:rsid w:val="00CA1C91"/>
    <w:rsid w:val="00CA323D"/>
    <w:rsid w:val="00CA3549"/>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22A1"/>
    <w:rsid w:val="00CE4AE9"/>
    <w:rsid w:val="00CF41D0"/>
    <w:rsid w:val="00D00CF9"/>
    <w:rsid w:val="00D012FF"/>
    <w:rsid w:val="00D04CD8"/>
    <w:rsid w:val="00D04DEC"/>
    <w:rsid w:val="00D114ED"/>
    <w:rsid w:val="00D1215B"/>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08D7"/>
    <w:rsid w:val="00D7163F"/>
    <w:rsid w:val="00D7298C"/>
    <w:rsid w:val="00D733F5"/>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2D4E"/>
    <w:rsid w:val="00DF3154"/>
    <w:rsid w:val="00DF3188"/>
    <w:rsid w:val="00DF5529"/>
    <w:rsid w:val="00DF6DE8"/>
    <w:rsid w:val="00DF6FB0"/>
    <w:rsid w:val="00DF76B3"/>
    <w:rsid w:val="00DF76F2"/>
    <w:rsid w:val="00E00083"/>
    <w:rsid w:val="00E009E2"/>
    <w:rsid w:val="00E00A0B"/>
    <w:rsid w:val="00E01DE7"/>
    <w:rsid w:val="00E0411F"/>
    <w:rsid w:val="00E0572E"/>
    <w:rsid w:val="00E10005"/>
    <w:rsid w:val="00E1238E"/>
    <w:rsid w:val="00E124B9"/>
    <w:rsid w:val="00E13F21"/>
    <w:rsid w:val="00E1612B"/>
    <w:rsid w:val="00E17515"/>
    <w:rsid w:val="00E20591"/>
    <w:rsid w:val="00E22766"/>
    <w:rsid w:val="00E249E5"/>
    <w:rsid w:val="00E2572E"/>
    <w:rsid w:val="00E2692D"/>
    <w:rsid w:val="00E271C2"/>
    <w:rsid w:val="00E27AC2"/>
    <w:rsid w:val="00E30031"/>
    <w:rsid w:val="00E3175C"/>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262"/>
    <w:rsid w:val="00EA1A40"/>
    <w:rsid w:val="00EA330D"/>
    <w:rsid w:val="00EA5190"/>
    <w:rsid w:val="00EA5F4C"/>
    <w:rsid w:val="00EA6109"/>
    <w:rsid w:val="00EB2688"/>
    <w:rsid w:val="00EB6181"/>
    <w:rsid w:val="00EB664F"/>
    <w:rsid w:val="00EB7E37"/>
    <w:rsid w:val="00EC12E8"/>
    <w:rsid w:val="00EC1357"/>
    <w:rsid w:val="00EC1DF5"/>
    <w:rsid w:val="00EC5ACF"/>
    <w:rsid w:val="00ED22A8"/>
    <w:rsid w:val="00ED2479"/>
    <w:rsid w:val="00ED4EB4"/>
    <w:rsid w:val="00ED5D09"/>
    <w:rsid w:val="00ED7107"/>
    <w:rsid w:val="00EE2221"/>
    <w:rsid w:val="00EE276F"/>
    <w:rsid w:val="00EE2982"/>
    <w:rsid w:val="00EE634F"/>
    <w:rsid w:val="00EF369D"/>
    <w:rsid w:val="00EF38A7"/>
    <w:rsid w:val="00EF4C02"/>
    <w:rsid w:val="00EF6A39"/>
    <w:rsid w:val="00F00B38"/>
    <w:rsid w:val="00F01EBE"/>
    <w:rsid w:val="00F0376E"/>
    <w:rsid w:val="00F044B3"/>
    <w:rsid w:val="00F05E83"/>
    <w:rsid w:val="00F07DC4"/>
    <w:rsid w:val="00F07E05"/>
    <w:rsid w:val="00F10842"/>
    <w:rsid w:val="00F10974"/>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034D"/>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1EC"/>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32D"/>
    <w:rsid w:val="00FC546F"/>
    <w:rsid w:val="00FC6F5E"/>
    <w:rsid w:val="00FC711A"/>
    <w:rsid w:val="00FC7D31"/>
    <w:rsid w:val="00FD13AC"/>
    <w:rsid w:val="00FD2D28"/>
    <w:rsid w:val="00FD6BFE"/>
    <w:rsid w:val="00FE3FF3"/>
    <w:rsid w:val="00FE6D8B"/>
    <w:rsid w:val="00FF459F"/>
    <w:rsid w:val="00FF4D4F"/>
    <w:rsid w:val="00FF4D76"/>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72736"/>
  <w15:docId w15:val="{0C8E8008-B4E0-419F-B1D8-4B102121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TOC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customStyle="1" w:styleId="11">
    <w:name w:val="正文1"/>
    <w:basedOn w:val="a"/>
    <w:rsid w:val="00F01EBE"/>
    <w:pPr>
      <w:widowControl/>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952803">
      <w:bodyDiv w:val="1"/>
      <w:marLeft w:val="0"/>
      <w:marRight w:val="0"/>
      <w:marTop w:val="0"/>
      <w:marBottom w:val="0"/>
      <w:divBdr>
        <w:top w:val="none" w:sz="0" w:space="0" w:color="auto"/>
        <w:left w:val="none" w:sz="0" w:space="0" w:color="auto"/>
        <w:bottom w:val="none" w:sz="0" w:space="0" w:color="auto"/>
        <w:right w:val="none" w:sz="0" w:space="0" w:color="auto"/>
      </w:divBdr>
    </w:div>
    <w:div w:id="89793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8EC734E8-99AB-4E1C-A9C6-2C3C379EC8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145</Pages>
  <Words>15407</Words>
  <Characters>87822</Characters>
  <Application>Microsoft Office Word</Application>
  <DocSecurity>0</DocSecurity>
  <Lines>731</Lines>
  <Paragraphs>206</Paragraphs>
  <ScaleCrop>false</ScaleCrop>
  <Company>Microsoft</Company>
  <LinksUpToDate>false</LinksUpToDate>
  <CharactersWithSpaces>103023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6</cp:revision>
  <cp:lastPrinted>2013-02-18T03:10:00Z</cp:lastPrinted>
  <dcterms:created xsi:type="dcterms:W3CDTF">2021-03-25T07:30:00Z</dcterms:created>
  <dcterms:modified xsi:type="dcterms:W3CDTF">2021-03-26T07:32:00Z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