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31FA2" w14:textId="77777777" w:rsidR="00FC2918" w:rsidRPr="00335FE8" w:rsidRDefault="00880454" w:rsidP="006A53E7">
      <w:pPr>
        <w:jc w:val="center"/>
        <w:rPr>
          <w:rFonts w:ascii="黑体" w:eastAsia="黑体" w:hAnsi="黑体"/>
          <w:b/>
          <w:sz w:val="36"/>
        </w:rPr>
      </w:pPr>
      <w:r w:rsidRPr="00335FE8">
        <w:rPr>
          <w:rFonts w:ascii="黑体" w:eastAsia="黑体" w:hAnsi="黑体" w:hint="eastAsia"/>
          <w:b/>
          <w:sz w:val="36"/>
        </w:rPr>
        <w:t>深证300价值交易型开放式指数证券投资基金</w:t>
      </w:r>
    </w:p>
    <w:p w14:paraId="5B9FD75A" w14:textId="77777777" w:rsidR="00FC2918" w:rsidRPr="00335FE8" w:rsidRDefault="00880454" w:rsidP="006A53E7">
      <w:pPr>
        <w:jc w:val="center"/>
        <w:rPr>
          <w:rFonts w:ascii="黑体" w:eastAsia="黑体" w:hAnsi="黑体"/>
          <w:b/>
          <w:sz w:val="36"/>
        </w:rPr>
      </w:pPr>
      <w:r w:rsidRPr="00335FE8">
        <w:rPr>
          <w:rFonts w:ascii="黑体" w:eastAsia="黑体" w:hAnsi="黑体" w:hint="eastAsia"/>
          <w:b/>
          <w:sz w:val="36"/>
        </w:rPr>
        <w:t>基金产品资料概要更新(2021年第1号)</w:t>
      </w:r>
    </w:p>
    <w:p w14:paraId="417166FD" w14:textId="77777777" w:rsidR="00880454" w:rsidRPr="00335FE8" w:rsidRDefault="00880454" w:rsidP="00880454">
      <w:pPr>
        <w:jc w:val="right"/>
        <w:rPr>
          <w:rFonts w:ascii="仿宋_GB2312" w:eastAsia="仿宋_GB2312" w:hAnsi="宋体" w:cs="宋体"/>
          <w:kern w:val="0"/>
          <w:szCs w:val="21"/>
        </w:rPr>
      </w:pPr>
      <w:r w:rsidRPr="00335FE8">
        <w:rPr>
          <w:rFonts w:ascii="仿宋_GB2312" w:eastAsia="仿宋_GB2312" w:hint="eastAsia"/>
        </w:rPr>
        <w:t>编制日期：</w:t>
      </w:r>
      <w:r w:rsidR="006A53E7" w:rsidRPr="00335FE8">
        <w:rPr>
          <w:rFonts w:ascii="仿宋_GB2312" w:eastAsia="仿宋_GB2312" w:hAnsi="宋体" w:cs="宋体" w:hint="eastAsia"/>
          <w:kern w:val="0"/>
          <w:szCs w:val="21"/>
        </w:rPr>
        <w:t>2021-03-30</w:t>
      </w:r>
    </w:p>
    <w:p w14:paraId="7D15B036" w14:textId="1C413DD7" w:rsidR="00264C81" w:rsidRDefault="00CE33BC" w:rsidP="00264C81">
      <w:pPr>
        <w:spacing w:line="380" w:lineRule="exact"/>
        <w:jc w:val="center"/>
        <w:rPr>
          <w:rFonts w:ascii="方正仿宋简体" w:hAnsi="方正仿宋简体" w:cs="方正仿宋简体"/>
          <w:b/>
          <w:iCs/>
          <w:szCs w:val="21"/>
        </w:rPr>
      </w:pPr>
      <w:r w:rsidRPr="00707445">
        <w:rPr>
          <w:rFonts w:ascii="方正仿宋简体" w:hAnsi="方正仿宋简体"/>
        </w:rPr>
        <w:t>送出日期：</w:t>
      </w:r>
      <w:r w:rsidRPr="00DA7C34">
        <w:rPr>
          <w:rFonts w:ascii="Times New Roman" w:hAnsi="Times New Roman" w:cs="Times New Roman"/>
        </w:rPr>
        <w:t>2021-03-31</w:t>
      </w:r>
      <w:r>
        <w:rPr>
          <w:rFonts w:ascii="方正仿宋简体" w:hAnsi="方正仿宋简体" w:cs="方正仿宋简体" w:hint="eastAsia"/>
          <w:b/>
          <w:iCs/>
          <w:szCs w:val="21"/>
        </w:rPr>
        <w:t xml:space="preserve"> </w:t>
      </w:r>
    </w:p>
    <w:p w14:paraId="3688C948" w14:textId="77777777" w:rsidR="006A53E7" w:rsidRPr="00335FE8" w:rsidRDefault="006A53E7" w:rsidP="00335FE8">
      <w:pPr>
        <w:autoSpaceDE w:val="0"/>
        <w:autoSpaceDN w:val="0"/>
        <w:adjustRightInd w:val="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14:paraId="389EB309" w14:textId="77777777" w:rsidR="006A53E7" w:rsidRPr="00335FE8" w:rsidRDefault="006A53E7" w:rsidP="00335FE8">
      <w:pPr>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14:paraId="3B473EFB" w14:textId="77777777" w:rsidR="006A53E7" w:rsidRPr="00335FE8" w:rsidRDefault="006A53E7" w:rsidP="00401C56">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一、产品概况</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39"/>
        <w:gridCol w:w="1516"/>
        <w:gridCol w:w="3331"/>
        <w:gridCol w:w="1886"/>
      </w:tblGrid>
      <w:tr w:rsidR="00AF7A1E" w:rsidRPr="00335FE8" w14:paraId="09F84DD9" w14:textId="77777777" w:rsidTr="00902522">
        <w:trPr>
          <w:jc w:val="center"/>
        </w:trPr>
        <w:tc>
          <w:tcPr>
            <w:tcW w:w="1843" w:type="dxa"/>
            <w:vAlign w:val="center"/>
          </w:tcPr>
          <w:p w14:paraId="3747ED70" w14:textId="77777777" w:rsidR="00AF7A1E" w:rsidRPr="00335FE8" w:rsidRDefault="00AF7A1E" w:rsidP="00AF7A1E">
            <w:pPr>
              <w:widowControl/>
              <w:jc w:val="left"/>
              <w:rPr>
                <w:rFonts w:ascii="仿宋_GB2312" w:eastAsia="仿宋_GB2312"/>
                <w:szCs w:val="21"/>
              </w:rPr>
            </w:pPr>
            <w:r w:rsidRPr="00335FE8">
              <w:rPr>
                <w:rFonts w:ascii="仿宋_GB2312" w:eastAsia="仿宋_GB2312" w:hint="eastAsia"/>
                <w:szCs w:val="21"/>
              </w:rPr>
              <w:t>基金简称</w:t>
            </w:r>
          </w:p>
        </w:tc>
        <w:tc>
          <w:tcPr>
            <w:tcW w:w="1601" w:type="dxa"/>
            <w:vAlign w:val="center"/>
          </w:tcPr>
          <w:p w14:paraId="5D6CBBC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交银深证300价值ETF</w:t>
            </w:r>
          </w:p>
        </w:tc>
        <w:tc>
          <w:tcPr>
            <w:tcW w:w="3649" w:type="dxa"/>
            <w:vAlign w:val="center"/>
          </w:tcPr>
          <w:p w14:paraId="2F6B9B5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基金代码</w:t>
            </w:r>
          </w:p>
        </w:tc>
        <w:tc>
          <w:tcPr>
            <w:tcW w:w="1275" w:type="dxa"/>
            <w:vAlign w:val="center"/>
          </w:tcPr>
          <w:p w14:paraId="4E32B28B"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159913</w:t>
            </w:r>
          </w:p>
        </w:tc>
      </w:tr>
      <w:tr w:rsidR="00AF7A1E" w:rsidRPr="00335FE8" w14:paraId="41AC4DB8" w14:textId="77777777" w:rsidTr="00902522">
        <w:trPr>
          <w:jc w:val="center"/>
        </w:trPr>
        <w:tc>
          <w:tcPr>
            <w:tcW w:w="1843" w:type="dxa"/>
            <w:vAlign w:val="center"/>
          </w:tcPr>
          <w:p w14:paraId="15CF3F06"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基金管理人</w:t>
            </w:r>
          </w:p>
        </w:tc>
        <w:tc>
          <w:tcPr>
            <w:tcW w:w="1601" w:type="dxa"/>
            <w:vAlign w:val="center"/>
          </w:tcPr>
          <w:p w14:paraId="4AB17DB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交银施罗德基金管理有限公司</w:t>
            </w:r>
          </w:p>
        </w:tc>
        <w:tc>
          <w:tcPr>
            <w:tcW w:w="3649" w:type="dxa"/>
            <w:vAlign w:val="center"/>
          </w:tcPr>
          <w:p w14:paraId="163048E5"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基金托管人</w:t>
            </w:r>
          </w:p>
        </w:tc>
        <w:tc>
          <w:tcPr>
            <w:tcW w:w="1275" w:type="dxa"/>
            <w:vAlign w:val="center"/>
          </w:tcPr>
          <w:p w14:paraId="55693F4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中国农业银行股份有限公司</w:t>
            </w:r>
          </w:p>
        </w:tc>
      </w:tr>
      <w:tr w:rsidR="00AF7A1E" w:rsidRPr="00335FE8" w14:paraId="3ABF0FC0" w14:textId="77777777" w:rsidTr="00902522">
        <w:trPr>
          <w:jc w:val="center"/>
        </w:trPr>
        <w:tc>
          <w:tcPr>
            <w:tcW w:w="1843" w:type="dxa"/>
            <w:vAlign w:val="center"/>
          </w:tcPr>
          <w:p w14:paraId="4009215D"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基金合同生效日</w:t>
            </w:r>
          </w:p>
        </w:tc>
        <w:tc>
          <w:tcPr>
            <w:tcW w:w="1601" w:type="dxa"/>
            <w:vAlign w:val="center"/>
          </w:tcPr>
          <w:p w14:paraId="3951C1D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2011-09-22</w:t>
            </w:r>
          </w:p>
        </w:tc>
        <w:tc>
          <w:tcPr>
            <w:tcW w:w="3649" w:type="dxa"/>
            <w:vAlign w:val="center"/>
          </w:tcPr>
          <w:p w14:paraId="1085C214" w14:textId="222CED92"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上市交易所及上市日期</w:t>
            </w:r>
          </w:p>
        </w:tc>
        <w:tc>
          <w:tcPr>
            <w:tcW w:w="1275" w:type="dxa"/>
            <w:vAlign w:val="center"/>
          </w:tcPr>
          <w:p w14:paraId="7673277E"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深圳证券交易所 /2011-10-25</w:t>
            </w:r>
          </w:p>
        </w:tc>
      </w:tr>
      <w:tr w:rsidR="00AF7A1E" w:rsidRPr="00335FE8" w14:paraId="507652FE" w14:textId="77777777" w:rsidTr="00902522">
        <w:trPr>
          <w:jc w:val="center"/>
        </w:trPr>
        <w:tc>
          <w:tcPr>
            <w:tcW w:w="1843" w:type="dxa"/>
            <w:vAlign w:val="center"/>
          </w:tcPr>
          <w:p w14:paraId="4ECBFFB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基金类型</w:t>
            </w:r>
          </w:p>
        </w:tc>
        <w:tc>
          <w:tcPr>
            <w:tcW w:w="1601" w:type="dxa"/>
            <w:vAlign w:val="center"/>
          </w:tcPr>
          <w:p w14:paraId="031D9D1F"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股票型</w:t>
            </w:r>
          </w:p>
        </w:tc>
        <w:tc>
          <w:tcPr>
            <w:tcW w:w="3649" w:type="dxa"/>
            <w:vAlign w:val="center"/>
          </w:tcPr>
          <w:p w14:paraId="222163FD"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交易币种</w:t>
            </w:r>
          </w:p>
        </w:tc>
        <w:tc>
          <w:tcPr>
            <w:tcW w:w="1275" w:type="dxa"/>
            <w:vAlign w:val="center"/>
          </w:tcPr>
          <w:p w14:paraId="76059D7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人民币</w:t>
            </w:r>
          </w:p>
        </w:tc>
      </w:tr>
      <w:tr w:rsidR="00AF7A1E" w:rsidRPr="00335FE8" w14:paraId="4310B39E" w14:textId="77777777" w:rsidTr="00902522">
        <w:trPr>
          <w:jc w:val="center"/>
        </w:trPr>
        <w:tc>
          <w:tcPr>
            <w:tcW w:w="1843" w:type="dxa"/>
            <w:vAlign w:val="center"/>
          </w:tcPr>
          <w:p w14:paraId="665AAAD2"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运作方式</w:t>
            </w:r>
          </w:p>
        </w:tc>
        <w:tc>
          <w:tcPr>
            <w:tcW w:w="1601" w:type="dxa"/>
            <w:vAlign w:val="center"/>
          </w:tcPr>
          <w:p w14:paraId="3F581E3E"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普通开放式</w:t>
            </w:r>
          </w:p>
        </w:tc>
        <w:tc>
          <w:tcPr>
            <w:tcW w:w="3649" w:type="dxa"/>
            <w:vAlign w:val="center"/>
          </w:tcPr>
          <w:p w14:paraId="328D163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开放频率</w:t>
            </w:r>
          </w:p>
        </w:tc>
        <w:tc>
          <w:tcPr>
            <w:tcW w:w="1275" w:type="dxa"/>
            <w:vAlign w:val="center"/>
          </w:tcPr>
          <w:p w14:paraId="69998F0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每个开放日</w:t>
            </w:r>
          </w:p>
        </w:tc>
      </w:tr>
      <w:tr w:rsidR="006A53E7" w:rsidRPr="00335FE8" w14:paraId="5B2ABDA5" w14:textId="77777777" w:rsidTr="00902522">
        <w:trPr>
          <w:jc w:val="center"/>
        </w:trPr>
        <w:tc>
          <w:tcPr>
            <w:tcW w:w="1843" w:type="dxa"/>
            <w:vMerge w:val="restart"/>
          </w:tcPr>
          <w:p w14:paraId="72C79773"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基金经理</w:t>
            </w:r>
          </w:p>
        </w:tc>
        <w:tc>
          <w:tcPr>
            <w:tcW w:w="1601" w:type="dxa"/>
            <w:vMerge w:val="restart"/>
          </w:tcPr>
          <w:p w14:paraId="6E0A1BEC"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蔡铮</w:t>
            </w:r>
          </w:p>
        </w:tc>
        <w:tc>
          <w:tcPr>
            <w:tcW w:w="3000" w:type="dxa"/>
          </w:tcPr>
          <w:p w14:paraId="14DE2466"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开始担任本基金基金经理的日期</w:t>
            </w:r>
          </w:p>
        </w:tc>
        <w:tc>
          <w:tcPr>
            <w:tcW w:w="2000" w:type="dxa"/>
          </w:tcPr>
          <w:p w14:paraId="292713AE"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2012-12-27</w:t>
            </w:r>
          </w:p>
        </w:tc>
      </w:tr>
      <w:tr w:rsidR="006A53E7" w:rsidRPr="00335FE8" w14:paraId="1621AC04" w14:textId="77777777" w:rsidTr="00902522">
        <w:trPr>
          <w:jc w:val="center"/>
        </w:trPr>
        <w:tc>
          <w:tcPr>
            <w:tcW w:w="2547" w:type="dxa"/>
            <w:vMerge/>
          </w:tcPr>
          <w:p w14:paraId="11BA4F11" w14:textId="77777777" w:rsidR="006A53E7" w:rsidRPr="00335FE8" w:rsidRDefault="006A53E7" w:rsidP="006A53E7">
            <w:pPr>
              <w:jc w:val="left"/>
              <w:rPr>
                <w:rFonts w:ascii="仿宋_GB2312" w:eastAsia="仿宋_GB2312"/>
                <w:szCs w:val="21"/>
              </w:rPr>
            </w:pPr>
          </w:p>
        </w:tc>
        <w:tc>
          <w:tcPr>
            <w:tcW w:w="1601" w:type="dxa"/>
            <w:vMerge/>
          </w:tcPr>
          <w:p w14:paraId="3377F6C6" w14:textId="77777777" w:rsidR="006A53E7" w:rsidRPr="00335FE8" w:rsidRDefault="006A53E7" w:rsidP="006A53E7">
            <w:pPr>
              <w:jc w:val="left"/>
              <w:rPr>
                <w:rFonts w:ascii="仿宋_GB2312" w:eastAsia="仿宋_GB2312"/>
                <w:szCs w:val="21"/>
              </w:rPr>
            </w:pPr>
          </w:p>
        </w:tc>
        <w:tc>
          <w:tcPr>
            <w:tcW w:w="3649" w:type="dxa"/>
          </w:tcPr>
          <w:p w14:paraId="1C42DB3B"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证券从业日期</w:t>
            </w:r>
          </w:p>
        </w:tc>
        <w:tc>
          <w:tcPr>
            <w:tcW w:w="1275" w:type="dxa"/>
          </w:tcPr>
          <w:p w14:paraId="4BE11CFB"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2009-12-14</w:t>
            </w:r>
          </w:p>
        </w:tc>
      </w:tr>
      <w:tr w:rsidR="006A53E7" w:rsidRPr="00335FE8" w14:paraId="523BA655" w14:textId="77777777" w:rsidTr="00902522">
        <w:trPr>
          <w:jc w:val="center"/>
        </w:trPr>
        <w:tc>
          <w:tcPr>
            <w:tcW w:w="2547" w:type="dxa"/>
          </w:tcPr>
          <w:p w14:paraId="24D0DF56" w14:textId="0F151508"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其他</w:t>
            </w:r>
          </w:p>
        </w:tc>
        <w:tc>
          <w:tcPr>
            <w:tcW w:w="6525" w:type="dxa"/>
            <w:gridSpan w:val="3"/>
          </w:tcPr>
          <w:p w14:paraId="4986C4E0" w14:textId="42C36A06" w:rsidR="002E7E5E" w:rsidRPr="00335FE8" w:rsidRDefault="00CE33BC" w:rsidP="006A53E7">
            <w:pPr>
              <w:ind w:firstLine="420"/>
              <w:jc w:val="left"/>
              <w:rPr>
                <w:rFonts w:ascii="仿宋_GB2312" w:eastAsia="仿宋_GB2312"/>
                <w:szCs w:val="21"/>
              </w:rPr>
            </w:pPr>
            <w:r>
              <w:rPr>
                <w:rFonts w:ascii="仿宋_GB2312" w:eastAsia="仿宋_GB2312"/>
                <w:szCs w:val="21"/>
              </w:rPr>
              <w:t>场内简称：深价值；交易代码：159913；申购赎回简称：深价值；申购赎回代码：159913。</w:t>
            </w:r>
          </w:p>
          <w:p w14:paraId="1E15901C" w14:textId="77777777" w:rsidR="002E7E5E" w:rsidRPr="00335FE8" w:rsidRDefault="00CE33BC" w:rsidP="006A53E7">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w:t>
            </w:r>
          </w:p>
        </w:tc>
      </w:tr>
    </w:tbl>
    <w:p w14:paraId="345A75AC" w14:textId="77777777" w:rsidR="00D373CC" w:rsidRPr="00335FE8" w:rsidRDefault="00D373CC" w:rsidP="006A53E7">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二、基金投资与净值表现</w:t>
      </w:r>
    </w:p>
    <w:p w14:paraId="0D6112F1"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（一）投资目标与投资策略</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D373CC" w:rsidRPr="00335FE8" w14:paraId="4447619D" w14:textId="77777777" w:rsidTr="002F5DBC">
        <w:trPr>
          <w:jc w:val="center"/>
        </w:trPr>
        <w:tc>
          <w:tcPr>
            <w:tcW w:w="1701" w:type="dxa"/>
            <w:vAlign w:val="center"/>
          </w:tcPr>
          <w:p w14:paraId="53CF9309" w14:textId="77777777" w:rsidR="00D373CC" w:rsidRPr="00335FE8" w:rsidRDefault="00D373CC" w:rsidP="00D373CC">
            <w:pPr>
              <w:widowControl/>
              <w:jc w:val="left"/>
              <w:rPr>
                <w:rFonts w:ascii="仿宋_GB2312" w:eastAsia="仿宋_GB2312"/>
                <w:szCs w:val="21"/>
              </w:rPr>
            </w:pPr>
            <w:r w:rsidRPr="00335FE8">
              <w:rPr>
                <w:rFonts w:ascii="仿宋_GB2312" w:eastAsia="仿宋_GB2312" w:hint="eastAsia"/>
                <w:szCs w:val="21"/>
              </w:rPr>
              <w:t>投资目标</w:t>
            </w:r>
          </w:p>
        </w:tc>
        <w:tc>
          <w:tcPr>
            <w:tcW w:w="6525" w:type="dxa"/>
            <w:vAlign w:val="center"/>
          </w:tcPr>
          <w:p w14:paraId="0CCFC60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紧密跟踪标的指数，追求跟踪偏离度和跟踪误差最小化。</w:t>
            </w:r>
          </w:p>
        </w:tc>
      </w:tr>
      <w:tr w:rsidR="00D373CC" w:rsidRPr="00335FE8" w14:paraId="14EED4FC" w14:textId="77777777" w:rsidTr="002F5DBC">
        <w:trPr>
          <w:jc w:val="center"/>
        </w:trPr>
        <w:tc>
          <w:tcPr>
            <w:tcW w:w="1701" w:type="dxa"/>
            <w:vAlign w:val="center"/>
          </w:tcPr>
          <w:p w14:paraId="017894D0"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投资范围</w:t>
            </w:r>
          </w:p>
        </w:tc>
        <w:tc>
          <w:tcPr>
            <w:tcW w:w="6525" w:type="dxa"/>
            <w:vAlign w:val="center"/>
          </w:tcPr>
          <w:p w14:paraId="3C4631A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以标的指数成份股、备选成份股为主要投资对象（含中小板股票和创业板股票及其他经中国证监会核准的上市股票、存托凭证），把全部或接近全部的基金资产用于跟踪标的指数的表现，正常情况下指数化投资比例，即投资于标的指数成份股（含存托凭证）和备选成份股（含存托凭证）的资产比例不低于基金资产净值的95%。此外，为更好地实现投资目标，本基金也可少量投资于新股（含存托凭证）、债券、回购、权证及中国证监会允许基金投资的其它金融工具（但须符合中国证监会的相关规定）。 如因标的指数成份股调整、基金份额申购赎回清单内现金替代、现金差额等因素导致基金投资比例不符合上述标准的，基金管理人将在10个交易日内进行调整。法律法规或监管机构日后允许本基金投资其他品种，基金管理人在履行适当程序后，可以将其纳入投资范围。</w:t>
            </w:r>
          </w:p>
          <w:p w14:paraId="6BEC99D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本基金标的指数为深证300价值价格指数。</w:t>
            </w:r>
          </w:p>
        </w:tc>
      </w:tr>
      <w:tr w:rsidR="00D373CC" w:rsidRPr="00335FE8" w14:paraId="63197BEA" w14:textId="77777777" w:rsidTr="002F5DBC">
        <w:trPr>
          <w:jc w:val="center"/>
        </w:trPr>
        <w:tc>
          <w:tcPr>
            <w:tcW w:w="1701" w:type="dxa"/>
            <w:vAlign w:val="center"/>
          </w:tcPr>
          <w:p w14:paraId="296D73F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主要投资策略</w:t>
            </w:r>
          </w:p>
        </w:tc>
        <w:tc>
          <w:tcPr>
            <w:tcW w:w="6525" w:type="dxa"/>
            <w:vAlign w:val="center"/>
          </w:tcPr>
          <w:p w14:paraId="6ED64E0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本基金绝大部分资产采用完全复制法，跟踪深证300价值价格指数，以完全按照标的指数成份股组成及其权重构建基金股票投资组合为原则，进行</w:t>
            </w:r>
            <w:r w:rsidRPr="00335FE8">
              <w:rPr>
                <w:rFonts w:ascii="仿宋_GB2312" w:eastAsia="仿宋_GB2312" w:hint="eastAsia"/>
                <w:szCs w:val="21"/>
              </w:rPr>
              <w:lastRenderedPageBreak/>
              <w:t>被动式指数化投资。</w:t>
            </w:r>
          </w:p>
          <w:p w14:paraId="2E7B5D1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股票在投资组合中的权重原则上根据标的指数成份股及其权重的变动而进行相应调整。当预期成份股发生调整和成份股发生配股、增发、分红等行为时，或因基金的申购和赎回等对本基金跟踪标的指数的效果可能带来影响时，或因某些特殊情况导致流动性不足时，或其他原因导致无法有效复制和跟踪标的指数时，基金管理人可以对投资组合管理进行适当变通和调整，从而使得投资组合紧密地跟踪标的指数。</w:t>
            </w:r>
          </w:p>
          <w:p w14:paraId="4DAF4EB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本基金投资存托凭证的策略依照境内上市交易的股票投资策略执行。</w:t>
            </w:r>
          </w:p>
        </w:tc>
      </w:tr>
      <w:tr w:rsidR="00D373CC" w:rsidRPr="00335FE8" w14:paraId="3F86C3D9" w14:textId="77777777" w:rsidTr="002F5DBC">
        <w:trPr>
          <w:jc w:val="center"/>
        </w:trPr>
        <w:tc>
          <w:tcPr>
            <w:tcW w:w="1701" w:type="dxa"/>
            <w:vAlign w:val="center"/>
          </w:tcPr>
          <w:p w14:paraId="63B3B79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lastRenderedPageBreak/>
              <w:t>业绩比较基准</w:t>
            </w:r>
          </w:p>
        </w:tc>
        <w:tc>
          <w:tcPr>
            <w:tcW w:w="6525" w:type="dxa"/>
            <w:vAlign w:val="center"/>
          </w:tcPr>
          <w:p w14:paraId="596C8D8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深证300价值价格指数</w:t>
            </w:r>
          </w:p>
        </w:tc>
      </w:tr>
      <w:tr w:rsidR="00D373CC" w:rsidRPr="00335FE8" w14:paraId="02684CF9" w14:textId="77777777" w:rsidTr="002F5DBC">
        <w:trPr>
          <w:jc w:val="center"/>
        </w:trPr>
        <w:tc>
          <w:tcPr>
            <w:tcW w:w="1701" w:type="dxa"/>
            <w:vAlign w:val="center"/>
          </w:tcPr>
          <w:p w14:paraId="3014255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风险收益特征</w:t>
            </w:r>
          </w:p>
        </w:tc>
        <w:tc>
          <w:tcPr>
            <w:tcW w:w="6525" w:type="dxa"/>
            <w:vAlign w:val="center"/>
          </w:tcPr>
          <w:p w14:paraId="347DC72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本基金属于股票基金，风险与预期收益高于混合基金、债券基金与货币市场基金。同时本基金为指数型基金，具有与标的指数、以及标的指数所代表的股票市场相似的风险收益特征。</w:t>
            </w:r>
          </w:p>
        </w:tc>
      </w:tr>
    </w:tbl>
    <w:p w14:paraId="765DA506" w14:textId="2F4E3BF8"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注：</w:t>
      </w:r>
      <w:r w:rsidRPr="00335FE8">
        <w:rPr>
          <w:rFonts w:ascii="仿宋_GB2312" w:eastAsia="仿宋_GB2312" w:hint="eastAsia"/>
          <w:szCs w:val="21"/>
        </w:rPr>
        <w:t>详见《深证300价值交易型开放式指数证券投资基金招募说明书》第十部分“基金的投资”。</w:t>
      </w:r>
    </w:p>
    <w:p w14:paraId="2D6FCA2C" w14:textId="5F15B58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（二）投资组合资产配置图表/区域配置图表</w:t>
      </w:r>
    </w:p>
    <w:p w14:paraId="036A97A3" w14:textId="20752D4E" w:rsidR="00D373CC" w:rsidRPr="00335FE8" w:rsidRDefault="00B40BFA" w:rsidP="00D373CC">
      <w:pPr>
        <w:jc w:val="center"/>
        <w:rPr>
          <w:rFonts w:ascii="仿宋_GB2312" w:eastAsia="仿宋_GB2312"/>
          <w:b/>
          <w:szCs w:val="21"/>
        </w:rPr>
      </w:pPr>
      <w:r>
        <w:rPr>
          <w:rFonts w:ascii="宋体" w:hAnsi="宋体"/>
          <w:kern w:val="0"/>
        </w:rPr>
        <w:pict w14:anchorId="54FA80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249.75pt">
            <v:imagedata r:id="rId7" o:title="1521256610242020828"/>
          </v:shape>
        </w:pict>
      </w:r>
    </w:p>
    <w:p w14:paraId="2C461EB7" w14:textId="14CCC354" w:rsidR="00D373CC" w:rsidRPr="00335FE8" w:rsidRDefault="00D373CC" w:rsidP="00D373CC">
      <w:pPr>
        <w:ind w:firstLine="420"/>
        <w:jc w:val="left"/>
        <w:rPr>
          <w:rFonts w:ascii="仿宋_GB2312" w:eastAsia="仿宋_GB2312"/>
          <w:szCs w:val="21"/>
        </w:rPr>
      </w:pPr>
      <w:r w:rsidRPr="00335FE8">
        <w:rPr>
          <w:rFonts w:ascii="仿宋_GB2312" w:eastAsia="仿宋_GB2312" w:hint="eastAsia"/>
          <w:szCs w:val="21"/>
        </w:rPr>
        <w:t>注：由于四舍五入的原因，分项之和与合计项之间可能存在尾差。</w:t>
      </w:r>
    </w:p>
    <w:p w14:paraId="34ABB93A" w14:textId="10658C16"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（三）</w:t>
      </w:r>
      <w:r w:rsidRPr="0090269C">
        <w:rPr>
          <w:rFonts w:ascii="仿宋_GB2312" w:eastAsia="仿宋_GB2312" w:hint="eastAsia"/>
          <w:b/>
          <w:szCs w:val="21"/>
        </w:rPr>
        <w:t>自基金合同生效以来/最近十年（孰短）基金每年的净值增长率及与同期业绩比较基准的比较图</w:t>
      </w:r>
    </w:p>
    <w:p w14:paraId="0ADE1D74" w14:textId="77777777" w:rsidR="00D373CC" w:rsidRPr="00335FE8" w:rsidRDefault="00B40BFA" w:rsidP="00D373CC">
      <w:pPr>
        <w:jc w:val="center"/>
        <w:rPr>
          <w:rFonts w:ascii="仿宋_GB2312" w:eastAsia="仿宋_GB2312"/>
          <w:b/>
          <w:szCs w:val="21"/>
        </w:rPr>
      </w:pPr>
      <w:r>
        <w:rPr>
          <w:rFonts w:ascii="宋体" w:hAnsi="宋体"/>
          <w:kern w:val="0"/>
        </w:rPr>
        <w:pict w14:anchorId="54FA80B1">
          <v:shape id="_x0000_i1026" type="#_x0000_t75" style="width:499.5pt;height:159.75pt">
            <v:imagedata r:id="rId8" o:title="1521256610242020828"/>
          </v:shape>
        </w:pict>
      </w:r>
    </w:p>
    <w:p w14:paraId="08806D3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注：1、净值表现数据的截止日为2019年12月31日。</w:t>
      </w:r>
    </w:p>
    <w:p w14:paraId="41EBA17D"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2、本基金合同于2011年9月22日生效，合同生效当年净值增长率按实际存续期计算。</w:t>
      </w:r>
    </w:p>
    <w:p w14:paraId="079F1A92" w14:textId="77777777" w:rsidR="00F811C4" w:rsidRPr="00335FE8" w:rsidRDefault="00F811C4" w:rsidP="00F811C4">
      <w:pPr>
        <w:ind w:left="420" w:firstLineChars="200" w:firstLine="420"/>
        <w:jc w:val="left"/>
        <w:rPr>
          <w:rFonts w:ascii="仿宋_GB2312" w:eastAsia="仿宋_GB2312"/>
          <w:szCs w:val="21"/>
        </w:rPr>
      </w:pPr>
      <w:r w:rsidRPr="00335FE8">
        <w:rPr>
          <w:rFonts w:ascii="仿宋_GB2312" w:eastAsia="仿宋_GB2312" w:hint="eastAsia"/>
          <w:szCs w:val="21"/>
        </w:rPr>
        <w:t>3、基金的过往业绩不代表未来表现。</w:t>
      </w:r>
    </w:p>
    <w:p w14:paraId="4BA20981"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三、投资本基金涉及的费用</w:t>
      </w:r>
    </w:p>
    <w:p w14:paraId="22537CEC"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（一）基金销售相关费用</w:t>
      </w:r>
    </w:p>
    <w:p w14:paraId="77EC2227"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lastRenderedPageBreak/>
        <w:t>以下费用在认购/申购/赎回基金过程中收取：</w:t>
      </w:r>
    </w:p>
    <w:p w14:paraId="7DCB0490"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t>注：1、投资者在申购或赎回基金份额时，申购赎回代理券商可按照不超过申购或赎回份额0.5%的标准收取佣金。2、场内交易费用以证券公司实际收取为准。</w:t>
      </w:r>
    </w:p>
    <w:p w14:paraId="5B9FDF7A"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（二）基金运作相关费用</w:t>
      </w:r>
    </w:p>
    <w:p w14:paraId="1F4D3E0A" w14:textId="77777777"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以下费用将从基金资产中扣除：</w:t>
      </w:r>
    </w:p>
    <w:tbl>
      <w:tblPr>
        <w:tblStyle w:val="a8"/>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547"/>
        <w:gridCol w:w="5958"/>
      </w:tblGrid>
      <w:tr w:rsidR="00F811C4" w:rsidRPr="00335FE8" w14:paraId="0B7A00CC" w14:textId="77777777" w:rsidTr="009F4EAE">
        <w:trPr>
          <w:jc w:val="center"/>
        </w:trPr>
        <w:tc>
          <w:tcPr>
            <w:tcW w:w="2547" w:type="dxa"/>
          </w:tcPr>
          <w:p w14:paraId="7151BCA1" w14:textId="77777777" w:rsidR="00F811C4" w:rsidRPr="009F4EAE" w:rsidRDefault="00F811C4" w:rsidP="00D373CC">
            <w:pPr>
              <w:rPr>
                <w:rFonts w:ascii="仿宋_GB2312" w:eastAsia="仿宋_GB2312"/>
                <w:b/>
                <w:szCs w:val="21"/>
              </w:rPr>
            </w:pPr>
            <w:r w:rsidRPr="009F4EAE">
              <w:rPr>
                <w:rFonts w:ascii="仿宋_GB2312" w:eastAsia="仿宋_GB2312" w:hint="eastAsia"/>
                <w:b/>
                <w:szCs w:val="21"/>
              </w:rPr>
              <w:t>费用类别</w:t>
            </w:r>
          </w:p>
        </w:tc>
        <w:tc>
          <w:tcPr>
            <w:tcW w:w="5958" w:type="dxa"/>
            <w:vAlign w:val="center"/>
          </w:tcPr>
          <w:p w14:paraId="67BE52C3" w14:textId="77777777" w:rsidR="00F811C4" w:rsidRPr="009F4EAE" w:rsidRDefault="00F811C4" w:rsidP="00D373CC">
            <w:pPr>
              <w:rPr>
                <w:rFonts w:ascii="仿宋_GB2312" w:eastAsia="仿宋_GB2312"/>
                <w:b/>
                <w:szCs w:val="21"/>
              </w:rPr>
            </w:pPr>
            <w:r w:rsidRPr="009F4EAE">
              <w:rPr>
                <w:rFonts w:ascii="仿宋_GB2312" w:eastAsia="仿宋_GB2312" w:hAnsi="宋体" w:cs="宋体" w:hint="eastAsia"/>
                <w:b/>
                <w:kern w:val="0"/>
                <w:szCs w:val="21"/>
              </w:rPr>
              <w:t>收费方式</w:t>
            </w:r>
            <w:r w:rsidRPr="009F4EAE">
              <w:rPr>
                <w:rFonts w:ascii="仿宋_GB2312" w:eastAsia="仿宋_GB2312" w:cs="FZFSJW--GB1-0" w:hint="eastAsia"/>
                <w:b/>
                <w:kern w:val="0"/>
                <w:szCs w:val="21"/>
              </w:rPr>
              <w:t>/</w:t>
            </w:r>
            <w:r w:rsidRPr="009F4EAE">
              <w:rPr>
                <w:rFonts w:ascii="仿宋_GB2312" w:eastAsia="仿宋_GB2312" w:hAnsi="宋体" w:cs="宋体" w:hint="eastAsia"/>
                <w:b/>
                <w:kern w:val="0"/>
                <w:szCs w:val="21"/>
              </w:rPr>
              <w:t>年费率</w:t>
            </w:r>
          </w:p>
        </w:tc>
      </w:tr>
      <w:tr w:rsidR="00D373CC" w:rsidRPr="00335FE8" w14:paraId="050F7CBC" w14:textId="77777777" w:rsidTr="009F4EAE">
        <w:trPr>
          <w:jc w:val="center"/>
        </w:trPr>
        <w:tc>
          <w:tcPr>
            <w:tcW w:w="2547" w:type="dxa"/>
          </w:tcPr>
          <w:p w14:paraId="627D528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管理费</w:t>
            </w:r>
          </w:p>
        </w:tc>
        <w:tc>
          <w:tcPr>
            <w:tcW w:w="5958" w:type="dxa"/>
            <w:vAlign w:val="center"/>
          </w:tcPr>
          <w:p w14:paraId="7CD4A6CA"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0.50%</w:t>
            </w:r>
          </w:p>
        </w:tc>
      </w:tr>
      <w:tr w:rsidR="00D373CC" w:rsidRPr="00335FE8" w14:paraId="360B9378" w14:textId="77777777" w:rsidTr="009F4EAE">
        <w:trPr>
          <w:jc w:val="center"/>
        </w:trPr>
        <w:tc>
          <w:tcPr>
            <w:tcW w:w="2547" w:type="dxa"/>
          </w:tcPr>
          <w:p w14:paraId="3E30FAC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托管费</w:t>
            </w:r>
          </w:p>
        </w:tc>
        <w:tc>
          <w:tcPr>
            <w:tcW w:w="5958" w:type="dxa"/>
            <w:vAlign w:val="center"/>
          </w:tcPr>
          <w:p w14:paraId="7810C2B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0.10%</w:t>
            </w:r>
          </w:p>
        </w:tc>
      </w:tr>
      <w:tr w:rsidR="00D373CC" w:rsidRPr="00335FE8" w14:paraId="628A527D" w14:textId="77777777" w:rsidTr="009F4EAE">
        <w:trPr>
          <w:jc w:val="center"/>
        </w:trPr>
        <w:tc>
          <w:tcPr>
            <w:tcW w:w="2547" w:type="dxa"/>
          </w:tcPr>
          <w:p w14:paraId="75252F18" w14:textId="5B1996D3" w:rsidR="00D373CC" w:rsidRPr="00335FE8" w:rsidRDefault="00D373CC" w:rsidP="009C0C41">
            <w:pPr>
              <w:jc w:val="left"/>
              <w:rPr>
                <w:rFonts w:ascii="仿宋_GB2312" w:eastAsia="仿宋_GB2312"/>
                <w:szCs w:val="21"/>
              </w:rPr>
            </w:pPr>
            <w:r w:rsidRPr="00335FE8">
              <w:rPr>
                <w:rFonts w:ascii="仿宋_GB2312" w:eastAsia="仿宋_GB2312" w:hint="eastAsia"/>
                <w:szCs w:val="21"/>
              </w:rPr>
              <w:t>销售服务费</w:t>
            </w:r>
          </w:p>
        </w:tc>
        <w:tc>
          <w:tcPr>
            <w:tcW w:w="5958" w:type="dxa"/>
            <w:vAlign w:val="center"/>
          </w:tcPr>
          <w:p w14:paraId="2E8C9704"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w:t>
            </w:r>
          </w:p>
        </w:tc>
      </w:tr>
      <w:tr w:rsidR="00D373CC" w:rsidRPr="00335FE8" w14:paraId="214756FC" w14:textId="77777777" w:rsidTr="009F4EAE">
        <w:trPr>
          <w:jc w:val="center"/>
        </w:trPr>
        <w:tc>
          <w:tcPr>
            <w:tcW w:w="2547" w:type="dxa"/>
          </w:tcPr>
          <w:p w14:paraId="707B0AF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其他费用</w:t>
            </w:r>
          </w:p>
        </w:tc>
        <w:tc>
          <w:tcPr>
            <w:tcW w:w="5958" w:type="dxa"/>
            <w:vAlign w:val="center"/>
          </w:tcPr>
          <w:p w14:paraId="3B615D5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详见本基金招募说明书“基金的费用与税收”部分</w:t>
            </w:r>
          </w:p>
        </w:tc>
      </w:tr>
    </w:tbl>
    <w:p w14:paraId="22D06377" w14:textId="77777777" w:rsidR="00D373CC" w:rsidRPr="00335FE8" w:rsidRDefault="00F811C4" w:rsidP="00D373CC">
      <w:pPr>
        <w:jc w:val="left"/>
        <w:rPr>
          <w:rFonts w:ascii="仿宋_GB2312" w:eastAsia="仿宋_GB2312"/>
          <w:szCs w:val="21"/>
        </w:rPr>
      </w:pPr>
      <w:r w:rsidRPr="00335FE8">
        <w:rPr>
          <w:rFonts w:ascii="仿宋_GB2312" w:eastAsia="仿宋_GB2312" w:hint="eastAsia"/>
          <w:szCs w:val="21"/>
        </w:rPr>
        <w:t>注：本基金交易证券、基金等产生的费用和税负，按实际发生额从基金资产扣除。</w:t>
      </w:r>
    </w:p>
    <w:p w14:paraId="0BBEF66D" w14:textId="77777777" w:rsidR="00F811C4" w:rsidRPr="00335FE8" w:rsidRDefault="00F811C4"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四、风险揭示与重要提示</w:t>
      </w:r>
    </w:p>
    <w:p w14:paraId="3800699F"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（一）风险揭示</w:t>
      </w:r>
    </w:p>
    <w:p w14:paraId="02E0D12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本基金不提供任何保证。投资者可能损失投资本金。</w:t>
      </w:r>
    </w:p>
    <w:p w14:paraId="48E0BCB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投资有风险，投资者购买基金时应认真阅读本基金的《招募说明书》等销售文件。</w:t>
      </w:r>
    </w:p>
    <w:p w14:paraId="70B58B8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基金份额持有人须了解并承受以下风险：</w:t>
      </w:r>
    </w:p>
    <w:p w14:paraId="7FB6B75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1、市场风险</w:t>
      </w:r>
    </w:p>
    <w:p w14:paraId="1FA3B99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（1）政策风险、（2）经济周期风险、（3）利率风险、（4）上市公司经营风险、（5）购买力风险</w:t>
      </w:r>
    </w:p>
    <w:p w14:paraId="671429A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2、投资本基金的特有风险</w:t>
      </w:r>
    </w:p>
    <w:p w14:paraId="0B8FBEC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8）基金份额二级市场交易价格折溢价的风险、（9）参考IOPV决策和IOPV计算错误的风险、（10）退市风险、（11）投资者申购失败的风险、（12）投资者赎回失败的风险、（13）基金份额赎回对价的变现风险、（14）本基金可投资创业板股票，创业板个股上市后的前五个交易日不设价格涨跌幅限制，第六个交易日开始涨跌幅限制比例为20%。</w:t>
      </w:r>
    </w:p>
    <w:p w14:paraId="24974FA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3、流动性风险</w:t>
      </w:r>
    </w:p>
    <w:p w14:paraId="5BD6C42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4、投资存托凭证的特定风险</w:t>
      </w:r>
    </w:p>
    <w:p w14:paraId="5930F9B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46E9D07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12EFCC1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本基金可根据投资策略需要或市场环境的变化，选择将部分基金资产投资于存托凭证或选择不将基金资产投资于存托凭证，基金资产并非必然投资存托凭证。</w:t>
      </w:r>
    </w:p>
    <w:p w14:paraId="147533D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5、其他风险</w:t>
      </w:r>
    </w:p>
    <w:p w14:paraId="045E54BB"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（二）重要提示</w:t>
      </w:r>
    </w:p>
    <w:p w14:paraId="4277768F" w14:textId="507539DD"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中国证监会对本基金募集的核准或注册，并不表明其对本基金的价值和收益作出实质性判断或保证，也不表明投资于本基金没有风险。</w:t>
      </w:r>
    </w:p>
    <w:p w14:paraId="6F51D23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基金管理人依照恪尽职守、诚实信用、谨慎勤勉的原则管理和运用基金财产，但不保证基金一定盈利，也不保证最低收益。</w:t>
      </w:r>
    </w:p>
    <w:p w14:paraId="30FB248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2DB656F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lastRenderedPageBreak/>
        <w:t>销售机构的风险等级评价与基金法律文件中风险收益特征的表述可能存在不同，投资人在购买本基金时需按照销售机构的要求完成风险承受能力与产品风险之间的匹配检验。</w:t>
      </w:r>
    </w:p>
    <w:p w14:paraId="47342E55" w14:textId="77777777" w:rsidR="00F811C4" w:rsidRPr="00B40BFA" w:rsidRDefault="00F811C4" w:rsidP="00F811C4">
      <w:pPr>
        <w:ind w:firstLine="420"/>
        <w:jc w:val="left"/>
        <w:rPr>
          <w:rFonts w:ascii="仿宋_GB2312" w:eastAsia="仿宋_GB2312"/>
          <w:b/>
          <w:szCs w:val="21"/>
        </w:rPr>
      </w:pPr>
      <w:bookmarkStart w:id="0" w:name="_GoBack"/>
      <w:r w:rsidRPr="00B40BFA">
        <w:rPr>
          <w:rFonts w:ascii="仿宋_GB2312" w:eastAsia="仿宋_GB2312" w:hint="eastAsia"/>
          <w:b/>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14:paraId="37E2477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7EDCC991" w14:textId="77777777" w:rsidR="00F811C4" w:rsidRPr="00335FE8" w:rsidRDefault="00F811C4" w:rsidP="00F811C4">
      <w:pPr>
        <w:ind w:firstLine="420"/>
        <w:jc w:val="left"/>
        <w:rPr>
          <w:rFonts w:ascii="仿宋_GB2312" w:eastAsia="仿宋_GB2312"/>
          <w:szCs w:val="21"/>
        </w:rPr>
      </w:pPr>
    </w:p>
    <w:p w14:paraId="40300229"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五、其他资料查询方式</w:t>
      </w:r>
    </w:p>
    <w:p w14:paraId="772DACF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以下资料详见交银施罗德基金官方网站[www.fund001.com][客服电话：400-700-5000]</w:t>
      </w:r>
    </w:p>
    <w:p w14:paraId="2E528D1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●《深证300价值交易型开放式指数证券投资基金基金合同》、</w:t>
      </w:r>
    </w:p>
    <w:p w14:paraId="2FFAF50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《深证300价值交易型开放式指数证券投资基金托管协议》、</w:t>
      </w:r>
    </w:p>
    <w:p w14:paraId="499719A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《深证300价值交易型开放式指数证券投资基金招募说明书》</w:t>
      </w:r>
    </w:p>
    <w:p w14:paraId="44C0357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●定期报告，包括基金季度报告、中期报告和年度报告</w:t>
      </w:r>
    </w:p>
    <w:p w14:paraId="1CD11F7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●基金份额净值</w:t>
      </w:r>
    </w:p>
    <w:p w14:paraId="1DB0889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●基金销售机构及联系方式</w:t>
      </w:r>
    </w:p>
    <w:p w14:paraId="1874244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●其他重要资料</w:t>
      </w:r>
    </w:p>
    <w:p w14:paraId="3AA180F4"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六、其他情况说明</w:t>
      </w:r>
    </w:p>
    <w:p w14:paraId="60DCE87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无。</w:t>
      </w:r>
    </w:p>
    <w:sectPr w:rsidR="00F811C4" w:rsidRPr="00335FE8" w:rsidSect="00B14125">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15047" w14:textId="77777777" w:rsidR="00D8311B" w:rsidRDefault="00D8311B" w:rsidP="00880454">
      <w:r>
        <w:separator/>
      </w:r>
    </w:p>
  </w:endnote>
  <w:endnote w:type="continuationSeparator" w:id="0">
    <w:p w14:paraId="2F0BC160" w14:textId="77777777" w:rsidR="00D8311B" w:rsidRDefault="00D8311B" w:rsidP="0088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font>
  <w:font w:name="方正仿宋简体">
    <w:altName w:val="微软雅黑"/>
    <w:charset w:val="86"/>
    <w:family w:val="auto"/>
    <w:pitch w:val="default"/>
    <w:sig w:usb0="00000001" w:usb1="080E0000" w:usb2="00000010" w:usb3="00000000" w:csb0="00040000" w:csb1="00000000"/>
  </w:font>
  <w:font w:name="FZHTJW--GB1-0">
    <w:panose1 w:val="00000000000000000000"/>
    <w:charset w:val="00"/>
    <w:family w:val="roman"/>
    <w:notTrueType/>
    <w:pitch w:val="default"/>
  </w:font>
  <w:font w:name="FZFSJW--GB1-0">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B6E7E" w14:textId="77777777" w:rsidR="00D8311B" w:rsidRDefault="00D8311B" w:rsidP="00880454">
      <w:r>
        <w:separator/>
      </w:r>
    </w:p>
  </w:footnote>
  <w:footnote w:type="continuationSeparator" w:id="0">
    <w:p w14:paraId="26058162" w14:textId="77777777" w:rsidR="00D8311B" w:rsidRDefault="00D8311B" w:rsidP="008804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2F48FB"/>
    <w:multiLevelType w:val="hybridMultilevel"/>
    <w:tmpl w:val="0356483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40BFA"/>
    <w:rsid w:val="00C0525C"/>
    <w:rsid w:val="00CD7637"/>
    <w:rsid w:val="00CE33BC"/>
    <w:rsid w:val="00D04A15"/>
    <w:rsid w:val="00D373CC"/>
    <w:rsid w:val="00D8311B"/>
    <w:rsid w:val="00DB319C"/>
    <w:rsid w:val="00E51B6D"/>
    <w:rsid w:val="00F75715"/>
    <w:rsid w:val="00F811C4"/>
    <w:rsid w:val="00FC2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01BD8"/>
  <w15:chartTrackingRefBased/>
  <w15:docId w15:val="{4C2EDFB4-CD90-4747-B744-A356E158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80454"/>
    <w:rPr>
      <w:sz w:val="18"/>
      <w:szCs w:val="18"/>
    </w:rPr>
  </w:style>
  <w:style w:type="paragraph" w:styleId="a5">
    <w:name w:val="footer"/>
    <w:basedOn w:val="a"/>
    <w:link w:val="a6"/>
    <w:uiPriority w:val="99"/>
    <w:unhideWhenUsed/>
    <w:rsid w:val="00880454"/>
    <w:pPr>
      <w:tabs>
        <w:tab w:val="center" w:pos="4153"/>
        <w:tab w:val="right" w:pos="8306"/>
      </w:tabs>
      <w:snapToGrid w:val="0"/>
      <w:jc w:val="left"/>
    </w:pPr>
    <w:rPr>
      <w:sz w:val="18"/>
      <w:szCs w:val="18"/>
    </w:rPr>
  </w:style>
  <w:style w:type="character" w:customStyle="1" w:styleId="a6">
    <w:name w:val="页脚 字符"/>
    <w:basedOn w:val="a0"/>
    <w:link w:val="a5"/>
    <w:uiPriority w:val="99"/>
    <w:rsid w:val="00880454"/>
    <w:rPr>
      <w:sz w:val="18"/>
      <w:szCs w:val="18"/>
    </w:rPr>
  </w:style>
  <w:style w:type="paragraph" w:styleId="a7">
    <w:name w:val="List Paragraph"/>
    <w:basedOn w:val="a"/>
    <w:uiPriority w:val="34"/>
    <w:qFormat/>
    <w:rsid w:val="006A53E7"/>
    <w:pPr>
      <w:ind w:firstLineChars="200" w:firstLine="420"/>
    </w:pPr>
  </w:style>
  <w:style w:type="table" w:styleId="a8">
    <w:name w:val="Table Grid"/>
    <w:basedOn w:val="a1"/>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AF7A1E"/>
    <w:rPr>
      <w:sz w:val="21"/>
      <w:szCs w:val="21"/>
    </w:rPr>
  </w:style>
  <w:style w:type="paragraph" w:styleId="aa">
    <w:name w:val="annotation text"/>
    <w:basedOn w:val="a"/>
    <w:link w:val="ab"/>
    <w:uiPriority w:val="99"/>
    <w:semiHidden/>
    <w:unhideWhenUsed/>
    <w:rsid w:val="00AF7A1E"/>
    <w:pPr>
      <w:jc w:val="left"/>
    </w:pPr>
  </w:style>
  <w:style w:type="character" w:customStyle="1" w:styleId="ab">
    <w:name w:val="批注文字 字符"/>
    <w:basedOn w:val="a0"/>
    <w:link w:val="aa"/>
    <w:uiPriority w:val="99"/>
    <w:semiHidden/>
    <w:rsid w:val="00AF7A1E"/>
  </w:style>
  <w:style w:type="paragraph" w:styleId="ac">
    <w:name w:val="annotation subject"/>
    <w:basedOn w:val="aa"/>
    <w:next w:val="aa"/>
    <w:link w:val="ad"/>
    <w:uiPriority w:val="99"/>
    <w:semiHidden/>
    <w:unhideWhenUsed/>
    <w:rsid w:val="00AF7A1E"/>
    <w:rPr>
      <w:b/>
      <w:bCs/>
    </w:rPr>
  </w:style>
  <w:style w:type="character" w:customStyle="1" w:styleId="ad">
    <w:name w:val="批注主题 字符"/>
    <w:basedOn w:val="ab"/>
    <w:link w:val="ac"/>
    <w:uiPriority w:val="99"/>
    <w:semiHidden/>
    <w:rsid w:val="00AF7A1E"/>
    <w:rPr>
      <w:b/>
      <w:bCs/>
    </w:rPr>
  </w:style>
  <w:style w:type="paragraph" w:styleId="ae">
    <w:name w:val="Balloon Text"/>
    <w:basedOn w:val="a"/>
    <w:link w:val="af"/>
    <w:uiPriority w:val="99"/>
    <w:semiHidden/>
    <w:unhideWhenUsed/>
    <w:rsid w:val="00AF7A1E"/>
    <w:rPr>
      <w:sz w:val="18"/>
      <w:szCs w:val="18"/>
    </w:rPr>
  </w:style>
  <w:style w:type="character" w:customStyle="1" w:styleId="af">
    <w:name w:val="批注框文本 字符"/>
    <w:basedOn w:val="a0"/>
    <w:link w:val="ae"/>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531</Words>
  <Characters>3027</Characters>
  <Application>Microsoft Office Word</Application>
  <DocSecurity>0</DocSecurity>
  <Lines>25</Lines>
  <Paragraphs>7</Paragraphs>
  <ScaleCrop>false</ScaleCrop>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张婕茹</cp:lastModifiedBy>
  <cp:revision>3</cp:revision>
  <dcterms:created xsi:type="dcterms:W3CDTF">2021-03-30T01:14:00Z</dcterms:created>
  <dcterms:modified xsi:type="dcterms:W3CDTF">2021-03-30T07:52:00Z</dcterms:modified>
</cp:coreProperties>
</file>