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C452" w14:textId="77777777" w:rsidR="004B247A" w:rsidRPr="00EB07BC" w:rsidRDefault="004B247A">
      <w:pPr>
        <w:rPr>
          <w:sz w:val="32"/>
        </w:rPr>
      </w:pPr>
    </w:p>
    <w:p w14:paraId="148340A1" w14:textId="77777777" w:rsidR="004B247A" w:rsidRPr="00EB07BC" w:rsidRDefault="004B247A">
      <w:pPr>
        <w:rPr>
          <w:sz w:val="32"/>
        </w:rPr>
      </w:pPr>
    </w:p>
    <w:p w14:paraId="0A5314DE" w14:textId="77777777" w:rsidR="004B247A" w:rsidRPr="00EB07BC" w:rsidRDefault="004B247A">
      <w:pPr>
        <w:rPr>
          <w:sz w:val="32"/>
        </w:rPr>
      </w:pPr>
    </w:p>
    <w:p w14:paraId="30543ADA" w14:textId="41CD9A46" w:rsidR="004B247A" w:rsidRPr="00EB07BC" w:rsidRDefault="000C609D">
      <w:pPr>
        <w:jc w:val="center"/>
        <w:rPr>
          <w:sz w:val="32"/>
        </w:rPr>
      </w:pPr>
      <w:r>
        <w:rPr>
          <w:noProof/>
        </w:rPr>
        <w:drawing>
          <wp:inline distT="0" distB="0" distL="0" distR="0" wp14:anchorId="145A4CD6" wp14:editId="46E7B312">
            <wp:extent cx="4361180" cy="562610"/>
            <wp:effectExtent l="0" t="0" r="1270" b="889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1180" cy="562610"/>
                    </a:xfrm>
                    <a:prstGeom prst="rect">
                      <a:avLst/>
                    </a:prstGeom>
                    <a:noFill/>
                    <a:ln>
                      <a:noFill/>
                    </a:ln>
                  </pic:spPr>
                </pic:pic>
              </a:graphicData>
            </a:graphic>
          </wp:inline>
        </w:drawing>
      </w:r>
    </w:p>
    <w:p w14:paraId="2A628B7F" w14:textId="77777777" w:rsidR="00791B53" w:rsidRDefault="00791B5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18E59DC" w14:textId="77777777" w:rsidR="00791B53" w:rsidRDefault="00791B5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D1A14C7" w14:textId="77777777" w:rsidR="00791B53" w:rsidRDefault="002C0D9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交银施罗德创业板</w:t>
      </w:r>
      <w:r>
        <w:rPr>
          <w:rFonts w:ascii="Times New Roman" w:hAnsi="Times New Roman"/>
          <w:b/>
          <w:spacing w:val="2"/>
          <w:w w:val="99"/>
          <w:kern w:val="0"/>
          <w:position w:val="-4"/>
          <w:sz w:val="44"/>
          <w:szCs w:val="44"/>
        </w:rPr>
        <w:t>50</w:t>
      </w:r>
      <w:r>
        <w:rPr>
          <w:rFonts w:ascii="Times New Roman" w:hAnsi="Times New Roman"/>
          <w:b/>
          <w:spacing w:val="2"/>
          <w:w w:val="99"/>
          <w:kern w:val="0"/>
          <w:position w:val="-4"/>
          <w:sz w:val="44"/>
          <w:szCs w:val="44"/>
        </w:rPr>
        <w:t>指数型证券投资基金</w:t>
      </w:r>
    </w:p>
    <w:p w14:paraId="1C9BF78D" w14:textId="77777777" w:rsidR="00791B53" w:rsidRDefault="002C0D9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2674AD5F" w14:textId="3C7C4B2C" w:rsidR="00791B53" w:rsidRDefault="002C0D99">
      <w:pPr>
        <w:snapToGrid w:val="0"/>
        <w:spacing w:line="360" w:lineRule="auto"/>
        <w:jc w:val="center"/>
        <w:rPr>
          <w:rFonts w:ascii="宋体" w:hAnsi="宋体"/>
          <w:b/>
          <w:sz w:val="30"/>
          <w:szCs w:val="30"/>
        </w:rPr>
      </w:pPr>
      <w:r>
        <w:rPr>
          <w:rFonts w:ascii="Times New Roman" w:hAnsi="Times New Roman"/>
          <w:b/>
          <w:color w:val="000000"/>
          <w:sz w:val="32"/>
          <w:szCs w:val="32"/>
        </w:rPr>
        <w:t>(</w:t>
      </w:r>
      <w:r w:rsidR="000C609D">
        <w:rPr>
          <w:rFonts w:ascii="Times New Roman" w:hAnsi="Times New Roman"/>
          <w:b/>
          <w:color w:val="000000"/>
          <w:sz w:val="32"/>
          <w:szCs w:val="32"/>
        </w:rPr>
        <w:t>2021</w:t>
      </w:r>
      <w:r>
        <w:rPr>
          <w:rFonts w:ascii="Times New Roman" w:hAnsi="Times New Roman"/>
          <w:b/>
          <w:color w:val="000000"/>
          <w:sz w:val="32"/>
          <w:szCs w:val="32"/>
        </w:rPr>
        <w:t>年</w:t>
      </w:r>
      <w:r w:rsidR="000C609D">
        <w:rPr>
          <w:rFonts w:ascii="Times New Roman" w:hAnsi="Times New Roman"/>
          <w:b/>
          <w:color w:val="000000"/>
          <w:sz w:val="32"/>
          <w:szCs w:val="32"/>
        </w:rPr>
        <w:t>第</w:t>
      </w:r>
      <w:r w:rsidR="000C609D">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652BE47C"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FE9541E"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54CF265"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3FBCAF5"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DA5F0AC"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0EBDE4"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A97B1A4" w14:textId="77777777" w:rsidR="00791B53" w:rsidRDefault="002C0D9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4886A3F0" w14:textId="77777777" w:rsidR="00791B53" w:rsidRDefault="002C0D9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基金托管人：招商银行股份有限公司</w:t>
      </w:r>
    </w:p>
    <w:p w14:paraId="704C1357"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18ED2B0" w14:textId="77777777" w:rsidR="00791B53" w:rsidRDefault="00791B5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357AEF" w14:textId="56172AC4" w:rsidR="00791B53" w:rsidRDefault="002C0D99">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0C609D" w:rsidRPr="000C609D">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年</w:t>
      </w:r>
      <w:r w:rsidR="00551519">
        <w:rPr>
          <w:rFonts w:hint="eastAsia"/>
          <w:b/>
          <w:sz w:val="28"/>
        </w:rPr>
        <w:t>三</w:t>
      </w:r>
      <w:r>
        <w:rPr>
          <w:rFonts w:ascii="Times New Roman" w:hAnsi="Times New Roman"/>
          <w:b/>
          <w:spacing w:val="2"/>
          <w:w w:val="99"/>
          <w:kern w:val="0"/>
          <w:sz w:val="28"/>
          <w:szCs w:val="32"/>
        </w:rPr>
        <w:t>月</w:t>
      </w:r>
    </w:p>
    <w:p w14:paraId="51BA0A39" w14:textId="77777777" w:rsidR="00791B53" w:rsidRDefault="00791B53">
      <w:pPr>
        <w:autoSpaceDE w:val="0"/>
        <w:autoSpaceDN w:val="0"/>
        <w:adjustRightInd w:val="0"/>
        <w:snapToGrid w:val="0"/>
        <w:spacing w:line="360" w:lineRule="auto"/>
        <w:ind w:left="1347" w:rightChars="6" w:right="13"/>
        <w:rPr>
          <w:rFonts w:ascii="宋体" w:hAnsi="宋体"/>
          <w:kern w:val="0"/>
          <w:sz w:val="32"/>
          <w:szCs w:val="32"/>
        </w:rPr>
        <w:sectPr w:rsidR="00791B53">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9272005" w14:textId="77777777" w:rsidR="00791B53" w:rsidRDefault="002C0D99">
      <w:pPr>
        <w:pStyle w:val="1"/>
        <w:snapToGrid w:val="0"/>
        <w:spacing w:beforeLines="0" w:before="240" w:after="240"/>
        <w:rPr>
          <w:rFonts w:ascii="宋体" w:hAnsi="宋体"/>
          <w:kern w:val="0"/>
        </w:rPr>
      </w:pPr>
      <w:bookmarkStart w:id="0" w:name="_Toc324920538"/>
      <w:bookmarkStart w:id="1" w:name="_Toc496884613"/>
      <w:bookmarkStart w:id="2" w:name="_Toc54104343"/>
      <w:r>
        <w:rPr>
          <w:rFonts w:ascii="Times New Roman" w:hAnsi="Times New Roman"/>
          <w:kern w:val="0"/>
        </w:rPr>
        <w:lastRenderedPageBreak/>
        <w:t>重要提示</w:t>
      </w:r>
      <w:bookmarkEnd w:id="0"/>
      <w:bookmarkEnd w:id="1"/>
      <w:bookmarkEnd w:id="2"/>
    </w:p>
    <w:p w14:paraId="1D044E90"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交银施罗德创业板</w:t>
      </w:r>
      <w:r>
        <w:rPr>
          <w:rFonts w:ascii="Times New Roman" w:hAnsi="Times New Roman"/>
          <w:kern w:val="0"/>
          <w:sz w:val="24"/>
        </w:rPr>
        <w:t>50</w:t>
      </w:r>
      <w:r>
        <w:rPr>
          <w:rFonts w:ascii="Times New Roman" w:hAnsi="Times New Roman"/>
          <w:kern w:val="0"/>
          <w:sz w:val="24"/>
        </w:rPr>
        <w:t>指数型证券投资基金（以下简称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2019</w:t>
      </w:r>
      <w:r>
        <w:rPr>
          <w:rFonts w:ascii="Times New Roman" w:hAnsi="Times New Roman"/>
          <w:kern w:val="0"/>
          <w:sz w:val="24"/>
        </w:rPr>
        <w:t>】</w:t>
      </w:r>
      <w:r>
        <w:rPr>
          <w:rFonts w:ascii="Times New Roman" w:hAnsi="Times New Roman"/>
          <w:kern w:val="0"/>
          <w:sz w:val="24"/>
        </w:rPr>
        <w:t>845</w:t>
      </w:r>
      <w:r>
        <w:rPr>
          <w:rFonts w:ascii="Times New Roman" w:hAnsi="Times New Roman"/>
          <w:kern w:val="0"/>
          <w:sz w:val="24"/>
        </w:rPr>
        <w:t>号文准予募集注册。本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日正式生效。</w:t>
      </w:r>
    </w:p>
    <w:p w14:paraId="4946AF9F"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37CC4147"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1F10474" w14:textId="266D7275"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信用风险；本基金投资策略所特有的指数</w:t>
      </w:r>
      <w:proofErr w:type="gramStart"/>
      <w:r>
        <w:rPr>
          <w:rFonts w:ascii="Times New Roman" w:hAnsi="Times New Roman"/>
          <w:kern w:val="0"/>
          <w:sz w:val="24"/>
        </w:rPr>
        <w:t>化投资</w:t>
      </w:r>
      <w:proofErr w:type="gramEnd"/>
      <w:r>
        <w:rPr>
          <w:rFonts w:ascii="Times New Roman" w:hAnsi="Times New Roman"/>
          <w:kern w:val="0"/>
          <w:sz w:val="24"/>
        </w:rPr>
        <w:t>风险；投资资产支持证券的特定风险；投资股指期货的特定风险；连续六十个工作日出现基金份额持有人数量不满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万元情形时，基金管理人可依基金合同约定提前终止基金合同的风险；投资本基金特有的其他风险等等。其中指数</w:t>
      </w:r>
      <w:proofErr w:type="gramStart"/>
      <w:r>
        <w:rPr>
          <w:rFonts w:ascii="Times New Roman" w:hAnsi="Times New Roman"/>
          <w:kern w:val="0"/>
          <w:sz w:val="24"/>
        </w:rPr>
        <w:t>化投资</w:t>
      </w:r>
      <w:proofErr w:type="gramEnd"/>
      <w:r>
        <w:rPr>
          <w:rFonts w:ascii="Times New Roman" w:hAnsi="Times New Roman"/>
          <w:kern w:val="0"/>
          <w:sz w:val="24"/>
        </w:rPr>
        <w:t>风险主要包括：标的指数回报与股票市场平均回报偏离的风险、标的指数波动的风险、基金投资组合回报与标的指数回报偏离的风险、标的指数变更的风险</w:t>
      </w:r>
      <w:r w:rsidR="000C609D">
        <w:rPr>
          <w:rFonts w:ascii="Times New Roman" w:hAnsi="Times New Roman" w:hint="eastAsia"/>
          <w:kern w:val="0"/>
          <w:sz w:val="24"/>
        </w:rPr>
        <w:t>、</w:t>
      </w:r>
      <w:r w:rsidR="000C609D" w:rsidRPr="000C609D">
        <w:rPr>
          <w:rFonts w:ascii="Times New Roman" w:hAnsi="Times New Roman" w:hint="eastAsia"/>
          <w:kern w:val="0"/>
          <w:sz w:val="24"/>
        </w:rPr>
        <w:t>跟踪误差控制未达约定目标的风险、指数编制机构停止服务的风险、成份股停牌的风险</w:t>
      </w:r>
      <w:r>
        <w:rPr>
          <w:rFonts w:ascii="Times New Roman" w:hAnsi="Times New Roman"/>
          <w:kern w:val="0"/>
          <w:sz w:val="24"/>
        </w:rPr>
        <w:t>等。</w:t>
      </w:r>
    </w:p>
    <w:p w14:paraId="0644B0CF"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14:paraId="143FA070"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w:t>
      </w:r>
      <w:r>
        <w:rPr>
          <w:rFonts w:ascii="Times New Roman" w:hAnsi="Times New Roman"/>
          <w:kern w:val="0"/>
          <w:sz w:val="24"/>
        </w:rPr>
        <w:lastRenderedPageBreak/>
        <w:t>种或多种基础资产或指数，其评价主要源自于对挂钩资产的价格与价格波动的预期。投资股指期货所面临的风险主要是市场风险、流动性风险、</w:t>
      </w:r>
      <w:proofErr w:type="gramStart"/>
      <w:r>
        <w:rPr>
          <w:rFonts w:ascii="Times New Roman" w:hAnsi="Times New Roman"/>
          <w:kern w:val="0"/>
          <w:sz w:val="24"/>
        </w:rPr>
        <w:t>基差风险</w:t>
      </w:r>
      <w:proofErr w:type="gramEnd"/>
      <w:r>
        <w:rPr>
          <w:rFonts w:ascii="Times New Roman" w:hAnsi="Times New Roman"/>
          <w:kern w:val="0"/>
          <w:sz w:val="24"/>
        </w:rPr>
        <w:t>、保证金风险、信用风险和操作风险，以及不适当的估值使基金资产面临损失的风险等。</w:t>
      </w:r>
    </w:p>
    <w:p w14:paraId="67FA94BE"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本基金是一只股票型基金，其预期风险和预期收益高于混合型基金、债券型基金和货币市场基金。本基金为指数型基金，主要采用组合复制策略及适当的替代性策略跟踪创业板</w:t>
      </w:r>
      <w:r>
        <w:rPr>
          <w:rFonts w:ascii="Times New Roman" w:hAnsi="Times New Roman"/>
          <w:kern w:val="0"/>
          <w:sz w:val="24"/>
        </w:rPr>
        <w:t>50</w:t>
      </w:r>
      <w:r>
        <w:rPr>
          <w:rFonts w:ascii="Times New Roman" w:hAnsi="Times New Roman"/>
          <w:kern w:val="0"/>
          <w:sz w:val="24"/>
        </w:rPr>
        <w:t>指数，具有与标的指数以及标的指数所代表的股票市场相似的风险收益特征。</w:t>
      </w:r>
    </w:p>
    <w:p w14:paraId="0519BCB9" w14:textId="77777777" w:rsid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4B247A">
        <w:rPr>
          <w:rFonts w:ascii="Times New Roman" w:hAnsi="Times New Roman" w:hint="eastAsia"/>
          <w:bCs/>
          <w:kern w:val="0"/>
          <w:sz w:val="24"/>
        </w:rPr>
        <w:t>本基金为指数基金，投资者投资于本基金面临跟踪误差控制未达约定目标、指数编制机构停止服务、成份</w:t>
      </w:r>
      <w:proofErr w:type="gramStart"/>
      <w:r w:rsidRPr="004B247A">
        <w:rPr>
          <w:rFonts w:ascii="Times New Roman" w:hAnsi="Times New Roman" w:hint="eastAsia"/>
          <w:bCs/>
          <w:kern w:val="0"/>
          <w:sz w:val="24"/>
        </w:rPr>
        <w:t>券</w:t>
      </w:r>
      <w:proofErr w:type="gramEnd"/>
      <w:r w:rsidRPr="004B247A">
        <w:rPr>
          <w:rFonts w:ascii="Times New Roman" w:hAnsi="Times New Roman" w:hint="eastAsia"/>
          <w:bCs/>
          <w:kern w:val="0"/>
          <w:sz w:val="24"/>
        </w:rPr>
        <w:t>停牌等潜在风险</w:t>
      </w:r>
      <w:r>
        <w:rPr>
          <w:rFonts w:ascii="Times New Roman" w:hAnsi="Times New Roman" w:hint="eastAsia"/>
          <w:bCs/>
          <w:kern w:val="0"/>
          <w:sz w:val="24"/>
        </w:rPr>
        <w:t>。</w:t>
      </w:r>
    </w:p>
    <w:p w14:paraId="3F216E5A" w14:textId="3F06F5ED" w:rsid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4B247A">
        <w:rPr>
          <w:rFonts w:ascii="Times New Roman" w:hAnsi="Times New Roman" w:hint="eastAsia"/>
          <w:bCs/>
          <w:kern w:val="0"/>
          <w:sz w:val="24"/>
        </w:rPr>
        <w:t>本基金标的指数为</w:t>
      </w:r>
      <w:r w:rsidRPr="004B247A">
        <w:rPr>
          <w:rFonts w:ascii="Times New Roman" w:hAnsi="Times New Roman"/>
          <w:bCs/>
          <w:kern w:val="0"/>
          <w:sz w:val="24"/>
        </w:rPr>
        <w:t>创业板</w:t>
      </w:r>
      <w:r w:rsidRPr="004B247A">
        <w:rPr>
          <w:rFonts w:ascii="Times New Roman" w:hAnsi="Times New Roman"/>
          <w:bCs/>
          <w:kern w:val="0"/>
          <w:sz w:val="24"/>
        </w:rPr>
        <w:t>50</w:t>
      </w:r>
      <w:r w:rsidRPr="004B247A">
        <w:rPr>
          <w:rFonts w:ascii="Times New Roman" w:hAnsi="Times New Roman"/>
          <w:bCs/>
          <w:kern w:val="0"/>
          <w:sz w:val="24"/>
        </w:rPr>
        <w:t>指数。</w:t>
      </w:r>
    </w:p>
    <w:p w14:paraId="584E3A23" w14:textId="0162F1DA" w:rsidR="004B247A" w:rsidRP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4B247A">
        <w:rPr>
          <w:rFonts w:ascii="Times New Roman" w:hAnsi="Times New Roman" w:hint="eastAsia"/>
          <w:bCs/>
          <w:kern w:val="0"/>
          <w:sz w:val="24"/>
        </w:rPr>
        <w:t>1</w:t>
      </w:r>
      <w:r w:rsidR="001A0AD6">
        <w:rPr>
          <w:rFonts w:ascii="Times New Roman" w:hAnsi="Times New Roman" w:hint="eastAsia"/>
          <w:bCs/>
          <w:kern w:val="0"/>
          <w:sz w:val="24"/>
        </w:rPr>
        <w:t>、选样</w:t>
      </w:r>
      <w:r w:rsidRPr="004B247A">
        <w:rPr>
          <w:rFonts w:ascii="Times New Roman" w:hAnsi="Times New Roman" w:hint="eastAsia"/>
          <w:bCs/>
          <w:kern w:val="0"/>
          <w:sz w:val="24"/>
        </w:rPr>
        <w:t>空间</w:t>
      </w:r>
    </w:p>
    <w:p w14:paraId="4C1948AD" w14:textId="51B397C8" w:rsidR="004B247A" w:rsidRP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创业</w:t>
      </w:r>
      <w:proofErr w:type="gramStart"/>
      <w:r>
        <w:rPr>
          <w:rFonts w:ascii="Times New Roman" w:hAnsi="Times New Roman" w:hint="eastAsia"/>
          <w:bCs/>
          <w:kern w:val="0"/>
          <w:sz w:val="24"/>
        </w:rPr>
        <w:t>板指数</w:t>
      </w:r>
      <w:proofErr w:type="gramEnd"/>
      <w:r>
        <w:rPr>
          <w:rFonts w:ascii="Times New Roman" w:hAnsi="Times New Roman" w:hint="eastAsia"/>
          <w:bCs/>
          <w:kern w:val="0"/>
          <w:sz w:val="24"/>
        </w:rPr>
        <w:t>样本股</w:t>
      </w:r>
      <w:r w:rsidRPr="004B247A">
        <w:rPr>
          <w:rFonts w:ascii="Times New Roman" w:hAnsi="Times New Roman" w:hint="eastAsia"/>
          <w:bCs/>
          <w:kern w:val="0"/>
          <w:sz w:val="24"/>
        </w:rPr>
        <w:t>。</w:t>
      </w:r>
    </w:p>
    <w:p w14:paraId="0105E746" w14:textId="77777777" w:rsidR="004B247A" w:rsidRP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4B247A">
        <w:rPr>
          <w:rFonts w:ascii="Times New Roman" w:hAnsi="Times New Roman" w:hint="eastAsia"/>
          <w:bCs/>
          <w:kern w:val="0"/>
          <w:sz w:val="24"/>
        </w:rPr>
        <w:t>2</w:t>
      </w:r>
      <w:r w:rsidRPr="004B247A">
        <w:rPr>
          <w:rFonts w:ascii="Times New Roman" w:hAnsi="Times New Roman" w:hint="eastAsia"/>
          <w:bCs/>
          <w:kern w:val="0"/>
          <w:sz w:val="24"/>
        </w:rPr>
        <w:t>、选样方法</w:t>
      </w:r>
    </w:p>
    <w:p w14:paraId="32516C6E" w14:textId="3981C589" w:rsidR="004B247A" w:rsidRP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考察选样空间股票最近</w:t>
      </w:r>
      <w:r>
        <w:rPr>
          <w:rFonts w:ascii="Times New Roman" w:hAnsi="Times New Roman" w:hint="eastAsia"/>
          <w:bCs/>
          <w:kern w:val="0"/>
          <w:sz w:val="24"/>
        </w:rPr>
        <w:t>6</w:t>
      </w:r>
      <w:r>
        <w:rPr>
          <w:rFonts w:ascii="Times New Roman" w:hAnsi="Times New Roman" w:hint="eastAsia"/>
          <w:bCs/>
          <w:kern w:val="0"/>
          <w:sz w:val="24"/>
        </w:rPr>
        <w:t>个月的日均成交金额，结合行业覆盖情况选取排名靠前的</w:t>
      </w:r>
      <w:r>
        <w:rPr>
          <w:rFonts w:ascii="Times New Roman" w:hAnsi="Times New Roman" w:hint="eastAsia"/>
          <w:bCs/>
          <w:kern w:val="0"/>
          <w:sz w:val="24"/>
        </w:rPr>
        <w:t>5</w:t>
      </w:r>
      <w:r>
        <w:rPr>
          <w:rFonts w:ascii="Times New Roman" w:hAnsi="Times New Roman"/>
          <w:bCs/>
          <w:kern w:val="0"/>
          <w:sz w:val="24"/>
        </w:rPr>
        <w:t>0</w:t>
      </w:r>
      <w:r>
        <w:rPr>
          <w:rFonts w:ascii="Times New Roman" w:hAnsi="Times New Roman"/>
          <w:bCs/>
          <w:kern w:val="0"/>
          <w:sz w:val="24"/>
        </w:rPr>
        <w:t>只股票组成指数样本股</w:t>
      </w:r>
      <w:r>
        <w:rPr>
          <w:rFonts w:ascii="Times New Roman" w:hAnsi="Times New Roman" w:hint="eastAsia"/>
          <w:bCs/>
          <w:kern w:val="0"/>
          <w:sz w:val="24"/>
        </w:rPr>
        <w:t>。</w:t>
      </w:r>
    </w:p>
    <w:p w14:paraId="78B97F11" w14:textId="77777777" w:rsidR="004B247A" w:rsidRP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4B247A">
        <w:rPr>
          <w:rFonts w:ascii="Times New Roman" w:hAnsi="Times New Roman" w:hint="eastAsia"/>
          <w:bCs/>
          <w:kern w:val="0"/>
          <w:sz w:val="24"/>
        </w:rPr>
        <w:t>3</w:t>
      </w:r>
      <w:r w:rsidRPr="004B247A">
        <w:rPr>
          <w:rFonts w:ascii="Times New Roman" w:hAnsi="Times New Roman" w:hint="eastAsia"/>
          <w:bCs/>
          <w:kern w:val="0"/>
          <w:sz w:val="24"/>
        </w:rPr>
        <w:t>、指数计算</w:t>
      </w:r>
    </w:p>
    <w:p w14:paraId="7F4C9779" w14:textId="42B4AA3F" w:rsid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Pr>
          <w:rFonts w:ascii="Times New Roman" w:hAnsi="Times New Roman" w:hint="eastAsia"/>
          <w:bCs/>
          <w:kern w:val="0"/>
          <w:sz w:val="24"/>
        </w:rPr>
        <w:t>指数</w:t>
      </w:r>
      <w:proofErr w:type="gramStart"/>
      <w:r>
        <w:rPr>
          <w:rFonts w:ascii="Times New Roman" w:hAnsi="Times New Roman" w:hint="eastAsia"/>
          <w:bCs/>
          <w:kern w:val="0"/>
          <w:sz w:val="24"/>
        </w:rPr>
        <w:t>采用派式加权法</w:t>
      </w:r>
      <w:proofErr w:type="gramEnd"/>
      <w:r>
        <w:rPr>
          <w:rFonts w:ascii="Times New Roman" w:hAnsi="Times New Roman" w:hint="eastAsia"/>
          <w:bCs/>
          <w:kern w:val="0"/>
          <w:sz w:val="24"/>
        </w:rPr>
        <w:t>，依据下列公示逐日连锁</w:t>
      </w:r>
      <w:r w:rsidR="00E75821">
        <w:rPr>
          <w:rFonts w:ascii="Times New Roman" w:hAnsi="Times New Roman" w:hint="eastAsia"/>
          <w:bCs/>
          <w:kern w:val="0"/>
          <w:sz w:val="24"/>
        </w:rPr>
        <w:t>实时</w:t>
      </w:r>
      <w:r>
        <w:rPr>
          <w:rFonts w:ascii="Times New Roman" w:hAnsi="Times New Roman" w:hint="eastAsia"/>
          <w:bCs/>
          <w:kern w:val="0"/>
          <w:sz w:val="24"/>
        </w:rPr>
        <w:t>计算：</w:t>
      </w:r>
    </w:p>
    <w:p w14:paraId="14B6EC6A" w14:textId="0BA10EF4" w:rsidR="004B247A" w:rsidRDefault="000C609D"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5423F3">
        <w:rPr>
          <w:rFonts w:ascii="Times New Roman" w:hAnsi="Times New Roman"/>
          <w:bCs/>
          <w:noProof/>
          <w:kern w:val="0"/>
          <w:sz w:val="24"/>
        </w:rPr>
        <w:drawing>
          <wp:inline distT="0" distB="0" distL="0" distR="0" wp14:anchorId="4DB525F7" wp14:editId="100785B4">
            <wp:extent cx="4079875" cy="562610"/>
            <wp:effectExtent l="0" t="0" r="0" b="8890"/>
            <wp:docPr id="5" name="图片 4" descr="1613716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1371636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875" cy="562610"/>
                    </a:xfrm>
                    <a:prstGeom prst="rect">
                      <a:avLst/>
                    </a:prstGeom>
                    <a:noFill/>
                    <a:ln>
                      <a:noFill/>
                    </a:ln>
                  </pic:spPr>
                </pic:pic>
              </a:graphicData>
            </a:graphic>
          </wp:inline>
        </w:drawing>
      </w:r>
    </w:p>
    <w:p w14:paraId="58264C3A" w14:textId="762ECEAA" w:rsidR="004B247A" w:rsidRPr="004B247A" w:rsidRDefault="004B247A" w:rsidP="004B247A">
      <w:pPr>
        <w:autoSpaceDE w:val="0"/>
        <w:autoSpaceDN w:val="0"/>
        <w:adjustRightInd w:val="0"/>
        <w:snapToGrid w:val="0"/>
        <w:spacing w:line="360" w:lineRule="auto"/>
        <w:ind w:leftChars="50" w:left="105" w:firstLineChars="200" w:firstLine="480"/>
        <w:rPr>
          <w:rFonts w:ascii="Times New Roman" w:hAnsi="Times New Roman"/>
          <w:bCs/>
          <w:kern w:val="0"/>
          <w:sz w:val="24"/>
        </w:rPr>
      </w:pPr>
      <w:r w:rsidRPr="004B247A">
        <w:rPr>
          <w:rFonts w:ascii="Times New Roman" w:hAnsi="Times New Roman" w:hint="eastAsia"/>
          <w:bCs/>
          <w:kern w:val="0"/>
          <w:sz w:val="24"/>
        </w:rPr>
        <w:t>有关标的指数具体编制方案及成份股信息详见</w:t>
      </w:r>
      <w:r w:rsidR="001A0AD6" w:rsidRPr="001A0AD6">
        <w:rPr>
          <w:rFonts w:ascii="Times New Roman" w:hAnsi="Times New Roman" w:hint="eastAsia"/>
          <w:bCs/>
          <w:kern w:val="0"/>
          <w:sz w:val="24"/>
        </w:rPr>
        <w:t>深圳证券信息有限公司</w:t>
      </w:r>
      <w:proofErr w:type="gramStart"/>
      <w:r w:rsidR="001A0AD6">
        <w:rPr>
          <w:rFonts w:ascii="Times New Roman" w:hAnsi="Times New Roman" w:hint="eastAsia"/>
          <w:bCs/>
          <w:kern w:val="0"/>
          <w:sz w:val="24"/>
        </w:rPr>
        <w:t>国证指数网</w:t>
      </w:r>
      <w:proofErr w:type="gramEnd"/>
      <w:r w:rsidRPr="004B247A">
        <w:rPr>
          <w:rFonts w:ascii="Times New Roman" w:hAnsi="Times New Roman" w:hint="eastAsia"/>
          <w:bCs/>
          <w:kern w:val="0"/>
          <w:sz w:val="24"/>
        </w:rPr>
        <w:t>网站，网址：</w:t>
      </w:r>
      <w:r w:rsidR="001A0AD6" w:rsidRPr="001A0AD6">
        <w:rPr>
          <w:rFonts w:ascii="Times New Roman" w:hAnsi="Times New Roman"/>
          <w:bCs/>
          <w:kern w:val="0"/>
          <w:sz w:val="24"/>
        </w:rPr>
        <w:t>www.cnindex.com.cn</w:t>
      </w:r>
      <w:r w:rsidRPr="004B247A">
        <w:rPr>
          <w:rFonts w:ascii="Times New Roman" w:hAnsi="Times New Roman" w:hint="eastAsia"/>
          <w:bCs/>
          <w:kern w:val="0"/>
          <w:sz w:val="24"/>
        </w:rPr>
        <w:t>。</w:t>
      </w:r>
    </w:p>
    <w:p w14:paraId="132935BC" w14:textId="00933F20" w:rsidR="00791B53" w:rsidRDefault="002C0D9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2EFF38AD" w14:textId="77777777" w:rsidR="00C9540F" w:rsidRPr="00C9540F" w:rsidRDefault="00C9540F" w:rsidP="00C9540F">
      <w:pPr>
        <w:autoSpaceDE w:val="0"/>
        <w:autoSpaceDN w:val="0"/>
        <w:adjustRightInd w:val="0"/>
        <w:snapToGrid w:val="0"/>
        <w:spacing w:line="360" w:lineRule="auto"/>
        <w:ind w:leftChars="50" w:left="105" w:firstLineChars="200" w:firstLine="480"/>
        <w:rPr>
          <w:rFonts w:ascii="宋体" w:hAnsi="宋体"/>
          <w:kern w:val="0"/>
          <w:sz w:val="24"/>
        </w:rPr>
      </w:pPr>
      <w:r w:rsidRPr="00C9540F">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w:t>
      </w:r>
      <w:r w:rsidRPr="00C9540F">
        <w:rPr>
          <w:rFonts w:ascii="宋体" w:hAnsi="宋体" w:hint="eastAsia"/>
          <w:kern w:val="0"/>
          <w:sz w:val="24"/>
        </w:rPr>
        <w:lastRenderedPageBreak/>
        <w:t>查阅本招募说明书“风险揭示”章节内容。</w:t>
      </w:r>
    </w:p>
    <w:p w14:paraId="102E145A" w14:textId="77777777" w:rsidR="00C9540F" w:rsidRDefault="00C9540F" w:rsidP="00C9540F">
      <w:pPr>
        <w:autoSpaceDE w:val="0"/>
        <w:autoSpaceDN w:val="0"/>
        <w:adjustRightInd w:val="0"/>
        <w:snapToGrid w:val="0"/>
        <w:spacing w:line="360" w:lineRule="auto"/>
        <w:ind w:leftChars="50" w:left="105" w:firstLineChars="200" w:firstLine="480"/>
        <w:rPr>
          <w:rFonts w:ascii="宋体" w:hAnsi="宋体"/>
          <w:kern w:val="0"/>
          <w:sz w:val="24"/>
        </w:rPr>
      </w:pPr>
      <w:r w:rsidRPr="00C9540F">
        <w:rPr>
          <w:rFonts w:ascii="宋体" w:hAnsi="宋体" w:hint="eastAsia"/>
          <w:kern w:val="0"/>
          <w:sz w:val="24"/>
        </w:rPr>
        <w:t>本基金可根据投资策略需要或市场环境的变化，选择将部分基金资产投资于存托凭证或选择不将基金资产投资于存托凭证，基金资产并非必然投资存托凭证。</w:t>
      </w:r>
    </w:p>
    <w:p w14:paraId="52CF6975" w14:textId="77777777" w:rsidR="00791B53" w:rsidRDefault="002C0D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7A0D8026" w14:textId="5BD62BC4" w:rsidR="00791B53" w:rsidRDefault="00013564">
      <w:pPr>
        <w:autoSpaceDE w:val="0"/>
        <w:autoSpaceDN w:val="0"/>
        <w:adjustRightInd w:val="0"/>
        <w:snapToGrid w:val="0"/>
        <w:spacing w:line="360" w:lineRule="auto"/>
        <w:ind w:leftChars="50" w:left="105" w:firstLineChars="200" w:firstLine="480"/>
        <w:rPr>
          <w:rFonts w:ascii="宋体" w:hAnsi="宋体"/>
          <w:kern w:val="0"/>
          <w:sz w:val="24"/>
        </w:rPr>
      </w:pPr>
      <w:r w:rsidRPr="00274103">
        <w:rPr>
          <w:rFonts w:ascii="宋体" w:hAnsi="宋体" w:hint="eastAsia"/>
          <w:sz w:val="24"/>
          <w:szCs w:val="24"/>
        </w:rPr>
        <w:t>本基金本次更新招募说明书对基金合同变更的相关信息进行更新，基金合同变更相关信息截止日为</w:t>
      </w:r>
      <w:r w:rsidR="00092B5A" w:rsidRPr="005B6242">
        <w:rPr>
          <w:rFonts w:ascii="Times New Roman" w:hAnsi="Times New Roman" w:hint="eastAsia"/>
          <w:kern w:val="0"/>
          <w:sz w:val="24"/>
        </w:rPr>
        <w:t>202</w:t>
      </w:r>
      <w:r w:rsidR="00092B5A" w:rsidRPr="005B6242">
        <w:rPr>
          <w:rFonts w:ascii="Times New Roman" w:hAnsi="Times New Roman"/>
          <w:kern w:val="0"/>
          <w:sz w:val="24"/>
        </w:rPr>
        <w:t>1</w:t>
      </w:r>
      <w:r w:rsidRPr="005B6242">
        <w:rPr>
          <w:rFonts w:ascii="Times New Roman" w:hAnsi="Times New Roman" w:hint="eastAsia"/>
          <w:kern w:val="0"/>
          <w:sz w:val="24"/>
        </w:rPr>
        <w:t>年</w:t>
      </w:r>
      <w:r w:rsidR="005B6242" w:rsidRPr="005B6242">
        <w:rPr>
          <w:rFonts w:ascii="Times New Roman" w:hAnsi="Times New Roman" w:hint="eastAsia"/>
          <w:kern w:val="0"/>
          <w:sz w:val="24"/>
        </w:rPr>
        <w:t>0</w:t>
      </w:r>
      <w:r w:rsidR="00130345" w:rsidRPr="005B6242">
        <w:rPr>
          <w:rFonts w:ascii="Times New Roman" w:hAnsi="Times New Roman"/>
          <w:kern w:val="0"/>
          <w:sz w:val="24"/>
        </w:rPr>
        <w:t>3</w:t>
      </w:r>
      <w:r w:rsidRPr="005B6242">
        <w:rPr>
          <w:rFonts w:ascii="Times New Roman" w:hAnsi="Times New Roman" w:hint="eastAsia"/>
          <w:kern w:val="0"/>
          <w:sz w:val="24"/>
        </w:rPr>
        <w:t>月</w:t>
      </w:r>
      <w:r w:rsidR="00AF1FD4" w:rsidRPr="005B6242">
        <w:rPr>
          <w:rFonts w:ascii="Times New Roman" w:hAnsi="Times New Roman"/>
          <w:kern w:val="0"/>
          <w:sz w:val="24"/>
        </w:rPr>
        <w:t>31</w:t>
      </w:r>
      <w:r w:rsidRPr="005B6242">
        <w:rPr>
          <w:rFonts w:ascii="Times New Roman" w:hAnsi="Times New Roman" w:hint="eastAsia"/>
          <w:kern w:val="0"/>
          <w:sz w:val="24"/>
        </w:rPr>
        <w:t>日</w:t>
      </w:r>
      <w:r w:rsidRPr="00274103">
        <w:rPr>
          <w:rFonts w:ascii="宋体" w:hAnsi="宋体" w:hint="eastAsia"/>
          <w:sz w:val="24"/>
          <w:szCs w:val="24"/>
        </w:rPr>
        <w:t>。</w:t>
      </w:r>
      <w:r w:rsidR="002C0D99">
        <w:rPr>
          <w:rFonts w:ascii="Times New Roman" w:hAnsi="Times New Roman"/>
          <w:kern w:val="0"/>
          <w:sz w:val="24"/>
        </w:rPr>
        <w:t>本招募说明书</w:t>
      </w:r>
      <w:r>
        <w:rPr>
          <w:rFonts w:ascii="Times New Roman" w:hAnsi="Times New Roman" w:hint="eastAsia"/>
          <w:kern w:val="0"/>
          <w:sz w:val="24"/>
        </w:rPr>
        <w:t>其他</w:t>
      </w:r>
      <w:r w:rsidR="002C0D99">
        <w:rPr>
          <w:rFonts w:ascii="Times New Roman" w:hAnsi="Times New Roman"/>
          <w:kern w:val="0"/>
          <w:sz w:val="24"/>
        </w:rPr>
        <w:t>所载内容截止日为</w:t>
      </w:r>
      <w:r w:rsidR="002C0D99">
        <w:rPr>
          <w:rFonts w:ascii="Times New Roman" w:hAnsi="Times New Roman"/>
          <w:kern w:val="0"/>
          <w:sz w:val="24"/>
        </w:rPr>
        <w:t>2020</w:t>
      </w:r>
      <w:r w:rsidR="002C0D99">
        <w:rPr>
          <w:rFonts w:ascii="Times New Roman" w:hAnsi="Times New Roman"/>
          <w:kern w:val="0"/>
          <w:sz w:val="24"/>
        </w:rPr>
        <w:t>年</w:t>
      </w:r>
      <w:r w:rsidR="002C0D99">
        <w:rPr>
          <w:rFonts w:ascii="Times New Roman" w:hAnsi="Times New Roman"/>
          <w:kern w:val="0"/>
          <w:sz w:val="24"/>
        </w:rPr>
        <w:t>09</w:t>
      </w:r>
      <w:r w:rsidR="002C0D99">
        <w:rPr>
          <w:rFonts w:ascii="Times New Roman" w:hAnsi="Times New Roman"/>
          <w:kern w:val="0"/>
          <w:sz w:val="24"/>
        </w:rPr>
        <w:t>月</w:t>
      </w:r>
      <w:r w:rsidR="002C0D99">
        <w:rPr>
          <w:rFonts w:ascii="Times New Roman" w:hAnsi="Times New Roman"/>
          <w:kern w:val="0"/>
          <w:sz w:val="24"/>
        </w:rPr>
        <w:t>10</w:t>
      </w:r>
      <w:r w:rsidR="002C0D99">
        <w:rPr>
          <w:rFonts w:ascii="Times New Roman" w:hAnsi="Times New Roman"/>
          <w:kern w:val="0"/>
          <w:sz w:val="24"/>
        </w:rPr>
        <w:t>日，有关财务数据和净值表现截止日为</w:t>
      </w:r>
      <w:r w:rsidR="002C0D99">
        <w:rPr>
          <w:rFonts w:ascii="Times New Roman" w:hAnsi="Times New Roman"/>
          <w:kern w:val="0"/>
          <w:sz w:val="24"/>
        </w:rPr>
        <w:t>2020</w:t>
      </w:r>
      <w:r w:rsidR="002C0D99">
        <w:rPr>
          <w:rFonts w:ascii="Times New Roman" w:hAnsi="Times New Roman"/>
          <w:kern w:val="0"/>
          <w:sz w:val="24"/>
        </w:rPr>
        <w:t>年</w:t>
      </w:r>
      <w:r w:rsidR="002C0D99">
        <w:rPr>
          <w:rFonts w:ascii="Times New Roman" w:hAnsi="Times New Roman"/>
          <w:kern w:val="0"/>
          <w:sz w:val="24"/>
        </w:rPr>
        <w:t>06</w:t>
      </w:r>
      <w:r w:rsidR="002C0D99">
        <w:rPr>
          <w:rFonts w:ascii="Times New Roman" w:hAnsi="Times New Roman"/>
          <w:kern w:val="0"/>
          <w:sz w:val="24"/>
        </w:rPr>
        <w:t>月</w:t>
      </w:r>
      <w:r w:rsidR="002C0D99">
        <w:rPr>
          <w:rFonts w:ascii="Times New Roman" w:hAnsi="Times New Roman"/>
          <w:kern w:val="0"/>
          <w:sz w:val="24"/>
        </w:rPr>
        <w:t>30</w:t>
      </w:r>
      <w:r w:rsidR="002C0D99">
        <w:rPr>
          <w:rFonts w:ascii="Times New Roman" w:hAnsi="Times New Roman"/>
          <w:kern w:val="0"/>
          <w:sz w:val="24"/>
        </w:rPr>
        <w:t>日。本招募说明书所载的财务数据未经审计。</w:t>
      </w:r>
    </w:p>
    <w:p w14:paraId="72FA190E" w14:textId="77777777" w:rsidR="00791B53" w:rsidRDefault="00791B53">
      <w:pPr>
        <w:autoSpaceDE w:val="0"/>
        <w:autoSpaceDN w:val="0"/>
        <w:adjustRightInd w:val="0"/>
        <w:snapToGrid w:val="0"/>
        <w:spacing w:before="51" w:line="360" w:lineRule="auto"/>
        <w:ind w:left="120" w:rightChars="6" w:right="13" w:firstLine="480"/>
        <w:rPr>
          <w:rFonts w:ascii="宋体" w:hAnsi="宋体"/>
          <w:kern w:val="0"/>
          <w:szCs w:val="24"/>
        </w:rPr>
        <w:sectPr w:rsidR="00791B53">
          <w:headerReference w:type="default" r:id="rId14"/>
          <w:pgSz w:w="11920" w:h="16840"/>
          <w:pgMar w:top="1440" w:right="1680" w:bottom="280" w:left="1680" w:header="0" w:footer="1073" w:gutter="0"/>
          <w:pgNumType w:start="1"/>
          <w:cols w:space="720"/>
        </w:sectPr>
      </w:pPr>
    </w:p>
    <w:p w14:paraId="7FA0139C" w14:textId="77777777" w:rsidR="00F17461" w:rsidRPr="00F17461" w:rsidRDefault="002C0D99" w:rsidP="00F17461">
      <w:pPr>
        <w:pStyle w:val="af3"/>
        <w:snapToGrid w:val="0"/>
        <w:spacing w:after="240" w:line="360" w:lineRule="auto"/>
        <w:jc w:val="center"/>
        <w:rPr>
          <w:rFonts w:ascii="宋体" w:hAnsi="宋体"/>
          <w:noProof/>
          <w:sz w:val="24"/>
        </w:rPr>
      </w:pPr>
      <w:r w:rsidRPr="00F17461">
        <w:rPr>
          <w:rFonts w:ascii="宋体" w:hAnsi="宋体"/>
          <w:color w:val="000000"/>
          <w:position w:val="-4"/>
          <w:sz w:val="24"/>
          <w:szCs w:val="30"/>
        </w:rPr>
        <w:lastRenderedPageBreak/>
        <w:t>目</w:t>
      </w:r>
      <w:r w:rsidRPr="00F17461">
        <w:rPr>
          <w:rFonts w:ascii="宋体" w:hAnsi="宋体"/>
          <w:color w:val="000000"/>
          <w:position w:val="-4"/>
          <w:sz w:val="24"/>
          <w:szCs w:val="30"/>
        </w:rPr>
        <w:tab/>
        <w:t>录</w:t>
      </w:r>
      <w:r w:rsidR="00F17461" w:rsidRPr="00F17461">
        <w:rPr>
          <w:rFonts w:ascii="宋体" w:hAnsi="宋体"/>
          <w:color w:val="000000"/>
          <w:position w:val="-4"/>
          <w:sz w:val="24"/>
          <w:szCs w:val="30"/>
        </w:rPr>
        <w:fldChar w:fldCharType="begin"/>
      </w:r>
      <w:r w:rsidR="00F17461" w:rsidRPr="00F17461">
        <w:rPr>
          <w:rFonts w:ascii="宋体" w:hAnsi="宋体"/>
          <w:color w:val="000000"/>
          <w:position w:val="-4"/>
          <w:sz w:val="24"/>
          <w:szCs w:val="30"/>
        </w:rPr>
        <w:instrText xml:space="preserve"> TOC \o "1-3" \f - \h \t "-1" </w:instrText>
      </w:r>
      <w:r w:rsidR="00F17461" w:rsidRPr="00F17461">
        <w:rPr>
          <w:rFonts w:ascii="宋体" w:hAnsi="宋体"/>
          <w:color w:val="000000"/>
          <w:position w:val="-4"/>
          <w:sz w:val="24"/>
          <w:szCs w:val="30"/>
        </w:rPr>
        <w:fldChar w:fldCharType="separate"/>
      </w:r>
    </w:p>
    <w:p w14:paraId="3B1D4CAC"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3" w:history="1">
        <w:r w:rsidR="00F17461" w:rsidRPr="00F17461">
          <w:rPr>
            <w:rStyle w:val="af0"/>
            <w:rFonts w:ascii="宋体" w:hAnsi="宋体" w:hint="eastAsia"/>
            <w:noProof/>
            <w:kern w:val="0"/>
            <w:sz w:val="24"/>
          </w:rPr>
          <w:t>重要提示</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_Toc54104343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w:t>
        </w:r>
        <w:r w:rsidR="00F17461" w:rsidRPr="00F17461">
          <w:rPr>
            <w:rFonts w:ascii="宋体" w:hAnsi="宋体"/>
            <w:noProof/>
            <w:sz w:val="24"/>
          </w:rPr>
          <w:fldChar w:fldCharType="end"/>
        </w:r>
      </w:hyperlink>
    </w:p>
    <w:p w14:paraId="6E1325D8"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4" w:history="1">
        <w:r w:rsidR="00F17461" w:rsidRPr="00F17461">
          <w:rPr>
            <w:rStyle w:val="af0"/>
            <w:rFonts w:ascii="宋体" w:hAnsi="宋体" w:hint="eastAsia"/>
            <w:noProof/>
            <w:sz w:val="24"/>
          </w:rPr>
          <w:t>一、绪言</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_Toc54104344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4</w:t>
        </w:r>
        <w:r w:rsidR="00F17461" w:rsidRPr="00F17461">
          <w:rPr>
            <w:rFonts w:ascii="宋体" w:hAnsi="宋体"/>
            <w:noProof/>
            <w:sz w:val="24"/>
          </w:rPr>
          <w:fldChar w:fldCharType="end"/>
        </w:r>
      </w:hyperlink>
    </w:p>
    <w:p w14:paraId="6F9FB49F"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5" w:history="1">
        <w:r w:rsidR="00F17461" w:rsidRPr="00F17461">
          <w:rPr>
            <w:rStyle w:val="af0"/>
            <w:rFonts w:ascii="宋体" w:hAnsi="宋体" w:hint="eastAsia"/>
            <w:noProof/>
            <w:sz w:val="24"/>
          </w:rPr>
          <w:t>二、释义</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_Toc54104345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5</w:t>
        </w:r>
        <w:r w:rsidR="00F17461" w:rsidRPr="00F17461">
          <w:rPr>
            <w:rFonts w:ascii="宋体" w:hAnsi="宋体"/>
            <w:noProof/>
            <w:sz w:val="24"/>
          </w:rPr>
          <w:fldChar w:fldCharType="end"/>
        </w:r>
      </w:hyperlink>
    </w:p>
    <w:p w14:paraId="5CE119FE"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6" w:history="1">
        <w:r w:rsidR="00F17461" w:rsidRPr="00F17461">
          <w:rPr>
            <w:rStyle w:val="af0"/>
            <w:rFonts w:ascii="宋体" w:hAnsi="宋体" w:hint="eastAsia"/>
            <w:noProof/>
            <w:sz w:val="24"/>
          </w:rPr>
          <w:t>三、基金管理人</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_Toc54104346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10</w:t>
        </w:r>
        <w:r w:rsidR="00F17461" w:rsidRPr="00F17461">
          <w:rPr>
            <w:rFonts w:ascii="宋体" w:hAnsi="宋体"/>
            <w:noProof/>
            <w:sz w:val="24"/>
          </w:rPr>
          <w:fldChar w:fldCharType="end"/>
        </w:r>
      </w:hyperlink>
    </w:p>
    <w:p w14:paraId="42AF0435"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7" w:history="1">
        <w:r w:rsidR="00F17461" w:rsidRPr="00F17461">
          <w:rPr>
            <w:rStyle w:val="af0"/>
            <w:rFonts w:ascii="宋体" w:hAnsi="宋体" w:hint="eastAsia"/>
            <w:noProof/>
            <w:sz w:val="24"/>
          </w:rPr>
          <w:t>四、基金托管人</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_Toc54104347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18</w:t>
        </w:r>
        <w:r w:rsidR="00F17461" w:rsidRPr="00F17461">
          <w:rPr>
            <w:rFonts w:ascii="宋体" w:hAnsi="宋体"/>
            <w:noProof/>
            <w:sz w:val="24"/>
          </w:rPr>
          <w:fldChar w:fldCharType="end"/>
        </w:r>
      </w:hyperlink>
    </w:p>
    <w:p w14:paraId="4F41446A"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8" w:history="1">
        <w:r w:rsidR="00F17461" w:rsidRPr="00F17461">
          <w:rPr>
            <w:rStyle w:val="af0"/>
            <w:rFonts w:ascii="宋体" w:hAnsi="宋体" w:hint="eastAsia"/>
            <w:noProof/>
            <w:sz w:val="24"/>
          </w:rPr>
          <w:t>五、相关服务机构</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_Toc54104348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23</w:t>
        </w:r>
        <w:r w:rsidR="00F17461" w:rsidRPr="00F17461">
          <w:rPr>
            <w:rFonts w:ascii="宋体" w:hAnsi="宋体"/>
            <w:noProof/>
            <w:sz w:val="24"/>
          </w:rPr>
          <w:fldChar w:fldCharType="end"/>
        </w:r>
      </w:hyperlink>
    </w:p>
    <w:p w14:paraId="15EA6436"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49" w:history="1">
        <w:r w:rsidR="00F17461" w:rsidRPr="00F17461">
          <w:rPr>
            <w:rStyle w:val="af0"/>
            <w:rFonts w:ascii="宋体" w:hAnsi="宋体" w:hint="eastAsia"/>
            <w:noProof/>
            <w:sz w:val="24"/>
          </w:rPr>
          <w:t>六、基金的募集</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_Toc54104349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40</w:t>
        </w:r>
        <w:r w:rsidR="00F17461" w:rsidRPr="00F17461">
          <w:rPr>
            <w:rFonts w:ascii="宋体" w:hAnsi="宋体"/>
            <w:noProof/>
            <w:sz w:val="24"/>
          </w:rPr>
          <w:fldChar w:fldCharType="end"/>
        </w:r>
      </w:hyperlink>
    </w:p>
    <w:p w14:paraId="5C132CF4"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0" w:history="1">
        <w:r w:rsidR="00F17461" w:rsidRPr="00F17461">
          <w:rPr>
            <w:rStyle w:val="af0"/>
            <w:rFonts w:ascii="宋体" w:hAnsi="宋体" w:hint="eastAsia"/>
            <w:noProof/>
            <w:sz w:val="24"/>
          </w:rPr>
          <w:t>七、基金合同的生效</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_Toc54104350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41</w:t>
        </w:r>
        <w:r w:rsidR="00F17461" w:rsidRPr="00F17461">
          <w:rPr>
            <w:rFonts w:ascii="宋体" w:hAnsi="宋体"/>
            <w:noProof/>
            <w:sz w:val="24"/>
          </w:rPr>
          <w:fldChar w:fldCharType="end"/>
        </w:r>
      </w:hyperlink>
    </w:p>
    <w:p w14:paraId="66B07577"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1" w:history="1">
        <w:r w:rsidR="00F17461" w:rsidRPr="00F17461">
          <w:rPr>
            <w:rStyle w:val="af0"/>
            <w:rFonts w:ascii="宋体" w:hAnsi="宋体" w:hint="eastAsia"/>
            <w:noProof/>
            <w:sz w:val="24"/>
          </w:rPr>
          <w:t>八、基金份额的申购与赎回</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_Toc54104351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42</w:t>
        </w:r>
        <w:r w:rsidR="00F17461" w:rsidRPr="00F17461">
          <w:rPr>
            <w:rFonts w:ascii="宋体" w:hAnsi="宋体"/>
            <w:noProof/>
            <w:sz w:val="24"/>
          </w:rPr>
          <w:fldChar w:fldCharType="end"/>
        </w:r>
      </w:hyperlink>
    </w:p>
    <w:p w14:paraId="1A97347E"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2" w:history="1">
        <w:r w:rsidR="00F17461" w:rsidRPr="00F17461">
          <w:rPr>
            <w:rStyle w:val="af0"/>
            <w:rFonts w:ascii="宋体" w:hAnsi="宋体" w:hint="eastAsia"/>
            <w:noProof/>
            <w:sz w:val="24"/>
          </w:rPr>
          <w:t>九、基金的转换</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_Toc54104352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56</w:t>
        </w:r>
        <w:r w:rsidR="00F17461" w:rsidRPr="00F17461">
          <w:rPr>
            <w:rFonts w:ascii="宋体" w:hAnsi="宋体"/>
            <w:noProof/>
            <w:sz w:val="24"/>
          </w:rPr>
          <w:fldChar w:fldCharType="end"/>
        </w:r>
      </w:hyperlink>
    </w:p>
    <w:p w14:paraId="35C58C95"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3" w:history="1">
        <w:r w:rsidR="00F17461" w:rsidRPr="00F17461">
          <w:rPr>
            <w:rStyle w:val="af0"/>
            <w:rFonts w:ascii="宋体" w:hAnsi="宋体" w:hint="eastAsia"/>
            <w:noProof/>
            <w:sz w:val="24"/>
          </w:rPr>
          <w:t>十、基金的投资</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_Toc54104353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63</w:t>
        </w:r>
        <w:r w:rsidR="00F17461" w:rsidRPr="00F17461">
          <w:rPr>
            <w:rFonts w:ascii="宋体" w:hAnsi="宋体"/>
            <w:noProof/>
            <w:sz w:val="24"/>
          </w:rPr>
          <w:fldChar w:fldCharType="end"/>
        </w:r>
      </w:hyperlink>
    </w:p>
    <w:p w14:paraId="76AEFC8E"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4" w:history="1">
        <w:r w:rsidR="00F17461" w:rsidRPr="00F17461">
          <w:rPr>
            <w:rStyle w:val="af0"/>
            <w:rFonts w:ascii="宋体" w:hAnsi="宋体" w:hint="eastAsia"/>
            <w:noProof/>
            <w:sz w:val="24"/>
          </w:rPr>
          <w:t>十一、基金的业绩</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_Toc54104354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74</w:t>
        </w:r>
        <w:r w:rsidR="00F17461" w:rsidRPr="00F17461">
          <w:rPr>
            <w:rFonts w:ascii="宋体" w:hAnsi="宋体"/>
            <w:noProof/>
            <w:sz w:val="24"/>
          </w:rPr>
          <w:fldChar w:fldCharType="end"/>
        </w:r>
      </w:hyperlink>
    </w:p>
    <w:p w14:paraId="321BB7EB"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5" w:history="1">
        <w:r w:rsidR="00F17461" w:rsidRPr="00F17461">
          <w:rPr>
            <w:rStyle w:val="af0"/>
            <w:rFonts w:ascii="宋体" w:hAnsi="宋体" w:hint="eastAsia"/>
            <w:noProof/>
            <w:sz w:val="24"/>
          </w:rPr>
          <w:t>十二、基金的财产</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_Toc54104355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77</w:t>
        </w:r>
        <w:r w:rsidR="00F17461" w:rsidRPr="00F17461">
          <w:rPr>
            <w:rFonts w:ascii="宋体" w:hAnsi="宋体"/>
            <w:noProof/>
            <w:sz w:val="24"/>
          </w:rPr>
          <w:fldChar w:fldCharType="end"/>
        </w:r>
      </w:hyperlink>
    </w:p>
    <w:p w14:paraId="6C6B6E3D"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6" w:history="1">
        <w:r w:rsidR="00F17461" w:rsidRPr="00F17461">
          <w:rPr>
            <w:rStyle w:val="af0"/>
            <w:rFonts w:ascii="宋体" w:hAnsi="宋体" w:hint="eastAsia"/>
            <w:noProof/>
            <w:sz w:val="24"/>
          </w:rPr>
          <w:t>十三、基金资产的估值</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_Toc54104356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78</w:t>
        </w:r>
        <w:r w:rsidR="00F17461" w:rsidRPr="00F17461">
          <w:rPr>
            <w:rFonts w:ascii="宋体" w:hAnsi="宋体"/>
            <w:noProof/>
            <w:sz w:val="24"/>
          </w:rPr>
          <w:fldChar w:fldCharType="end"/>
        </w:r>
      </w:hyperlink>
    </w:p>
    <w:p w14:paraId="7070F904"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7" w:history="1">
        <w:r w:rsidR="00F17461" w:rsidRPr="00F17461">
          <w:rPr>
            <w:rStyle w:val="af0"/>
            <w:rFonts w:ascii="宋体" w:hAnsi="宋体" w:hint="eastAsia"/>
            <w:noProof/>
            <w:sz w:val="24"/>
          </w:rPr>
          <w:t>十四、基金收益与分配</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_Toc54104357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85</w:t>
        </w:r>
        <w:r w:rsidR="00F17461" w:rsidRPr="00F17461">
          <w:rPr>
            <w:rFonts w:ascii="宋体" w:hAnsi="宋体"/>
            <w:noProof/>
            <w:sz w:val="24"/>
          </w:rPr>
          <w:fldChar w:fldCharType="end"/>
        </w:r>
      </w:hyperlink>
    </w:p>
    <w:p w14:paraId="390E0D28"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8" w:history="1">
        <w:r w:rsidR="00F17461" w:rsidRPr="00F17461">
          <w:rPr>
            <w:rStyle w:val="af0"/>
            <w:rFonts w:ascii="宋体" w:hAnsi="宋体" w:hint="eastAsia"/>
            <w:noProof/>
            <w:sz w:val="24"/>
          </w:rPr>
          <w:t>十五、基金的费用与税收</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_Toc54104358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87</w:t>
        </w:r>
        <w:r w:rsidR="00F17461" w:rsidRPr="00F17461">
          <w:rPr>
            <w:rFonts w:ascii="宋体" w:hAnsi="宋体"/>
            <w:noProof/>
            <w:sz w:val="24"/>
          </w:rPr>
          <w:fldChar w:fldCharType="end"/>
        </w:r>
      </w:hyperlink>
    </w:p>
    <w:p w14:paraId="6B1B975D"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59" w:history="1">
        <w:r w:rsidR="00F17461" w:rsidRPr="00F17461">
          <w:rPr>
            <w:rStyle w:val="af0"/>
            <w:rFonts w:ascii="宋体" w:hAnsi="宋体" w:hint="eastAsia"/>
            <w:noProof/>
            <w:sz w:val="24"/>
          </w:rPr>
          <w:t>十六、基金的会计与审计</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_Toc54104359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90</w:t>
        </w:r>
        <w:r w:rsidR="00F17461" w:rsidRPr="00F17461">
          <w:rPr>
            <w:rFonts w:ascii="宋体" w:hAnsi="宋体"/>
            <w:noProof/>
            <w:sz w:val="24"/>
          </w:rPr>
          <w:fldChar w:fldCharType="end"/>
        </w:r>
      </w:hyperlink>
    </w:p>
    <w:p w14:paraId="1C8AB0D7"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0" w:history="1">
        <w:r w:rsidR="00F17461" w:rsidRPr="00F17461">
          <w:rPr>
            <w:rStyle w:val="af0"/>
            <w:rFonts w:ascii="宋体" w:hAnsi="宋体" w:hint="eastAsia"/>
            <w:noProof/>
            <w:sz w:val="24"/>
          </w:rPr>
          <w:t>十七、基金的信息披露</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_Toc54104360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91</w:t>
        </w:r>
        <w:r w:rsidR="00F17461" w:rsidRPr="00F17461">
          <w:rPr>
            <w:rFonts w:ascii="宋体" w:hAnsi="宋体"/>
            <w:noProof/>
            <w:sz w:val="24"/>
          </w:rPr>
          <w:fldChar w:fldCharType="end"/>
        </w:r>
      </w:hyperlink>
    </w:p>
    <w:p w14:paraId="0FAEEADF"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1" w:history="1">
        <w:r w:rsidR="00F17461" w:rsidRPr="00F17461">
          <w:rPr>
            <w:rStyle w:val="af0"/>
            <w:rFonts w:ascii="宋体" w:hAnsi="宋体" w:hint="eastAsia"/>
            <w:noProof/>
            <w:sz w:val="24"/>
          </w:rPr>
          <w:t>十八、风险揭示</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_Toc54104361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98</w:t>
        </w:r>
        <w:r w:rsidR="00F17461" w:rsidRPr="00F17461">
          <w:rPr>
            <w:rFonts w:ascii="宋体" w:hAnsi="宋体"/>
            <w:noProof/>
            <w:sz w:val="24"/>
          </w:rPr>
          <w:fldChar w:fldCharType="end"/>
        </w:r>
      </w:hyperlink>
    </w:p>
    <w:p w14:paraId="44751A6B"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2" w:history="1">
        <w:r w:rsidR="00F17461" w:rsidRPr="00F17461">
          <w:rPr>
            <w:rStyle w:val="af0"/>
            <w:rFonts w:ascii="宋体" w:hAnsi="宋体" w:hint="eastAsia"/>
            <w:noProof/>
            <w:sz w:val="24"/>
          </w:rPr>
          <w:t>十九、基金合同的变更、终止与基金财产的清算</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_Toc54104362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106</w:t>
        </w:r>
        <w:r w:rsidR="00F17461" w:rsidRPr="00F17461">
          <w:rPr>
            <w:rFonts w:ascii="宋体" w:hAnsi="宋体"/>
            <w:noProof/>
            <w:sz w:val="24"/>
          </w:rPr>
          <w:fldChar w:fldCharType="end"/>
        </w:r>
      </w:hyperlink>
    </w:p>
    <w:p w14:paraId="5B83578E"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3" w:history="1">
        <w:r w:rsidR="00F17461" w:rsidRPr="00F17461">
          <w:rPr>
            <w:rStyle w:val="af0"/>
            <w:rFonts w:ascii="宋体" w:hAnsi="宋体" w:hint="eastAsia"/>
            <w:noProof/>
            <w:sz w:val="24"/>
          </w:rPr>
          <w:t>二十、基金合同内容摘要</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_Toc54104363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108</w:t>
        </w:r>
        <w:r w:rsidR="00F17461" w:rsidRPr="00F17461">
          <w:rPr>
            <w:rFonts w:ascii="宋体" w:hAnsi="宋体"/>
            <w:noProof/>
            <w:sz w:val="24"/>
          </w:rPr>
          <w:fldChar w:fldCharType="end"/>
        </w:r>
      </w:hyperlink>
    </w:p>
    <w:p w14:paraId="58C2D6E0"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4" w:history="1">
        <w:r w:rsidR="00F17461" w:rsidRPr="00F17461">
          <w:rPr>
            <w:rStyle w:val="af0"/>
            <w:rFonts w:ascii="宋体" w:hAnsi="宋体" w:hint="eastAsia"/>
            <w:noProof/>
            <w:sz w:val="24"/>
          </w:rPr>
          <w:t>二十一、托管协议的内容摘要</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_Toc54104364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124</w:t>
        </w:r>
        <w:r w:rsidR="00F17461" w:rsidRPr="00F17461">
          <w:rPr>
            <w:rFonts w:ascii="宋体" w:hAnsi="宋体"/>
            <w:noProof/>
            <w:sz w:val="24"/>
          </w:rPr>
          <w:fldChar w:fldCharType="end"/>
        </w:r>
      </w:hyperlink>
    </w:p>
    <w:p w14:paraId="45BA259E"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5" w:history="1">
        <w:r w:rsidR="00F17461" w:rsidRPr="00F17461">
          <w:rPr>
            <w:rStyle w:val="af0"/>
            <w:rFonts w:ascii="宋体" w:hAnsi="宋体" w:hint="eastAsia"/>
            <w:noProof/>
            <w:sz w:val="24"/>
          </w:rPr>
          <w:t>二十二、对基金份额持有人的服务</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_Toc54104365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142</w:t>
        </w:r>
        <w:r w:rsidR="00F17461" w:rsidRPr="00F17461">
          <w:rPr>
            <w:rFonts w:ascii="宋体" w:hAnsi="宋体"/>
            <w:noProof/>
            <w:sz w:val="24"/>
          </w:rPr>
          <w:fldChar w:fldCharType="end"/>
        </w:r>
      </w:hyperlink>
    </w:p>
    <w:p w14:paraId="1141FADD"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6" w:history="1">
        <w:r w:rsidR="00F17461" w:rsidRPr="00F17461">
          <w:rPr>
            <w:rStyle w:val="af0"/>
            <w:rFonts w:ascii="宋体" w:hAnsi="宋体" w:hint="eastAsia"/>
            <w:noProof/>
            <w:sz w:val="24"/>
          </w:rPr>
          <w:t>二十三、其他应披露事项</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_Toc54104366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144</w:t>
        </w:r>
        <w:r w:rsidR="00F17461" w:rsidRPr="00F17461">
          <w:rPr>
            <w:rFonts w:ascii="宋体" w:hAnsi="宋体"/>
            <w:noProof/>
            <w:sz w:val="24"/>
          </w:rPr>
          <w:fldChar w:fldCharType="end"/>
        </w:r>
      </w:hyperlink>
    </w:p>
    <w:p w14:paraId="2B41A94F"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7" w:history="1">
        <w:r w:rsidR="00F17461" w:rsidRPr="00F17461">
          <w:rPr>
            <w:rStyle w:val="af0"/>
            <w:rFonts w:ascii="宋体" w:hAnsi="宋体" w:hint="eastAsia"/>
            <w:noProof/>
            <w:sz w:val="24"/>
          </w:rPr>
          <w:t>二十四、招募说明书的存放及查阅方式</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_Toc54104367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147</w:t>
        </w:r>
        <w:r w:rsidR="00F17461" w:rsidRPr="00F17461">
          <w:rPr>
            <w:rFonts w:ascii="宋体" w:hAnsi="宋体"/>
            <w:noProof/>
            <w:sz w:val="24"/>
          </w:rPr>
          <w:fldChar w:fldCharType="end"/>
        </w:r>
      </w:hyperlink>
    </w:p>
    <w:p w14:paraId="1108F7F2" w14:textId="77777777" w:rsidR="00F17461" w:rsidRPr="00DB1A7E" w:rsidRDefault="001D35B8" w:rsidP="00F17461">
      <w:pPr>
        <w:pStyle w:val="TOC1"/>
        <w:tabs>
          <w:tab w:val="right" w:leader="dot" w:pos="8550"/>
        </w:tabs>
        <w:spacing w:line="360" w:lineRule="auto"/>
        <w:rPr>
          <w:rFonts w:ascii="宋体" w:hAnsi="宋体"/>
          <w:noProof/>
          <w:sz w:val="24"/>
        </w:rPr>
      </w:pPr>
      <w:hyperlink w:anchor="_Toc54104368" w:history="1">
        <w:r w:rsidR="00F17461" w:rsidRPr="00F17461">
          <w:rPr>
            <w:rStyle w:val="af0"/>
            <w:rFonts w:ascii="宋体" w:hAnsi="宋体" w:hint="eastAsia"/>
            <w:noProof/>
            <w:sz w:val="24"/>
          </w:rPr>
          <w:t>二十五、备查文件</w:t>
        </w:r>
        <w:r w:rsidR="00F17461" w:rsidRPr="00F17461">
          <w:rPr>
            <w:rFonts w:ascii="宋体" w:hAnsi="宋体"/>
            <w:noProof/>
            <w:sz w:val="24"/>
          </w:rPr>
          <w:tab/>
        </w:r>
        <w:r w:rsidR="00F17461" w:rsidRPr="00F17461">
          <w:rPr>
            <w:rFonts w:ascii="宋体" w:hAnsi="宋体"/>
            <w:noProof/>
            <w:sz w:val="24"/>
          </w:rPr>
          <w:fldChar w:fldCharType="begin"/>
        </w:r>
        <w:r w:rsidR="00F17461" w:rsidRPr="00F17461">
          <w:rPr>
            <w:rFonts w:ascii="宋体" w:hAnsi="宋体"/>
            <w:noProof/>
            <w:sz w:val="24"/>
          </w:rPr>
          <w:instrText xml:space="preserve"> PAGEREF _Toc54104368 \h </w:instrText>
        </w:r>
        <w:r w:rsidR="00F17461" w:rsidRPr="00F17461">
          <w:rPr>
            <w:rFonts w:ascii="宋体" w:hAnsi="宋体"/>
            <w:noProof/>
            <w:sz w:val="24"/>
          </w:rPr>
        </w:r>
        <w:r w:rsidR="00F17461" w:rsidRPr="00F17461">
          <w:rPr>
            <w:rFonts w:ascii="宋体" w:hAnsi="宋体"/>
            <w:noProof/>
            <w:sz w:val="24"/>
          </w:rPr>
          <w:fldChar w:fldCharType="separate"/>
        </w:r>
        <w:r w:rsidR="00F17461" w:rsidRPr="00F17461">
          <w:rPr>
            <w:rFonts w:ascii="宋体" w:hAnsi="宋体"/>
            <w:noProof/>
            <w:sz w:val="24"/>
          </w:rPr>
          <w:t>148</w:t>
        </w:r>
        <w:r w:rsidR="00F17461" w:rsidRPr="00F17461">
          <w:rPr>
            <w:rFonts w:ascii="宋体" w:hAnsi="宋体"/>
            <w:noProof/>
            <w:sz w:val="24"/>
          </w:rPr>
          <w:fldChar w:fldCharType="end"/>
        </w:r>
      </w:hyperlink>
    </w:p>
    <w:p w14:paraId="082DF56B" w14:textId="02A5C926" w:rsidR="00791B53" w:rsidRDefault="00F17461" w:rsidP="00274103">
      <w:pPr>
        <w:pStyle w:val="af3"/>
        <w:snapToGrid w:val="0"/>
        <w:spacing w:after="240" w:line="360" w:lineRule="auto"/>
        <w:jc w:val="center"/>
        <w:rPr>
          <w:rFonts w:ascii="宋体" w:hAnsi="宋体"/>
          <w:b w:val="0"/>
          <w:bCs w:val="0"/>
          <w:szCs w:val="24"/>
        </w:rPr>
        <w:sectPr w:rsidR="00791B53">
          <w:pgSz w:w="11920" w:h="16840"/>
          <w:pgMar w:top="1480" w:right="1680" w:bottom="280" w:left="1680" w:header="0" w:footer="1073" w:gutter="0"/>
          <w:cols w:space="720"/>
        </w:sectPr>
      </w:pPr>
      <w:r w:rsidRPr="00F17461">
        <w:rPr>
          <w:rFonts w:ascii="宋体" w:hAnsi="宋体"/>
          <w:b w:val="0"/>
          <w:bCs w:val="0"/>
          <w:color w:val="000000"/>
          <w:position w:val="-4"/>
          <w:sz w:val="24"/>
          <w:szCs w:val="30"/>
        </w:rPr>
        <w:fldChar w:fldCharType="end"/>
      </w:r>
    </w:p>
    <w:p w14:paraId="662CB733" w14:textId="77777777" w:rsidR="00791B53" w:rsidRDefault="002C0D99">
      <w:pPr>
        <w:pStyle w:val="1"/>
        <w:snapToGrid w:val="0"/>
        <w:spacing w:beforeLines="0" w:before="240" w:after="240"/>
        <w:rPr>
          <w:rFonts w:ascii="宋体" w:hAnsi="宋体"/>
          <w:szCs w:val="30"/>
        </w:rPr>
      </w:pPr>
      <w:bookmarkStart w:id="3" w:name="_Toc54104344"/>
      <w:r>
        <w:rPr>
          <w:rFonts w:ascii="Times New Roman" w:hAnsi="Times New Roman"/>
          <w:sz w:val="30"/>
        </w:rPr>
        <w:lastRenderedPageBreak/>
        <w:t>一、绪言</w:t>
      </w:r>
      <w:bookmarkEnd w:id="3"/>
    </w:p>
    <w:p w14:paraId="5C7D1B9B" w14:textId="0E0D7452"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）、《公开募集开放式证券投资基金流动性风险管理规定》（以下简称</w:t>
      </w:r>
      <w:r>
        <w:rPr>
          <w:rFonts w:ascii="Times New Roman" w:hAnsi="Times New Roman"/>
          <w:sz w:val="24"/>
        </w:rPr>
        <w:t>“</w:t>
      </w:r>
      <w:r>
        <w:rPr>
          <w:rFonts w:ascii="Times New Roman" w:hAnsi="Times New Roman"/>
          <w:sz w:val="24"/>
        </w:rPr>
        <w:t>《流动性风险管理规定》</w:t>
      </w:r>
      <w:r>
        <w:rPr>
          <w:rFonts w:ascii="Times New Roman" w:hAnsi="Times New Roman"/>
          <w:sz w:val="24"/>
        </w:rPr>
        <w:t>”</w:t>
      </w:r>
      <w:r>
        <w:rPr>
          <w:rFonts w:ascii="Times New Roman" w:hAnsi="Times New Roman"/>
          <w:sz w:val="24"/>
        </w:rPr>
        <w:t>）</w:t>
      </w:r>
      <w:r w:rsidR="001A0AD6" w:rsidRPr="001A0AD6">
        <w:rPr>
          <w:rFonts w:ascii="Times New Roman" w:hAnsi="Times New Roman" w:hint="eastAsia"/>
          <w:sz w:val="24"/>
        </w:rPr>
        <w:t>、《公开募集证券投资基金运作指引第</w:t>
      </w:r>
      <w:r w:rsidR="001A0AD6" w:rsidRPr="001A0AD6">
        <w:rPr>
          <w:rFonts w:ascii="Times New Roman" w:hAnsi="Times New Roman" w:hint="eastAsia"/>
          <w:sz w:val="24"/>
        </w:rPr>
        <w:t>3</w:t>
      </w:r>
      <w:r w:rsidR="001A0AD6" w:rsidRPr="001A0AD6">
        <w:rPr>
          <w:rFonts w:ascii="Times New Roman" w:hAnsi="Times New Roman" w:hint="eastAsia"/>
          <w:sz w:val="24"/>
        </w:rPr>
        <w:t>号——指数基金指引》（以下简称“《指数基金指引》”）</w:t>
      </w:r>
      <w:r>
        <w:rPr>
          <w:rFonts w:ascii="Times New Roman" w:hAnsi="Times New Roman"/>
          <w:sz w:val="24"/>
        </w:rPr>
        <w:t>和其他相关法律法规的规定以及《交银施罗德创业板</w:t>
      </w:r>
      <w:r>
        <w:rPr>
          <w:rFonts w:ascii="Times New Roman" w:hAnsi="Times New Roman"/>
          <w:sz w:val="24"/>
        </w:rPr>
        <w:t>50</w:t>
      </w:r>
      <w:r>
        <w:rPr>
          <w:rFonts w:ascii="Times New Roman" w:hAnsi="Times New Roman"/>
          <w:sz w:val="24"/>
        </w:rPr>
        <w:t>指数型证券投资基金基金合同》（以下简称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469901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6E3C5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w:t>
      </w:r>
      <w:proofErr w:type="gramStart"/>
      <w:r>
        <w:rPr>
          <w:rFonts w:ascii="Times New Roman" w:hAnsi="Times New Roman"/>
          <w:sz w:val="24"/>
        </w:rPr>
        <w:t>投资人自依基金</w:t>
      </w:r>
      <w:proofErr w:type="gramEnd"/>
      <w:r>
        <w:rPr>
          <w:rFonts w:ascii="Times New Roman" w:hAnsi="Times New Roman"/>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1B24B71A"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912E25" w14:textId="77777777" w:rsidR="00791B53" w:rsidRDefault="002C0D99">
      <w:pPr>
        <w:pStyle w:val="1"/>
        <w:snapToGrid w:val="0"/>
        <w:spacing w:beforeLines="0" w:before="240" w:after="240"/>
        <w:rPr>
          <w:rFonts w:ascii="宋体" w:hAnsi="宋体"/>
          <w:szCs w:val="30"/>
        </w:rPr>
      </w:pPr>
      <w:bookmarkStart w:id="4" w:name="_Toc54104345"/>
      <w:r>
        <w:rPr>
          <w:rFonts w:ascii="Times New Roman" w:hAnsi="Times New Roman"/>
          <w:sz w:val="30"/>
        </w:rPr>
        <w:lastRenderedPageBreak/>
        <w:t>二、释义</w:t>
      </w:r>
      <w:bookmarkEnd w:id="4"/>
    </w:p>
    <w:p w14:paraId="5EA429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14:paraId="5ACB32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、基金或本基金：指交银施罗德创业板</w:t>
      </w:r>
      <w:r>
        <w:rPr>
          <w:rFonts w:ascii="Times New Roman" w:hAnsi="Times New Roman"/>
          <w:sz w:val="24"/>
        </w:rPr>
        <w:t>50</w:t>
      </w:r>
      <w:r>
        <w:rPr>
          <w:rFonts w:ascii="Times New Roman" w:hAnsi="Times New Roman"/>
          <w:sz w:val="24"/>
        </w:rPr>
        <w:t>指数型证券投资基金</w:t>
      </w:r>
    </w:p>
    <w:p w14:paraId="406CA6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232FF98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、基金托管人：指招商银行股份有限公司</w:t>
      </w:r>
    </w:p>
    <w:p w14:paraId="02842FB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、基金合同或《基金合同》：指《交银施罗德创业板</w:t>
      </w:r>
      <w:r>
        <w:rPr>
          <w:rFonts w:ascii="Times New Roman" w:hAnsi="Times New Roman"/>
          <w:sz w:val="24"/>
        </w:rPr>
        <w:t>50</w:t>
      </w:r>
      <w:r>
        <w:rPr>
          <w:rFonts w:ascii="Times New Roman" w:hAnsi="Times New Roman"/>
          <w:sz w:val="24"/>
        </w:rPr>
        <w:t>指数型证券投资基金基金合同》及对基金合同的任何有效修订和补充</w:t>
      </w:r>
    </w:p>
    <w:p w14:paraId="2428705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、托管协议：指基金管理人与基金托管人就本基金签订之《交银施罗德创业板</w:t>
      </w:r>
      <w:r>
        <w:rPr>
          <w:rFonts w:ascii="Times New Roman" w:hAnsi="Times New Roman"/>
          <w:sz w:val="24"/>
        </w:rPr>
        <w:t>50</w:t>
      </w:r>
      <w:r>
        <w:rPr>
          <w:rFonts w:ascii="Times New Roman" w:hAnsi="Times New Roman"/>
          <w:sz w:val="24"/>
        </w:rPr>
        <w:t>指数型证券投资基金托管协议》及对该托管协议的任何有效修订和补充</w:t>
      </w:r>
    </w:p>
    <w:p w14:paraId="3E6B0E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、招募说明书、本招募说明书或《招募说明书》：指《交银施罗德创业板</w:t>
      </w:r>
      <w:r>
        <w:rPr>
          <w:rFonts w:ascii="Times New Roman" w:hAnsi="Times New Roman"/>
          <w:sz w:val="24"/>
        </w:rPr>
        <w:t>50</w:t>
      </w:r>
      <w:r>
        <w:rPr>
          <w:rFonts w:ascii="Times New Roman" w:hAnsi="Times New Roman"/>
          <w:sz w:val="24"/>
        </w:rPr>
        <w:t>指数型证券投资基金招募说明书》及其更新</w:t>
      </w:r>
    </w:p>
    <w:p w14:paraId="2C25B0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、基金份额发售公告：指《交银施罗德创业板</w:t>
      </w:r>
      <w:r>
        <w:rPr>
          <w:rFonts w:ascii="Times New Roman" w:hAnsi="Times New Roman"/>
          <w:sz w:val="24"/>
        </w:rPr>
        <w:t>50</w:t>
      </w:r>
      <w:r>
        <w:rPr>
          <w:rFonts w:ascii="Times New Roman" w:hAnsi="Times New Roman"/>
          <w:sz w:val="24"/>
        </w:rPr>
        <w:t>指数型证券投资基金基金份额发售公告》</w:t>
      </w:r>
    </w:p>
    <w:p w14:paraId="3CE135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、基金产品资料概要：指《交银施罗德创业板</w:t>
      </w:r>
      <w:r>
        <w:rPr>
          <w:rFonts w:ascii="Times New Roman" w:hAnsi="Times New Roman"/>
          <w:sz w:val="24"/>
        </w:rPr>
        <w:t>50</w:t>
      </w:r>
      <w:r>
        <w:rPr>
          <w:rFonts w:ascii="Times New Roman" w:hAnsi="Times New Roman"/>
          <w:sz w:val="24"/>
        </w:rPr>
        <w:t>指数型证券投资基金基金产品资料概要》及其更新</w:t>
      </w:r>
    </w:p>
    <w:p w14:paraId="26D227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14:paraId="673753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w:t>
      </w:r>
      <w:r>
        <w:rPr>
          <w:rFonts w:ascii="Times New Roman" w:hAnsi="Times New Roman"/>
          <w:sz w:val="24"/>
        </w:rPr>
        <w:t>2003</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28</w:t>
      </w:r>
      <w:r>
        <w:rPr>
          <w:rFonts w:ascii="Times New Roman" w:hAnsi="Times New Roman"/>
          <w:sz w:val="24"/>
        </w:rPr>
        <w:t>日经第十届全国人民代表大会常务委员会第五次会议通过，经</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28</w:t>
      </w:r>
      <w:r>
        <w:rPr>
          <w:rFonts w:ascii="Times New Roman" w:hAnsi="Times New Roman"/>
          <w:sz w:val="24"/>
        </w:rPr>
        <w:t>日第十一届全国人民代表大会常务委员会第三十次会议修订，自</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日起实施，并经</w:t>
      </w:r>
      <w:r>
        <w:rPr>
          <w:rFonts w:ascii="Times New Roman" w:hAnsi="Times New Roman"/>
          <w:sz w:val="24"/>
        </w:rPr>
        <w:t>2015</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24</w:t>
      </w:r>
      <w:r>
        <w:rPr>
          <w:rFonts w:ascii="Times New Roman" w:hAnsi="Times New Roman"/>
          <w:sz w:val="24"/>
        </w:rPr>
        <w:t>日第十二届全国人民代表大会常务委员会第十四次会议《全国人民代表大会常务委员会关于修改</w:t>
      </w:r>
      <w:r>
        <w:rPr>
          <w:rFonts w:ascii="Times New Roman" w:hAnsi="Times New Roman"/>
          <w:sz w:val="24"/>
        </w:rPr>
        <w:t>&lt;</w:t>
      </w:r>
      <w:r>
        <w:rPr>
          <w:rFonts w:ascii="Times New Roman" w:hAnsi="Times New Roman"/>
          <w:sz w:val="24"/>
        </w:rPr>
        <w:t>中华人民共和国港口法</w:t>
      </w:r>
      <w:r>
        <w:rPr>
          <w:rFonts w:ascii="Times New Roman" w:hAnsi="Times New Roman"/>
          <w:sz w:val="24"/>
        </w:rPr>
        <w:t>&gt;</w:t>
      </w:r>
      <w:r>
        <w:rPr>
          <w:rFonts w:ascii="Times New Roman" w:hAnsi="Times New Roman"/>
          <w:sz w:val="24"/>
        </w:rPr>
        <w:t>等七部法律的决定》修正的《中华人民共和国证券投资基金法》及颁布机关对其不时做出的修订</w:t>
      </w:r>
    </w:p>
    <w:p w14:paraId="5094E6B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、《销售办法》：指中国证监会</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15</w:t>
      </w:r>
      <w:r>
        <w:rPr>
          <w:rFonts w:ascii="Times New Roman" w:hAnsi="Times New Roman"/>
          <w:sz w:val="24"/>
        </w:rPr>
        <w:t>日颁布、同年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日实施的《证券投资基金销售管理办法》及颁布机关对其不时做出的修订</w:t>
      </w:r>
    </w:p>
    <w:p w14:paraId="7B6489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日实施的《公开募集证券投资基金信息披露管理办法》及颁布机关对其不时做出的修订</w:t>
      </w:r>
    </w:p>
    <w:p w14:paraId="5AEA678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、《运作办法》：指中国证监会</w:t>
      </w:r>
      <w:r>
        <w:rPr>
          <w:rFonts w:ascii="Times New Roman" w:hAnsi="Times New Roman"/>
          <w:sz w:val="24"/>
        </w:rPr>
        <w:t>2014</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7</w:t>
      </w:r>
      <w:r>
        <w:rPr>
          <w:rFonts w:ascii="Times New Roman" w:hAnsi="Times New Roman"/>
          <w:sz w:val="24"/>
        </w:rPr>
        <w:t>日颁布、同年</w:t>
      </w:r>
      <w:r>
        <w:rPr>
          <w:rFonts w:ascii="Times New Roman" w:hAnsi="Times New Roman"/>
          <w:sz w:val="24"/>
        </w:rPr>
        <w:t>8</w:t>
      </w:r>
      <w:r>
        <w:rPr>
          <w:rFonts w:ascii="Times New Roman" w:hAnsi="Times New Roman"/>
          <w:sz w:val="24"/>
        </w:rPr>
        <w:t>月</w:t>
      </w:r>
      <w:r>
        <w:rPr>
          <w:rFonts w:ascii="Times New Roman" w:hAnsi="Times New Roman"/>
          <w:sz w:val="24"/>
        </w:rPr>
        <w:t>8</w:t>
      </w:r>
      <w:r>
        <w:rPr>
          <w:rFonts w:ascii="Times New Roman" w:hAnsi="Times New Roman"/>
          <w:sz w:val="24"/>
        </w:rPr>
        <w:t>日实施的《公开募集证券投资基金运作管理办法》及颁布机关对其不时做出的修订</w:t>
      </w:r>
    </w:p>
    <w:p w14:paraId="6D927B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14</w:t>
      </w:r>
      <w:r>
        <w:rPr>
          <w:rFonts w:ascii="Times New Roman" w:hAnsi="Times New Roman"/>
          <w:sz w:val="24"/>
        </w:rPr>
        <w:t>、《流动性风险管理规定》：指中国证监会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日实施的《公开募集开放式证券投资基金流动性风险管理规定》及颁布机关对其不时做出的修订</w:t>
      </w:r>
    </w:p>
    <w:p w14:paraId="60736E3E" w14:textId="77777777" w:rsidR="00A716B2" w:rsidRPr="00A716B2" w:rsidRDefault="002C0D99" w:rsidP="00A716B2">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15</w:t>
      </w:r>
      <w:r>
        <w:rPr>
          <w:rFonts w:ascii="Times New Roman" w:hAnsi="Times New Roman"/>
          <w:sz w:val="24"/>
        </w:rPr>
        <w:t>、</w:t>
      </w:r>
      <w:r w:rsidR="00A716B2" w:rsidRPr="00A716B2">
        <w:rPr>
          <w:rFonts w:ascii="Times New Roman" w:hAnsi="Times New Roman"/>
          <w:bCs/>
          <w:sz w:val="24"/>
        </w:rPr>
        <w:t>《</w:t>
      </w:r>
      <w:r w:rsidR="00A716B2" w:rsidRPr="00A716B2">
        <w:rPr>
          <w:rFonts w:ascii="Times New Roman" w:hAnsi="Times New Roman" w:hint="eastAsia"/>
          <w:bCs/>
          <w:sz w:val="24"/>
        </w:rPr>
        <w:t>指数基金指引》：指中国证监会</w:t>
      </w:r>
      <w:r w:rsidR="00A716B2" w:rsidRPr="00A716B2">
        <w:rPr>
          <w:rFonts w:ascii="Times New Roman" w:hAnsi="Times New Roman" w:hint="eastAsia"/>
          <w:bCs/>
          <w:sz w:val="24"/>
        </w:rPr>
        <w:t>2021</w:t>
      </w:r>
      <w:r w:rsidR="00A716B2" w:rsidRPr="00A716B2">
        <w:rPr>
          <w:rFonts w:ascii="Times New Roman" w:hAnsi="Times New Roman" w:hint="eastAsia"/>
          <w:bCs/>
          <w:sz w:val="24"/>
        </w:rPr>
        <w:t>年</w:t>
      </w:r>
      <w:r w:rsidR="00A716B2" w:rsidRPr="00A716B2">
        <w:rPr>
          <w:rFonts w:ascii="Times New Roman" w:hAnsi="Times New Roman" w:hint="eastAsia"/>
          <w:bCs/>
          <w:sz w:val="24"/>
        </w:rPr>
        <w:t>1</w:t>
      </w:r>
      <w:r w:rsidR="00A716B2" w:rsidRPr="00A716B2">
        <w:rPr>
          <w:rFonts w:ascii="Times New Roman" w:hAnsi="Times New Roman" w:hint="eastAsia"/>
          <w:bCs/>
          <w:sz w:val="24"/>
        </w:rPr>
        <w:t>月</w:t>
      </w:r>
      <w:r w:rsidR="00A716B2" w:rsidRPr="00A716B2">
        <w:rPr>
          <w:rFonts w:ascii="Times New Roman" w:hAnsi="Times New Roman" w:hint="eastAsia"/>
          <w:bCs/>
          <w:sz w:val="24"/>
        </w:rPr>
        <w:t>22</w:t>
      </w:r>
      <w:r w:rsidR="00A716B2" w:rsidRPr="00A716B2">
        <w:rPr>
          <w:rFonts w:ascii="Times New Roman" w:hAnsi="Times New Roman" w:hint="eastAsia"/>
          <w:bCs/>
          <w:sz w:val="24"/>
        </w:rPr>
        <w:t>日颁布、同年</w:t>
      </w:r>
      <w:r w:rsidR="00A716B2" w:rsidRPr="00A716B2">
        <w:rPr>
          <w:rFonts w:ascii="Times New Roman" w:hAnsi="Times New Roman" w:hint="eastAsia"/>
          <w:bCs/>
          <w:sz w:val="24"/>
        </w:rPr>
        <w:t>2</w:t>
      </w:r>
      <w:r w:rsidR="00A716B2" w:rsidRPr="00A716B2">
        <w:rPr>
          <w:rFonts w:ascii="Times New Roman" w:hAnsi="Times New Roman" w:hint="eastAsia"/>
          <w:bCs/>
          <w:sz w:val="24"/>
        </w:rPr>
        <w:t>月</w:t>
      </w:r>
      <w:r w:rsidR="00A716B2" w:rsidRPr="00A716B2">
        <w:rPr>
          <w:rFonts w:ascii="Times New Roman" w:hAnsi="Times New Roman" w:hint="eastAsia"/>
          <w:bCs/>
          <w:sz w:val="24"/>
        </w:rPr>
        <w:t>1</w:t>
      </w:r>
      <w:r w:rsidR="00A716B2" w:rsidRPr="00A716B2">
        <w:rPr>
          <w:rFonts w:ascii="Times New Roman" w:hAnsi="Times New Roman" w:hint="eastAsia"/>
          <w:bCs/>
          <w:sz w:val="24"/>
        </w:rPr>
        <w:t>日实施的《公开募集证券投资基金运作指引第</w:t>
      </w:r>
      <w:r w:rsidR="00A716B2" w:rsidRPr="00A716B2">
        <w:rPr>
          <w:rFonts w:ascii="Times New Roman" w:hAnsi="Times New Roman" w:hint="eastAsia"/>
          <w:bCs/>
          <w:sz w:val="24"/>
        </w:rPr>
        <w:t>3</w:t>
      </w:r>
      <w:r w:rsidR="00A716B2" w:rsidRPr="00A716B2">
        <w:rPr>
          <w:rFonts w:ascii="Times New Roman" w:hAnsi="Times New Roman" w:hint="eastAsia"/>
          <w:bCs/>
          <w:sz w:val="24"/>
        </w:rPr>
        <w:t>号——指数基金指引》及颁布机关对其不时做出的修订</w:t>
      </w:r>
    </w:p>
    <w:p w14:paraId="279FDA04" w14:textId="47592EBE" w:rsidR="00791B53" w:rsidRDefault="00A716B2" w:rsidP="00A716B2">
      <w:pPr>
        <w:autoSpaceDE w:val="0"/>
        <w:autoSpaceDN w:val="0"/>
        <w:adjustRightInd w:val="0"/>
        <w:snapToGrid w:val="0"/>
        <w:spacing w:line="360" w:lineRule="auto"/>
        <w:ind w:firstLineChars="200" w:firstLine="480"/>
        <w:rPr>
          <w:rFonts w:ascii="宋体" w:hAnsi="宋体"/>
          <w:szCs w:val="24"/>
        </w:rPr>
      </w:pPr>
      <w:r w:rsidRPr="00A716B2">
        <w:rPr>
          <w:rFonts w:ascii="Times New Roman" w:hAnsi="Times New Roman" w:hint="eastAsia"/>
          <w:bCs/>
          <w:sz w:val="24"/>
        </w:rPr>
        <w:t>1</w:t>
      </w:r>
      <w:r w:rsidRPr="00A716B2">
        <w:rPr>
          <w:rFonts w:ascii="Times New Roman" w:hAnsi="Times New Roman"/>
          <w:bCs/>
          <w:sz w:val="24"/>
        </w:rPr>
        <w:t>6</w:t>
      </w:r>
      <w:r w:rsidRPr="00A716B2">
        <w:rPr>
          <w:rFonts w:ascii="Times New Roman" w:hAnsi="Times New Roman" w:hint="eastAsia"/>
          <w:bCs/>
          <w:sz w:val="24"/>
        </w:rPr>
        <w:t>、</w:t>
      </w:r>
      <w:r w:rsidR="002C0D99">
        <w:rPr>
          <w:rFonts w:ascii="Times New Roman" w:hAnsi="Times New Roman"/>
          <w:sz w:val="24"/>
        </w:rPr>
        <w:t>中国证监会：指中国证券监督管理委员会</w:t>
      </w:r>
    </w:p>
    <w:p w14:paraId="3A7BA598" w14:textId="627547E5" w:rsidR="00791B53" w:rsidRDefault="00A716B2">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sidR="002C0D99">
        <w:rPr>
          <w:rFonts w:ascii="Times New Roman" w:hAnsi="Times New Roman"/>
          <w:sz w:val="24"/>
        </w:rPr>
        <w:t>、银行业监督管理机构：指中国人民银行和</w:t>
      </w:r>
      <w:r w:rsidR="002C0D99">
        <w:rPr>
          <w:rFonts w:ascii="Times New Roman" w:hAnsi="Times New Roman"/>
          <w:sz w:val="24"/>
        </w:rPr>
        <w:t>/</w:t>
      </w:r>
      <w:r w:rsidR="002C0D99">
        <w:rPr>
          <w:rFonts w:ascii="Times New Roman" w:hAnsi="Times New Roman"/>
          <w:sz w:val="24"/>
        </w:rPr>
        <w:t>或中国银行保险监督管理委员会</w:t>
      </w:r>
    </w:p>
    <w:p w14:paraId="348C7F67" w14:textId="485416D9"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sidR="00A716B2">
        <w:rPr>
          <w:rFonts w:ascii="Times New Roman" w:hAnsi="Times New Roman"/>
          <w:sz w:val="24"/>
        </w:rPr>
        <w:t>8</w:t>
      </w:r>
      <w:r>
        <w:rPr>
          <w:rFonts w:ascii="Times New Roman" w:hAnsi="Times New Roman"/>
          <w:sz w:val="24"/>
        </w:rPr>
        <w:t>、基金合同当事人：指受基金合同约束，根据基金合同享有权利并承担义务的法律主体，包括基金管理人、基金托管人和基金份额持有人</w:t>
      </w:r>
    </w:p>
    <w:p w14:paraId="0D005B54" w14:textId="5CFD69EF" w:rsidR="00791B53" w:rsidRDefault="00A716B2">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sidR="002C0D99">
        <w:rPr>
          <w:rFonts w:ascii="Times New Roman" w:hAnsi="Times New Roman"/>
          <w:sz w:val="24"/>
        </w:rPr>
        <w:t>、个人投资者：指依据有关法律法规规定可投资于证券投资基金的自然人</w:t>
      </w:r>
    </w:p>
    <w:p w14:paraId="61BC4EE0" w14:textId="00D5CD45"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sidR="002C0D99">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102ACB68" w14:textId="25308292"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sidR="002C0D99">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14:paraId="54CA1B10" w14:textId="510DDEDA"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sidR="002C0D99">
        <w:rPr>
          <w:rFonts w:ascii="Times New Roman" w:hAnsi="Times New Roman"/>
          <w:sz w:val="24"/>
        </w:rPr>
        <w:t>、人民币合格境外机构投资者：指按照《人民币合格境外机构投资者境内证券投资试点办法》及相关法律法规规定，运用来自境外的人民币资金进行境内证券投资的境外法人</w:t>
      </w:r>
    </w:p>
    <w:p w14:paraId="687D1D2F" w14:textId="1C2B1EF0"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sidR="002C0D99">
        <w:rPr>
          <w:rFonts w:ascii="Times New Roman" w:hAnsi="Times New Roman"/>
          <w:sz w:val="24"/>
        </w:rPr>
        <w:t>、投资人、投资者：指个人投资者、机构投资者、合格境外机构投资者和人民币合格境外机构投资者以及法律法规或中国证监会允许购买证券投资基金的其他投资人的合称</w:t>
      </w:r>
    </w:p>
    <w:p w14:paraId="22D59541" w14:textId="3D4E8ECA"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sidR="002C0D99">
        <w:rPr>
          <w:rFonts w:ascii="Times New Roman" w:hAnsi="Times New Roman"/>
          <w:sz w:val="24"/>
        </w:rPr>
        <w:t>、基金份额持有人：指依基金合同和招募说明书合法取得基金份额的投资人</w:t>
      </w:r>
    </w:p>
    <w:p w14:paraId="76CB97C8" w14:textId="09C8BEAB"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sidR="002C0D99">
        <w:rPr>
          <w:rFonts w:ascii="Times New Roman" w:hAnsi="Times New Roman"/>
          <w:sz w:val="24"/>
        </w:rPr>
        <w:t>、基金销售业务：指基金管理人或销售机构宣传推介基金，发售基金份额，办理基金份额的申购、赎回、转换、转托管及定期定额投资等业务</w:t>
      </w:r>
    </w:p>
    <w:p w14:paraId="7B8AC432" w14:textId="75474D15"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sidR="002C0D99">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1595ABC7" w14:textId="4B6509DA"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27</w:t>
      </w:r>
      <w:r w:rsidR="002C0D99">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2C0D99">
        <w:rPr>
          <w:rFonts w:ascii="Times New Roman" w:hAnsi="Times New Roman"/>
          <w:sz w:val="24"/>
        </w:rPr>
        <w:t>非交易</w:t>
      </w:r>
      <w:proofErr w:type="gramEnd"/>
      <w:r w:rsidR="002C0D99">
        <w:rPr>
          <w:rFonts w:ascii="Times New Roman" w:hAnsi="Times New Roman"/>
          <w:sz w:val="24"/>
        </w:rPr>
        <w:t>过户等</w:t>
      </w:r>
    </w:p>
    <w:p w14:paraId="29EB9D47" w14:textId="7E37C755"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sidR="002C0D99">
        <w:rPr>
          <w:rFonts w:ascii="Times New Roman" w:hAnsi="Times New Roman"/>
          <w:sz w:val="24"/>
        </w:rPr>
        <w:t>、登记机构：</w:t>
      </w:r>
      <w:proofErr w:type="gramStart"/>
      <w:r w:rsidR="002C0D99">
        <w:rPr>
          <w:rFonts w:ascii="Times New Roman" w:hAnsi="Times New Roman"/>
          <w:sz w:val="24"/>
        </w:rPr>
        <w:t>指办理</w:t>
      </w:r>
      <w:proofErr w:type="gramEnd"/>
      <w:r w:rsidR="002C0D99">
        <w:rPr>
          <w:rFonts w:ascii="Times New Roman" w:hAnsi="Times New Roman"/>
          <w:sz w:val="24"/>
        </w:rPr>
        <w:t>登记业务的机构。基金的登记机构为交银施罗德基金管理有限公司或接受交银施罗德基金管理有限公司委托代为办理登记业务的机构</w:t>
      </w:r>
    </w:p>
    <w:p w14:paraId="4EFD782C" w14:textId="3CE71199"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sidR="002C0D99">
        <w:rPr>
          <w:rFonts w:ascii="Times New Roman" w:hAnsi="Times New Roman"/>
          <w:sz w:val="24"/>
        </w:rPr>
        <w:t>、基金账户：指登记机构为投资人开立的、记录其持有的、基金管理人所管理的基金份额余额及其变动情况的账户</w:t>
      </w:r>
    </w:p>
    <w:p w14:paraId="6CF7FF7B" w14:textId="079AEF08"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sidR="002C0D99">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0111072D" w14:textId="5DD0AE37"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sidR="002C0D99">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054CF5A2" w14:textId="29B8698B"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sidR="002C0D99">
        <w:rPr>
          <w:rFonts w:ascii="Times New Roman" w:hAnsi="Times New Roman"/>
          <w:sz w:val="24"/>
        </w:rPr>
        <w:t>、基金合同终止日：指基金合同规定的基金合同终止事由出现后，基金财产清算完毕，清算结果报中国证监会备案并予以公告的日期</w:t>
      </w:r>
    </w:p>
    <w:p w14:paraId="747808BD" w14:textId="22B5D31D"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sidR="002C0D99">
        <w:rPr>
          <w:rFonts w:ascii="Times New Roman" w:hAnsi="Times New Roman"/>
          <w:sz w:val="24"/>
        </w:rPr>
        <w:t>、基金募集期：指自基金份额发售之日起至发售结束之日止的期间，最长不得超过</w:t>
      </w:r>
      <w:r w:rsidR="002C0D99">
        <w:rPr>
          <w:rFonts w:ascii="Times New Roman" w:hAnsi="Times New Roman"/>
          <w:sz w:val="24"/>
        </w:rPr>
        <w:t>3</w:t>
      </w:r>
      <w:r w:rsidR="002C0D99">
        <w:rPr>
          <w:rFonts w:ascii="Times New Roman" w:hAnsi="Times New Roman"/>
          <w:sz w:val="24"/>
        </w:rPr>
        <w:t>个月</w:t>
      </w:r>
    </w:p>
    <w:p w14:paraId="3BF42B89" w14:textId="3470BC4E"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sidR="002C0D99">
        <w:rPr>
          <w:rFonts w:ascii="Times New Roman" w:hAnsi="Times New Roman"/>
          <w:sz w:val="24"/>
        </w:rPr>
        <w:t>、存续期：指基金合同生效至终止之间的不定期期限</w:t>
      </w:r>
    </w:p>
    <w:p w14:paraId="2136FE83" w14:textId="63F4BBB9"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sidR="002C0D99">
        <w:rPr>
          <w:rFonts w:ascii="Times New Roman" w:hAnsi="Times New Roman"/>
          <w:sz w:val="24"/>
        </w:rPr>
        <w:t>、工作日：指上海证券交易所、深圳证券交易所的正常交易日</w:t>
      </w:r>
    </w:p>
    <w:p w14:paraId="55CEB5F7" w14:textId="3ED29BAC"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sidR="002C0D99">
        <w:rPr>
          <w:rFonts w:ascii="Times New Roman" w:hAnsi="Times New Roman"/>
          <w:sz w:val="24"/>
        </w:rPr>
        <w:t>、</w:t>
      </w:r>
      <w:r w:rsidR="002C0D99">
        <w:rPr>
          <w:rFonts w:ascii="Times New Roman" w:hAnsi="Times New Roman"/>
          <w:sz w:val="24"/>
        </w:rPr>
        <w:t>T</w:t>
      </w:r>
      <w:r w:rsidR="002C0D99">
        <w:rPr>
          <w:rFonts w:ascii="Times New Roman" w:hAnsi="Times New Roman"/>
          <w:sz w:val="24"/>
        </w:rPr>
        <w:t>日：指销售机构在规定时间受理投资人申购、赎回或其他业务申请的开放日</w:t>
      </w:r>
    </w:p>
    <w:p w14:paraId="76279E6B" w14:textId="30AAEBCE"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sidR="002C0D99">
        <w:rPr>
          <w:rFonts w:ascii="Times New Roman" w:hAnsi="Times New Roman"/>
          <w:sz w:val="24"/>
        </w:rPr>
        <w:t>、</w:t>
      </w:r>
      <w:proofErr w:type="spellStart"/>
      <w:r w:rsidR="002C0D99">
        <w:rPr>
          <w:rFonts w:ascii="Times New Roman" w:hAnsi="Times New Roman"/>
          <w:sz w:val="24"/>
        </w:rPr>
        <w:t>T+n</w:t>
      </w:r>
      <w:proofErr w:type="spellEnd"/>
      <w:r w:rsidR="002C0D99">
        <w:rPr>
          <w:rFonts w:ascii="Times New Roman" w:hAnsi="Times New Roman"/>
          <w:sz w:val="24"/>
        </w:rPr>
        <w:t>日：指自</w:t>
      </w:r>
      <w:r w:rsidR="002C0D99">
        <w:rPr>
          <w:rFonts w:ascii="Times New Roman" w:hAnsi="Times New Roman"/>
          <w:sz w:val="24"/>
        </w:rPr>
        <w:t>T</w:t>
      </w:r>
      <w:r w:rsidR="002C0D99">
        <w:rPr>
          <w:rFonts w:ascii="Times New Roman" w:hAnsi="Times New Roman"/>
          <w:sz w:val="24"/>
        </w:rPr>
        <w:t>日起第</w:t>
      </w:r>
      <w:r w:rsidR="002C0D99">
        <w:rPr>
          <w:rFonts w:ascii="Times New Roman" w:hAnsi="Times New Roman"/>
          <w:sz w:val="24"/>
        </w:rPr>
        <w:t>n</w:t>
      </w:r>
      <w:proofErr w:type="gramStart"/>
      <w:r w:rsidR="002C0D99">
        <w:rPr>
          <w:rFonts w:ascii="Times New Roman" w:hAnsi="Times New Roman"/>
          <w:sz w:val="24"/>
        </w:rPr>
        <w:t>个</w:t>
      </w:r>
      <w:proofErr w:type="gramEnd"/>
      <w:r w:rsidR="002C0D99">
        <w:rPr>
          <w:rFonts w:ascii="Times New Roman" w:hAnsi="Times New Roman"/>
          <w:sz w:val="24"/>
        </w:rPr>
        <w:t>工作日（不包含</w:t>
      </w:r>
      <w:r w:rsidR="002C0D99">
        <w:rPr>
          <w:rFonts w:ascii="Times New Roman" w:hAnsi="Times New Roman"/>
          <w:sz w:val="24"/>
        </w:rPr>
        <w:t>T</w:t>
      </w:r>
      <w:r w:rsidR="002C0D99">
        <w:rPr>
          <w:rFonts w:ascii="Times New Roman" w:hAnsi="Times New Roman"/>
          <w:sz w:val="24"/>
        </w:rPr>
        <w:t>日）</w:t>
      </w:r>
    </w:p>
    <w:p w14:paraId="68F558F8" w14:textId="2824FAE7"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sidR="002C0D99">
        <w:rPr>
          <w:rFonts w:ascii="Times New Roman" w:hAnsi="Times New Roman"/>
          <w:sz w:val="24"/>
        </w:rPr>
        <w:t>、开放日：指为投资人办理基金份额申购、赎回或其他业务的工作日</w:t>
      </w:r>
    </w:p>
    <w:p w14:paraId="276303BA" w14:textId="2DBA4B2F"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sidR="002C0D99">
        <w:rPr>
          <w:rFonts w:ascii="Times New Roman" w:hAnsi="Times New Roman"/>
          <w:sz w:val="24"/>
        </w:rPr>
        <w:t>、开放时间：指开放日基金接受申购、赎回或其他交易的时间段</w:t>
      </w:r>
    </w:p>
    <w:p w14:paraId="1C92C40C" w14:textId="5EE306B1"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sidR="002C0D99">
        <w:rPr>
          <w:rFonts w:ascii="Times New Roman" w:hAnsi="Times New Roman"/>
          <w:sz w:val="24"/>
        </w:rPr>
        <w:t>、《业务规则》：指中国证券登记结算有限责任公司相关业务规则及其不时做出的修订</w:t>
      </w:r>
    </w:p>
    <w:p w14:paraId="4577D328" w14:textId="46848C1E"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sidR="002C0D99">
        <w:rPr>
          <w:rFonts w:ascii="Times New Roman" w:hAnsi="Times New Roman"/>
          <w:sz w:val="24"/>
        </w:rPr>
        <w:t>、认购：指在基金募集期内，投资人根据基金合同和招募说明书的规定申请购买基金份额的行为</w:t>
      </w:r>
    </w:p>
    <w:p w14:paraId="20EC745C" w14:textId="6600303D"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sidR="002C0D99">
        <w:rPr>
          <w:rFonts w:ascii="Times New Roman" w:hAnsi="Times New Roman"/>
          <w:sz w:val="24"/>
        </w:rPr>
        <w:t>、申购：指基金合同生效后，投资人根据基金合同和招募说明书的规定申请购买基金份额的行为</w:t>
      </w:r>
    </w:p>
    <w:p w14:paraId="2A38A432" w14:textId="30479018"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43</w:t>
      </w:r>
      <w:r w:rsidR="002C0D99">
        <w:rPr>
          <w:rFonts w:ascii="Times New Roman" w:hAnsi="Times New Roman"/>
          <w:sz w:val="24"/>
        </w:rPr>
        <w:t>、赎回：指基金合同生效后，基金份额持有人按基金合同和招募说明书规定的条件要求将基金份额兑换为现金的行为</w:t>
      </w:r>
    </w:p>
    <w:p w14:paraId="59FFE389" w14:textId="446FACD4"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sidR="002C0D99">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w:t>
      </w:r>
      <w:proofErr w:type="gramStart"/>
      <w:r w:rsidR="002C0D99">
        <w:rPr>
          <w:rFonts w:ascii="Times New Roman" w:hAnsi="Times New Roman"/>
          <w:sz w:val="24"/>
        </w:rPr>
        <w:t>基金基金</w:t>
      </w:r>
      <w:proofErr w:type="gramEnd"/>
      <w:r w:rsidR="002C0D99">
        <w:rPr>
          <w:rFonts w:ascii="Times New Roman" w:hAnsi="Times New Roman"/>
          <w:sz w:val="24"/>
        </w:rPr>
        <w:t>份额的行为</w:t>
      </w:r>
    </w:p>
    <w:p w14:paraId="48C8E2A6" w14:textId="0B461F21"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sidR="002C0D99">
        <w:rPr>
          <w:rFonts w:ascii="Times New Roman" w:hAnsi="Times New Roman"/>
          <w:sz w:val="24"/>
        </w:rPr>
        <w:t>、转托管：指基金份额持有人在本基金的不同销售机构之间实施的变更所持基金份额销售机构的操作</w:t>
      </w:r>
    </w:p>
    <w:p w14:paraId="5DABD903" w14:textId="1C24EDDD"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sidR="002C0D99">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4B138B6" w14:textId="4FC5E597"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sidR="002C0D99">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C0D99">
        <w:rPr>
          <w:rFonts w:ascii="Times New Roman" w:hAnsi="Times New Roman"/>
          <w:sz w:val="24"/>
        </w:rPr>
        <w:t>10%</w:t>
      </w:r>
      <w:r w:rsidR="002C0D99">
        <w:rPr>
          <w:rFonts w:ascii="Times New Roman" w:hAnsi="Times New Roman"/>
          <w:sz w:val="24"/>
        </w:rPr>
        <w:t>的情形</w:t>
      </w:r>
    </w:p>
    <w:p w14:paraId="3DD951D1" w14:textId="7605B56F"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sidR="002C0D99">
        <w:rPr>
          <w:rFonts w:ascii="Times New Roman" w:hAnsi="Times New Roman"/>
          <w:sz w:val="24"/>
        </w:rPr>
        <w:t>、元：指人民币元</w:t>
      </w:r>
    </w:p>
    <w:p w14:paraId="5524A580" w14:textId="540E4C86"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sidR="002C0D99">
        <w:rPr>
          <w:rFonts w:ascii="Times New Roman" w:hAnsi="Times New Roman"/>
          <w:sz w:val="24"/>
        </w:rPr>
        <w:t>、基金收益：指基金投资所得红利、股息、债券利息、买卖证券价差、银行存款利息、已实现的其他合法收入及因运用基金财产带来的成本和费用的节约</w:t>
      </w:r>
    </w:p>
    <w:p w14:paraId="79EE12E3" w14:textId="439A8B6B"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sidR="002C0D99">
        <w:rPr>
          <w:rFonts w:ascii="Times New Roman" w:hAnsi="Times New Roman"/>
          <w:sz w:val="24"/>
        </w:rPr>
        <w:t>、基金资产总值：指基金拥有的各类有价证券、银行存款本息、基金应收申购款及其他资产的价值总和</w:t>
      </w:r>
    </w:p>
    <w:p w14:paraId="3D57842D" w14:textId="1AE36070"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sidR="002C0D99">
        <w:rPr>
          <w:rFonts w:ascii="Times New Roman" w:hAnsi="Times New Roman"/>
          <w:sz w:val="24"/>
        </w:rPr>
        <w:t>、基金资产净值：指基金资产总值减去基金负债后的价值</w:t>
      </w:r>
    </w:p>
    <w:p w14:paraId="617699F9" w14:textId="1FF776FD"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sidR="002C0D99">
        <w:rPr>
          <w:rFonts w:ascii="Times New Roman" w:hAnsi="Times New Roman"/>
          <w:sz w:val="24"/>
        </w:rPr>
        <w:t>、基金份额净值：指计算日基金资产净值除以计算日基金份额总数</w:t>
      </w:r>
    </w:p>
    <w:p w14:paraId="1DFDC751" w14:textId="739C9AA1"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sidR="002C0D99">
        <w:rPr>
          <w:rFonts w:ascii="Times New Roman" w:hAnsi="Times New Roman"/>
          <w:sz w:val="24"/>
        </w:rPr>
        <w:t>、基金资产估值：指计算评估基金资产和负债的价值，以确定基金资产净值和基金份额净值的过程</w:t>
      </w:r>
    </w:p>
    <w:p w14:paraId="2BD42A72" w14:textId="59E500B5"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sidR="002C0D99">
        <w:rPr>
          <w:rFonts w:ascii="Times New Roman" w:hAnsi="Times New Roman"/>
          <w:sz w:val="24"/>
        </w:rPr>
        <w:t>、规定媒介：指符合中国证监会规定条件的用以进行信息披露的全国性报刊及《信息披露办法》规定的互联网网站（包括基金管理人网站、基金托管人网站、中国证监会基金电子披露网站）等媒介</w:t>
      </w:r>
    </w:p>
    <w:p w14:paraId="056D1DDA" w14:textId="41590116"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sidR="002C0D99">
        <w:rPr>
          <w:rFonts w:ascii="Times New Roman" w:hAnsi="Times New Roman"/>
          <w:sz w:val="24"/>
        </w:rPr>
        <w:t>、销售服务费：指从基金财产中计提的，用于本基金市场推广、销售以及基金份额持有人服务的费用</w:t>
      </w:r>
    </w:p>
    <w:p w14:paraId="461EDDC8" w14:textId="0E8B80F6"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sidR="002C0D99">
        <w:rPr>
          <w:rFonts w:ascii="Times New Roman" w:hAnsi="Times New Roman"/>
          <w:sz w:val="24"/>
        </w:rPr>
        <w:t>、</w:t>
      </w:r>
      <w:r w:rsidR="002C0D99">
        <w:rPr>
          <w:rFonts w:ascii="Times New Roman" w:hAnsi="Times New Roman"/>
          <w:sz w:val="24"/>
        </w:rPr>
        <w:t>A</w:t>
      </w:r>
      <w:r w:rsidR="002C0D99">
        <w:rPr>
          <w:rFonts w:ascii="Times New Roman" w:hAnsi="Times New Roman"/>
          <w:sz w:val="24"/>
        </w:rPr>
        <w:t>类基金份额：指在投资人认购</w:t>
      </w:r>
      <w:r w:rsidR="002C0D99">
        <w:rPr>
          <w:rFonts w:ascii="Times New Roman" w:hAnsi="Times New Roman"/>
          <w:sz w:val="24"/>
        </w:rPr>
        <w:t>/</w:t>
      </w:r>
      <w:r w:rsidR="002C0D99">
        <w:rPr>
          <w:rFonts w:ascii="Times New Roman" w:hAnsi="Times New Roman"/>
          <w:sz w:val="24"/>
        </w:rPr>
        <w:t>申购时收取认购</w:t>
      </w:r>
      <w:r w:rsidR="002C0D99">
        <w:rPr>
          <w:rFonts w:ascii="Times New Roman" w:hAnsi="Times New Roman"/>
          <w:sz w:val="24"/>
        </w:rPr>
        <w:t>/</w:t>
      </w:r>
      <w:r w:rsidR="002C0D99">
        <w:rPr>
          <w:rFonts w:ascii="Times New Roman" w:hAnsi="Times New Roman"/>
          <w:sz w:val="24"/>
        </w:rPr>
        <w:t>申购费用、赎回时收取赎回费用且不从本类别基金资产中计</w:t>
      </w:r>
      <w:proofErr w:type="gramStart"/>
      <w:r w:rsidR="002C0D99">
        <w:rPr>
          <w:rFonts w:ascii="Times New Roman" w:hAnsi="Times New Roman"/>
          <w:sz w:val="24"/>
        </w:rPr>
        <w:t>提销售</w:t>
      </w:r>
      <w:proofErr w:type="gramEnd"/>
      <w:r w:rsidR="002C0D99">
        <w:rPr>
          <w:rFonts w:ascii="Times New Roman" w:hAnsi="Times New Roman"/>
          <w:sz w:val="24"/>
        </w:rPr>
        <w:t>服务费的基金份额</w:t>
      </w:r>
    </w:p>
    <w:p w14:paraId="292F143B" w14:textId="18DF1A49"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57</w:t>
      </w:r>
      <w:r w:rsidR="002C0D99">
        <w:rPr>
          <w:rFonts w:ascii="Times New Roman" w:hAnsi="Times New Roman"/>
          <w:sz w:val="24"/>
        </w:rPr>
        <w:t>、</w:t>
      </w:r>
      <w:r w:rsidR="002C0D99">
        <w:rPr>
          <w:rFonts w:ascii="Times New Roman" w:hAnsi="Times New Roman"/>
          <w:sz w:val="24"/>
        </w:rPr>
        <w:t>C</w:t>
      </w:r>
      <w:r w:rsidR="002C0D99">
        <w:rPr>
          <w:rFonts w:ascii="Times New Roman" w:hAnsi="Times New Roman"/>
          <w:sz w:val="24"/>
        </w:rPr>
        <w:t>类基金份额：指在投资人认购</w:t>
      </w:r>
      <w:r w:rsidR="002C0D99">
        <w:rPr>
          <w:rFonts w:ascii="Times New Roman" w:hAnsi="Times New Roman"/>
          <w:sz w:val="24"/>
        </w:rPr>
        <w:t>/</w:t>
      </w:r>
      <w:r w:rsidR="002C0D99">
        <w:rPr>
          <w:rFonts w:ascii="Times New Roman" w:hAnsi="Times New Roman"/>
          <w:sz w:val="24"/>
        </w:rPr>
        <w:t>申购时不收取认购</w:t>
      </w:r>
      <w:r w:rsidR="002C0D99">
        <w:rPr>
          <w:rFonts w:ascii="Times New Roman" w:hAnsi="Times New Roman"/>
          <w:sz w:val="24"/>
        </w:rPr>
        <w:t>/</w:t>
      </w:r>
      <w:r w:rsidR="002C0D99">
        <w:rPr>
          <w:rFonts w:ascii="Times New Roman" w:hAnsi="Times New Roman"/>
          <w:sz w:val="24"/>
        </w:rPr>
        <w:t>申购费用、赎回时收</w:t>
      </w:r>
      <w:r w:rsidR="002C0D99">
        <w:rPr>
          <w:rFonts w:ascii="Times New Roman" w:hAnsi="Times New Roman"/>
          <w:sz w:val="24"/>
        </w:rPr>
        <w:lastRenderedPageBreak/>
        <w:t>取赎回费用，并从本类别基金资产中计</w:t>
      </w:r>
      <w:proofErr w:type="gramStart"/>
      <w:r w:rsidR="002C0D99">
        <w:rPr>
          <w:rFonts w:ascii="Times New Roman" w:hAnsi="Times New Roman"/>
          <w:sz w:val="24"/>
        </w:rPr>
        <w:t>提销售</w:t>
      </w:r>
      <w:proofErr w:type="gramEnd"/>
      <w:r w:rsidR="002C0D99">
        <w:rPr>
          <w:rFonts w:ascii="Times New Roman" w:hAnsi="Times New Roman"/>
          <w:sz w:val="24"/>
        </w:rPr>
        <w:t>服务费的基金份额</w:t>
      </w:r>
    </w:p>
    <w:p w14:paraId="0E27D55B" w14:textId="42002FD9"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58</w:t>
      </w:r>
      <w:r w:rsidR="002C0D99">
        <w:rPr>
          <w:rFonts w:ascii="Times New Roman" w:hAnsi="Times New Roman"/>
          <w:sz w:val="24"/>
        </w:rPr>
        <w:t>、标的指数：</w:t>
      </w:r>
      <w:proofErr w:type="gramStart"/>
      <w:r w:rsidR="002C0D99">
        <w:rPr>
          <w:rFonts w:ascii="Times New Roman" w:hAnsi="Times New Roman"/>
          <w:sz w:val="24"/>
        </w:rPr>
        <w:t>指创业</w:t>
      </w:r>
      <w:proofErr w:type="gramEnd"/>
      <w:r w:rsidR="002C0D99">
        <w:rPr>
          <w:rFonts w:ascii="Times New Roman" w:hAnsi="Times New Roman"/>
          <w:sz w:val="24"/>
        </w:rPr>
        <w:t>板</w:t>
      </w:r>
      <w:r w:rsidR="002C0D99">
        <w:rPr>
          <w:rFonts w:ascii="Times New Roman" w:hAnsi="Times New Roman"/>
          <w:sz w:val="24"/>
        </w:rPr>
        <w:t>50</w:t>
      </w:r>
      <w:r w:rsidR="002C0D99">
        <w:rPr>
          <w:rFonts w:ascii="Times New Roman" w:hAnsi="Times New Roman"/>
          <w:sz w:val="24"/>
        </w:rPr>
        <w:t>指数</w:t>
      </w:r>
    </w:p>
    <w:p w14:paraId="2930C732" w14:textId="1C385CB2"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59</w:t>
      </w:r>
      <w:r w:rsidR="002C0D99">
        <w:rPr>
          <w:rFonts w:ascii="Times New Roman" w:hAnsi="Times New Roman"/>
          <w:sz w:val="24"/>
        </w:rPr>
        <w:t>、流动性受限资产：指由于法律法规、监管、合同或操作障碍等原因无法以合理价格予以变现的资产，包括但不限于到期日在</w:t>
      </w:r>
      <w:r w:rsidR="002C0D99">
        <w:rPr>
          <w:rFonts w:ascii="Times New Roman" w:hAnsi="Times New Roman"/>
          <w:sz w:val="24"/>
        </w:rPr>
        <w:t>10</w:t>
      </w:r>
      <w:r w:rsidR="002C0D99">
        <w:rPr>
          <w:rFonts w:ascii="Times New Roman" w:hAnsi="Times New Roman"/>
          <w:sz w:val="24"/>
        </w:rPr>
        <w:t>个交易日以上的逆回购与银行定期存款（</w:t>
      </w:r>
      <w:proofErr w:type="gramStart"/>
      <w:r w:rsidR="002C0D99">
        <w:rPr>
          <w:rFonts w:ascii="Times New Roman" w:hAnsi="Times New Roman"/>
          <w:sz w:val="24"/>
        </w:rPr>
        <w:t>含协议</w:t>
      </w:r>
      <w:proofErr w:type="gramEnd"/>
      <w:r w:rsidR="002C0D99">
        <w:rPr>
          <w:rFonts w:ascii="Times New Roman" w:hAnsi="Times New Roman"/>
          <w:sz w:val="24"/>
        </w:rPr>
        <w:t>约定有条件提前支取的银行存款）、停牌股票、流通受限的新股及非公开发行股票、资产支持证券、因发行人债务违约无法进行转让或交易的债券等</w:t>
      </w:r>
    </w:p>
    <w:p w14:paraId="4F569969" w14:textId="3948C95E"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60</w:t>
      </w:r>
      <w:r w:rsidR="002C0D99">
        <w:rPr>
          <w:rFonts w:ascii="Times New Roman" w:hAnsi="Times New Roman"/>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8483F97" w14:textId="3861F789" w:rsidR="00791B53" w:rsidRDefault="00A0617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61</w:t>
      </w:r>
      <w:r w:rsidR="002C0D99">
        <w:rPr>
          <w:rFonts w:ascii="Times New Roman" w:hAnsi="Times New Roman"/>
          <w:sz w:val="24"/>
        </w:rPr>
        <w:t>、不可抗力：指基金合同当事人不能预见、不能避免且不能克服的客观事件</w:t>
      </w:r>
    </w:p>
    <w:p w14:paraId="16BC53A8"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E218AA" w14:textId="77777777" w:rsidR="00791B53" w:rsidRDefault="002C0D99">
      <w:pPr>
        <w:pStyle w:val="1"/>
        <w:snapToGrid w:val="0"/>
        <w:spacing w:beforeLines="0" w:before="240" w:after="240"/>
        <w:rPr>
          <w:rFonts w:ascii="宋体" w:hAnsi="宋体"/>
          <w:szCs w:val="30"/>
        </w:rPr>
      </w:pPr>
      <w:bookmarkStart w:id="5" w:name="_Toc54104346"/>
      <w:r>
        <w:rPr>
          <w:rFonts w:ascii="Times New Roman" w:hAnsi="Times New Roman"/>
          <w:sz w:val="30"/>
        </w:rPr>
        <w:lastRenderedPageBreak/>
        <w:t>三、基金管理人</w:t>
      </w:r>
      <w:bookmarkEnd w:id="5"/>
    </w:p>
    <w:p w14:paraId="69D91A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48D224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40DEAF9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3A0265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08F639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691947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09D1987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8D2BCE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57A518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39763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11D36C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77018D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11A6D4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w:t>
      </w:r>
      <w:proofErr w:type="gramStart"/>
      <w:r>
        <w:rPr>
          <w:rFonts w:ascii="Times New Roman" w:hAnsi="Times New Roman"/>
          <w:sz w:val="24"/>
        </w:rPr>
        <w:t>监基金字</w:t>
      </w:r>
      <w:proofErr w:type="gramEnd"/>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791B53" w14:paraId="233ABDF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8280BE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435EB46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791B53" w14:paraId="64F8864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956BB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25228E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791B53" w14:paraId="13D1265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D433F0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7D50FF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791B53" w14:paraId="0221F77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9B9456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3A954A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6C1E834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699F948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2A1236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7CEC59A" w14:textId="77777777" w:rsidR="00791B53" w:rsidRDefault="002C0D99">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陈朝灯先生</w:t>
      </w:r>
      <w:proofErr w:type="gramEnd"/>
      <w:r>
        <w:rPr>
          <w:rFonts w:ascii="Times New Roman" w:hAnsi="Times New Roman"/>
          <w:sz w:val="24"/>
        </w:rPr>
        <w:t>，副董事长，博士。现任施罗德证券投资信托股份有限公司投资总监兼专户管理部主管。历任复华证券投资信托股份有限公司专户投资经理，景顺证券投资信托股份有限公司部门主管、投资总监。</w:t>
      </w:r>
    </w:p>
    <w:p w14:paraId="727F63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w:t>
      </w:r>
      <w:proofErr w:type="gramStart"/>
      <w:r>
        <w:rPr>
          <w:rFonts w:ascii="Times New Roman" w:hAnsi="Times New Roman"/>
          <w:sz w:val="24"/>
        </w:rPr>
        <w:t>兼风险</w:t>
      </w:r>
      <w:proofErr w:type="gramEnd"/>
      <w:r>
        <w:rPr>
          <w:rFonts w:ascii="Times New Roman" w:hAnsi="Times New Roman"/>
          <w:sz w:val="24"/>
        </w:rPr>
        <w:t>管理部副总经理。历任交通银行湖南省分行风险管理部、资产保全部、法律合</w:t>
      </w:r>
      <w:proofErr w:type="gramStart"/>
      <w:r>
        <w:rPr>
          <w:rFonts w:ascii="Times New Roman" w:hAnsi="Times New Roman"/>
          <w:sz w:val="24"/>
        </w:rPr>
        <w:t>规</w:t>
      </w:r>
      <w:proofErr w:type="gramEnd"/>
      <w:r>
        <w:rPr>
          <w:rFonts w:ascii="Times New Roman" w:hAnsi="Times New Roman"/>
          <w:sz w:val="24"/>
        </w:rPr>
        <w:t>部、</w:t>
      </w:r>
      <w:r>
        <w:rPr>
          <w:rFonts w:ascii="Times New Roman" w:hAnsi="Times New Roman"/>
          <w:sz w:val="24"/>
        </w:rPr>
        <w:lastRenderedPageBreak/>
        <w:t>个人金融业务部总经理，交通银行总行个人金融业务部总经理助理。</w:t>
      </w:r>
    </w:p>
    <w:p w14:paraId="1C0DE6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w:t>
      </w:r>
      <w:proofErr w:type="gramStart"/>
      <w:r>
        <w:rPr>
          <w:rFonts w:ascii="Times New Roman" w:hAnsi="Times New Roman"/>
          <w:sz w:val="24"/>
        </w:rPr>
        <w:t>内控案防</w:t>
      </w:r>
      <w:proofErr w:type="gramEnd"/>
      <w:r>
        <w:rPr>
          <w:rFonts w:ascii="Times New Roman" w:hAnsi="Times New Roman"/>
          <w:sz w:val="24"/>
        </w:rPr>
        <w:t>办副主任。历任风险管理部副高级经理、高级经理，交通银行广西区柳州分行副行长，交通银行内蒙古区分行行长助理，交通银行总行风险管理部（资产保全部）副总经理。</w:t>
      </w:r>
    </w:p>
    <w:p w14:paraId="5C4846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BB532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 xml:space="preserve">Lieven </w:t>
      </w:r>
      <w:proofErr w:type="spellStart"/>
      <w:r>
        <w:rPr>
          <w:rFonts w:ascii="Times New Roman" w:hAnsi="Times New Roman"/>
          <w:sz w:val="24"/>
        </w:rPr>
        <w:t>Debruyne</w:t>
      </w:r>
      <w:proofErr w:type="spellEnd"/>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5164EB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w:t>
      </w:r>
      <w:proofErr w:type="gramStart"/>
      <w:r>
        <w:rPr>
          <w:rFonts w:ascii="Times New Roman" w:hAnsi="Times New Roman"/>
          <w:sz w:val="24"/>
        </w:rPr>
        <w:t>非银司副</w:t>
      </w:r>
      <w:proofErr w:type="gramEnd"/>
      <w:r>
        <w:rPr>
          <w:rFonts w:ascii="Times New Roman" w:hAnsi="Times New Roman"/>
          <w:sz w:val="24"/>
        </w:rPr>
        <w:t>巡视员、副司长，银监会</w:t>
      </w:r>
      <w:proofErr w:type="gramStart"/>
      <w:r>
        <w:rPr>
          <w:rFonts w:ascii="Times New Roman" w:hAnsi="Times New Roman"/>
          <w:sz w:val="24"/>
        </w:rPr>
        <w:t>非银部副</w:t>
      </w:r>
      <w:proofErr w:type="gramEnd"/>
      <w:r>
        <w:rPr>
          <w:rFonts w:ascii="Times New Roman" w:hAnsi="Times New Roman"/>
          <w:sz w:val="24"/>
        </w:rPr>
        <w:t>主任，银行监管一部副主任、巡视员，汇金公司派出董事。</w:t>
      </w:r>
    </w:p>
    <w:p w14:paraId="27B663E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w:t>
      </w:r>
      <w:proofErr w:type="gramStart"/>
      <w:r>
        <w:rPr>
          <w:rFonts w:ascii="Times New Roman" w:hAnsi="Times New Roman"/>
          <w:sz w:val="24"/>
        </w:rPr>
        <w:t>大学民商经济</w:t>
      </w:r>
      <w:proofErr w:type="gramEnd"/>
      <w:r>
        <w:rPr>
          <w:rFonts w:ascii="Times New Roman" w:hAnsi="Times New Roman"/>
          <w:sz w:val="24"/>
        </w:rPr>
        <w:t>法学院教授，兼任基金业协会自律监察委员会委员。历任证监会办公厅副处长、上市公司</w:t>
      </w:r>
      <w:proofErr w:type="gramStart"/>
      <w:r>
        <w:rPr>
          <w:rFonts w:ascii="Times New Roman" w:hAnsi="Times New Roman"/>
          <w:sz w:val="24"/>
        </w:rPr>
        <w:t>监管部</w:t>
      </w:r>
      <w:proofErr w:type="gramEnd"/>
      <w:r>
        <w:rPr>
          <w:rFonts w:ascii="Times New Roman" w:hAnsi="Times New Roman"/>
          <w:sz w:val="24"/>
        </w:rPr>
        <w:t>处长、行政处罚委员会专职委员、副主任审理员，兼任证监会上市公司并购重组审核委员会委员、行政复议委员会委员。</w:t>
      </w:r>
    </w:p>
    <w:p w14:paraId="1B242FC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w:t>
      </w:r>
      <w:proofErr w:type="gramStart"/>
      <w:r>
        <w:rPr>
          <w:rFonts w:ascii="Times New Roman" w:hAnsi="Times New Roman"/>
          <w:sz w:val="24"/>
        </w:rPr>
        <w:t>江学者</w:t>
      </w:r>
      <w:proofErr w:type="gramEnd"/>
      <w:r>
        <w:rPr>
          <w:rFonts w:ascii="Times New Roman" w:hAnsi="Times New Roman"/>
          <w:sz w:val="24"/>
        </w:rPr>
        <w:t>讲座教授。现任香港大学工业工程系荣誉教授，亚洲风险</w:t>
      </w:r>
      <w:proofErr w:type="gramStart"/>
      <w:r>
        <w:rPr>
          <w:rFonts w:ascii="Times New Roman" w:hAnsi="Times New Roman"/>
          <w:sz w:val="24"/>
        </w:rPr>
        <w:t>及危机</w:t>
      </w:r>
      <w:proofErr w:type="gramEnd"/>
      <w:r>
        <w:rPr>
          <w:rFonts w:ascii="Times New Roman" w:hAnsi="Times New Roman"/>
          <w:sz w:val="24"/>
        </w:rPr>
        <w:t>管理协会主席，兼任深交所上市的中联重科集团独立非执行董事。历任香港城市大学管理科学讲座教授，湖南省政协委员并兼任湖南大学工商管理学院院长。</w:t>
      </w:r>
    </w:p>
    <w:p w14:paraId="56498D0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5EB343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w:t>
      </w:r>
      <w:proofErr w:type="gramStart"/>
      <w:r>
        <w:rPr>
          <w:rFonts w:ascii="Times New Roman" w:hAnsi="Times New Roman"/>
          <w:sz w:val="24"/>
        </w:rPr>
        <w:t>银金融</w:t>
      </w:r>
      <w:proofErr w:type="gramEnd"/>
      <w:r>
        <w:rPr>
          <w:rFonts w:ascii="Times New Roman" w:hAnsi="Times New Roman"/>
          <w:sz w:val="24"/>
        </w:rPr>
        <w:t>学院常务副院长，交通银行人力资源部副总经理、教育培训部总经理。历任交通银行办公室副处长，交通银行公司业务部副处长、高级经理、总经理助理、副总经理，交通银行投资银行部副总经理，</w:t>
      </w:r>
      <w:r>
        <w:rPr>
          <w:rFonts w:ascii="Times New Roman" w:hAnsi="Times New Roman"/>
          <w:sz w:val="24"/>
        </w:rPr>
        <w:lastRenderedPageBreak/>
        <w:t>交通银行江苏分行副行长，交通银行战略投资部总经理。</w:t>
      </w:r>
    </w:p>
    <w:p w14:paraId="1E32FF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w:t>
      </w:r>
      <w:proofErr w:type="gramStart"/>
      <w:r>
        <w:rPr>
          <w:rFonts w:ascii="Times New Roman" w:hAnsi="Times New Roman"/>
          <w:sz w:val="24"/>
        </w:rPr>
        <w:t>志奋领</w:t>
      </w:r>
      <w:proofErr w:type="gramEnd"/>
      <w:r>
        <w:rPr>
          <w:rFonts w:ascii="Times New Roman" w:hAnsi="Times New Roman"/>
          <w:sz w:val="24"/>
        </w:rPr>
        <w:t>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2588EF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15D35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w:t>
      </w:r>
      <w:proofErr w:type="gramStart"/>
      <w:r>
        <w:rPr>
          <w:rFonts w:ascii="Times New Roman" w:hAnsi="Times New Roman"/>
          <w:sz w:val="24"/>
        </w:rPr>
        <w:t>兼产品</w:t>
      </w:r>
      <w:proofErr w:type="gramEnd"/>
      <w:r>
        <w:rPr>
          <w:rFonts w:ascii="Times New Roman" w:hAnsi="Times New Roman"/>
          <w:sz w:val="24"/>
        </w:rPr>
        <w:t>开发部总经理。历任平安人寿保险公司上海分公司行政督导、营销管理经理，交银施罗德基金管理有限公司行政部总经理助理、西部营销中心总经理。</w:t>
      </w:r>
    </w:p>
    <w:p w14:paraId="3FDE07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43C22B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0B0173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BE220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62D7E3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ascii="Times New Roman" w:hAnsi="Times New Roman"/>
          <w:sz w:val="24"/>
        </w:rPr>
        <w:t>财荷银基金</w:t>
      </w:r>
      <w:proofErr w:type="gramEnd"/>
      <w:r>
        <w:rPr>
          <w:rFonts w:ascii="Times New Roman" w:hAnsi="Times New Roman"/>
          <w:sz w:val="24"/>
        </w:rPr>
        <w:t>管理有限公司副总经理。</w:t>
      </w:r>
    </w:p>
    <w:p w14:paraId="1A505C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Times New Roman" w:hAnsi="Times New Roman"/>
          <w:sz w:val="24"/>
        </w:rPr>
        <w:t>风控副</w:t>
      </w:r>
      <w:proofErr w:type="gramEnd"/>
      <w:r>
        <w:rPr>
          <w:rFonts w:ascii="Times New Roman" w:hAnsi="Times New Roman"/>
          <w:sz w:val="24"/>
        </w:rPr>
        <w:t>总监、投资运营总监。</w:t>
      </w:r>
    </w:p>
    <w:p w14:paraId="180018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经理</w:t>
      </w:r>
    </w:p>
    <w:p w14:paraId="56A609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蔡铮先生，基金经理。复旦大学电子工程硕士，</w:t>
      </w:r>
      <w:r>
        <w:rPr>
          <w:rFonts w:ascii="Times New Roman" w:hAnsi="Times New Roman"/>
          <w:sz w:val="24"/>
        </w:rPr>
        <w:t>11</w:t>
      </w:r>
      <w:r>
        <w:rPr>
          <w:rFonts w:ascii="Times New Roman" w:hAnsi="Times New Roman"/>
          <w:sz w:val="24"/>
        </w:rPr>
        <w:t>年证券从业经验。</w:t>
      </w:r>
      <w:r>
        <w:rPr>
          <w:rFonts w:ascii="Times New Roman" w:hAnsi="Times New Roman"/>
          <w:sz w:val="24"/>
        </w:rPr>
        <w:t>2007</w:t>
      </w:r>
      <w:r>
        <w:rPr>
          <w:rFonts w:ascii="Times New Roman" w:hAnsi="Times New Roman"/>
          <w:sz w:val="24"/>
        </w:rPr>
        <w:t>年起</w:t>
      </w:r>
      <w:r>
        <w:rPr>
          <w:rFonts w:ascii="Times New Roman" w:hAnsi="Times New Roman"/>
          <w:sz w:val="24"/>
        </w:rPr>
        <w:lastRenderedPageBreak/>
        <w:t>在瑞士银行香港分行工作。</w:t>
      </w:r>
      <w:r>
        <w:rPr>
          <w:rFonts w:ascii="Times New Roman" w:hAnsi="Times New Roman"/>
          <w:sz w:val="24"/>
        </w:rPr>
        <w:t>2009</w:t>
      </w:r>
      <w:r>
        <w:rPr>
          <w:rFonts w:ascii="Times New Roman" w:hAnsi="Times New Roman"/>
          <w:sz w:val="24"/>
        </w:rPr>
        <w:t>年加入交银施罗德基金管理有限公司，曾任投资研究部数量分析师、量化投资部助理总经理、量化投资部副总经理，现任量化投资副总监兼多元资产管理副总监、基金经理。曾</w:t>
      </w:r>
      <w:proofErr w:type="gramStart"/>
      <w:r>
        <w:rPr>
          <w:rFonts w:ascii="Times New Roman" w:hAnsi="Times New Roman"/>
          <w:sz w:val="24"/>
        </w:rPr>
        <w:t>任基金</w:t>
      </w:r>
      <w:proofErr w:type="gramEnd"/>
      <w:r>
        <w:rPr>
          <w:rFonts w:ascii="Times New Roman" w:hAnsi="Times New Roman"/>
          <w:sz w:val="24"/>
        </w:rPr>
        <w:t>经理助理、交银施罗德沪深</w:t>
      </w:r>
      <w:r>
        <w:rPr>
          <w:rFonts w:ascii="Times New Roman" w:hAnsi="Times New Roman"/>
          <w:sz w:val="24"/>
        </w:rPr>
        <w:t>300</w:t>
      </w:r>
      <w:r>
        <w:rPr>
          <w:rFonts w:ascii="Times New Roman" w:hAnsi="Times New Roman"/>
          <w:sz w:val="24"/>
        </w:rPr>
        <w:t>行业分层等权重指数证券投资基金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证环境</w:t>
      </w:r>
      <w:proofErr w:type="gramEnd"/>
      <w:r>
        <w:rPr>
          <w:rFonts w:ascii="Times New Roman" w:hAnsi="Times New Roman"/>
          <w:sz w:val="24"/>
        </w:rPr>
        <w:t>治理指数分级证券投资基金（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13</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18</w:t>
      </w:r>
      <w:r>
        <w:rPr>
          <w:rFonts w:ascii="Times New Roman" w:hAnsi="Times New Roman"/>
          <w:sz w:val="24"/>
        </w:rPr>
        <w:t>日）、交银施罗德致远</w:t>
      </w:r>
      <w:proofErr w:type="gramStart"/>
      <w:r>
        <w:rPr>
          <w:rFonts w:ascii="Times New Roman" w:hAnsi="Times New Roman"/>
          <w:sz w:val="24"/>
        </w:rPr>
        <w:t>量化智投策略</w:t>
      </w:r>
      <w:proofErr w:type="gramEnd"/>
      <w:r>
        <w:rPr>
          <w:rFonts w:ascii="Times New Roman" w:hAnsi="Times New Roman"/>
          <w:sz w:val="24"/>
        </w:rPr>
        <w:t>定期开放混合型证券投资基金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的基金经理。现任交银施罗德深证</w:t>
      </w:r>
      <w:r>
        <w:rPr>
          <w:rFonts w:ascii="Times New Roman" w:hAnsi="Times New Roman"/>
          <w:sz w:val="24"/>
        </w:rPr>
        <w:t>300</w:t>
      </w:r>
      <w:r>
        <w:rPr>
          <w:rFonts w:ascii="Times New Roman" w:hAnsi="Times New Roman"/>
          <w:sz w:val="24"/>
        </w:rPr>
        <w:t>价值交易型开放式指数证券投资基金联接基金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、交银施罗德上证</w:t>
      </w:r>
      <w:r>
        <w:rPr>
          <w:rFonts w:ascii="Times New Roman" w:hAnsi="Times New Roman"/>
          <w:sz w:val="24"/>
        </w:rPr>
        <w:t>180</w:t>
      </w:r>
      <w:r>
        <w:rPr>
          <w:rFonts w:ascii="Times New Roman" w:hAnsi="Times New Roman"/>
          <w:sz w:val="24"/>
        </w:rPr>
        <w:t>公司治理交易型开放式指数证券投资基金联接基金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、深证</w:t>
      </w:r>
      <w:r>
        <w:rPr>
          <w:rFonts w:ascii="Times New Roman" w:hAnsi="Times New Roman"/>
          <w:sz w:val="24"/>
        </w:rPr>
        <w:t>300</w:t>
      </w:r>
      <w:r>
        <w:rPr>
          <w:rFonts w:ascii="Times New Roman" w:hAnsi="Times New Roman"/>
          <w:sz w:val="24"/>
        </w:rPr>
        <w:t>价值交易型开放式指数证券投资基金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、上证</w:t>
      </w:r>
      <w:r>
        <w:rPr>
          <w:rFonts w:ascii="Times New Roman" w:hAnsi="Times New Roman"/>
          <w:sz w:val="24"/>
        </w:rPr>
        <w:t>180</w:t>
      </w:r>
      <w:r>
        <w:rPr>
          <w:rFonts w:ascii="Times New Roman" w:hAnsi="Times New Roman"/>
          <w:sz w:val="24"/>
        </w:rPr>
        <w:t>公司治理交易型开放式指数证券投资基金</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w:t>
      </w:r>
      <w:proofErr w:type="gramStart"/>
      <w:r>
        <w:rPr>
          <w:rFonts w:ascii="Times New Roman" w:hAnsi="Times New Roman"/>
          <w:sz w:val="24"/>
        </w:rPr>
        <w:t>交银施罗</w:t>
      </w:r>
      <w:proofErr w:type="gramEnd"/>
      <w:r>
        <w:rPr>
          <w:rFonts w:ascii="Times New Roman" w:hAnsi="Times New Roman"/>
          <w:sz w:val="24"/>
        </w:rPr>
        <w:t>德国证新能源指数分级证券投资基金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证海外</w:t>
      </w:r>
      <w:proofErr w:type="gramEnd"/>
      <w:r>
        <w:rPr>
          <w:rFonts w:ascii="Times New Roman" w:hAnsi="Times New Roman"/>
          <w:sz w:val="24"/>
        </w:rPr>
        <w:t>中国互联网指数型证券投资基金</w:t>
      </w:r>
      <w:r>
        <w:rPr>
          <w:rFonts w:ascii="Times New Roman" w:hAnsi="Times New Roman"/>
          <w:sz w:val="24"/>
        </w:rPr>
        <w:t>(LOF)(2015</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27</w:t>
      </w:r>
      <w:r>
        <w:rPr>
          <w:rFonts w:ascii="Times New Roman" w:hAnsi="Times New Roman"/>
          <w:sz w:val="24"/>
        </w:rPr>
        <w:t>日至今</w:t>
      </w:r>
      <w:r>
        <w:rPr>
          <w:rFonts w:ascii="Times New Roman" w:hAnsi="Times New Roman"/>
          <w:sz w:val="24"/>
        </w:rPr>
        <w:t>)</w:t>
      </w:r>
      <w:r>
        <w:rPr>
          <w:rFonts w:ascii="Times New Roman" w:hAnsi="Times New Roman"/>
          <w:sz w:val="24"/>
        </w:rPr>
        <w:t>、交银施罗德中证互联网金融指数分级证券投资基金</w:t>
      </w:r>
      <w:r>
        <w:rPr>
          <w:rFonts w:ascii="Times New Roman" w:hAnsi="Times New Roman"/>
          <w:sz w:val="24"/>
        </w:rPr>
        <w:t>(2015</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26</w:t>
      </w:r>
      <w:r>
        <w:rPr>
          <w:rFonts w:ascii="Times New Roman" w:hAnsi="Times New Roman"/>
          <w:sz w:val="24"/>
        </w:rPr>
        <w:t>日至今</w:t>
      </w:r>
      <w:r>
        <w:rPr>
          <w:rFonts w:ascii="Times New Roman" w:hAnsi="Times New Roman"/>
          <w:sz w:val="24"/>
        </w:rPr>
        <w:t>)</w:t>
      </w:r>
      <w:r>
        <w:rPr>
          <w:rFonts w:ascii="Times New Roman" w:hAnsi="Times New Roman"/>
          <w:sz w:val="24"/>
        </w:rPr>
        <w:t>、交银施罗德中</w:t>
      </w:r>
      <w:proofErr w:type="gramStart"/>
      <w:r>
        <w:rPr>
          <w:rFonts w:ascii="Times New Roman" w:hAnsi="Times New Roman"/>
          <w:sz w:val="24"/>
        </w:rPr>
        <w:t>证环境</w:t>
      </w:r>
      <w:proofErr w:type="gramEnd"/>
      <w:r>
        <w:rPr>
          <w:rFonts w:ascii="Times New Roman" w:hAnsi="Times New Roman"/>
          <w:sz w:val="24"/>
        </w:rPr>
        <w:t>治理指数型证券投资基金（</w:t>
      </w:r>
      <w:r>
        <w:rPr>
          <w:rFonts w:ascii="Times New Roman" w:hAnsi="Times New Roman"/>
          <w:sz w:val="24"/>
        </w:rPr>
        <w:t>LOF</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19</w:t>
      </w:r>
      <w:r>
        <w:rPr>
          <w:rFonts w:ascii="Times New Roman" w:hAnsi="Times New Roman"/>
          <w:sz w:val="24"/>
        </w:rPr>
        <w:t>日至今</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3ACD07F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66B830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4337010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302F174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199BC4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07CC2D3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10</w:t>
      </w:r>
      <w:r>
        <w:rPr>
          <w:rFonts w:ascii="Times New Roman" w:hAnsi="Times New Roman"/>
          <w:sz w:val="24"/>
        </w:rPr>
        <w:t>日，期后变动（如有）敬请关注基金管理人发布的相关公告。</w:t>
      </w:r>
    </w:p>
    <w:p w14:paraId="3EEF951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08373B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49ED5ED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325C21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138B16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w:t>
      </w:r>
      <w:r>
        <w:rPr>
          <w:rFonts w:ascii="Times New Roman" w:hAnsi="Times New Roman"/>
          <w:sz w:val="24"/>
        </w:rPr>
        <w:lastRenderedPageBreak/>
        <w:t>收益；</w:t>
      </w:r>
    </w:p>
    <w:p w14:paraId="59F41E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0534F7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5C082B6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40765E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1819B1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14:paraId="2CB42D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175355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72FAB5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171562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2A684AE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7E0D9B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6B02A2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5F188C8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4BD418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22B4DB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0F5F1AD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14:paraId="4E944A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）法律、行政法规和中国证监会禁止的其他行为。</w:t>
      </w:r>
    </w:p>
    <w:p w14:paraId="2A0169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1331670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6949FF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56DDFB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1D061C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0E7545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、不利用职务之便为自己、受雇人或任何第三者谋取利益；</w:t>
      </w:r>
    </w:p>
    <w:p w14:paraId="43E87E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4953DE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319AF22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204878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174067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1CDC0A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408707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1730DE0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48C3B64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17355B1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74F3BD1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45AA2FB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2CF54B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596B07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A14C3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09ADA5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65BACA3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49ECD2C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1D5E45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w:t>
      </w:r>
      <w:proofErr w:type="gramStart"/>
      <w:r>
        <w:rPr>
          <w:rFonts w:ascii="Times New Roman" w:hAnsi="Times New Roman"/>
          <w:sz w:val="24"/>
        </w:rPr>
        <w:t>规</w:t>
      </w:r>
      <w:proofErr w:type="gramEnd"/>
      <w:r>
        <w:rPr>
          <w:rFonts w:ascii="Times New Roman" w:hAnsi="Times New Roman"/>
          <w:sz w:val="24"/>
        </w:rPr>
        <w:t>审核及风险管理委员会</w:t>
      </w:r>
    </w:p>
    <w:p w14:paraId="449B38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w:t>
      </w:r>
      <w:proofErr w:type="gramStart"/>
      <w:r>
        <w:rPr>
          <w:rFonts w:ascii="Times New Roman" w:hAnsi="Times New Roman"/>
          <w:sz w:val="24"/>
        </w:rPr>
        <w:t>规</w:t>
      </w:r>
      <w:proofErr w:type="gramEnd"/>
      <w:r>
        <w:rPr>
          <w:rFonts w:ascii="Times New Roman" w:hAnsi="Times New Roman"/>
          <w:sz w:val="24"/>
        </w:rPr>
        <w:t>性审议；对公司资产与基金资产的经营进行评估。</w:t>
      </w:r>
    </w:p>
    <w:p w14:paraId="11E58D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）风险控制委员会</w:t>
      </w:r>
    </w:p>
    <w:p w14:paraId="2E6DDC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7A32E5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5A36851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789CC55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314C138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E9598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5C0F0A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Times New Roman" w:hAnsi="Times New Roman"/>
          <w:sz w:val="24"/>
        </w:rPr>
        <w:t>规</w:t>
      </w:r>
      <w:proofErr w:type="gramEnd"/>
      <w:r>
        <w:rPr>
          <w:rFonts w:ascii="Times New Roman" w:hAnsi="Times New Roman"/>
          <w:sz w:val="24"/>
        </w:rPr>
        <w:t>经营目标。</w:t>
      </w:r>
    </w:p>
    <w:p w14:paraId="47FF84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w:t>
      </w:r>
      <w:proofErr w:type="gramStart"/>
      <w:r>
        <w:rPr>
          <w:rFonts w:ascii="Times New Roman" w:hAnsi="Times New Roman"/>
          <w:sz w:val="24"/>
        </w:rPr>
        <w:t>规</w:t>
      </w:r>
      <w:proofErr w:type="gramEnd"/>
      <w:r>
        <w:rPr>
          <w:rFonts w:ascii="Times New Roman" w:hAnsi="Times New Roman"/>
          <w:sz w:val="24"/>
        </w:rPr>
        <w:t>部</w:t>
      </w:r>
    </w:p>
    <w:p w14:paraId="307AEA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w:t>
      </w:r>
      <w:proofErr w:type="gramStart"/>
      <w:r>
        <w:rPr>
          <w:rFonts w:ascii="Times New Roman" w:hAnsi="Times New Roman"/>
          <w:sz w:val="24"/>
        </w:rPr>
        <w:t>规</w:t>
      </w:r>
      <w:proofErr w:type="gramEnd"/>
      <w:r>
        <w:rPr>
          <w:rFonts w:ascii="Times New Roman" w:hAnsi="Times New Roman"/>
          <w:sz w:val="24"/>
        </w:rPr>
        <w:t>部负责公司的法律、合</w:t>
      </w:r>
      <w:proofErr w:type="gramStart"/>
      <w:r>
        <w:rPr>
          <w:rFonts w:ascii="Times New Roman" w:hAnsi="Times New Roman"/>
          <w:sz w:val="24"/>
        </w:rPr>
        <w:t>规</w:t>
      </w:r>
      <w:proofErr w:type="gramEnd"/>
      <w:r>
        <w:rPr>
          <w:rFonts w:ascii="Times New Roman" w:hAnsi="Times New Roman"/>
          <w:sz w:val="24"/>
        </w:rPr>
        <w:t>事务及协调实施信息披露事务，依法维护公司合法权益，评估并处理公司运营中发生的法律、合</w:t>
      </w:r>
      <w:proofErr w:type="gramStart"/>
      <w:r>
        <w:rPr>
          <w:rFonts w:ascii="Times New Roman" w:hAnsi="Times New Roman"/>
          <w:sz w:val="24"/>
        </w:rPr>
        <w:t>规</w:t>
      </w:r>
      <w:proofErr w:type="gramEnd"/>
      <w:r>
        <w:rPr>
          <w:rFonts w:ascii="Times New Roman" w:hAnsi="Times New Roman"/>
          <w:sz w:val="24"/>
        </w:rPr>
        <w:t>及信息披露相关问题，及时向公司管理层及全体员工传达法规及监管要求。</w:t>
      </w:r>
    </w:p>
    <w:p w14:paraId="768503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67EA15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1A3874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02EBFE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328F35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3AF19CF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）建立相互分离、相互制衡的内控机制</w:t>
      </w:r>
    </w:p>
    <w:p w14:paraId="622092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16934F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2C4CE67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1D31376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0427F0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Times New Roman" w:hAnsi="Times New Roman"/>
          <w:sz w:val="24"/>
        </w:rPr>
        <w:t>作出</w:t>
      </w:r>
      <w:proofErr w:type="gramEnd"/>
      <w:r>
        <w:rPr>
          <w:rFonts w:ascii="Times New Roman" w:hAnsi="Times New Roman"/>
          <w:sz w:val="24"/>
        </w:rPr>
        <w:t>决策。</w:t>
      </w:r>
    </w:p>
    <w:p w14:paraId="0B4E5FD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58BE78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1E30A3D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4B0B116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02A683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4914F6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443DC6BB"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FDC156" w14:textId="77777777" w:rsidR="00791B53" w:rsidRDefault="002C0D99">
      <w:pPr>
        <w:pStyle w:val="1"/>
        <w:snapToGrid w:val="0"/>
        <w:spacing w:beforeLines="0" w:before="240" w:after="240"/>
        <w:rPr>
          <w:rFonts w:ascii="宋体" w:hAnsi="宋体"/>
          <w:szCs w:val="30"/>
        </w:rPr>
      </w:pPr>
      <w:bookmarkStart w:id="6" w:name="_Toc54104347"/>
      <w:r>
        <w:rPr>
          <w:rFonts w:ascii="Times New Roman" w:hAnsi="Times New Roman"/>
          <w:sz w:val="30"/>
        </w:rPr>
        <w:lastRenderedPageBreak/>
        <w:t>四、基金托管人</w:t>
      </w:r>
      <w:bookmarkEnd w:id="6"/>
    </w:p>
    <w:p w14:paraId="71EECC1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7117A1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14:paraId="329AEEE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名称：招商银行股份有限公司（以下简称</w:t>
      </w:r>
      <w:r>
        <w:rPr>
          <w:rFonts w:ascii="Times New Roman" w:hAnsi="Times New Roman"/>
          <w:sz w:val="24"/>
        </w:rPr>
        <w:t>“</w:t>
      </w:r>
      <w:r>
        <w:rPr>
          <w:rFonts w:ascii="Times New Roman" w:hAnsi="Times New Roman"/>
          <w:sz w:val="24"/>
        </w:rPr>
        <w:t>招商银行</w:t>
      </w:r>
      <w:r>
        <w:rPr>
          <w:rFonts w:ascii="Times New Roman" w:hAnsi="Times New Roman"/>
          <w:sz w:val="24"/>
        </w:rPr>
        <w:t>”</w:t>
      </w:r>
      <w:r>
        <w:rPr>
          <w:rFonts w:ascii="Times New Roman" w:hAnsi="Times New Roman"/>
          <w:sz w:val="24"/>
        </w:rPr>
        <w:t>）</w:t>
      </w:r>
    </w:p>
    <w:p w14:paraId="7CCB300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设立日期：</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8</w:t>
      </w:r>
      <w:r>
        <w:rPr>
          <w:rFonts w:ascii="Times New Roman" w:hAnsi="Times New Roman"/>
          <w:sz w:val="24"/>
        </w:rPr>
        <w:t>日</w:t>
      </w:r>
    </w:p>
    <w:p w14:paraId="19FEC49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注册地址：深圳市深南大道</w:t>
      </w:r>
      <w:r>
        <w:rPr>
          <w:rFonts w:ascii="Times New Roman" w:hAnsi="Times New Roman"/>
          <w:sz w:val="24"/>
        </w:rPr>
        <w:t>7088</w:t>
      </w:r>
      <w:r>
        <w:rPr>
          <w:rFonts w:ascii="Times New Roman" w:hAnsi="Times New Roman"/>
          <w:sz w:val="24"/>
        </w:rPr>
        <w:t>号招商银行大厦</w:t>
      </w:r>
    </w:p>
    <w:p w14:paraId="5DC921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办公地址：深圳市深南大道</w:t>
      </w:r>
      <w:r>
        <w:rPr>
          <w:rFonts w:ascii="Times New Roman" w:hAnsi="Times New Roman"/>
          <w:sz w:val="24"/>
        </w:rPr>
        <w:t>7088</w:t>
      </w:r>
      <w:r>
        <w:rPr>
          <w:rFonts w:ascii="Times New Roman" w:hAnsi="Times New Roman"/>
          <w:sz w:val="24"/>
        </w:rPr>
        <w:t>号招商银行大厦</w:t>
      </w:r>
    </w:p>
    <w:p w14:paraId="080AEE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252.20</w:t>
      </w:r>
      <w:r>
        <w:rPr>
          <w:rFonts w:ascii="Times New Roman" w:hAnsi="Times New Roman"/>
          <w:sz w:val="24"/>
        </w:rPr>
        <w:t>亿元</w:t>
      </w:r>
    </w:p>
    <w:p w14:paraId="267529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77C86A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行长：田惠宇</w:t>
      </w:r>
    </w:p>
    <w:p w14:paraId="5EBA07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资产托管业务批准文号：证</w:t>
      </w:r>
      <w:proofErr w:type="gramStart"/>
      <w:r>
        <w:rPr>
          <w:rFonts w:ascii="Times New Roman" w:hAnsi="Times New Roman"/>
          <w:sz w:val="24"/>
        </w:rPr>
        <w:t>监基金字</w:t>
      </w:r>
      <w:proofErr w:type="gramEnd"/>
      <w:r>
        <w:rPr>
          <w:rFonts w:ascii="Times New Roman" w:hAnsi="Times New Roman"/>
          <w:sz w:val="24"/>
        </w:rPr>
        <w:t>[2002]83</w:t>
      </w:r>
      <w:r>
        <w:rPr>
          <w:rFonts w:ascii="Times New Roman" w:hAnsi="Times New Roman"/>
          <w:sz w:val="24"/>
        </w:rPr>
        <w:t>号</w:t>
      </w:r>
    </w:p>
    <w:p w14:paraId="21CBC0E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0755-83199084</w:t>
      </w:r>
    </w:p>
    <w:p w14:paraId="20B483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0755-83195201</w:t>
      </w:r>
    </w:p>
    <w:p w14:paraId="4825FC6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资产托管部信息披露负责人：张燕</w:t>
      </w:r>
    </w:p>
    <w:p w14:paraId="7450BD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、发展概况</w:t>
      </w:r>
    </w:p>
    <w:p w14:paraId="58889F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招商银行成立于</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8</w:t>
      </w:r>
      <w:r>
        <w:rPr>
          <w:rFonts w:ascii="Times New Roman" w:hAnsi="Times New Roman"/>
          <w:sz w:val="24"/>
        </w:rPr>
        <w:t>日，是我国第一家完全由企业法人持股的股份制商业银行，总行设在深圳。自成立以来，招商银行先后进行了三次增资扩股，并于</w:t>
      </w:r>
      <w:r>
        <w:rPr>
          <w:rFonts w:ascii="Times New Roman" w:hAnsi="Times New Roman"/>
          <w:sz w:val="24"/>
        </w:rPr>
        <w:t>2002</w:t>
      </w:r>
      <w:r>
        <w:rPr>
          <w:rFonts w:ascii="Times New Roman" w:hAnsi="Times New Roman"/>
          <w:sz w:val="24"/>
        </w:rPr>
        <w:t>年</w:t>
      </w:r>
      <w:r>
        <w:rPr>
          <w:rFonts w:ascii="Times New Roman" w:hAnsi="Times New Roman"/>
          <w:sz w:val="24"/>
        </w:rPr>
        <w:t>3</w:t>
      </w:r>
      <w:r>
        <w:rPr>
          <w:rFonts w:ascii="Times New Roman" w:hAnsi="Times New Roman"/>
          <w:sz w:val="24"/>
        </w:rPr>
        <w:t>月成功地发行了</w:t>
      </w:r>
      <w:r>
        <w:rPr>
          <w:rFonts w:ascii="Times New Roman" w:hAnsi="Times New Roman"/>
          <w:sz w:val="24"/>
        </w:rPr>
        <w:t>15</w:t>
      </w:r>
      <w:r>
        <w:rPr>
          <w:rFonts w:ascii="Times New Roman" w:hAnsi="Times New Roman"/>
          <w:sz w:val="24"/>
        </w:rPr>
        <w:t>亿</w:t>
      </w:r>
      <w:r>
        <w:rPr>
          <w:rFonts w:ascii="Times New Roman" w:hAnsi="Times New Roman"/>
          <w:sz w:val="24"/>
        </w:rPr>
        <w:t>A</w:t>
      </w:r>
      <w:r>
        <w:rPr>
          <w:rFonts w:ascii="Times New Roman" w:hAnsi="Times New Roman"/>
          <w:sz w:val="24"/>
        </w:rPr>
        <w:t>股，</w:t>
      </w:r>
      <w:r>
        <w:rPr>
          <w:rFonts w:ascii="Times New Roman" w:hAnsi="Times New Roman"/>
          <w:sz w:val="24"/>
        </w:rPr>
        <w:t>4</w:t>
      </w:r>
      <w:r>
        <w:rPr>
          <w:rFonts w:ascii="Times New Roman" w:hAnsi="Times New Roman"/>
          <w:sz w:val="24"/>
        </w:rPr>
        <w:t>月</w:t>
      </w:r>
      <w:r>
        <w:rPr>
          <w:rFonts w:ascii="Times New Roman" w:hAnsi="Times New Roman"/>
          <w:sz w:val="24"/>
        </w:rPr>
        <w:t>9</w:t>
      </w:r>
      <w:r>
        <w:rPr>
          <w:rFonts w:ascii="Times New Roman" w:hAnsi="Times New Roman"/>
          <w:sz w:val="24"/>
        </w:rPr>
        <w:t>日在上交所挂牌（股票代码：</w:t>
      </w:r>
      <w:r>
        <w:rPr>
          <w:rFonts w:ascii="Times New Roman" w:hAnsi="Times New Roman"/>
          <w:sz w:val="24"/>
        </w:rPr>
        <w:t>600036</w:t>
      </w:r>
      <w:r>
        <w:rPr>
          <w:rFonts w:ascii="Times New Roman" w:hAnsi="Times New Roman"/>
          <w:sz w:val="24"/>
        </w:rPr>
        <w:t>），是国内第一家采用国际会计标准上市的公司。</w:t>
      </w:r>
      <w:r>
        <w:rPr>
          <w:rFonts w:ascii="Times New Roman" w:hAnsi="Times New Roman"/>
          <w:sz w:val="24"/>
        </w:rPr>
        <w:t>2006</w:t>
      </w:r>
      <w:r>
        <w:rPr>
          <w:rFonts w:ascii="Times New Roman" w:hAnsi="Times New Roman"/>
          <w:sz w:val="24"/>
        </w:rPr>
        <w:t>年</w:t>
      </w:r>
      <w:r>
        <w:rPr>
          <w:rFonts w:ascii="Times New Roman" w:hAnsi="Times New Roman"/>
          <w:sz w:val="24"/>
        </w:rPr>
        <w:t>9</w:t>
      </w:r>
      <w:r>
        <w:rPr>
          <w:rFonts w:ascii="Times New Roman" w:hAnsi="Times New Roman"/>
          <w:sz w:val="24"/>
        </w:rPr>
        <w:t>月又成功发行了</w:t>
      </w:r>
      <w:r>
        <w:rPr>
          <w:rFonts w:ascii="Times New Roman" w:hAnsi="Times New Roman"/>
          <w:sz w:val="24"/>
        </w:rPr>
        <w:t>22</w:t>
      </w:r>
      <w:r>
        <w:rPr>
          <w:rFonts w:ascii="Times New Roman" w:hAnsi="Times New Roman"/>
          <w:sz w:val="24"/>
        </w:rPr>
        <w:t>亿</w:t>
      </w:r>
      <w:r>
        <w:rPr>
          <w:rFonts w:ascii="Times New Roman" w:hAnsi="Times New Roman"/>
          <w:sz w:val="24"/>
        </w:rPr>
        <w:t>H</w:t>
      </w:r>
      <w:r>
        <w:rPr>
          <w:rFonts w:ascii="Times New Roman" w:hAnsi="Times New Roman"/>
          <w:sz w:val="24"/>
        </w:rPr>
        <w:t>股，</w:t>
      </w:r>
      <w:r>
        <w:rPr>
          <w:rFonts w:ascii="Times New Roman" w:hAnsi="Times New Roman"/>
          <w:sz w:val="24"/>
        </w:rPr>
        <w:t>9</w:t>
      </w:r>
      <w:r>
        <w:rPr>
          <w:rFonts w:ascii="Times New Roman" w:hAnsi="Times New Roman"/>
          <w:sz w:val="24"/>
        </w:rPr>
        <w:t>月</w:t>
      </w:r>
      <w:r>
        <w:rPr>
          <w:rFonts w:ascii="Times New Roman" w:hAnsi="Times New Roman"/>
          <w:sz w:val="24"/>
        </w:rPr>
        <w:t>22</w:t>
      </w:r>
      <w:r>
        <w:rPr>
          <w:rFonts w:ascii="Times New Roman" w:hAnsi="Times New Roman"/>
          <w:sz w:val="24"/>
        </w:rPr>
        <w:t>日在香港联交所挂牌交易（股票代码：</w:t>
      </w:r>
      <w:r>
        <w:rPr>
          <w:rFonts w:ascii="Times New Roman" w:hAnsi="Times New Roman"/>
          <w:sz w:val="24"/>
        </w:rPr>
        <w:t>3968</w:t>
      </w:r>
      <w:r>
        <w:rPr>
          <w:rFonts w:ascii="Times New Roman" w:hAnsi="Times New Roman"/>
          <w:sz w:val="24"/>
        </w:rPr>
        <w:t>），</w:t>
      </w:r>
      <w:r>
        <w:rPr>
          <w:rFonts w:ascii="Times New Roman" w:hAnsi="Times New Roman"/>
          <w:sz w:val="24"/>
        </w:rPr>
        <w:t>10</w:t>
      </w:r>
      <w:r>
        <w:rPr>
          <w:rFonts w:ascii="Times New Roman" w:hAnsi="Times New Roman"/>
          <w:sz w:val="24"/>
        </w:rPr>
        <w:t>月</w:t>
      </w:r>
      <w:r>
        <w:rPr>
          <w:rFonts w:ascii="Times New Roman" w:hAnsi="Times New Roman"/>
          <w:sz w:val="24"/>
        </w:rPr>
        <w:t>5</w:t>
      </w:r>
      <w:r>
        <w:rPr>
          <w:rFonts w:ascii="Times New Roman" w:hAnsi="Times New Roman"/>
          <w:sz w:val="24"/>
        </w:rPr>
        <w:t>日行使</w:t>
      </w:r>
      <w:r>
        <w:rPr>
          <w:rFonts w:ascii="Times New Roman" w:hAnsi="Times New Roman"/>
          <w:sz w:val="24"/>
        </w:rPr>
        <w:t>H</w:t>
      </w:r>
      <w:r>
        <w:rPr>
          <w:rFonts w:ascii="Times New Roman" w:hAnsi="Times New Roman"/>
          <w:sz w:val="24"/>
        </w:rPr>
        <w:t>股超额配售，共发行了</w:t>
      </w:r>
      <w:r>
        <w:rPr>
          <w:rFonts w:ascii="Times New Roman" w:hAnsi="Times New Roman"/>
          <w:sz w:val="24"/>
        </w:rPr>
        <w:t>24.2</w:t>
      </w:r>
      <w:r>
        <w:rPr>
          <w:rFonts w:ascii="Times New Roman" w:hAnsi="Times New Roman"/>
          <w:sz w:val="24"/>
        </w:rPr>
        <w:t>亿</w:t>
      </w:r>
      <w:r>
        <w:rPr>
          <w:rFonts w:ascii="Times New Roman" w:hAnsi="Times New Roman"/>
          <w:sz w:val="24"/>
        </w:rPr>
        <w:t>H</w:t>
      </w:r>
      <w:r>
        <w:rPr>
          <w:rFonts w:ascii="Times New Roman" w:hAnsi="Times New Roman"/>
          <w:sz w:val="24"/>
        </w:rPr>
        <w:t>股。截至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日，本集团总资产</w:t>
      </w:r>
      <w:r>
        <w:rPr>
          <w:rFonts w:ascii="Times New Roman" w:hAnsi="Times New Roman"/>
          <w:sz w:val="24"/>
        </w:rPr>
        <w:t>80,318.26</w:t>
      </w:r>
      <w:r>
        <w:rPr>
          <w:rFonts w:ascii="Times New Roman" w:hAnsi="Times New Roman"/>
          <w:sz w:val="24"/>
        </w:rPr>
        <w:t>亿元人民币，高级法下资本充足率</w:t>
      </w:r>
      <w:r>
        <w:rPr>
          <w:rFonts w:ascii="Times New Roman" w:hAnsi="Times New Roman"/>
          <w:sz w:val="24"/>
        </w:rPr>
        <w:t>14.90%</w:t>
      </w:r>
      <w:r>
        <w:rPr>
          <w:rFonts w:ascii="Times New Roman" w:hAnsi="Times New Roman"/>
          <w:sz w:val="24"/>
        </w:rPr>
        <w:t>，权重法下资本充足率</w:t>
      </w:r>
      <w:r>
        <w:rPr>
          <w:rFonts w:ascii="Times New Roman" w:hAnsi="Times New Roman"/>
          <w:sz w:val="24"/>
        </w:rPr>
        <w:t>12.49%</w:t>
      </w:r>
      <w:r>
        <w:rPr>
          <w:rFonts w:ascii="Times New Roman" w:hAnsi="Times New Roman"/>
          <w:sz w:val="24"/>
        </w:rPr>
        <w:t>。</w:t>
      </w:r>
    </w:p>
    <w:p w14:paraId="0C576C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2002</w:t>
      </w:r>
      <w:r>
        <w:rPr>
          <w:rFonts w:ascii="Times New Roman" w:hAnsi="Times New Roman"/>
          <w:sz w:val="24"/>
        </w:rPr>
        <w:t>年</w:t>
      </w:r>
      <w:r>
        <w:rPr>
          <w:rFonts w:ascii="Times New Roman" w:hAnsi="Times New Roman"/>
          <w:sz w:val="24"/>
        </w:rPr>
        <w:t>8</w:t>
      </w:r>
      <w:r>
        <w:rPr>
          <w:rFonts w:ascii="Times New Roman" w:hAnsi="Times New Roman"/>
          <w:sz w:val="24"/>
        </w:rPr>
        <w:t>月，招商银行成立基金托管部；</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月，经报中国证监会同意，更名为资产托管部，现下</w:t>
      </w:r>
      <w:proofErr w:type="gramStart"/>
      <w:r>
        <w:rPr>
          <w:rFonts w:ascii="Times New Roman" w:hAnsi="Times New Roman"/>
          <w:sz w:val="24"/>
        </w:rPr>
        <w:t>设业务</w:t>
      </w:r>
      <w:proofErr w:type="gramEnd"/>
      <w:r>
        <w:rPr>
          <w:rFonts w:ascii="Times New Roman" w:hAnsi="Times New Roman"/>
          <w:sz w:val="24"/>
        </w:rPr>
        <w:t>管理团队、产品管理团队、项目管理团队、稽核监察团队、基金外包业务团队、养老金团队、系统与数据团队</w:t>
      </w:r>
      <w:r>
        <w:rPr>
          <w:rFonts w:ascii="Times New Roman" w:hAnsi="Times New Roman"/>
          <w:sz w:val="24"/>
        </w:rPr>
        <w:t>7</w:t>
      </w:r>
      <w:r>
        <w:rPr>
          <w:rFonts w:ascii="Times New Roman" w:hAnsi="Times New Roman"/>
          <w:sz w:val="24"/>
        </w:rPr>
        <w:t>个职能团队，现有员工</w:t>
      </w:r>
      <w:r>
        <w:rPr>
          <w:rFonts w:ascii="Times New Roman" w:hAnsi="Times New Roman"/>
          <w:sz w:val="24"/>
        </w:rPr>
        <w:t>96</w:t>
      </w:r>
      <w:r>
        <w:rPr>
          <w:rFonts w:ascii="Times New Roman" w:hAnsi="Times New Roman"/>
          <w:sz w:val="24"/>
        </w:rPr>
        <w:t>人。</w:t>
      </w:r>
      <w:r>
        <w:rPr>
          <w:rFonts w:ascii="Times New Roman" w:hAnsi="Times New Roman"/>
          <w:sz w:val="24"/>
        </w:rPr>
        <w:t>2002</w:t>
      </w:r>
      <w:r>
        <w:rPr>
          <w:rFonts w:ascii="Times New Roman" w:hAnsi="Times New Roman"/>
          <w:sz w:val="24"/>
        </w:rPr>
        <w:t>年</w:t>
      </w:r>
      <w:r>
        <w:rPr>
          <w:rFonts w:ascii="Times New Roman" w:hAnsi="Times New Roman"/>
          <w:sz w:val="24"/>
        </w:rPr>
        <w:t>11</w:t>
      </w:r>
      <w:r>
        <w:rPr>
          <w:rFonts w:ascii="Times New Roman" w:hAnsi="Times New Roman"/>
          <w:sz w:val="24"/>
        </w:rPr>
        <w:t>月，经中国人民银行和中国证监会批准获得证券投资基金托管业务资格，成为国内第一家获得该项业务资格上市银行；</w:t>
      </w:r>
      <w:r>
        <w:rPr>
          <w:rFonts w:ascii="Times New Roman" w:hAnsi="Times New Roman"/>
          <w:sz w:val="24"/>
        </w:rPr>
        <w:t>2003</w:t>
      </w:r>
      <w:r>
        <w:rPr>
          <w:rFonts w:ascii="Times New Roman" w:hAnsi="Times New Roman"/>
          <w:sz w:val="24"/>
        </w:rPr>
        <w:t>年</w:t>
      </w:r>
      <w:r>
        <w:rPr>
          <w:rFonts w:ascii="Times New Roman" w:hAnsi="Times New Roman"/>
          <w:sz w:val="24"/>
        </w:rPr>
        <w:t>4</w:t>
      </w:r>
      <w:r>
        <w:rPr>
          <w:rFonts w:ascii="Times New Roman" w:hAnsi="Times New Roman"/>
          <w:sz w:val="24"/>
        </w:rPr>
        <w:t>月，正式办理基金托管业务。招商银行作为托管业务资质最全的商业银行，拥有证券投资基金托管、受托投资管理托管、合格境外机构投资者托管（</w:t>
      </w:r>
      <w:r>
        <w:rPr>
          <w:rFonts w:ascii="Times New Roman" w:hAnsi="Times New Roman"/>
          <w:sz w:val="24"/>
        </w:rPr>
        <w:t>QFII</w:t>
      </w:r>
      <w:r>
        <w:rPr>
          <w:rFonts w:ascii="Times New Roman" w:hAnsi="Times New Roman"/>
          <w:sz w:val="24"/>
        </w:rPr>
        <w:t>）、合格境内机构投资者托管</w:t>
      </w:r>
      <w:r>
        <w:rPr>
          <w:rFonts w:ascii="Times New Roman" w:hAnsi="Times New Roman"/>
          <w:sz w:val="24"/>
        </w:rPr>
        <w:lastRenderedPageBreak/>
        <w:t>（</w:t>
      </w:r>
      <w:r>
        <w:rPr>
          <w:rFonts w:ascii="Times New Roman" w:hAnsi="Times New Roman"/>
          <w:sz w:val="24"/>
        </w:rPr>
        <w:t>QDII</w:t>
      </w:r>
      <w:r>
        <w:rPr>
          <w:rFonts w:ascii="Times New Roman" w:hAnsi="Times New Roman"/>
          <w:sz w:val="24"/>
        </w:rPr>
        <w:t>）、全国社会保障基金托管、保险资金托管、企业年金基金托管、存托凭证试点存托人等业务资格。</w:t>
      </w:r>
    </w:p>
    <w:p w14:paraId="10DF25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招商银行确立</w:t>
      </w:r>
      <w:r>
        <w:rPr>
          <w:rFonts w:ascii="Times New Roman" w:hAnsi="Times New Roman"/>
          <w:sz w:val="24"/>
        </w:rPr>
        <w:t>“</w:t>
      </w:r>
      <w:r>
        <w:rPr>
          <w:rFonts w:ascii="Times New Roman" w:hAnsi="Times New Roman"/>
          <w:sz w:val="24"/>
        </w:rPr>
        <w:t>因势而变、先您所想</w:t>
      </w:r>
      <w:r>
        <w:rPr>
          <w:rFonts w:ascii="Times New Roman" w:hAnsi="Times New Roman"/>
          <w:sz w:val="24"/>
        </w:rPr>
        <w:t>”</w:t>
      </w:r>
      <w:r>
        <w:rPr>
          <w:rFonts w:ascii="Times New Roman" w:hAnsi="Times New Roman"/>
          <w:sz w:val="24"/>
        </w:rPr>
        <w:t>的托管理念和</w:t>
      </w:r>
      <w:r>
        <w:rPr>
          <w:rFonts w:ascii="Times New Roman" w:hAnsi="Times New Roman"/>
          <w:sz w:val="24"/>
        </w:rPr>
        <w:t>“</w:t>
      </w:r>
      <w:r>
        <w:rPr>
          <w:rFonts w:ascii="Times New Roman" w:hAnsi="Times New Roman"/>
          <w:sz w:val="24"/>
        </w:rPr>
        <w:t>财富所托、信守承诺</w:t>
      </w:r>
      <w:r>
        <w:rPr>
          <w:rFonts w:ascii="Times New Roman" w:hAnsi="Times New Roman"/>
          <w:sz w:val="24"/>
        </w:rPr>
        <w:t>”</w:t>
      </w:r>
      <w:r>
        <w:rPr>
          <w:rFonts w:ascii="Times New Roman" w:hAnsi="Times New Roman"/>
          <w:sz w:val="24"/>
        </w:rPr>
        <w:t>的托管核心价值，独创</w:t>
      </w:r>
      <w:r>
        <w:rPr>
          <w:rFonts w:ascii="Times New Roman" w:hAnsi="Times New Roman"/>
          <w:sz w:val="24"/>
        </w:rPr>
        <w:t>“6S</w:t>
      </w:r>
      <w:r>
        <w:rPr>
          <w:rFonts w:ascii="Times New Roman" w:hAnsi="Times New Roman"/>
          <w:sz w:val="24"/>
        </w:rPr>
        <w:t>托管银行</w:t>
      </w:r>
      <w:r>
        <w:rPr>
          <w:rFonts w:ascii="Times New Roman" w:hAnsi="Times New Roman"/>
          <w:sz w:val="24"/>
        </w:rPr>
        <w:t>”</w:t>
      </w:r>
      <w:r>
        <w:rPr>
          <w:rFonts w:ascii="Times New Roman" w:hAnsi="Times New Roman"/>
          <w:sz w:val="24"/>
        </w:rPr>
        <w:t>品牌体系，以</w:t>
      </w:r>
      <w:r>
        <w:rPr>
          <w:rFonts w:ascii="Times New Roman" w:hAnsi="Times New Roman"/>
          <w:sz w:val="24"/>
        </w:rPr>
        <w:t>“</w:t>
      </w:r>
      <w:r>
        <w:rPr>
          <w:rFonts w:ascii="Times New Roman" w:hAnsi="Times New Roman"/>
          <w:sz w:val="24"/>
        </w:rPr>
        <w:t>保护您的业务、保护您的财富</w:t>
      </w:r>
      <w:r>
        <w:rPr>
          <w:rFonts w:ascii="Times New Roman" w:hAnsi="Times New Roman"/>
          <w:sz w:val="24"/>
        </w:rPr>
        <w:t>”</w:t>
      </w:r>
      <w:r>
        <w:rPr>
          <w:rFonts w:ascii="Times New Roman" w:hAnsi="Times New Roman"/>
          <w:sz w:val="24"/>
        </w:rPr>
        <w:t>为历史使命，不断创新托管系统、服务和产品：在业内率先推出</w:t>
      </w:r>
      <w:r>
        <w:rPr>
          <w:rFonts w:ascii="Times New Roman" w:hAnsi="Times New Roman"/>
          <w:sz w:val="24"/>
        </w:rPr>
        <w:t>“</w:t>
      </w:r>
      <w:r>
        <w:rPr>
          <w:rFonts w:ascii="Times New Roman" w:hAnsi="Times New Roman"/>
          <w:sz w:val="24"/>
        </w:rPr>
        <w:t>网上托管银行系统</w:t>
      </w:r>
      <w:r>
        <w:rPr>
          <w:rFonts w:ascii="Times New Roman" w:hAnsi="Times New Roman"/>
          <w:sz w:val="24"/>
        </w:rPr>
        <w:t>”</w:t>
      </w:r>
      <w:r>
        <w:rPr>
          <w:rFonts w:ascii="Times New Roman" w:hAnsi="Times New Roman"/>
          <w:sz w:val="24"/>
        </w:rPr>
        <w:t>、托管业务综合系统和</w:t>
      </w:r>
      <w:r>
        <w:rPr>
          <w:rFonts w:ascii="Times New Roman" w:hAnsi="Times New Roman"/>
          <w:sz w:val="24"/>
        </w:rPr>
        <w:t>“6</w:t>
      </w:r>
      <w:r>
        <w:rPr>
          <w:rFonts w:ascii="Times New Roman" w:hAnsi="Times New Roman"/>
          <w:sz w:val="24"/>
        </w:rPr>
        <w:t>心</w:t>
      </w:r>
      <w:r>
        <w:rPr>
          <w:rFonts w:ascii="Times New Roman" w:hAnsi="Times New Roman"/>
          <w:sz w:val="24"/>
        </w:rPr>
        <w:t>”</w:t>
      </w:r>
      <w:r>
        <w:rPr>
          <w:rFonts w:ascii="Times New Roman" w:hAnsi="Times New Roman"/>
          <w:sz w:val="24"/>
        </w:rPr>
        <w:t>托管服务标准，首家发布私募基金绩效分析报告，开办国内首个托管银行网站，推出国内首个托管大数据平台，成功托管国内第一只券商集合资产管理计划、第一只</w:t>
      </w:r>
      <w:r>
        <w:rPr>
          <w:rFonts w:ascii="Times New Roman" w:hAnsi="Times New Roman"/>
          <w:sz w:val="24"/>
        </w:rPr>
        <w:t>FOF</w:t>
      </w:r>
      <w:r>
        <w:rPr>
          <w:rFonts w:ascii="Times New Roman" w:hAnsi="Times New Roman"/>
          <w:sz w:val="24"/>
        </w:rPr>
        <w:t>、第一只信托资金计划、第一只股权私募基金、第一家实现货币市场基金赎回资金</w:t>
      </w:r>
      <w:r>
        <w:rPr>
          <w:rFonts w:ascii="Times New Roman" w:hAnsi="Times New Roman"/>
          <w:sz w:val="24"/>
        </w:rPr>
        <w:t>T+1</w:t>
      </w:r>
      <w:r>
        <w:rPr>
          <w:rFonts w:ascii="Times New Roman" w:hAnsi="Times New Roman"/>
          <w:sz w:val="24"/>
        </w:rPr>
        <w:t>到账、第一只境外银行</w:t>
      </w:r>
      <w:r>
        <w:rPr>
          <w:rFonts w:ascii="Times New Roman" w:hAnsi="Times New Roman"/>
          <w:sz w:val="24"/>
        </w:rPr>
        <w:t>QDII</w:t>
      </w:r>
      <w:r>
        <w:rPr>
          <w:rFonts w:ascii="Times New Roman" w:hAnsi="Times New Roman"/>
          <w:sz w:val="24"/>
        </w:rPr>
        <w:t>基金、第一只红利</w:t>
      </w:r>
      <w:r>
        <w:rPr>
          <w:rFonts w:ascii="Times New Roman" w:hAnsi="Times New Roman"/>
          <w:sz w:val="24"/>
        </w:rPr>
        <w:t>ETF</w:t>
      </w:r>
      <w:r>
        <w:rPr>
          <w:rFonts w:ascii="Times New Roman" w:hAnsi="Times New Roman"/>
          <w:sz w:val="24"/>
        </w:rPr>
        <w:t>基金、第一只</w:t>
      </w:r>
      <w:r>
        <w:rPr>
          <w:rFonts w:ascii="Times New Roman" w:hAnsi="Times New Roman"/>
          <w:sz w:val="24"/>
        </w:rPr>
        <w:t>“1+N”</w:t>
      </w:r>
      <w:r>
        <w:rPr>
          <w:rFonts w:ascii="Times New Roman" w:hAnsi="Times New Roman"/>
          <w:sz w:val="24"/>
        </w:rPr>
        <w:t>基金专户理财、第一家大小非解禁资产、第一单</w:t>
      </w:r>
      <w:r>
        <w:rPr>
          <w:rFonts w:ascii="Times New Roman" w:hAnsi="Times New Roman"/>
          <w:sz w:val="24"/>
        </w:rPr>
        <w:t>TOT</w:t>
      </w:r>
      <w:r>
        <w:rPr>
          <w:rFonts w:ascii="Times New Roman" w:hAnsi="Times New Roman"/>
          <w:sz w:val="24"/>
        </w:rPr>
        <w:t>保管，实现从单一托管服务商向全面投资者服务机构的转变，得到了同业认可。</w:t>
      </w:r>
    </w:p>
    <w:p w14:paraId="5BBD60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招商银行资产托管业务持续稳健发展，社会影响</w:t>
      </w:r>
      <w:proofErr w:type="gramStart"/>
      <w:r>
        <w:rPr>
          <w:rFonts w:ascii="Times New Roman" w:hAnsi="Times New Roman"/>
          <w:sz w:val="24"/>
        </w:rPr>
        <w:t>力不断</w:t>
      </w:r>
      <w:proofErr w:type="gramEnd"/>
      <w:r>
        <w:rPr>
          <w:rFonts w:ascii="Times New Roman" w:hAnsi="Times New Roman"/>
          <w:sz w:val="24"/>
        </w:rPr>
        <w:t>提升</w:t>
      </w:r>
      <w:r>
        <w:rPr>
          <w:rFonts w:ascii="Times New Roman" w:hAnsi="Times New Roman"/>
          <w:sz w:val="24"/>
        </w:rPr>
        <w:t>,</w:t>
      </w:r>
      <w:r>
        <w:rPr>
          <w:rFonts w:ascii="Times New Roman" w:hAnsi="Times New Roman"/>
          <w:sz w:val="24"/>
        </w:rPr>
        <w:t>四度蝉联获《财资》</w:t>
      </w:r>
      <w:r>
        <w:rPr>
          <w:rFonts w:ascii="Times New Roman" w:hAnsi="Times New Roman"/>
          <w:sz w:val="24"/>
        </w:rPr>
        <w:t>“</w:t>
      </w:r>
      <w:r>
        <w:rPr>
          <w:rFonts w:ascii="Times New Roman" w:hAnsi="Times New Roman"/>
          <w:sz w:val="24"/>
        </w:rPr>
        <w:t>中国最佳托管专业银行</w:t>
      </w:r>
      <w:r>
        <w:rPr>
          <w:rFonts w:ascii="Times New Roman" w:hAnsi="Times New Roman"/>
          <w:sz w:val="24"/>
        </w:rPr>
        <w:t>”</w:t>
      </w: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6</w:t>
      </w:r>
      <w:r>
        <w:rPr>
          <w:rFonts w:ascii="Times New Roman" w:hAnsi="Times New Roman"/>
          <w:sz w:val="24"/>
        </w:rPr>
        <w:t>月招商银行荣膺《财资》</w:t>
      </w:r>
      <w:r>
        <w:rPr>
          <w:rFonts w:ascii="Times New Roman" w:hAnsi="Times New Roman"/>
          <w:sz w:val="24"/>
        </w:rPr>
        <w:t>“</w:t>
      </w:r>
      <w:r>
        <w:rPr>
          <w:rFonts w:ascii="Times New Roman" w:hAnsi="Times New Roman"/>
          <w:sz w:val="24"/>
        </w:rPr>
        <w:t>中国最佳托管银行奖</w:t>
      </w:r>
      <w:r>
        <w:rPr>
          <w:rFonts w:ascii="Times New Roman" w:hAnsi="Times New Roman"/>
          <w:sz w:val="24"/>
        </w:rPr>
        <w:t>”</w:t>
      </w:r>
      <w:r>
        <w:rPr>
          <w:rFonts w:ascii="Times New Roman" w:hAnsi="Times New Roman"/>
          <w:sz w:val="24"/>
        </w:rPr>
        <w:t>，成为国内唯一获得该奖项的托管银行；</w:t>
      </w:r>
      <w:r>
        <w:rPr>
          <w:rFonts w:ascii="Times New Roman" w:hAnsi="Times New Roman"/>
          <w:sz w:val="24"/>
        </w:rPr>
        <w:t>“</w:t>
      </w:r>
      <w:r>
        <w:rPr>
          <w:rFonts w:ascii="Times New Roman" w:hAnsi="Times New Roman"/>
          <w:sz w:val="24"/>
        </w:rPr>
        <w:t>托管通</w:t>
      </w:r>
      <w:r>
        <w:rPr>
          <w:rFonts w:ascii="Times New Roman" w:hAnsi="Times New Roman"/>
          <w:sz w:val="24"/>
        </w:rPr>
        <w:t>”</w:t>
      </w:r>
      <w:r>
        <w:rPr>
          <w:rFonts w:ascii="Times New Roman" w:hAnsi="Times New Roman"/>
          <w:sz w:val="24"/>
        </w:rPr>
        <w:t>获得国内《银行家》</w:t>
      </w:r>
      <w:r>
        <w:rPr>
          <w:rFonts w:ascii="Times New Roman" w:hAnsi="Times New Roman"/>
          <w:sz w:val="24"/>
        </w:rPr>
        <w:t>2016</w:t>
      </w:r>
      <w:r>
        <w:rPr>
          <w:rFonts w:ascii="Times New Roman" w:hAnsi="Times New Roman"/>
          <w:sz w:val="24"/>
        </w:rPr>
        <w:t>中国金融创新</w:t>
      </w:r>
      <w:r>
        <w:rPr>
          <w:rFonts w:ascii="Times New Roman" w:hAnsi="Times New Roman"/>
          <w:sz w:val="24"/>
        </w:rPr>
        <w:t>“</w:t>
      </w:r>
      <w:r>
        <w:rPr>
          <w:rFonts w:ascii="Times New Roman" w:hAnsi="Times New Roman"/>
          <w:sz w:val="24"/>
        </w:rPr>
        <w:t>十佳金融产品创新奖</w:t>
      </w:r>
      <w:r>
        <w:rPr>
          <w:rFonts w:ascii="Times New Roman" w:hAnsi="Times New Roman"/>
          <w:sz w:val="24"/>
        </w:rPr>
        <w:t>”</w:t>
      </w:r>
      <w:r>
        <w:rPr>
          <w:rFonts w:ascii="Times New Roman" w:hAnsi="Times New Roman"/>
          <w:sz w:val="24"/>
        </w:rPr>
        <w:t>；</w:t>
      </w:r>
      <w:r>
        <w:rPr>
          <w:rFonts w:ascii="Times New Roman" w:hAnsi="Times New Roman"/>
          <w:sz w:val="24"/>
        </w:rPr>
        <w:t>7</w:t>
      </w:r>
      <w:r>
        <w:rPr>
          <w:rFonts w:ascii="Times New Roman" w:hAnsi="Times New Roman"/>
          <w:sz w:val="24"/>
        </w:rPr>
        <w:t>月荣膺</w:t>
      </w:r>
      <w:r>
        <w:rPr>
          <w:rFonts w:ascii="Times New Roman" w:hAnsi="Times New Roman"/>
          <w:sz w:val="24"/>
        </w:rPr>
        <w:t>2016</w:t>
      </w:r>
      <w:r>
        <w:rPr>
          <w:rFonts w:ascii="Times New Roman" w:hAnsi="Times New Roman"/>
          <w:sz w:val="24"/>
        </w:rPr>
        <w:t>年中国资产管理</w:t>
      </w:r>
      <w:r>
        <w:rPr>
          <w:rFonts w:ascii="Times New Roman" w:hAnsi="Times New Roman"/>
          <w:sz w:val="24"/>
        </w:rPr>
        <w:t>“</w:t>
      </w:r>
      <w:r>
        <w:rPr>
          <w:rFonts w:ascii="Times New Roman" w:hAnsi="Times New Roman"/>
          <w:sz w:val="24"/>
        </w:rPr>
        <w:t>金贝奖</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w:t>
      </w:r>
      <w:r>
        <w:rPr>
          <w:rFonts w:ascii="Times New Roman" w:hAnsi="Times New Roman"/>
          <w:sz w:val="24"/>
        </w:rPr>
        <w:t>2017</w:t>
      </w:r>
      <w:r>
        <w:rPr>
          <w:rFonts w:ascii="Times New Roman" w:hAnsi="Times New Roman"/>
          <w:sz w:val="24"/>
        </w:rPr>
        <w:t>年</w:t>
      </w:r>
      <w:r>
        <w:rPr>
          <w:rFonts w:ascii="Times New Roman" w:hAnsi="Times New Roman"/>
          <w:sz w:val="24"/>
        </w:rPr>
        <w:t>6</w:t>
      </w:r>
      <w:r>
        <w:rPr>
          <w:rFonts w:ascii="Times New Roman" w:hAnsi="Times New Roman"/>
          <w:sz w:val="24"/>
        </w:rPr>
        <w:t>月招商银行再度荣膺《财资》</w:t>
      </w:r>
      <w:r>
        <w:rPr>
          <w:rFonts w:ascii="Times New Roman" w:hAnsi="Times New Roman"/>
          <w:sz w:val="24"/>
        </w:rPr>
        <w:t>“</w:t>
      </w:r>
      <w:r>
        <w:rPr>
          <w:rFonts w:ascii="Times New Roman" w:hAnsi="Times New Roman"/>
          <w:sz w:val="24"/>
        </w:rPr>
        <w:t>中国最佳托管银行奖</w:t>
      </w:r>
      <w:r>
        <w:rPr>
          <w:rFonts w:ascii="Times New Roman" w:hAnsi="Times New Roman"/>
          <w:sz w:val="24"/>
        </w:rPr>
        <w:t>”</w:t>
      </w:r>
      <w:r>
        <w:rPr>
          <w:rFonts w:ascii="Times New Roman" w:hAnsi="Times New Roman"/>
          <w:sz w:val="24"/>
        </w:rPr>
        <w:t>；</w:t>
      </w:r>
      <w:r>
        <w:rPr>
          <w:rFonts w:ascii="Times New Roman" w:hAnsi="Times New Roman"/>
          <w:sz w:val="24"/>
        </w:rPr>
        <w:t xml:space="preserve"> “</w:t>
      </w:r>
      <w:r>
        <w:rPr>
          <w:rFonts w:ascii="Times New Roman" w:hAnsi="Times New Roman"/>
          <w:sz w:val="24"/>
        </w:rPr>
        <w:t>全功能网上托管银行</w:t>
      </w:r>
      <w:r>
        <w:rPr>
          <w:rFonts w:ascii="Times New Roman" w:hAnsi="Times New Roman"/>
          <w:sz w:val="24"/>
        </w:rPr>
        <w:t>2.0”</w:t>
      </w:r>
      <w:r>
        <w:rPr>
          <w:rFonts w:ascii="Times New Roman" w:hAnsi="Times New Roman"/>
          <w:sz w:val="24"/>
        </w:rPr>
        <w:t>荣获《银行家》</w:t>
      </w:r>
      <w:r>
        <w:rPr>
          <w:rFonts w:ascii="Times New Roman" w:hAnsi="Times New Roman"/>
          <w:sz w:val="24"/>
        </w:rPr>
        <w:t>2017</w:t>
      </w:r>
      <w:r>
        <w:rPr>
          <w:rFonts w:ascii="Times New Roman" w:hAnsi="Times New Roman"/>
          <w:sz w:val="24"/>
        </w:rPr>
        <w:t>中国金融创新</w:t>
      </w:r>
      <w:r>
        <w:rPr>
          <w:rFonts w:ascii="Times New Roman" w:hAnsi="Times New Roman"/>
          <w:sz w:val="24"/>
        </w:rPr>
        <w:t>“</w:t>
      </w:r>
      <w:r>
        <w:rPr>
          <w:rFonts w:ascii="Times New Roman" w:hAnsi="Times New Roman"/>
          <w:sz w:val="24"/>
        </w:rPr>
        <w:t>十佳金融产品创新奖</w:t>
      </w:r>
      <w:r>
        <w:rPr>
          <w:rFonts w:ascii="Times New Roman" w:hAnsi="Times New Roman"/>
          <w:sz w:val="24"/>
        </w:rPr>
        <w:t>”</w:t>
      </w:r>
      <w:r>
        <w:rPr>
          <w:rFonts w:ascii="Times New Roman" w:hAnsi="Times New Roman"/>
          <w:sz w:val="24"/>
        </w:rPr>
        <w:t>；</w:t>
      </w:r>
      <w:r>
        <w:rPr>
          <w:rFonts w:ascii="Times New Roman" w:hAnsi="Times New Roman"/>
          <w:sz w:val="24"/>
        </w:rPr>
        <w:t>8</w:t>
      </w:r>
      <w:r>
        <w:rPr>
          <w:rFonts w:ascii="Times New Roman" w:hAnsi="Times New Roman"/>
          <w:sz w:val="24"/>
        </w:rPr>
        <w:t>月荣膺国际财经权威媒体《亚洲银行家》</w:t>
      </w:r>
      <w:r>
        <w:rPr>
          <w:rFonts w:ascii="Times New Roman" w:hAnsi="Times New Roman"/>
          <w:sz w:val="24"/>
        </w:rPr>
        <w:t>“</w:t>
      </w:r>
      <w:r>
        <w:rPr>
          <w:rFonts w:ascii="Times New Roman" w:hAnsi="Times New Roman"/>
          <w:sz w:val="24"/>
        </w:rPr>
        <w:t>中国年度托管银行奖</w:t>
      </w:r>
      <w:r>
        <w:rPr>
          <w:rFonts w:ascii="Times New Roman" w:hAnsi="Times New Roman"/>
          <w:sz w:val="24"/>
        </w:rPr>
        <w:t>”</w:t>
      </w:r>
      <w:r>
        <w:rPr>
          <w:rFonts w:ascii="Times New Roman" w:hAnsi="Times New Roman"/>
          <w:sz w:val="24"/>
        </w:rPr>
        <w:t>。</w:t>
      </w:r>
      <w:r>
        <w:rPr>
          <w:rFonts w:ascii="Times New Roman" w:hAnsi="Times New Roman"/>
          <w:sz w:val="24"/>
        </w:rPr>
        <w:t>2018</w:t>
      </w:r>
      <w:r>
        <w:rPr>
          <w:rFonts w:ascii="Times New Roman" w:hAnsi="Times New Roman"/>
          <w:sz w:val="24"/>
        </w:rPr>
        <w:t>年</w:t>
      </w:r>
      <w:r>
        <w:rPr>
          <w:rFonts w:ascii="Times New Roman" w:hAnsi="Times New Roman"/>
          <w:sz w:val="24"/>
        </w:rPr>
        <w:t>1</w:t>
      </w:r>
      <w:r>
        <w:rPr>
          <w:rFonts w:ascii="Times New Roman" w:hAnsi="Times New Roman"/>
          <w:sz w:val="24"/>
        </w:rPr>
        <w:t>月招商银行荣膺中央国债登记结算有限责任公司</w:t>
      </w:r>
      <w:r>
        <w:rPr>
          <w:rFonts w:ascii="Times New Roman" w:hAnsi="Times New Roman"/>
          <w:sz w:val="24"/>
        </w:rPr>
        <w:t>“2017</w:t>
      </w:r>
      <w:r>
        <w:rPr>
          <w:rFonts w:ascii="Times New Roman" w:hAnsi="Times New Roman"/>
          <w:sz w:val="24"/>
        </w:rPr>
        <w:t>年度优秀资产托管机构</w:t>
      </w:r>
      <w:r>
        <w:rPr>
          <w:rFonts w:ascii="Times New Roman" w:hAnsi="Times New Roman"/>
          <w:sz w:val="24"/>
        </w:rPr>
        <w:t>”</w:t>
      </w:r>
      <w:r>
        <w:rPr>
          <w:rFonts w:ascii="Times New Roman" w:hAnsi="Times New Roman"/>
          <w:sz w:val="24"/>
        </w:rPr>
        <w:t>奖项；同月，招商银行托管大数据平台风险管理系统荣获</w:t>
      </w:r>
      <w:r>
        <w:rPr>
          <w:rFonts w:ascii="Times New Roman" w:hAnsi="Times New Roman"/>
          <w:sz w:val="24"/>
        </w:rPr>
        <w:t>2016-2017</w:t>
      </w:r>
      <w:r>
        <w:rPr>
          <w:rFonts w:ascii="Times New Roman" w:hAnsi="Times New Roman"/>
          <w:sz w:val="24"/>
        </w:rPr>
        <w:t>年度银监会系统</w:t>
      </w:r>
      <w:r>
        <w:rPr>
          <w:rFonts w:ascii="Times New Roman" w:hAnsi="Times New Roman"/>
          <w:sz w:val="24"/>
        </w:rPr>
        <w:t>“</w:t>
      </w:r>
      <w:r>
        <w:rPr>
          <w:rFonts w:ascii="Times New Roman" w:hAnsi="Times New Roman"/>
          <w:sz w:val="24"/>
        </w:rPr>
        <w:t>金点子</w:t>
      </w:r>
      <w:r>
        <w:rPr>
          <w:rFonts w:ascii="Times New Roman" w:hAnsi="Times New Roman"/>
          <w:sz w:val="24"/>
        </w:rPr>
        <w:t>”</w:t>
      </w:r>
      <w:r>
        <w:rPr>
          <w:rFonts w:ascii="Times New Roman" w:hAnsi="Times New Roman"/>
          <w:sz w:val="24"/>
        </w:rPr>
        <w:t>方案一等奖，以及中央金融团工委、全国金融青联第五届</w:t>
      </w:r>
      <w:r>
        <w:rPr>
          <w:rFonts w:ascii="Times New Roman" w:hAnsi="Times New Roman"/>
          <w:sz w:val="24"/>
        </w:rPr>
        <w:t>“</w:t>
      </w:r>
      <w:r>
        <w:rPr>
          <w:rFonts w:ascii="Times New Roman" w:hAnsi="Times New Roman"/>
          <w:sz w:val="24"/>
        </w:rPr>
        <w:t>双提升</w:t>
      </w:r>
      <w:r>
        <w:rPr>
          <w:rFonts w:ascii="Times New Roman" w:hAnsi="Times New Roman"/>
          <w:sz w:val="24"/>
        </w:rPr>
        <w:t>”</w:t>
      </w:r>
      <w:r>
        <w:rPr>
          <w:rFonts w:ascii="Times New Roman" w:hAnsi="Times New Roman"/>
          <w:sz w:val="24"/>
        </w:rPr>
        <w:t>金点子方案二等奖；</w:t>
      </w:r>
      <w:r>
        <w:rPr>
          <w:rFonts w:ascii="Times New Roman" w:hAnsi="Times New Roman"/>
          <w:sz w:val="24"/>
        </w:rPr>
        <w:t>3</w:t>
      </w:r>
      <w:r>
        <w:rPr>
          <w:rFonts w:ascii="Times New Roman" w:hAnsi="Times New Roman"/>
          <w:sz w:val="24"/>
        </w:rPr>
        <w:t>月荣膺公</w:t>
      </w:r>
      <w:proofErr w:type="gramStart"/>
      <w:r>
        <w:rPr>
          <w:rFonts w:ascii="Times New Roman" w:hAnsi="Times New Roman"/>
          <w:sz w:val="24"/>
        </w:rPr>
        <w:t>募基金</w:t>
      </w:r>
      <w:proofErr w:type="gramEnd"/>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5</w:t>
      </w:r>
      <w:r>
        <w:rPr>
          <w:rFonts w:ascii="Times New Roman" w:hAnsi="Times New Roman"/>
          <w:sz w:val="24"/>
        </w:rPr>
        <w:t>月荣膺国际财经权威媒体《亚洲银行家》</w:t>
      </w:r>
      <w:r>
        <w:rPr>
          <w:rFonts w:ascii="Times New Roman" w:hAnsi="Times New Roman"/>
          <w:sz w:val="24"/>
        </w:rPr>
        <w:t>“</w:t>
      </w:r>
      <w:r>
        <w:rPr>
          <w:rFonts w:ascii="Times New Roman" w:hAnsi="Times New Roman"/>
          <w:sz w:val="24"/>
        </w:rPr>
        <w:t>中国年度托管银行奖</w:t>
      </w:r>
      <w:r>
        <w:rPr>
          <w:rFonts w:ascii="Times New Roman" w:hAnsi="Times New Roman"/>
          <w:sz w:val="24"/>
        </w:rPr>
        <w:t>”</w:t>
      </w:r>
      <w:r>
        <w:rPr>
          <w:rFonts w:ascii="Times New Roman" w:hAnsi="Times New Roman"/>
          <w:sz w:val="24"/>
        </w:rPr>
        <w:t>；</w:t>
      </w:r>
      <w:r>
        <w:rPr>
          <w:rFonts w:ascii="Times New Roman" w:hAnsi="Times New Roman"/>
          <w:sz w:val="24"/>
        </w:rPr>
        <w:t>12</w:t>
      </w:r>
      <w:r>
        <w:rPr>
          <w:rFonts w:ascii="Times New Roman" w:hAnsi="Times New Roman"/>
          <w:sz w:val="24"/>
        </w:rPr>
        <w:t>月荣膺</w:t>
      </w:r>
      <w:r>
        <w:rPr>
          <w:rFonts w:ascii="Times New Roman" w:hAnsi="Times New Roman"/>
          <w:sz w:val="24"/>
        </w:rPr>
        <w:t>2018</w:t>
      </w:r>
      <w:r>
        <w:rPr>
          <w:rFonts w:ascii="Times New Roman" w:hAnsi="Times New Roman"/>
          <w:sz w:val="24"/>
        </w:rPr>
        <w:t>东方财富风云榜</w:t>
      </w:r>
      <w:r>
        <w:rPr>
          <w:rFonts w:ascii="Times New Roman" w:hAnsi="Times New Roman"/>
          <w:sz w:val="24"/>
        </w:rPr>
        <w:t>“2018</w:t>
      </w:r>
      <w:r>
        <w:rPr>
          <w:rFonts w:ascii="Times New Roman" w:hAnsi="Times New Roman"/>
          <w:sz w:val="24"/>
        </w:rPr>
        <w:t>年度最佳托管银行</w:t>
      </w:r>
      <w:r>
        <w:rPr>
          <w:rFonts w:ascii="Times New Roman" w:hAnsi="Times New Roman"/>
          <w:sz w:val="24"/>
        </w:rPr>
        <w:t>”</w:t>
      </w:r>
      <w:r>
        <w:rPr>
          <w:rFonts w:ascii="Times New Roman" w:hAnsi="Times New Roman"/>
          <w:sz w:val="24"/>
        </w:rPr>
        <w:t>、</w:t>
      </w:r>
      <w:r>
        <w:rPr>
          <w:rFonts w:ascii="Times New Roman" w:hAnsi="Times New Roman"/>
          <w:sz w:val="24"/>
        </w:rPr>
        <w:t>“20</w:t>
      </w:r>
      <w:r>
        <w:rPr>
          <w:rFonts w:ascii="Times New Roman" w:hAnsi="Times New Roman"/>
          <w:sz w:val="24"/>
        </w:rPr>
        <w:t>年最值得信赖托管银行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w:t>
      </w:r>
      <w:r>
        <w:rPr>
          <w:rFonts w:ascii="Times New Roman" w:hAnsi="Times New Roman"/>
          <w:sz w:val="24"/>
        </w:rPr>
        <w:t>3</w:t>
      </w:r>
      <w:r>
        <w:rPr>
          <w:rFonts w:ascii="Times New Roman" w:hAnsi="Times New Roman"/>
          <w:sz w:val="24"/>
        </w:rPr>
        <w:t>月招商银行荣获《中国基金报》</w:t>
      </w:r>
      <w:r>
        <w:rPr>
          <w:rFonts w:ascii="Times New Roman" w:hAnsi="Times New Roman"/>
          <w:sz w:val="24"/>
        </w:rPr>
        <w:t>“2018</w:t>
      </w:r>
      <w:r>
        <w:rPr>
          <w:rFonts w:ascii="Times New Roman" w:hAnsi="Times New Roman"/>
          <w:sz w:val="24"/>
        </w:rPr>
        <w:t>年度最佳基金托管银行</w:t>
      </w:r>
      <w:r>
        <w:rPr>
          <w:rFonts w:ascii="Times New Roman" w:hAnsi="Times New Roman"/>
          <w:sz w:val="24"/>
        </w:rPr>
        <w:t>”</w:t>
      </w:r>
      <w:r>
        <w:rPr>
          <w:rFonts w:ascii="Times New Roman" w:hAnsi="Times New Roman"/>
          <w:sz w:val="24"/>
        </w:rPr>
        <w:t>奖；</w:t>
      </w:r>
      <w:r>
        <w:rPr>
          <w:rFonts w:ascii="Times New Roman" w:hAnsi="Times New Roman"/>
          <w:sz w:val="24"/>
        </w:rPr>
        <w:t>6</w:t>
      </w:r>
      <w:r>
        <w:rPr>
          <w:rFonts w:ascii="Times New Roman" w:hAnsi="Times New Roman"/>
          <w:sz w:val="24"/>
        </w:rPr>
        <w:t>月荣获《财资》</w:t>
      </w:r>
      <w:r>
        <w:rPr>
          <w:rFonts w:ascii="Times New Roman" w:hAnsi="Times New Roman"/>
          <w:sz w:val="24"/>
        </w:rPr>
        <w:t>“</w:t>
      </w:r>
      <w:r>
        <w:rPr>
          <w:rFonts w:ascii="Times New Roman" w:hAnsi="Times New Roman"/>
          <w:sz w:val="24"/>
        </w:rPr>
        <w:t>中国最佳托管机构</w:t>
      </w:r>
      <w:r>
        <w:rPr>
          <w:rFonts w:ascii="Times New Roman" w:hAnsi="Times New Roman"/>
          <w:sz w:val="24"/>
        </w:rPr>
        <w:t>”“</w:t>
      </w:r>
      <w:r>
        <w:rPr>
          <w:rFonts w:ascii="Times New Roman" w:hAnsi="Times New Roman"/>
          <w:sz w:val="24"/>
        </w:rPr>
        <w:t>中国最佳养老金托管机构</w:t>
      </w:r>
      <w:r>
        <w:rPr>
          <w:rFonts w:ascii="Times New Roman" w:hAnsi="Times New Roman"/>
          <w:sz w:val="24"/>
        </w:rPr>
        <w:t>”“</w:t>
      </w:r>
      <w:r>
        <w:rPr>
          <w:rFonts w:ascii="Times New Roman" w:hAnsi="Times New Roman"/>
          <w:sz w:val="24"/>
        </w:rPr>
        <w:t>中国最佳零售基金行政外包</w:t>
      </w:r>
      <w:r>
        <w:rPr>
          <w:rFonts w:ascii="Times New Roman" w:hAnsi="Times New Roman"/>
          <w:sz w:val="24"/>
        </w:rPr>
        <w:t>”</w:t>
      </w:r>
      <w:r>
        <w:rPr>
          <w:rFonts w:ascii="Times New Roman" w:hAnsi="Times New Roman"/>
          <w:sz w:val="24"/>
        </w:rPr>
        <w:t>三项大奖；</w:t>
      </w:r>
      <w:r>
        <w:rPr>
          <w:rFonts w:ascii="Times New Roman" w:hAnsi="Times New Roman"/>
          <w:sz w:val="24"/>
        </w:rPr>
        <w:t>12</w:t>
      </w:r>
      <w:r>
        <w:rPr>
          <w:rFonts w:ascii="Times New Roman" w:hAnsi="Times New Roman"/>
          <w:sz w:val="24"/>
        </w:rPr>
        <w:t>月荣获</w:t>
      </w:r>
      <w:r>
        <w:rPr>
          <w:rFonts w:ascii="Times New Roman" w:hAnsi="Times New Roman"/>
          <w:sz w:val="24"/>
        </w:rPr>
        <w:t>2019</w:t>
      </w:r>
      <w:r>
        <w:rPr>
          <w:rFonts w:ascii="Times New Roman" w:hAnsi="Times New Roman"/>
          <w:sz w:val="24"/>
        </w:rPr>
        <w:t>东方财富风云榜</w:t>
      </w:r>
      <w:r>
        <w:rPr>
          <w:rFonts w:ascii="Times New Roman" w:hAnsi="Times New Roman"/>
          <w:sz w:val="24"/>
        </w:rPr>
        <w:t>“2019</w:t>
      </w:r>
      <w:r>
        <w:rPr>
          <w:rFonts w:ascii="Times New Roman" w:hAnsi="Times New Roman"/>
          <w:sz w:val="24"/>
        </w:rPr>
        <w:t>年度最佳托管银行</w:t>
      </w:r>
      <w:r>
        <w:rPr>
          <w:rFonts w:ascii="Times New Roman" w:hAnsi="Times New Roman"/>
          <w:sz w:val="24"/>
        </w:rPr>
        <w:t>”</w:t>
      </w:r>
      <w:r>
        <w:rPr>
          <w:rFonts w:ascii="Times New Roman" w:hAnsi="Times New Roman"/>
          <w:sz w:val="24"/>
        </w:rPr>
        <w:t>奖。</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月荣获《财资》</w:t>
      </w:r>
      <w:r>
        <w:rPr>
          <w:rFonts w:ascii="Times New Roman" w:hAnsi="Times New Roman"/>
          <w:sz w:val="24"/>
        </w:rPr>
        <w:t>“</w:t>
      </w:r>
      <w:r>
        <w:rPr>
          <w:rFonts w:ascii="Times New Roman" w:hAnsi="Times New Roman"/>
          <w:sz w:val="24"/>
        </w:rPr>
        <w:t>中国最佳托管机构</w:t>
      </w:r>
      <w:r>
        <w:rPr>
          <w:rFonts w:ascii="Times New Roman" w:hAnsi="Times New Roman"/>
          <w:sz w:val="24"/>
        </w:rPr>
        <w:t>”“</w:t>
      </w:r>
      <w:r>
        <w:rPr>
          <w:rFonts w:ascii="Times New Roman" w:hAnsi="Times New Roman"/>
          <w:sz w:val="24"/>
        </w:rPr>
        <w:t>最佳公募基金托管机构</w:t>
      </w:r>
      <w:r>
        <w:rPr>
          <w:rFonts w:ascii="Times New Roman" w:hAnsi="Times New Roman"/>
          <w:sz w:val="24"/>
        </w:rPr>
        <w:t>”“</w:t>
      </w:r>
      <w:r>
        <w:rPr>
          <w:rFonts w:ascii="Times New Roman" w:hAnsi="Times New Roman"/>
          <w:sz w:val="24"/>
        </w:rPr>
        <w:t>最佳公募基金行政外包机构</w:t>
      </w:r>
      <w:r>
        <w:rPr>
          <w:rFonts w:ascii="Times New Roman" w:hAnsi="Times New Roman"/>
          <w:sz w:val="24"/>
        </w:rPr>
        <w:t>”</w:t>
      </w:r>
      <w:r>
        <w:rPr>
          <w:rFonts w:ascii="Times New Roman" w:hAnsi="Times New Roman"/>
          <w:sz w:val="24"/>
        </w:rPr>
        <w:t>三项大奖。</w:t>
      </w:r>
    </w:p>
    <w:p w14:paraId="0B21D7C9"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（二）主要人员情况</w:t>
      </w:r>
    </w:p>
    <w:p w14:paraId="2C5FE2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李建红先生，本行董事长、非执行董事，</w:t>
      </w:r>
      <w:r>
        <w:rPr>
          <w:rFonts w:ascii="Times New Roman" w:hAnsi="Times New Roman"/>
          <w:sz w:val="24"/>
        </w:rPr>
        <w:t>2014</w:t>
      </w:r>
      <w:r>
        <w:rPr>
          <w:rFonts w:ascii="Times New Roman" w:hAnsi="Times New Roman"/>
          <w:sz w:val="24"/>
        </w:rPr>
        <w:t>年</w:t>
      </w:r>
      <w:r>
        <w:rPr>
          <w:rFonts w:ascii="Times New Roman" w:hAnsi="Times New Roman"/>
          <w:sz w:val="24"/>
        </w:rPr>
        <w:t>7</w:t>
      </w:r>
      <w:r>
        <w:rPr>
          <w:rFonts w:ascii="Times New Roman" w:hAnsi="Times New Roman"/>
          <w:sz w:val="24"/>
        </w:rPr>
        <w:t>月起担任本行董事、董事长。</w:t>
      </w:r>
      <w:r>
        <w:rPr>
          <w:rFonts w:ascii="Times New Roman" w:hAnsi="Times New Roman"/>
          <w:sz w:val="24"/>
        </w:rPr>
        <w:lastRenderedPageBreak/>
        <w:t>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757D85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田惠宇先生，本行行长、执行董事，</w:t>
      </w:r>
      <w:r>
        <w:rPr>
          <w:rFonts w:ascii="Times New Roman" w:hAnsi="Times New Roman"/>
          <w:sz w:val="24"/>
        </w:rPr>
        <w:t>2013</w:t>
      </w:r>
      <w:r>
        <w:rPr>
          <w:rFonts w:ascii="Times New Roman" w:hAnsi="Times New Roman"/>
          <w:sz w:val="24"/>
        </w:rPr>
        <w:t>年</w:t>
      </w:r>
      <w:r>
        <w:rPr>
          <w:rFonts w:ascii="Times New Roman" w:hAnsi="Times New Roman"/>
          <w:sz w:val="24"/>
        </w:rPr>
        <w:t>5</w:t>
      </w:r>
      <w:r>
        <w:rPr>
          <w:rFonts w:ascii="Times New Roman" w:hAnsi="Times New Roman"/>
          <w:sz w:val="24"/>
        </w:rPr>
        <w:t>月起担任本行行长、本行执行董事。美国哥伦比亚大学公共管理硕士学位，高级经济师。曾于</w:t>
      </w:r>
      <w:r>
        <w:rPr>
          <w:rFonts w:ascii="Times New Roman" w:hAnsi="Times New Roman"/>
          <w:sz w:val="24"/>
        </w:rPr>
        <w:t xml:space="preserve">2003 </w:t>
      </w:r>
      <w:r>
        <w:rPr>
          <w:rFonts w:ascii="Times New Roman" w:hAnsi="Times New Roman"/>
          <w:sz w:val="24"/>
        </w:rPr>
        <w:t>年</w:t>
      </w:r>
      <w:r>
        <w:rPr>
          <w:rFonts w:ascii="Times New Roman" w:hAnsi="Times New Roman"/>
          <w:sz w:val="24"/>
        </w:rPr>
        <w:t xml:space="preserve">7 </w:t>
      </w:r>
      <w:r>
        <w:rPr>
          <w:rFonts w:ascii="Times New Roman" w:hAnsi="Times New Roman"/>
          <w:sz w:val="24"/>
        </w:rPr>
        <w:t>月至</w:t>
      </w:r>
      <w:r>
        <w:rPr>
          <w:rFonts w:ascii="Times New Roman" w:hAnsi="Times New Roman"/>
          <w:sz w:val="24"/>
        </w:rPr>
        <w:t>2013</w:t>
      </w:r>
      <w:r>
        <w:rPr>
          <w:rFonts w:ascii="Times New Roman" w:hAnsi="Times New Roman"/>
          <w:sz w:val="24"/>
        </w:rPr>
        <w:t>年</w:t>
      </w:r>
      <w:r>
        <w:rPr>
          <w:rFonts w:ascii="Times New Roman" w:hAnsi="Times New Roman"/>
          <w:sz w:val="24"/>
        </w:rPr>
        <w:t>5</w:t>
      </w:r>
      <w:r>
        <w:rPr>
          <w:rFonts w:ascii="Times New Roman" w:hAnsi="Times New Roman"/>
          <w:sz w:val="24"/>
        </w:rPr>
        <w:t>月历任上海银行副行长、中国建设银行上海市分行副行长、深圳市分行行长、中国建设银行零售业务总监兼北京市分行行长。</w:t>
      </w:r>
    </w:p>
    <w:p w14:paraId="6B8890C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汪建中先生，</w:t>
      </w:r>
      <w:proofErr w:type="gramStart"/>
      <w:r>
        <w:rPr>
          <w:rFonts w:ascii="Times New Roman" w:hAnsi="Times New Roman"/>
          <w:sz w:val="24"/>
        </w:rPr>
        <w:t>本行副</w:t>
      </w:r>
      <w:proofErr w:type="gramEnd"/>
      <w:r>
        <w:rPr>
          <w:rFonts w:ascii="Times New Roman" w:hAnsi="Times New Roman"/>
          <w:sz w:val="24"/>
        </w:rPr>
        <w:t>行长。</w:t>
      </w:r>
      <w:r>
        <w:rPr>
          <w:rFonts w:ascii="Times New Roman" w:hAnsi="Times New Roman"/>
          <w:sz w:val="24"/>
        </w:rPr>
        <w:t>1991</w:t>
      </w:r>
      <w:r>
        <w:rPr>
          <w:rFonts w:ascii="Times New Roman" w:hAnsi="Times New Roman"/>
          <w:sz w:val="24"/>
        </w:rPr>
        <w:t>年加入本行；</w:t>
      </w:r>
      <w:r>
        <w:rPr>
          <w:rFonts w:ascii="Times New Roman" w:hAnsi="Times New Roman"/>
          <w:sz w:val="24"/>
        </w:rPr>
        <w:t>2002</w:t>
      </w:r>
      <w:r>
        <w:rPr>
          <w:rFonts w:ascii="Times New Roman" w:hAnsi="Times New Roman"/>
          <w:sz w:val="24"/>
        </w:rPr>
        <w:t>年</w:t>
      </w:r>
      <w:r>
        <w:rPr>
          <w:rFonts w:ascii="Times New Roman" w:hAnsi="Times New Roman"/>
          <w:sz w:val="24"/>
        </w:rPr>
        <w:t>10</w:t>
      </w:r>
      <w:r>
        <w:rPr>
          <w:rFonts w:ascii="Times New Roman" w:hAnsi="Times New Roman"/>
          <w:sz w:val="24"/>
        </w:rPr>
        <w:t>月至</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月历任本行长沙分行行长，总行公司银行部副总经理，佛山分行筹备组组长，佛山分行行长，武汉分行行长；</w:t>
      </w:r>
      <w:r>
        <w:rPr>
          <w:rFonts w:ascii="Times New Roman" w:hAnsi="Times New Roman"/>
          <w:sz w:val="24"/>
        </w:rPr>
        <w:t>2013</w:t>
      </w:r>
      <w:r>
        <w:rPr>
          <w:rFonts w:ascii="Times New Roman" w:hAnsi="Times New Roman"/>
          <w:sz w:val="24"/>
        </w:rPr>
        <w:t>年</w:t>
      </w:r>
      <w:r>
        <w:rPr>
          <w:rFonts w:ascii="Times New Roman" w:hAnsi="Times New Roman"/>
          <w:sz w:val="24"/>
        </w:rPr>
        <w:t>12</w:t>
      </w:r>
      <w:r>
        <w:rPr>
          <w:rFonts w:ascii="Times New Roman" w:hAnsi="Times New Roman"/>
          <w:sz w:val="24"/>
        </w:rPr>
        <w:t>月至</w:t>
      </w:r>
      <w:r>
        <w:rPr>
          <w:rFonts w:ascii="Times New Roman" w:hAnsi="Times New Roman"/>
          <w:sz w:val="24"/>
        </w:rPr>
        <w:t>2016</w:t>
      </w:r>
      <w:r>
        <w:rPr>
          <w:rFonts w:ascii="Times New Roman" w:hAnsi="Times New Roman"/>
          <w:sz w:val="24"/>
        </w:rPr>
        <w:t>年</w:t>
      </w:r>
      <w:r>
        <w:rPr>
          <w:rFonts w:ascii="Times New Roman" w:hAnsi="Times New Roman"/>
          <w:sz w:val="24"/>
        </w:rPr>
        <w:t>10</w:t>
      </w:r>
      <w:r>
        <w:rPr>
          <w:rFonts w:ascii="Times New Roman" w:hAnsi="Times New Roman"/>
          <w:sz w:val="24"/>
        </w:rPr>
        <w:t>月任本行业务总监兼公司金融总部总裁，期间先后兼任公司金融综合管理部总经理、战略客户部总经理；</w:t>
      </w:r>
      <w:r>
        <w:rPr>
          <w:rFonts w:ascii="Times New Roman" w:hAnsi="Times New Roman"/>
          <w:sz w:val="24"/>
        </w:rPr>
        <w:t>2016</w:t>
      </w:r>
      <w:r>
        <w:rPr>
          <w:rFonts w:ascii="Times New Roman" w:hAnsi="Times New Roman"/>
          <w:sz w:val="24"/>
        </w:rPr>
        <w:t>年</w:t>
      </w:r>
      <w:r>
        <w:rPr>
          <w:rFonts w:ascii="Times New Roman" w:hAnsi="Times New Roman"/>
          <w:sz w:val="24"/>
        </w:rPr>
        <w:t>10</w:t>
      </w:r>
      <w:r>
        <w:rPr>
          <w:rFonts w:ascii="Times New Roman" w:hAnsi="Times New Roman"/>
          <w:sz w:val="24"/>
        </w:rPr>
        <w:t>月至</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月任本行业务总监兼北京分行行长；</w:t>
      </w:r>
      <w:r>
        <w:rPr>
          <w:rFonts w:ascii="Times New Roman" w:hAnsi="Times New Roman"/>
          <w:sz w:val="24"/>
        </w:rPr>
        <w:t>2017</w:t>
      </w:r>
      <w:r>
        <w:rPr>
          <w:rFonts w:ascii="Times New Roman" w:hAnsi="Times New Roman"/>
          <w:sz w:val="24"/>
        </w:rPr>
        <w:t>年</w:t>
      </w:r>
      <w:r>
        <w:rPr>
          <w:rFonts w:ascii="Times New Roman" w:hAnsi="Times New Roman"/>
          <w:sz w:val="24"/>
        </w:rPr>
        <w:t>4</w:t>
      </w:r>
      <w:r>
        <w:rPr>
          <w:rFonts w:ascii="Times New Roman" w:hAnsi="Times New Roman"/>
          <w:sz w:val="24"/>
        </w:rPr>
        <w:t>月起任本行党委委员兼北京分行行长。</w:t>
      </w:r>
      <w:r>
        <w:rPr>
          <w:rFonts w:ascii="Times New Roman" w:hAnsi="Times New Roman"/>
          <w:sz w:val="24"/>
        </w:rPr>
        <w:t>2019</w:t>
      </w:r>
      <w:r>
        <w:rPr>
          <w:rFonts w:ascii="Times New Roman" w:hAnsi="Times New Roman"/>
          <w:sz w:val="24"/>
        </w:rPr>
        <w:t>年</w:t>
      </w:r>
      <w:r>
        <w:rPr>
          <w:rFonts w:ascii="Times New Roman" w:hAnsi="Times New Roman"/>
          <w:sz w:val="24"/>
        </w:rPr>
        <w:t>4</w:t>
      </w:r>
      <w:r>
        <w:rPr>
          <w:rFonts w:ascii="Times New Roman" w:hAnsi="Times New Roman"/>
          <w:sz w:val="24"/>
        </w:rPr>
        <w:t>月起任</w:t>
      </w:r>
      <w:proofErr w:type="gramStart"/>
      <w:r>
        <w:rPr>
          <w:rFonts w:ascii="Times New Roman" w:hAnsi="Times New Roman"/>
          <w:sz w:val="24"/>
        </w:rPr>
        <w:t>本行副</w:t>
      </w:r>
      <w:proofErr w:type="gramEnd"/>
      <w:r>
        <w:rPr>
          <w:rFonts w:ascii="Times New Roman" w:hAnsi="Times New Roman"/>
          <w:sz w:val="24"/>
        </w:rPr>
        <w:t>行长。</w:t>
      </w:r>
    </w:p>
    <w:p w14:paraId="7126B925"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（三）基金托管业务经营情况</w:t>
      </w:r>
    </w:p>
    <w:p w14:paraId="7599A9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日，招商银行股份有限公司累计托管</w:t>
      </w:r>
      <w:r>
        <w:rPr>
          <w:rFonts w:ascii="Times New Roman" w:hAnsi="Times New Roman"/>
          <w:sz w:val="24"/>
        </w:rPr>
        <w:t>641</w:t>
      </w:r>
      <w:r>
        <w:rPr>
          <w:rFonts w:ascii="Times New Roman" w:hAnsi="Times New Roman"/>
          <w:sz w:val="24"/>
        </w:rPr>
        <w:t>只证券投资基金。</w:t>
      </w:r>
    </w:p>
    <w:p w14:paraId="2310B34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（四）托管人的内部控制制度</w:t>
      </w:r>
    </w:p>
    <w:p w14:paraId="52B9EC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内部控制目标</w:t>
      </w:r>
    </w:p>
    <w:p w14:paraId="41BF52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63CE439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内部控制组织结构</w:t>
      </w:r>
    </w:p>
    <w:p w14:paraId="7B03A7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招商银行资产托管业务建立三级内部控制及风险防范体系：</w:t>
      </w:r>
    </w:p>
    <w:p w14:paraId="564F53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一级内部控制及风险防范是在招商银行总行风险管控层面对风险进行预防和控制；</w:t>
      </w:r>
    </w:p>
    <w:p w14:paraId="3C3E36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二级内部控制及风险防范是招商银行资产托管部设立稽核监察团队，负责部门</w:t>
      </w:r>
      <w:r>
        <w:rPr>
          <w:rFonts w:ascii="Times New Roman" w:hAnsi="Times New Roman"/>
          <w:sz w:val="24"/>
        </w:rPr>
        <w:lastRenderedPageBreak/>
        <w:t>内部风险预防和控制；</w:t>
      </w:r>
    </w:p>
    <w:p w14:paraId="39C1C3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三级内部控制及风险防范是招商银行资产托管部在设置专业岗位时，遵循内控制衡原则，</w:t>
      </w:r>
      <w:proofErr w:type="gramStart"/>
      <w:r>
        <w:rPr>
          <w:rFonts w:ascii="Times New Roman" w:hAnsi="Times New Roman"/>
          <w:sz w:val="24"/>
        </w:rPr>
        <w:t>视业务</w:t>
      </w:r>
      <w:proofErr w:type="gramEnd"/>
      <w:r>
        <w:rPr>
          <w:rFonts w:ascii="Times New Roman" w:hAnsi="Times New Roman"/>
          <w:sz w:val="24"/>
        </w:rPr>
        <w:t>的风险程度制定相应监督制衡机制。</w:t>
      </w:r>
    </w:p>
    <w:p w14:paraId="5962F06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内部控制原则</w:t>
      </w:r>
    </w:p>
    <w:p w14:paraId="43AC8C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）全面性原则。内部控制覆盖各项业务过程和操作环节、覆盖所有团队和岗位，并由全部人员参与。</w:t>
      </w:r>
    </w:p>
    <w:p w14:paraId="4D87E3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）审慎性原则。托管组织体系的构成、内部管理制度的建立均以防范风险、审慎经营为出发点，体现</w:t>
      </w:r>
      <w:r>
        <w:rPr>
          <w:rFonts w:ascii="Times New Roman" w:hAnsi="Times New Roman"/>
          <w:sz w:val="24"/>
        </w:rPr>
        <w:t>“</w:t>
      </w:r>
      <w:r>
        <w:rPr>
          <w:rFonts w:ascii="Times New Roman" w:hAnsi="Times New Roman"/>
          <w:sz w:val="24"/>
        </w:rPr>
        <w:t>内控优先</w:t>
      </w:r>
      <w:r>
        <w:rPr>
          <w:rFonts w:ascii="Times New Roman" w:hAnsi="Times New Roman"/>
          <w:sz w:val="24"/>
        </w:rPr>
        <w:t>”</w:t>
      </w:r>
      <w:r>
        <w:rPr>
          <w:rFonts w:ascii="Times New Roman" w:hAnsi="Times New Roman"/>
          <w:sz w:val="24"/>
        </w:rPr>
        <w:t>的要求。</w:t>
      </w:r>
    </w:p>
    <w:p w14:paraId="714153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）独立性原则。招商银行资产托管部各团队、各岗位职责保持相对独立，不同托管资产之间、托管资产和自有资产之间相互分离。内部控制的检查、评价部门独立于内部控制的建立和执行部门。</w:t>
      </w:r>
    </w:p>
    <w:p w14:paraId="7236982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337730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7E97602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）防火墙原则。招商银行资产托管部办公场地与我</w:t>
      </w:r>
      <w:proofErr w:type="gramStart"/>
      <w:r>
        <w:rPr>
          <w:rFonts w:ascii="Times New Roman" w:hAnsi="Times New Roman"/>
          <w:sz w:val="24"/>
        </w:rPr>
        <w:t>行其他</w:t>
      </w:r>
      <w:proofErr w:type="gramEnd"/>
      <w:r>
        <w:rPr>
          <w:rFonts w:ascii="Times New Roman" w:hAnsi="Times New Roman"/>
          <w:sz w:val="24"/>
        </w:rPr>
        <w:t>业务场地隔离，办公网和业务网物理分离，部门业务网和全行业</w:t>
      </w:r>
      <w:proofErr w:type="gramStart"/>
      <w:r>
        <w:rPr>
          <w:rFonts w:ascii="Times New Roman" w:hAnsi="Times New Roman"/>
          <w:sz w:val="24"/>
        </w:rPr>
        <w:t>务</w:t>
      </w:r>
      <w:proofErr w:type="gramEnd"/>
      <w:r>
        <w:rPr>
          <w:rFonts w:ascii="Times New Roman" w:hAnsi="Times New Roman"/>
          <w:sz w:val="24"/>
        </w:rPr>
        <w:t>网防火墙策略分离，以达到风险防范的目的。</w:t>
      </w:r>
    </w:p>
    <w:p w14:paraId="105120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）重要性原则。内部控制在实现全面控制的基础上，关注重要托管业务事项和高风险环节。</w:t>
      </w:r>
    </w:p>
    <w:p w14:paraId="135C52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）制衡性原则。内部控制能够实现在托管组织体系、机构设置及权责分配、业务流程等方面形成相互制约、相互监督，同时兼顾运营效率。</w:t>
      </w:r>
    </w:p>
    <w:p w14:paraId="57D390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内部控制措施</w:t>
      </w:r>
    </w:p>
    <w:p w14:paraId="6A4CAB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1A53E7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）业务信息风险控制。招商银行资产托管部在数据传输和保存方面有严格</w:t>
      </w:r>
      <w:r>
        <w:rPr>
          <w:rFonts w:ascii="Times New Roman" w:hAnsi="Times New Roman"/>
          <w:sz w:val="24"/>
        </w:rPr>
        <w:lastRenderedPageBreak/>
        <w:t>的加密和备份措施，采用加密、直</w:t>
      </w:r>
      <w:proofErr w:type="gramStart"/>
      <w:r>
        <w:rPr>
          <w:rFonts w:ascii="Times New Roman" w:hAnsi="Times New Roman"/>
          <w:sz w:val="24"/>
        </w:rPr>
        <w:t>连方式</w:t>
      </w:r>
      <w:proofErr w:type="gramEnd"/>
      <w:r>
        <w:rPr>
          <w:rFonts w:ascii="Times New Roman" w:hAnsi="Times New Roman"/>
          <w:sz w:val="24"/>
        </w:rPr>
        <w:t>传输数据，数据执行异地实时备份，所有的业务信息须经过严格的授权方能进行访问。</w:t>
      </w:r>
    </w:p>
    <w:p w14:paraId="1FF5A2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）客户资料风险控制。招商银行资产托管部对业务办理过程中形成的客户资料，视同会计资料保管。客户资料不得泄露，根据法律法规和其他有关规定调用资料，须经总经理室成员审批，并做好调用登记。</w:t>
      </w:r>
    </w:p>
    <w:p w14:paraId="2D69D63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）信息技术系统风险控制。招商银行对信息技术系统管理实行双人</w:t>
      </w:r>
      <w:proofErr w:type="gramStart"/>
      <w:r>
        <w:rPr>
          <w:rFonts w:ascii="Times New Roman" w:hAnsi="Times New Roman"/>
          <w:sz w:val="24"/>
        </w:rPr>
        <w:t>双岗双责</w:t>
      </w:r>
      <w:proofErr w:type="gramEnd"/>
      <w:r>
        <w:rPr>
          <w:rFonts w:ascii="Times New Roman" w:hAnsi="Times New Roman"/>
          <w:sz w:val="24"/>
        </w:rPr>
        <w:t>、机房</w:t>
      </w:r>
      <w:r>
        <w:rPr>
          <w:rFonts w:ascii="Times New Roman" w:hAnsi="Times New Roman"/>
          <w:sz w:val="24"/>
        </w:rPr>
        <w:t>24</w:t>
      </w:r>
      <w:r>
        <w:rPr>
          <w:rFonts w:ascii="Times New Roman" w:hAnsi="Times New Roman"/>
          <w:sz w:val="24"/>
        </w:rPr>
        <w:t>小时值班并设置门禁管理、电脑密码设置及权限管理、业务网和办公网、托管业务网与全行业</w:t>
      </w:r>
      <w:proofErr w:type="gramStart"/>
      <w:r>
        <w:rPr>
          <w:rFonts w:ascii="Times New Roman" w:hAnsi="Times New Roman"/>
          <w:sz w:val="24"/>
        </w:rPr>
        <w:t>务网双</w:t>
      </w:r>
      <w:proofErr w:type="gramEnd"/>
      <w:r>
        <w:rPr>
          <w:rFonts w:ascii="Times New Roman" w:hAnsi="Times New Roman"/>
          <w:sz w:val="24"/>
        </w:rPr>
        <w:t>分离制度，与外部业务机构实行防火墙保护，对信息技术系统采取两地</w:t>
      </w:r>
      <w:proofErr w:type="gramStart"/>
      <w:r>
        <w:rPr>
          <w:rFonts w:ascii="Times New Roman" w:hAnsi="Times New Roman"/>
          <w:sz w:val="24"/>
        </w:rPr>
        <w:t>三中心</w:t>
      </w:r>
      <w:proofErr w:type="gramEnd"/>
      <w:r>
        <w:rPr>
          <w:rFonts w:ascii="Times New Roman" w:hAnsi="Times New Roman"/>
          <w:sz w:val="24"/>
        </w:rPr>
        <w:t>的应急备份管理措施等，保证信息技术系统的安全。</w:t>
      </w:r>
    </w:p>
    <w:p w14:paraId="504AB68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）人力资源控制。招商银行资产托管部通过建立良好的企业文化和员工培训、激励机制、加强人力资源管理及建立人才梯级队伍及人才储备机制，有效的进行人力资源管理。</w:t>
      </w:r>
    </w:p>
    <w:p w14:paraId="5D49DAC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（五）基金托管人对基金管理人运作基金进行监督的方法和程序</w:t>
      </w:r>
    </w:p>
    <w:p w14:paraId="755B97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Pr>
          <w:rFonts w:ascii="Times New Roman" w:hAnsi="Times New Roman"/>
          <w:sz w:val="24"/>
        </w:rPr>
        <w:t>规</w:t>
      </w:r>
      <w:proofErr w:type="gramEnd"/>
      <w:r>
        <w:rPr>
          <w:rFonts w:ascii="Times New Roman" w:hAnsi="Times New Roman"/>
          <w:sz w:val="24"/>
        </w:rPr>
        <w:t>性进行监督和核查。</w:t>
      </w:r>
    </w:p>
    <w:p w14:paraId="55E14F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FABE0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3FD2D8DE"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D68D59" w14:textId="77777777" w:rsidR="00791B53" w:rsidRDefault="002C0D99">
      <w:pPr>
        <w:pStyle w:val="1"/>
        <w:snapToGrid w:val="0"/>
        <w:spacing w:beforeLines="0" w:before="240" w:after="240"/>
        <w:rPr>
          <w:rFonts w:ascii="宋体" w:hAnsi="宋体"/>
          <w:szCs w:val="30"/>
        </w:rPr>
      </w:pPr>
      <w:bookmarkStart w:id="7" w:name="_Toc54104348"/>
      <w:r>
        <w:rPr>
          <w:rFonts w:ascii="Times New Roman" w:hAnsi="Times New Roman"/>
          <w:sz w:val="30"/>
        </w:rPr>
        <w:lastRenderedPageBreak/>
        <w:t>五、相关服务机构</w:t>
      </w:r>
      <w:bookmarkEnd w:id="7"/>
    </w:p>
    <w:p w14:paraId="3FF95A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5C1F875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40989B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本基金直销机构为基金管理人直销柜台以及基金管理人的网上直销交易平台（网站及手机</w:t>
      </w:r>
      <w:r>
        <w:rPr>
          <w:rFonts w:ascii="Times New Roman" w:hAnsi="Times New Roman"/>
          <w:sz w:val="24"/>
        </w:rPr>
        <w:t>APP</w:t>
      </w:r>
      <w:r>
        <w:rPr>
          <w:rFonts w:ascii="Times New Roman" w:hAnsi="Times New Roman"/>
          <w:sz w:val="24"/>
        </w:rPr>
        <w:t>，下同）。</w:t>
      </w:r>
    </w:p>
    <w:p w14:paraId="398AD2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1DC3302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641AB79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7002B00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2285DB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519F95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7242203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6DDB33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0D576F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6E591E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6BE3BB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个人投资者可以通过基金管理人网上直销交易平台办理开户、本基金的申购、赎回、定期定额投资、转换等业务，具体交易细则请参阅本公司网站。</w:t>
      </w:r>
    </w:p>
    <w:p w14:paraId="1A9A66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14:paraId="306D034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14:paraId="612268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14:paraId="001D01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w:t>
      </w:r>
    </w:p>
    <w:p w14:paraId="73E0E5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w:t>
      </w:r>
    </w:p>
    <w:p w14:paraId="15D237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3CA7E8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107EA15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6500D6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6C443A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1084CF6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5215CE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）名称：招商银行股份有限公司</w:t>
      </w:r>
    </w:p>
    <w:p w14:paraId="29A6B3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住所：深圳市福田区深南大道</w:t>
      </w:r>
      <w:r>
        <w:rPr>
          <w:rFonts w:ascii="Times New Roman" w:hAnsi="Times New Roman"/>
          <w:sz w:val="24"/>
        </w:rPr>
        <w:t>7088</w:t>
      </w:r>
      <w:r>
        <w:rPr>
          <w:rFonts w:ascii="Times New Roman" w:hAnsi="Times New Roman"/>
          <w:sz w:val="24"/>
        </w:rPr>
        <w:t>号</w:t>
      </w:r>
    </w:p>
    <w:p w14:paraId="7B3CD66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67FAD7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1D3AB8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70C3F33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285574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14:paraId="7166C4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14:paraId="0E85E3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14:paraId="417235B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）名称：中国光大银行股份有限公司</w:t>
      </w:r>
    </w:p>
    <w:p w14:paraId="5584AAD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5D9BCF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3D6ACA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法定代表人：李晓鹏</w:t>
      </w:r>
    </w:p>
    <w:p w14:paraId="44F3F52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63639681</w:t>
      </w:r>
    </w:p>
    <w:p w14:paraId="5E1137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63639709</w:t>
      </w:r>
    </w:p>
    <w:p w14:paraId="558760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联系人：刘昭宇</w:t>
      </w:r>
    </w:p>
    <w:p w14:paraId="459C78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95595</w:t>
      </w:r>
    </w:p>
    <w:p w14:paraId="1EBDE0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www.cebbank.com</w:t>
      </w:r>
    </w:p>
    <w:p w14:paraId="756ACE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）名称：上海浦东发展银行股份有限公司</w:t>
      </w:r>
    </w:p>
    <w:p w14:paraId="1D7AF5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名称：上海浦东发展银行股份有限公司</w:t>
      </w:r>
    </w:p>
    <w:p w14:paraId="112A74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住所：上海市中山东一路</w:t>
      </w:r>
      <w:r>
        <w:rPr>
          <w:rFonts w:ascii="Times New Roman" w:hAnsi="Times New Roman"/>
          <w:sz w:val="24"/>
        </w:rPr>
        <w:t>12</w:t>
      </w:r>
      <w:r>
        <w:rPr>
          <w:rFonts w:ascii="Times New Roman" w:hAnsi="Times New Roman"/>
          <w:sz w:val="24"/>
        </w:rPr>
        <w:t>号</w:t>
      </w:r>
    </w:p>
    <w:p w14:paraId="24C1ED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法定代表人：高国富</w:t>
      </w:r>
    </w:p>
    <w:p w14:paraId="3EC3975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95528</w:t>
      </w:r>
    </w:p>
    <w:p w14:paraId="709198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www.spdb.com.cn</w:t>
      </w:r>
    </w:p>
    <w:p w14:paraId="1CA3CD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）名称：德</w:t>
      </w:r>
      <w:proofErr w:type="gramStart"/>
      <w:r>
        <w:rPr>
          <w:rFonts w:ascii="Times New Roman" w:hAnsi="Times New Roman"/>
          <w:sz w:val="24"/>
        </w:rPr>
        <w:t>邦</w:t>
      </w:r>
      <w:proofErr w:type="gramEnd"/>
      <w:r>
        <w:rPr>
          <w:rFonts w:ascii="Times New Roman" w:hAnsi="Times New Roman"/>
          <w:sz w:val="24"/>
        </w:rPr>
        <w:t>证券有限责任公司</w:t>
      </w:r>
    </w:p>
    <w:p w14:paraId="531E03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14:paraId="416EEE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14:paraId="57B195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14:paraId="52CC5C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14:paraId="050A0B5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14:paraId="6D62D33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14:paraId="034CC1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www.tebon.com.cn</w:t>
      </w:r>
    </w:p>
    <w:p w14:paraId="32AA85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）名称：中原证券股份有限公司</w:t>
      </w:r>
    </w:p>
    <w:p w14:paraId="52C3333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住所：郑州市郑东新区商务外环路</w:t>
      </w:r>
      <w:r>
        <w:rPr>
          <w:rFonts w:ascii="Times New Roman" w:hAnsi="Times New Roman"/>
          <w:sz w:val="24"/>
        </w:rPr>
        <w:t>10</w:t>
      </w:r>
      <w:r>
        <w:rPr>
          <w:rFonts w:ascii="Times New Roman" w:hAnsi="Times New Roman"/>
          <w:sz w:val="24"/>
        </w:rPr>
        <w:t>号</w:t>
      </w:r>
    </w:p>
    <w:p w14:paraId="258F99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办公地址：郑州市郑东新区商务外环路</w:t>
      </w:r>
      <w:r>
        <w:rPr>
          <w:rFonts w:ascii="Times New Roman" w:hAnsi="Times New Roman"/>
          <w:sz w:val="24"/>
        </w:rPr>
        <w:t>10</w:t>
      </w:r>
      <w:r>
        <w:rPr>
          <w:rFonts w:ascii="Times New Roman" w:hAnsi="Times New Roman"/>
          <w:sz w:val="24"/>
        </w:rPr>
        <w:t>号</w:t>
      </w:r>
    </w:p>
    <w:p w14:paraId="10F6D37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菅</w:t>
      </w:r>
      <w:proofErr w:type="gramEnd"/>
      <w:r>
        <w:rPr>
          <w:rFonts w:ascii="Times New Roman" w:hAnsi="Times New Roman"/>
          <w:sz w:val="24"/>
        </w:rPr>
        <w:t>明军</w:t>
      </w:r>
    </w:p>
    <w:p w14:paraId="681A49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程月艳</w:t>
      </w:r>
      <w:proofErr w:type="gramEnd"/>
      <w:r>
        <w:rPr>
          <w:rFonts w:ascii="Times New Roman" w:hAnsi="Times New Roman"/>
          <w:sz w:val="24"/>
        </w:rPr>
        <w:t xml:space="preserve"> </w:t>
      </w:r>
      <w:r>
        <w:rPr>
          <w:rFonts w:ascii="Times New Roman" w:hAnsi="Times New Roman"/>
          <w:sz w:val="24"/>
        </w:rPr>
        <w:t>李盼</w:t>
      </w:r>
      <w:proofErr w:type="gramStart"/>
      <w:r>
        <w:rPr>
          <w:rFonts w:ascii="Times New Roman" w:hAnsi="Times New Roman"/>
          <w:sz w:val="24"/>
        </w:rPr>
        <w:t>盼</w:t>
      </w:r>
      <w:proofErr w:type="gramEnd"/>
    </w:p>
    <w:p w14:paraId="5380B1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0371-69099881/2</w:t>
      </w:r>
    </w:p>
    <w:p w14:paraId="0B3388F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95377</w:t>
      </w:r>
    </w:p>
    <w:p w14:paraId="531AD30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https://www.ccnew.com</w:t>
      </w:r>
    </w:p>
    <w:p w14:paraId="471ECF8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）名称：国信证券股份有限公司</w:t>
      </w:r>
    </w:p>
    <w:p w14:paraId="040CE8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7E3026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183931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14:paraId="652F04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14:paraId="57D076F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14:paraId="7371A9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14:paraId="6A70C7B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14:paraId="03ABD5E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www.guosen.com.cn</w:t>
      </w:r>
    </w:p>
    <w:p w14:paraId="723A18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）名称：中</w:t>
      </w:r>
      <w:proofErr w:type="gramStart"/>
      <w:r>
        <w:rPr>
          <w:rFonts w:ascii="Times New Roman" w:hAnsi="Times New Roman"/>
          <w:sz w:val="24"/>
        </w:rPr>
        <w:t>信建投证券</w:t>
      </w:r>
      <w:proofErr w:type="gramEnd"/>
      <w:r>
        <w:rPr>
          <w:rFonts w:ascii="Times New Roman" w:hAnsi="Times New Roman"/>
          <w:sz w:val="24"/>
        </w:rPr>
        <w:t>股份有限公司</w:t>
      </w:r>
    </w:p>
    <w:p w14:paraId="39C00E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17FD50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6C0C43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14:paraId="2D734E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3B97C6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48AC4D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14:paraId="151CA1F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14:paraId="067F25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www.csc108.com</w:t>
      </w:r>
    </w:p>
    <w:p w14:paraId="56D0665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）名称：安信证券股份有限公司</w:t>
      </w:r>
    </w:p>
    <w:p w14:paraId="13F3FD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1249C5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3334088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法定代表人：黄炎勋</w:t>
      </w:r>
    </w:p>
    <w:p w14:paraId="6E3707B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502FE2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58218A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14:paraId="19C064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14:paraId="04D4D5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14:paraId="741484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）名称：北京钱景财富投资管理有限公司</w:t>
      </w:r>
    </w:p>
    <w:p w14:paraId="52360F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7F04036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5804C43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14:paraId="49E94F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1696C8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31A8F4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39A6051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311DE9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14:paraId="638DB25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w:t>
      </w:r>
      <w:proofErr w:type="gramStart"/>
      <w:r>
        <w:rPr>
          <w:rFonts w:ascii="Times New Roman" w:hAnsi="Times New Roman"/>
          <w:sz w:val="24"/>
        </w:rPr>
        <w:t>玄元保险</w:t>
      </w:r>
      <w:proofErr w:type="gramEnd"/>
      <w:r>
        <w:rPr>
          <w:rFonts w:ascii="Times New Roman" w:hAnsi="Times New Roman"/>
          <w:sz w:val="24"/>
        </w:rPr>
        <w:t>代理有限公司</w:t>
      </w:r>
    </w:p>
    <w:p w14:paraId="4DFF26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508011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5C23172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14:paraId="493CD90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3E5F17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610B91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14:paraId="13E224C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14:paraId="65A98D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）名称：江苏汇林保大基金销售有限公司</w:t>
      </w:r>
    </w:p>
    <w:p w14:paraId="3497221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2503D2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1E9D32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0F9AEE2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45AFD1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14:paraId="04F942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69746D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025-66046166</w:t>
      </w:r>
    </w:p>
    <w:p w14:paraId="329BFD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255865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）名称：北京肯特瑞基金销售有限公司</w:t>
      </w:r>
    </w:p>
    <w:p w14:paraId="4B3B99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48806D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w:t>
      </w:r>
      <w:proofErr w:type="gramStart"/>
      <w:r>
        <w:rPr>
          <w:rFonts w:ascii="Times New Roman" w:hAnsi="Times New Roman"/>
          <w:sz w:val="24"/>
        </w:rPr>
        <w:t>经济技术开发区科创十一</w:t>
      </w:r>
      <w:proofErr w:type="gramEnd"/>
      <w:r>
        <w:rPr>
          <w:rFonts w:ascii="Times New Roman" w:hAnsi="Times New Roman"/>
          <w:sz w:val="24"/>
        </w:rPr>
        <w:t>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01EA4F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150981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28AD97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268BC08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5A65D85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1028ED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0D3893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）名称：上海大智慧基金销售有限公司</w:t>
      </w:r>
    </w:p>
    <w:p w14:paraId="4E775D5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新区杨</w:t>
      </w:r>
      <w:proofErr w:type="gramEnd"/>
      <w:r>
        <w:rPr>
          <w:rFonts w:ascii="Times New Roman" w:hAnsi="Times New Roman"/>
          <w:sz w:val="24"/>
        </w:rPr>
        <w:t>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5444BC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新区杨</w:t>
      </w:r>
      <w:proofErr w:type="gramEnd"/>
      <w:r>
        <w:rPr>
          <w:rFonts w:ascii="Times New Roman" w:hAnsi="Times New Roman"/>
          <w:sz w:val="24"/>
        </w:rPr>
        <w:t>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6BF407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14:paraId="0BE0F9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14:paraId="50CD74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14:paraId="74FA812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w:t>
      </w:r>
      <w:proofErr w:type="gramStart"/>
      <w:r>
        <w:rPr>
          <w:rFonts w:ascii="Times New Roman" w:hAnsi="Times New Roman"/>
          <w:sz w:val="24"/>
        </w:rPr>
        <w:t>蜓</w:t>
      </w:r>
      <w:proofErr w:type="gramEnd"/>
    </w:p>
    <w:p w14:paraId="49389E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14:paraId="1C30701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14:paraId="094911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）名称：北京唐鼎耀华投资咨询有限公司</w:t>
      </w:r>
    </w:p>
    <w:p w14:paraId="533E96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w:t>
      </w:r>
      <w:proofErr w:type="gramStart"/>
      <w:r>
        <w:rPr>
          <w:rFonts w:ascii="Times New Roman" w:hAnsi="Times New Roman"/>
          <w:sz w:val="24"/>
        </w:rPr>
        <w:t>百泉街</w:t>
      </w:r>
      <w:r>
        <w:rPr>
          <w:rFonts w:ascii="Times New Roman" w:hAnsi="Times New Roman"/>
          <w:sz w:val="24"/>
        </w:rPr>
        <w:t>10</w:t>
      </w:r>
      <w:r>
        <w:rPr>
          <w:rFonts w:ascii="Times New Roman" w:hAnsi="Times New Roman"/>
          <w:sz w:val="24"/>
        </w:rPr>
        <w:t>号</w:t>
      </w:r>
      <w:proofErr w:type="gramEnd"/>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231F048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77FDC32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14:paraId="5D3573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668FAF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314335C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7A7282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14:paraId="15FCFB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14:paraId="2546FE7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16</w:t>
      </w:r>
      <w:r>
        <w:rPr>
          <w:rFonts w:ascii="Times New Roman" w:hAnsi="Times New Roman"/>
          <w:sz w:val="24"/>
        </w:rPr>
        <w:t>）名称：珠海盈米财富管理有限公司</w:t>
      </w:r>
    </w:p>
    <w:p w14:paraId="2F9DAC1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4EE0E9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w:t>
      </w:r>
      <w:proofErr w:type="gramStart"/>
      <w:r>
        <w:rPr>
          <w:rFonts w:ascii="Times New Roman" w:hAnsi="Times New Roman"/>
          <w:sz w:val="24"/>
        </w:rPr>
        <w:t>琶</w:t>
      </w:r>
      <w:proofErr w:type="gramEnd"/>
      <w:r>
        <w:rPr>
          <w:rFonts w:ascii="Times New Roman" w:hAnsi="Times New Roman"/>
          <w:sz w:val="24"/>
        </w:rPr>
        <w:t>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2561C4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14:paraId="32CB74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4239E2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41C08B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w:t>
      </w:r>
      <w:proofErr w:type="gramStart"/>
      <w:r>
        <w:rPr>
          <w:rFonts w:ascii="Times New Roman" w:hAnsi="Times New Roman"/>
          <w:sz w:val="24"/>
        </w:rPr>
        <w:t>嫦</w:t>
      </w:r>
      <w:proofErr w:type="gramEnd"/>
    </w:p>
    <w:p w14:paraId="12A550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6B08090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14:paraId="2E4F08D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）名称：上海华夏财富投资管理有限公司</w:t>
      </w:r>
    </w:p>
    <w:p w14:paraId="2912FC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585C06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5D840A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proofErr w:type="gramStart"/>
      <w:r>
        <w:rPr>
          <w:rFonts w:ascii="Times New Roman" w:hAnsi="Times New Roman"/>
          <w:sz w:val="24"/>
        </w:rPr>
        <w:t>毛淮平</w:t>
      </w:r>
      <w:proofErr w:type="gramEnd"/>
    </w:p>
    <w:p w14:paraId="2D9FF30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14:paraId="6C3A49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14:paraId="132663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42C1155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14:paraId="045D05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7FB61B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）名称：嘉实财富管理有限公司</w:t>
      </w:r>
    </w:p>
    <w:p w14:paraId="08530D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753BF0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177334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399FA6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3CB4A1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78B29AB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76E71D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14:paraId="1B5EC8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1E2FCB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）名称：北京汇成基金销售有限公司</w:t>
      </w:r>
    </w:p>
    <w:p w14:paraId="2A8F00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4B2380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2C0796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法定代表人：王伟刚</w:t>
      </w:r>
    </w:p>
    <w:p w14:paraId="3A1697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0FCA4E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5F443C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丁向坤</w:t>
      </w:r>
      <w:proofErr w:type="gramEnd"/>
    </w:p>
    <w:p w14:paraId="57C2EA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14:paraId="6BBCFC0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4C1E04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）名称：上海利得基金销售有限公司</w:t>
      </w:r>
    </w:p>
    <w:p w14:paraId="36A20F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w:t>
      </w:r>
      <w:proofErr w:type="gramStart"/>
      <w:r>
        <w:rPr>
          <w:rFonts w:ascii="Times New Roman" w:hAnsi="Times New Roman"/>
          <w:sz w:val="24"/>
        </w:rPr>
        <w:t>峨</w:t>
      </w:r>
      <w:proofErr w:type="gramEnd"/>
      <w:r>
        <w:rPr>
          <w:rFonts w:ascii="Times New Roman" w:hAnsi="Times New Roman"/>
          <w:sz w:val="24"/>
        </w:rPr>
        <w:t>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w:t>
      </w:r>
      <w:proofErr w:type="gramStart"/>
      <w:r>
        <w:rPr>
          <w:rFonts w:ascii="Times New Roman" w:hAnsi="Times New Roman"/>
          <w:sz w:val="24"/>
        </w:rPr>
        <w:t>嘴软件园</w:t>
      </w:r>
      <w:r>
        <w:rPr>
          <w:rFonts w:ascii="Times New Roman" w:hAnsi="Times New Roman"/>
          <w:sz w:val="24"/>
        </w:rPr>
        <w:t>10</w:t>
      </w:r>
      <w:r>
        <w:rPr>
          <w:rFonts w:ascii="Times New Roman" w:hAnsi="Times New Roman"/>
          <w:sz w:val="24"/>
        </w:rPr>
        <w:t>号</w:t>
      </w:r>
      <w:proofErr w:type="gramEnd"/>
      <w:r>
        <w:rPr>
          <w:rFonts w:ascii="Times New Roman" w:hAnsi="Times New Roman"/>
          <w:sz w:val="24"/>
        </w:rPr>
        <w:t>楼</w:t>
      </w:r>
      <w:r>
        <w:rPr>
          <w:rFonts w:ascii="Times New Roman" w:hAnsi="Times New Roman"/>
          <w:sz w:val="24"/>
        </w:rPr>
        <w:t>12</w:t>
      </w:r>
      <w:r>
        <w:rPr>
          <w:rFonts w:ascii="Times New Roman" w:hAnsi="Times New Roman"/>
          <w:sz w:val="24"/>
        </w:rPr>
        <w:t>楼</w:t>
      </w:r>
    </w:p>
    <w:p w14:paraId="022A764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w:t>
      </w:r>
      <w:proofErr w:type="gramStart"/>
      <w:r>
        <w:rPr>
          <w:rFonts w:ascii="Times New Roman" w:hAnsi="Times New Roman"/>
          <w:sz w:val="24"/>
        </w:rPr>
        <w:t>峨</w:t>
      </w:r>
      <w:proofErr w:type="gramEnd"/>
      <w:r>
        <w:rPr>
          <w:rFonts w:ascii="Times New Roman" w:hAnsi="Times New Roman"/>
          <w:sz w:val="24"/>
        </w:rPr>
        <w:t>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w:t>
      </w:r>
      <w:proofErr w:type="gramStart"/>
      <w:r>
        <w:rPr>
          <w:rFonts w:ascii="Times New Roman" w:hAnsi="Times New Roman"/>
          <w:sz w:val="24"/>
        </w:rPr>
        <w:t>嘴软件园</w:t>
      </w:r>
      <w:r>
        <w:rPr>
          <w:rFonts w:ascii="Times New Roman" w:hAnsi="Times New Roman"/>
          <w:sz w:val="24"/>
        </w:rPr>
        <w:t>10</w:t>
      </w:r>
      <w:r>
        <w:rPr>
          <w:rFonts w:ascii="Times New Roman" w:hAnsi="Times New Roman"/>
          <w:sz w:val="24"/>
        </w:rPr>
        <w:t>号</w:t>
      </w:r>
      <w:proofErr w:type="gramEnd"/>
      <w:r>
        <w:rPr>
          <w:rFonts w:ascii="Times New Roman" w:hAnsi="Times New Roman"/>
          <w:sz w:val="24"/>
        </w:rPr>
        <w:t>楼</w:t>
      </w:r>
      <w:r>
        <w:rPr>
          <w:rFonts w:ascii="Times New Roman" w:hAnsi="Times New Roman"/>
          <w:sz w:val="24"/>
        </w:rPr>
        <w:t>12</w:t>
      </w:r>
      <w:r>
        <w:rPr>
          <w:rFonts w:ascii="Times New Roman" w:hAnsi="Times New Roman"/>
          <w:sz w:val="24"/>
        </w:rPr>
        <w:t>楼</w:t>
      </w:r>
    </w:p>
    <w:p w14:paraId="320716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14:paraId="5506180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14:paraId="65D47D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14:paraId="23F03F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52B827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14:paraId="7DC33BB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14:paraId="45D6C3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）名称：北京虹点基金销售有限公司</w:t>
      </w:r>
    </w:p>
    <w:p w14:paraId="5B2763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111CDCA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1B4AC1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14:paraId="1DEF020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752CAF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4E5241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14:paraId="449B93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14:paraId="1F7A21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14:paraId="2B56ED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）名称：上海陆金</w:t>
      </w:r>
      <w:proofErr w:type="gramStart"/>
      <w:r>
        <w:rPr>
          <w:rFonts w:ascii="Times New Roman" w:hAnsi="Times New Roman"/>
          <w:sz w:val="24"/>
        </w:rPr>
        <w:t>所资产</w:t>
      </w:r>
      <w:proofErr w:type="gramEnd"/>
      <w:r>
        <w:rPr>
          <w:rFonts w:ascii="Times New Roman" w:hAnsi="Times New Roman"/>
          <w:sz w:val="24"/>
        </w:rPr>
        <w:t>管理有限公司</w:t>
      </w:r>
    </w:p>
    <w:p w14:paraId="40ED850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73150FD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0A0CC0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14:paraId="2643FC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194235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1BFF94A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proofErr w:type="gramStart"/>
      <w:r>
        <w:rPr>
          <w:rFonts w:ascii="Times New Roman" w:hAnsi="Times New Roman"/>
          <w:sz w:val="24"/>
        </w:rPr>
        <w:t>宁博宇</w:t>
      </w:r>
      <w:proofErr w:type="gramEnd"/>
    </w:p>
    <w:p w14:paraId="36F6D48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14:paraId="36446E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14:paraId="7A3CD4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）名称：上海挖财金融信息服务有限公司</w:t>
      </w:r>
    </w:p>
    <w:p w14:paraId="0ABED4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55DC2E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7AEE20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1C5845D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017C16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106705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5B5781B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471722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14:paraId="5DA4BC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）名称：上海万得基金销售有限公司</w:t>
      </w:r>
    </w:p>
    <w:p w14:paraId="13F0216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7E3ED9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4C2A85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16513B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14:paraId="4574A9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14:paraId="278BC28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37B3577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14:paraId="762F4B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0F72E3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）名称：格</w:t>
      </w:r>
      <w:proofErr w:type="gramStart"/>
      <w:r>
        <w:rPr>
          <w:rFonts w:ascii="Times New Roman" w:hAnsi="Times New Roman"/>
          <w:sz w:val="24"/>
        </w:rPr>
        <w:t>上富信投资</w:t>
      </w:r>
      <w:proofErr w:type="gramEnd"/>
      <w:r>
        <w:rPr>
          <w:rFonts w:ascii="Times New Roman" w:hAnsi="Times New Roman"/>
          <w:sz w:val="24"/>
        </w:rPr>
        <w:t>顾问有限公司</w:t>
      </w:r>
    </w:p>
    <w:p w14:paraId="459344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3DC9C1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001AAC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14:paraId="1A5A9A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20DA95D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7CB2E58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14:paraId="761C2D3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14:paraId="32000B7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14:paraId="46C4EF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26</w:t>
      </w:r>
      <w:r>
        <w:rPr>
          <w:rFonts w:ascii="Times New Roman" w:hAnsi="Times New Roman"/>
          <w:sz w:val="24"/>
        </w:rPr>
        <w:t>）名称：</w:t>
      </w:r>
      <w:proofErr w:type="gramStart"/>
      <w:r>
        <w:rPr>
          <w:rFonts w:ascii="Times New Roman" w:hAnsi="Times New Roman"/>
          <w:sz w:val="24"/>
        </w:rPr>
        <w:t>凤凰金</w:t>
      </w:r>
      <w:proofErr w:type="gramEnd"/>
      <w:r>
        <w:rPr>
          <w:rFonts w:ascii="Times New Roman" w:hAnsi="Times New Roman"/>
          <w:sz w:val="24"/>
        </w:rPr>
        <w:t>信（银川）投资管理有限公司</w:t>
      </w:r>
    </w:p>
    <w:p w14:paraId="0C15C9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w:t>
      </w:r>
      <w:proofErr w:type="gramStart"/>
      <w:r>
        <w:rPr>
          <w:rFonts w:ascii="Times New Roman" w:hAnsi="Times New Roman"/>
          <w:sz w:val="24"/>
        </w:rPr>
        <w:t>凤区阅</w:t>
      </w:r>
      <w:proofErr w:type="gramEnd"/>
      <w:r>
        <w:rPr>
          <w:rFonts w:ascii="Times New Roman" w:hAnsi="Times New Roman"/>
          <w:sz w:val="24"/>
        </w:rPr>
        <w:t>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3AF18C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w:t>
      </w:r>
      <w:proofErr w:type="gramStart"/>
      <w:r>
        <w:rPr>
          <w:rFonts w:ascii="Times New Roman" w:hAnsi="Times New Roman"/>
          <w:sz w:val="24"/>
        </w:rPr>
        <w:t>朝阳区紫月</w:t>
      </w:r>
      <w:proofErr w:type="gramEnd"/>
      <w:r>
        <w:rPr>
          <w:rFonts w:ascii="Times New Roman" w:hAnsi="Times New Roman"/>
          <w:sz w:val="24"/>
        </w:rPr>
        <w:t>路</w:t>
      </w:r>
      <w:proofErr w:type="gramStart"/>
      <w:r>
        <w:rPr>
          <w:rFonts w:ascii="Times New Roman" w:hAnsi="Times New Roman"/>
          <w:sz w:val="24"/>
        </w:rPr>
        <w:t>18</w:t>
      </w:r>
      <w:r>
        <w:rPr>
          <w:rFonts w:ascii="Times New Roman" w:hAnsi="Times New Roman"/>
          <w:sz w:val="24"/>
        </w:rPr>
        <w:t>号院朝来</w:t>
      </w:r>
      <w:proofErr w:type="gramEnd"/>
      <w:r>
        <w:rPr>
          <w:rFonts w:ascii="Times New Roman" w:hAnsi="Times New Roman"/>
          <w:sz w:val="24"/>
        </w:rPr>
        <w:t>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5F98A1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14:paraId="7D89E5A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2E3D2E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7C2C2E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14:paraId="45F613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14:paraId="0C656A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14:paraId="29A7B0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）名称：北京蛋卷基金销售有限公司</w:t>
      </w:r>
    </w:p>
    <w:p w14:paraId="2122121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331C0F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proofErr w:type="gramStart"/>
      <w:r>
        <w:rPr>
          <w:rFonts w:ascii="Times New Roman" w:hAnsi="Times New Roman"/>
          <w:sz w:val="24"/>
        </w:rPr>
        <w:t>号院融新</w:t>
      </w:r>
      <w:proofErr w:type="gramEnd"/>
      <w:r>
        <w:rPr>
          <w:rFonts w:ascii="Times New Roman" w:hAnsi="Times New Roman"/>
          <w:sz w:val="24"/>
        </w:rPr>
        <w:t>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568DC4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14:paraId="17BF17F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1907F10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60B70C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w:t>
      </w:r>
      <w:proofErr w:type="gramStart"/>
      <w:r>
        <w:rPr>
          <w:rFonts w:ascii="Times New Roman" w:hAnsi="Times New Roman"/>
          <w:sz w:val="24"/>
        </w:rPr>
        <w:t>芳</w:t>
      </w:r>
      <w:proofErr w:type="gramEnd"/>
    </w:p>
    <w:p w14:paraId="696020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14:paraId="27C4B9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14:paraId="41137A5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）名称：北京新</w:t>
      </w:r>
      <w:proofErr w:type="gramStart"/>
      <w:r>
        <w:rPr>
          <w:rFonts w:ascii="Times New Roman" w:hAnsi="Times New Roman"/>
          <w:sz w:val="24"/>
        </w:rPr>
        <w:t>浪仓石基金</w:t>
      </w:r>
      <w:proofErr w:type="gramEnd"/>
      <w:r>
        <w:rPr>
          <w:rFonts w:ascii="Times New Roman" w:hAnsi="Times New Roman"/>
          <w:sz w:val="24"/>
        </w:rPr>
        <w:t>销售有限公司</w:t>
      </w:r>
    </w:p>
    <w:p w14:paraId="2349FF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68E82AC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2DBDE8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14:paraId="697C8A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69DA1E6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14:paraId="6FCE11D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14:paraId="4F8F41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45D3373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14:paraId="52F9DC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29</w:t>
      </w:r>
      <w:r>
        <w:rPr>
          <w:rFonts w:ascii="Times New Roman" w:hAnsi="Times New Roman"/>
          <w:sz w:val="24"/>
        </w:rPr>
        <w:t>）名称：奕丰基金销售有限公司</w:t>
      </w:r>
    </w:p>
    <w:p w14:paraId="569851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2C7022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64EBC78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14:paraId="445199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096B29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6F324F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14:paraId="781C811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14:paraId="789096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14:paraId="5DE432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）名称：北京</w:t>
      </w:r>
      <w:proofErr w:type="gramStart"/>
      <w:r>
        <w:rPr>
          <w:rFonts w:ascii="Times New Roman" w:hAnsi="Times New Roman"/>
          <w:sz w:val="24"/>
        </w:rPr>
        <w:t>恒</w:t>
      </w:r>
      <w:proofErr w:type="gramEnd"/>
      <w:r>
        <w:rPr>
          <w:rFonts w:ascii="Times New Roman" w:hAnsi="Times New Roman"/>
          <w:sz w:val="24"/>
        </w:rPr>
        <w:t>天明</w:t>
      </w:r>
      <w:proofErr w:type="gramStart"/>
      <w:r>
        <w:rPr>
          <w:rFonts w:ascii="Times New Roman" w:hAnsi="Times New Roman"/>
          <w:sz w:val="24"/>
        </w:rPr>
        <w:t>泽基金</w:t>
      </w:r>
      <w:proofErr w:type="gramEnd"/>
      <w:r>
        <w:rPr>
          <w:rFonts w:ascii="Times New Roman" w:hAnsi="Times New Roman"/>
          <w:sz w:val="24"/>
        </w:rPr>
        <w:t>销售有限公司</w:t>
      </w:r>
    </w:p>
    <w:p w14:paraId="166DF56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136B55E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proofErr w:type="gramStart"/>
      <w:r>
        <w:rPr>
          <w:rFonts w:ascii="Times New Roman" w:hAnsi="Times New Roman"/>
          <w:sz w:val="24"/>
        </w:rPr>
        <w:t>嘉盛中心</w:t>
      </w:r>
      <w:proofErr w:type="gramEnd"/>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17CBDD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14:paraId="02F8B7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1A9A99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38060E4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14:paraId="5B5EFD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14:paraId="6624A9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14:paraId="277FE1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）名称：上海天天基金销售有限公司</w:t>
      </w:r>
    </w:p>
    <w:p w14:paraId="6FE81B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367262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5D47D9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14:paraId="2862AC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6C8808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39B516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14:paraId="732B04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14:paraId="545D7F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14:paraId="2201DFF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）名称：和讯信息科技有限公司</w:t>
      </w:r>
    </w:p>
    <w:p w14:paraId="3CF924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proofErr w:type="gramStart"/>
      <w:r>
        <w:rPr>
          <w:rFonts w:ascii="Times New Roman" w:hAnsi="Times New Roman"/>
          <w:sz w:val="24"/>
        </w:rPr>
        <w:t>22</w:t>
      </w:r>
      <w:r>
        <w:rPr>
          <w:rFonts w:ascii="Times New Roman" w:hAnsi="Times New Roman"/>
          <w:sz w:val="24"/>
        </w:rPr>
        <w:t>号泛利大厦</w:t>
      </w:r>
      <w:proofErr w:type="gramEnd"/>
      <w:r>
        <w:rPr>
          <w:rFonts w:ascii="Times New Roman" w:hAnsi="Times New Roman"/>
          <w:sz w:val="24"/>
        </w:rPr>
        <w:t>10</w:t>
      </w:r>
      <w:r>
        <w:rPr>
          <w:rFonts w:ascii="Times New Roman" w:hAnsi="Times New Roman"/>
          <w:sz w:val="24"/>
        </w:rPr>
        <w:t>层</w:t>
      </w:r>
    </w:p>
    <w:p w14:paraId="3D0876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办公地址：北京市朝阳区朝外大街</w:t>
      </w:r>
      <w:proofErr w:type="gramStart"/>
      <w:r>
        <w:rPr>
          <w:rFonts w:ascii="Times New Roman" w:hAnsi="Times New Roman"/>
          <w:sz w:val="24"/>
        </w:rPr>
        <w:t>22</w:t>
      </w:r>
      <w:r>
        <w:rPr>
          <w:rFonts w:ascii="Times New Roman" w:hAnsi="Times New Roman"/>
          <w:sz w:val="24"/>
        </w:rPr>
        <w:t>号泛利大厦</w:t>
      </w:r>
      <w:proofErr w:type="gramEnd"/>
      <w:r>
        <w:rPr>
          <w:rFonts w:ascii="Times New Roman" w:hAnsi="Times New Roman"/>
          <w:sz w:val="24"/>
        </w:rPr>
        <w:t>10</w:t>
      </w:r>
      <w:r>
        <w:rPr>
          <w:rFonts w:ascii="Times New Roman" w:hAnsi="Times New Roman"/>
          <w:sz w:val="24"/>
        </w:rPr>
        <w:t>层</w:t>
      </w:r>
    </w:p>
    <w:p w14:paraId="08BD816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14:paraId="6919E28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2113F8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163363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14:paraId="4C7E53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14:paraId="255993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14:paraId="786994A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0579D9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2E890C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5AADEA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14:paraId="5D0C8F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45D7A4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7CD0D1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14:paraId="71FFF7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14:paraId="03D62B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14:paraId="4A521A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）名称：上海好买基金销售有限公司</w:t>
      </w:r>
    </w:p>
    <w:p w14:paraId="4AD4CB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60921FD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60DB59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14:paraId="5A132A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2C63D1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14:paraId="0C601C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14:paraId="5E3FE0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14:paraId="539E85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）名称：上海长</w:t>
      </w:r>
      <w:proofErr w:type="gramStart"/>
      <w:r>
        <w:rPr>
          <w:rFonts w:ascii="Times New Roman" w:hAnsi="Times New Roman"/>
          <w:sz w:val="24"/>
        </w:rPr>
        <w:t>量基金</w:t>
      </w:r>
      <w:proofErr w:type="gramEnd"/>
      <w:r>
        <w:rPr>
          <w:rFonts w:ascii="Times New Roman" w:hAnsi="Times New Roman"/>
          <w:sz w:val="24"/>
        </w:rPr>
        <w:t>销售投资顾问有限公司</w:t>
      </w:r>
    </w:p>
    <w:p w14:paraId="0376AE4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7B0949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w:t>
      </w:r>
      <w:proofErr w:type="gramStart"/>
      <w:r>
        <w:rPr>
          <w:rFonts w:ascii="Times New Roman" w:hAnsi="Times New Roman"/>
          <w:sz w:val="24"/>
        </w:rPr>
        <w:t>景国际</w:t>
      </w:r>
      <w:proofErr w:type="gramEnd"/>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2E665C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14:paraId="27E7F1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0831C4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784CC2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联系人：单丙烨</w:t>
      </w:r>
    </w:p>
    <w:p w14:paraId="33C180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14:paraId="2163E8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14:paraId="10EAEB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）名称：深圳</w:t>
      </w:r>
      <w:proofErr w:type="gramStart"/>
      <w:r>
        <w:rPr>
          <w:rFonts w:ascii="Times New Roman" w:hAnsi="Times New Roman"/>
          <w:sz w:val="24"/>
        </w:rPr>
        <w:t>众禄基金</w:t>
      </w:r>
      <w:proofErr w:type="gramEnd"/>
      <w:r>
        <w:rPr>
          <w:rFonts w:ascii="Times New Roman" w:hAnsi="Times New Roman"/>
          <w:sz w:val="24"/>
        </w:rPr>
        <w:t>销售有限公司</w:t>
      </w:r>
    </w:p>
    <w:p w14:paraId="1F571BC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6BD07C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384330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04AC62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644331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00DF66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14:paraId="155DE4B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14:paraId="4E1B38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05641D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）名称：蚂蚁（杭州）基金销售有限公司</w:t>
      </w:r>
    </w:p>
    <w:p w14:paraId="6CDEC64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w:t>
      </w:r>
      <w:proofErr w:type="gramStart"/>
      <w:r>
        <w:rPr>
          <w:rFonts w:ascii="Times New Roman" w:hAnsi="Times New Roman"/>
          <w:sz w:val="24"/>
        </w:rPr>
        <w:t>曙</w:t>
      </w:r>
      <w:proofErr w:type="gramEnd"/>
      <w:r>
        <w:rPr>
          <w:rFonts w:ascii="Times New Roman" w:hAnsi="Times New Roman"/>
          <w:sz w:val="24"/>
        </w:rPr>
        <w:t>路东</w:t>
      </w:r>
      <w:r>
        <w:rPr>
          <w:rFonts w:ascii="Times New Roman" w:hAnsi="Times New Roman"/>
          <w:sz w:val="24"/>
        </w:rPr>
        <w:t>2</w:t>
      </w:r>
      <w:r>
        <w:rPr>
          <w:rFonts w:ascii="Times New Roman" w:hAnsi="Times New Roman"/>
          <w:sz w:val="24"/>
        </w:rPr>
        <w:t>号</w:t>
      </w:r>
    </w:p>
    <w:p w14:paraId="39687B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785915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14:paraId="0CAC3F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470386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6D3DF1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w:t>
      </w:r>
      <w:proofErr w:type="gramStart"/>
      <w:r>
        <w:rPr>
          <w:rFonts w:ascii="Times New Roman" w:hAnsi="Times New Roman"/>
          <w:sz w:val="24"/>
        </w:rPr>
        <w:t>嬿</w:t>
      </w:r>
      <w:proofErr w:type="gramEnd"/>
      <w:r>
        <w:rPr>
          <w:rFonts w:ascii="Times New Roman" w:hAnsi="Times New Roman"/>
          <w:sz w:val="24"/>
        </w:rPr>
        <w:t>旻</w:t>
      </w:r>
    </w:p>
    <w:p w14:paraId="7C6BDC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14:paraId="51061F9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14:paraId="72F610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）名称：深圳市新兰德证券投资咨询有限公司</w:t>
      </w:r>
    </w:p>
    <w:p w14:paraId="64F391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6F240F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557D8C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14:paraId="4C83CA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76F35C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71281E3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14:paraId="2B1CA2D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14:paraId="049ED6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14:paraId="5C8E93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39</w:t>
      </w:r>
      <w:r>
        <w:rPr>
          <w:rFonts w:ascii="Times New Roman" w:hAnsi="Times New Roman"/>
          <w:sz w:val="24"/>
        </w:rPr>
        <w:t>）名称：北京</w:t>
      </w:r>
      <w:proofErr w:type="gramStart"/>
      <w:r>
        <w:rPr>
          <w:rFonts w:ascii="Times New Roman" w:hAnsi="Times New Roman"/>
          <w:sz w:val="24"/>
        </w:rPr>
        <w:t>展恒基金</w:t>
      </w:r>
      <w:proofErr w:type="gramEnd"/>
      <w:r>
        <w:rPr>
          <w:rFonts w:ascii="Times New Roman" w:hAnsi="Times New Roman"/>
          <w:sz w:val="24"/>
        </w:rPr>
        <w:t>销售股份有限公司</w:t>
      </w:r>
    </w:p>
    <w:p w14:paraId="64CB89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6F56D7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71A47FC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14:paraId="4EC688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317CD6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1D3A2B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5B9062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14:paraId="4D3147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14:paraId="7692609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）名称：一路财富（北京）信息科技有限公司</w:t>
      </w:r>
    </w:p>
    <w:p w14:paraId="689114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20CFCF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5F57675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372558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14:paraId="2EB332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14:paraId="2BA50E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7630C2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14:paraId="47AF6A3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14:paraId="2F8B0E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）名称：上海联泰资产管理有限公司</w:t>
      </w:r>
    </w:p>
    <w:p w14:paraId="04C5D4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348775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4BC5A96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14:paraId="790177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14:paraId="4852D04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14:paraId="2C0D1F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凌秋艳</w:t>
      </w:r>
      <w:proofErr w:type="gramEnd"/>
    </w:p>
    <w:p w14:paraId="0E6BB3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14:paraId="54D2D1B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14:paraId="36C3BE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w:t>
      </w:r>
      <w:proofErr w:type="gramStart"/>
      <w:r>
        <w:rPr>
          <w:rFonts w:ascii="Times New Roman" w:hAnsi="Times New Roman"/>
          <w:sz w:val="24"/>
        </w:rPr>
        <w:t>宜信普泽</w:t>
      </w:r>
      <w:proofErr w:type="gramEnd"/>
      <w:r>
        <w:rPr>
          <w:rFonts w:ascii="Times New Roman" w:hAnsi="Times New Roman"/>
          <w:sz w:val="24"/>
        </w:rPr>
        <w:t>投资顾问（北京）有限公司</w:t>
      </w:r>
    </w:p>
    <w:p w14:paraId="0E7BCB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3E3D2E4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4C2520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法定代表人：沈伟桦</w:t>
      </w:r>
    </w:p>
    <w:p w14:paraId="476BFF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14:paraId="154348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14:paraId="513D7B1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14:paraId="3EA751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14:paraId="33F663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14:paraId="0E4F0C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）名称：浙江同花</w:t>
      </w:r>
      <w:proofErr w:type="gramStart"/>
      <w:r>
        <w:rPr>
          <w:rFonts w:ascii="Times New Roman" w:hAnsi="Times New Roman"/>
          <w:sz w:val="24"/>
        </w:rPr>
        <w:t>顺基金</w:t>
      </w:r>
      <w:proofErr w:type="gramEnd"/>
      <w:r>
        <w:rPr>
          <w:rFonts w:ascii="Times New Roman" w:hAnsi="Times New Roman"/>
          <w:sz w:val="24"/>
        </w:rPr>
        <w:t>销售有限公司</w:t>
      </w:r>
    </w:p>
    <w:p w14:paraId="099D88E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7B9A83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w:t>
      </w:r>
      <w:proofErr w:type="gramStart"/>
      <w:r>
        <w:rPr>
          <w:rFonts w:ascii="Times New Roman" w:hAnsi="Times New Roman"/>
          <w:sz w:val="24"/>
        </w:rPr>
        <w:t>翠柏路</w:t>
      </w:r>
      <w:proofErr w:type="gramEnd"/>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71C10BE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proofErr w:type="gramStart"/>
      <w:r>
        <w:rPr>
          <w:rFonts w:ascii="Times New Roman" w:hAnsi="Times New Roman"/>
          <w:sz w:val="24"/>
        </w:rPr>
        <w:t>凌</w:t>
      </w:r>
      <w:proofErr w:type="gramEnd"/>
      <w:r>
        <w:rPr>
          <w:rFonts w:ascii="Times New Roman" w:hAnsi="Times New Roman"/>
          <w:sz w:val="24"/>
        </w:rPr>
        <w:t>顺平</w:t>
      </w:r>
    </w:p>
    <w:p w14:paraId="15F352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32BA46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2F30540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14:paraId="6C155A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14:paraId="0A41A4A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14:paraId="13568B4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）名称：上海基</w:t>
      </w:r>
      <w:proofErr w:type="gramStart"/>
      <w:r>
        <w:rPr>
          <w:rFonts w:ascii="Times New Roman" w:hAnsi="Times New Roman"/>
          <w:sz w:val="24"/>
        </w:rPr>
        <w:t>煜</w:t>
      </w:r>
      <w:proofErr w:type="gramEnd"/>
      <w:r>
        <w:rPr>
          <w:rFonts w:ascii="Times New Roman" w:hAnsi="Times New Roman"/>
          <w:sz w:val="24"/>
        </w:rPr>
        <w:t>基金销售有限公司</w:t>
      </w:r>
    </w:p>
    <w:p w14:paraId="7A2A499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4355BF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4BA84F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130C5A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5C0726C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196888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5A3A0A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7FA0DFA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59AFF8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）名称：北京百度</w:t>
      </w:r>
      <w:proofErr w:type="gramStart"/>
      <w:r>
        <w:rPr>
          <w:rFonts w:ascii="Times New Roman" w:hAnsi="Times New Roman"/>
          <w:sz w:val="24"/>
        </w:rPr>
        <w:t>百盈基金</w:t>
      </w:r>
      <w:proofErr w:type="gramEnd"/>
      <w:r>
        <w:rPr>
          <w:rFonts w:ascii="Times New Roman" w:hAnsi="Times New Roman"/>
          <w:sz w:val="24"/>
        </w:rPr>
        <w:t>销售有限公司</w:t>
      </w:r>
    </w:p>
    <w:p w14:paraId="4EE9D9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w:t>
      </w:r>
      <w:proofErr w:type="gramStart"/>
      <w:r>
        <w:rPr>
          <w:rFonts w:ascii="Times New Roman" w:hAnsi="Times New Roman"/>
          <w:sz w:val="24"/>
        </w:rPr>
        <w:t>地十街</w:t>
      </w:r>
      <w:proofErr w:type="gramEnd"/>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7C3786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w:t>
      </w:r>
      <w:proofErr w:type="gramStart"/>
      <w:r>
        <w:rPr>
          <w:rFonts w:ascii="Times New Roman" w:hAnsi="Times New Roman"/>
          <w:sz w:val="24"/>
        </w:rPr>
        <w:t>奎</w:t>
      </w:r>
      <w:proofErr w:type="gramEnd"/>
      <w:r>
        <w:rPr>
          <w:rFonts w:ascii="Times New Roman" w:hAnsi="Times New Roman"/>
          <w:sz w:val="24"/>
        </w:rPr>
        <w:t>科大厦</w:t>
      </w:r>
    </w:p>
    <w:p w14:paraId="79266B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5208C26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14:paraId="351734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010-61951007</w:t>
      </w:r>
    </w:p>
    <w:p w14:paraId="564D88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霍博华</w:t>
      </w:r>
      <w:proofErr w:type="gramEnd"/>
    </w:p>
    <w:p w14:paraId="7787D4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14:paraId="30E2EE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0CF2FA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）名称：南京苏宁基金销售有限公司</w:t>
      </w:r>
    </w:p>
    <w:p w14:paraId="607CA1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2840F75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5F5CDDC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14:paraId="08B5F9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14:paraId="4834A9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14:paraId="2756EA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4C6F961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14:paraId="6FDD6C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1C8854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）名称：阳光人寿保险股份有限公司</w:t>
      </w:r>
    </w:p>
    <w:p w14:paraId="3515B1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1C4B7F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176CAB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14:paraId="3F093B3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603153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5F6B4F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14:paraId="32E52C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14:paraId="1CD9E3D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14:paraId="6E05CB3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）名称：中证金牛（北京）投资咨询有限公司</w:t>
      </w:r>
    </w:p>
    <w:p w14:paraId="6F52450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422F69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w:t>
      </w:r>
      <w:proofErr w:type="gramStart"/>
      <w:r>
        <w:rPr>
          <w:rFonts w:ascii="Times New Roman" w:hAnsi="Times New Roman"/>
          <w:sz w:val="24"/>
        </w:rPr>
        <w:t>环球财讯中心</w:t>
      </w:r>
      <w:proofErr w:type="gramEnd"/>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2FFD76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29C10BA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6DE7C03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6EC67F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proofErr w:type="gramStart"/>
      <w:r>
        <w:rPr>
          <w:rFonts w:ascii="Times New Roman" w:hAnsi="Times New Roman"/>
          <w:sz w:val="24"/>
        </w:rPr>
        <w:t>孟汉霄</w:t>
      </w:r>
      <w:proofErr w:type="gramEnd"/>
    </w:p>
    <w:p w14:paraId="501F23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14:paraId="5593FF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 xml:space="preserve"> www.jnlc.com</w:t>
      </w:r>
    </w:p>
    <w:p w14:paraId="29C978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）名称：大连</w:t>
      </w:r>
      <w:proofErr w:type="gramStart"/>
      <w:r>
        <w:rPr>
          <w:rFonts w:ascii="Times New Roman" w:hAnsi="Times New Roman"/>
          <w:sz w:val="24"/>
        </w:rPr>
        <w:t>网金基金</w:t>
      </w:r>
      <w:proofErr w:type="gramEnd"/>
      <w:r>
        <w:rPr>
          <w:rFonts w:ascii="Times New Roman" w:hAnsi="Times New Roman"/>
          <w:sz w:val="24"/>
        </w:rPr>
        <w:t>销售有限公司</w:t>
      </w:r>
    </w:p>
    <w:p w14:paraId="3132BA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023AFB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2BE0AD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6563B3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3CDF27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57FE80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59A12E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17938D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14:paraId="12A5645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）泛华</w:t>
      </w:r>
      <w:proofErr w:type="gramStart"/>
      <w:r>
        <w:rPr>
          <w:rFonts w:ascii="Times New Roman" w:hAnsi="Times New Roman"/>
          <w:sz w:val="24"/>
        </w:rPr>
        <w:t>普益基金</w:t>
      </w:r>
      <w:proofErr w:type="gramEnd"/>
      <w:r>
        <w:rPr>
          <w:rFonts w:ascii="Times New Roman" w:hAnsi="Times New Roman"/>
          <w:sz w:val="24"/>
        </w:rPr>
        <w:t>销售有限公司</w:t>
      </w:r>
    </w:p>
    <w:p w14:paraId="6E06497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14:paraId="023D7C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办公地址：成都市金牛区花</w:t>
      </w:r>
      <w:proofErr w:type="gramStart"/>
      <w:r>
        <w:rPr>
          <w:rFonts w:ascii="Times New Roman" w:hAnsi="Times New Roman"/>
          <w:sz w:val="24"/>
        </w:rPr>
        <w:t>照壁西顺街</w:t>
      </w:r>
      <w:proofErr w:type="gramEnd"/>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proofErr w:type="gramStart"/>
      <w:r>
        <w:rPr>
          <w:rFonts w:ascii="Times New Roman" w:hAnsi="Times New Roman"/>
          <w:sz w:val="24"/>
        </w:rPr>
        <w:t>单元龙</w:t>
      </w:r>
      <w:proofErr w:type="gramEnd"/>
      <w:r>
        <w:rPr>
          <w:rFonts w:ascii="Times New Roman" w:hAnsi="Times New Roman"/>
          <w:sz w:val="24"/>
        </w:rPr>
        <w:t>湖西</w:t>
      </w:r>
      <w:proofErr w:type="gramStart"/>
      <w:r>
        <w:rPr>
          <w:rFonts w:ascii="Times New Roman" w:hAnsi="Times New Roman"/>
          <w:sz w:val="24"/>
        </w:rPr>
        <w:t>宸</w:t>
      </w:r>
      <w:proofErr w:type="gramEnd"/>
      <w:r>
        <w:rPr>
          <w:rFonts w:ascii="Times New Roman" w:hAnsi="Times New Roman"/>
          <w:sz w:val="24"/>
        </w:rPr>
        <w:t>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14:paraId="0BEA8A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法定代表人：于海锋</w:t>
      </w:r>
    </w:p>
    <w:p w14:paraId="3FDB1C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028-8661-6229</w:t>
      </w:r>
    </w:p>
    <w:p w14:paraId="53E46F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传真：无</w:t>
      </w:r>
    </w:p>
    <w:p w14:paraId="7D9AAF6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proofErr w:type="gramStart"/>
      <w:r>
        <w:rPr>
          <w:rFonts w:ascii="Times New Roman" w:hAnsi="Times New Roman"/>
          <w:sz w:val="24"/>
        </w:rPr>
        <w:t>隋亚方</w:t>
      </w:r>
      <w:proofErr w:type="gramEnd"/>
    </w:p>
    <w:p w14:paraId="3246F1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400-080-3388</w:t>
      </w:r>
    </w:p>
    <w:p w14:paraId="66B7567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https://www.puyifund.com/</w:t>
      </w:r>
    </w:p>
    <w:p w14:paraId="227CB28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基金管理人可根据有关法律法规的要求，选择其它符合要求的机构销售本基金。</w:t>
      </w:r>
    </w:p>
    <w:p w14:paraId="24DAA2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14:paraId="728DED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49D93E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2E430D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5D6168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7CF700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2AD1F12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531CD4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13FE3A1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1B06D39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名称：上海市通力律师事务所</w:t>
      </w:r>
    </w:p>
    <w:p w14:paraId="6FEFA51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579D32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44A38B8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512CD2B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3F9DCA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23658D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联系人：丁媛</w:t>
      </w:r>
    </w:p>
    <w:p w14:paraId="09F589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经办律师：黎明、丁媛</w:t>
      </w:r>
    </w:p>
    <w:p w14:paraId="2B9ACE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6CFC1BB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w:t>
      </w:r>
      <w:r>
        <w:rPr>
          <w:rFonts w:ascii="Times New Roman" w:hAnsi="Times New Roman"/>
          <w:sz w:val="24"/>
        </w:rPr>
        <w:t>(</w:t>
      </w:r>
      <w:r>
        <w:rPr>
          <w:rFonts w:ascii="Times New Roman" w:hAnsi="Times New Roman"/>
          <w:sz w:val="24"/>
        </w:rPr>
        <w:t>特殊普通合伙）</w:t>
      </w:r>
    </w:p>
    <w:p w14:paraId="1EC0DA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1318</w:t>
      </w:r>
      <w:r>
        <w:rPr>
          <w:rFonts w:ascii="Times New Roman" w:hAnsi="Times New Roman"/>
          <w:sz w:val="24"/>
        </w:rPr>
        <w:t>号</w:t>
      </w:r>
      <w:proofErr w:type="gramStart"/>
      <w:r>
        <w:rPr>
          <w:rFonts w:ascii="Times New Roman" w:hAnsi="Times New Roman"/>
          <w:sz w:val="24"/>
        </w:rPr>
        <w:t>星展银行</w:t>
      </w:r>
      <w:proofErr w:type="gramEnd"/>
      <w:r>
        <w:rPr>
          <w:rFonts w:ascii="Times New Roman" w:hAnsi="Times New Roman"/>
          <w:sz w:val="24"/>
        </w:rPr>
        <w:t>大厦</w:t>
      </w:r>
      <w:r>
        <w:rPr>
          <w:rFonts w:ascii="Times New Roman" w:hAnsi="Times New Roman"/>
          <w:sz w:val="24"/>
        </w:rPr>
        <w:t>6</w:t>
      </w:r>
      <w:r>
        <w:rPr>
          <w:rFonts w:ascii="Times New Roman" w:hAnsi="Times New Roman"/>
          <w:sz w:val="24"/>
        </w:rPr>
        <w:t>楼</w:t>
      </w:r>
    </w:p>
    <w:p w14:paraId="679AC7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办公地址：上海市湖滨路</w:t>
      </w:r>
      <w:r>
        <w:rPr>
          <w:rFonts w:ascii="Times New Roman" w:hAnsi="Times New Roman"/>
          <w:sz w:val="24"/>
        </w:rPr>
        <w:t>202</w:t>
      </w:r>
      <w:r>
        <w:rPr>
          <w:rFonts w:ascii="Times New Roman" w:hAnsi="Times New Roman"/>
          <w:sz w:val="24"/>
        </w:rPr>
        <w:t>号普华永道中心</w:t>
      </w:r>
      <w:r>
        <w:rPr>
          <w:rFonts w:ascii="Times New Roman" w:hAnsi="Times New Roman"/>
          <w:sz w:val="24"/>
        </w:rPr>
        <w:t>11</w:t>
      </w:r>
      <w:r>
        <w:rPr>
          <w:rFonts w:ascii="Times New Roman" w:hAnsi="Times New Roman"/>
          <w:sz w:val="24"/>
        </w:rPr>
        <w:t>楼</w:t>
      </w:r>
    </w:p>
    <w:p w14:paraId="37E195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6441DC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4DC42C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79F31A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联系人：朱宏宇</w:t>
      </w:r>
    </w:p>
    <w:p w14:paraId="7E4114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w:t>
      </w:r>
      <w:proofErr w:type="gramStart"/>
      <w:r>
        <w:rPr>
          <w:rFonts w:ascii="Times New Roman" w:hAnsi="Times New Roman"/>
          <w:sz w:val="24"/>
        </w:rPr>
        <w:t>童咏静</w:t>
      </w:r>
      <w:proofErr w:type="gramEnd"/>
      <w:r>
        <w:rPr>
          <w:rFonts w:ascii="Times New Roman" w:hAnsi="Times New Roman"/>
          <w:sz w:val="24"/>
        </w:rPr>
        <w:t>、朱宏宇</w:t>
      </w:r>
    </w:p>
    <w:p w14:paraId="21BE7982"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34835B0" w14:textId="77777777" w:rsidR="00791B53" w:rsidRDefault="002C0D99">
      <w:pPr>
        <w:pStyle w:val="1"/>
        <w:snapToGrid w:val="0"/>
        <w:spacing w:beforeLines="0" w:before="240" w:after="240"/>
        <w:rPr>
          <w:rFonts w:ascii="宋体" w:hAnsi="宋体"/>
          <w:szCs w:val="30"/>
        </w:rPr>
      </w:pPr>
      <w:bookmarkStart w:id="8" w:name="_Toc54104349"/>
      <w:r>
        <w:rPr>
          <w:rFonts w:ascii="Times New Roman" w:hAnsi="Times New Roman"/>
          <w:sz w:val="30"/>
        </w:rPr>
        <w:lastRenderedPageBreak/>
        <w:t>六、基金的募集</w:t>
      </w:r>
      <w:bookmarkEnd w:id="8"/>
    </w:p>
    <w:p w14:paraId="244063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本基金由基金管理人依照《基金法》、《运作办法》、《销售办法》、基金合同及其他有关规定，并经中国证监会</w:t>
      </w:r>
      <w:r>
        <w:rPr>
          <w:rFonts w:ascii="Times New Roman" w:hAnsi="Times New Roman"/>
          <w:sz w:val="24"/>
        </w:rPr>
        <w:t>2019</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28</w:t>
      </w:r>
      <w:r>
        <w:rPr>
          <w:rFonts w:ascii="Times New Roman" w:hAnsi="Times New Roman"/>
          <w:sz w:val="24"/>
        </w:rPr>
        <w:t>日证监许可【</w:t>
      </w:r>
      <w:r>
        <w:rPr>
          <w:rFonts w:ascii="Times New Roman" w:hAnsi="Times New Roman"/>
          <w:sz w:val="24"/>
        </w:rPr>
        <w:t>2019</w:t>
      </w:r>
      <w:r>
        <w:rPr>
          <w:rFonts w:ascii="Times New Roman" w:hAnsi="Times New Roman"/>
          <w:sz w:val="24"/>
        </w:rPr>
        <w:t>】</w:t>
      </w:r>
      <w:r>
        <w:rPr>
          <w:rFonts w:ascii="Times New Roman" w:hAnsi="Times New Roman"/>
          <w:sz w:val="24"/>
        </w:rPr>
        <w:t xml:space="preserve"> 845</w:t>
      </w:r>
      <w:r>
        <w:rPr>
          <w:rFonts w:ascii="Times New Roman" w:hAnsi="Times New Roman"/>
          <w:sz w:val="24"/>
        </w:rPr>
        <w:t>号文准予募集注册。</w:t>
      </w:r>
    </w:p>
    <w:p w14:paraId="5523BE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本基金为契约型开放式股票型证券投资基金。基金的存续期间为不定期。</w:t>
      </w:r>
    </w:p>
    <w:p w14:paraId="5761BEC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5BE0C9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2019</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25</w:t>
      </w:r>
      <w:r>
        <w:rPr>
          <w:rFonts w:ascii="Times New Roman" w:hAnsi="Times New Roman"/>
          <w:sz w:val="24"/>
        </w:rPr>
        <w:t>日</w:t>
      </w:r>
      <w:r>
        <w:rPr>
          <w:rFonts w:ascii="Times New Roman" w:hAnsi="Times New Roman"/>
          <w:sz w:val="24"/>
        </w:rPr>
        <w:t xml:space="preserve"> </w:t>
      </w:r>
      <w:r>
        <w:rPr>
          <w:rFonts w:ascii="Times New Roman" w:hAnsi="Times New Roman"/>
          <w:sz w:val="24"/>
        </w:rPr>
        <w:t>至</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15</w:t>
      </w:r>
      <w:r>
        <w:rPr>
          <w:rFonts w:ascii="Times New Roman" w:hAnsi="Times New Roman"/>
          <w:sz w:val="24"/>
        </w:rPr>
        <w:t>日进行发售，本基金设立募集期共募集</w:t>
      </w:r>
      <w:r>
        <w:rPr>
          <w:rFonts w:ascii="Times New Roman" w:hAnsi="Times New Roman"/>
          <w:sz w:val="24"/>
        </w:rPr>
        <w:t>1,369,589,735.40</w:t>
      </w:r>
      <w:r>
        <w:rPr>
          <w:rFonts w:ascii="Times New Roman" w:hAnsi="Times New Roman"/>
          <w:sz w:val="24"/>
        </w:rPr>
        <w:t>份基金份额，有效认购户数为</w:t>
      </w:r>
      <w:r>
        <w:rPr>
          <w:rFonts w:ascii="Times New Roman" w:hAnsi="Times New Roman"/>
          <w:sz w:val="24"/>
        </w:rPr>
        <w:t>12,185</w:t>
      </w:r>
      <w:r>
        <w:rPr>
          <w:rFonts w:ascii="Times New Roman" w:hAnsi="Times New Roman"/>
          <w:sz w:val="24"/>
        </w:rPr>
        <w:t>户。</w:t>
      </w:r>
    </w:p>
    <w:p w14:paraId="5993EC31"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D8E9E5" w14:textId="77777777" w:rsidR="00791B53" w:rsidRDefault="002C0D99">
      <w:pPr>
        <w:pStyle w:val="1"/>
        <w:snapToGrid w:val="0"/>
        <w:spacing w:beforeLines="0" w:before="240" w:after="240"/>
        <w:rPr>
          <w:rFonts w:ascii="宋体" w:hAnsi="宋体"/>
          <w:szCs w:val="30"/>
        </w:rPr>
      </w:pPr>
      <w:bookmarkStart w:id="9" w:name="_Toc54104350"/>
      <w:r>
        <w:rPr>
          <w:rFonts w:ascii="Times New Roman" w:hAnsi="Times New Roman"/>
          <w:sz w:val="30"/>
        </w:rPr>
        <w:lastRenderedPageBreak/>
        <w:t>七、基金合同的生效</w:t>
      </w:r>
      <w:bookmarkEnd w:id="9"/>
    </w:p>
    <w:p w14:paraId="0E91C4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日正式生效。自基金合同生效之日起，本基金管理人正式开始管理本基金。</w:t>
      </w:r>
    </w:p>
    <w:p w14:paraId="093488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《基金合同》生效后，连续</w:t>
      </w:r>
      <w:r>
        <w:rPr>
          <w:rFonts w:ascii="Times New Roman" w:hAnsi="Times New Roman"/>
          <w:sz w:val="24"/>
        </w:rPr>
        <w:t>20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万元情形的，基金管理人应当在定期报告中予以披露；连续</w:t>
      </w:r>
      <w:r>
        <w:rPr>
          <w:rFonts w:ascii="Times New Roman" w:hAnsi="Times New Roman"/>
          <w:sz w:val="24"/>
        </w:rPr>
        <w:t>60</w:t>
      </w:r>
      <w:r>
        <w:rPr>
          <w:rFonts w:ascii="Times New Roman" w:hAnsi="Times New Roman"/>
          <w:sz w:val="24"/>
        </w:rPr>
        <w:t>个工作日出现前述情形的，基金管理人提前终止《基金合同》，不需召开基金份额持有人大会。</w:t>
      </w:r>
    </w:p>
    <w:p w14:paraId="3F5655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法律法规或中国证监会另有规定时，从其规定。</w:t>
      </w:r>
    </w:p>
    <w:p w14:paraId="6E213D23"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335484" w14:textId="77777777" w:rsidR="00791B53" w:rsidRDefault="002C0D99">
      <w:pPr>
        <w:pStyle w:val="1"/>
        <w:snapToGrid w:val="0"/>
        <w:spacing w:beforeLines="0" w:before="240" w:after="240"/>
        <w:rPr>
          <w:rFonts w:ascii="宋体" w:hAnsi="宋体"/>
          <w:szCs w:val="30"/>
        </w:rPr>
      </w:pPr>
      <w:bookmarkStart w:id="10" w:name="_Toc54104351"/>
      <w:r>
        <w:rPr>
          <w:rFonts w:ascii="Times New Roman" w:hAnsi="Times New Roman"/>
          <w:sz w:val="30"/>
        </w:rPr>
        <w:lastRenderedPageBreak/>
        <w:t>八、基金份额的申购与赎回</w:t>
      </w:r>
      <w:bookmarkEnd w:id="10"/>
    </w:p>
    <w:p w14:paraId="283DF58A"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6C0181B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14:paraId="10D9B6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、本基金管理人的直销机构</w:t>
      </w:r>
    </w:p>
    <w:p w14:paraId="0B41CE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本基金直销机构为基金管理人直销柜台以及基金管理人的网上直销交易平台。</w:t>
      </w:r>
    </w:p>
    <w:p w14:paraId="768AEC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4AA620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w:t>
      </w:r>
      <w:proofErr w:type="gramStart"/>
      <w:r>
        <w:rPr>
          <w:rFonts w:ascii="Times New Roman" w:hAnsi="Times New Roman"/>
          <w:sz w:val="24"/>
        </w:rPr>
        <w:t>新区银</w:t>
      </w:r>
      <w:proofErr w:type="gramEnd"/>
      <w:r>
        <w:rPr>
          <w:rFonts w:ascii="Times New Roman" w:hAnsi="Times New Roman"/>
          <w:sz w:val="24"/>
        </w:rPr>
        <w:t>城中路</w:t>
      </w:r>
      <w:r>
        <w:rPr>
          <w:rFonts w:ascii="Times New Roman" w:hAnsi="Times New Roman"/>
          <w:sz w:val="24"/>
        </w:rPr>
        <w:t>188</w:t>
      </w:r>
      <w:r>
        <w:rPr>
          <w:rFonts w:ascii="Times New Roman" w:hAnsi="Times New Roman"/>
          <w:sz w:val="24"/>
        </w:rPr>
        <w:t>号交通银行大楼二层（裙）</w:t>
      </w:r>
    </w:p>
    <w:p w14:paraId="622995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7067A0D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5291681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2F52FF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1E0FF8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65B5AC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05B957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个人投资者可以通过基金管理人网上直销交易平台办理开户、本基金的申购、赎回等业务，具体交易细则请参阅基金管理人网站。</w:t>
      </w:r>
    </w:p>
    <w:p w14:paraId="325AAB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p>
    <w:p w14:paraId="5B70AB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、除基金管理人之外的其他销售机构</w:t>
      </w:r>
    </w:p>
    <w:p w14:paraId="0C76F59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4AB7C73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076184E3" w14:textId="77777777" w:rsidR="00791B53" w:rsidRDefault="002C0D99">
      <w:pPr>
        <w:autoSpaceDE w:val="0"/>
        <w:autoSpaceDN w:val="0"/>
        <w:adjustRightInd w:val="0"/>
        <w:snapToGrid w:val="0"/>
        <w:spacing w:line="360" w:lineRule="auto"/>
        <w:ind w:firstLineChars="200" w:firstLine="480"/>
        <w:rPr>
          <w:rFonts w:ascii="宋体" w:hAnsi="宋体"/>
          <w:szCs w:val="24"/>
        </w:rPr>
      </w:pPr>
      <w:proofErr w:type="gramStart"/>
      <w:r>
        <w:rPr>
          <w:rFonts w:ascii="Times New Roman" w:hAnsi="Times New Roman"/>
          <w:sz w:val="24"/>
        </w:rPr>
        <w:t>若基金</w:t>
      </w:r>
      <w:proofErr w:type="gramEnd"/>
      <w:r>
        <w:rPr>
          <w:rFonts w:ascii="Times New Roman" w:hAnsi="Times New Roman"/>
          <w:sz w:val="24"/>
        </w:rPr>
        <w:t>管理人或其指定的销售机构开通电话、传真或网上等交易方式，投资人可以通过上述方式进行申购与赎回。</w:t>
      </w:r>
    </w:p>
    <w:p w14:paraId="4333A306"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2F01FD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7A6B41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FAD972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w:t>
      </w:r>
      <w:r>
        <w:rPr>
          <w:rFonts w:ascii="Times New Roman" w:hAnsi="Times New Roman"/>
          <w:sz w:val="24"/>
        </w:rPr>
        <w:lastRenderedPageBreak/>
        <w:t>变更或其他特殊情况，基金管理人将视情况对前述开放日及开放时间进行相应的调整，但应在实施日前依照《信息披露办法》的有关规定在规定媒介上公告。</w:t>
      </w:r>
    </w:p>
    <w:p w14:paraId="418D88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14:paraId="6DBEE5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6</w:t>
      </w:r>
      <w:r>
        <w:rPr>
          <w:rFonts w:ascii="Times New Roman" w:hAnsi="Times New Roman"/>
          <w:sz w:val="24"/>
        </w:rPr>
        <w:t>日起开放申购、赎回业务。</w:t>
      </w:r>
    </w:p>
    <w:p w14:paraId="4F6B9A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在确定申购开始与赎回开始时间后，基金管理人应在申购、赎回开放日前依照《信息披露办法》的有关规定在规定媒介上公告申购与赎回的开始时间。</w:t>
      </w:r>
    </w:p>
    <w:p w14:paraId="6E05FF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w:t>
      </w:r>
      <w:proofErr w:type="gramStart"/>
      <w:r>
        <w:rPr>
          <w:rFonts w:ascii="Times New Roman" w:hAnsi="Times New Roman"/>
          <w:sz w:val="24"/>
        </w:rPr>
        <w:t>且登记</w:t>
      </w:r>
      <w:proofErr w:type="gramEnd"/>
      <w:r>
        <w:rPr>
          <w:rFonts w:ascii="Times New Roman" w:hAnsi="Times New Roman"/>
          <w:sz w:val="24"/>
        </w:rPr>
        <w:t>机构确认接受的，其基金份额申购、赎回或转换价格为下一开放日基金份额申购、赎回或转换的价格。</w:t>
      </w:r>
    </w:p>
    <w:p w14:paraId="7724949E"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（三）申购与赎回的原则</w:t>
      </w:r>
    </w:p>
    <w:p w14:paraId="51666F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61C4F6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5C3E14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14:paraId="549827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6C1D67D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、办理申购、赎回业务时，应当遵循基金份额持有人利益优先原则，确保投资者的合法权益不受损害并得到公平对待。</w:t>
      </w:r>
    </w:p>
    <w:p w14:paraId="3F24B2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基金管理人可在法律法规允许的情况下，对上述原则进行调整。基金管理人必须在新规则开始实施前依照《信息披露办法》的有关规定在规定媒介上公告。</w:t>
      </w:r>
    </w:p>
    <w:p w14:paraId="7DF17E5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3488078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619583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w:t>
      </w:r>
      <w:r>
        <w:rPr>
          <w:rFonts w:ascii="Times New Roman" w:hAnsi="Times New Roman"/>
          <w:sz w:val="24"/>
        </w:rPr>
        <w:lastRenderedPageBreak/>
        <w:t>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元，如果销售机构业务规则规定的最低单笔申购金额高于</w:t>
      </w:r>
      <w:r>
        <w:rPr>
          <w:rFonts w:ascii="Times New Roman" w:hAnsi="Times New Roman"/>
          <w:sz w:val="24"/>
        </w:rPr>
        <w:t>1</w:t>
      </w:r>
      <w:r>
        <w:rPr>
          <w:rFonts w:ascii="Times New Roman" w:hAnsi="Times New Roman"/>
          <w:sz w:val="24"/>
        </w:rPr>
        <w:t>元，以该销售机构的规定为准。</w:t>
      </w:r>
    </w:p>
    <w:p w14:paraId="3FEAA36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278B68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14:paraId="2A321EC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14:paraId="5FD371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w:t>
      </w:r>
      <w:proofErr w:type="gramStart"/>
      <w:r>
        <w:rPr>
          <w:rFonts w:ascii="Times New Roman" w:hAnsi="Times New Roman"/>
          <w:sz w:val="24"/>
        </w:rPr>
        <w:t>则基金</w:t>
      </w:r>
      <w:proofErr w:type="gramEnd"/>
      <w:r>
        <w:rPr>
          <w:rFonts w:ascii="Times New Roman" w:hAnsi="Times New Roman"/>
          <w:sz w:val="24"/>
        </w:rPr>
        <w:t>管理人有权将投资人在该账户保留的本基金份额一次性全部赎回。</w:t>
      </w:r>
    </w:p>
    <w:p w14:paraId="4DB4AC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27470B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、基金管理人可在法律法规允许的情况下，调整上述规定申购金额和赎回份额的数量限制。基金管理人必须在调整实施前依照《信息披露办法》的有关规定在规定媒介上公告并报中国证监会备案。</w:t>
      </w:r>
    </w:p>
    <w:p w14:paraId="6B870DD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372B7D9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14:paraId="1A7D435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28D8A1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、申购和赎回的款项支付</w:t>
      </w:r>
    </w:p>
    <w:p w14:paraId="1AF78F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投资人申购基金份额时，必须全额交付申购款项，若申购资金在规定时间内未全额到账则申购不成立。投资人全额交付申购款项，申购成立；基金登记机构确认基金份额时，申购生效。</w:t>
      </w:r>
    </w:p>
    <w:p w14:paraId="264D4C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基金份额持有人递交赎回申请，赎回成立；基金登记机构确认赎回时，赎回生效。投资者赎回申请生效后，基金管理人将在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w:t>
      </w:r>
      <w:r>
        <w:rPr>
          <w:rFonts w:ascii="Times New Roman" w:hAnsi="Times New Roman"/>
          <w:sz w:val="24"/>
        </w:rPr>
        <w:lastRenderedPageBreak/>
        <w:t>项。在发生巨额赎回或基金合同载明的其他暂停赎回或延缓支付赎回款项的情形时，款项的支付办法参照基金合同有关条款处理。</w:t>
      </w:r>
    </w:p>
    <w:p w14:paraId="7E6F775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、申购和赎回申请的确认</w:t>
      </w:r>
    </w:p>
    <w:p w14:paraId="15432D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日后（包括该日）及时到销售网点柜台或以销售机构规定的其他方式查询申请的确认情况。若申购不成功，则申购款项本金退还给投资人。</w:t>
      </w:r>
    </w:p>
    <w:p w14:paraId="4D229A3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基金管理人可在法律法规允许的范围内，依法对上述申购和赎回申请的确认时间进行调整，并必须在调整实施日前按照《信息披露办法》的有关规定在规定媒介上公告并报中国证监会备案。</w:t>
      </w:r>
    </w:p>
    <w:p w14:paraId="438401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A3303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、申购和赎回的登记</w:t>
      </w:r>
    </w:p>
    <w:p w14:paraId="522589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14:paraId="051D4A7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14:paraId="4FBD94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）基金管理人可在法律法规允许的范围内，对上述登记办理时间进行调整，并于开始实施前按照《信息披露办法》的有关规定在规定媒介上公告并报中国证监会备案。</w:t>
      </w:r>
    </w:p>
    <w:p w14:paraId="37078465"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14:paraId="366EDB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14:paraId="55F7E6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w:t>
      </w:r>
      <w:proofErr w:type="gramStart"/>
      <w:r>
        <w:rPr>
          <w:rFonts w:ascii="Times New Roman" w:hAnsi="Times New Roman"/>
          <w:sz w:val="24"/>
        </w:rPr>
        <w:t>基金基金</w:t>
      </w:r>
      <w:proofErr w:type="gramEnd"/>
      <w:r>
        <w:rPr>
          <w:rFonts w:ascii="Times New Roman" w:hAnsi="Times New Roman"/>
          <w:sz w:val="24"/>
        </w:rPr>
        <w:t>份额分为</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类基金份额，投资人申购</w:t>
      </w:r>
      <w:r>
        <w:rPr>
          <w:rFonts w:ascii="Times New Roman" w:hAnsi="Times New Roman"/>
          <w:sz w:val="24"/>
        </w:rPr>
        <w:t>A</w:t>
      </w:r>
      <w:r>
        <w:rPr>
          <w:rFonts w:ascii="Times New Roman" w:hAnsi="Times New Roman"/>
          <w:sz w:val="24"/>
        </w:rPr>
        <w:t>类基金份额在申购时支付申购费用，申购</w:t>
      </w:r>
      <w:r>
        <w:rPr>
          <w:rFonts w:ascii="Times New Roman" w:hAnsi="Times New Roman"/>
          <w:sz w:val="24"/>
        </w:rPr>
        <w:t>C</w:t>
      </w:r>
      <w:r>
        <w:rPr>
          <w:rFonts w:ascii="Times New Roman" w:hAnsi="Times New Roman"/>
          <w:sz w:val="24"/>
        </w:rPr>
        <w:t>类基金份额不支付申购费用，而是从该类别基金资产中计</w:t>
      </w:r>
      <w:proofErr w:type="gramStart"/>
      <w:r>
        <w:rPr>
          <w:rFonts w:ascii="Times New Roman" w:hAnsi="Times New Roman"/>
          <w:sz w:val="24"/>
        </w:rPr>
        <w:t>提销售</w:t>
      </w:r>
      <w:proofErr w:type="gramEnd"/>
      <w:r>
        <w:rPr>
          <w:rFonts w:ascii="Times New Roman" w:hAnsi="Times New Roman"/>
          <w:sz w:val="24"/>
        </w:rPr>
        <w:t>服务费。</w:t>
      </w:r>
    </w:p>
    <w:p w14:paraId="22580FB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类基金份额的申购费用由</w:t>
      </w:r>
      <w:r>
        <w:rPr>
          <w:rFonts w:ascii="Times New Roman" w:hAnsi="Times New Roman"/>
          <w:sz w:val="24"/>
        </w:rPr>
        <w:t>A</w:t>
      </w:r>
      <w:r>
        <w:rPr>
          <w:rFonts w:ascii="Times New Roman" w:hAnsi="Times New Roman"/>
          <w:sz w:val="24"/>
        </w:rPr>
        <w:t>类基金份额申购人承担，不列入基金财产，主要用于本基金的市场推广、销售、登记结算等各项费用。</w:t>
      </w:r>
    </w:p>
    <w:p w14:paraId="276006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投资人可以多次申购本基金，申购费用按每笔申购申请单独计算。</w:t>
      </w:r>
    </w:p>
    <w:p w14:paraId="29E60B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791B53" w14:paraId="3045AF4C"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94AA3A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3F749B0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776D1ED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791B53" w14:paraId="51AE196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62B446"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AACE1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0B0976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791B53" w14:paraId="094625F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F12227F"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C228F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4A9985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791B53" w14:paraId="5ED15C6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32A23FA"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2B32C1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EAEB13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791B53" w14:paraId="15B9E2D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D3AC73"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38B6C0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6BB2CF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73F3D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持有</w:t>
      </w:r>
      <w:r>
        <w:rPr>
          <w:rFonts w:ascii="Times New Roman" w:hAnsi="Times New Roman"/>
          <w:sz w:val="24"/>
        </w:rPr>
        <w:t>A</w:t>
      </w:r>
      <w:r>
        <w:rPr>
          <w:rFonts w:ascii="Times New Roman" w:hAnsi="Times New Roman"/>
          <w:sz w:val="24"/>
        </w:rPr>
        <w:t>类基金份额的投资人因红利自动再投资而产生的</w:t>
      </w:r>
      <w:r>
        <w:rPr>
          <w:rFonts w:ascii="Times New Roman" w:hAnsi="Times New Roman"/>
          <w:sz w:val="24"/>
        </w:rPr>
        <w:t>A</w:t>
      </w:r>
      <w:r>
        <w:rPr>
          <w:rFonts w:ascii="Times New Roman" w:hAnsi="Times New Roman"/>
          <w:sz w:val="24"/>
        </w:rPr>
        <w:t>类基金份额，不收取相应的申购费用。</w:t>
      </w:r>
    </w:p>
    <w:p w14:paraId="70366F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本基金对通过基金管理人直销柜台申购</w:t>
      </w:r>
      <w:r>
        <w:rPr>
          <w:rFonts w:ascii="Times New Roman" w:hAnsi="Times New Roman"/>
          <w:sz w:val="24"/>
        </w:rPr>
        <w:t>A</w:t>
      </w:r>
      <w:r>
        <w:rPr>
          <w:rFonts w:ascii="Times New Roman" w:hAnsi="Times New Roman"/>
          <w:sz w:val="24"/>
        </w:rPr>
        <w:t>类基金份额的养老金客户实施特定申购费率。</w:t>
      </w:r>
    </w:p>
    <w:p w14:paraId="735E99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w:t>
      </w:r>
    </w:p>
    <w:p w14:paraId="0F29D3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）全国社会保障基金；</w:t>
      </w:r>
    </w:p>
    <w:p w14:paraId="5295CA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）可以投资基金的地方社会保障基金；</w:t>
      </w:r>
    </w:p>
    <w:p w14:paraId="5774EA2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）企业年金单一计划以及集合计划；</w:t>
      </w:r>
    </w:p>
    <w:p w14:paraId="3B47B20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）企业年金理事会委托的特定客户资产管理计划；</w:t>
      </w:r>
    </w:p>
    <w:p w14:paraId="4886C5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）企业年金养老金产品。</w:t>
      </w:r>
    </w:p>
    <w:p w14:paraId="755D9B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如将来出现经养老基金监管部门认可的新的养老基金类型，基金管理人可在招募说明书更新或发布临时公告将其纳入养老金客户范围，并按规定向中国证监会备案。</w:t>
      </w:r>
    </w:p>
    <w:p w14:paraId="231B2A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通过基金管理人直销柜台申购本基金</w:t>
      </w:r>
      <w:r>
        <w:rPr>
          <w:rFonts w:ascii="Times New Roman" w:hAnsi="Times New Roman"/>
          <w:sz w:val="24"/>
        </w:rPr>
        <w:t>A</w:t>
      </w:r>
      <w:r>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791B53" w14:paraId="115F9FF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43532E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67EE070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31908C3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791B53" w14:paraId="04F6753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C8901AE"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122B1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70C7BC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0.24%</w:t>
            </w:r>
          </w:p>
        </w:tc>
      </w:tr>
      <w:tr w:rsidR="00791B53" w14:paraId="0513937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DFC721C"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8B28AE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4881ED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791B53" w14:paraId="3D1BEF7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B0D1E03"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45348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6FC036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791B53" w14:paraId="61EE84E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3BDBEA7"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1480F7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487344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66C7ED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B4A9C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）通过本基金管理人直销柜台办理本基金</w:t>
      </w:r>
      <w:r>
        <w:rPr>
          <w:rFonts w:ascii="Times New Roman" w:hAnsi="Times New Roman"/>
          <w:sz w:val="24"/>
        </w:rPr>
        <w:t>A</w:t>
      </w:r>
      <w:r>
        <w:rPr>
          <w:rFonts w:ascii="Times New Roman" w:hAnsi="Times New Roman"/>
          <w:sz w:val="24"/>
        </w:rPr>
        <w:t>类基金份额申购业务的投资者，</w:t>
      </w:r>
      <w:r>
        <w:rPr>
          <w:rFonts w:ascii="Times New Roman" w:hAnsi="Times New Roman"/>
          <w:sz w:val="24"/>
        </w:rPr>
        <w:lastRenderedPageBreak/>
        <w:t>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85277E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w:t>
      </w:r>
      <w:r>
        <w:rPr>
          <w:rFonts w:ascii="Times New Roman" w:hAnsi="Times New Roman"/>
          <w:sz w:val="24"/>
        </w:rPr>
        <w:t>A</w:t>
      </w:r>
      <w:r>
        <w:rPr>
          <w:rFonts w:ascii="Times New Roman" w:hAnsi="Times New Roman"/>
          <w:sz w:val="24"/>
        </w:rPr>
        <w:t>类基金份额申购业务的个人投资者享受申购费率优惠，赎回费率标准不变。具体优惠费率请参见本基金管理人网站列示的网上直销交易平台申购费率表或相关公告。</w:t>
      </w:r>
    </w:p>
    <w:p w14:paraId="6ECF453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本基金管理人基金网上直销业务已开通的银行卡及各银行卡交易金额限额请参阅本基金管理人网站。</w:t>
      </w:r>
    </w:p>
    <w:p w14:paraId="20A0315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3C90C9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14:paraId="198FA5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类基金份额收取赎回费用，该费用随基金份额的持有时间递减。本基金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类基金份额的赎回费用由赎回该类基金份额的基金份额持有人承担，在基金份额持有人赎回基金份额时收取。对于持续持有期间少于</w:t>
      </w:r>
      <w:r>
        <w:rPr>
          <w:rFonts w:ascii="Times New Roman" w:hAnsi="Times New Roman"/>
          <w:sz w:val="24"/>
        </w:rPr>
        <w:t>7</w:t>
      </w:r>
      <w:r>
        <w:rPr>
          <w:rFonts w:ascii="Times New Roman" w:hAnsi="Times New Roman"/>
          <w:sz w:val="24"/>
        </w:rPr>
        <w:t>日的投资者收取的赎回费全额计入基金财产，对于持续持有期间大于等于</w:t>
      </w:r>
      <w:r>
        <w:rPr>
          <w:rFonts w:ascii="Times New Roman" w:hAnsi="Times New Roman"/>
          <w:sz w:val="24"/>
        </w:rPr>
        <w:t>7</w:t>
      </w:r>
      <w:r>
        <w:rPr>
          <w:rFonts w:ascii="Times New Roman" w:hAnsi="Times New Roman"/>
          <w:sz w:val="24"/>
        </w:rPr>
        <w:t>日的投资人收取的赎回费总额的</w:t>
      </w:r>
      <w:r>
        <w:rPr>
          <w:rFonts w:ascii="Times New Roman" w:hAnsi="Times New Roman"/>
          <w:sz w:val="24"/>
        </w:rPr>
        <w:t>25%</w:t>
      </w:r>
      <w:r>
        <w:rPr>
          <w:rFonts w:ascii="Times New Roman" w:hAnsi="Times New Roman"/>
          <w:sz w:val="24"/>
        </w:rPr>
        <w:t>应</w:t>
      </w:r>
      <w:proofErr w:type="gramStart"/>
      <w:r>
        <w:rPr>
          <w:rFonts w:ascii="Times New Roman" w:hAnsi="Times New Roman"/>
          <w:sz w:val="24"/>
        </w:rPr>
        <w:t>归基金</w:t>
      </w:r>
      <w:proofErr w:type="gramEnd"/>
      <w:r>
        <w:rPr>
          <w:rFonts w:ascii="Times New Roman" w:hAnsi="Times New Roman"/>
          <w:sz w:val="24"/>
        </w:rPr>
        <w:t>财产，其余用于支付登记费和其他必要的手续费。</w:t>
      </w:r>
    </w:p>
    <w:p w14:paraId="36D36D5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791B53" w14:paraId="30D2875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8172CE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5C22628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E2A88E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791B53" w14:paraId="506352A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79EFFC1"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C65F3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5A3F7B2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791B53" w14:paraId="0BB3F3F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D672E02"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A5CCBE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日（含）</w:t>
            </w:r>
          </w:p>
        </w:tc>
        <w:tc>
          <w:tcPr>
            <w:tcW w:w="750" w:type="pct"/>
            <w:tcBorders>
              <w:top w:val="single" w:sz="4" w:space="0" w:color="auto"/>
              <w:left w:val="single" w:sz="4" w:space="0" w:color="auto"/>
              <w:bottom w:val="single" w:sz="4" w:space="0" w:color="auto"/>
              <w:right w:val="single" w:sz="4" w:space="0" w:color="auto"/>
            </w:tcBorders>
            <w:vAlign w:val="center"/>
          </w:tcPr>
          <w:p w14:paraId="6508550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791B53" w14:paraId="4970C01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1A4456C"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607F42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w:t>
            </w:r>
            <w:r>
              <w:rPr>
                <w:rFonts w:ascii="Times New Roman" w:hAnsi="Times New Roman"/>
                <w:color w:val="000000"/>
                <w:kern w:val="0"/>
                <w:sz w:val="25"/>
                <w:szCs w:val="24"/>
              </w:rPr>
              <w:t>-180</w:t>
            </w:r>
            <w:r>
              <w:rPr>
                <w:rFonts w:ascii="Times New Roman" w:hAnsi="Times New Roman"/>
                <w:color w:val="000000"/>
                <w:kern w:val="0"/>
                <w:sz w:val="25"/>
                <w:szCs w:val="24"/>
              </w:rPr>
              <w:t>日（含）</w:t>
            </w:r>
          </w:p>
        </w:tc>
        <w:tc>
          <w:tcPr>
            <w:tcW w:w="750" w:type="pct"/>
            <w:tcBorders>
              <w:top w:val="single" w:sz="4" w:space="0" w:color="auto"/>
              <w:left w:val="single" w:sz="4" w:space="0" w:color="auto"/>
              <w:bottom w:val="single" w:sz="4" w:space="0" w:color="auto"/>
              <w:right w:val="single" w:sz="4" w:space="0" w:color="auto"/>
            </w:tcBorders>
            <w:vAlign w:val="center"/>
          </w:tcPr>
          <w:p w14:paraId="5A2E9E0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791B53" w14:paraId="20A835F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870F60"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9658C8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180</w:t>
            </w:r>
            <w:r>
              <w:rPr>
                <w:rFonts w:ascii="Times New Roman" w:hAnsi="Times New Roman"/>
                <w:color w:val="000000"/>
                <w:kern w:val="0"/>
                <w:sz w:val="25"/>
                <w:szCs w:val="24"/>
              </w:rPr>
              <w:t>日以上</w:t>
            </w:r>
          </w:p>
        </w:tc>
        <w:tc>
          <w:tcPr>
            <w:tcW w:w="750" w:type="pct"/>
            <w:tcBorders>
              <w:top w:val="single" w:sz="4" w:space="0" w:color="auto"/>
              <w:left w:val="single" w:sz="4" w:space="0" w:color="auto"/>
              <w:bottom w:val="single" w:sz="4" w:space="0" w:color="auto"/>
              <w:right w:val="single" w:sz="4" w:space="0" w:color="auto"/>
            </w:tcBorders>
            <w:vAlign w:val="center"/>
          </w:tcPr>
          <w:p w14:paraId="37CBCDF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02A62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791B53" w14:paraId="6A800073"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51FFCA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572D2F7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B82F86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791B53" w14:paraId="4312A30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B9E19D0"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B5118D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413255C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791B53" w14:paraId="5F01890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D05A35B"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C58A30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日（含）</w:t>
            </w:r>
          </w:p>
        </w:tc>
        <w:tc>
          <w:tcPr>
            <w:tcW w:w="750" w:type="pct"/>
            <w:tcBorders>
              <w:top w:val="single" w:sz="4" w:space="0" w:color="auto"/>
              <w:left w:val="single" w:sz="4" w:space="0" w:color="auto"/>
              <w:bottom w:val="single" w:sz="4" w:space="0" w:color="auto"/>
              <w:right w:val="single" w:sz="4" w:space="0" w:color="auto"/>
            </w:tcBorders>
            <w:vAlign w:val="center"/>
          </w:tcPr>
          <w:p w14:paraId="0F738D5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791B53" w14:paraId="13E896F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8F3F178"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836D7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w:t>
            </w:r>
          </w:p>
        </w:tc>
        <w:tc>
          <w:tcPr>
            <w:tcW w:w="750" w:type="pct"/>
            <w:tcBorders>
              <w:top w:val="single" w:sz="4" w:space="0" w:color="auto"/>
              <w:left w:val="single" w:sz="4" w:space="0" w:color="auto"/>
              <w:bottom w:val="single" w:sz="4" w:space="0" w:color="auto"/>
              <w:right w:val="single" w:sz="4" w:space="0" w:color="auto"/>
            </w:tcBorders>
            <w:vAlign w:val="center"/>
          </w:tcPr>
          <w:p w14:paraId="4A0A9AF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CF3ED9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、基金管理人可以在基金合同约定的范围内调整费率或收费方式，并最迟应于新的费率或收费方式实施日前依照《信息披露办法》的有关规定在规定媒介上公告。</w:t>
      </w:r>
    </w:p>
    <w:p w14:paraId="14EDFF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、当本基金发生大额申购或赎回情形时，基金管理人可以采用摆动定价机制，</w:t>
      </w:r>
      <w:r>
        <w:rPr>
          <w:rFonts w:ascii="Times New Roman" w:hAnsi="Times New Roman"/>
          <w:sz w:val="24"/>
        </w:rPr>
        <w:lastRenderedPageBreak/>
        <w:t>以确保基金估值的公平性。具体处理原则与操作规范遵循相关法律法规以及监管部门、自律规则的规定。</w:t>
      </w:r>
    </w:p>
    <w:p w14:paraId="097205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6372BCA"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14:paraId="3D97CD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03A848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）申购的</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类基金份额的有效份额为净申购金额除以当日该类基金份额的基金份额净值，有效份额单位为份，申购份额计算结果按四舍五入方法，保留到小数点后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69F596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A</w:t>
      </w:r>
      <w:r>
        <w:rPr>
          <w:rFonts w:ascii="Times New Roman" w:hAnsi="Times New Roman"/>
          <w:sz w:val="24"/>
        </w:rPr>
        <w:t>类基金份额或</w:t>
      </w:r>
      <w:r>
        <w:rPr>
          <w:rFonts w:ascii="Times New Roman" w:hAnsi="Times New Roman"/>
          <w:sz w:val="24"/>
        </w:rPr>
        <w:t>C</w:t>
      </w:r>
      <w:r>
        <w:rPr>
          <w:rFonts w:ascii="Times New Roman" w:hAnsi="Times New Roman"/>
          <w:sz w:val="24"/>
        </w:rPr>
        <w:t>类基金份额的赎回金额为按实际确认的有效赎回份额乘以当日该类基金份额的基金份额净值并扣除相应的费用，赎回金额单位为元。赎回金额计算结果按四舍五入方法，保留到小数点后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0DA08D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14:paraId="63541C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类基金份额的申购</w:t>
      </w:r>
    </w:p>
    <w:p w14:paraId="2CCC086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proofErr w:type="gramStart"/>
      <w:r>
        <w:rPr>
          <w:rFonts w:ascii="Times New Roman" w:hAnsi="Times New Roman"/>
          <w:sz w:val="24"/>
        </w:rPr>
        <w:t>申请总</w:t>
      </w:r>
      <w:proofErr w:type="gramEnd"/>
      <w:r>
        <w:rPr>
          <w:rFonts w:ascii="Times New Roman" w:hAnsi="Times New Roman"/>
          <w:sz w:val="24"/>
        </w:rPr>
        <w:t>金额</w:t>
      </w:r>
    </w:p>
    <w:p w14:paraId="2A6C4D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17EA37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14:paraId="0F6DB2C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7E6FB3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14:paraId="1E41C0E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p>
    <w:p w14:paraId="5B92DD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例四：某投资者（非养老金客户）投资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1.2%</w:t>
      </w:r>
      <w:r>
        <w:rPr>
          <w:rFonts w:ascii="Times New Roman" w:hAnsi="Times New Roman"/>
          <w:sz w:val="24"/>
        </w:rPr>
        <w:t>，则其可得到的申购份额为：</w:t>
      </w:r>
    </w:p>
    <w:p w14:paraId="2C3CC1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31DBDCC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1+1.2%</w:t>
      </w:r>
      <w:r>
        <w:rPr>
          <w:rFonts w:ascii="Times New Roman" w:hAnsi="Times New Roman"/>
          <w:sz w:val="24"/>
        </w:rPr>
        <w:t>）</w:t>
      </w:r>
      <w:r>
        <w:rPr>
          <w:rFonts w:ascii="Times New Roman" w:hAnsi="Times New Roman"/>
          <w:sz w:val="24"/>
        </w:rPr>
        <w:t>=98,814.23</w:t>
      </w:r>
      <w:r>
        <w:rPr>
          <w:rFonts w:ascii="Times New Roman" w:hAnsi="Times New Roman"/>
          <w:sz w:val="24"/>
        </w:rPr>
        <w:t>元</w:t>
      </w:r>
    </w:p>
    <w:p w14:paraId="5AB1A2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=100,000-98,814.23=1185.77</w:t>
      </w:r>
      <w:r>
        <w:rPr>
          <w:rFonts w:ascii="Times New Roman" w:hAnsi="Times New Roman"/>
          <w:sz w:val="24"/>
        </w:rPr>
        <w:t>元</w:t>
      </w:r>
    </w:p>
    <w:p w14:paraId="6BA470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申购份额</w:t>
      </w:r>
      <w:r>
        <w:rPr>
          <w:rFonts w:ascii="Times New Roman" w:hAnsi="Times New Roman"/>
          <w:sz w:val="24"/>
        </w:rPr>
        <w:t>=</w:t>
      </w:r>
      <w:r>
        <w:rPr>
          <w:rFonts w:ascii="Times New Roman" w:hAnsi="Times New Roman"/>
          <w:sz w:val="24"/>
        </w:rPr>
        <w:t>（</w:t>
      </w:r>
      <w:r>
        <w:rPr>
          <w:rFonts w:ascii="Times New Roman" w:hAnsi="Times New Roman"/>
          <w:sz w:val="24"/>
        </w:rPr>
        <w:t>100,000-1185.77</w:t>
      </w:r>
      <w:r>
        <w:rPr>
          <w:rFonts w:ascii="Times New Roman" w:hAnsi="Times New Roman"/>
          <w:sz w:val="24"/>
        </w:rPr>
        <w:t>）</w:t>
      </w:r>
      <w:r>
        <w:rPr>
          <w:rFonts w:ascii="Times New Roman" w:hAnsi="Times New Roman"/>
          <w:sz w:val="24"/>
        </w:rPr>
        <w:t>/1.0400=95,013.68</w:t>
      </w:r>
      <w:r>
        <w:rPr>
          <w:rFonts w:ascii="Times New Roman" w:hAnsi="Times New Roman"/>
          <w:sz w:val="24"/>
        </w:rPr>
        <w:t>份</w:t>
      </w:r>
    </w:p>
    <w:p w14:paraId="1E891D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即：某投资者（非养老金客户）投资</w:t>
      </w:r>
      <w:r>
        <w:rPr>
          <w:rFonts w:ascii="Times New Roman" w:hAnsi="Times New Roman"/>
          <w:sz w:val="24"/>
        </w:rPr>
        <w:t>100,000</w:t>
      </w:r>
      <w:r>
        <w:rPr>
          <w:rFonts w:ascii="Times New Roman" w:hAnsi="Times New Roman"/>
          <w:sz w:val="24"/>
        </w:rPr>
        <w:t>元申购本基金</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95,013.68</w:t>
      </w:r>
      <w:r>
        <w:rPr>
          <w:rFonts w:ascii="Times New Roman" w:hAnsi="Times New Roman"/>
          <w:sz w:val="24"/>
        </w:rPr>
        <w:t>份</w:t>
      </w:r>
      <w:r>
        <w:rPr>
          <w:rFonts w:ascii="Times New Roman" w:hAnsi="Times New Roman"/>
          <w:sz w:val="24"/>
        </w:rPr>
        <w:t>A</w:t>
      </w:r>
      <w:r>
        <w:rPr>
          <w:rFonts w:ascii="Times New Roman" w:hAnsi="Times New Roman"/>
          <w:sz w:val="24"/>
        </w:rPr>
        <w:t>类基金份额。</w:t>
      </w:r>
    </w:p>
    <w:p w14:paraId="0D2B6F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例五：某养老金客户投资</w:t>
      </w:r>
      <w:r>
        <w:rPr>
          <w:rFonts w:ascii="Times New Roman" w:hAnsi="Times New Roman"/>
          <w:sz w:val="24"/>
        </w:rPr>
        <w:t>100,000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0.24%</w:t>
      </w:r>
      <w:r>
        <w:rPr>
          <w:rFonts w:ascii="Times New Roman" w:hAnsi="Times New Roman"/>
          <w:sz w:val="24"/>
        </w:rPr>
        <w:t>，则其可得到的申购份额为：</w:t>
      </w:r>
    </w:p>
    <w:p w14:paraId="565CD4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42485A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1+0.24%</w:t>
      </w:r>
      <w:r>
        <w:rPr>
          <w:rFonts w:ascii="Times New Roman" w:hAnsi="Times New Roman"/>
          <w:sz w:val="24"/>
        </w:rPr>
        <w:t>）</w:t>
      </w:r>
      <w:r>
        <w:rPr>
          <w:rFonts w:ascii="Times New Roman" w:hAnsi="Times New Roman"/>
          <w:sz w:val="24"/>
        </w:rPr>
        <w:t>=99,760.57</w:t>
      </w:r>
      <w:r>
        <w:rPr>
          <w:rFonts w:ascii="Times New Roman" w:hAnsi="Times New Roman"/>
          <w:sz w:val="24"/>
        </w:rPr>
        <w:t>元</w:t>
      </w:r>
    </w:p>
    <w:p w14:paraId="6CD0F8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=100,000-99,760.57=239.43</w:t>
      </w:r>
      <w:r>
        <w:rPr>
          <w:rFonts w:ascii="Times New Roman" w:hAnsi="Times New Roman"/>
          <w:sz w:val="24"/>
        </w:rPr>
        <w:t>元</w:t>
      </w:r>
    </w:p>
    <w:p w14:paraId="27DAAB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100,000-239.43</w:t>
      </w:r>
      <w:r>
        <w:rPr>
          <w:rFonts w:ascii="Times New Roman" w:hAnsi="Times New Roman"/>
          <w:sz w:val="24"/>
        </w:rPr>
        <w:t>）</w:t>
      </w:r>
      <w:r>
        <w:rPr>
          <w:rFonts w:ascii="Times New Roman" w:hAnsi="Times New Roman"/>
          <w:sz w:val="24"/>
        </w:rPr>
        <w:t>/1.0400=95,923.63</w:t>
      </w:r>
      <w:r>
        <w:rPr>
          <w:rFonts w:ascii="Times New Roman" w:hAnsi="Times New Roman"/>
          <w:sz w:val="24"/>
        </w:rPr>
        <w:t>份</w:t>
      </w:r>
    </w:p>
    <w:p w14:paraId="0AFA0A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即：该养老金客户投资</w:t>
      </w:r>
      <w:r>
        <w:rPr>
          <w:rFonts w:ascii="Times New Roman" w:hAnsi="Times New Roman"/>
          <w:sz w:val="24"/>
        </w:rPr>
        <w:t>100,000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95,923.63</w:t>
      </w:r>
      <w:r>
        <w:rPr>
          <w:rFonts w:ascii="Times New Roman" w:hAnsi="Times New Roman"/>
          <w:sz w:val="24"/>
        </w:rPr>
        <w:t>份</w:t>
      </w:r>
      <w:r>
        <w:rPr>
          <w:rFonts w:ascii="Times New Roman" w:hAnsi="Times New Roman"/>
          <w:sz w:val="24"/>
        </w:rPr>
        <w:t>A</w:t>
      </w:r>
      <w:r>
        <w:rPr>
          <w:rFonts w:ascii="Times New Roman" w:hAnsi="Times New Roman"/>
          <w:sz w:val="24"/>
        </w:rPr>
        <w:t>类基金份额。</w:t>
      </w:r>
    </w:p>
    <w:p w14:paraId="357D68B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类基金份额的申购</w:t>
      </w:r>
    </w:p>
    <w:p w14:paraId="2725F85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如果投资者选择申购</w:t>
      </w:r>
      <w:r>
        <w:rPr>
          <w:rFonts w:ascii="Times New Roman" w:hAnsi="Times New Roman"/>
          <w:sz w:val="24"/>
        </w:rPr>
        <w:t>C</w:t>
      </w:r>
      <w:r>
        <w:rPr>
          <w:rFonts w:ascii="Times New Roman" w:hAnsi="Times New Roman"/>
          <w:sz w:val="24"/>
        </w:rPr>
        <w:t>类基金份额，则申购份额的计算方法如下：</w:t>
      </w:r>
    </w:p>
    <w:p w14:paraId="76B4D1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proofErr w:type="gramStart"/>
      <w:r>
        <w:rPr>
          <w:rFonts w:ascii="Times New Roman" w:hAnsi="Times New Roman"/>
          <w:sz w:val="24"/>
        </w:rPr>
        <w:t>申请总</w:t>
      </w:r>
      <w:proofErr w:type="gramEnd"/>
      <w:r>
        <w:rPr>
          <w:rFonts w:ascii="Times New Roman" w:hAnsi="Times New Roman"/>
          <w:sz w:val="24"/>
        </w:rPr>
        <w:t>金额</w:t>
      </w:r>
    </w:p>
    <w:p w14:paraId="11CCBE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p>
    <w:p w14:paraId="76C443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14:paraId="624BB2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100,000/1.0400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14:paraId="0D0D3A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96,153.85</w:t>
      </w:r>
      <w:r>
        <w:rPr>
          <w:rFonts w:ascii="Times New Roman" w:hAnsi="Times New Roman"/>
          <w:sz w:val="24"/>
        </w:rPr>
        <w:t>份</w:t>
      </w:r>
      <w:r>
        <w:rPr>
          <w:rFonts w:ascii="Times New Roman" w:hAnsi="Times New Roman"/>
          <w:sz w:val="24"/>
        </w:rPr>
        <w:t>C</w:t>
      </w:r>
      <w:r>
        <w:rPr>
          <w:rFonts w:ascii="Times New Roman" w:hAnsi="Times New Roman"/>
          <w:sz w:val="24"/>
        </w:rPr>
        <w:t>类基金份额。</w:t>
      </w:r>
    </w:p>
    <w:p w14:paraId="4F7961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14:paraId="7E914A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类基金份额的赎回</w:t>
      </w:r>
    </w:p>
    <w:p w14:paraId="26E6935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如果投资者赎回</w:t>
      </w:r>
      <w:r>
        <w:rPr>
          <w:rFonts w:ascii="Times New Roman" w:hAnsi="Times New Roman"/>
          <w:sz w:val="24"/>
        </w:rPr>
        <w:t>A</w:t>
      </w:r>
      <w:r>
        <w:rPr>
          <w:rFonts w:ascii="Times New Roman" w:hAnsi="Times New Roman"/>
          <w:sz w:val="24"/>
        </w:rPr>
        <w:t>类基金份额，则赎回金额的计算方法如下：</w:t>
      </w:r>
    </w:p>
    <w:p w14:paraId="76B025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5EA84E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79D54A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类基金份额，持有</w:t>
      </w:r>
      <w:r>
        <w:rPr>
          <w:rFonts w:ascii="Times New Roman" w:hAnsi="Times New Roman"/>
          <w:sz w:val="24"/>
        </w:rPr>
        <w:t>20</w:t>
      </w:r>
      <w:r>
        <w:rPr>
          <w:rFonts w:ascii="Times New Roman" w:hAnsi="Times New Roman"/>
          <w:sz w:val="24"/>
        </w:rPr>
        <w:t>日，对应的赎回费率为</w:t>
      </w:r>
      <w:r>
        <w:rPr>
          <w:rFonts w:ascii="Times New Roman" w:hAnsi="Times New Roman"/>
          <w:sz w:val="24"/>
        </w:rPr>
        <w:t>0.3%</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14:paraId="0693D1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=100,000×1.0160×0.3%</w:t>
      </w:r>
      <w:r>
        <w:rPr>
          <w:rFonts w:ascii="Times New Roman" w:hAnsi="Times New Roman"/>
          <w:sz w:val="24"/>
        </w:rPr>
        <w:t>＝</w:t>
      </w:r>
      <w:r>
        <w:rPr>
          <w:rFonts w:ascii="Times New Roman" w:hAnsi="Times New Roman"/>
          <w:sz w:val="24"/>
        </w:rPr>
        <w:t>304.80</w:t>
      </w:r>
      <w:r>
        <w:rPr>
          <w:rFonts w:ascii="Times New Roman" w:hAnsi="Times New Roman"/>
          <w:sz w:val="24"/>
        </w:rPr>
        <w:t>元</w:t>
      </w:r>
    </w:p>
    <w:p w14:paraId="6FD010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赎回金额</w:t>
      </w:r>
      <w:r>
        <w:rPr>
          <w:rFonts w:ascii="Times New Roman" w:hAnsi="Times New Roman"/>
          <w:sz w:val="24"/>
        </w:rPr>
        <w:t>=100,000×1.0160-304.80</w:t>
      </w:r>
      <w:r>
        <w:rPr>
          <w:rFonts w:ascii="Times New Roman" w:hAnsi="Times New Roman"/>
          <w:sz w:val="24"/>
        </w:rPr>
        <w:t>＝</w:t>
      </w:r>
      <w:r>
        <w:rPr>
          <w:rFonts w:ascii="Times New Roman" w:hAnsi="Times New Roman"/>
          <w:sz w:val="24"/>
        </w:rPr>
        <w:t>101,295.20</w:t>
      </w:r>
      <w:r>
        <w:rPr>
          <w:rFonts w:ascii="Times New Roman" w:hAnsi="Times New Roman"/>
          <w:sz w:val="24"/>
        </w:rPr>
        <w:t>元</w:t>
      </w:r>
    </w:p>
    <w:p w14:paraId="1C0736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类基金份额，对应的赎回费率为</w:t>
      </w:r>
      <w:r>
        <w:rPr>
          <w:rFonts w:ascii="Times New Roman" w:hAnsi="Times New Roman"/>
          <w:sz w:val="24"/>
        </w:rPr>
        <w:t>0.3%</w:t>
      </w:r>
      <w:r>
        <w:rPr>
          <w:rFonts w:ascii="Times New Roman" w:hAnsi="Times New Roman"/>
          <w:sz w:val="24"/>
        </w:rPr>
        <w:t>，假设赎回当日</w:t>
      </w:r>
      <w:r>
        <w:rPr>
          <w:rFonts w:ascii="Times New Roman" w:hAnsi="Times New Roman"/>
          <w:sz w:val="24"/>
        </w:rPr>
        <w:t>A</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101,295.20</w:t>
      </w:r>
      <w:r>
        <w:rPr>
          <w:rFonts w:ascii="Times New Roman" w:hAnsi="Times New Roman"/>
          <w:sz w:val="24"/>
        </w:rPr>
        <w:t>元。</w:t>
      </w:r>
    </w:p>
    <w:p w14:paraId="5BCC344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C</w:t>
      </w:r>
      <w:r>
        <w:rPr>
          <w:rFonts w:ascii="Times New Roman" w:hAnsi="Times New Roman"/>
          <w:sz w:val="24"/>
        </w:rPr>
        <w:t>类基金份额的赎回</w:t>
      </w:r>
    </w:p>
    <w:p w14:paraId="43FF2B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w:t>
      </w:r>
      <w:r>
        <w:rPr>
          <w:rFonts w:ascii="Times New Roman" w:hAnsi="Times New Roman"/>
          <w:sz w:val="24"/>
        </w:rPr>
        <w:t>C</w:t>
      </w:r>
      <w:r>
        <w:rPr>
          <w:rFonts w:ascii="Times New Roman" w:hAnsi="Times New Roman"/>
          <w:sz w:val="24"/>
        </w:rPr>
        <w:t>类基金份额，赎回金额的计算方法如下：</w:t>
      </w:r>
    </w:p>
    <w:p w14:paraId="2F3718F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6FC68E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2F52063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类基金份额，持有</w:t>
      </w:r>
      <w:r>
        <w:rPr>
          <w:rFonts w:ascii="Times New Roman" w:hAnsi="Times New Roman"/>
          <w:sz w:val="24"/>
        </w:rPr>
        <w:t>20</w:t>
      </w:r>
      <w:r>
        <w:rPr>
          <w:rFonts w:ascii="Times New Roman" w:hAnsi="Times New Roman"/>
          <w:sz w:val="24"/>
        </w:rPr>
        <w:t>日，对应的赎回费率为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14:paraId="78C5757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=100,000×1.0160×0.1%</w:t>
      </w:r>
      <w:r>
        <w:rPr>
          <w:rFonts w:ascii="Times New Roman" w:hAnsi="Times New Roman"/>
          <w:sz w:val="24"/>
        </w:rPr>
        <w:t>＝</w:t>
      </w:r>
      <w:r>
        <w:rPr>
          <w:rFonts w:ascii="Times New Roman" w:hAnsi="Times New Roman"/>
          <w:sz w:val="24"/>
        </w:rPr>
        <w:t>101.60</w:t>
      </w:r>
      <w:r>
        <w:rPr>
          <w:rFonts w:ascii="Times New Roman" w:hAnsi="Times New Roman"/>
          <w:sz w:val="24"/>
        </w:rPr>
        <w:t>元</w:t>
      </w:r>
    </w:p>
    <w:p w14:paraId="4A3888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=100,000×1.0160-101.60</w:t>
      </w:r>
      <w:r>
        <w:rPr>
          <w:rFonts w:ascii="Times New Roman" w:hAnsi="Times New Roman"/>
          <w:sz w:val="24"/>
        </w:rPr>
        <w:t>＝</w:t>
      </w:r>
      <w:r>
        <w:rPr>
          <w:rFonts w:ascii="Times New Roman" w:hAnsi="Times New Roman"/>
          <w:sz w:val="24"/>
        </w:rPr>
        <w:t>101,498.40</w:t>
      </w:r>
      <w:r>
        <w:rPr>
          <w:rFonts w:ascii="Times New Roman" w:hAnsi="Times New Roman"/>
          <w:sz w:val="24"/>
        </w:rPr>
        <w:t>元</w:t>
      </w:r>
    </w:p>
    <w:p w14:paraId="75E17B5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101,498.40</w:t>
      </w:r>
      <w:r>
        <w:rPr>
          <w:rFonts w:ascii="Times New Roman" w:hAnsi="Times New Roman"/>
          <w:sz w:val="24"/>
        </w:rPr>
        <w:t>元。</w:t>
      </w:r>
    </w:p>
    <w:p w14:paraId="6646A9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3FDDAFC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类基金份额净值＝</w:t>
      </w:r>
      <w:r>
        <w:rPr>
          <w:rFonts w:ascii="Times New Roman" w:hAnsi="Times New Roman"/>
          <w:sz w:val="24"/>
        </w:rPr>
        <w:t>A</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A</w:t>
      </w:r>
      <w:r>
        <w:rPr>
          <w:rFonts w:ascii="Times New Roman" w:hAnsi="Times New Roman"/>
          <w:sz w:val="24"/>
        </w:rPr>
        <w:t>类基金份额总数</w:t>
      </w:r>
    </w:p>
    <w:p w14:paraId="36AC69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类基金份额净值＝</w:t>
      </w:r>
      <w:r>
        <w:rPr>
          <w:rFonts w:ascii="Times New Roman" w:hAnsi="Times New Roman"/>
          <w:sz w:val="24"/>
        </w:rPr>
        <w:t>C</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C</w:t>
      </w:r>
      <w:r>
        <w:rPr>
          <w:rFonts w:ascii="Times New Roman" w:hAnsi="Times New Roman"/>
          <w:sz w:val="24"/>
        </w:rPr>
        <w:t>类基金份额总数</w:t>
      </w:r>
    </w:p>
    <w:p w14:paraId="0F475E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T+1</w:t>
      </w:r>
      <w:r>
        <w:rPr>
          <w:rFonts w:ascii="Times New Roman" w:hAnsi="Times New Roman"/>
          <w:sz w:val="24"/>
        </w:rPr>
        <w:t>日（包括该日）内公告。遇特殊情况，经履行适当程序，可以适当延迟计算或公告。本基金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类基金份额的基金份额净值的计算，保留到小数点后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位四舍五入，由此产生的收益或损失由基金财产承担。</w:t>
      </w:r>
    </w:p>
    <w:p w14:paraId="400176F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w:t>
      </w:r>
    </w:p>
    <w:p w14:paraId="133CF3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发生下列情况时，基金管理人可拒绝或暂停接受投资人的申购申请：</w:t>
      </w:r>
    </w:p>
    <w:p w14:paraId="2467FA3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14:paraId="43F7AFC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14:paraId="101F59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w:t>
      </w:r>
      <w:r>
        <w:rPr>
          <w:rFonts w:ascii="Times New Roman" w:hAnsi="Times New Roman"/>
          <w:sz w:val="24"/>
        </w:rPr>
        <w:t>/</w:t>
      </w:r>
      <w:r>
        <w:rPr>
          <w:rFonts w:ascii="Times New Roman" w:hAnsi="Times New Roman"/>
          <w:sz w:val="24"/>
        </w:rPr>
        <w:t>期货交易所交易时间非正常停市，导致基金管理人无法计算当日基金资产净值。</w:t>
      </w:r>
    </w:p>
    <w:p w14:paraId="1DB0FF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14:paraId="2A55946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5</w:t>
      </w:r>
      <w:r>
        <w:rPr>
          <w:rFonts w:ascii="Times New Roman" w:hAnsi="Times New Roman"/>
          <w:sz w:val="24"/>
        </w:rPr>
        <w:t>、基金资产规模过大，使基金管理人无法找到合适的投资品种，或其他可能对基金业绩产生负面影响，或发生其他损害现有基金份额持有人利益的情形。</w:t>
      </w:r>
    </w:p>
    <w:p w14:paraId="302B5E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、基金管理人、基金托管人、基金销售机构、基金销售支付结算机构或登记机构的异常情况导致基金销售系统、基金销售支付结算系统、基金注册登记系统或基金会计系统无法正常运行。</w:t>
      </w:r>
    </w:p>
    <w:p w14:paraId="0AC3233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公允价值存在重大不确定性时，经与基金托管人协商确认后，基金管理人应当暂停接受基金申购申请。</w:t>
      </w:r>
    </w:p>
    <w:p w14:paraId="7B2B95D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集中度的。出现上述情形时，基金管理人有权将上述申购申请全部或部分确认失败。</w:t>
      </w:r>
    </w:p>
    <w:p w14:paraId="521FC87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、法律法规规定、中国证监会认定或基金合同约定的其他情形。</w:t>
      </w:r>
    </w:p>
    <w:p w14:paraId="285A978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9</w:t>
      </w:r>
      <w:r>
        <w:rPr>
          <w:rFonts w:ascii="Times New Roman" w:hAnsi="Times New Roman"/>
          <w:sz w:val="24"/>
        </w:rPr>
        <w:t>项暂停申购情形之一</w:t>
      </w:r>
      <w:proofErr w:type="gramStart"/>
      <w:r>
        <w:rPr>
          <w:rFonts w:ascii="Times New Roman" w:hAnsi="Times New Roman"/>
          <w:sz w:val="24"/>
        </w:rPr>
        <w:t>且基金</w:t>
      </w:r>
      <w:proofErr w:type="gramEnd"/>
      <w:r>
        <w:rPr>
          <w:rFonts w:ascii="Times New Roman" w:hAnsi="Times New Roman"/>
          <w:sz w:val="24"/>
        </w:rPr>
        <w:t>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36732FFE"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（九）暂停赎回或延缓支付赎回款项的情形</w:t>
      </w:r>
    </w:p>
    <w:p w14:paraId="7C04ED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14:paraId="642A6D5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14:paraId="4AB123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14:paraId="08B48C3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w:t>
      </w:r>
      <w:r>
        <w:rPr>
          <w:rFonts w:ascii="Times New Roman" w:hAnsi="Times New Roman"/>
          <w:sz w:val="24"/>
        </w:rPr>
        <w:t>/</w:t>
      </w:r>
      <w:r>
        <w:rPr>
          <w:rFonts w:ascii="Times New Roman" w:hAnsi="Times New Roman"/>
          <w:sz w:val="24"/>
        </w:rPr>
        <w:t>期货交易所交易时间非正常停市，导致基金管理人无法计算当日基金资产净值。</w:t>
      </w:r>
    </w:p>
    <w:p w14:paraId="1173ADD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14:paraId="1DE0C9C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、发生继续接受赎回申请将损害现有基金份额持有人利益的情形时，基金管理人可暂停接受基金份额持有人的赎回申请。</w:t>
      </w:r>
    </w:p>
    <w:p w14:paraId="53A8B0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、指数编制单位或指数发布机构因异常情况使指数数据无法正常计算、计算错误或发布异常时。</w:t>
      </w:r>
    </w:p>
    <w:p w14:paraId="0996715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w:t>
      </w:r>
      <w:r>
        <w:rPr>
          <w:rFonts w:ascii="Times New Roman" w:hAnsi="Times New Roman"/>
          <w:sz w:val="24"/>
        </w:rPr>
        <w:lastRenderedPageBreak/>
        <w:t>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公允价值存在重大不确定性时，经与基金托管人协商确认后，基金管理人应当延缓支付赎回款项或暂停接受基金赎回申请。</w:t>
      </w:r>
    </w:p>
    <w:p w14:paraId="6B8618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、法律法规规定、中国证监会认定或基金合同约定的其他情形。</w:t>
      </w:r>
    </w:p>
    <w:p w14:paraId="1266CBC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w:t>
      </w:r>
      <w:proofErr w:type="gramStart"/>
      <w:r>
        <w:rPr>
          <w:rFonts w:ascii="Times New Roman" w:hAnsi="Times New Roman"/>
          <w:sz w:val="24"/>
        </w:rPr>
        <w:t>且基金</w:t>
      </w:r>
      <w:proofErr w:type="gramEnd"/>
      <w:r>
        <w:rPr>
          <w:rFonts w:ascii="Times New Roman" w:hAnsi="Times New Roman"/>
          <w:sz w:val="24"/>
        </w:rPr>
        <w:t>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CA5677E"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14:paraId="408015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0CC3E4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14:paraId="521B0E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72FBE63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44BC586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089726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一开放日的基金份额净值为基础计算赎回金额，以此类推，直到全部赎回为止。如投资人在提交赎回申请时未作明确选择，投资人未能赎回部分作自动延期赎回处理。</w:t>
      </w:r>
    </w:p>
    <w:p w14:paraId="29BD39F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）本基金如发生巨额赎回且单个开放日内单个基金份额持有人申请赎回的基金份额超过前一开放日的基金总份额的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14:paraId="5B64EF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一开放日的基金份额净值为基础计算赎回金额，以此类推，直到全部赎回为止。</w:t>
      </w:r>
    </w:p>
    <w:p w14:paraId="4A4B95D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50C12D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个工作日，并应当在规定媒介上进行公告。</w:t>
      </w:r>
    </w:p>
    <w:p w14:paraId="1DF00F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14:paraId="1D94C1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当发生上述巨额赎回并延期办理时，基金管理人应当通过邮寄、传真、刊登公告或者通知销售机构代为告知等方式在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日内在规定媒介上刊登公告。</w:t>
      </w:r>
    </w:p>
    <w:p w14:paraId="6ED7AF90"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14:paraId="637728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、发生上述暂停申购或赎回情况的，基金管理人应在规定期限内在规定媒介上刊登暂停公告。</w:t>
      </w:r>
    </w:p>
    <w:p w14:paraId="6D61C2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、如发生暂停的时间为</w:t>
      </w:r>
      <w:r>
        <w:rPr>
          <w:rFonts w:ascii="Times New Roman" w:hAnsi="Times New Roman"/>
          <w:sz w:val="24"/>
        </w:rPr>
        <w:t>1</w:t>
      </w:r>
      <w:r>
        <w:rPr>
          <w:rFonts w:ascii="Times New Roman" w:hAnsi="Times New Roman"/>
          <w:sz w:val="24"/>
        </w:rPr>
        <w:t>日，基金管理人应于重新开放日，在规定媒介上刊登基金重新开放申购或赎回公告，并公布最近</w:t>
      </w:r>
      <w:r>
        <w:rPr>
          <w:rFonts w:ascii="Times New Roman" w:hAnsi="Times New Roman"/>
          <w:sz w:val="24"/>
        </w:rPr>
        <w:t>1</w:t>
      </w:r>
      <w:r>
        <w:rPr>
          <w:rFonts w:ascii="Times New Roman" w:hAnsi="Times New Roman"/>
          <w:sz w:val="24"/>
        </w:rPr>
        <w:t>个开放日的各类基金份额净值。</w:t>
      </w:r>
    </w:p>
    <w:p w14:paraId="5A7485A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、如发生暂停的时间超过</w:t>
      </w:r>
      <w:r>
        <w:rPr>
          <w:rFonts w:ascii="Times New Roman" w:hAnsi="Times New Roman"/>
          <w:sz w:val="24"/>
        </w:rPr>
        <w:t>1</w:t>
      </w:r>
      <w:r>
        <w:rPr>
          <w:rFonts w:ascii="Times New Roman" w:hAnsi="Times New Roman"/>
          <w:sz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43378E77"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w:t>
      </w:r>
      <w:proofErr w:type="gramStart"/>
      <w:r w:rsidRPr="00BB248E">
        <w:rPr>
          <w:rFonts w:ascii="宋体" w:hAnsi="宋体" w:hint="eastAsia"/>
          <w:b/>
          <w:szCs w:val="24"/>
        </w:rPr>
        <w:t>非交易</w:t>
      </w:r>
      <w:proofErr w:type="gramEnd"/>
      <w:r w:rsidRPr="00BB248E">
        <w:rPr>
          <w:rFonts w:ascii="宋体" w:hAnsi="宋体" w:hint="eastAsia"/>
          <w:b/>
          <w:szCs w:val="24"/>
        </w:rPr>
        <w:t>过户</w:t>
      </w:r>
    </w:p>
    <w:p w14:paraId="456133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w:t>
      </w:r>
      <w:proofErr w:type="gramStart"/>
      <w:r>
        <w:rPr>
          <w:rFonts w:ascii="Times New Roman" w:hAnsi="Times New Roman"/>
          <w:sz w:val="24"/>
        </w:rPr>
        <w:t>非交易</w:t>
      </w:r>
      <w:proofErr w:type="gramEnd"/>
      <w:r>
        <w:rPr>
          <w:rFonts w:ascii="Times New Roman" w:hAnsi="Times New Roman"/>
          <w:sz w:val="24"/>
        </w:rPr>
        <w:t>过户是指基金登记机构受理继承、捐赠和司法强制执行等情形而</w:t>
      </w:r>
      <w:r>
        <w:rPr>
          <w:rFonts w:ascii="Times New Roman" w:hAnsi="Times New Roman"/>
          <w:sz w:val="24"/>
        </w:rPr>
        <w:lastRenderedPageBreak/>
        <w:t>产生的</w:t>
      </w:r>
      <w:proofErr w:type="gramStart"/>
      <w:r>
        <w:rPr>
          <w:rFonts w:ascii="Times New Roman" w:hAnsi="Times New Roman"/>
          <w:sz w:val="24"/>
        </w:rPr>
        <w:t>非交易</w:t>
      </w:r>
      <w:proofErr w:type="gramEnd"/>
      <w:r>
        <w:rPr>
          <w:rFonts w:ascii="Times New Roman" w:hAnsi="Times New Roman"/>
          <w:sz w:val="24"/>
        </w:rPr>
        <w:t>过户以及登记机构认可、符合法律法规的其它</w:t>
      </w:r>
      <w:proofErr w:type="gramStart"/>
      <w:r>
        <w:rPr>
          <w:rFonts w:ascii="Times New Roman" w:hAnsi="Times New Roman"/>
          <w:sz w:val="24"/>
        </w:rPr>
        <w:t>非交易</w:t>
      </w:r>
      <w:proofErr w:type="gramEnd"/>
      <w:r>
        <w:rPr>
          <w:rFonts w:ascii="Times New Roman" w:hAnsi="Times New Roman"/>
          <w:sz w:val="24"/>
        </w:rPr>
        <w:t>过户。无论在上述何种情况下，接受划转的主体必须是依法可以持有本</w:t>
      </w:r>
      <w:proofErr w:type="gramStart"/>
      <w:r>
        <w:rPr>
          <w:rFonts w:ascii="Times New Roman" w:hAnsi="Times New Roman"/>
          <w:sz w:val="24"/>
        </w:rPr>
        <w:t>基金基金</w:t>
      </w:r>
      <w:proofErr w:type="gramEnd"/>
      <w:r>
        <w:rPr>
          <w:rFonts w:ascii="Times New Roman" w:hAnsi="Times New Roman"/>
          <w:sz w:val="24"/>
        </w:rPr>
        <w:t>份额的投资人。</w:t>
      </w:r>
    </w:p>
    <w:p w14:paraId="3CFA53D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w:t>
      </w:r>
      <w:proofErr w:type="gramStart"/>
      <w:r>
        <w:rPr>
          <w:rFonts w:ascii="Times New Roman" w:hAnsi="Times New Roman"/>
          <w:sz w:val="24"/>
        </w:rPr>
        <w:t>捐赠指</w:t>
      </w:r>
      <w:proofErr w:type="gramEnd"/>
      <w:r>
        <w:rPr>
          <w:rFonts w:ascii="Times New Roman" w:hAnsi="Times New Roman"/>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Times New Roman" w:hAnsi="Times New Roman"/>
          <w:sz w:val="24"/>
        </w:rPr>
        <w:t>非交易</w:t>
      </w:r>
      <w:proofErr w:type="gramEnd"/>
      <w:r>
        <w:rPr>
          <w:rFonts w:ascii="Times New Roman" w:hAnsi="Times New Roman"/>
          <w:sz w:val="24"/>
        </w:rPr>
        <w:t>过户必须提供基金登记机构要求提供的相关资料，对于符合条件的</w:t>
      </w:r>
      <w:proofErr w:type="gramStart"/>
      <w:r>
        <w:rPr>
          <w:rFonts w:ascii="Times New Roman" w:hAnsi="Times New Roman"/>
          <w:sz w:val="24"/>
        </w:rPr>
        <w:t>非交易过户申请按</w:t>
      </w:r>
      <w:proofErr w:type="gramEnd"/>
      <w:r>
        <w:rPr>
          <w:rFonts w:ascii="Times New Roman" w:hAnsi="Times New Roman"/>
          <w:sz w:val="24"/>
        </w:rPr>
        <w:t>基金登记机构的规定办理，并按基金登记机构规定的标准收费。</w:t>
      </w:r>
    </w:p>
    <w:p w14:paraId="6A7009E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（十三）基金的转托管</w:t>
      </w:r>
    </w:p>
    <w:p w14:paraId="673964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14:paraId="1FE08DF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（十四）定期定额投资计划</w:t>
      </w:r>
    </w:p>
    <w:p w14:paraId="04B22D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2958266"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（十五）基金份额的冻结和解冻</w:t>
      </w:r>
    </w:p>
    <w:p w14:paraId="7CB84F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基金登记机构只受理国家有权机关依法要求的基金份额的冻结与解冻，以及登记机构认可、符合法律法规的其他情况下的冻结与解冻。</w:t>
      </w:r>
    </w:p>
    <w:p w14:paraId="45BFA6A9"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（十六）基金份额的转让</w:t>
      </w:r>
    </w:p>
    <w:p w14:paraId="646971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C450E8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（十七）其他业务</w:t>
      </w:r>
    </w:p>
    <w:p w14:paraId="404A508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E00AAA0"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A9EBCEC" w14:textId="5F0EAF6C" w:rsidR="00791B53" w:rsidRDefault="002C0D99">
      <w:pPr>
        <w:pStyle w:val="1"/>
        <w:snapToGrid w:val="0"/>
        <w:spacing w:beforeLines="0" w:before="240" w:after="240"/>
        <w:rPr>
          <w:rFonts w:ascii="宋体" w:hAnsi="宋体"/>
          <w:szCs w:val="30"/>
        </w:rPr>
      </w:pPr>
      <w:bookmarkStart w:id="11" w:name="_Toc54104352"/>
      <w:r>
        <w:rPr>
          <w:rFonts w:ascii="Times New Roman" w:hAnsi="Times New Roman"/>
          <w:sz w:val="30"/>
        </w:rPr>
        <w:lastRenderedPageBreak/>
        <w:t>九、基金的转换</w:t>
      </w:r>
      <w:bookmarkEnd w:id="11"/>
    </w:p>
    <w:p w14:paraId="36C2B33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14:paraId="66629D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050549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14:paraId="54CB505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10</w:t>
      </w:r>
      <w:r>
        <w:rPr>
          <w:rFonts w:ascii="Times New Roman" w:hAnsi="Times New Roman"/>
          <w:sz w:val="24"/>
        </w:rPr>
        <w:t>日刊登公告自</w:t>
      </w:r>
      <w:r>
        <w:rPr>
          <w:rFonts w:ascii="Times New Roman" w:hAnsi="Times New Roman"/>
          <w:sz w:val="24"/>
        </w:rPr>
        <w:t>2020</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13</w:t>
      </w:r>
      <w:r>
        <w:rPr>
          <w:rFonts w:ascii="Times New Roman" w:hAnsi="Times New Roman"/>
          <w:sz w:val="24"/>
        </w:rPr>
        <w:t>日起开放日常转换业务。办理基金间转换的时间为上海证券交易所、深圳证券交易所交易日。若出现新的证券交易市场或交易所交易时间更改或其它原因，基金管理人将视情况进行相应的调整并公告。</w:t>
      </w:r>
    </w:p>
    <w:p w14:paraId="16D53D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DABA7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0D5260A3"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14:paraId="2C5200E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60F9F79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709C02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2C1977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68109C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604C3D75"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14:paraId="67DE93E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w:t>
      </w:r>
      <w:proofErr w:type="gramStart"/>
      <w:r>
        <w:rPr>
          <w:rFonts w:ascii="Times New Roman" w:hAnsi="Times New Roman"/>
          <w:sz w:val="24"/>
        </w:rPr>
        <w:t>归基金</w:t>
      </w:r>
      <w:proofErr w:type="gramEnd"/>
      <w:r>
        <w:rPr>
          <w:rFonts w:ascii="Times New Roman" w:hAnsi="Times New Roman"/>
          <w:sz w:val="24"/>
        </w:rPr>
        <w:t>财产。</w:t>
      </w:r>
    </w:p>
    <w:p w14:paraId="60DC31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7A7314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w:t>
      </w:r>
      <w:proofErr w:type="gramStart"/>
      <w:r>
        <w:rPr>
          <w:rFonts w:ascii="Times New Roman" w:hAnsi="Times New Roman"/>
          <w:sz w:val="24"/>
        </w:rPr>
        <w:t>基金基金</w:t>
      </w:r>
      <w:proofErr w:type="gramEnd"/>
      <w:r>
        <w:rPr>
          <w:rFonts w:ascii="Times New Roman" w:hAnsi="Times New Roman"/>
          <w:sz w:val="24"/>
        </w:rPr>
        <w:t>份额余额少于该基金的最低保留余额时，若当日该账户同时有该基金的基金份额减少类业务（如赎回、转换出等）被确认，基金管理人有权将投资人在该账户保留的该</w:t>
      </w:r>
      <w:proofErr w:type="gramStart"/>
      <w:r>
        <w:rPr>
          <w:rFonts w:ascii="Times New Roman" w:hAnsi="Times New Roman"/>
          <w:sz w:val="24"/>
        </w:rPr>
        <w:t>基金基金</w:t>
      </w:r>
      <w:proofErr w:type="gramEnd"/>
      <w:r>
        <w:rPr>
          <w:rFonts w:ascii="Times New Roman" w:hAnsi="Times New Roman"/>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2BE66B70"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14:paraId="41B461C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4017208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5248893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3C565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06CAAA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7FA32A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44761C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Times New Roman" w:hAnsi="Times New Roman"/>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2410F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14EC880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12C12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具体转换业务规则、程序和数额限制，以及转换费率水平、基金转换份额的计算公式和</w:t>
      </w:r>
      <w:proofErr w:type="gramStart"/>
      <w:r>
        <w:rPr>
          <w:rFonts w:ascii="Times New Roman" w:hAnsi="Times New Roman"/>
          <w:sz w:val="24"/>
        </w:rPr>
        <w:t>举例请</w:t>
      </w:r>
      <w:proofErr w:type="gramEnd"/>
      <w:r>
        <w:rPr>
          <w:rFonts w:ascii="Times New Roman" w:hAnsi="Times New Roman"/>
          <w:sz w:val="24"/>
        </w:rPr>
        <w:t>参见本基金管理人网站（</w:t>
      </w:r>
      <w:r>
        <w:rPr>
          <w:rFonts w:ascii="Times New Roman" w:hAnsi="Times New Roman"/>
          <w:sz w:val="24"/>
        </w:rPr>
        <w:t>www.fund001.com</w:t>
      </w:r>
      <w:r>
        <w:rPr>
          <w:rFonts w:ascii="Times New Roman" w:hAnsi="Times New Roman"/>
          <w:sz w:val="24"/>
        </w:rPr>
        <w:t>）列示的相关基金转换业务规则、转换费率表或相关公告。</w:t>
      </w:r>
    </w:p>
    <w:p w14:paraId="22BC3C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、本基金管理人可以根据法律法规及基金合同的规定对上述转换费用收费方式和费率进行调整，并应于调整后的收费方式和费率实施前依照《信息披露办法》的有关规定在中国证监会指定媒介上公告。</w:t>
      </w:r>
    </w:p>
    <w:p w14:paraId="2A6DEAA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14:paraId="55CF51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0D7181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567E28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40ED5F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6D70F7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21C3E19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72B1DB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2C4B57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617793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w:t>
      </w:r>
      <w:proofErr w:type="gramStart"/>
      <w:r>
        <w:rPr>
          <w:rFonts w:ascii="Times New Roman" w:hAnsi="Times New Roman"/>
          <w:sz w:val="24"/>
        </w:rPr>
        <w:t>待支付</w:t>
      </w:r>
      <w:proofErr w:type="gramEnd"/>
      <w:r>
        <w:rPr>
          <w:rFonts w:ascii="Times New Roman" w:hAnsi="Times New Roman"/>
          <w:sz w:val="24"/>
        </w:rPr>
        <w:t>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4369497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w:t>
      </w:r>
      <w:r>
        <w:rPr>
          <w:rFonts w:ascii="Times New Roman" w:hAnsi="Times New Roman"/>
          <w:sz w:val="24"/>
        </w:rPr>
        <w:lastRenderedPageBreak/>
        <w:t>五入，误差部分</w:t>
      </w:r>
      <w:proofErr w:type="gramStart"/>
      <w:r>
        <w:rPr>
          <w:rFonts w:ascii="Times New Roman" w:hAnsi="Times New Roman"/>
          <w:sz w:val="24"/>
        </w:rPr>
        <w:t>归基金</w:t>
      </w:r>
      <w:proofErr w:type="gramEnd"/>
      <w:r>
        <w:rPr>
          <w:rFonts w:ascii="Times New Roman" w:hAnsi="Times New Roman"/>
          <w:sz w:val="24"/>
        </w:rPr>
        <w:t>财产。</w:t>
      </w:r>
    </w:p>
    <w:p w14:paraId="3934FA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proofErr w:type="gramStart"/>
      <w:r>
        <w:rPr>
          <w:rFonts w:ascii="Times New Roman" w:hAnsi="Times New Roman"/>
          <w:sz w:val="24"/>
        </w:rPr>
        <w:t>一</w:t>
      </w:r>
      <w:proofErr w:type="gramEnd"/>
      <w:r>
        <w:rPr>
          <w:rFonts w:ascii="Times New Roman" w:hAnsi="Times New Roman"/>
          <w:sz w:val="24"/>
        </w:rPr>
        <w:t>：某投资者持有交</w:t>
      </w:r>
      <w:proofErr w:type="gramStart"/>
      <w:r>
        <w:rPr>
          <w:rFonts w:ascii="Times New Roman" w:hAnsi="Times New Roman"/>
          <w:sz w:val="24"/>
        </w:rPr>
        <w:t>银趋势</w:t>
      </w:r>
      <w:proofErr w:type="gramEnd"/>
      <w:r>
        <w:rPr>
          <w:rFonts w:ascii="Times New Roman" w:hAnsi="Times New Roman"/>
          <w:sz w:val="24"/>
        </w:rPr>
        <w:t>前端收费模式的基金份额</w:t>
      </w:r>
      <w:r>
        <w:rPr>
          <w:rFonts w:ascii="Times New Roman" w:hAnsi="Times New Roman"/>
          <w:sz w:val="24"/>
        </w:rPr>
        <w:t>100,000</w:t>
      </w:r>
      <w:r>
        <w:rPr>
          <w:rFonts w:ascii="Times New Roman" w:hAnsi="Times New Roman"/>
          <w:sz w:val="24"/>
        </w:rPr>
        <w:t>份，持有期半年，转换申请当日交</w:t>
      </w:r>
      <w:proofErr w:type="gramStart"/>
      <w:r>
        <w:rPr>
          <w:rFonts w:ascii="Times New Roman" w:hAnsi="Times New Roman"/>
          <w:sz w:val="24"/>
        </w:rPr>
        <w:t>银趋势</w:t>
      </w:r>
      <w:proofErr w:type="gramEnd"/>
      <w:r>
        <w:rPr>
          <w:rFonts w:ascii="Times New Roman" w:hAnsi="Times New Roman"/>
          <w:sz w:val="24"/>
        </w:rPr>
        <w:t>的基金份额净值为</w:t>
      </w:r>
      <w:r>
        <w:rPr>
          <w:rFonts w:ascii="Times New Roman" w:hAnsi="Times New Roman"/>
          <w:sz w:val="24"/>
        </w:rPr>
        <w:t>1.010</w:t>
      </w:r>
      <w:r>
        <w:rPr>
          <w:rFonts w:ascii="Times New Roman" w:hAnsi="Times New Roman"/>
          <w:sz w:val="24"/>
        </w:rPr>
        <w:t>元，交</w:t>
      </w:r>
      <w:proofErr w:type="gramStart"/>
      <w:r>
        <w:rPr>
          <w:rFonts w:ascii="Times New Roman" w:hAnsi="Times New Roman"/>
          <w:sz w:val="24"/>
        </w:rPr>
        <w:t>银成长</w:t>
      </w:r>
      <w:proofErr w:type="gramEnd"/>
      <w:r>
        <w:rPr>
          <w:rFonts w:ascii="Times New Roman" w:hAnsi="Times New Roman"/>
          <w:sz w:val="24"/>
        </w:rPr>
        <w:t>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银趋势</w:t>
      </w:r>
      <w:proofErr w:type="gramEnd"/>
      <w:r>
        <w:rPr>
          <w:rFonts w:ascii="Times New Roman" w:hAnsi="Times New Roman"/>
          <w:sz w:val="24"/>
        </w:rPr>
        <w:t>前端基金份额转换为交</w:t>
      </w:r>
      <w:proofErr w:type="gramStart"/>
      <w:r>
        <w:rPr>
          <w:rFonts w:ascii="Times New Roman" w:hAnsi="Times New Roman"/>
          <w:sz w:val="24"/>
        </w:rPr>
        <w:t>银成长</w:t>
      </w:r>
      <w:proofErr w:type="gramEnd"/>
      <w:r>
        <w:rPr>
          <w:rFonts w:ascii="Times New Roman" w:hAnsi="Times New Roman"/>
          <w:sz w:val="24"/>
        </w:rPr>
        <w:t>前端基金份额，则转入交</w:t>
      </w:r>
      <w:proofErr w:type="gramStart"/>
      <w:r>
        <w:rPr>
          <w:rFonts w:ascii="Times New Roman" w:hAnsi="Times New Roman"/>
          <w:sz w:val="24"/>
        </w:rPr>
        <w:t>银成长</w:t>
      </w:r>
      <w:proofErr w:type="gramEnd"/>
      <w:r>
        <w:rPr>
          <w:rFonts w:ascii="Times New Roman" w:hAnsi="Times New Roman"/>
          <w:sz w:val="24"/>
        </w:rPr>
        <w:t>确认的基金份额为：</w:t>
      </w:r>
    </w:p>
    <w:p w14:paraId="407FD1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14:paraId="0294DB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23AC89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2D1B77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11BA0E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29D44F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w:t>
      </w:r>
      <w:proofErr w:type="gramStart"/>
      <w:r>
        <w:rPr>
          <w:rFonts w:ascii="Times New Roman" w:hAnsi="Times New Roman"/>
          <w:sz w:val="24"/>
        </w:rPr>
        <w:t>银趋势</w:t>
      </w:r>
      <w:proofErr w:type="gramEnd"/>
      <w:r>
        <w:rPr>
          <w:rFonts w:ascii="Times New Roman" w:hAnsi="Times New Roman"/>
          <w:sz w:val="24"/>
        </w:rPr>
        <w:t>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w:t>
      </w:r>
      <w:proofErr w:type="gramStart"/>
      <w:r>
        <w:rPr>
          <w:rFonts w:ascii="Times New Roman" w:hAnsi="Times New Roman"/>
          <w:sz w:val="24"/>
        </w:rPr>
        <w:t>银趋势</w:t>
      </w:r>
      <w:proofErr w:type="gramEnd"/>
      <w:r>
        <w:rPr>
          <w:rFonts w:ascii="Times New Roman" w:hAnsi="Times New Roman"/>
          <w:sz w:val="24"/>
        </w:rPr>
        <w:t>前端基金份额，则转入交</w:t>
      </w:r>
      <w:proofErr w:type="gramStart"/>
      <w:r>
        <w:rPr>
          <w:rFonts w:ascii="Times New Roman" w:hAnsi="Times New Roman"/>
          <w:sz w:val="24"/>
        </w:rPr>
        <w:t>银趋势</w:t>
      </w:r>
      <w:proofErr w:type="gramEnd"/>
      <w:r>
        <w:rPr>
          <w:rFonts w:ascii="Times New Roman" w:hAnsi="Times New Roman"/>
          <w:sz w:val="24"/>
        </w:rPr>
        <w:t>确认的基金份额为：</w:t>
      </w:r>
    </w:p>
    <w:p w14:paraId="50FF03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6237A63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0BF15B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455352C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289B42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14:paraId="6744E1C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589657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1AA5AD8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60FF94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47EBE9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4066465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2EA693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w:t>
      </w:r>
      <w:proofErr w:type="gramStart"/>
      <w:r>
        <w:rPr>
          <w:rFonts w:ascii="Times New Roman" w:hAnsi="Times New Roman"/>
          <w:sz w:val="24"/>
        </w:rPr>
        <w:t>待支付</w:t>
      </w:r>
      <w:proofErr w:type="gramEnd"/>
      <w:r>
        <w:rPr>
          <w:rFonts w:ascii="Times New Roman" w:hAnsi="Times New Roman"/>
          <w:sz w:val="24"/>
        </w:rPr>
        <w:t>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lastRenderedPageBreak/>
        <w:t>1.2700</w:t>
      </w:r>
      <w:r>
        <w:rPr>
          <w:rFonts w:ascii="Times New Roman" w:hAnsi="Times New Roman"/>
          <w:sz w:val="24"/>
        </w:rPr>
        <w:t>元，交</w:t>
      </w:r>
      <w:proofErr w:type="gramStart"/>
      <w:r>
        <w:rPr>
          <w:rFonts w:ascii="Times New Roman" w:hAnsi="Times New Roman"/>
          <w:sz w:val="24"/>
        </w:rPr>
        <w:t>银货币</w:t>
      </w:r>
      <w:proofErr w:type="gramEnd"/>
      <w:r>
        <w:rPr>
          <w:rFonts w:ascii="Times New Roman" w:hAnsi="Times New Roman"/>
          <w:sz w:val="24"/>
        </w:rPr>
        <w:t>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4777C8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944E15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4285BA8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1F515A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0EF9A25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19D574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2CDEEE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7F6429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40AB892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0FB896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37621D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4A17BB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0B879D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w:t>
      </w:r>
      <w:proofErr w:type="gramStart"/>
      <w:r>
        <w:rPr>
          <w:rFonts w:ascii="Times New Roman" w:hAnsi="Times New Roman"/>
          <w:sz w:val="24"/>
        </w:rPr>
        <w:t>待支付</w:t>
      </w:r>
      <w:proofErr w:type="gramEnd"/>
      <w:r>
        <w:rPr>
          <w:rFonts w:ascii="Times New Roman" w:hAnsi="Times New Roman"/>
          <w:sz w:val="24"/>
        </w:rPr>
        <w:t>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6CC2BB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w:t>
      </w:r>
      <w:proofErr w:type="gramStart"/>
      <w:r>
        <w:rPr>
          <w:rFonts w:ascii="Times New Roman" w:hAnsi="Times New Roman"/>
          <w:sz w:val="24"/>
        </w:rPr>
        <w:t>归基金</w:t>
      </w:r>
      <w:proofErr w:type="gramEnd"/>
      <w:r>
        <w:rPr>
          <w:rFonts w:ascii="Times New Roman" w:hAnsi="Times New Roman"/>
          <w:sz w:val="24"/>
        </w:rPr>
        <w:t>财产。</w:t>
      </w:r>
    </w:p>
    <w:p w14:paraId="05A404B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w:t>
      </w:r>
      <w:proofErr w:type="gramStart"/>
      <w:r>
        <w:rPr>
          <w:rFonts w:ascii="Times New Roman" w:hAnsi="Times New Roman"/>
          <w:sz w:val="24"/>
        </w:rPr>
        <w:t>银主题</w:t>
      </w:r>
      <w:proofErr w:type="gramEnd"/>
      <w:r>
        <w:rPr>
          <w:rFonts w:ascii="Times New Roman" w:hAnsi="Times New Roman"/>
          <w:sz w:val="24"/>
        </w:rPr>
        <w:t>后端收费模式的基金份额</w:t>
      </w:r>
      <w:r>
        <w:rPr>
          <w:rFonts w:ascii="Times New Roman" w:hAnsi="Times New Roman"/>
          <w:sz w:val="24"/>
        </w:rPr>
        <w:t>100,000</w:t>
      </w:r>
      <w:r>
        <w:rPr>
          <w:rFonts w:ascii="Times New Roman" w:hAnsi="Times New Roman"/>
          <w:sz w:val="24"/>
        </w:rPr>
        <w:t>份，持有期一年半，转换申请当日交</w:t>
      </w:r>
      <w:proofErr w:type="gramStart"/>
      <w:r>
        <w:rPr>
          <w:rFonts w:ascii="Times New Roman" w:hAnsi="Times New Roman"/>
          <w:sz w:val="24"/>
        </w:rPr>
        <w:t>银主题</w:t>
      </w:r>
      <w:proofErr w:type="gramEnd"/>
      <w:r>
        <w:rPr>
          <w:rFonts w:ascii="Times New Roman" w:hAnsi="Times New Roman"/>
          <w:sz w:val="24"/>
        </w:rPr>
        <w:t>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银主题</w:t>
      </w:r>
      <w:proofErr w:type="gramEnd"/>
      <w:r>
        <w:rPr>
          <w:rFonts w:ascii="Times New Roman" w:hAnsi="Times New Roman"/>
          <w:sz w:val="24"/>
        </w:rPr>
        <w:t>后端基金份额转换为交银稳健后端基金份额，则转入交银稳健确认的基金份额为：</w:t>
      </w:r>
    </w:p>
    <w:p w14:paraId="0055F7C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7D0EC3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3A6B8F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4B70E3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44E50B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21EDCF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w:t>
      </w:r>
      <w:r>
        <w:rPr>
          <w:rFonts w:ascii="Times New Roman" w:hAnsi="Times New Roman"/>
          <w:sz w:val="24"/>
        </w:rPr>
        <w:lastRenderedPageBreak/>
        <w:t>年半，转换申请当日交银先锋的基金份额净值为</w:t>
      </w:r>
      <w:r>
        <w:rPr>
          <w:rFonts w:ascii="Times New Roman" w:hAnsi="Times New Roman"/>
          <w:sz w:val="24"/>
        </w:rPr>
        <w:t>1.2500</w:t>
      </w:r>
      <w:r>
        <w:rPr>
          <w:rFonts w:ascii="Times New Roman" w:hAnsi="Times New Roman"/>
          <w:sz w:val="24"/>
        </w:rPr>
        <w:t>元，交</w:t>
      </w:r>
      <w:proofErr w:type="gramStart"/>
      <w:r>
        <w:rPr>
          <w:rFonts w:ascii="Times New Roman" w:hAnsi="Times New Roman"/>
          <w:sz w:val="24"/>
        </w:rPr>
        <w:t>银货币</w:t>
      </w:r>
      <w:proofErr w:type="gramEnd"/>
      <w:r>
        <w:rPr>
          <w:rFonts w:ascii="Times New Roman" w:hAnsi="Times New Roman"/>
          <w:sz w:val="24"/>
        </w:rPr>
        <w:t>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份交银先锋后端基金份额转换为交银货币，则转入交</w:t>
      </w:r>
      <w:proofErr w:type="gramStart"/>
      <w:r>
        <w:rPr>
          <w:rFonts w:ascii="Times New Roman" w:hAnsi="Times New Roman"/>
          <w:sz w:val="24"/>
        </w:rPr>
        <w:t>银货币</w:t>
      </w:r>
      <w:proofErr w:type="gramEnd"/>
      <w:r>
        <w:rPr>
          <w:rFonts w:ascii="Times New Roman" w:hAnsi="Times New Roman"/>
          <w:sz w:val="24"/>
        </w:rPr>
        <w:t>的基金份额为：</w:t>
      </w:r>
    </w:p>
    <w:p w14:paraId="3B2ED0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0DF0074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4C54A5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6650D25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45A303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19D06E5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6C25FA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14:paraId="0812E2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578982C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516BD4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30D47BD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62A099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w:t>
      </w:r>
      <w:proofErr w:type="gramStart"/>
      <w:r>
        <w:rPr>
          <w:rFonts w:ascii="Times New Roman" w:hAnsi="Times New Roman"/>
          <w:sz w:val="24"/>
        </w:rPr>
        <w:t>待支付</w:t>
      </w:r>
      <w:proofErr w:type="gramEnd"/>
      <w:r>
        <w:rPr>
          <w:rFonts w:ascii="Times New Roman" w:hAnsi="Times New Roman"/>
          <w:sz w:val="24"/>
        </w:rPr>
        <w:t>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w:t>
      </w:r>
      <w:proofErr w:type="gramStart"/>
      <w:r>
        <w:rPr>
          <w:rFonts w:ascii="Times New Roman" w:hAnsi="Times New Roman"/>
          <w:sz w:val="24"/>
        </w:rPr>
        <w:t>银货币</w:t>
      </w:r>
      <w:proofErr w:type="gramEnd"/>
      <w:r>
        <w:rPr>
          <w:rFonts w:ascii="Times New Roman" w:hAnsi="Times New Roman"/>
          <w:sz w:val="24"/>
        </w:rPr>
        <w:t>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w:t>
      </w:r>
      <w:proofErr w:type="gramStart"/>
      <w:r>
        <w:rPr>
          <w:rFonts w:ascii="Times New Roman" w:hAnsi="Times New Roman"/>
          <w:sz w:val="24"/>
        </w:rPr>
        <w:t>银货币</w:t>
      </w:r>
      <w:r>
        <w:rPr>
          <w:rFonts w:ascii="Times New Roman" w:hAnsi="Times New Roman"/>
          <w:sz w:val="24"/>
        </w:rPr>
        <w:t>A</w:t>
      </w:r>
      <w:r>
        <w:rPr>
          <w:rFonts w:ascii="Times New Roman" w:hAnsi="Times New Roman"/>
          <w:sz w:val="24"/>
        </w:rPr>
        <w:t>级基金</w:t>
      </w:r>
      <w:proofErr w:type="gramEnd"/>
      <w:r>
        <w:rPr>
          <w:rFonts w:ascii="Times New Roman" w:hAnsi="Times New Roman"/>
          <w:sz w:val="24"/>
        </w:rPr>
        <w:t>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461EC0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24CB0B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1C82E9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653D4D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7BDF4E1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40C4FD7D"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14:paraId="603D72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w:t>
      </w:r>
      <w:r>
        <w:rPr>
          <w:rFonts w:ascii="Times New Roman" w:hAnsi="Times New Roman"/>
          <w:sz w:val="24"/>
        </w:rPr>
        <w:lastRenderedPageBreak/>
        <w:t>申购状态。</w:t>
      </w:r>
    </w:p>
    <w:p w14:paraId="3060C3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0B2966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w:t>
      </w:r>
      <w:proofErr w:type="gramStart"/>
      <w:r>
        <w:rPr>
          <w:rFonts w:ascii="Times New Roman" w:hAnsi="Times New Roman"/>
          <w:sz w:val="24"/>
        </w:rPr>
        <w:t>固定价</w:t>
      </w:r>
      <w:proofErr w:type="gramEnd"/>
      <w:r>
        <w:rPr>
          <w:rFonts w:ascii="Times New Roman" w:hAnsi="Times New Roman"/>
          <w:sz w:val="24"/>
        </w:rPr>
        <w:t>1.00</w:t>
      </w:r>
      <w:r>
        <w:rPr>
          <w:rFonts w:ascii="Times New Roman" w:hAnsi="Times New Roman"/>
          <w:sz w:val="24"/>
        </w:rPr>
        <w:t>元）。</w:t>
      </w:r>
    </w:p>
    <w:p w14:paraId="4E41D3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w:t>
      </w:r>
      <w:proofErr w:type="gramStart"/>
      <w:r>
        <w:rPr>
          <w:rFonts w:ascii="Times New Roman" w:hAnsi="Times New Roman"/>
          <w:sz w:val="24"/>
        </w:rPr>
        <w:t>待支付</w:t>
      </w:r>
      <w:proofErr w:type="gramEnd"/>
      <w:r>
        <w:rPr>
          <w:rFonts w:ascii="Times New Roman" w:hAnsi="Times New Roman"/>
          <w:sz w:val="24"/>
        </w:rPr>
        <w:t>收益，该收益将一并计入转出金额并折算为转入基金的基金份额，但收益部分不收取转换费用。</w:t>
      </w:r>
    </w:p>
    <w:p w14:paraId="4E50E3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103010DA"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14:paraId="1F0344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5B63E8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单个开放日，基金净赎回申请份额（该基金赎回</w:t>
      </w:r>
      <w:proofErr w:type="gramStart"/>
      <w:r>
        <w:rPr>
          <w:rFonts w:ascii="Times New Roman" w:hAnsi="Times New Roman"/>
          <w:sz w:val="24"/>
        </w:rPr>
        <w:t>申请总</w:t>
      </w:r>
      <w:proofErr w:type="gramEnd"/>
      <w:r>
        <w:rPr>
          <w:rFonts w:ascii="Times New Roman" w:hAnsi="Times New Roman"/>
          <w:sz w:val="24"/>
        </w:rPr>
        <w:t>份额加上基金转换中转出</w:t>
      </w:r>
      <w:proofErr w:type="gramStart"/>
      <w:r>
        <w:rPr>
          <w:rFonts w:ascii="Times New Roman" w:hAnsi="Times New Roman"/>
          <w:sz w:val="24"/>
        </w:rPr>
        <w:t>申请总</w:t>
      </w:r>
      <w:proofErr w:type="gramEnd"/>
      <w:r>
        <w:rPr>
          <w:rFonts w:ascii="Times New Roman" w:hAnsi="Times New Roman"/>
          <w:sz w:val="24"/>
        </w:rPr>
        <w:t>份额扣除申购</w:t>
      </w:r>
      <w:proofErr w:type="gramStart"/>
      <w:r>
        <w:rPr>
          <w:rFonts w:ascii="Times New Roman" w:hAnsi="Times New Roman"/>
          <w:sz w:val="24"/>
        </w:rPr>
        <w:t>申请总</w:t>
      </w:r>
      <w:proofErr w:type="gramEnd"/>
      <w:r>
        <w:rPr>
          <w:rFonts w:ascii="Times New Roman" w:hAnsi="Times New Roman"/>
          <w:sz w:val="24"/>
        </w:rPr>
        <w:t>份额及基金转换中转入</w:t>
      </w:r>
      <w:proofErr w:type="gramStart"/>
      <w:r>
        <w:rPr>
          <w:rFonts w:ascii="Times New Roman" w:hAnsi="Times New Roman"/>
          <w:sz w:val="24"/>
        </w:rPr>
        <w:t>申请总</w:t>
      </w:r>
      <w:proofErr w:type="gramEnd"/>
      <w:r>
        <w:rPr>
          <w:rFonts w:ascii="Times New Roman" w:hAnsi="Times New Roman"/>
          <w:sz w:val="24"/>
        </w:rPr>
        <w:t>份额后的余额）超过上一日基金总份额的</w:t>
      </w:r>
      <w:r>
        <w:rPr>
          <w:rFonts w:ascii="Times New Roman" w:hAnsi="Times New Roman"/>
          <w:sz w:val="24"/>
        </w:rPr>
        <w:t>10%</w:t>
      </w:r>
      <w:r>
        <w:rPr>
          <w:rFonts w:ascii="Times New Roman" w:hAnsi="Times New Roman"/>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2E12237"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EA5FC3" w14:textId="77777777" w:rsidR="00791B53" w:rsidRDefault="002C0D99">
      <w:pPr>
        <w:pStyle w:val="1"/>
        <w:snapToGrid w:val="0"/>
        <w:spacing w:beforeLines="0" w:before="240" w:after="240"/>
        <w:rPr>
          <w:rFonts w:ascii="宋体" w:hAnsi="宋体"/>
          <w:szCs w:val="30"/>
        </w:rPr>
      </w:pPr>
      <w:bookmarkStart w:id="12" w:name="_Toc54104353"/>
      <w:r>
        <w:rPr>
          <w:rFonts w:ascii="Times New Roman" w:hAnsi="Times New Roman"/>
          <w:sz w:val="30"/>
        </w:rPr>
        <w:lastRenderedPageBreak/>
        <w:t>十、基金的投资</w:t>
      </w:r>
      <w:bookmarkEnd w:id="12"/>
    </w:p>
    <w:p w14:paraId="0768962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525445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本基金采用指数</w:t>
      </w:r>
      <w:proofErr w:type="gramStart"/>
      <w:r>
        <w:rPr>
          <w:rFonts w:ascii="Times New Roman" w:hAnsi="Times New Roman"/>
          <w:sz w:val="24"/>
        </w:rPr>
        <w:t>化投资</w:t>
      </w:r>
      <w:proofErr w:type="gramEnd"/>
      <w:r>
        <w:rPr>
          <w:rFonts w:ascii="Times New Roman" w:hAnsi="Times New Roman"/>
          <w:sz w:val="24"/>
        </w:rPr>
        <w:t>策略，紧密跟踪创业板</w:t>
      </w:r>
      <w:r>
        <w:rPr>
          <w:rFonts w:ascii="Times New Roman" w:hAnsi="Times New Roman"/>
          <w:sz w:val="24"/>
        </w:rPr>
        <w:t>50</w:t>
      </w:r>
      <w:r>
        <w:rPr>
          <w:rFonts w:ascii="Times New Roman" w:hAnsi="Times New Roman"/>
          <w:sz w:val="24"/>
        </w:rPr>
        <w:t>指数，追求跟踪偏离度与跟踪误差最小化。</w:t>
      </w:r>
    </w:p>
    <w:p w14:paraId="05EC03D7"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14:paraId="4A5BF9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本基金的投资范围为具有良好流动性的金融工具，包括创业板</w:t>
      </w:r>
      <w:r>
        <w:rPr>
          <w:rFonts w:ascii="Times New Roman" w:hAnsi="Times New Roman"/>
          <w:sz w:val="24"/>
        </w:rPr>
        <w:t>50</w:t>
      </w:r>
      <w:r>
        <w:rPr>
          <w:rFonts w:ascii="Times New Roman" w:hAnsi="Times New Roman"/>
          <w:sz w:val="24"/>
        </w:rPr>
        <w:t>指数的成份股</w:t>
      </w:r>
      <w:r w:rsidR="00C9540F">
        <w:rPr>
          <w:rFonts w:hint="eastAsia"/>
          <w:bCs/>
          <w:sz w:val="24"/>
        </w:rPr>
        <w:t>（</w:t>
      </w:r>
      <w:proofErr w:type="gramStart"/>
      <w:r w:rsidR="00C9540F">
        <w:rPr>
          <w:rFonts w:hint="eastAsia"/>
          <w:bCs/>
          <w:sz w:val="24"/>
        </w:rPr>
        <w:t>含存托</w:t>
      </w:r>
      <w:proofErr w:type="gramEnd"/>
      <w:r w:rsidR="00C9540F">
        <w:rPr>
          <w:rFonts w:hint="eastAsia"/>
          <w:bCs/>
          <w:sz w:val="24"/>
        </w:rPr>
        <w:t>凭证）</w:t>
      </w:r>
      <w:r>
        <w:rPr>
          <w:rFonts w:ascii="Times New Roman" w:hAnsi="Times New Roman"/>
          <w:sz w:val="24"/>
        </w:rPr>
        <w:t>及其备选成份股</w:t>
      </w:r>
      <w:r w:rsidR="00C9540F">
        <w:rPr>
          <w:rFonts w:hint="eastAsia"/>
          <w:bCs/>
          <w:sz w:val="24"/>
        </w:rPr>
        <w:t>（</w:t>
      </w:r>
      <w:proofErr w:type="gramStart"/>
      <w:r w:rsidR="00C9540F">
        <w:rPr>
          <w:rFonts w:hint="eastAsia"/>
          <w:bCs/>
          <w:sz w:val="24"/>
        </w:rPr>
        <w:t>含存托</w:t>
      </w:r>
      <w:proofErr w:type="gramEnd"/>
      <w:r w:rsidR="00C9540F">
        <w:rPr>
          <w:rFonts w:hint="eastAsia"/>
          <w:bCs/>
          <w:sz w:val="24"/>
        </w:rPr>
        <w:t>凭证）</w:t>
      </w:r>
      <w:r>
        <w:rPr>
          <w:rFonts w:ascii="Times New Roman" w:hAnsi="Times New Roman"/>
          <w:sz w:val="24"/>
        </w:rPr>
        <w:t>、其他股票（含中小板、创业板及其他经中国证监会核准上市的股票</w:t>
      </w:r>
      <w:r w:rsidR="00C9540F" w:rsidRPr="00C9540F">
        <w:rPr>
          <w:rFonts w:ascii="Times New Roman" w:hAnsi="Times New Roman" w:hint="eastAsia"/>
          <w:sz w:val="24"/>
        </w:rPr>
        <w:t>、存托凭证</w:t>
      </w:r>
      <w:r>
        <w:rPr>
          <w:rFonts w:ascii="Times New Roman" w:hAnsi="Times New Roman"/>
          <w:sz w:val="24"/>
        </w:rPr>
        <w:t>）、债券（含国债、央行票据、金融债券、政府支持债券、政府支持机构债券、地方政府债券、企业债券、公司债券、可转换债券（</w:t>
      </w:r>
      <w:proofErr w:type="gramStart"/>
      <w:r>
        <w:rPr>
          <w:rFonts w:ascii="Times New Roman" w:hAnsi="Times New Roman"/>
          <w:sz w:val="24"/>
        </w:rPr>
        <w:t>含可分离</w:t>
      </w:r>
      <w:proofErr w:type="gramEnd"/>
      <w:r>
        <w:rPr>
          <w:rFonts w:ascii="Times New Roman" w:hAnsi="Times New Roman"/>
          <w:sz w:val="24"/>
        </w:rPr>
        <w:t>交易可转换债券</w:t>
      </w:r>
      <w:proofErr w:type="gramStart"/>
      <w:r>
        <w:rPr>
          <w:rFonts w:ascii="Times New Roman" w:hAnsi="Times New Roman"/>
          <w:sz w:val="24"/>
        </w:rPr>
        <w:t>的纯债部分</w:t>
      </w:r>
      <w:proofErr w:type="gramEnd"/>
      <w:r>
        <w:rPr>
          <w:rFonts w:ascii="Times New Roman" w:hAnsi="Times New Roman"/>
          <w:sz w:val="24"/>
        </w:rPr>
        <w:t>）、可交换公司债券、公开发行的次级债券、中期票据、短期融资</w:t>
      </w:r>
      <w:proofErr w:type="gramStart"/>
      <w:r>
        <w:rPr>
          <w:rFonts w:ascii="Times New Roman" w:hAnsi="Times New Roman"/>
          <w:sz w:val="24"/>
        </w:rPr>
        <w:t>券</w:t>
      </w:r>
      <w:proofErr w:type="gramEnd"/>
      <w:r>
        <w:rPr>
          <w:rFonts w:ascii="Times New Roman" w:hAnsi="Times New Roman"/>
          <w:sz w:val="24"/>
        </w:rPr>
        <w:t>、超短期融资</w:t>
      </w:r>
      <w:proofErr w:type="gramStart"/>
      <w:r>
        <w:rPr>
          <w:rFonts w:ascii="Times New Roman" w:hAnsi="Times New Roman"/>
          <w:sz w:val="24"/>
        </w:rPr>
        <w:t>券</w:t>
      </w:r>
      <w:proofErr w:type="gramEnd"/>
      <w:r>
        <w:rPr>
          <w:rFonts w:ascii="Times New Roman" w:hAnsi="Times New Roman"/>
          <w:sz w:val="24"/>
        </w:rPr>
        <w:t>等）、资产支持证券、货币市场工具、债券回购、同业存单、银行存款（</w:t>
      </w:r>
      <w:proofErr w:type="gramStart"/>
      <w:r>
        <w:rPr>
          <w:rFonts w:ascii="Times New Roman" w:hAnsi="Times New Roman"/>
          <w:sz w:val="24"/>
        </w:rPr>
        <w:t>含协议</w:t>
      </w:r>
      <w:proofErr w:type="gramEnd"/>
      <w:r>
        <w:rPr>
          <w:rFonts w:ascii="Times New Roman" w:hAnsi="Times New Roman"/>
          <w:sz w:val="24"/>
        </w:rPr>
        <w:t>存款、定期存款及其他银行存款）、股指期货以及法律法规或中国证监会允许基金投资的其他金融工具。</w:t>
      </w:r>
    </w:p>
    <w:p w14:paraId="45748F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14:paraId="23C3E08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基金的投资组合比例为：本基金投资于创业板</w:t>
      </w:r>
      <w:r>
        <w:rPr>
          <w:rFonts w:ascii="Times New Roman" w:hAnsi="Times New Roman"/>
          <w:sz w:val="24"/>
        </w:rPr>
        <w:t>50</w:t>
      </w:r>
      <w:r>
        <w:rPr>
          <w:rFonts w:ascii="Times New Roman" w:hAnsi="Times New Roman"/>
          <w:sz w:val="24"/>
        </w:rPr>
        <w:t>指数成份股</w:t>
      </w:r>
      <w:r w:rsidR="00C9540F">
        <w:rPr>
          <w:rFonts w:hint="eastAsia"/>
          <w:bCs/>
          <w:sz w:val="24"/>
        </w:rPr>
        <w:t>（</w:t>
      </w:r>
      <w:proofErr w:type="gramStart"/>
      <w:r w:rsidR="00C9540F">
        <w:rPr>
          <w:rFonts w:hint="eastAsia"/>
          <w:bCs/>
          <w:sz w:val="24"/>
        </w:rPr>
        <w:t>含存托</w:t>
      </w:r>
      <w:proofErr w:type="gramEnd"/>
      <w:r w:rsidR="00C9540F">
        <w:rPr>
          <w:rFonts w:hint="eastAsia"/>
          <w:bCs/>
          <w:sz w:val="24"/>
        </w:rPr>
        <w:t>凭证）</w:t>
      </w:r>
      <w:r>
        <w:rPr>
          <w:rFonts w:ascii="Times New Roman" w:hAnsi="Times New Roman"/>
          <w:sz w:val="24"/>
        </w:rPr>
        <w:t>及其备选成份股</w:t>
      </w:r>
      <w:r w:rsidR="00C9540F">
        <w:rPr>
          <w:rFonts w:hint="eastAsia"/>
          <w:bCs/>
          <w:sz w:val="24"/>
        </w:rPr>
        <w:t>（</w:t>
      </w:r>
      <w:proofErr w:type="gramStart"/>
      <w:r w:rsidR="00C9540F">
        <w:rPr>
          <w:rFonts w:hint="eastAsia"/>
          <w:bCs/>
          <w:sz w:val="24"/>
        </w:rPr>
        <w:t>含存托</w:t>
      </w:r>
      <w:proofErr w:type="gramEnd"/>
      <w:r w:rsidR="00C9540F">
        <w:rPr>
          <w:rFonts w:hint="eastAsia"/>
          <w:bCs/>
          <w:sz w:val="24"/>
        </w:rPr>
        <w:t>凭证）</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14:paraId="2C89872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3313343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（三）投资策略</w:t>
      </w:r>
    </w:p>
    <w:p w14:paraId="02C719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本基金主要采用组合复制策略及适当的替代性策略以更好的跟踪标的指数，实现基金投资目标。当指数编制方法变更、成份股发生变更、成份股权</w:t>
      </w:r>
      <w:proofErr w:type="gramStart"/>
      <w:r>
        <w:rPr>
          <w:rFonts w:ascii="Times New Roman" w:hAnsi="Times New Roman"/>
          <w:sz w:val="24"/>
        </w:rPr>
        <w:t>重由于</w:t>
      </w:r>
      <w:proofErr w:type="gramEnd"/>
      <w:r>
        <w:rPr>
          <w:rFonts w:ascii="Times New Roman" w:hAnsi="Times New Roman"/>
          <w:sz w:val="24"/>
        </w:rPr>
        <w:t>自由流通量调整而发生变化、成份股派发现金股息、配股及增发、股票长期停牌、市场流动性不足等情况发生时，基金管理人将对投资组合进行优化，尽量降低跟踪误差。</w:t>
      </w:r>
    </w:p>
    <w:p w14:paraId="2B2F857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、组合复制策略</w:t>
      </w:r>
    </w:p>
    <w:p w14:paraId="5920EF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本基金主要采取复制法，即按照标的指数成份股及其权重构建基金的股票投资组合，并根据标的指数成份股及其权重的变动对股票投资组合进行相应地调整。</w:t>
      </w:r>
    </w:p>
    <w:p w14:paraId="5F86FE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、替代性策略</w:t>
      </w:r>
    </w:p>
    <w:p w14:paraId="58DAB0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对于出现市场流动性不足、因法律法规原因个别成份股被限制投资等情况，导致本基金无法获得足够数量的股票时，基金管理人将通过投资成份股、非成份股、成份股个股衍生品等进行替代。</w:t>
      </w:r>
    </w:p>
    <w:p w14:paraId="58AA4F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、股指期货投资策略</w:t>
      </w:r>
    </w:p>
    <w:p w14:paraId="18BD2B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本基金投资股指期货将根据风险管理的原则，以套期保值为目的，主要选择流动性好、交易活跃的股指期货合约，以降低股票</w:t>
      </w:r>
      <w:proofErr w:type="gramStart"/>
      <w:r>
        <w:rPr>
          <w:rFonts w:ascii="Times New Roman" w:hAnsi="Times New Roman"/>
          <w:sz w:val="24"/>
        </w:rPr>
        <w:t>仓位</w:t>
      </w:r>
      <w:proofErr w:type="gramEnd"/>
      <w:r>
        <w:rPr>
          <w:rFonts w:ascii="Times New Roman" w:hAnsi="Times New Roman"/>
          <w:sz w:val="24"/>
        </w:rPr>
        <w:t>调整的交易成本，提高投资效率，从而更好地跟踪标的指数，实现投资目标。</w:t>
      </w:r>
    </w:p>
    <w:p w14:paraId="2C39C1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在正常市场情况下，力争控制本基金日均跟踪偏离度的绝对值不超过</w:t>
      </w:r>
      <w:r>
        <w:rPr>
          <w:rFonts w:ascii="Times New Roman" w:hAnsi="Times New Roman"/>
          <w:sz w:val="24"/>
        </w:rPr>
        <w:t>0.35%</w:t>
      </w:r>
      <w:r>
        <w:rPr>
          <w:rFonts w:ascii="Times New Roman" w:hAnsi="Times New Roman"/>
          <w:sz w:val="24"/>
        </w:rPr>
        <w:t>，年跟踪误差不超过</w:t>
      </w:r>
      <w:r>
        <w:rPr>
          <w:rFonts w:ascii="Times New Roman" w:hAnsi="Times New Roman"/>
          <w:sz w:val="24"/>
        </w:rPr>
        <w:t>4%</w:t>
      </w:r>
      <w:r>
        <w:rPr>
          <w:rFonts w:ascii="Times New Roman" w:hAnsi="Times New Roman"/>
          <w:sz w:val="24"/>
        </w:rPr>
        <w:t>。在条件允许的情况下，本基金也可以适当参与创业板</w:t>
      </w:r>
      <w:r>
        <w:rPr>
          <w:rFonts w:ascii="Times New Roman" w:hAnsi="Times New Roman"/>
          <w:sz w:val="24"/>
        </w:rPr>
        <w:t>50</w:t>
      </w:r>
      <w:r>
        <w:rPr>
          <w:rFonts w:ascii="Times New Roman" w:hAnsi="Times New Roman"/>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3EB9D3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、资产支持证券投资策略</w:t>
      </w:r>
    </w:p>
    <w:p w14:paraId="79EC4ED8" w14:textId="77777777" w:rsidR="00791B53"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基金将通过宏观经济、提前偿还率、资产</w:t>
      </w:r>
      <w:proofErr w:type="gramStart"/>
      <w:r>
        <w:rPr>
          <w:rFonts w:ascii="Times New Roman" w:hAnsi="Times New Roman"/>
          <w:sz w:val="24"/>
        </w:rPr>
        <w:t>池结构</w:t>
      </w:r>
      <w:proofErr w:type="gramEnd"/>
      <w:r>
        <w:rPr>
          <w:rFonts w:ascii="Times New Roman" w:hAnsi="Times New Roman"/>
          <w:sz w:val="24"/>
        </w:rPr>
        <w:t>及资产</w:t>
      </w:r>
      <w:proofErr w:type="gramStart"/>
      <w:r>
        <w:rPr>
          <w:rFonts w:ascii="Times New Roman" w:hAnsi="Times New Roman"/>
          <w:sz w:val="24"/>
        </w:rPr>
        <w:t>池资产</w:t>
      </w:r>
      <w:proofErr w:type="gramEnd"/>
      <w:r>
        <w:rPr>
          <w:rFonts w:ascii="Times New Roman" w:hAnsi="Times New Roman"/>
          <w:sz w:val="24"/>
        </w:rPr>
        <w:t>所在行业景气变化等因素的研究，预测资产</w:t>
      </w:r>
      <w:proofErr w:type="gramStart"/>
      <w:r>
        <w:rPr>
          <w:rFonts w:ascii="Times New Roman" w:hAnsi="Times New Roman"/>
          <w:sz w:val="24"/>
        </w:rPr>
        <w:t>池未来</w:t>
      </w:r>
      <w:proofErr w:type="gramEnd"/>
      <w:r>
        <w:rPr>
          <w:rFonts w:ascii="Times New Roman" w:hAnsi="Times New Roman"/>
          <w:sz w:val="24"/>
        </w:rPr>
        <w:t>现金流变化；研究标的证券发行条款，预测提前偿还率变化对标的证券</w:t>
      </w:r>
      <w:proofErr w:type="gramStart"/>
      <w:r>
        <w:rPr>
          <w:rFonts w:ascii="Times New Roman" w:hAnsi="Times New Roman"/>
          <w:sz w:val="24"/>
        </w:rPr>
        <w:t>的久期与</w:t>
      </w:r>
      <w:proofErr w:type="gramEnd"/>
      <w:r>
        <w:rPr>
          <w:rFonts w:ascii="Times New Roman" w:hAnsi="Times New Roman"/>
          <w:sz w:val="24"/>
        </w:rPr>
        <w:t>收益率的影响，同时密切关注流动性对标的证券收益率的影响。综合</w:t>
      </w:r>
      <w:proofErr w:type="gramStart"/>
      <w:r>
        <w:rPr>
          <w:rFonts w:ascii="Times New Roman" w:hAnsi="Times New Roman"/>
          <w:sz w:val="24"/>
        </w:rPr>
        <w:t>运用久期管理</w:t>
      </w:r>
      <w:proofErr w:type="gramEnd"/>
      <w:r>
        <w:rPr>
          <w:rFonts w:ascii="Times New Roman" w:hAnsi="Times New Roman"/>
          <w:sz w:val="24"/>
        </w:rPr>
        <w:t>、收益率曲线、</w:t>
      </w:r>
      <w:proofErr w:type="gramStart"/>
      <w:r>
        <w:rPr>
          <w:rFonts w:ascii="Times New Roman" w:hAnsi="Times New Roman"/>
          <w:sz w:val="24"/>
        </w:rPr>
        <w:t>个券</w:t>
      </w:r>
      <w:proofErr w:type="gramEnd"/>
      <w:r>
        <w:rPr>
          <w:rFonts w:ascii="Times New Roman" w:hAnsi="Times New Roman"/>
          <w:sz w:val="24"/>
        </w:rPr>
        <w:t>选择和把握市场交易机会等积极策略，在严格控制风险的情况下，通过信用研究和流动性管理，选择风险调整后的收益高的品种进行投资，以期获得长期稳定收益。</w:t>
      </w:r>
    </w:p>
    <w:p w14:paraId="7999A9CE" w14:textId="77777777" w:rsidR="00C9540F" w:rsidRPr="00DD5CB1" w:rsidRDefault="00C9540F" w:rsidP="00C9540F">
      <w:pPr>
        <w:adjustRightInd w:val="0"/>
        <w:snapToGrid w:val="0"/>
        <w:spacing w:line="360" w:lineRule="auto"/>
        <w:ind w:firstLineChars="200" w:firstLine="480"/>
        <w:rPr>
          <w:rFonts w:ascii="宋体" w:hAnsi="宋体"/>
          <w:bCs/>
          <w:sz w:val="24"/>
        </w:rPr>
      </w:pPr>
      <w:r w:rsidRPr="00DD5CB1">
        <w:rPr>
          <w:rFonts w:ascii="宋体" w:hAnsi="宋体" w:hint="eastAsia"/>
          <w:bCs/>
          <w:sz w:val="24"/>
        </w:rPr>
        <w:t>5、存托凭证投资策略</w:t>
      </w:r>
    </w:p>
    <w:p w14:paraId="17142F10" w14:textId="77777777" w:rsidR="00C9540F" w:rsidRDefault="00C9540F" w:rsidP="00C9540F">
      <w:pPr>
        <w:autoSpaceDE w:val="0"/>
        <w:autoSpaceDN w:val="0"/>
        <w:adjustRightInd w:val="0"/>
        <w:snapToGrid w:val="0"/>
        <w:spacing w:line="360" w:lineRule="auto"/>
        <w:ind w:firstLineChars="200" w:firstLine="480"/>
        <w:rPr>
          <w:rFonts w:ascii="宋体" w:hAnsi="宋体"/>
          <w:szCs w:val="24"/>
        </w:rPr>
      </w:pPr>
      <w:r w:rsidRPr="00DD5CB1">
        <w:rPr>
          <w:rFonts w:ascii="宋体" w:hAnsi="宋体" w:hint="eastAsia"/>
          <w:bCs/>
          <w:sz w:val="24"/>
        </w:rPr>
        <w:t>本基金投资存托凭证的策略依照境内上市交易的股票投资策略执行。</w:t>
      </w:r>
    </w:p>
    <w:p w14:paraId="7C5E29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未来，随着投资工具的发展和丰富，基金管理人可以在不改变投资目标的前提下，相应调整和更新相关投资策略，并在招募说明书中更新，而无需召开基金份额持有人大会。</w:t>
      </w:r>
    </w:p>
    <w:p w14:paraId="436E6936"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（四）投资限制</w:t>
      </w:r>
    </w:p>
    <w:p w14:paraId="7DC7110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14:paraId="58E6617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14:paraId="1936C7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）本基金投资于创业板</w:t>
      </w:r>
      <w:r>
        <w:rPr>
          <w:rFonts w:ascii="Times New Roman" w:hAnsi="Times New Roman"/>
          <w:sz w:val="24"/>
        </w:rPr>
        <w:t>50</w:t>
      </w:r>
      <w:r>
        <w:rPr>
          <w:rFonts w:ascii="Times New Roman" w:hAnsi="Times New Roman"/>
          <w:sz w:val="24"/>
        </w:rPr>
        <w:t>指数成份股</w:t>
      </w:r>
      <w:r w:rsidR="00C9540F">
        <w:rPr>
          <w:rFonts w:hint="eastAsia"/>
          <w:bCs/>
          <w:sz w:val="24"/>
        </w:rPr>
        <w:t>（</w:t>
      </w:r>
      <w:proofErr w:type="gramStart"/>
      <w:r w:rsidR="00C9540F">
        <w:rPr>
          <w:rFonts w:hint="eastAsia"/>
          <w:bCs/>
          <w:sz w:val="24"/>
        </w:rPr>
        <w:t>含存托</w:t>
      </w:r>
      <w:proofErr w:type="gramEnd"/>
      <w:r w:rsidR="00C9540F">
        <w:rPr>
          <w:rFonts w:hint="eastAsia"/>
          <w:bCs/>
          <w:sz w:val="24"/>
        </w:rPr>
        <w:t>凭证）</w:t>
      </w:r>
      <w:r>
        <w:rPr>
          <w:rFonts w:ascii="Times New Roman" w:hAnsi="Times New Roman"/>
          <w:sz w:val="24"/>
        </w:rPr>
        <w:t>及其备选成份股</w:t>
      </w:r>
      <w:r w:rsidR="00C9540F">
        <w:rPr>
          <w:rFonts w:hint="eastAsia"/>
          <w:bCs/>
          <w:sz w:val="24"/>
        </w:rPr>
        <w:t>（</w:t>
      </w:r>
      <w:proofErr w:type="gramStart"/>
      <w:r w:rsidR="00C9540F">
        <w:rPr>
          <w:rFonts w:hint="eastAsia"/>
          <w:bCs/>
          <w:sz w:val="24"/>
        </w:rPr>
        <w:t>含存托</w:t>
      </w:r>
      <w:proofErr w:type="gramEnd"/>
      <w:r w:rsidR="00C9540F">
        <w:rPr>
          <w:rFonts w:hint="eastAsia"/>
          <w:bCs/>
          <w:sz w:val="24"/>
        </w:rPr>
        <w:t>凭证）</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w:t>
      </w:r>
    </w:p>
    <w:p w14:paraId="659A45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14:paraId="6A56F8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25857A7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0CB7ED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0717035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18E87A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29BE9B6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105D52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，进入全国银行间同业市场进行债券回购的最长期限为</w:t>
      </w:r>
      <w:r>
        <w:rPr>
          <w:rFonts w:ascii="Times New Roman" w:hAnsi="Times New Roman"/>
          <w:sz w:val="24"/>
        </w:rPr>
        <w:t>1</w:t>
      </w:r>
      <w:r>
        <w:rPr>
          <w:rFonts w:ascii="Times New Roman" w:hAnsi="Times New Roman"/>
          <w:sz w:val="24"/>
        </w:rPr>
        <w:t>年，债券回购到期后不得展期；</w:t>
      </w:r>
    </w:p>
    <w:p w14:paraId="67452B5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）本基金主动投资于流动性受限资产的市值合计不得超过该基金资产净值的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639D9A3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）本基金与私募类</w:t>
      </w:r>
      <w:proofErr w:type="gramStart"/>
      <w:r>
        <w:rPr>
          <w:rFonts w:ascii="Times New Roman" w:hAnsi="Times New Roman"/>
          <w:sz w:val="24"/>
        </w:rPr>
        <w:t>证券资管产品</w:t>
      </w:r>
      <w:proofErr w:type="gramEnd"/>
      <w:r>
        <w:rPr>
          <w:rFonts w:ascii="Times New Roman" w:hAnsi="Times New Roman"/>
          <w:sz w:val="24"/>
        </w:rPr>
        <w:t>及中国证监会认定的其他主体为交易对手开展逆回购交易的，可接受质押品的资质要求应当与基金合同约定的投资范围保持一致；</w:t>
      </w:r>
    </w:p>
    <w:p w14:paraId="30327E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）本基金资产总值不超过基金资产净值的</w:t>
      </w:r>
      <w:r>
        <w:rPr>
          <w:rFonts w:ascii="Times New Roman" w:hAnsi="Times New Roman"/>
          <w:sz w:val="24"/>
        </w:rPr>
        <w:t>140%</w:t>
      </w:r>
      <w:r>
        <w:rPr>
          <w:rFonts w:ascii="Times New Roman" w:hAnsi="Times New Roman"/>
          <w:sz w:val="24"/>
        </w:rPr>
        <w:t>；</w:t>
      </w:r>
    </w:p>
    <w:p w14:paraId="1C1FA61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）本基金参与股指期货交易，则：</w:t>
      </w:r>
    </w:p>
    <w:p w14:paraId="0534AC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14:paraId="50DC07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）本基金在任何交易日日终，持有的买入股指期货合约价值与有价证券市值</w:t>
      </w:r>
      <w:r>
        <w:rPr>
          <w:rFonts w:ascii="Times New Roman" w:hAnsi="Times New Roman"/>
          <w:sz w:val="24"/>
        </w:rPr>
        <w:lastRenderedPageBreak/>
        <w:t>之和，不得超过基金资产净值的</w:t>
      </w:r>
      <w:r>
        <w:rPr>
          <w:rFonts w:ascii="Times New Roman" w:hAnsi="Times New Roman"/>
          <w:sz w:val="24"/>
        </w:rPr>
        <w:t>100%</w:t>
      </w:r>
      <w:r>
        <w:rPr>
          <w:rFonts w:ascii="Times New Roman" w:hAnsi="Times New Roman"/>
          <w:sz w:val="24"/>
        </w:rPr>
        <w:t>。其中，有价证券指股票、债券（不含到期日在一年以内的政府债券）、资产支持证券、买入返售金融资产（不含质押式回购）等；</w:t>
      </w:r>
    </w:p>
    <w:p w14:paraId="241C55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）本基金在任何交易日日终，持有的卖出股指期货合约价值不得超过基金持有的股票总市值的</w:t>
      </w:r>
      <w:r>
        <w:rPr>
          <w:rFonts w:ascii="Times New Roman" w:hAnsi="Times New Roman"/>
          <w:sz w:val="24"/>
        </w:rPr>
        <w:t>20%</w:t>
      </w:r>
      <w:r>
        <w:rPr>
          <w:rFonts w:ascii="Times New Roman" w:hAnsi="Times New Roman"/>
          <w:sz w:val="24"/>
        </w:rPr>
        <w:t>；</w:t>
      </w:r>
    </w:p>
    <w:p w14:paraId="6DFD26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）本基金所持有的股票市值和买入、卖出股指期货合约价值，合计（轧差计算）应当符合基金合同关于股票投资比例的有关约定；</w:t>
      </w:r>
    </w:p>
    <w:p w14:paraId="23AC4DA1" w14:textId="77777777" w:rsidR="00791B53"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14:paraId="242ACF5D" w14:textId="77777777" w:rsidR="00C9540F" w:rsidRDefault="00C9540F">
      <w:pPr>
        <w:autoSpaceDE w:val="0"/>
        <w:autoSpaceDN w:val="0"/>
        <w:adjustRightInd w:val="0"/>
        <w:snapToGrid w:val="0"/>
        <w:spacing w:line="360" w:lineRule="auto"/>
        <w:ind w:firstLineChars="200" w:firstLine="480"/>
        <w:rPr>
          <w:rFonts w:ascii="宋体" w:hAnsi="宋体"/>
          <w:szCs w:val="24"/>
        </w:rPr>
      </w:pPr>
      <w:r w:rsidRPr="00DD5CB1">
        <w:rPr>
          <w:rFonts w:ascii="宋体" w:hAnsi="宋体" w:hint="eastAsia"/>
          <w:bCs/>
          <w:sz w:val="24"/>
        </w:rPr>
        <w:t>（1</w:t>
      </w:r>
      <w:r w:rsidRPr="00DD5CB1">
        <w:rPr>
          <w:rFonts w:ascii="宋体" w:hAnsi="宋体"/>
          <w:bCs/>
          <w:sz w:val="24"/>
        </w:rPr>
        <w:t>4</w:t>
      </w:r>
      <w:r w:rsidRPr="00DD5CB1">
        <w:rPr>
          <w:rFonts w:ascii="宋体" w:hAnsi="宋体" w:hint="eastAsia"/>
          <w:bCs/>
          <w:sz w:val="24"/>
        </w:rPr>
        <w:t>）本基金投资存托凭证的比例限制依照境内上市交易的股票执行；</w:t>
      </w:r>
    </w:p>
    <w:p w14:paraId="1961ED44" w14:textId="5836A40D"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C9540F">
        <w:rPr>
          <w:rFonts w:ascii="Times New Roman" w:hAnsi="Times New Roman"/>
          <w:sz w:val="24"/>
        </w:rPr>
        <w:t>15</w:t>
      </w:r>
      <w:r>
        <w:rPr>
          <w:rFonts w:ascii="Times New Roman" w:hAnsi="Times New Roman"/>
          <w:sz w:val="24"/>
        </w:rPr>
        <w:t>）法律法规及中国证监会规定的和《基金合同》约定的其他投资限制。</w:t>
      </w:r>
    </w:p>
    <w:p w14:paraId="5CD812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w:t>
      </w:r>
      <w:r>
        <w:rPr>
          <w:rFonts w:ascii="Times New Roman" w:hAnsi="Times New Roman"/>
          <w:sz w:val="24"/>
        </w:rPr>
        <w:t>2</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11</w:t>
      </w:r>
      <w:r>
        <w:rPr>
          <w:rFonts w:ascii="Times New Roman" w:hAnsi="Times New Roman"/>
          <w:sz w:val="24"/>
        </w:rPr>
        <w:t>）情形之外，因证券、期货市场波动、证券发行人合并、基金规模变动、标的指数成份股及</w:t>
      </w:r>
      <w:r>
        <w:rPr>
          <w:rFonts w:ascii="Times New Roman" w:hAnsi="Times New Roman"/>
          <w:sz w:val="24"/>
        </w:rPr>
        <w:t>/</w:t>
      </w:r>
      <w:r>
        <w:rPr>
          <w:rFonts w:ascii="Times New Roman" w:hAnsi="Times New Roman"/>
          <w:sz w:val="24"/>
        </w:rPr>
        <w:t>或权重调整、标的指数成份股流动性限制等基金管理人之外的因素致使基金投资比例不符合上述规定投资比例的，基金管理人应当在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68433A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637F1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14:paraId="5B2B76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14:paraId="2D74C1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为维护基金份额持有人的合法权益，基金财产不得用于下列投资或者活动：</w:t>
      </w:r>
    </w:p>
    <w:p w14:paraId="732E93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5CEEA1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14:paraId="49A640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0A177F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14:paraId="429471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14:paraId="53E2A8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14:paraId="397839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）法律、行政法规和中国证监会规定禁止的其他活动。</w:t>
      </w:r>
    </w:p>
    <w:p w14:paraId="5449CC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E32B55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如法律、行政法规或监管部门取消上述规定，如适用于本基金，基金管理人在履行适当程序后，本基金可不受上述规定的限制。</w:t>
      </w:r>
    </w:p>
    <w:p w14:paraId="6A63164E"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（五）业绩比较基准</w:t>
      </w:r>
    </w:p>
    <w:p w14:paraId="765B906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本基金业绩比较基准：创业板</w:t>
      </w:r>
      <w:r>
        <w:rPr>
          <w:rFonts w:ascii="Times New Roman" w:hAnsi="Times New Roman"/>
          <w:sz w:val="24"/>
        </w:rPr>
        <w:t>50</w:t>
      </w:r>
      <w:r>
        <w:rPr>
          <w:rFonts w:ascii="Times New Roman" w:hAnsi="Times New Roman"/>
          <w:sz w:val="24"/>
        </w:rPr>
        <w:t>指数收益率</w:t>
      </w:r>
      <w:r>
        <w:rPr>
          <w:rFonts w:ascii="Times New Roman" w:hAnsi="Times New Roman"/>
          <w:sz w:val="24"/>
        </w:rPr>
        <w:t>×95%</w:t>
      </w:r>
      <w:r>
        <w:rPr>
          <w:rFonts w:ascii="Times New Roman" w:hAnsi="Times New Roman"/>
          <w:sz w:val="24"/>
        </w:rPr>
        <w:t>＋人民币银行活期存款利率（税后）</w:t>
      </w:r>
      <w:r>
        <w:rPr>
          <w:rFonts w:ascii="Times New Roman" w:hAnsi="Times New Roman"/>
          <w:sz w:val="24"/>
        </w:rPr>
        <w:t>×5%</w:t>
      </w:r>
    </w:p>
    <w:p w14:paraId="501733FB" w14:textId="4BB9C0CD" w:rsidR="00A0617A" w:rsidRPr="00A0617A" w:rsidRDefault="00A0617A" w:rsidP="00A0617A">
      <w:pPr>
        <w:autoSpaceDE w:val="0"/>
        <w:autoSpaceDN w:val="0"/>
        <w:adjustRightInd w:val="0"/>
        <w:snapToGrid w:val="0"/>
        <w:spacing w:line="360" w:lineRule="auto"/>
        <w:ind w:firstLineChars="200" w:firstLine="480"/>
        <w:rPr>
          <w:rFonts w:ascii="Times New Roman" w:hAnsi="Times New Roman"/>
          <w:bCs/>
          <w:sz w:val="24"/>
        </w:rPr>
      </w:pPr>
      <w:r w:rsidRPr="00A0617A">
        <w:rPr>
          <w:rFonts w:ascii="Times New Roman" w:hAnsi="Times New Roman" w:hint="eastAsia"/>
          <w:bCs/>
          <w:sz w:val="24"/>
        </w:rPr>
        <w:t>未来若出现标的指数不符合要求（</w:t>
      </w:r>
      <w:r w:rsidR="00590972" w:rsidRPr="0097679B">
        <w:rPr>
          <w:rFonts w:ascii="Times New Roman" w:hAnsi="Times New Roman" w:hint="eastAsia"/>
          <w:bCs/>
          <w:sz w:val="24"/>
        </w:rPr>
        <w:t>不包括</w:t>
      </w:r>
      <w:r w:rsidRPr="0097679B">
        <w:rPr>
          <w:rFonts w:ascii="Times New Roman" w:hAnsi="Times New Roman" w:hint="eastAsia"/>
          <w:bCs/>
          <w:sz w:val="24"/>
        </w:rPr>
        <w:t>因成份股价格</w:t>
      </w:r>
      <w:r w:rsidR="00590972" w:rsidRPr="0097679B">
        <w:rPr>
          <w:rFonts w:ascii="Times New Roman" w:hAnsi="Times New Roman" w:hint="eastAsia"/>
          <w:bCs/>
          <w:sz w:val="24"/>
        </w:rPr>
        <w:t>波动等指数编制方法变动之外的因素致使标的指数不符合要求的情形</w:t>
      </w:r>
      <w:r w:rsidRPr="0097679B">
        <w:rPr>
          <w:rFonts w:ascii="Times New Roman" w:hAnsi="Times New Roman" w:hint="eastAsia"/>
          <w:bCs/>
          <w:sz w:val="24"/>
        </w:rPr>
        <w:t>）、</w:t>
      </w:r>
      <w:r w:rsidRPr="00A0617A">
        <w:rPr>
          <w:rFonts w:ascii="Times New Roman" w:hAnsi="Times New Roman" w:hint="eastAsia"/>
          <w:bCs/>
          <w:sz w:val="24"/>
        </w:rPr>
        <w:t>指数编制机构退出等情形，基金管理人应当自该情形发生之日起十个工作日内向中国证监会报告并提出解决方案，如</w:t>
      </w:r>
      <w:r w:rsidR="00551519" w:rsidRPr="00774CAF">
        <w:rPr>
          <w:rFonts w:hint="eastAsia"/>
          <w:bCs/>
          <w:sz w:val="24"/>
        </w:rPr>
        <w:t>更换基金标的指数、转换运作方式，与其他基金合并或者终止基金合同等，并</w:t>
      </w:r>
      <w:r w:rsidRPr="00A0617A">
        <w:rPr>
          <w:rFonts w:ascii="Times New Roman" w:hAnsi="Times New Roman" w:hint="eastAsia"/>
          <w:bCs/>
          <w:sz w:val="24"/>
        </w:rPr>
        <w:t>在</w:t>
      </w:r>
      <w:r w:rsidRPr="00A0617A">
        <w:rPr>
          <w:rFonts w:ascii="Times New Roman" w:hAnsi="Times New Roman"/>
          <w:bCs/>
          <w:sz w:val="24"/>
        </w:rPr>
        <w:t>6</w:t>
      </w:r>
      <w:r w:rsidRPr="00A0617A">
        <w:rPr>
          <w:rFonts w:ascii="Times New Roman" w:hAnsi="Times New Roman" w:hint="eastAsia"/>
          <w:bCs/>
          <w:sz w:val="24"/>
        </w:rPr>
        <w:t>个月内召集基金份额持有人大会进行表决，基金份额持有人大会未成功召开或就上述事项表决未通过的，基金合同终止。</w:t>
      </w:r>
    </w:p>
    <w:p w14:paraId="136FACF7" w14:textId="706CCD7C" w:rsidR="00A57206" w:rsidRDefault="00A0617A">
      <w:pPr>
        <w:autoSpaceDE w:val="0"/>
        <w:autoSpaceDN w:val="0"/>
        <w:adjustRightInd w:val="0"/>
        <w:snapToGrid w:val="0"/>
        <w:spacing w:line="360" w:lineRule="auto"/>
        <w:ind w:firstLineChars="200" w:firstLine="480"/>
        <w:rPr>
          <w:rFonts w:ascii="Times New Roman" w:hAnsi="Times New Roman"/>
          <w:bCs/>
          <w:sz w:val="24"/>
        </w:rPr>
      </w:pPr>
      <w:proofErr w:type="gramStart"/>
      <w:r w:rsidRPr="00A0617A">
        <w:rPr>
          <w:rFonts w:ascii="Times New Roman" w:hAnsi="Times New Roman" w:hint="eastAsia"/>
          <w:bCs/>
          <w:sz w:val="24"/>
        </w:rPr>
        <w:t>自指数</w:t>
      </w:r>
      <w:proofErr w:type="gramEnd"/>
      <w:r w:rsidRPr="00A0617A">
        <w:rPr>
          <w:rFonts w:ascii="Times New Roman" w:hAnsi="Times New Roman" w:hint="eastAsia"/>
          <w:bCs/>
          <w:sz w:val="24"/>
        </w:rPr>
        <w:t>编制机构停止标的指数的编制及发布</w:t>
      </w:r>
      <w:proofErr w:type="gramStart"/>
      <w:r w:rsidRPr="00A0617A">
        <w:rPr>
          <w:rFonts w:ascii="Times New Roman" w:hAnsi="Times New Roman" w:hint="eastAsia"/>
          <w:bCs/>
          <w:sz w:val="24"/>
        </w:rPr>
        <w:t>至解决</w:t>
      </w:r>
      <w:proofErr w:type="gramEnd"/>
      <w:r w:rsidRPr="00A0617A">
        <w:rPr>
          <w:rFonts w:ascii="Times New Roman" w:hAnsi="Times New Roman" w:hint="eastAsia"/>
          <w:bCs/>
          <w:sz w:val="24"/>
        </w:rPr>
        <w:t>方案确定期间，基金管理人应按照指数编制机构提供的最近一个交易日的指数信息遵循基金份额持有人利益优先原则维持基金投资运作。</w:t>
      </w:r>
    </w:p>
    <w:p w14:paraId="191409E9" w14:textId="278D9F76" w:rsidR="00551519" w:rsidRDefault="00551519">
      <w:pPr>
        <w:autoSpaceDE w:val="0"/>
        <w:autoSpaceDN w:val="0"/>
        <w:adjustRightInd w:val="0"/>
        <w:snapToGrid w:val="0"/>
        <w:spacing w:line="360" w:lineRule="auto"/>
        <w:ind w:firstLineChars="200" w:firstLine="480"/>
        <w:rPr>
          <w:rFonts w:ascii="Times New Roman" w:hAnsi="Times New Roman"/>
          <w:bCs/>
          <w:sz w:val="24"/>
        </w:rPr>
      </w:pPr>
      <w:proofErr w:type="gramStart"/>
      <w:r w:rsidRPr="00551519">
        <w:rPr>
          <w:rFonts w:ascii="Times New Roman" w:hAnsi="Times New Roman" w:hint="eastAsia"/>
          <w:bCs/>
          <w:sz w:val="24"/>
        </w:rPr>
        <w:t>若基金</w:t>
      </w:r>
      <w:proofErr w:type="gramEnd"/>
      <w:r w:rsidRPr="00551519">
        <w:rPr>
          <w:rFonts w:ascii="Times New Roman" w:hAnsi="Times New Roman"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3410312E"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14:paraId="6C3B82C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本基金是一只股票型基金，其预期风险和预期收益高于混合型基金、债券型基金和货币市场基金。</w:t>
      </w:r>
    </w:p>
    <w:p w14:paraId="421521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本基金为指数型基金，主要采用组合复制策略及适当的替代性策略跟踪创业板</w:t>
      </w:r>
      <w:r>
        <w:rPr>
          <w:rFonts w:ascii="Times New Roman" w:hAnsi="Times New Roman"/>
          <w:sz w:val="24"/>
        </w:rPr>
        <w:t>50</w:t>
      </w:r>
      <w:r>
        <w:rPr>
          <w:rFonts w:ascii="Times New Roman" w:hAnsi="Times New Roman"/>
          <w:sz w:val="24"/>
        </w:rPr>
        <w:t>指数，具有与标的指数以及标的指数所代表的股票市场相似的风险收益特征。</w:t>
      </w:r>
    </w:p>
    <w:p w14:paraId="3FA0D273"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（七）基金管理人代表基金行使股东或债权人权利的处理原则及方法</w:t>
      </w:r>
    </w:p>
    <w:p w14:paraId="17B6558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、基金管理人按照国家有关规定代表基金独立行使股东或债权人权利，保护基金份额持有人的利益；</w:t>
      </w:r>
    </w:p>
    <w:p w14:paraId="48FAF38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w:t>
      </w:r>
    </w:p>
    <w:p w14:paraId="5E5D6EB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416C3E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709F5DD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（八）投资决策依据和投资流程</w:t>
      </w:r>
    </w:p>
    <w:p w14:paraId="2CE139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14:paraId="577769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14:paraId="1B26769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14:paraId="2DA171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14:paraId="259E50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14:paraId="459064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14:paraId="4F6020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5C2853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027DE89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w:t>
      </w:r>
      <w:proofErr w:type="gramStart"/>
      <w:r>
        <w:rPr>
          <w:rFonts w:ascii="Times New Roman" w:hAnsi="Times New Roman"/>
          <w:sz w:val="24"/>
        </w:rPr>
        <w:t>规</w:t>
      </w:r>
      <w:proofErr w:type="gramEnd"/>
      <w:r>
        <w:rPr>
          <w:rFonts w:ascii="Times New Roman" w:hAnsi="Times New Roman"/>
          <w:sz w:val="24"/>
        </w:rPr>
        <w:t>的前提下得到高效的执行。</w:t>
      </w:r>
    </w:p>
    <w:p w14:paraId="335015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14:paraId="2254235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0DC98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14:paraId="79D03C9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w:t>
      </w:r>
      <w:r>
        <w:rPr>
          <w:rFonts w:ascii="Times New Roman" w:hAnsi="Times New Roman"/>
          <w:sz w:val="24"/>
        </w:rPr>
        <w:lastRenderedPageBreak/>
        <w:t>见，并讨论股票、债券的投资重点等；</w:t>
      </w:r>
    </w:p>
    <w:p w14:paraId="44B0CF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E0EDA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14:paraId="2AE14C8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w:t>
      </w:r>
      <w:proofErr w:type="gramStart"/>
      <w:r>
        <w:rPr>
          <w:rFonts w:ascii="Times New Roman" w:hAnsi="Times New Roman"/>
          <w:sz w:val="24"/>
        </w:rPr>
        <w:t>通过风控系统</w:t>
      </w:r>
      <w:proofErr w:type="gramEnd"/>
      <w:r>
        <w:rPr>
          <w:rFonts w:ascii="Times New Roman" w:hAnsi="Times New Roman"/>
          <w:sz w:val="24"/>
        </w:rPr>
        <w:t>的自动合</w:t>
      </w:r>
      <w:proofErr w:type="gramStart"/>
      <w:r>
        <w:rPr>
          <w:rFonts w:ascii="Times New Roman" w:hAnsi="Times New Roman"/>
          <w:sz w:val="24"/>
        </w:rPr>
        <w:t>规</w:t>
      </w:r>
      <w:proofErr w:type="gramEnd"/>
      <w:r>
        <w:rPr>
          <w:rFonts w:ascii="Times New Roman" w:hAnsi="Times New Roman"/>
          <w:sz w:val="24"/>
        </w:rPr>
        <w:t>核查后，由中央交易室执行，中央交易室对交易情况及时反馈；</w:t>
      </w:r>
    </w:p>
    <w:p w14:paraId="20426D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14:paraId="2F7D19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14:paraId="6D4C789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w:t>
      </w:r>
      <w:proofErr w:type="gramStart"/>
      <w:r>
        <w:rPr>
          <w:rFonts w:ascii="Times New Roman" w:hAnsi="Times New Roman"/>
          <w:sz w:val="24"/>
        </w:rPr>
        <w:t>作出</w:t>
      </w:r>
      <w:proofErr w:type="gramEnd"/>
      <w:r>
        <w:rPr>
          <w:rFonts w:ascii="Times New Roman" w:hAnsi="Times New Roman"/>
          <w:sz w:val="24"/>
        </w:rPr>
        <w:t>调整。</w:t>
      </w:r>
    </w:p>
    <w:p w14:paraId="29BA5F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w:t>
      </w:r>
      <w:r>
        <w:rPr>
          <w:rFonts w:ascii="Times New Roman" w:hAnsi="Times New Roman"/>
          <w:sz w:val="24"/>
        </w:rPr>
        <w:t>,</w:t>
      </w:r>
      <w:r>
        <w:rPr>
          <w:rFonts w:ascii="Times New Roman" w:hAnsi="Times New Roman"/>
          <w:sz w:val="24"/>
        </w:rPr>
        <w:t>并对其内容的真实性、准确性和完整性承担个别及连带责任。</w:t>
      </w:r>
    </w:p>
    <w:p w14:paraId="6DEA5D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本基金托管人招商银行股份有限公司根据本基金合同规定，于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14:paraId="532390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本报告期自</w:t>
      </w:r>
      <w:r>
        <w:rPr>
          <w:rFonts w:ascii="Times New Roman" w:hAnsi="Times New Roman"/>
          <w:sz w:val="24"/>
        </w:rPr>
        <w:t>2020</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日。本报告财务资料未经审计师审计。</w:t>
      </w:r>
    </w:p>
    <w:p w14:paraId="1658C7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91B53" w14:paraId="7CE583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F55E2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E2A133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5F2F703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vAlign w:val="center"/>
          </w:tcPr>
          <w:p w14:paraId="39F1661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791B53" w14:paraId="0D48C2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FF13D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3A8DF0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10809A5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582,940,579.36</w:t>
            </w:r>
          </w:p>
        </w:tc>
        <w:tc>
          <w:tcPr>
            <w:tcW w:w="400" w:type="pct"/>
            <w:tcBorders>
              <w:top w:val="single" w:sz="4" w:space="0" w:color="auto"/>
              <w:left w:val="single" w:sz="4" w:space="0" w:color="auto"/>
              <w:bottom w:val="single" w:sz="4" w:space="0" w:color="auto"/>
              <w:right w:val="single" w:sz="4" w:space="0" w:color="auto"/>
            </w:tcBorders>
            <w:vAlign w:val="center"/>
          </w:tcPr>
          <w:p w14:paraId="30AD8EB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90.81</w:t>
            </w:r>
          </w:p>
        </w:tc>
      </w:tr>
      <w:tr w:rsidR="00791B53" w14:paraId="09EEEE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4DD499"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3E1B76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546426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582,940,579.36</w:t>
            </w:r>
          </w:p>
        </w:tc>
        <w:tc>
          <w:tcPr>
            <w:tcW w:w="400" w:type="pct"/>
            <w:tcBorders>
              <w:top w:val="single" w:sz="4" w:space="0" w:color="auto"/>
              <w:left w:val="single" w:sz="4" w:space="0" w:color="auto"/>
              <w:bottom w:val="single" w:sz="4" w:space="0" w:color="auto"/>
              <w:right w:val="single" w:sz="4" w:space="0" w:color="auto"/>
            </w:tcBorders>
            <w:vAlign w:val="center"/>
          </w:tcPr>
          <w:p w14:paraId="236F8FD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90.81</w:t>
            </w:r>
          </w:p>
        </w:tc>
      </w:tr>
      <w:tr w:rsidR="00791B53" w14:paraId="0723AD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48F61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015A3C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1937DCF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F24858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D71CB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B605C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808C35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733AB9D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F87A1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099C5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952DF2"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3107C99"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1A88D1B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E18AE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3FF67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2E880C"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226046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782FD2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362A3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6CCC19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20524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B016CB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50B4C3A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C2E4B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13A19A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0B080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B3F4B6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263CB96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2A1C8D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AA304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C2F9E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7FA13A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FD07D0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C59587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3C43B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F54797"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EC8410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374575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480A6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472F21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2BAA2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82AFE99"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475ED0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40,968,163.38</w:t>
            </w:r>
          </w:p>
        </w:tc>
        <w:tc>
          <w:tcPr>
            <w:tcW w:w="400" w:type="pct"/>
            <w:tcBorders>
              <w:top w:val="single" w:sz="4" w:space="0" w:color="auto"/>
              <w:left w:val="single" w:sz="4" w:space="0" w:color="auto"/>
              <w:bottom w:val="single" w:sz="4" w:space="0" w:color="auto"/>
              <w:right w:val="single" w:sz="4" w:space="0" w:color="auto"/>
            </w:tcBorders>
            <w:vAlign w:val="center"/>
          </w:tcPr>
          <w:p w14:paraId="7B13F1C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6.38</w:t>
            </w:r>
          </w:p>
        </w:tc>
      </w:tr>
      <w:tr w:rsidR="00791B53" w14:paraId="43F0A3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34873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833285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3D9F344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18,034,033.16</w:t>
            </w:r>
          </w:p>
        </w:tc>
        <w:tc>
          <w:tcPr>
            <w:tcW w:w="400" w:type="pct"/>
            <w:tcBorders>
              <w:top w:val="single" w:sz="4" w:space="0" w:color="auto"/>
              <w:left w:val="single" w:sz="4" w:space="0" w:color="auto"/>
              <w:bottom w:val="single" w:sz="4" w:space="0" w:color="auto"/>
              <w:right w:val="single" w:sz="4" w:space="0" w:color="auto"/>
            </w:tcBorders>
            <w:vAlign w:val="center"/>
          </w:tcPr>
          <w:p w14:paraId="1FA6254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2.81</w:t>
            </w:r>
          </w:p>
        </w:tc>
      </w:tr>
      <w:tr w:rsidR="00791B53" w14:paraId="4B8D7C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CACF9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C8AB53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055CA6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641,942,775.90</w:t>
            </w:r>
          </w:p>
        </w:tc>
        <w:tc>
          <w:tcPr>
            <w:tcW w:w="400" w:type="pct"/>
            <w:tcBorders>
              <w:top w:val="single" w:sz="4" w:space="0" w:color="auto"/>
              <w:left w:val="single" w:sz="4" w:space="0" w:color="auto"/>
              <w:bottom w:val="single" w:sz="4" w:space="0" w:color="auto"/>
              <w:right w:val="single" w:sz="4" w:space="0" w:color="auto"/>
            </w:tcBorders>
            <w:vAlign w:val="center"/>
          </w:tcPr>
          <w:p w14:paraId="0642CBB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DF3D85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5EBFCB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积极投资按行业分类的股票投资组合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91B53" w14:paraId="49D141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F5F45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3CAC239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32DE64A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vAlign w:val="center"/>
          </w:tcPr>
          <w:p w14:paraId="18C7F36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791B53" w14:paraId="4269EC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C24DF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83591E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6A2C673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481CB8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38A3BE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A6EC1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42BC433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4B6C520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592B7D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BE18B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C65C7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60D70CF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351831D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81,479.97</w:t>
            </w:r>
          </w:p>
        </w:tc>
        <w:tc>
          <w:tcPr>
            <w:tcW w:w="400" w:type="pct"/>
            <w:tcBorders>
              <w:top w:val="single" w:sz="4" w:space="0" w:color="auto"/>
              <w:left w:val="single" w:sz="4" w:space="0" w:color="auto"/>
              <w:bottom w:val="single" w:sz="4" w:space="0" w:color="auto"/>
              <w:right w:val="single" w:sz="4" w:space="0" w:color="auto"/>
            </w:tcBorders>
            <w:vAlign w:val="center"/>
          </w:tcPr>
          <w:p w14:paraId="7C3C2EE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791B53" w14:paraId="17DD1A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ACA1C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27C799E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2F67EC6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0E4780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1F548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4BB3C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2B3D57A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6B59550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1FA47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0779B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EF91A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56B31BE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3042C9F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4A8FB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3DAA6B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9EC07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7049383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43FD9B4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33B1BE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46C0C7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F2726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691B414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55A4A15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7CEE1F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660028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B19D5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74EDDC6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642D7ED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12,097.57</w:t>
            </w:r>
          </w:p>
        </w:tc>
        <w:tc>
          <w:tcPr>
            <w:tcW w:w="400" w:type="pct"/>
            <w:tcBorders>
              <w:top w:val="single" w:sz="4" w:space="0" w:color="auto"/>
              <w:left w:val="single" w:sz="4" w:space="0" w:color="auto"/>
              <w:bottom w:val="single" w:sz="4" w:space="0" w:color="auto"/>
              <w:right w:val="single" w:sz="4" w:space="0" w:color="auto"/>
            </w:tcBorders>
            <w:vAlign w:val="center"/>
          </w:tcPr>
          <w:p w14:paraId="4067B7B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791B53" w14:paraId="214B13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12E6E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0330CC2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0214389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CCC364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8FC78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36679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3A31D26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246136C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07FFC3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53D314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AC11A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5C2EF03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FC33E9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43CB1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CB01B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CE5E6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7F08C93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F1D4D5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2C687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4CDFC2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137DC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35CD5FB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22DCAA7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858F8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BDC41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40F20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3991382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1323181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45F01F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19437C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C95EE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74AC5D9"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2A94C7F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8C7EFB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49AA00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1A3E7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02DC4C8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5871A2D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805E2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1C1ECA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D9570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41ED242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418FC56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393E75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7E3283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5BA32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2A8F5D8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59039A4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A432D6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7AB267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FC8A31"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D4E6B5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477E37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93,577.54</w:t>
            </w:r>
          </w:p>
        </w:tc>
        <w:tc>
          <w:tcPr>
            <w:tcW w:w="400" w:type="pct"/>
            <w:tcBorders>
              <w:top w:val="single" w:sz="4" w:space="0" w:color="auto"/>
              <w:left w:val="single" w:sz="4" w:space="0" w:color="auto"/>
              <w:bottom w:val="single" w:sz="4" w:space="0" w:color="auto"/>
              <w:right w:val="single" w:sz="4" w:space="0" w:color="auto"/>
            </w:tcBorders>
            <w:vAlign w:val="center"/>
          </w:tcPr>
          <w:p w14:paraId="265DE1F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bl>
    <w:p w14:paraId="2943BC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指数投资按行业分类的股票投资组合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91B53" w14:paraId="71BFD7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9F41A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46A5E6F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659AD9B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vAlign w:val="center"/>
          </w:tcPr>
          <w:p w14:paraId="009F139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791B53" w14:paraId="01B842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C5EF8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2F829AD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407B9FB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AB3FB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7FD7D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DEB4E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B</w:t>
            </w:r>
          </w:p>
        </w:tc>
        <w:tc>
          <w:tcPr>
            <w:tcW w:w="750" w:type="pct"/>
            <w:tcBorders>
              <w:top w:val="single" w:sz="4" w:space="0" w:color="auto"/>
              <w:left w:val="single" w:sz="4" w:space="0" w:color="auto"/>
              <w:bottom w:val="single" w:sz="4" w:space="0" w:color="auto"/>
              <w:right w:val="single" w:sz="4" w:space="0" w:color="auto"/>
            </w:tcBorders>
            <w:vAlign w:val="center"/>
          </w:tcPr>
          <w:p w14:paraId="3ECDED6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D19C58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BC044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6DDFE0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D3B36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4E97326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1974FF5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357,510,779.65</w:t>
            </w:r>
          </w:p>
        </w:tc>
        <w:tc>
          <w:tcPr>
            <w:tcW w:w="400" w:type="pct"/>
            <w:tcBorders>
              <w:top w:val="single" w:sz="4" w:space="0" w:color="auto"/>
              <w:left w:val="single" w:sz="4" w:space="0" w:color="auto"/>
              <w:bottom w:val="single" w:sz="4" w:space="0" w:color="auto"/>
              <w:right w:val="single" w:sz="4" w:space="0" w:color="auto"/>
            </w:tcBorders>
            <w:vAlign w:val="center"/>
          </w:tcPr>
          <w:p w14:paraId="3874A4B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57.54</w:t>
            </w:r>
          </w:p>
        </w:tc>
      </w:tr>
      <w:tr w:rsidR="00791B53" w14:paraId="4DB657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C1623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55E17DD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46A4B0B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71C24A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132FD1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5A1F0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07666B5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7F311A8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9D4C90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30C032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96460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1C09197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2423AAE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6109C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55F3F8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5060A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E999F4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067FEC6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49D69E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F3512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A2EAE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041B861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2EF36A0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B379AA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775981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13687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5D9B0D9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064754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84,789,519.53</w:t>
            </w:r>
          </w:p>
        </w:tc>
        <w:tc>
          <w:tcPr>
            <w:tcW w:w="400" w:type="pct"/>
            <w:tcBorders>
              <w:top w:val="single" w:sz="4" w:space="0" w:color="auto"/>
              <w:left w:val="single" w:sz="4" w:space="0" w:color="auto"/>
              <w:bottom w:val="single" w:sz="4" w:space="0" w:color="auto"/>
              <w:right w:val="single" w:sz="4" w:space="0" w:color="auto"/>
            </w:tcBorders>
            <w:vAlign w:val="center"/>
          </w:tcPr>
          <w:p w14:paraId="48F4EDF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13.65</w:t>
            </w:r>
          </w:p>
        </w:tc>
      </w:tr>
      <w:tr w:rsidR="00791B53" w14:paraId="10EC03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C83AD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7F866C79"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2FC4F6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45,181,784.40</w:t>
            </w:r>
          </w:p>
        </w:tc>
        <w:tc>
          <w:tcPr>
            <w:tcW w:w="400" w:type="pct"/>
            <w:tcBorders>
              <w:top w:val="single" w:sz="4" w:space="0" w:color="auto"/>
              <w:left w:val="single" w:sz="4" w:space="0" w:color="auto"/>
              <w:bottom w:val="single" w:sz="4" w:space="0" w:color="auto"/>
              <w:right w:val="single" w:sz="4" w:space="0" w:color="auto"/>
            </w:tcBorders>
            <w:vAlign w:val="center"/>
          </w:tcPr>
          <w:p w14:paraId="047ED63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7.27</w:t>
            </w:r>
          </w:p>
        </w:tc>
      </w:tr>
      <w:tr w:rsidR="00791B53" w14:paraId="324BFC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49363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18B291E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15936F2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41B31A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D01B1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817E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3F5918A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5812EF6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6,435,000.00</w:t>
            </w:r>
          </w:p>
        </w:tc>
        <w:tc>
          <w:tcPr>
            <w:tcW w:w="400" w:type="pct"/>
            <w:tcBorders>
              <w:top w:val="single" w:sz="4" w:space="0" w:color="auto"/>
              <w:left w:val="single" w:sz="4" w:space="0" w:color="auto"/>
              <w:bottom w:val="single" w:sz="4" w:space="0" w:color="auto"/>
              <w:right w:val="single" w:sz="4" w:space="0" w:color="auto"/>
            </w:tcBorders>
            <w:vAlign w:val="center"/>
          </w:tcPr>
          <w:p w14:paraId="6976C8C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1.04</w:t>
            </w:r>
          </w:p>
        </w:tc>
      </w:tr>
      <w:tr w:rsidR="00791B53" w14:paraId="6D6B1E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0BAC8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7BE5570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2847BD8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9,775,557.00</w:t>
            </w:r>
          </w:p>
        </w:tc>
        <w:tc>
          <w:tcPr>
            <w:tcW w:w="400" w:type="pct"/>
            <w:tcBorders>
              <w:top w:val="single" w:sz="4" w:space="0" w:color="auto"/>
              <w:left w:val="single" w:sz="4" w:space="0" w:color="auto"/>
              <w:bottom w:val="single" w:sz="4" w:space="0" w:color="auto"/>
              <w:right w:val="single" w:sz="4" w:space="0" w:color="auto"/>
            </w:tcBorders>
            <w:vAlign w:val="center"/>
          </w:tcPr>
          <w:p w14:paraId="633E706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1.57</w:t>
            </w:r>
          </w:p>
        </w:tc>
      </w:tr>
      <w:tr w:rsidR="00791B53" w14:paraId="772163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7DCA6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11C98F6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7C903E8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4,846,032.24</w:t>
            </w:r>
          </w:p>
        </w:tc>
        <w:tc>
          <w:tcPr>
            <w:tcW w:w="400" w:type="pct"/>
            <w:tcBorders>
              <w:top w:val="single" w:sz="4" w:space="0" w:color="auto"/>
              <w:left w:val="single" w:sz="4" w:space="0" w:color="auto"/>
              <w:bottom w:val="single" w:sz="4" w:space="0" w:color="auto"/>
              <w:right w:val="single" w:sz="4" w:space="0" w:color="auto"/>
            </w:tcBorders>
            <w:vAlign w:val="center"/>
          </w:tcPr>
          <w:p w14:paraId="44BBE3D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0.78</w:t>
            </w:r>
          </w:p>
        </w:tc>
      </w:tr>
      <w:tr w:rsidR="00791B53" w14:paraId="70C5E1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01C3B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79BD616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714E68C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817B69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C2DE5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67FED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AA8E30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5C19C0A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2FFD8D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9D1F9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CC365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504D01C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3549A07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47,212,395.20</w:t>
            </w:r>
          </w:p>
        </w:tc>
        <w:tc>
          <w:tcPr>
            <w:tcW w:w="400" w:type="pct"/>
            <w:tcBorders>
              <w:top w:val="single" w:sz="4" w:space="0" w:color="auto"/>
              <w:left w:val="single" w:sz="4" w:space="0" w:color="auto"/>
              <w:bottom w:val="single" w:sz="4" w:space="0" w:color="auto"/>
              <w:right w:val="single" w:sz="4" w:space="0" w:color="auto"/>
            </w:tcBorders>
            <w:vAlign w:val="center"/>
          </w:tcPr>
          <w:p w14:paraId="649D83B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7.60</w:t>
            </w:r>
          </w:p>
        </w:tc>
      </w:tr>
      <w:tr w:rsidR="00791B53" w14:paraId="7849C5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564E0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24FB2AF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52AC452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27,095,933.80</w:t>
            </w:r>
          </w:p>
        </w:tc>
        <w:tc>
          <w:tcPr>
            <w:tcW w:w="400" w:type="pct"/>
            <w:tcBorders>
              <w:top w:val="single" w:sz="4" w:space="0" w:color="auto"/>
              <w:left w:val="single" w:sz="4" w:space="0" w:color="auto"/>
              <w:bottom w:val="single" w:sz="4" w:space="0" w:color="auto"/>
              <w:right w:val="single" w:sz="4" w:space="0" w:color="auto"/>
            </w:tcBorders>
            <w:vAlign w:val="center"/>
          </w:tcPr>
          <w:p w14:paraId="35E6F4C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4.36</w:t>
            </w:r>
          </w:p>
        </w:tc>
      </w:tr>
      <w:tr w:rsidR="00791B53" w14:paraId="22228A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2F2F3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4A34264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4DAD59F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605ED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773064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1C1C7F" w14:textId="77777777" w:rsidR="00791B53" w:rsidRDefault="00791B5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B7DEB6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8BDDD1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582,847,001.82</w:t>
            </w:r>
          </w:p>
        </w:tc>
        <w:tc>
          <w:tcPr>
            <w:tcW w:w="400" w:type="pct"/>
            <w:tcBorders>
              <w:top w:val="single" w:sz="4" w:space="0" w:color="auto"/>
              <w:left w:val="single" w:sz="4" w:space="0" w:color="auto"/>
              <w:bottom w:val="single" w:sz="4" w:space="0" w:color="auto"/>
              <w:right w:val="single" w:sz="4" w:space="0" w:color="auto"/>
            </w:tcBorders>
            <w:vAlign w:val="center"/>
          </w:tcPr>
          <w:p w14:paraId="46D8689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93.81</w:t>
            </w:r>
          </w:p>
        </w:tc>
      </w:tr>
    </w:tbl>
    <w:p w14:paraId="167978B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报告期末按行业分类的港股通投资股票投资组合</w:t>
      </w:r>
    </w:p>
    <w:p w14:paraId="4D1801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2D073E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、报告期末按公允价值占基金资产净值比例大小排序的股票投资明细</w:t>
      </w:r>
    </w:p>
    <w:p w14:paraId="09E9E72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报告期末指数投资按公允价值占基金资产净值比例大小排序的前十名股票投资明细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791B53" w14:paraId="4E8742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554E4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CA80F5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5660926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51DE777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5E9A644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vAlign w:val="center"/>
          </w:tcPr>
          <w:p w14:paraId="6405D34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791B53" w14:paraId="592E5B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15D8A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F25C83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14:paraId="677F241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14:paraId="1397C00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306,800</w:t>
            </w:r>
          </w:p>
        </w:tc>
        <w:tc>
          <w:tcPr>
            <w:tcW w:w="750" w:type="pct"/>
            <w:tcBorders>
              <w:top w:val="single" w:sz="4" w:space="0" w:color="auto"/>
              <w:left w:val="single" w:sz="4" w:space="0" w:color="auto"/>
              <w:bottom w:val="single" w:sz="4" w:space="0" w:color="auto"/>
              <w:right w:val="single" w:sz="4" w:space="0" w:color="auto"/>
            </w:tcBorders>
            <w:vAlign w:val="center"/>
          </w:tcPr>
          <w:p w14:paraId="3FAD845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53,493,648.00</w:t>
            </w:r>
          </w:p>
        </w:tc>
        <w:tc>
          <w:tcPr>
            <w:tcW w:w="750" w:type="pct"/>
            <w:tcBorders>
              <w:top w:val="single" w:sz="4" w:space="0" w:color="auto"/>
              <w:left w:val="single" w:sz="4" w:space="0" w:color="auto"/>
              <w:bottom w:val="single" w:sz="4" w:space="0" w:color="auto"/>
              <w:right w:val="single" w:sz="4" w:space="0" w:color="auto"/>
            </w:tcBorders>
            <w:vAlign w:val="center"/>
          </w:tcPr>
          <w:p w14:paraId="7EBAA3E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8.61</w:t>
            </w:r>
          </w:p>
        </w:tc>
      </w:tr>
      <w:tr w:rsidR="00791B53" w14:paraId="78765E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684AC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608B51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300760</w:t>
            </w:r>
          </w:p>
        </w:tc>
        <w:tc>
          <w:tcPr>
            <w:tcW w:w="750" w:type="pct"/>
            <w:tcBorders>
              <w:top w:val="single" w:sz="4" w:space="0" w:color="auto"/>
              <w:left w:val="single" w:sz="4" w:space="0" w:color="auto"/>
              <w:bottom w:val="single" w:sz="4" w:space="0" w:color="auto"/>
              <w:right w:val="single" w:sz="4" w:space="0" w:color="auto"/>
            </w:tcBorders>
            <w:vAlign w:val="center"/>
          </w:tcPr>
          <w:p w14:paraId="271716A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迈瑞医疗</w:t>
            </w:r>
          </w:p>
        </w:tc>
        <w:tc>
          <w:tcPr>
            <w:tcW w:w="750" w:type="pct"/>
            <w:tcBorders>
              <w:top w:val="single" w:sz="4" w:space="0" w:color="auto"/>
              <w:left w:val="single" w:sz="4" w:space="0" w:color="auto"/>
              <w:bottom w:val="single" w:sz="4" w:space="0" w:color="auto"/>
              <w:right w:val="single" w:sz="4" w:space="0" w:color="auto"/>
            </w:tcBorders>
            <w:vAlign w:val="center"/>
          </w:tcPr>
          <w:p w14:paraId="3BCDF25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153,300</w:t>
            </w:r>
          </w:p>
        </w:tc>
        <w:tc>
          <w:tcPr>
            <w:tcW w:w="750" w:type="pct"/>
            <w:tcBorders>
              <w:top w:val="single" w:sz="4" w:space="0" w:color="auto"/>
              <w:left w:val="single" w:sz="4" w:space="0" w:color="auto"/>
              <w:bottom w:val="single" w:sz="4" w:space="0" w:color="auto"/>
              <w:right w:val="single" w:sz="4" w:space="0" w:color="auto"/>
            </w:tcBorders>
            <w:vAlign w:val="center"/>
          </w:tcPr>
          <w:p w14:paraId="66D5F6D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46,863,810.00</w:t>
            </w:r>
          </w:p>
        </w:tc>
        <w:tc>
          <w:tcPr>
            <w:tcW w:w="750" w:type="pct"/>
            <w:tcBorders>
              <w:top w:val="single" w:sz="4" w:space="0" w:color="auto"/>
              <w:left w:val="single" w:sz="4" w:space="0" w:color="auto"/>
              <w:bottom w:val="single" w:sz="4" w:space="0" w:color="auto"/>
              <w:right w:val="single" w:sz="4" w:space="0" w:color="auto"/>
            </w:tcBorders>
            <w:vAlign w:val="center"/>
          </w:tcPr>
          <w:p w14:paraId="396BD27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7.54</w:t>
            </w:r>
          </w:p>
        </w:tc>
      </w:tr>
      <w:tr w:rsidR="00791B53" w14:paraId="079655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150A1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23175F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300059</w:t>
            </w:r>
          </w:p>
        </w:tc>
        <w:tc>
          <w:tcPr>
            <w:tcW w:w="750" w:type="pct"/>
            <w:tcBorders>
              <w:top w:val="single" w:sz="4" w:space="0" w:color="auto"/>
              <w:left w:val="single" w:sz="4" w:space="0" w:color="auto"/>
              <w:bottom w:val="single" w:sz="4" w:space="0" w:color="auto"/>
              <w:right w:val="single" w:sz="4" w:space="0" w:color="auto"/>
            </w:tcBorders>
            <w:vAlign w:val="center"/>
          </w:tcPr>
          <w:p w14:paraId="6E875B9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东方财富</w:t>
            </w:r>
          </w:p>
        </w:tc>
        <w:tc>
          <w:tcPr>
            <w:tcW w:w="750" w:type="pct"/>
            <w:tcBorders>
              <w:top w:val="single" w:sz="4" w:space="0" w:color="auto"/>
              <w:left w:val="single" w:sz="4" w:space="0" w:color="auto"/>
              <w:bottom w:val="single" w:sz="4" w:space="0" w:color="auto"/>
              <w:right w:val="single" w:sz="4" w:space="0" w:color="auto"/>
            </w:tcBorders>
            <w:vAlign w:val="center"/>
          </w:tcPr>
          <w:p w14:paraId="59D0DDF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2,236,722</w:t>
            </w:r>
          </w:p>
        </w:tc>
        <w:tc>
          <w:tcPr>
            <w:tcW w:w="750" w:type="pct"/>
            <w:tcBorders>
              <w:top w:val="single" w:sz="4" w:space="0" w:color="auto"/>
              <w:left w:val="single" w:sz="4" w:space="0" w:color="auto"/>
              <w:bottom w:val="single" w:sz="4" w:space="0" w:color="auto"/>
              <w:right w:val="single" w:sz="4" w:space="0" w:color="auto"/>
            </w:tcBorders>
            <w:vAlign w:val="center"/>
          </w:tcPr>
          <w:p w14:paraId="3CDFEBD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45,181,784.40</w:t>
            </w:r>
          </w:p>
        </w:tc>
        <w:tc>
          <w:tcPr>
            <w:tcW w:w="750" w:type="pct"/>
            <w:tcBorders>
              <w:top w:val="single" w:sz="4" w:space="0" w:color="auto"/>
              <w:left w:val="single" w:sz="4" w:space="0" w:color="auto"/>
              <w:bottom w:val="single" w:sz="4" w:space="0" w:color="auto"/>
              <w:right w:val="single" w:sz="4" w:space="0" w:color="auto"/>
            </w:tcBorders>
            <w:vAlign w:val="center"/>
          </w:tcPr>
          <w:p w14:paraId="7566E61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7.27</w:t>
            </w:r>
          </w:p>
        </w:tc>
      </w:tr>
      <w:tr w:rsidR="00791B53" w14:paraId="2845AE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506D8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187D87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300142</w:t>
            </w:r>
          </w:p>
        </w:tc>
        <w:tc>
          <w:tcPr>
            <w:tcW w:w="750" w:type="pct"/>
            <w:tcBorders>
              <w:top w:val="single" w:sz="4" w:space="0" w:color="auto"/>
              <w:left w:val="single" w:sz="4" w:space="0" w:color="auto"/>
              <w:bottom w:val="single" w:sz="4" w:space="0" w:color="auto"/>
              <w:right w:val="single" w:sz="4" w:space="0" w:color="auto"/>
            </w:tcBorders>
            <w:vAlign w:val="center"/>
          </w:tcPr>
          <w:p w14:paraId="5388656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沃森生物</w:t>
            </w:r>
          </w:p>
        </w:tc>
        <w:tc>
          <w:tcPr>
            <w:tcW w:w="750" w:type="pct"/>
            <w:tcBorders>
              <w:top w:val="single" w:sz="4" w:space="0" w:color="auto"/>
              <w:left w:val="single" w:sz="4" w:space="0" w:color="auto"/>
              <w:bottom w:val="single" w:sz="4" w:space="0" w:color="auto"/>
              <w:right w:val="single" w:sz="4" w:space="0" w:color="auto"/>
            </w:tcBorders>
            <w:vAlign w:val="center"/>
          </w:tcPr>
          <w:p w14:paraId="32A7439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545,998</w:t>
            </w:r>
          </w:p>
        </w:tc>
        <w:tc>
          <w:tcPr>
            <w:tcW w:w="750" w:type="pct"/>
            <w:tcBorders>
              <w:top w:val="single" w:sz="4" w:space="0" w:color="auto"/>
              <w:left w:val="single" w:sz="4" w:space="0" w:color="auto"/>
              <w:bottom w:val="single" w:sz="4" w:space="0" w:color="auto"/>
              <w:right w:val="single" w:sz="4" w:space="0" w:color="auto"/>
            </w:tcBorders>
            <w:vAlign w:val="center"/>
          </w:tcPr>
          <w:p w14:paraId="55D9B48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28,588,455.28</w:t>
            </w:r>
          </w:p>
        </w:tc>
        <w:tc>
          <w:tcPr>
            <w:tcW w:w="750" w:type="pct"/>
            <w:tcBorders>
              <w:top w:val="single" w:sz="4" w:space="0" w:color="auto"/>
              <w:left w:val="single" w:sz="4" w:space="0" w:color="auto"/>
              <w:bottom w:val="single" w:sz="4" w:space="0" w:color="auto"/>
              <w:right w:val="single" w:sz="4" w:space="0" w:color="auto"/>
            </w:tcBorders>
            <w:vAlign w:val="center"/>
          </w:tcPr>
          <w:p w14:paraId="1BEE83D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4.60</w:t>
            </w:r>
          </w:p>
        </w:tc>
      </w:tr>
      <w:tr w:rsidR="00791B53" w14:paraId="3F972B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4AB9D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1C8B0F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300015</w:t>
            </w:r>
          </w:p>
        </w:tc>
        <w:tc>
          <w:tcPr>
            <w:tcW w:w="750" w:type="pct"/>
            <w:tcBorders>
              <w:top w:val="single" w:sz="4" w:space="0" w:color="auto"/>
              <w:left w:val="single" w:sz="4" w:space="0" w:color="auto"/>
              <w:bottom w:val="single" w:sz="4" w:space="0" w:color="auto"/>
              <w:right w:val="single" w:sz="4" w:space="0" w:color="auto"/>
            </w:tcBorders>
            <w:vAlign w:val="center"/>
          </w:tcPr>
          <w:p w14:paraId="5B39EC9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爱尔眼科</w:t>
            </w:r>
          </w:p>
        </w:tc>
        <w:tc>
          <w:tcPr>
            <w:tcW w:w="750" w:type="pct"/>
            <w:tcBorders>
              <w:top w:val="single" w:sz="4" w:space="0" w:color="auto"/>
              <w:left w:val="single" w:sz="4" w:space="0" w:color="auto"/>
              <w:bottom w:val="single" w:sz="4" w:space="0" w:color="auto"/>
              <w:right w:val="single" w:sz="4" w:space="0" w:color="auto"/>
            </w:tcBorders>
            <w:vAlign w:val="center"/>
          </w:tcPr>
          <w:p w14:paraId="5836362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635,576</w:t>
            </w:r>
          </w:p>
        </w:tc>
        <w:tc>
          <w:tcPr>
            <w:tcW w:w="750" w:type="pct"/>
            <w:tcBorders>
              <w:top w:val="single" w:sz="4" w:space="0" w:color="auto"/>
              <w:left w:val="single" w:sz="4" w:space="0" w:color="auto"/>
              <w:bottom w:val="single" w:sz="4" w:space="0" w:color="auto"/>
              <w:right w:val="single" w:sz="4" w:space="0" w:color="auto"/>
            </w:tcBorders>
            <w:vAlign w:val="center"/>
          </w:tcPr>
          <w:p w14:paraId="32C8FD3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27,615,777.20</w:t>
            </w:r>
          </w:p>
        </w:tc>
        <w:tc>
          <w:tcPr>
            <w:tcW w:w="750" w:type="pct"/>
            <w:tcBorders>
              <w:top w:val="single" w:sz="4" w:space="0" w:color="auto"/>
              <w:left w:val="single" w:sz="4" w:space="0" w:color="auto"/>
              <w:bottom w:val="single" w:sz="4" w:space="0" w:color="auto"/>
              <w:right w:val="single" w:sz="4" w:space="0" w:color="auto"/>
            </w:tcBorders>
            <w:vAlign w:val="center"/>
          </w:tcPr>
          <w:p w14:paraId="63A8036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4.44</w:t>
            </w:r>
          </w:p>
        </w:tc>
      </w:tr>
      <w:tr w:rsidR="00791B53" w14:paraId="261340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72B07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BE77B7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300014</w:t>
            </w:r>
          </w:p>
        </w:tc>
        <w:tc>
          <w:tcPr>
            <w:tcW w:w="750" w:type="pct"/>
            <w:tcBorders>
              <w:top w:val="single" w:sz="4" w:space="0" w:color="auto"/>
              <w:left w:val="single" w:sz="4" w:space="0" w:color="auto"/>
              <w:bottom w:val="single" w:sz="4" w:space="0" w:color="auto"/>
              <w:right w:val="single" w:sz="4" w:space="0" w:color="auto"/>
            </w:tcBorders>
            <w:vAlign w:val="center"/>
          </w:tcPr>
          <w:p w14:paraId="3A77BE8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亿</w:t>
            </w:r>
            <w:proofErr w:type="gramStart"/>
            <w:r>
              <w:rPr>
                <w:rFonts w:ascii="Times New Roman" w:hAnsi="Times New Roman"/>
                <w:color w:val="000000"/>
                <w:kern w:val="0"/>
                <w:sz w:val="25"/>
                <w:szCs w:val="24"/>
              </w:rPr>
              <w:t>纬锂能</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1ED5DD8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450,838</w:t>
            </w:r>
          </w:p>
        </w:tc>
        <w:tc>
          <w:tcPr>
            <w:tcW w:w="750" w:type="pct"/>
            <w:tcBorders>
              <w:top w:val="single" w:sz="4" w:space="0" w:color="auto"/>
              <w:left w:val="single" w:sz="4" w:space="0" w:color="auto"/>
              <w:bottom w:val="single" w:sz="4" w:space="0" w:color="auto"/>
              <w:right w:val="single" w:sz="4" w:space="0" w:color="auto"/>
            </w:tcBorders>
            <w:vAlign w:val="center"/>
          </w:tcPr>
          <w:p w14:paraId="0DA111C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21,572,598.30</w:t>
            </w:r>
          </w:p>
        </w:tc>
        <w:tc>
          <w:tcPr>
            <w:tcW w:w="750" w:type="pct"/>
            <w:tcBorders>
              <w:top w:val="single" w:sz="4" w:space="0" w:color="auto"/>
              <w:left w:val="single" w:sz="4" w:space="0" w:color="auto"/>
              <w:bottom w:val="single" w:sz="4" w:space="0" w:color="auto"/>
              <w:right w:val="single" w:sz="4" w:space="0" w:color="auto"/>
            </w:tcBorders>
            <w:vAlign w:val="center"/>
          </w:tcPr>
          <w:p w14:paraId="7734224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3.47</w:t>
            </w:r>
          </w:p>
        </w:tc>
      </w:tr>
      <w:tr w:rsidR="00791B53" w14:paraId="18029D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A9D80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7</w:t>
            </w:r>
          </w:p>
        </w:tc>
        <w:tc>
          <w:tcPr>
            <w:tcW w:w="750" w:type="pct"/>
            <w:tcBorders>
              <w:top w:val="single" w:sz="4" w:space="0" w:color="auto"/>
              <w:left w:val="single" w:sz="4" w:space="0" w:color="auto"/>
              <w:bottom w:val="single" w:sz="4" w:space="0" w:color="auto"/>
              <w:right w:val="single" w:sz="4" w:space="0" w:color="auto"/>
            </w:tcBorders>
            <w:vAlign w:val="center"/>
          </w:tcPr>
          <w:p w14:paraId="4DD08EE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300122</w:t>
            </w:r>
          </w:p>
        </w:tc>
        <w:tc>
          <w:tcPr>
            <w:tcW w:w="750" w:type="pct"/>
            <w:tcBorders>
              <w:top w:val="single" w:sz="4" w:space="0" w:color="auto"/>
              <w:left w:val="single" w:sz="4" w:space="0" w:color="auto"/>
              <w:bottom w:val="single" w:sz="4" w:space="0" w:color="auto"/>
              <w:right w:val="single" w:sz="4" w:space="0" w:color="auto"/>
            </w:tcBorders>
            <w:vAlign w:val="center"/>
          </w:tcPr>
          <w:p w14:paraId="55072D60"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智飞生物</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0F64A69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204,903</w:t>
            </w:r>
          </w:p>
        </w:tc>
        <w:tc>
          <w:tcPr>
            <w:tcW w:w="750" w:type="pct"/>
            <w:tcBorders>
              <w:top w:val="single" w:sz="4" w:space="0" w:color="auto"/>
              <w:left w:val="single" w:sz="4" w:space="0" w:color="auto"/>
              <w:bottom w:val="single" w:sz="4" w:space="0" w:color="auto"/>
              <w:right w:val="single" w:sz="4" w:space="0" w:color="auto"/>
            </w:tcBorders>
            <w:vAlign w:val="center"/>
          </w:tcPr>
          <w:p w14:paraId="2357220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20,521,035.45</w:t>
            </w:r>
          </w:p>
        </w:tc>
        <w:tc>
          <w:tcPr>
            <w:tcW w:w="750" w:type="pct"/>
            <w:tcBorders>
              <w:top w:val="single" w:sz="4" w:space="0" w:color="auto"/>
              <w:left w:val="single" w:sz="4" w:space="0" w:color="auto"/>
              <w:bottom w:val="single" w:sz="4" w:space="0" w:color="auto"/>
              <w:right w:val="single" w:sz="4" w:space="0" w:color="auto"/>
            </w:tcBorders>
            <w:vAlign w:val="center"/>
          </w:tcPr>
          <w:p w14:paraId="60C245F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3.30</w:t>
            </w:r>
          </w:p>
        </w:tc>
      </w:tr>
      <w:tr w:rsidR="00791B53" w14:paraId="50CAA2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6C742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6AFC15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sz="4" w:space="0" w:color="auto"/>
              <w:left w:val="single" w:sz="4" w:space="0" w:color="auto"/>
              <w:bottom w:val="single" w:sz="4" w:space="0" w:color="auto"/>
              <w:right w:val="single" w:sz="4" w:space="0" w:color="auto"/>
            </w:tcBorders>
            <w:vAlign w:val="center"/>
          </w:tcPr>
          <w:p w14:paraId="2F9A39DF"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芒果超媒</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4AAAEA1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320,069</w:t>
            </w:r>
          </w:p>
        </w:tc>
        <w:tc>
          <w:tcPr>
            <w:tcW w:w="750" w:type="pct"/>
            <w:tcBorders>
              <w:top w:val="single" w:sz="4" w:space="0" w:color="auto"/>
              <w:left w:val="single" w:sz="4" w:space="0" w:color="auto"/>
              <w:bottom w:val="single" w:sz="4" w:space="0" w:color="auto"/>
              <w:right w:val="single" w:sz="4" w:space="0" w:color="auto"/>
            </w:tcBorders>
            <w:vAlign w:val="center"/>
          </w:tcPr>
          <w:p w14:paraId="19E44D0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20,241,298.80</w:t>
            </w:r>
          </w:p>
        </w:tc>
        <w:tc>
          <w:tcPr>
            <w:tcW w:w="750" w:type="pct"/>
            <w:tcBorders>
              <w:top w:val="single" w:sz="4" w:space="0" w:color="auto"/>
              <w:left w:val="single" w:sz="4" w:space="0" w:color="auto"/>
              <w:bottom w:val="single" w:sz="4" w:space="0" w:color="auto"/>
              <w:right w:val="single" w:sz="4" w:space="0" w:color="auto"/>
            </w:tcBorders>
            <w:vAlign w:val="center"/>
          </w:tcPr>
          <w:p w14:paraId="666BCDF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r>
      <w:tr w:rsidR="00791B53" w14:paraId="2BCB8F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C0543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56A797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300347</w:t>
            </w:r>
          </w:p>
        </w:tc>
        <w:tc>
          <w:tcPr>
            <w:tcW w:w="750" w:type="pct"/>
            <w:tcBorders>
              <w:top w:val="single" w:sz="4" w:space="0" w:color="auto"/>
              <w:left w:val="single" w:sz="4" w:space="0" w:color="auto"/>
              <w:bottom w:val="single" w:sz="4" w:space="0" w:color="auto"/>
              <w:right w:val="single" w:sz="4" w:space="0" w:color="auto"/>
            </w:tcBorders>
            <w:vAlign w:val="center"/>
          </w:tcPr>
          <w:p w14:paraId="70C2EE1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泰格医药</w:t>
            </w:r>
          </w:p>
        </w:tc>
        <w:tc>
          <w:tcPr>
            <w:tcW w:w="750" w:type="pct"/>
            <w:tcBorders>
              <w:top w:val="single" w:sz="4" w:space="0" w:color="auto"/>
              <w:left w:val="single" w:sz="4" w:space="0" w:color="auto"/>
              <w:bottom w:val="single" w:sz="4" w:space="0" w:color="auto"/>
              <w:right w:val="single" w:sz="4" w:space="0" w:color="auto"/>
            </w:tcBorders>
            <w:vAlign w:val="center"/>
          </w:tcPr>
          <w:p w14:paraId="0135187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192,350</w:t>
            </w:r>
          </w:p>
        </w:tc>
        <w:tc>
          <w:tcPr>
            <w:tcW w:w="750" w:type="pct"/>
            <w:tcBorders>
              <w:top w:val="single" w:sz="4" w:space="0" w:color="auto"/>
              <w:left w:val="single" w:sz="4" w:space="0" w:color="auto"/>
              <w:bottom w:val="single" w:sz="4" w:space="0" w:color="auto"/>
              <w:right w:val="single" w:sz="4" w:space="0" w:color="auto"/>
            </w:tcBorders>
            <w:vAlign w:val="center"/>
          </w:tcPr>
          <w:p w14:paraId="6CF75521"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19,596,618.00</w:t>
            </w:r>
          </w:p>
        </w:tc>
        <w:tc>
          <w:tcPr>
            <w:tcW w:w="750" w:type="pct"/>
            <w:tcBorders>
              <w:top w:val="single" w:sz="4" w:space="0" w:color="auto"/>
              <w:left w:val="single" w:sz="4" w:space="0" w:color="auto"/>
              <w:bottom w:val="single" w:sz="4" w:space="0" w:color="auto"/>
              <w:right w:val="single" w:sz="4" w:space="0" w:color="auto"/>
            </w:tcBorders>
            <w:vAlign w:val="center"/>
          </w:tcPr>
          <w:p w14:paraId="6789C80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r w:rsidR="00791B53" w14:paraId="2A4F34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4495B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130A88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300601</w:t>
            </w:r>
          </w:p>
        </w:tc>
        <w:tc>
          <w:tcPr>
            <w:tcW w:w="750" w:type="pct"/>
            <w:tcBorders>
              <w:top w:val="single" w:sz="4" w:space="0" w:color="auto"/>
              <w:left w:val="single" w:sz="4" w:space="0" w:color="auto"/>
              <w:bottom w:val="single" w:sz="4" w:space="0" w:color="auto"/>
              <w:right w:val="single" w:sz="4" w:space="0" w:color="auto"/>
            </w:tcBorders>
            <w:vAlign w:val="center"/>
          </w:tcPr>
          <w:p w14:paraId="52BD55F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康泰生物</w:t>
            </w:r>
          </w:p>
        </w:tc>
        <w:tc>
          <w:tcPr>
            <w:tcW w:w="750" w:type="pct"/>
            <w:tcBorders>
              <w:top w:val="single" w:sz="4" w:space="0" w:color="auto"/>
              <w:left w:val="single" w:sz="4" w:space="0" w:color="auto"/>
              <w:bottom w:val="single" w:sz="4" w:space="0" w:color="auto"/>
              <w:right w:val="single" w:sz="4" w:space="0" w:color="auto"/>
            </w:tcBorders>
            <w:vAlign w:val="center"/>
          </w:tcPr>
          <w:p w14:paraId="4497132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110,880</w:t>
            </w:r>
          </w:p>
        </w:tc>
        <w:tc>
          <w:tcPr>
            <w:tcW w:w="750" w:type="pct"/>
            <w:tcBorders>
              <w:top w:val="single" w:sz="4" w:space="0" w:color="auto"/>
              <w:left w:val="single" w:sz="4" w:space="0" w:color="auto"/>
              <w:bottom w:val="single" w:sz="4" w:space="0" w:color="auto"/>
              <w:right w:val="single" w:sz="4" w:space="0" w:color="auto"/>
            </w:tcBorders>
            <w:vAlign w:val="center"/>
          </w:tcPr>
          <w:p w14:paraId="72C5E09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17,980,300.80</w:t>
            </w:r>
          </w:p>
        </w:tc>
        <w:tc>
          <w:tcPr>
            <w:tcW w:w="750" w:type="pct"/>
            <w:tcBorders>
              <w:top w:val="single" w:sz="4" w:space="0" w:color="auto"/>
              <w:left w:val="single" w:sz="4" w:space="0" w:color="auto"/>
              <w:bottom w:val="single" w:sz="4" w:space="0" w:color="auto"/>
              <w:right w:val="single" w:sz="4" w:space="0" w:color="auto"/>
            </w:tcBorders>
            <w:vAlign w:val="center"/>
          </w:tcPr>
          <w:p w14:paraId="2C4691A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2.89</w:t>
            </w:r>
          </w:p>
        </w:tc>
      </w:tr>
    </w:tbl>
    <w:p w14:paraId="3BA1A58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报告期末积极投资按公允价值占基金资产净值比例大小排序的前五名股票投资明细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791B53" w14:paraId="7D8F84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570A2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D2C334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23B934B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13273FC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63C7324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vAlign w:val="center"/>
          </w:tcPr>
          <w:p w14:paraId="6BDFA37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791B53" w14:paraId="15C51B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DCA0D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C13119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300824</w:t>
            </w:r>
          </w:p>
        </w:tc>
        <w:tc>
          <w:tcPr>
            <w:tcW w:w="750" w:type="pct"/>
            <w:tcBorders>
              <w:top w:val="single" w:sz="4" w:space="0" w:color="auto"/>
              <w:left w:val="single" w:sz="4" w:space="0" w:color="auto"/>
              <w:bottom w:val="single" w:sz="4" w:space="0" w:color="auto"/>
              <w:right w:val="single" w:sz="4" w:space="0" w:color="auto"/>
            </w:tcBorders>
            <w:vAlign w:val="center"/>
          </w:tcPr>
          <w:p w14:paraId="02961A75"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北鼎股份</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5381BD4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1,954</w:t>
            </w:r>
          </w:p>
        </w:tc>
        <w:tc>
          <w:tcPr>
            <w:tcW w:w="750" w:type="pct"/>
            <w:tcBorders>
              <w:top w:val="single" w:sz="4" w:space="0" w:color="auto"/>
              <w:left w:val="single" w:sz="4" w:space="0" w:color="auto"/>
              <w:bottom w:val="single" w:sz="4" w:space="0" w:color="auto"/>
              <w:right w:val="single" w:sz="4" w:space="0" w:color="auto"/>
            </w:tcBorders>
            <w:vAlign w:val="center"/>
          </w:tcPr>
          <w:p w14:paraId="3346AD7A"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26,789.34</w:t>
            </w:r>
          </w:p>
        </w:tc>
        <w:tc>
          <w:tcPr>
            <w:tcW w:w="750" w:type="pct"/>
            <w:tcBorders>
              <w:top w:val="single" w:sz="4" w:space="0" w:color="auto"/>
              <w:left w:val="single" w:sz="4" w:space="0" w:color="auto"/>
              <w:bottom w:val="single" w:sz="4" w:space="0" w:color="auto"/>
              <w:right w:val="single" w:sz="4" w:space="0" w:color="auto"/>
            </w:tcBorders>
            <w:vAlign w:val="center"/>
          </w:tcPr>
          <w:p w14:paraId="3979EEA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791B53" w14:paraId="635368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AFF15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9C9D98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300842</w:t>
            </w:r>
          </w:p>
        </w:tc>
        <w:tc>
          <w:tcPr>
            <w:tcW w:w="750" w:type="pct"/>
            <w:tcBorders>
              <w:top w:val="single" w:sz="4" w:space="0" w:color="auto"/>
              <w:left w:val="single" w:sz="4" w:space="0" w:color="auto"/>
              <w:bottom w:val="single" w:sz="4" w:space="0" w:color="auto"/>
              <w:right w:val="single" w:sz="4" w:space="0" w:color="auto"/>
            </w:tcBorders>
            <w:vAlign w:val="center"/>
          </w:tcPr>
          <w:p w14:paraId="1FAB5B8D"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帝科股份</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0BE3F09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sz="4" w:space="0" w:color="auto"/>
              <w:left w:val="single" w:sz="4" w:space="0" w:color="auto"/>
              <w:bottom w:val="single" w:sz="4" w:space="0" w:color="auto"/>
              <w:right w:val="single" w:sz="4" w:space="0" w:color="auto"/>
            </w:tcBorders>
            <w:vAlign w:val="center"/>
          </w:tcPr>
          <w:p w14:paraId="4291857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18,527.60</w:t>
            </w:r>
          </w:p>
        </w:tc>
        <w:tc>
          <w:tcPr>
            <w:tcW w:w="750" w:type="pct"/>
            <w:tcBorders>
              <w:top w:val="single" w:sz="4" w:space="0" w:color="auto"/>
              <w:left w:val="single" w:sz="4" w:space="0" w:color="auto"/>
              <w:bottom w:val="single" w:sz="4" w:space="0" w:color="auto"/>
              <w:right w:val="single" w:sz="4" w:space="0" w:color="auto"/>
            </w:tcBorders>
            <w:vAlign w:val="center"/>
          </w:tcPr>
          <w:p w14:paraId="63B9A09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791B53" w14:paraId="0C0665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EEEC4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5EC29A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300839</w:t>
            </w:r>
          </w:p>
        </w:tc>
        <w:tc>
          <w:tcPr>
            <w:tcW w:w="750" w:type="pct"/>
            <w:tcBorders>
              <w:top w:val="single" w:sz="4" w:space="0" w:color="auto"/>
              <w:left w:val="single" w:sz="4" w:space="0" w:color="auto"/>
              <w:bottom w:val="single" w:sz="4" w:space="0" w:color="auto"/>
              <w:right w:val="single" w:sz="4" w:space="0" w:color="auto"/>
            </w:tcBorders>
            <w:vAlign w:val="center"/>
          </w:tcPr>
          <w:p w14:paraId="2005CF4C"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博汇股份</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19EE46DE"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502</w:t>
            </w:r>
          </w:p>
        </w:tc>
        <w:tc>
          <w:tcPr>
            <w:tcW w:w="750" w:type="pct"/>
            <w:tcBorders>
              <w:top w:val="single" w:sz="4" w:space="0" w:color="auto"/>
              <w:left w:val="single" w:sz="4" w:space="0" w:color="auto"/>
              <w:bottom w:val="single" w:sz="4" w:space="0" w:color="auto"/>
              <w:right w:val="single" w:sz="4" w:space="0" w:color="auto"/>
            </w:tcBorders>
            <w:vAlign w:val="center"/>
          </w:tcPr>
          <w:p w14:paraId="6521653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11,751.82</w:t>
            </w:r>
          </w:p>
        </w:tc>
        <w:tc>
          <w:tcPr>
            <w:tcW w:w="750" w:type="pct"/>
            <w:tcBorders>
              <w:top w:val="single" w:sz="4" w:space="0" w:color="auto"/>
              <w:left w:val="single" w:sz="4" w:space="0" w:color="auto"/>
              <w:bottom w:val="single" w:sz="4" w:space="0" w:color="auto"/>
              <w:right w:val="single" w:sz="4" w:space="0" w:color="auto"/>
            </w:tcBorders>
            <w:vAlign w:val="center"/>
          </w:tcPr>
          <w:p w14:paraId="4D352CD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791B53" w14:paraId="57C653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6977C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525766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300847</w:t>
            </w:r>
          </w:p>
        </w:tc>
        <w:tc>
          <w:tcPr>
            <w:tcW w:w="750" w:type="pct"/>
            <w:tcBorders>
              <w:top w:val="single" w:sz="4" w:space="0" w:color="auto"/>
              <w:left w:val="single" w:sz="4" w:space="0" w:color="auto"/>
              <w:bottom w:val="single" w:sz="4" w:space="0" w:color="auto"/>
              <w:right w:val="single" w:sz="4" w:space="0" w:color="auto"/>
            </w:tcBorders>
            <w:vAlign w:val="center"/>
          </w:tcPr>
          <w:p w14:paraId="293BDDD4"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中船汉光</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78B9DF6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1,420</w:t>
            </w:r>
          </w:p>
        </w:tc>
        <w:tc>
          <w:tcPr>
            <w:tcW w:w="750" w:type="pct"/>
            <w:tcBorders>
              <w:top w:val="single" w:sz="4" w:space="0" w:color="auto"/>
              <w:left w:val="single" w:sz="4" w:space="0" w:color="auto"/>
              <w:bottom w:val="single" w:sz="4" w:space="0" w:color="auto"/>
              <w:right w:val="single" w:sz="4" w:space="0" w:color="auto"/>
            </w:tcBorders>
            <w:vAlign w:val="center"/>
          </w:tcPr>
          <w:p w14:paraId="0DBBBCD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9,854.80</w:t>
            </w:r>
          </w:p>
        </w:tc>
        <w:tc>
          <w:tcPr>
            <w:tcW w:w="750" w:type="pct"/>
            <w:tcBorders>
              <w:top w:val="single" w:sz="4" w:space="0" w:color="auto"/>
              <w:left w:val="single" w:sz="4" w:space="0" w:color="auto"/>
              <w:bottom w:val="single" w:sz="4" w:space="0" w:color="auto"/>
              <w:right w:val="single" w:sz="4" w:space="0" w:color="auto"/>
            </w:tcBorders>
            <w:vAlign w:val="center"/>
          </w:tcPr>
          <w:p w14:paraId="7648894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791B53" w14:paraId="66F48F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8B0EA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7BF368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300845</w:t>
            </w:r>
          </w:p>
        </w:tc>
        <w:tc>
          <w:tcPr>
            <w:tcW w:w="750" w:type="pct"/>
            <w:tcBorders>
              <w:top w:val="single" w:sz="4" w:space="0" w:color="auto"/>
              <w:left w:val="single" w:sz="4" w:space="0" w:color="auto"/>
              <w:bottom w:val="single" w:sz="4" w:space="0" w:color="auto"/>
              <w:right w:val="single" w:sz="4" w:space="0" w:color="auto"/>
            </w:tcBorders>
            <w:vAlign w:val="center"/>
          </w:tcPr>
          <w:p w14:paraId="2D9BA2B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捷安高科</w:t>
            </w:r>
          </w:p>
        </w:tc>
        <w:tc>
          <w:tcPr>
            <w:tcW w:w="750" w:type="pct"/>
            <w:tcBorders>
              <w:top w:val="single" w:sz="4" w:space="0" w:color="auto"/>
              <w:left w:val="single" w:sz="4" w:space="0" w:color="auto"/>
              <w:bottom w:val="single" w:sz="4" w:space="0" w:color="auto"/>
              <w:right w:val="single" w:sz="4" w:space="0" w:color="auto"/>
            </w:tcBorders>
            <w:vAlign w:val="center"/>
          </w:tcPr>
          <w:p w14:paraId="46BD75B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470</w:t>
            </w:r>
          </w:p>
        </w:tc>
        <w:tc>
          <w:tcPr>
            <w:tcW w:w="750" w:type="pct"/>
            <w:tcBorders>
              <w:top w:val="single" w:sz="4" w:space="0" w:color="auto"/>
              <w:left w:val="single" w:sz="4" w:space="0" w:color="auto"/>
              <w:bottom w:val="single" w:sz="4" w:space="0" w:color="auto"/>
              <w:right w:val="single" w:sz="4" w:space="0" w:color="auto"/>
            </w:tcBorders>
            <w:vAlign w:val="center"/>
          </w:tcPr>
          <w:p w14:paraId="6D5981EF"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8,286.10</w:t>
            </w:r>
          </w:p>
        </w:tc>
        <w:tc>
          <w:tcPr>
            <w:tcW w:w="750" w:type="pct"/>
            <w:tcBorders>
              <w:top w:val="single" w:sz="4" w:space="0" w:color="auto"/>
              <w:left w:val="single" w:sz="4" w:space="0" w:color="auto"/>
              <w:bottom w:val="single" w:sz="4" w:space="0" w:color="auto"/>
              <w:right w:val="single" w:sz="4" w:space="0" w:color="auto"/>
            </w:tcBorders>
            <w:vAlign w:val="center"/>
          </w:tcPr>
          <w:p w14:paraId="1DDA9E3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14:paraId="4F32147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4F46FE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71AFB08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7C15103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4F1C566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p w14:paraId="0D2BF62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6A8F01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14:paraId="0B2FA7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3E481BF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6F6663B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460B72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报告期末本基金投资的股指期货交易情况说明</w:t>
      </w:r>
    </w:p>
    <w:p w14:paraId="4039C27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02E519C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2A19DD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3D534FE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402DC1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366E41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11.2 </w:t>
      </w:r>
      <w:r>
        <w:rPr>
          <w:rFonts w:ascii="Times New Roman" w:hAnsi="Times New Roman"/>
          <w:sz w:val="24"/>
        </w:rPr>
        <w:t>本基金投资的前十名股票中，没有超出基金合同规定的备选股票库之外的股票。</w:t>
      </w:r>
    </w:p>
    <w:p w14:paraId="3ED5D2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其他各项资产构成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791B53" w14:paraId="3A184C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07E9F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6A7759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2157A31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791B53" w14:paraId="2D198D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38A55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52D1B1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2E73D75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571,719.99</w:t>
            </w:r>
          </w:p>
        </w:tc>
      </w:tr>
      <w:tr w:rsidR="00791B53" w14:paraId="3F4548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6115A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F89C73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73AC97B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33462D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01349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94A68D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6A56CA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06A72C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473BC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5CDFA59"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1A09D7C4"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4,722.31</w:t>
            </w:r>
          </w:p>
        </w:tc>
      </w:tr>
      <w:tr w:rsidR="00791B53" w14:paraId="66085A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709F4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99C53B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D439DC5"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17,457,590.86</w:t>
            </w:r>
          </w:p>
        </w:tc>
      </w:tr>
      <w:tr w:rsidR="00791B53" w14:paraId="13396F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8C271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0C59C8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8133086"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2B2BE8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67296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9AC5E2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04A43903"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6C4ECF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8FE47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13C355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7DD8415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791B53" w14:paraId="3CB4BD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77043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EE9D0E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2B0011B9"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18,034,033.16</w:t>
            </w:r>
          </w:p>
        </w:tc>
      </w:tr>
    </w:tbl>
    <w:p w14:paraId="7CE7E1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14:paraId="66C89D5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394996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报告期末投资的股票存在流通受限情况的说明</w:t>
      </w:r>
    </w:p>
    <w:p w14:paraId="57153E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11.5.1</w:t>
      </w:r>
      <w:r>
        <w:rPr>
          <w:rFonts w:ascii="Times New Roman" w:hAnsi="Times New Roman"/>
          <w:sz w:val="24"/>
        </w:rPr>
        <w:t>报告期末指数投资前十名股票中存在流通受限情况的说明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791B53" w14:paraId="245699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F9A89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8C6D54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5EF18FE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742ACC8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vAlign w:val="center"/>
          </w:tcPr>
          <w:p w14:paraId="28F59D6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1A3649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791B53" w14:paraId="3D22A9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59CFA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580637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300413</w:t>
            </w:r>
          </w:p>
        </w:tc>
        <w:tc>
          <w:tcPr>
            <w:tcW w:w="750" w:type="pct"/>
            <w:tcBorders>
              <w:top w:val="single" w:sz="4" w:space="0" w:color="auto"/>
              <w:left w:val="single" w:sz="4" w:space="0" w:color="auto"/>
              <w:bottom w:val="single" w:sz="4" w:space="0" w:color="auto"/>
              <w:right w:val="single" w:sz="4" w:space="0" w:color="auto"/>
            </w:tcBorders>
            <w:vAlign w:val="center"/>
          </w:tcPr>
          <w:p w14:paraId="597449E8"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芒果超媒</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5D44315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20,236,800.00</w:t>
            </w:r>
          </w:p>
        </w:tc>
        <w:tc>
          <w:tcPr>
            <w:tcW w:w="750" w:type="pct"/>
            <w:tcBorders>
              <w:top w:val="single" w:sz="4" w:space="0" w:color="auto"/>
              <w:left w:val="single" w:sz="4" w:space="0" w:color="auto"/>
              <w:bottom w:val="single" w:sz="4" w:space="0" w:color="auto"/>
              <w:right w:val="single" w:sz="4" w:space="0" w:color="auto"/>
            </w:tcBorders>
            <w:vAlign w:val="center"/>
          </w:tcPr>
          <w:p w14:paraId="1C26555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3.26</w:t>
            </w:r>
          </w:p>
        </w:tc>
        <w:tc>
          <w:tcPr>
            <w:tcW w:w="750" w:type="pct"/>
            <w:tcBorders>
              <w:top w:val="single" w:sz="4" w:space="0" w:color="auto"/>
              <w:left w:val="single" w:sz="4" w:space="0" w:color="auto"/>
              <w:bottom w:val="single" w:sz="4" w:space="0" w:color="auto"/>
              <w:right w:val="single" w:sz="4" w:space="0" w:color="auto"/>
            </w:tcBorders>
            <w:vAlign w:val="center"/>
          </w:tcPr>
          <w:p w14:paraId="05A59A72"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14:paraId="75D64C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11.5.2</w:t>
      </w:r>
      <w:r>
        <w:rPr>
          <w:rFonts w:ascii="Times New Roman" w:hAnsi="Times New Roman"/>
          <w:sz w:val="24"/>
        </w:rPr>
        <w:t>报告期末积极投资前五名股票中存在流通受限情况的说明</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791B53" w14:paraId="7F55BE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32E4E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085439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437FF75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1F4090A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sz="4" w:space="0" w:color="auto"/>
              <w:left w:val="single" w:sz="4" w:space="0" w:color="auto"/>
              <w:bottom w:val="single" w:sz="4" w:space="0" w:color="auto"/>
              <w:right w:val="single" w:sz="4" w:space="0" w:color="auto"/>
            </w:tcBorders>
            <w:vAlign w:val="center"/>
          </w:tcPr>
          <w:p w14:paraId="0AFA64E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2FD028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rsidR="00791B53" w14:paraId="1FFF31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7ABBE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A8645D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300847</w:t>
            </w:r>
          </w:p>
        </w:tc>
        <w:tc>
          <w:tcPr>
            <w:tcW w:w="750" w:type="pct"/>
            <w:tcBorders>
              <w:top w:val="single" w:sz="4" w:space="0" w:color="auto"/>
              <w:left w:val="single" w:sz="4" w:space="0" w:color="auto"/>
              <w:bottom w:val="single" w:sz="4" w:space="0" w:color="auto"/>
              <w:right w:val="single" w:sz="4" w:space="0" w:color="auto"/>
            </w:tcBorders>
            <w:vAlign w:val="center"/>
          </w:tcPr>
          <w:p w14:paraId="6C31E4D4" w14:textId="77777777" w:rsidR="00791B53" w:rsidRDefault="002C0D99">
            <w:pPr>
              <w:widowControl/>
              <w:snapToGrid w:val="0"/>
              <w:jc w:val="center"/>
              <w:rPr>
                <w:rFonts w:ascii="宋体" w:hAnsi="宋体"/>
                <w:color w:val="000000"/>
                <w:kern w:val="0"/>
                <w:sz w:val="25"/>
                <w:szCs w:val="24"/>
              </w:rPr>
            </w:pPr>
            <w:proofErr w:type="gramStart"/>
            <w:r>
              <w:rPr>
                <w:rFonts w:ascii="Times New Roman" w:hAnsi="Times New Roman"/>
                <w:color w:val="000000"/>
                <w:kern w:val="0"/>
                <w:sz w:val="25"/>
                <w:szCs w:val="24"/>
              </w:rPr>
              <w:t>中船汉光</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51247ACC"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9,854.80</w:t>
            </w:r>
          </w:p>
        </w:tc>
        <w:tc>
          <w:tcPr>
            <w:tcW w:w="750" w:type="pct"/>
            <w:tcBorders>
              <w:top w:val="single" w:sz="4" w:space="0" w:color="auto"/>
              <w:left w:val="single" w:sz="4" w:space="0" w:color="auto"/>
              <w:bottom w:val="single" w:sz="4" w:space="0" w:color="auto"/>
              <w:right w:val="single" w:sz="4" w:space="0" w:color="auto"/>
            </w:tcBorders>
            <w:vAlign w:val="center"/>
          </w:tcPr>
          <w:p w14:paraId="7F87BF98"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15CE221B"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新股未上市</w:t>
            </w:r>
          </w:p>
        </w:tc>
      </w:tr>
      <w:tr w:rsidR="00791B53" w14:paraId="5BC2EE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11ADC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D45A93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300845</w:t>
            </w:r>
          </w:p>
        </w:tc>
        <w:tc>
          <w:tcPr>
            <w:tcW w:w="750" w:type="pct"/>
            <w:tcBorders>
              <w:top w:val="single" w:sz="4" w:space="0" w:color="auto"/>
              <w:left w:val="single" w:sz="4" w:space="0" w:color="auto"/>
              <w:bottom w:val="single" w:sz="4" w:space="0" w:color="auto"/>
              <w:right w:val="single" w:sz="4" w:space="0" w:color="auto"/>
            </w:tcBorders>
            <w:vAlign w:val="center"/>
          </w:tcPr>
          <w:p w14:paraId="247902E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捷安高科</w:t>
            </w:r>
          </w:p>
        </w:tc>
        <w:tc>
          <w:tcPr>
            <w:tcW w:w="750" w:type="pct"/>
            <w:tcBorders>
              <w:top w:val="single" w:sz="4" w:space="0" w:color="auto"/>
              <w:left w:val="single" w:sz="4" w:space="0" w:color="auto"/>
              <w:bottom w:val="single" w:sz="4" w:space="0" w:color="auto"/>
              <w:right w:val="single" w:sz="4" w:space="0" w:color="auto"/>
            </w:tcBorders>
            <w:vAlign w:val="center"/>
          </w:tcPr>
          <w:p w14:paraId="51718860"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8,286.10</w:t>
            </w:r>
          </w:p>
        </w:tc>
        <w:tc>
          <w:tcPr>
            <w:tcW w:w="750" w:type="pct"/>
            <w:tcBorders>
              <w:top w:val="single" w:sz="4" w:space="0" w:color="auto"/>
              <w:left w:val="single" w:sz="4" w:space="0" w:color="auto"/>
              <w:bottom w:val="single" w:sz="4" w:space="0" w:color="auto"/>
              <w:right w:val="single" w:sz="4" w:space="0" w:color="auto"/>
            </w:tcBorders>
            <w:vAlign w:val="center"/>
          </w:tcPr>
          <w:p w14:paraId="0B899BA7"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392501CD" w14:textId="77777777" w:rsidR="00791B53" w:rsidRDefault="002C0D99">
            <w:pPr>
              <w:widowControl/>
              <w:snapToGrid w:val="0"/>
              <w:jc w:val="right"/>
              <w:rPr>
                <w:rFonts w:ascii="宋体" w:hAnsi="宋体"/>
                <w:color w:val="000000"/>
                <w:kern w:val="0"/>
                <w:sz w:val="25"/>
                <w:szCs w:val="24"/>
              </w:rPr>
            </w:pPr>
            <w:r>
              <w:rPr>
                <w:rFonts w:ascii="Times New Roman" w:hAnsi="Times New Roman"/>
                <w:color w:val="000000"/>
                <w:kern w:val="0"/>
                <w:sz w:val="25"/>
                <w:szCs w:val="24"/>
              </w:rPr>
              <w:t>新股未上市</w:t>
            </w:r>
          </w:p>
        </w:tc>
      </w:tr>
    </w:tbl>
    <w:p w14:paraId="604F82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65539D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53CC36BE"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5CFB6D" w14:textId="77777777" w:rsidR="00791B53" w:rsidRDefault="002C0D99">
      <w:pPr>
        <w:pStyle w:val="1"/>
        <w:snapToGrid w:val="0"/>
        <w:spacing w:beforeLines="0" w:before="240" w:after="240"/>
        <w:rPr>
          <w:rFonts w:ascii="宋体" w:hAnsi="宋体"/>
          <w:szCs w:val="30"/>
        </w:rPr>
      </w:pPr>
      <w:bookmarkStart w:id="13" w:name="_Toc54104354"/>
      <w:r>
        <w:rPr>
          <w:rFonts w:ascii="Times New Roman" w:hAnsi="Times New Roman"/>
          <w:sz w:val="30"/>
        </w:rPr>
        <w:lastRenderedPageBreak/>
        <w:t>十一、基金的业绩</w:t>
      </w:r>
      <w:bookmarkEnd w:id="13"/>
    </w:p>
    <w:p w14:paraId="76266D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3B4C25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7359C4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p w14:paraId="55DA3C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）交银创业板</w:t>
      </w:r>
      <w:r>
        <w:rPr>
          <w:rFonts w:ascii="Times New Roman" w:hAnsi="Times New Roman"/>
          <w:sz w:val="24"/>
        </w:rPr>
        <w:t>50</w:t>
      </w:r>
      <w:r>
        <w:rPr>
          <w:rFonts w:ascii="Times New Roman" w:hAnsi="Times New Roman"/>
          <w:sz w:val="24"/>
        </w:rPr>
        <w:t>指数</w:t>
      </w:r>
      <w:r>
        <w:rPr>
          <w:rFonts w:ascii="Times New Roman" w:hAnsi="Times New Roman"/>
          <w:sz w:val="24"/>
        </w:rPr>
        <w:t>A</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791B53" w14:paraId="1CB1D2D2"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305EEB5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47753C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30D4E33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21D6F1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E3CF6A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33CFC21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4556FE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791B53" w14:paraId="53928445"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6CF1921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0A7E40F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890127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33.85%</w:t>
            </w:r>
          </w:p>
        </w:tc>
        <w:tc>
          <w:tcPr>
            <w:tcW w:w="750" w:type="pct"/>
            <w:tcBorders>
              <w:top w:val="single" w:sz="4" w:space="0" w:color="auto"/>
              <w:left w:val="single" w:sz="4" w:space="0" w:color="auto"/>
              <w:bottom w:val="single" w:sz="4" w:space="0" w:color="auto"/>
              <w:right w:val="single" w:sz="4" w:space="0" w:color="auto"/>
            </w:tcBorders>
            <w:vAlign w:val="center"/>
          </w:tcPr>
          <w:p w14:paraId="3A20151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7BD5513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33.79%</w:t>
            </w:r>
          </w:p>
        </w:tc>
        <w:tc>
          <w:tcPr>
            <w:tcW w:w="750" w:type="pct"/>
            <w:tcBorders>
              <w:top w:val="single" w:sz="4" w:space="0" w:color="auto"/>
              <w:left w:val="single" w:sz="4" w:space="0" w:color="auto"/>
              <w:bottom w:val="single" w:sz="4" w:space="0" w:color="auto"/>
              <w:right w:val="single" w:sz="4" w:space="0" w:color="auto"/>
            </w:tcBorders>
            <w:vAlign w:val="center"/>
          </w:tcPr>
          <w:p w14:paraId="4198B61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14:paraId="1A8E82C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83BA76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791B53" w14:paraId="3FFAB27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6E92116"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8A7108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年上半年</w:t>
            </w:r>
          </w:p>
        </w:tc>
        <w:tc>
          <w:tcPr>
            <w:tcW w:w="750" w:type="pct"/>
            <w:tcBorders>
              <w:top w:val="single" w:sz="4" w:space="0" w:color="auto"/>
              <w:left w:val="single" w:sz="4" w:space="0" w:color="auto"/>
              <w:bottom w:val="single" w:sz="4" w:space="0" w:color="auto"/>
              <w:right w:val="single" w:sz="4" w:space="0" w:color="auto"/>
            </w:tcBorders>
            <w:vAlign w:val="center"/>
          </w:tcPr>
          <w:p w14:paraId="2C32B69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41.52%</w:t>
            </w:r>
          </w:p>
        </w:tc>
        <w:tc>
          <w:tcPr>
            <w:tcW w:w="750" w:type="pct"/>
            <w:tcBorders>
              <w:top w:val="single" w:sz="4" w:space="0" w:color="auto"/>
              <w:left w:val="single" w:sz="4" w:space="0" w:color="auto"/>
              <w:bottom w:val="single" w:sz="4" w:space="0" w:color="auto"/>
              <w:right w:val="single" w:sz="4" w:space="0" w:color="auto"/>
            </w:tcBorders>
            <w:vAlign w:val="center"/>
          </w:tcPr>
          <w:p w14:paraId="309439C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2.07%</w:t>
            </w:r>
          </w:p>
        </w:tc>
        <w:tc>
          <w:tcPr>
            <w:tcW w:w="750" w:type="pct"/>
            <w:tcBorders>
              <w:top w:val="single" w:sz="4" w:space="0" w:color="auto"/>
              <w:left w:val="single" w:sz="4" w:space="0" w:color="auto"/>
              <w:bottom w:val="single" w:sz="4" w:space="0" w:color="auto"/>
              <w:right w:val="single" w:sz="4" w:space="0" w:color="auto"/>
            </w:tcBorders>
            <w:vAlign w:val="center"/>
          </w:tcPr>
          <w:p w14:paraId="4179E04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40.30%</w:t>
            </w:r>
          </w:p>
        </w:tc>
        <w:tc>
          <w:tcPr>
            <w:tcW w:w="750" w:type="pct"/>
            <w:tcBorders>
              <w:top w:val="single" w:sz="4" w:space="0" w:color="auto"/>
              <w:left w:val="single" w:sz="4" w:space="0" w:color="auto"/>
              <w:bottom w:val="single" w:sz="4" w:space="0" w:color="auto"/>
              <w:right w:val="single" w:sz="4" w:space="0" w:color="auto"/>
            </w:tcBorders>
            <w:vAlign w:val="center"/>
          </w:tcPr>
          <w:p w14:paraId="7B9E2B8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7DF9DB0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7554598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791B53" w14:paraId="6BEFCE7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F9D1171"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B2D4D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429C568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2.76%</w:t>
            </w:r>
          </w:p>
        </w:tc>
        <w:tc>
          <w:tcPr>
            <w:tcW w:w="750" w:type="pct"/>
            <w:tcBorders>
              <w:top w:val="single" w:sz="4" w:space="0" w:color="auto"/>
              <w:left w:val="single" w:sz="4" w:space="0" w:color="auto"/>
              <w:bottom w:val="single" w:sz="4" w:space="0" w:color="auto"/>
              <w:right w:val="single" w:sz="4" w:space="0" w:color="auto"/>
            </w:tcBorders>
            <w:vAlign w:val="center"/>
          </w:tcPr>
          <w:p w14:paraId="02B0871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0.50%</w:t>
            </w:r>
          </w:p>
        </w:tc>
        <w:tc>
          <w:tcPr>
            <w:tcW w:w="750" w:type="pct"/>
            <w:tcBorders>
              <w:top w:val="single" w:sz="4" w:space="0" w:color="auto"/>
              <w:left w:val="single" w:sz="4" w:space="0" w:color="auto"/>
              <w:bottom w:val="single" w:sz="4" w:space="0" w:color="auto"/>
              <w:right w:val="single" w:sz="4" w:space="0" w:color="auto"/>
            </w:tcBorders>
            <w:vAlign w:val="center"/>
          </w:tcPr>
          <w:p w14:paraId="493BFFA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6.14%</w:t>
            </w:r>
          </w:p>
        </w:tc>
        <w:tc>
          <w:tcPr>
            <w:tcW w:w="750" w:type="pct"/>
            <w:tcBorders>
              <w:top w:val="single" w:sz="4" w:space="0" w:color="auto"/>
              <w:left w:val="single" w:sz="4" w:space="0" w:color="auto"/>
              <w:bottom w:val="single" w:sz="4" w:space="0" w:color="auto"/>
              <w:right w:val="single" w:sz="4" w:space="0" w:color="auto"/>
            </w:tcBorders>
            <w:vAlign w:val="center"/>
          </w:tcPr>
          <w:p w14:paraId="1DCAC81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14:paraId="076BDE5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503DBFB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-0.69%</w:t>
            </w:r>
          </w:p>
        </w:tc>
      </w:tr>
    </w:tbl>
    <w:p w14:paraId="69D01A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）交银创业板</w:t>
      </w:r>
      <w:r>
        <w:rPr>
          <w:rFonts w:ascii="Times New Roman" w:hAnsi="Times New Roman"/>
          <w:sz w:val="24"/>
        </w:rPr>
        <w:t>50</w:t>
      </w:r>
      <w:r>
        <w:rPr>
          <w:rFonts w:ascii="Times New Roman" w:hAnsi="Times New Roman"/>
          <w:sz w:val="24"/>
        </w:rPr>
        <w:t>指数</w:t>
      </w:r>
      <w:r>
        <w:rPr>
          <w:rFonts w:ascii="Times New Roman" w:hAnsi="Times New Roman"/>
          <w:sz w:val="24"/>
        </w:rPr>
        <w:t>C</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791B53" w14:paraId="714F45F6"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6F8ACDB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3B0259C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643B8DB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BB7D46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65C857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6788DA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29DF29B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791B53" w14:paraId="3FEDED7B"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093BE65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59FFF70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BB4076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33.72%</w:t>
            </w:r>
          </w:p>
        </w:tc>
        <w:tc>
          <w:tcPr>
            <w:tcW w:w="750" w:type="pct"/>
            <w:tcBorders>
              <w:top w:val="single" w:sz="4" w:space="0" w:color="auto"/>
              <w:left w:val="single" w:sz="4" w:space="0" w:color="auto"/>
              <w:bottom w:val="single" w:sz="4" w:space="0" w:color="auto"/>
              <w:right w:val="single" w:sz="4" w:space="0" w:color="auto"/>
            </w:tcBorders>
            <w:vAlign w:val="center"/>
          </w:tcPr>
          <w:p w14:paraId="548CE80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14:paraId="3CAE978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33.79%</w:t>
            </w:r>
          </w:p>
        </w:tc>
        <w:tc>
          <w:tcPr>
            <w:tcW w:w="750" w:type="pct"/>
            <w:tcBorders>
              <w:top w:val="single" w:sz="4" w:space="0" w:color="auto"/>
              <w:left w:val="single" w:sz="4" w:space="0" w:color="auto"/>
              <w:bottom w:val="single" w:sz="4" w:space="0" w:color="auto"/>
              <w:right w:val="single" w:sz="4" w:space="0" w:color="auto"/>
            </w:tcBorders>
            <w:vAlign w:val="center"/>
          </w:tcPr>
          <w:p w14:paraId="10F721D5"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sz="4" w:space="0" w:color="auto"/>
              <w:left w:val="single" w:sz="4" w:space="0" w:color="auto"/>
              <w:bottom w:val="single" w:sz="4" w:space="0" w:color="auto"/>
              <w:right w:val="single" w:sz="4" w:space="0" w:color="auto"/>
            </w:tcBorders>
            <w:vAlign w:val="center"/>
          </w:tcPr>
          <w:p w14:paraId="73D9A66B"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FD23FF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791B53" w14:paraId="4D49A70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5BC6B6A"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871924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年上半年</w:t>
            </w:r>
          </w:p>
        </w:tc>
        <w:tc>
          <w:tcPr>
            <w:tcW w:w="750" w:type="pct"/>
            <w:tcBorders>
              <w:top w:val="single" w:sz="4" w:space="0" w:color="auto"/>
              <w:left w:val="single" w:sz="4" w:space="0" w:color="auto"/>
              <w:bottom w:val="single" w:sz="4" w:space="0" w:color="auto"/>
              <w:right w:val="single" w:sz="4" w:space="0" w:color="auto"/>
            </w:tcBorders>
            <w:vAlign w:val="center"/>
          </w:tcPr>
          <w:p w14:paraId="4805A6A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41.26%</w:t>
            </w:r>
          </w:p>
        </w:tc>
        <w:tc>
          <w:tcPr>
            <w:tcW w:w="750" w:type="pct"/>
            <w:tcBorders>
              <w:top w:val="single" w:sz="4" w:space="0" w:color="auto"/>
              <w:left w:val="single" w:sz="4" w:space="0" w:color="auto"/>
              <w:bottom w:val="single" w:sz="4" w:space="0" w:color="auto"/>
              <w:right w:val="single" w:sz="4" w:space="0" w:color="auto"/>
            </w:tcBorders>
            <w:vAlign w:val="center"/>
          </w:tcPr>
          <w:p w14:paraId="1BD72DF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2.07%</w:t>
            </w:r>
          </w:p>
        </w:tc>
        <w:tc>
          <w:tcPr>
            <w:tcW w:w="750" w:type="pct"/>
            <w:tcBorders>
              <w:top w:val="single" w:sz="4" w:space="0" w:color="auto"/>
              <w:left w:val="single" w:sz="4" w:space="0" w:color="auto"/>
              <w:bottom w:val="single" w:sz="4" w:space="0" w:color="auto"/>
              <w:right w:val="single" w:sz="4" w:space="0" w:color="auto"/>
            </w:tcBorders>
            <w:vAlign w:val="center"/>
          </w:tcPr>
          <w:p w14:paraId="290BE3C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40.30%</w:t>
            </w:r>
          </w:p>
        </w:tc>
        <w:tc>
          <w:tcPr>
            <w:tcW w:w="750" w:type="pct"/>
            <w:tcBorders>
              <w:top w:val="single" w:sz="4" w:space="0" w:color="auto"/>
              <w:left w:val="single" w:sz="4" w:space="0" w:color="auto"/>
              <w:bottom w:val="single" w:sz="4" w:space="0" w:color="auto"/>
              <w:right w:val="single" w:sz="4" w:space="0" w:color="auto"/>
            </w:tcBorders>
            <w:vAlign w:val="center"/>
          </w:tcPr>
          <w:p w14:paraId="482F25B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53C682B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0191B14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rsidR="00791B53" w14:paraId="23B3F87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D98F1DD" w14:textId="77777777" w:rsidR="00791B53" w:rsidRDefault="00791B5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F836D1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FFC37D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2.71%</w:t>
            </w:r>
          </w:p>
        </w:tc>
        <w:tc>
          <w:tcPr>
            <w:tcW w:w="750" w:type="pct"/>
            <w:tcBorders>
              <w:top w:val="single" w:sz="4" w:space="0" w:color="auto"/>
              <w:left w:val="single" w:sz="4" w:space="0" w:color="auto"/>
              <w:bottom w:val="single" w:sz="4" w:space="0" w:color="auto"/>
              <w:right w:val="single" w:sz="4" w:space="0" w:color="auto"/>
            </w:tcBorders>
            <w:vAlign w:val="center"/>
          </w:tcPr>
          <w:p w14:paraId="49F5EC1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7A6F442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6.14%</w:t>
            </w:r>
          </w:p>
        </w:tc>
        <w:tc>
          <w:tcPr>
            <w:tcW w:w="750" w:type="pct"/>
            <w:tcBorders>
              <w:top w:val="single" w:sz="4" w:space="0" w:color="auto"/>
              <w:left w:val="single" w:sz="4" w:space="0" w:color="auto"/>
              <w:bottom w:val="single" w:sz="4" w:space="0" w:color="auto"/>
              <w:right w:val="single" w:sz="4" w:space="0" w:color="auto"/>
            </w:tcBorders>
            <w:vAlign w:val="center"/>
          </w:tcPr>
          <w:p w14:paraId="1995D06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14:paraId="2367CED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-3.43%</w:t>
            </w:r>
          </w:p>
        </w:tc>
        <w:tc>
          <w:tcPr>
            <w:tcW w:w="750" w:type="pct"/>
            <w:tcBorders>
              <w:top w:val="single" w:sz="4" w:space="0" w:color="auto"/>
              <w:left w:val="single" w:sz="4" w:space="0" w:color="auto"/>
              <w:bottom w:val="single" w:sz="4" w:space="0" w:color="auto"/>
              <w:right w:val="single" w:sz="4" w:space="0" w:color="auto"/>
            </w:tcBorders>
            <w:vAlign w:val="center"/>
          </w:tcPr>
          <w:p w14:paraId="6075D688"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-0.68%</w:t>
            </w:r>
          </w:p>
        </w:tc>
      </w:tr>
    </w:tbl>
    <w:p w14:paraId="4A50F8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1F679F6F" w14:textId="77777777" w:rsidR="00791B53" w:rsidRDefault="002C0D99">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lastRenderedPageBreak/>
        <w:t>交银施罗德创业板</w:t>
      </w:r>
      <w:r>
        <w:rPr>
          <w:rFonts w:ascii="Times New Roman" w:hAnsi="Times New Roman"/>
          <w:sz w:val="24"/>
        </w:rPr>
        <w:t>50</w:t>
      </w:r>
      <w:r>
        <w:rPr>
          <w:rFonts w:ascii="Times New Roman" w:hAnsi="Times New Roman"/>
          <w:sz w:val="24"/>
        </w:rPr>
        <w:t>指数型证券投资基金</w:t>
      </w:r>
    </w:p>
    <w:p w14:paraId="655C2FCD" w14:textId="77777777" w:rsidR="00791B53" w:rsidRDefault="002C0D99">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份额累计份额净值增长率与业绩比较基准收益率的历史走势对比图</w:t>
      </w:r>
    </w:p>
    <w:p w14:paraId="1CA2BA72" w14:textId="77777777" w:rsidR="00791B53" w:rsidRDefault="002C0D99">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29D75B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）交银创业板</w:t>
      </w:r>
      <w:r>
        <w:rPr>
          <w:rFonts w:ascii="Times New Roman" w:hAnsi="Times New Roman"/>
          <w:sz w:val="24"/>
        </w:rPr>
        <w:t>50</w:t>
      </w:r>
      <w:r>
        <w:rPr>
          <w:rFonts w:ascii="Times New Roman" w:hAnsi="Times New Roman"/>
          <w:sz w:val="24"/>
        </w:rPr>
        <w:t>指数</w:t>
      </w:r>
      <w:r>
        <w:rPr>
          <w:rFonts w:ascii="Times New Roman" w:hAnsi="Times New Roman"/>
          <w:sz w:val="24"/>
        </w:rPr>
        <w:t>A</w:t>
      </w:r>
    </w:p>
    <w:p w14:paraId="45D50DDA" w14:textId="4605B3FE" w:rsidR="00791B53" w:rsidRDefault="000C609D">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drawing>
          <wp:inline distT="0" distB="0" distL="0" distR="0" wp14:anchorId="674278E5" wp14:editId="1EE4AE76">
            <wp:extent cx="5556885" cy="3305810"/>
            <wp:effectExtent l="0" t="0" r="5715" b="889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6885" cy="3305810"/>
                    </a:xfrm>
                    <a:prstGeom prst="rect">
                      <a:avLst/>
                    </a:prstGeom>
                    <a:noFill/>
                    <a:ln>
                      <a:noFill/>
                    </a:ln>
                  </pic:spPr>
                </pic:pic>
              </a:graphicData>
            </a:graphic>
          </wp:inline>
        </w:drawing>
      </w:r>
    </w:p>
    <w:p w14:paraId="19814F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w:t>
      </w:r>
      <w:proofErr w:type="gramStart"/>
      <w:r>
        <w:rPr>
          <w:rFonts w:ascii="Times New Roman" w:hAnsi="Times New Roman"/>
          <w:sz w:val="24"/>
        </w:rPr>
        <w:t>基金基金</w:t>
      </w:r>
      <w:proofErr w:type="gramEnd"/>
      <w:r>
        <w:rPr>
          <w:rFonts w:ascii="Times New Roman" w:hAnsi="Times New Roman"/>
          <w:sz w:val="24"/>
        </w:rPr>
        <w:t>合同生效日为</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日，基金合同生效日至报告期期末，本基金运作时间未满一年。本基金建仓期为自基金合同生效日起的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10CDB31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）交银创业板</w:t>
      </w:r>
      <w:r>
        <w:rPr>
          <w:rFonts w:ascii="Times New Roman" w:hAnsi="Times New Roman"/>
          <w:sz w:val="24"/>
        </w:rPr>
        <w:t>50</w:t>
      </w:r>
      <w:r>
        <w:rPr>
          <w:rFonts w:ascii="Times New Roman" w:hAnsi="Times New Roman"/>
          <w:sz w:val="24"/>
        </w:rPr>
        <w:t>指数</w:t>
      </w:r>
      <w:r>
        <w:rPr>
          <w:rFonts w:ascii="Times New Roman" w:hAnsi="Times New Roman"/>
          <w:sz w:val="24"/>
        </w:rPr>
        <w:t>C</w:t>
      </w:r>
    </w:p>
    <w:p w14:paraId="3E5B73AF" w14:textId="174D4CFD" w:rsidR="00791B53" w:rsidRDefault="000C609D">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7C24CA25" wp14:editId="1F3D8CBF">
            <wp:extent cx="5556885" cy="3305810"/>
            <wp:effectExtent l="0" t="0" r="5715" b="889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6885" cy="3305810"/>
                    </a:xfrm>
                    <a:prstGeom prst="rect">
                      <a:avLst/>
                    </a:prstGeom>
                    <a:noFill/>
                    <a:ln>
                      <a:noFill/>
                    </a:ln>
                  </pic:spPr>
                </pic:pic>
              </a:graphicData>
            </a:graphic>
          </wp:inline>
        </w:drawing>
      </w:r>
    </w:p>
    <w:p w14:paraId="5571D8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w:t>
      </w:r>
      <w:proofErr w:type="gramStart"/>
      <w:r>
        <w:rPr>
          <w:rFonts w:ascii="Times New Roman" w:hAnsi="Times New Roman"/>
          <w:sz w:val="24"/>
        </w:rPr>
        <w:t>基金基金</w:t>
      </w:r>
      <w:proofErr w:type="gramEnd"/>
      <w:r>
        <w:rPr>
          <w:rFonts w:ascii="Times New Roman" w:hAnsi="Times New Roman"/>
          <w:sz w:val="24"/>
        </w:rPr>
        <w:t>合同生效日为</w:t>
      </w:r>
      <w:r>
        <w:rPr>
          <w:rFonts w:ascii="Times New Roman" w:hAnsi="Times New Roman"/>
          <w:sz w:val="24"/>
        </w:rPr>
        <w:t>2019</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20</w:t>
      </w:r>
      <w:r>
        <w:rPr>
          <w:rFonts w:ascii="Times New Roman" w:hAnsi="Times New Roman"/>
          <w:sz w:val="24"/>
        </w:rPr>
        <w:t>日，基金合同生效日至报告期期末，本基金运作时间未满一年。本基金建仓期为自基金合同生效日起的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0B8FE949"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F55EBA" w14:textId="77777777" w:rsidR="00791B53" w:rsidRDefault="002C0D99">
      <w:pPr>
        <w:pStyle w:val="1"/>
        <w:snapToGrid w:val="0"/>
        <w:spacing w:beforeLines="0" w:before="240" w:after="240"/>
        <w:rPr>
          <w:rFonts w:ascii="宋体" w:hAnsi="宋体"/>
          <w:szCs w:val="30"/>
        </w:rPr>
      </w:pPr>
      <w:bookmarkStart w:id="14" w:name="_Toc54104355"/>
      <w:r>
        <w:rPr>
          <w:rFonts w:ascii="Times New Roman" w:hAnsi="Times New Roman"/>
          <w:sz w:val="30"/>
        </w:rPr>
        <w:lastRenderedPageBreak/>
        <w:t>十二、基金的财产</w:t>
      </w:r>
      <w:bookmarkEnd w:id="14"/>
    </w:p>
    <w:p w14:paraId="223FCACE"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045414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基金资产总值是指基金拥有的各类有价证券、银行存款本息、基金应收申购款及其他资产的价值总和。</w:t>
      </w:r>
    </w:p>
    <w:p w14:paraId="289EBB6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6C8778E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14:paraId="243597F3"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371305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14:paraId="6FD7BF05"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14:paraId="42C8262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Times New Roman" w:hAnsi="Times New Roman"/>
          <w:sz w:val="24"/>
        </w:rPr>
        <w:t>律法规</w:t>
      </w:r>
      <w:proofErr w:type="gramEnd"/>
      <w:r>
        <w:rPr>
          <w:rFonts w:ascii="Times New Roman" w:hAnsi="Times New Roman"/>
          <w:sz w:val="24"/>
        </w:rPr>
        <w:t>和《基金合同》的规定处分外，基金财产不得被处分。</w:t>
      </w:r>
    </w:p>
    <w:p w14:paraId="136D03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Times New Roman" w:hAnsi="Times New Roman"/>
          <w:sz w:val="24"/>
        </w:rPr>
        <w:t>抵销</w:t>
      </w:r>
      <w:proofErr w:type="gramEnd"/>
      <w:r>
        <w:rPr>
          <w:rFonts w:ascii="Times New Roman" w:hAnsi="Times New Roman"/>
          <w:sz w:val="24"/>
        </w:rPr>
        <w:t>；基金管理人管理运作不同基金的基金财产所产生的债权债务不得相互</w:t>
      </w:r>
      <w:proofErr w:type="gramStart"/>
      <w:r>
        <w:rPr>
          <w:rFonts w:ascii="Times New Roman" w:hAnsi="Times New Roman"/>
          <w:sz w:val="24"/>
        </w:rPr>
        <w:t>抵销</w:t>
      </w:r>
      <w:proofErr w:type="gramEnd"/>
      <w:r>
        <w:rPr>
          <w:rFonts w:ascii="Times New Roman" w:hAnsi="Times New Roman"/>
          <w:sz w:val="24"/>
        </w:rPr>
        <w:t>。非因基金财产本身承担的债务，不得对基金财产强制执行。</w:t>
      </w:r>
    </w:p>
    <w:p w14:paraId="581DFC14"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5C651C" w14:textId="77777777" w:rsidR="00791B53" w:rsidRDefault="002C0D99">
      <w:pPr>
        <w:pStyle w:val="1"/>
        <w:snapToGrid w:val="0"/>
        <w:spacing w:beforeLines="0" w:before="240" w:after="240"/>
        <w:rPr>
          <w:rFonts w:ascii="宋体" w:hAnsi="宋体"/>
          <w:szCs w:val="30"/>
        </w:rPr>
      </w:pPr>
      <w:bookmarkStart w:id="15" w:name="_Toc54104356"/>
      <w:r>
        <w:rPr>
          <w:rFonts w:ascii="Times New Roman" w:hAnsi="Times New Roman"/>
          <w:sz w:val="30"/>
        </w:rPr>
        <w:lastRenderedPageBreak/>
        <w:t>十三、基金资产的估值</w:t>
      </w:r>
      <w:bookmarkEnd w:id="15"/>
    </w:p>
    <w:p w14:paraId="209F8E7C"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14:paraId="2429DE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w:t>
      </w:r>
      <w:proofErr w:type="gramStart"/>
      <w:r>
        <w:rPr>
          <w:rFonts w:ascii="Times New Roman" w:hAnsi="Times New Roman"/>
          <w:sz w:val="24"/>
        </w:rPr>
        <w:t>非交易</w:t>
      </w:r>
      <w:proofErr w:type="gramEnd"/>
      <w:r>
        <w:rPr>
          <w:rFonts w:ascii="Times New Roman" w:hAnsi="Times New Roman"/>
          <w:sz w:val="24"/>
        </w:rPr>
        <w:t>日。</w:t>
      </w:r>
    </w:p>
    <w:p w14:paraId="75394D20"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14:paraId="3250B6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基金所拥有的股票、债券、股指期货合约和其他投资等持续以公允价值计量的金融资产及负债。</w:t>
      </w:r>
    </w:p>
    <w:p w14:paraId="5D7F6313"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（三）估值原则</w:t>
      </w:r>
    </w:p>
    <w:p w14:paraId="7B08B7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基金管理人在确定相关金融资产和金融负债的公允价值时，应符合《企业会计准则》、监管部门有关规定。</w:t>
      </w:r>
    </w:p>
    <w:p w14:paraId="187E37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D2472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A5072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3610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、如经济环境发生重大变化或证券发行人发生影响证券价格的重大事件，使潜在估值调整对前一估值日的基金资产净值的影响在</w:t>
      </w:r>
      <w:r>
        <w:rPr>
          <w:rFonts w:ascii="Times New Roman" w:hAnsi="Times New Roman"/>
          <w:sz w:val="24"/>
        </w:rPr>
        <w:t>0.25%</w:t>
      </w:r>
      <w:r>
        <w:rPr>
          <w:rFonts w:ascii="Times New Roman" w:hAnsi="Times New Roman"/>
          <w:sz w:val="24"/>
        </w:rPr>
        <w:t>以上的，应对估值进行调整并确定公允价值。</w:t>
      </w:r>
    </w:p>
    <w:p w14:paraId="242BD19D"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（四）估值方法</w:t>
      </w:r>
    </w:p>
    <w:p w14:paraId="4015300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07E14F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）交易所上市的有价证券（包括股票等），以其估值日在证券交易所挂牌的</w:t>
      </w:r>
      <w:r>
        <w:rPr>
          <w:rFonts w:ascii="Times New Roman" w:hAnsi="Times New Roman"/>
          <w:sz w:val="24"/>
        </w:rPr>
        <w:lastRenderedPageBreak/>
        <w:t>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B471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）交易所上市交易或挂牌转让的不含</w:t>
      </w:r>
      <w:proofErr w:type="gramStart"/>
      <w:r>
        <w:rPr>
          <w:rFonts w:ascii="Times New Roman" w:hAnsi="Times New Roman"/>
          <w:sz w:val="24"/>
        </w:rPr>
        <w:t>权固定</w:t>
      </w:r>
      <w:proofErr w:type="gramEnd"/>
      <w:r>
        <w:rPr>
          <w:rFonts w:ascii="Times New Roman" w:hAnsi="Times New Roman"/>
          <w:sz w:val="24"/>
        </w:rPr>
        <w:t>收益品种（另有规定的除外），选取估值日第三方估值机构提供的相应品种当日的估值净价进行估值；</w:t>
      </w:r>
    </w:p>
    <w:p w14:paraId="4A6A10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）交易所上市交易或挂牌转让的含</w:t>
      </w:r>
      <w:proofErr w:type="gramStart"/>
      <w:r>
        <w:rPr>
          <w:rFonts w:ascii="Times New Roman" w:hAnsi="Times New Roman"/>
          <w:sz w:val="24"/>
        </w:rPr>
        <w:t>权固定</w:t>
      </w:r>
      <w:proofErr w:type="gramEnd"/>
      <w:r>
        <w:rPr>
          <w:rFonts w:ascii="Times New Roman" w:hAnsi="Times New Roman"/>
          <w:sz w:val="24"/>
        </w:rPr>
        <w:t>收益品种（另有规定的除外），选取估值日第三方估值机构提供的相应品种当日的唯一估值净价或推荐估值净价进行估值；</w:t>
      </w:r>
    </w:p>
    <w:p w14:paraId="61FF2D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158988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）交易所上市不存在活跃市场的有价证券，采用估值技术确定公允价值。交易所市场挂牌转让的资产支持证券，采用估值技术确定公允价值；</w:t>
      </w:r>
    </w:p>
    <w:p w14:paraId="584AE5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C58D9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14:paraId="07987AC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）送股、转增股、配股和公开增发的新股，按估值日在证券交易所挂牌的同一股票的估值方法估值；该日无交易的，以最近一日的市价（收盘价）估值；</w:t>
      </w:r>
    </w:p>
    <w:p w14:paraId="7FAA75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）首次公开发行未上市的股票、债券，采用估值技术确定公允价值，在估值技术难以可靠计量公允价值的情况下，按成本估值。</w:t>
      </w:r>
    </w:p>
    <w:p w14:paraId="49777B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Times New Roman" w:hAnsi="Times New Roman"/>
          <w:sz w:val="24"/>
        </w:rPr>
        <w:t>券</w:t>
      </w:r>
      <w:proofErr w:type="gramEnd"/>
      <w:r>
        <w:rPr>
          <w:rFonts w:ascii="Times New Roman" w:hAnsi="Times New Roman"/>
          <w:sz w:val="24"/>
        </w:rPr>
        <w:t>等流通受限股票，按监管机构或行业协会有关规定确定公允价值。</w:t>
      </w:r>
    </w:p>
    <w:p w14:paraId="07C0C88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、对全国银行间市场上不含权的固定收益品种，按照第三方估值机构提供的</w:t>
      </w:r>
      <w:r>
        <w:rPr>
          <w:rFonts w:ascii="Times New Roman" w:hAnsi="Times New Roman"/>
          <w:sz w:val="24"/>
        </w:rPr>
        <w:lastRenderedPageBreak/>
        <w:t>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9D9C1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14:paraId="01D9942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14:paraId="13151BDF" w14:textId="77777777" w:rsidR="00791B53"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6</w:t>
      </w:r>
      <w:r>
        <w:rPr>
          <w:rFonts w:ascii="Times New Roman" w:hAnsi="Times New Roman"/>
          <w:sz w:val="24"/>
        </w:rPr>
        <w:t>、当发生大额申购或赎回情形时，基金管理人可以采用摆动定价机制，以确保基金估值的公平性。</w:t>
      </w:r>
    </w:p>
    <w:p w14:paraId="2BDAF7FB" w14:textId="77777777" w:rsidR="00C9540F" w:rsidRDefault="00C9540F">
      <w:pPr>
        <w:autoSpaceDE w:val="0"/>
        <w:autoSpaceDN w:val="0"/>
        <w:adjustRightInd w:val="0"/>
        <w:snapToGrid w:val="0"/>
        <w:spacing w:line="360" w:lineRule="auto"/>
        <w:ind w:firstLineChars="200" w:firstLine="480"/>
        <w:rPr>
          <w:rFonts w:ascii="宋体" w:hAnsi="宋体"/>
          <w:szCs w:val="24"/>
        </w:rPr>
      </w:pPr>
      <w:r w:rsidRPr="00317839">
        <w:rPr>
          <w:bCs/>
          <w:sz w:val="24"/>
        </w:rPr>
        <w:t>7</w:t>
      </w:r>
      <w:r w:rsidRPr="00317839">
        <w:rPr>
          <w:bCs/>
          <w:sz w:val="24"/>
        </w:rPr>
        <w:t>、</w:t>
      </w:r>
      <w:r w:rsidRPr="00317839">
        <w:rPr>
          <w:rFonts w:hint="eastAsia"/>
          <w:bCs/>
          <w:sz w:val="24"/>
        </w:rPr>
        <w:t>本基金投资存托凭证的估值核算依照境内上市交易的股票执行。</w:t>
      </w:r>
    </w:p>
    <w:p w14:paraId="0A682AFC" w14:textId="43406A74" w:rsidR="00791B53" w:rsidRDefault="00C9540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sidR="002C0D99">
        <w:rPr>
          <w:rFonts w:ascii="Times New Roman" w:hAnsi="Times New Roman"/>
          <w:sz w:val="24"/>
        </w:rPr>
        <w:t>、相关法律法规以及监管部门有强制规定的，从其规定。如有新增事项，按国家最新规定估值。</w:t>
      </w:r>
    </w:p>
    <w:p w14:paraId="5945AE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315F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3772A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（五）估值程序</w:t>
      </w:r>
    </w:p>
    <w:p w14:paraId="70367A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、各类基金份额的基金份额净值是按照每个工作日闭市后，该类基金份额的基金资产净值除以当日基金份额的余额数量计算，精确到</w:t>
      </w:r>
      <w:r>
        <w:rPr>
          <w:rFonts w:ascii="Times New Roman" w:hAnsi="Times New Roman"/>
          <w:sz w:val="24"/>
        </w:rPr>
        <w:t>0.0001</w:t>
      </w:r>
      <w:r>
        <w:rPr>
          <w:rFonts w:ascii="Times New Roman" w:hAnsi="Times New Roman"/>
          <w:sz w:val="24"/>
        </w:rPr>
        <w:t>元，小数点后第</w:t>
      </w:r>
      <w:r>
        <w:rPr>
          <w:rFonts w:ascii="Times New Roman" w:hAnsi="Times New Roman"/>
          <w:sz w:val="24"/>
        </w:rPr>
        <w:t>5</w:t>
      </w:r>
      <w:r>
        <w:rPr>
          <w:rFonts w:ascii="Times New Roman" w:hAnsi="Times New Roman"/>
          <w:sz w:val="24"/>
        </w:rPr>
        <w:t>位四舍五入。基金管理人可以设立大额赎回情形下的净值精度应急调整机制，具体可参见相关公告。国家另有规定的，从其规定。</w:t>
      </w:r>
    </w:p>
    <w:p w14:paraId="75161B5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基金管理人于每个工作日计算各类基金份额的基金资产净值及基金份额净值，并按规定公告。如遇特殊情况，经中国证监会同意，可以适当延迟计算或公告。</w:t>
      </w:r>
    </w:p>
    <w:p w14:paraId="6C243C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、基金管理人</w:t>
      </w:r>
      <w:proofErr w:type="gramStart"/>
      <w:r>
        <w:rPr>
          <w:rFonts w:ascii="Times New Roman" w:hAnsi="Times New Roman"/>
          <w:sz w:val="24"/>
        </w:rPr>
        <w:t>应每个</w:t>
      </w:r>
      <w:proofErr w:type="gramEnd"/>
      <w:r>
        <w:rPr>
          <w:rFonts w:ascii="Times New Roman" w:hAnsi="Times New Roman"/>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52AA33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（六）估值错误的处理</w:t>
      </w:r>
    </w:p>
    <w:p w14:paraId="0FC3C92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w:t>
      </w:r>
      <w:r>
        <w:rPr>
          <w:rFonts w:ascii="Times New Roman" w:hAnsi="Times New Roman"/>
          <w:sz w:val="24"/>
        </w:rPr>
        <w:t xml:space="preserve"> </w:t>
      </w:r>
      <w:r>
        <w:rPr>
          <w:rFonts w:ascii="Times New Roman" w:hAnsi="Times New Roman"/>
          <w:sz w:val="24"/>
        </w:rPr>
        <w:t>发生估值错误时，视为基金份额净值错误。</w:t>
      </w:r>
    </w:p>
    <w:p w14:paraId="650886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14:paraId="13238CD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14:paraId="55DDEB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14:paraId="3DB24B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14:paraId="7C14E4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14:paraId="488847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2063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14:paraId="08A4FF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w:t>
      </w:r>
      <w:proofErr w:type="gramStart"/>
      <w:r>
        <w:rPr>
          <w:rFonts w:ascii="Times New Roman" w:hAnsi="Times New Roman"/>
          <w:sz w:val="24"/>
        </w:rPr>
        <w:t>不</w:t>
      </w:r>
      <w:proofErr w:type="gramEnd"/>
      <w:r>
        <w:rPr>
          <w:rFonts w:ascii="Times New Roman" w:hAnsi="Times New Roman"/>
          <w:sz w:val="24"/>
        </w:rPr>
        <w:t>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w:t>
      </w:r>
      <w:r>
        <w:rPr>
          <w:rFonts w:ascii="Times New Roman" w:hAnsi="Times New Roman"/>
          <w:sz w:val="24"/>
        </w:rPr>
        <w:lastRenderedPageBreak/>
        <w:t>给受损方，则受损方应当将其已经获得的赔偿额加上已经获得的不当得利返还的总和超过其实际损失的差额部分支付给估值错误责任方。</w:t>
      </w:r>
    </w:p>
    <w:p w14:paraId="3CD8FA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14:paraId="6B2102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14:paraId="6C5ED7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14:paraId="0D6D6DF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14:paraId="3A21290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14:paraId="25309CA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14:paraId="54F6B7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14:paraId="17D9DF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14:paraId="1C5DCA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14:paraId="553B7D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66432C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时，基金管理人应当公告，并报中国证监会备案。</w:t>
      </w:r>
    </w:p>
    <w:p w14:paraId="3A0BF4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）当基金份额净值计算差错给基金和基金份额持有人造成损失需要进行赔偿时，基金管理人和基金托管人应根据实际情况界定双方承担的责任，经确认后按以下条款进行赔偿：</w:t>
      </w:r>
    </w:p>
    <w:p w14:paraId="77A4B8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54D7E6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proofErr w:type="gramStart"/>
      <w:r>
        <w:rPr>
          <w:rFonts w:ascii="Times New Roman" w:hAnsi="Times New Roman"/>
          <w:sz w:val="24"/>
        </w:rPr>
        <w:t>若基金</w:t>
      </w:r>
      <w:proofErr w:type="gramEnd"/>
      <w:r>
        <w:rPr>
          <w:rFonts w:ascii="Times New Roman" w:hAnsi="Times New Roman"/>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8F6AF5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③</w:t>
      </w:r>
      <w:r>
        <w:rPr>
          <w:rFonts w:ascii="Times New Roman" w:hAnsi="Times New Roman"/>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B1CE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由于基金管理人提供的信息错误（包括但不限于基金申购或赎回金额等），进而导致基金份额净值计算错误而引起的基金份额持有人和基金财产的损失，由基金管理人负责赔付。</w:t>
      </w:r>
    </w:p>
    <w:p w14:paraId="123FCD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）前述内容如法律法规或者监管部门另有规定的，从其规定。如果行业另有通行做法，双方当事人应本着平等和保护基金份额持有人利益的原则进行协商。</w:t>
      </w:r>
    </w:p>
    <w:p w14:paraId="34C1146D"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14:paraId="6E3959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w:t>
      </w:r>
      <w:r>
        <w:rPr>
          <w:rFonts w:ascii="Times New Roman" w:hAnsi="Times New Roman"/>
          <w:sz w:val="24"/>
        </w:rPr>
        <w:t>/</w:t>
      </w:r>
      <w:r>
        <w:rPr>
          <w:rFonts w:ascii="Times New Roman" w:hAnsi="Times New Roman"/>
          <w:sz w:val="24"/>
        </w:rPr>
        <w:t>期货交易市场遇法定节假日或因其他原因暂停营业时；</w:t>
      </w:r>
    </w:p>
    <w:p w14:paraId="291D6EC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14:paraId="692EB0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、当前一估值日基金资产净值</w:t>
      </w:r>
      <w:r>
        <w:rPr>
          <w:rFonts w:ascii="Times New Roman" w:hAnsi="Times New Roman"/>
          <w:sz w:val="24"/>
        </w:rPr>
        <w:t xml:space="preserve"> 50%</w:t>
      </w:r>
      <w:r>
        <w:rPr>
          <w:rFonts w:ascii="Times New Roman" w:hAnsi="Times New Roman"/>
          <w:sz w:val="24"/>
        </w:rPr>
        <w:t>以上的资产出现无可参考的活跃市场价格且采用估值技术</w:t>
      </w:r>
      <w:proofErr w:type="gramStart"/>
      <w:r>
        <w:rPr>
          <w:rFonts w:ascii="Times New Roman" w:hAnsi="Times New Roman"/>
          <w:sz w:val="24"/>
        </w:rPr>
        <w:t>仍导致</w:t>
      </w:r>
      <w:proofErr w:type="gramEnd"/>
      <w:r>
        <w:rPr>
          <w:rFonts w:ascii="Times New Roman" w:hAnsi="Times New Roman"/>
          <w:sz w:val="24"/>
        </w:rPr>
        <w:t>公允价值存在重大不确定性时，经与基金托管人协商确认后，基金管理人应当暂停估值；</w:t>
      </w:r>
    </w:p>
    <w:p w14:paraId="3F2CE5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、法律法规、中国证监会和基金合同认定的其它情形。</w:t>
      </w:r>
    </w:p>
    <w:p w14:paraId="386CBC8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（八）基金净值的确认</w:t>
      </w:r>
    </w:p>
    <w:p w14:paraId="3E88A7B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1B97AF57"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（九）特殊情形的处理</w:t>
      </w:r>
    </w:p>
    <w:p w14:paraId="252E607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14:paraId="7F388A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、对于因税收规定调整或其他原因导致基金实际交纳税金与基金按照权责发生制进行估值的应交税金有差异的，相关估值调整不作为基金资产估值错误处理。</w:t>
      </w:r>
    </w:p>
    <w:p w14:paraId="3738846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3、由于不可抗力原因，或由于证券/期货交易所、证券/期货经纪机构、登记结算公司及存款银行等第三方机构发送的数据错误，或国家会计政策变更、市场规则变更等，基金管理人和基金托管人虽然已经采取必要、适当、合理的措施进行检查，但是未能发现该错误而造成的</w:t>
      </w:r>
      <w:r w:rsidRPr="00BB248E">
        <w:rPr>
          <w:rFonts w:ascii="宋体" w:hAnsi="宋体" w:hint="eastAsia"/>
          <w:b/>
          <w:szCs w:val="24"/>
        </w:rPr>
        <w:lastRenderedPageBreak/>
        <w:t>基金资产估值错误，基金管理人、基金托管人免除赔偿责任。但基金管理人、基金托管人应积极采取必要的措施减轻或消除由此造成的影响。</w:t>
      </w:r>
    </w:p>
    <w:p w14:paraId="0E3CD06B"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1460A7" w14:textId="77777777" w:rsidR="00791B53" w:rsidRDefault="002C0D99">
      <w:pPr>
        <w:pStyle w:val="1"/>
        <w:snapToGrid w:val="0"/>
        <w:spacing w:beforeLines="0" w:before="240" w:after="240"/>
        <w:rPr>
          <w:rFonts w:ascii="宋体" w:hAnsi="宋体"/>
          <w:szCs w:val="30"/>
        </w:rPr>
      </w:pPr>
      <w:bookmarkStart w:id="16" w:name="_Toc54104357"/>
      <w:r>
        <w:rPr>
          <w:rFonts w:ascii="Times New Roman" w:hAnsi="Times New Roman"/>
          <w:sz w:val="30"/>
        </w:rPr>
        <w:lastRenderedPageBreak/>
        <w:t>十四、基金收益与分配</w:t>
      </w:r>
      <w:bookmarkEnd w:id="16"/>
    </w:p>
    <w:p w14:paraId="7ECCC0F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10134C2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4F5C284A"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14:paraId="1D826F5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2FF6D30C"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14:paraId="2B0B36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、由于本基金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w:t>
      </w:r>
    </w:p>
    <w:p w14:paraId="6841F5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、在符合有关基金分红条件的前提下，本基金管理人可以根据实际情况进行收益分配，具体分配方案以公告为准，若《基金合同》生效不满</w:t>
      </w:r>
      <w:r>
        <w:rPr>
          <w:rFonts w:ascii="Times New Roman" w:hAnsi="Times New Roman"/>
          <w:sz w:val="24"/>
        </w:rPr>
        <w:t>3</w:t>
      </w:r>
      <w:r>
        <w:rPr>
          <w:rFonts w:ascii="Times New Roman" w:hAnsi="Times New Roman"/>
          <w:sz w:val="24"/>
        </w:rPr>
        <w:t>个月可不进行收益分配；</w:t>
      </w:r>
    </w:p>
    <w:p w14:paraId="458223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类基金份额分别选择不同的收益分配方式；</w:t>
      </w:r>
    </w:p>
    <w:p w14:paraId="2C9CE8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、本基金同一基金份额类别的每一基金份额享有同等分配权；</w:t>
      </w:r>
    </w:p>
    <w:p w14:paraId="1AA24F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14:paraId="5FBDBC3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0CE9940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77E1479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1883F3F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本基金收益分配方案由基金管理人拟定，并由基金托管人复核，依照《信息披露办法》的规定在规定媒介公告。</w:t>
      </w:r>
    </w:p>
    <w:p w14:paraId="19327C6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法律法规或监管机关另有规定的，从其规定。</w:t>
      </w:r>
    </w:p>
    <w:p w14:paraId="40DC68E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（六）基金收益分配中发生的费用</w:t>
      </w:r>
    </w:p>
    <w:p w14:paraId="62B1DA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w:t>
      </w:r>
      <w:r>
        <w:rPr>
          <w:rFonts w:ascii="Times New Roman" w:hAnsi="Times New Roman"/>
          <w:sz w:val="24"/>
        </w:rPr>
        <w:lastRenderedPageBreak/>
        <w:t>算方法，依照《业务规则》执行。</w:t>
      </w:r>
    </w:p>
    <w:p w14:paraId="5C25FB7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382C0F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14:paraId="0D698E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投资人同一日多次申报收益分配方式变更的，按照《业务规则》执行，最终确认的收益分配方式以登记机构记录为准。</w:t>
      </w:r>
    </w:p>
    <w:p w14:paraId="257DDFE7"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0373F0" w14:textId="77777777" w:rsidR="00791B53" w:rsidRDefault="002C0D99">
      <w:pPr>
        <w:pStyle w:val="1"/>
        <w:snapToGrid w:val="0"/>
        <w:spacing w:beforeLines="0" w:before="240" w:after="240"/>
        <w:rPr>
          <w:rFonts w:ascii="宋体" w:hAnsi="宋体"/>
          <w:szCs w:val="30"/>
        </w:rPr>
      </w:pPr>
      <w:bookmarkStart w:id="17" w:name="_Toc54104358"/>
      <w:r>
        <w:rPr>
          <w:rFonts w:ascii="Times New Roman" w:hAnsi="Times New Roman"/>
          <w:sz w:val="30"/>
        </w:rPr>
        <w:lastRenderedPageBreak/>
        <w:t>十五、基金的费用与税收</w:t>
      </w:r>
      <w:bookmarkEnd w:id="17"/>
    </w:p>
    <w:p w14:paraId="4483A1E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08E7852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34EBAE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50A306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14:paraId="193D4A1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、《基金合同》生效后与基金相关的会计师费、律师费、仲裁费和诉讼费；</w:t>
      </w:r>
    </w:p>
    <w:p w14:paraId="5F5157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4E88A5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w:t>
      </w:r>
      <w:r>
        <w:rPr>
          <w:rFonts w:ascii="Times New Roman" w:hAnsi="Times New Roman"/>
          <w:sz w:val="24"/>
        </w:rPr>
        <w:t>/</w:t>
      </w:r>
      <w:r>
        <w:rPr>
          <w:rFonts w:ascii="Times New Roman" w:hAnsi="Times New Roman"/>
          <w:sz w:val="24"/>
        </w:rPr>
        <w:t>期货交易费用；</w:t>
      </w:r>
    </w:p>
    <w:p w14:paraId="6B3AF8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14:paraId="5068C6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14:paraId="5E8626E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、本基金从</w:t>
      </w:r>
      <w:r>
        <w:rPr>
          <w:rFonts w:ascii="Times New Roman" w:hAnsi="Times New Roman"/>
          <w:sz w:val="24"/>
        </w:rPr>
        <w:t>C</w:t>
      </w:r>
      <w:r>
        <w:rPr>
          <w:rFonts w:ascii="Times New Roman" w:hAnsi="Times New Roman"/>
          <w:sz w:val="24"/>
        </w:rPr>
        <w:t>类基金份额的基金财产中计提的销售服务费；</w:t>
      </w:r>
    </w:p>
    <w:p w14:paraId="5B900F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、基金标的指数许可使用费；</w:t>
      </w:r>
    </w:p>
    <w:p w14:paraId="40AB39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、按照国家有关规定和《基金合同》约定，可以在基金财产中列支的其他费用。</w:t>
      </w:r>
    </w:p>
    <w:p w14:paraId="03BBA3F9"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508E3A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7B5536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0F074ED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0.5%</w:t>
      </w:r>
      <w:r>
        <w:rPr>
          <w:rFonts w:ascii="Times New Roman" w:hAnsi="Times New Roman"/>
          <w:sz w:val="24"/>
        </w:rPr>
        <w:t>年费率计提。管理费的计算方法如下：</w:t>
      </w:r>
    </w:p>
    <w:p w14:paraId="266857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E×0.5%÷</w:t>
      </w:r>
      <w:r>
        <w:rPr>
          <w:rFonts w:ascii="Times New Roman" w:hAnsi="Times New Roman"/>
          <w:sz w:val="24"/>
        </w:rPr>
        <w:t>当年天数</w:t>
      </w:r>
    </w:p>
    <w:p w14:paraId="0C015C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2B3D4F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6A1747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基金管理费每日计提，逐日累计至每月月末，按月支付。由基金管理人与基金托管人核对一致后，由基金托管人按照与基金管理人协商一致的方式于次月首日起</w:t>
      </w:r>
      <w:r>
        <w:rPr>
          <w:rFonts w:ascii="Times New Roman" w:hAnsi="Times New Roman"/>
          <w:sz w:val="24"/>
        </w:rPr>
        <w:t>5</w:t>
      </w:r>
      <w:r>
        <w:rPr>
          <w:rFonts w:ascii="Times New Roman" w:hAnsi="Times New Roman"/>
          <w:sz w:val="24"/>
        </w:rPr>
        <w:t>个工作日内从基金财产中一次性支付给基金管理人，若遇法定节假日、休息日或不可抗力致使无法按时支付的，支付日期顺延。</w:t>
      </w:r>
    </w:p>
    <w:p w14:paraId="1A2F80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2B59FA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0.15%</w:t>
      </w:r>
      <w:r>
        <w:rPr>
          <w:rFonts w:ascii="Times New Roman" w:hAnsi="Times New Roman"/>
          <w:sz w:val="24"/>
        </w:rPr>
        <w:t>的年费率计提。托管费的计算方法如下：</w:t>
      </w:r>
    </w:p>
    <w:p w14:paraId="35DB2DD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E×0.15%÷</w:t>
      </w:r>
      <w:r>
        <w:rPr>
          <w:rFonts w:ascii="Times New Roman" w:hAnsi="Times New Roman"/>
          <w:sz w:val="24"/>
        </w:rPr>
        <w:t>当年天数</w:t>
      </w:r>
    </w:p>
    <w:p w14:paraId="3479D4B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H</w:t>
      </w:r>
      <w:r>
        <w:rPr>
          <w:rFonts w:ascii="Times New Roman" w:hAnsi="Times New Roman"/>
          <w:sz w:val="24"/>
        </w:rPr>
        <w:t>为每日应计提的基金托管费</w:t>
      </w:r>
    </w:p>
    <w:p w14:paraId="40E23AE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41F9D8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基金托管费每日计提，逐日累计至每月月末，按月支付。由基金管理人与基金托管人核对一致后，由基金托管人按照与基金管理人协商一致的方式于次月首日起</w:t>
      </w:r>
      <w:r>
        <w:rPr>
          <w:rFonts w:ascii="Times New Roman" w:hAnsi="Times New Roman"/>
          <w:sz w:val="24"/>
        </w:rPr>
        <w:t>5</w:t>
      </w:r>
      <w:r>
        <w:rPr>
          <w:rFonts w:ascii="Times New Roman" w:hAnsi="Times New Roman"/>
          <w:sz w:val="24"/>
        </w:rPr>
        <w:t>个工作日内从基金财产中一次性支付给基金托管人，若遇法定节假日、休息日或不可抗力致使无法按时支付的，支付日期顺延。</w:t>
      </w:r>
    </w:p>
    <w:p w14:paraId="28E43BC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类基金份额的销售服务费</w:t>
      </w:r>
    </w:p>
    <w:p w14:paraId="56D635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类基金份额的销售服务费按前一日</w:t>
      </w:r>
      <w:r>
        <w:rPr>
          <w:rFonts w:ascii="Times New Roman" w:hAnsi="Times New Roman"/>
          <w:sz w:val="24"/>
        </w:rPr>
        <w:t>C</w:t>
      </w:r>
      <w:r>
        <w:rPr>
          <w:rFonts w:ascii="Times New Roman" w:hAnsi="Times New Roman"/>
          <w:sz w:val="24"/>
        </w:rPr>
        <w:t>类基金资产净值的</w:t>
      </w:r>
      <w:r>
        <w:rPr>
          <w:rFonts w:ascii="Times New Roman" w:hAnsi="Times New Roman"/>
          <w:sz w:val="24"/>
        </w:rPr>
        <w:t>0.4%</w:t>
      </w:r>
      <w:r>
        <w:rPr>
          <w:rFonts w:ascii="Times New Roman" w:hAnsi="Times New Roman"/>
          <w:sz w:val="24"/>
        </w:rPr>
        <w:t>年费率计提。计算方法如下：</w:t>
      </w:r>
    </w:p>
    <w:p w14:paraId="72CCAB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E×0.4%÷</w:t>
      </w:r>
      <w:r>
        <w:rPr>
          <w:rFonts w:ascii="Times New Roman" w:hAnsi="Times New Roman"/>
          <w:sz w:val="24"/>
        </w:rPr>
        <w:t>当年天数</w:t>
      </w:r>
    </w:p>
    <w:p w14:paraId="30E1243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w:t>
      </w:r>
      <w:r>
        <w:rPr>
          <w:rFonts w:ascii="Times New Roman" w:hAnsi="Times New Roman"/>
          <w:sz w:val="24"/>
        </w:rPr>
        <w:t>C</w:t>
      </w:r>
      <w:r>
        <w:rPr>
          <w:rFonts w:ascii="Times New Roman" w:hAnsi="Times New Roman"/>
          <w:sz w:val="24"/>
        </w:rPr>
        <w:t>类基金份额每日应计提的销售服务费</w:t>
      </w:r>
    </w:p>
    <w:p w14:paraId="48364A6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w:t>
      </w:r>
      <w:r>
        <w:rPr>
          <w:rFonts w:ascii="Times New Roman" w:hAnsi="Times New Roman"/>
          <w:sz w:val="24"/>
        </w:rPr>
        <w:t>C</w:t>
      </w:r>
      <w:r>
        <w:rPr>
          <w:rFonts w:ascii="Times New Roman" w:hAnsi="Times New Roman"/>
          <w:sz w:val="24"/>
        </w:rPr>
        <w:t>类基金份额前一日基金资产净值</w:t>
      </w:r>
    </w:p>
    <w:p w14:paraId="65D26D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类基金份额销售服务费每日计提，逐日累计至每月月末，按月支付。由基金管理人与基金托管人核对一致后，由基金托管人按照与基金管理人协商一致的方式于次月首日起</w:t>
      </w:r>
      <w:r>
        <w:rPr>
          <w:rFonts w:ascii="Times New Roman" w:hAnsi="Times New Roman"/>
          <w:sz w:val="24"/>
        </w:rPr>
        <w:t>5</w:t>
      </w:r>
      <w:r>
        <w:rPr>
          <w:rFonts w:ascii="Times New Roman" w:hAnsi="Times New Roman"/>
          <w:sz w:val="24"/>
        </w:rPr>
        <w:t>个工作日内从基金财产中一次性支付给基金管理人，由基金管理人代付给销售机构，若遇法定节假日、休息日或不可抗力致使无法按时支付的，支付日期顺延。</w:t>
      </w:r>
    </w:p>
    <w:p w14:paraId="54D1C7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类基金份额的销售服务费将专门用于本基金的推广、销售与基金份额持有人服务。</w:t>
      </w:r>
    </w:p>
    <w:p w14:paraId="0EE4C4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）基金标的指数许可使用费</w:t>
      </w:r>
    </w:p>
    <w:p w14:paraId="795DFD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本基金指数许可使用费按前一日的基金资产净值的万分之二（</w:t>
      </w:r>
      <w:r>
        <w:rPr>
          <w:rFonts w:ascii="Times New Roman" w:hAnsi="Times New Roman"/>
          <w:sz w:val="24"/>
        </w:rPr>
        <w:t>2</w:t>
      </w:r>
      <w:r>
        <w:rPr>
          <w:rFonts w:ascii="Times New Roman" w:hAnsi="Times New Roman"/>
          <w:sz w:val="24"/>
        </w:rPr>
        <w:t>个基点）的年费率计提。指数许可使用基点费每日计算，逐日累计，按季度（自然季度）支付。计算方法如下：</w:t>
      </w:r>
    </w:p>
    <w:p w14:paraId="25C797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H=E×0.02%÷</w:t>
      </w:r>
      <w:r>
        <w:rPr>
          <w:rFonts w:ascii="Times New Roman" w:hAnsi="Times New Roman"/>
          <w:sz w:val="24"/>
        </w:rPr>
        <w:t>当年天数</w:t>
      </w:r>
    </w:p>
    <w:p w14:paraId="75191F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为基金产品每日应付的指数许可使用费；</w:t>
      </w:r>
    </w:p>
    <w:p w14:paraId="5FD27A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为前一日基金产品的资产净值；</w:t>
      </w:r>
    </w:p>
    <w:p w14:paraId="28B937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指数使用许可费收取下限为每季度</w:t>
      </w:r>
      <w:r>
        <w:rPr>
          <w:rFonts w:ascii="Times New Roman" w:hAnsi="Times New Roman"/>
          <w:sz w:val="24"/>
        </w:rPr>
        <w:t>5</w:t>
      </w:r>
      <w:r>
        <w:rPr>
          <w:rFonts w:ascii="Times New Roman" w:hAnsi="Times New Roman"/>
          <w:sz w:val="24"/>
        </w:rPr>
        <w:t>万元（基金合同生效当季按实际计提金额收取，不设下限）。指数使用许可费的支付由基金管理人向基金托管人发送划付指令，经基金托管人复核后于每年</w:t>
      </w:r>
      <w:r>
        <w:rPr>
          <w:rFonts w:ascii="Times New Roman" w:hAnsi="Times New Roman"/>
          <w:sz w:val="24"/>
        </w:rPr>
        <w:t>1</w:t>
      </w:r>
      <w:r>
        <w:rPr>
          <w:rFonts w:ascii="Times New Roman" w:hAnsi="Times New Roman"/>
          <w:sz w:val="24"/>
        </w:rPr>
        <w:t>月、</w:t>
      </w:r>
      <w:r>
        <w:rPr>
          <w:rFonts w:ascii="Times New Roman" w:hAnsi="Times New Roman"/>
          <w:sz w:val="24"/>
        </w:rPr>
        <w:t>4</w:t>
      </w:r>
      <w:r>
        <w:rPr>
          <w:rFonts w:ascii="Times New Roman" w:hAnsi="Times New Roman"/>
          <w:sz w:val="24"/>
        </w:rPr>
        <w:t>月、</w:t>
      </w:r>
      <w:r>
        <w:rPr>
          <w:rFonts w:ascii="Times New Roman" w:hAnsi="Times New Roman"/>
          <w:sz w:val="24"/>
        </w:rPr>
        <w:t>7</w:t>
      </w:r>
      <w:r>
        <w:rPr>
          <w:rFonts w:ascii="Times New Roman" w:hAnsi="Times New Roman"/>
          <w:sz w:val="24"/>
        </w:rPr>
        <w:t>月、</w:t>
      </w:r>
      <w:r>
        <w:rPr>
          <w:rFonts w:ascii="Times New Roman" w:hAnsi="Times New Roman"/>
          <w:sz w:val="24"/>
        </w:rPr>
        <w:t>10</w:t>
      </w:r>
      <w:r>
        <w:rPr>
          <w:rFonts w:ascii="Times New Roman" w:hAnsi="Times New Roman"/>
          <w:sz w:val="24"/>
        </w:rPr>
        <w:t>月的前</w:t>
      </w:r>
      <w:r>
        <w:rPr>
          <w:rFonts w:ascii="Times New Roman" w:hAnsi="Times New Roman"/>
          <w:sz w:val="24"/>
        </w:rPr>
        <w:t>10</w:t>
      </w:r>
      <w:r>
        <w:rPr>
          <w:rFonts w:ascii="Times New Roman" w:hAnsi="Times New Roman"/>
          <w:sz w:val="24"/>
        </w:rPr>
        <w:t>个工作日内从基金财产中一次性支付。若遇法定节假日、公休日等，支付日期顺延。</w:t>
      </w:r>
    </w:p>
    <w:p w14:paraId="649534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8</w:t>
      </w:r>
      <w:r>
        <w:rPr>
          <w:rFonts w:ascii="Times New Roman" w:hAnsi="Times New Roman"/>
          <w:sz w:val="24"/>
        </w:rPr>
        <w:t>项、第</w:t>
      </w:r>
      <w:r>
        <w:rPr>
          <w:rFonts w:ascii="Times New Roman" w:hAnsi="Times New Roman"/>
          <w:sz w:val="24"/>
        </w:rPr>
        <w:t>10</w:t>
      </w:r>
      <w:r>
        <w:rPr>
          <w:rFonts w:ascii="Times New Roman" w:hAnsi="Times New Roman"/>
          <w:sz w:val="24"/>
        </w:rPr>
        <w:t>－</w:t>
      </w:r>
      <w:r>
        <w:rPr>
          <w:rFonts w:ascii="Times New Roman" w:hAnsi="Times New Roman"/>
          <w:sz w:val="24"/>
        </w:rPr>
        <w:t>11</w:t>
      </w:r>
      <w:r>
        <w:rPr>
          <w:rFonts w:ascii="Times New Roman" w:hAnsi="Times New Roman"/>
          <w:sz w:val="24"/>
        </w:rPr>
        <w:t>项费用，根据有关法规及相应协议规定，按费用实际支出金额列入当期费用，由基金托管人从基金财产中支付。</w:t>
      </w:r>
    </w:p>
    <w:p w14:paraId="4B054A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24F54A9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713AE2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7B0CBD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32CAB1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24FD8FF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2E89537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14:paraId="655400C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62AEB87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63E8B0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14:paraId="70CF0D8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14:paraId="5246D9B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（四）基金税收</w:t>
      </w:r>
    </w:p>
    <w:p w14:paraId="031B54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14:paraId="4A8247E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基金财产投资的相关税收，由基金份额持有人承担，基金管理人或者其他扣缴义务人按照国家有关税收征收的规定代扣代缴。</w:t>
      </w:r>
    </w:p>
    <w:p w14:paraId="030DBAF3"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C9A5B7" w14:textId="77777777" w:rsidR="00791B53" w:rsidRDefault="002C0D99">
      <w:pPr>
        <w:pStyle w:val="1"/>
        <w:snapToGrid w:val="0"/>
        <w:spacing w:beforeLines="0" w:before="240" w:after="240"/>
        <w:rPr>
          <w:rFonts w:ascii="宋体" w:hAnsi="宋体"/>
          <w:szCs w:val="30"/>
        </w:rPr>
      </w:pPr>
      <w:bookmarkStart w:id="18" w:name="_Toc54104359"/>
      <w:r>
        <w:rPr>
          <w:rFonts w:ascii="Times New Roman" w:hAnsi="Times New Roman"/>
          <w:sz w:val="30"/>
        </w:rPr>
        <w:lastRenderedPageBreak/>
        <w:t>十六、基金的会计与审计</w:t>
      </w:r>
      <w:bookmarkEnd w:id="18"/>
    </w:p>
    <w:p w14:paraId="12E7221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4814B2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14:paraId="5CFFEF7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日；基金首次募集的会计年度按如下原则：如果《基金合同》生效少于</w:t>
      </w:r>
      <w:r>
        <w:rPr>
          <w:rFonts w:ascii="Times New Roman" w:hAnsi="Times New Roman"/>
          <w:sz w:val="24"/>
        </w:rPr>
        <w:t>2</w:t>
      </w:r>
      <w:r>
        <w:rPr>
          <w:rFonts w:ascii="Times New Roman" w:hAnsi="Times New Roman"/>
          <w:sz w:val="24"/>
        </w:rPr>
        <w:t>个月，可以并入下一个会计年度披露；</w:t>
      </w:r>
    </w:p>
    <w:p w14:paraId="6193B34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7A508F7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14:paraId="7F9CB3A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39A5DF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2B8E0B2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14:paraId="034DC94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14:paraId="5A2E9B6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、基金管理人聘请与基金管理人、基金托管人相互独立的符合《中华人民共和国证券法》规定的会计师事务所及其注册会计师对本基金的年度财务报表进行审计。</w:t>
      </w:r>
    </w:p>
    <w:p w14:paraId="490CA1A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04A154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、基金管理人认为有充足理由更换会计师事务所，须通报基金托管人。更换会计师事务所需按照《信息披露办法》的有关规定在规定媒介公告。</w:t>
      </w:r>
    </w:p>
    <w:p w14:paraId="3C32FF53"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B79EAAC" w14:textId="77777777" w:rsidR="00791B53" w:rsidRDefault="002C0D99">
      <w:pPr>
        <w:pStyle w:val="1"/>
        <w:snapToGrid w:val="0"/>
        <w:spacing w:beforeLines="0" w:before="240" w:after="240"/>
        <w:rPr>
          <w:rFonts w:ascii="宋体" w:hAnsi="宋体"/>
          <w:szCs w:val="30"/>
        </w:rPr>
      </w:pPr>
      <w:bookmarkStart w:id="19" w:name="_Toc54104360"/>
      <w:r>
        <w:rPr>
          <w:rFonts w:ascii="Times New Roman" w:hAnsi="Times New Roman"/>
          <w:sz w:val="30"/>
        </w:rPr>
        <w:lastRenderedPageBreak/>
        <w:t>十七、基金的信息披露</w:t>
      </w:r>
      <w:bookmarkEnd w:id="19"/>
    </w:p>
    <w:p w14:paraId="5F2C81F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（一）本基金的信息披露应符合《基金法》、《运作办法》、《信息披露办法》、《流动性风险管理规定》、《基金合同》及其他有关规定。</w:t>
      </w:r>
    </w:p>
    <w:p w14:paraId="498253B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27D1964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2E7EE7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5588CA0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本基金信息披露义务人应当在中国证监会规定时间内，将应予披露的基金信息通过符合中国证监会规定条件的全国性报刊（以下简称</w:t>
      </w:r>
      <w:r>
        <w:rPr>
          <w:rFonts w:ascii="Times New Roman" w:hAnsi="Times New Roman"/>
          <w:sz w:val="24"/>
        </w:rPr>
        <w:t>“</w:t>
      </w:r>
      <w:r>
        <w:rPr>
          <w:rFonts w:ascii="Times New Roman" w:hAnsi="Times New Roman"/>
          <w:sz w:val="24"/>
        </w:rPr>
        <w:t>规定报刊</w:t>
      </w:r>
      <w:r>
        <w:rPr>
          <w:rFonts w:ascii="Times New Roman" w:hAnsi="Times New Roman"/>
          <w:sz w:val="24"/>
        </w:rPr>
        <w:t>”</w:t>
      </w:r>
      <w:r>
        <w:rPr>
          <w:rFonts w:ascii="Times New Roman" w:hAnsi="Times New Roman"/>
          <w:sz w:val="24"/>
        </w:rPr>
        <w:t>）及《信息披露办法》规定的互联网网站（以下简称</w:t>
      </w:r>
      <w:r>
        <w:rPr>
          <w:rFonts w:ascii="Times New Roman" w:hAnsi="Times New Roman"/>
          <w:sz w:val="24"/>
        </w:rPr>
        <w:t>“</w:t>
      </w:r>
      <w:r>
        <w:rPr>
          <w:rFonts w:ascii="Times New Roman" w:hAnsi="Times New Roman"/>
          <w:sz w:val="24"/>
        </w:rPr>
        <w:t>规定网站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7BBC484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14:paraId="012D0F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38BD4C8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512CF9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457947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58AC91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6F5C29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3DC151C6"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3C6AE95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6C86118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6E5B7C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46BD67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14:paraId="6B4AA3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2981BC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139F4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575CAD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97B7E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日前，将基金招募说明书、《基金合同》摘要登载在规定媒介上；基金管理人、基金托管人应当将《基金合同》、基金托管协议登载在网站上。</w:t>
      </w:r>
    </w:p>
    <w:p w14:paraId="319D962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0596FD7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基金管理人应当就基金份额发售的具体事宜编制基金份额发售公告，并在披露招募说明书的当日登载于规定媒介上。</w:t>
      </w:r>
    </w:p>
    <w:p w14:paraId="0C866B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1BE1E8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基金管理人应当在收到中国证监会确认文件的次日在规定媒介上登载《基金合同》生效公告。</w:t>
      </w:r>
    </w:p>
    <w:p w14:paraId="44A6C7A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4D451C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《基金合同》生效后，在开始办理基金份额申购或者赎回前，基金管理人应当至少每周分别公告一次</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类基金份额所对应的基金资产净值和基金份额净值。</w:t>
      </w:r>
    </w:p>
    <w:p w14:paraId="6F5480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在开始办理基金份额申购或者赎回后，基金管理人应当在不晚于每个开放日的次日，通过规定网站、基金销售机构网站或者营业网点分别披露开放日的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17CB7F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基金管理人应当在不晚于半年度和年度最后一日的次日，在规定网站披露半年</w:t>
      </w:r>
      <w:r>
        <w:rPr>
          <w:rFonts w:ascii="Times New Roman" w:hAnsi="Times New Roman"/>
          <w:sz w:val="24"/>
        </w:rPr>
        <w:lastRenderedPageBreak/>
        <w:t>度和年度最后一日的</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74F8E6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0BBADF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w:t>
      </w:r>
      <w:proofErr w:type="gramStart"/>
      <w:r>
        <w:rPr>
          <w:rFonts w:ascii="Times New Roman" w:hAnsi="Times New Roman"/>
          <w:sz w:val="24"/>
        </w:rPr>
        <w:t>明基金</w:t>
      </w:r>
      <w:proofErr w:type="gramEnd"/>
      <w:r>
        <w:rPr>
          <w:rFonts w:ascii="Times New Roman" w:hAnsi="Times New Roman"/>
          <w:sz w:val="24"/>
        </w:rPr>
        <w:t>份额申购、赎回价格的计算方式及有关申购、赎回费率，并保证投资者能够在基金销售机构网站或营业网点查阅或者复制前述信息资料。</w:t>
      </w:r>
    </w:p>
    <w:p w14:paraId="1B117F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094C48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基金管理人应当在每年结束之日起三个月内，编制完成基金年度报告，将年度报告登载在规定网站上，并将年度报告提示性公告登载在规定报刊上。基金年度报告中的财务会计报告应当</w:t>
      </w:r>
      <w:proofErr w:type="gramStart"/>
      <w:r>
        <w:rPr>
          <w:rFonts w:ascii="Times New Roman" w:hAnsi="Times New Roman"/>
          <w:sz w:val="24"/>
        </w:rPr>
        <w:t>经符合</w:t>
      </w:r>
      <w:proofErr w:type="gramEnd"/>
      <w:r>
        <w:rPr>
          <w:rFonts w:ascii="Times New Roman" w:hAnsi="Times New Roman"/>
          <w:sz w:val="24"/>
        </w:rPr>
        <w:t>《中华人民共和国证券法》规定的会计师事务所审计。</w:t>
      </w:r>
    </w:p>
    <w:p w14:paraId="4E83F0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基金管理人应当在上半年结束之日起两个月内，编制完成基金中期报告，将中期报告登载在规定网站上，并将中期报告提示性公告登载在规定报刊上。</w:t>
      </w:r>
    </w:p>
    <w:p w14:paraId="36B76CC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个工作日内，编制完成基金季度报告，将季度报告登载在规定网站上，并将季度报告提示性公告登载在规定报刊上。</w:t>
      </w:r>
    </w:p>
    <w:p w14:paraId="35D430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28466F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313606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0094E2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6AB94E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本基金发生重大事件，有关信息披露义务人应当依照《信息披露办法》的规定编制临时报告书，并登载在规定报刊和规定网站上。</w:t>
      </w:r>
    </w:p>
    <w:p w14:paraId="61F9F2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4CCFE3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5E5E87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6B781B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）转换基金运作方式、基金合并；</w:t>
      </w:r>
    </w:p>
    <w:p w14:paraId="79C81CB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0D01973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11137FB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341640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54C1E0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2CC306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50ECA7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21F0518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1B74812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F8ACE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B103E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693732F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）管理费、托管费、标的指数许可使用费、销售服务费、申购费、赎回费等费用计提标准、计提方式和费率发生变更；</w:t>
      </w:r>
    </w:p>
    <w:p w14:paraId="05ABDC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）任一类基金份额净值计价错误达该类基金份额净值百分之零点五；</w:t>
      </w:r>
    </w:p>
    <w:p w14:paraId="2D3D4D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23E2A9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498F72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1F19D85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3D8C791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510E1CC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）基金管理人采用摆动定价机制进行估值；</w:t>
      </w:r>
    </w:p>
    <w:p w14:paraId="2572EBB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23</w:t>
      </w:r>
      <w:r>
        <w:rPr>
          <w:rFonts w:ascii="Times New Roman" w:hAnsi="Times New Roman"/>
          <w:sz w:val="24"/>
        </w:rPr>
        <w:t>）本基金增加或调整基金份额类别；</w:t>
      </w:r>
    </w:p>
    <w:p w14:paraId="44C8A0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）本基金变更标的指数；</w:t>
      </w:r>
    </w:p>
    <w:p w14:paraId="5FB94F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）《基金合同》生效后，连续</w:t>
      </w:r>
      <w:r>
        <w:rPr>
          <w:rFonts w:ascii="Times New Roman" w:hAnsi="Times New Roman"/>
          <w:sz w:val="24"/>
        </w:rPr>
        <w:t>40</w:t>
      </w:r>
      <w:r>
        <w:rPr>
          <w:rFonts w:ascii="Times New Roman" w:hAnsi="Times New Roman"/>
          <w:sz w:val="24"/>
        </w:rPr>
        <w:t>个工作日、</w:t>
      </w:r>
      <w:r>
        <w:rPr>
          <w:rFonts w:ascii="Times New Roman" w:hAnsi="Times New Roman"/>
          <w:sz w:val="24"/>
        </w:rPr>
        <w:t>50</w:t>
      </w:r>
      <w:r>
        <w:rPr>
          <w:rFonts w:ascii="Times New Roman" w:hAnsi="Times New Roman"/>
          <w:sz w:val="24"/>
        </w:rPr>
        <w:t>个工作日、</w:t>
      </w:r>
      <w:r>
        <w:rPr>
          <w:rFonts w:ascii="Times New Roman" w:hAnsi="Times New Roman"/>
          <w:sz w:val="24"/>
        </w:rPr>
        <w:t>55</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万元情形的，基金管理人应当发布提示性公告；</w:t>
      </w:r>
    </w:p>
    <w:p w14:paraId="6319C9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）基金信息披露义务人认为可能对基金份额持有人权益或者基金份额的价格产生重大影响的其他事项或中国证监会规定的其他事项。</w:t>
      </w:r>
    </w:p>
    <w:p w14:paraId="6F4803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38C53B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177AB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670C92F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687014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2EDFE1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、基金投资资产支持证券情况</w:t>
      </w:r>
    </w:p>
    <w:p w14:paraId="5DC898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资产支持证券，基金管理人应在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14:paraId="73A12A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、基金投资股指期货情况</w:t>
      </w:r>
    </w:p>
    <w:p w14:paraId="08DEB0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21370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、清算报告</w:t>
      </w:r>
    </w:p>
    <w:p w14:paraId="1ECEEF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w:t>
      </w:r>
      <w:proofErr w:type="gramStart"/>
      <w:r>
        <w:rPr>
          <w:rFonts w:ascii="Times New Roman" w:hAnsi="Times New Roman"/>
          <w:sz w:val="24"/>
        </w:rPr>
        <w:t>作出</w:t>
      </w:r>
      <w:proofErr w:type="gramEnd"/>
      <w:r>
        <w:rPr>
          <w:rFonts w:ascii="Times New Roman" w:hAnsi="Times New Roman"/>
          <w:sz w:val="24"/>
        </w:rPr>
        <w:lastRenderedPageBreak/>
        <w:t>清算报告。清算报告应当</w:t>
      </w:r>
      <w:proofErr w:type="gramStart"/>
      <w:r>
        <w:rPr>
          <w:rFonts w:ascii="Times New Roman" w:hAnsi="Times New Roman"/>
          <w:sz w:val="24"/>
        </w:rPr>
        <w:t>经符合</w:t>
      </w:r>
      <w:proofErr w:type="gramEnd"/>
      <w:r>
        <w:rPr>
          <w:rFonts w:ascii="Times New Roman" w:hAnsi="Times New Roman"/>
          <w:sz w:val="24"/>
        </w:rPr>
        <w:t>《中华人民共和国证券法》规定的会计师事务所审计，并由律师事务所出具法律意见书。清算组应当将清算报告登载在规定网站上，并将清算报告提示性公告登载在规定报刊上。</w:t>
      </w:r>
    </w:p>
    <w:p w14:paraId="03B9AE8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、中国证监会规定的其他信息。</w:t>
      </w:r>
    </w:p>
    <w:p w14:paraId="0568E7C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14:paraId="248F9C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3481F4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789FC5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4725A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51F47B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B1FEBF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02AC66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w:t>
      </w:r>
      <w:proofErr w:type="gramStart"/>
      <w:r>
        <w:rPr>
          <w:rFonts w:ascii="Times New Roman" w:hAnsi="Times New Roman"/>
          <w:sz w:val="24"/>
        </w:rPr>
        <w:t>不</w:t>
      </w:r>
      <w:proofErr w:type="gramEnd"/>
      <w:r>
        <w:rPr>
          <w:rFonts w:ascii="Times New Roman" w:hAnsi="Times New Roman"/>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AEBF60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14:paraId="394A5C1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74BAA36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14:paraId="371BC591"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3F771E06" w14:textId="77777777" w:rsidR="00791B53" w:rsidRDefault="002C0D99">
      <w:pPr>
        <w:pStyle w:val="1"/>
        <w:snapToGrid w:val="0"/>
        <w:spacing w:beforeLines="0" w:before="240" w:after="240"/>
        <w:rPr>
          <w:rFonts w:ascii="宋体" w:hAnsi="宋体"/>
          <w:szCs w:val="30"/>
        </w:rPr>
      </w:pPr>
      <w:bookmarkStart w:id="20" w:name="_Toc54104361"/>
      <w:r>
        <w:rPr>
          <w:rFonts w:ascii="Times New Roman" w:hAnsi="Times New Roman"/>
          <w:sz w:val="30"/>
        </w:rPr>
        <w:lastRenderedPageBreak/>
        <w:t>十八、风险揭示</w:t>
      </w:r>
      <w:bookmarkEnd w:id="20"/>
    </w:p>
    <w:p w14:paraId="57C797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F0E18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w:t>
      </w:r>
      <w:proofErr w:type="gramStart"/>
      <w:r>
        <w:rPr>
          <w:rFonts w:ascii="Times New Roman" w:hAnsi="Times New Roman"/>
          <w:sz w:val="24"/>
        </w:rPr>
        <w:t>规</w:t>
      </w:r>
      <w:proofErr w:type="gramEnd"/>
      <w:r>
        <w:rPr>
          <w:rFonts w:ascii="Times New Roman" w:hAnsi="Times New Roman"/>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7ACCC2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C5DEA9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w:t>
      </w:r>
      <w:proofErr w:type="gramStart"/>
      <w:r>
        <w:rPr>
          <w:rFonts w:ascii="Times New Roman" w:hAnsi="Times New Roman"/>
          <w:sz w:val="24"/>
        </w:rPr>
        <w:t>等判断</w:t>
      </w:r>
      <w:proofErr w:type="gramEnd"/>
      <w:r>
        <w:rPr>
          <w:rFonts w:ascii="Times New Roman" w:hAnsi="Times New Roman"/>
          <w:sz w:val="24"/>
        </w:rPr>
        <w:t>基金是否和投资人的风险承受能力相适应。</w:t>
      </w:r>
    </w:p>
    <w:p w14:paraId="59FC7D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66CC2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5570DAD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原则，在做出投资决策后，基金运营状况与基金净值变化引致的投资风险，由投资人自行负担。</w:t>
      </w:r>
    </w:p>
    <w:p w14:paraId="658748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基金份额持有人须了解并承受以下风险：</w:t>
      </w:r>
    </w:p>
    <w:p w14:paraId="1202FDF6"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17D578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7373C7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3BC6FFC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5C4EC8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57105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BE4E4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472FAB1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0AC3A4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E93CB84"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56F34D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Times New Roman" w:hAnsi="Times New Roman"/>
          <w:sz w:val="24"/>
        </w:rPr>
        <w:t>仓位</w:t>
      </w:r>
      <w:proofErr w:type="gramEnd"/>
      <w:r>
        <w:rPr>
          <w:rFonts w:ascii="Times New Roman" w:hAnsi="Times New Roman"/>
          <w:sz w:val="24"/>
        </w:rPr>
        <w:t>调整的困难，导致流动性风险，可能影响基</w:t>
      </w:r>
      <w:r>
        <w:rPr>
          <w:rFonts w:ascii="Times New Roman" w:hAnsi="Times New Roman"/>
          <w:sz w:val="24"/>
        </w:rPr>
        <w:lastRenderedPageBreak/>
        <w:t>金份额净值。</w:t>
      </w:r>
    </w:p>
    <w:p w14:paraId="4EE3FF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1BC60B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Pr>
          <w:rFonts w:ascii="Times New Roman" w:hAnsi="Times New Roman"/>
          <w:sz w:val="24"/>
        </w:rPr>
        <w:t>3</w:t>
      </w:r>
      <w:r>
        <w:rPr>
          <w:rFonts w:ascii="Times New Roman" w:hAnsi="Times New Roman"/>
          <w:sz w:val="24"/>
        </w:rPr>
        <w:t>个月开始办理申购和赎回业务，具体业务办理时间在申购赎回开始公告中规定。</w:t>
      </w:r>
    </w:p>
    <w:p w14:paraId="17C3A27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473B96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Pr>
          <w:rFonts w:ascii="Times New Roman" w:hAnsi="Times New Roman"/>
          <w:sz w:val="24"/>
        </w:rPr>
        <w:t>券</w:t>
      </w:r>
      <w:proofErr w:type="gramEnd"/>
      <w:r>
        <w:rPr>
          <w:rFonts w:ascii="Times New Roman" w:hAnsi="Times New Roman"/>
          <w:sz w:val="24"/>
        </w:rPr>
        <w:t>方面未有高集中度的特征，综合评估在正常市场环境下本基金的流动性风险适中。</w:t>
      </w:r>
    </w:p>
    <w:p w14:paraId="54132B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7E76C3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14:paraId="2D3AC9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4345BD3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65789A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一开放日的基金份额净值为基础计算赎回金额，以此类推，直到全部赎回为止。如投资人在提交赎回申请时未作明确选择，投资人未能赎回部分作自动延期赎回处理。</w:t>
      </w:r>
    </w:p>
    <w:p w14:paraId="5EDE6B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）本基金如发生巨额赎回且单个开放日内单个基金份额持有人申请赎回的基金份额超过前一开放日的基金总份额的</w:t>
      </w:r>
      <w:r>
        <w:rPr>
          <w:rFonts w:ascii="Times New Roman" w:hAnsi="Times New Roman"/>
          <w:sz w:val="24"/>
        </w:rPr>
        <w:t>20%</w:t>
      </w:r>
      <w:r>
        <w:rPr>
          <w:rFonts w:ascii="Times New Roman" w:hAnsi="Times New Roman"/>
          <w:sz w:val="24"/>
        </w:rPr>
        <w:t>时，本基金管理人有权采取如下措施：</w:t>
      </w:r>
    </w:p>
    <w:p w14:paraId="15C618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对于该类基金份额持有人当日超过</w:t>
      </w:r>
      <w:r>
        <w:rPr>
          <w:rFonts w:ascii="Times New Roman" w:hAnsi="Times New Roman"/>
          <w:sz w:val="24"/>
        </w:rPr>
        <w:t>20%</w:t>
      </w:r>
      <w:r>
        <w:rPr>
          <w:rFonts w:ascii="Times New Roman" w:hAnsi="Times New Roman"/>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Times New Roman" w:hAnsi="Times New Roman"/>
          <w:sz w:val="24"/>
        </w:rPr>
        <w:t>并以下</w:t>
      </w:r>
      <w:proofErr w:type="gramEnd"/>
      <w:r>
        <w:rPr>
          <w:rFonts w:ascii="Times New Roman" w:hAnsi="Times New Roman"/>
          <w:sz w:val="24"/>
        </w:rPr>
        <w:t>一开放日的基金份额净值为基础计算赎回金额，以此类推，直到全部赎回为止。</w:t>
      </w:r>
    </w:p>
    <w:p w14:paraId="6BB8D9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2D755EC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个工作日，并应当在规定媒介上进行公告。</w:t>
      </w:r>
    </w:p>
    <w:p w14:paraId="0AC2B3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6A792E7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45F982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00689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）延期办理巨额赎回申请。基金份额持有人的赎回申请可能被延期办理，部分或全部赎回申请可能被拒绝，同时投资人完成基金赎回时的基金份额净值可能与其提交赎回申请时的基金份额净值不同。</w:t>
      </w:r>
    </w:p>
    <w:p w14:paraId="65C27D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）暂停接受赎回申请。基金份额持有人可能存在当日无法赎回其持有的基金份额的风险。</w:t>
      </w:r>
    </w:p>
    <w:p w14:paraId="7163A8A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）延缓支付赎回款项。</w:t>
      </w:r>
      <w:proofErr w:type="gramStart"/>
      <w:r>
        <w:rPr>
          <w:rFonts w:ascii="Times New Roman" w:hAnsi="Times New Roman"/>
          <w:sz w:val="24"/>
        </w:rPr>
        <w:t>赎回款</w:t>
      </w:r>
      <w:proofErr w:type="gramEnd"/>
      <w:r>
        <w:rPr>
          <w:rFonts w:ascii="Times New Roman" w:hAnsi="Times New Roman"/>
          <w:sz w:val="24"/>
        </w:rPr>
        <w:t>支付时间将后延，基金份额持有人可能存在不能及时取得赎回款项的风险，可能对投资者的资金安排带来不利影响。</w:t>
      </w:r>
    </w:p>
    <w:p w14:paraId="174AFE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）收取短期赎回费。本基金对持续持有期少于</w:t>
      </w:r>
      <w:r>
        <w:rPr>
          <w:rFonts w:ascii="Times New Roman" w:hAnsi="Times New Roman"/>
          <w:sz w:val="24"/>
        </w:rPr>
        <w:t>7</w:t>
      </w:r>
      <w:r>
        <w:rPr>
          <w:rFonts w:ascii="Times New Roman" w:hAnsi="Times New Roman"/>
          <w:sz w:val="24"/>
        </w:rPr>
        <w:t>日的投资人，收取</w:t>
      </w:r>
      <w:r>
        <w:rPr>
          <w:rFonts w:ascii="Times New Roman" w:hAnsi="Times New Roman"/>
          <w:sz w:val="24"/>
        </w:rPr>
        <w:t>1.5%</w:t>
      </w:r>
      <w:r>
        <w:rPr>
          <w:rFonts w:ascii="Times New Roman" w:hAnsi="Times New Roman"/>
          <w:sz w:val="24"/>
        </w:rPr>
        <w:t>的赎回费，并将上述赎回费全额计入基金财产。短期赎回费的收取将使得投资者在持续持有期限少于</w:t>
      </w:r>
      <w:r>
        <w:rPr>
          <w:rFonts w:ascii="Times New Roman" w:hAnsi="Times New Roman"/>
          <w:sz w:val="24"/>
        </w:rPr>
        <w:t xml:space="preserve"> 7 </w:t>
      </w:r>
      <w:r>
        <w:rPr>
          <w:rFonts w:ascii="Times New Roman" w:hAnsi="Times New Roman"/>
          <w:sz w:val="24"/>
        </w:rPr>
        <w:t>日时会承担较高的赎回费。</w:t>
      </w:r>
    </w:p>
    <w:p w14:paraId="331D74A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）摆动定价。在巨额赎回情形下，如果管理人采用摆动定价工具，基金份额持有人当日赎回的基金份额净值可能会被调减。当日参与申购和赎回交易的投资者存在承担申购或者赎回产生的交易及其</w:t>
      </w:r>
      <w:proofErr w:type="gramStart"/>
      <w:r>
        <w:rPr>
          <w:rFonts w:ascii="Times New Roman" w:hAnsi="Times New Roman"/>
          <w:sz w:val="24"/>
        </w:rPr>
        <w:t>他成本</w:t>
      </w:r>
      <w:proofErr w:type="gramEnd"/>
      <w:r>
        <w:rPr>
          <w:rFonts w:ascii="Times New Roman" w:hAnsi="Times New Roman"/>
          <w:sz w:val="24"/>
        </w:rPr>
        <w:t>的风险。</w:t>
      </w:r>
    </w:p>
    <w:p w14:paraId="0C1132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暂停基金估值。在此情形下，投资人没有可供参考的基金份额净值，一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14:paraId="0AD4511C"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14:paraId="0E38477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201B2F40"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（五）本基金投资策略所特有的指数</w:t>
      </w:r>
      <w:proofErr w:type="gramStart"/>
      <w:r w:rsidRPr="00BB248E">
        <w:rPr>
          <w:rFonts w:ascii="宋体" w:hAnsi="宋体" w:hint="eastAsia"/>
          <w:b/>
          <w:szCs w:val="24"/>
        </w:rPr>
        <w:t>化投资</w:t>
      </w:r>
      <w:proofErr w:type="gramEnd"/>
      <w:r w:rsidRPr="00BB248E">
        <w:rPr>
          <w:rFonts w:ascii="宋体" w:hAnsi="宋体" w:hint="eastAsia"/>
          <w:b/>
          <w:szCs w:val="24"/>
        </w:rPr>
        <w:t>风险</w:t>
      </w:r>
    </w:p>
    <w:p w14:paraId="4DF05D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、标的指数回报与股票市场平均回报偏离的风险</w:t>
      </w:r>
    </w:p>
    <w:p w14:paraId="193FDAA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14:paraId="41B338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、标的指数波动的风险</w:t>
      </w:r>
    </w:p>
    <w:p w14:paraId="13816F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标的指数成份股的价格可能受到政治因素、经济因素、上市公司经营状况、投资人心理和交易制度等各种因素的影响而波动，导致指数波动，从而使基金收益水平发生变化，产生风险。</w:t>
      </w:r>
    </w:p>
    <w:p w14:paraId="67A4237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、基金投资组合回报与标的指数回报偏离的风险</w:t>
      </w:r>
    </w:p>
    <w:p w14:paraId="1EF0897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以下因素可能使基金投资组合的收益率与标的指数的收益率发生偏离：</w:t>
      </w:r>
    </w:p>
    <w:p w14:paraId="0CD70EF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）由于标的指数调整成份股或变更编制方法，使本基金在相应的组合调整中产生跟踪偏离度与跟踪误差。</w:t>
      </w:r>
    </w:p>
    <w:p w14:paraId="31653C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）由于标的指数成份股发生配股、增发等行为导致成份股在标的指数中的权重发生变化，使本基金在相应的组合调整中产生跟踪偏离度和跟踪误差。</w:t>
      </w:r>
    </w:p>
    <w:p w14:paraId="13DDF5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）标的指数成份股派发现金红利、新股市值配售收益将导致基金收益率超过标的指数收益率，产生正的跟踪偏离度。</w:t>
      </w:r>
    </w:p>
    <w:p w14:paraId="450D231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）由于标的指数成份股停牌、摘牌或流动性差等原因使本基金无法及时调</w:t>
      </w:r>
      <w:r>
        <w:rPr>
          <w:rFonts w:ascii="Times New Roman" w:hAnsi="Times New Roman"/>
          <w:sz w:val="24"/>
        </w:rPr>
        <w:lastRenderedPageBreak/>
        <w:t>整投资组合或承担冲击成本而产生跟踪偏离度和跟踪误差。</w:t>
      </w:r>
    </w:p>
    <w:p w14:paraId="24073F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450CD9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）基金有投资成本、各种费用及税收，而指数编制不考虑费用和税收，这将导致基金收益率落后于标的指数收益率，产生负的跟踪偏离度。</w:t>
      </w:r>
    </w:p>
    <w:p w14:paraId="18F87D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）在本基金指数</w:t>
      </w:r>
      <w:proofErr w:type="gramStart"/>
      <w:r>
        <w:rPr>
          <w:rFonts w:ascii="Times New Roman" w:hAnsi="Times New Roman"/>
          <w:sz w:val="24"/>
        </w:rPr>
        <w:t>化投资</w:t>
      </w:r>
      <w:proofErr w:type="gramEnd"/>
      <w:r>
        <w:rPr>
          <w:rFonts w:ascii="Times New Roman" w:hAnsi="Times New Roman"/>
          <w:sz w:val="24"/>
        </w:rPr>
        <w:t>过程中，基金管理人的管理能力，例如跟踪指数的水平、技术手段、买入卖出的时机选择等，都会对本基金的收益产生影响，从而影响本基金对标的指数的跟踪程度。</w:t>
      </w:r>
    </w:p>
    <w:p w14:paraId="0FEA78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）其他因素产生的偏离。如因受到最低买入股数的限制，基金投资组合中个别股票的持有比例与标的指数中该股票的权重可能不完全相同；因缺乏卖空、对</w:t>
      </w:r>
      <w:proofErr w:type="gramStart"/>
      <w:r>
        <w:rPr>
          <w:rFonts w:ascii="Times New Roman" w:hAnsi="Times New Roman"/>
          <w:sz w:val="24"/>
        </w:rPr>
        <w:t>冲机制</w:t>
      </w:r>
      <w:proofErr w:type="gramEnd"/>
      <w:r>
        <w:rPr>
          <w:rFonts w:ascii="Times New Roman" w:hAnsi="Times New Roman"/>
          <w:sz w:val="24"/>
        </w:rPr>
        <w:t>及其他工具造成的指数跟踪成本较大；因基金申购与赎回带来的现金变动；因指数发布机构指数编制错误等，由此产生跟踪偏离度与跟踪误差。</w:t>
      </w:r>
    </w:p>
    <w:p w14:paraId="312E63D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、标的指数变更的风险</w:t>
      </w:r>
    </w:p>
    <w:p w14:paraId="5BB9AC23" w14:textId="77777777" w:rsidR="00791B53"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29EAC8CA" w14:textId="77777777"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hint="eastAsia"/>
          <w:sz w:val="24"/>
        </w:rPr>
        <w:t>5</w:t>
      </w:r>
      <w:r>
        <w:rPr>
          <w:rFonts w:ascii="Times New Roman" w:hAnsi="Times New Roman" w:hint="eastAsia"/>
          <w:sz w:val="24"/>
        </w:rPr>
        <w:t>、</w:t>
      </w:r>
      <w:r w:rsidRPr="00333B79">
        <w:rPr>
          <w:rFonts w:ascii="Times New Roman" w:hAnsi="Times New Roman" w:hint="eastAsia"/>
          <w:bCs/>
          <w:sz w:val="24"/>
        </w:rPr>
        <w:t>跟踪误差控制未达约定目标的风险</w:t>
      </w:r>
    </w:p>
    <w:p w14:paraId="5439F800" w14:textId="7ADADB68" w:rsid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sidRPr="00333B79">
        <w:rPr>
          <w:rFonts w:ascii="Times New Roman" w:hAnsi="Times New Roman" w:hint="eastAsia"/>
          <w:bCs/>
          <w:sz w:val="24"/>
        </w:rPr>
        <w:t>本基金力争控制本基金日均跟踪偏离度的绝对值不超过</w:t>
      </w:r>
      <w:r w:rsidRPr="00333B79">
        <w:rPr>
          <w:rFonts w:ascii="Times New Roman" w:hAnsi="Times New Roman" w:hint="eastAsia"/>
          <w:bCs/>
          <w:sz w:val="24"/>
        </w:rPr>
        <w:t>0.</w:t>
      </w:r>
      <w:r w:rsidRPr="00333B79">
        <w:rPr>
          <w:rFonts w:ascii="Times New Roman" w:hAnsi="Times New Roman"/>
          <w:bCs/>
          <w:sz w:val="24"/>
        </w:rPr>
        <w:t>35</w:t>
      </w:r>
      <w:r w:rsidRPr="00333B79">
        <w:rPr>
          <w:rFonts w:ascii="Times New Roman" w:hAnsi="Times New Roman" w:hint="eastAsia"/>
          <w:bCs/>
          <w:sz w:val="24"/>
        </w:rPr>
        <w:t>%</w:t>
      </w:r>
      <w:r w:rsidRPr="00333B79">
        <w:rPr>
          <w:rFonts w:ascii="Times New Roman" w:hAnsi="Times New Roman" w:hint="eastAsia"/>
          <w:bCs/>
          <w:sz w:val="24"/>
        </w:rPr>
        <w:t>，年跟踪误差不超过</w:t>
      </w:r>
      <w:r w:rsidRPr="00333B79">
        <w:rPr>
          <w:rFonts w:ascii="Times New Roman" w:hAnsi="Times New Roman"/>
          <w:bCs/>
          <w:sz w:val="24"/>
        </w:rPr>
        <w:t>4</w:t>
      </w:r>
      <w:r w:rsidRPr="00333B79">
        <w:rPr>
          <w:rFonts w:ascii="Times New Roman" w:hAnsi="Times New Roman" w:hint="eastAsia"/>
          <w:bCs/>
          <w:sz w:val="24"/>
        </w:rPr>
        <w:t>%</w:t>
      </w:r>
      <w:r w:rsidRPr="00333B79">
        <w:rPr>
          <w:rFonts w:ascii="Times New Roman" w:hAnsi="Times New Roman" w:hint="eastAsia"/>
          <w:bCs/>
          <w:sz w:val="24"/>
        </w:rPr>
        <w:t>。但因标的指数编制规则调整或其他因素可能导致跟踪误差超过上述范围，本基金净值表现与指数价格走势可能发生较大偏离。</w:t>
      </w:r>
    </w:p>
    <w:p w14:paraId="5185ABD6" w14:textId="77777777"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hint="eastAsia"/>
          <w:bCs/>
          <w:sz w:val="24"/>
        </w:rPr>
        <w:t>6</w:t>
      </w:r>
      <w:r>
        <w:rPr>
          <w:rFonts w:ascii="Times New Roman" w:hAnsi="Times New Roman" w:hint="eastAsia"/>
          <w:bCs/>
          <w:sz w:val="24"/>
        </w:rPr>
        <w:t>、</w:t>
      </w:r>
      <w:r w:rsidRPr="00333B79">
        <w:rPr>
          <w:rFonts w:ascii="Times New Roman" w:hAnsi="Times New Roman" w:hint="eastAsia"/>
          <w:bCs/>
          <w:sz w:val="24"/>
        </w:rPr>
        <w:t>指数编制机构停止服务的风险</w:t>
      </w:r>
    </w:p>
    <w:p w14:paraId="101E1393" w14:textId="20D96D13"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sidRPr="00333B79">
        <w:rPr>
          <w:rFonts w:ascii="Times New Roman" w:hAnsi="Times New Roman" w:hint="eastAsia"/>
          <w:bCs/>
          <w:sz w:val="24"/>
        </w:rPr>
        <w:t>本基金的标的指数</w:t>
      </w:r>
      <w:proofErr w:type="gramStart"/>
      <w:r w:rsidRPr="00333B79">
        <w:rPr>
          <w:rFonts w:ascii="Times New Roman" w:hAnsi="Times New Roman" w:hint="eastAsia"/>
          <w:bCs/>
          <w:sz w:val="24"/>
        </w:rPr>
        <w:t>由指数</w:t>
      </w:r>
      <w:proofErr w:type="gramEnd"/>
      <w:r w:rsidRPr="00333B79">
        <w:rPr>
          <w:rFonts w:ascii="Times New Roman" w:hAnsi="Times New Roman" w:hint="eastAsia"/>
          <w:bCs/>
          <w:sz w:val="24"/>
        </w:rPr>
        <w:t>编制机构发布并管理和维护，未来指数编制机构可能由于各种原因停止对指数的管理和维护，本基金将根据基金合同的约定自该情形发生之日起十个工作日</w:t>
      </w:r>
      <w:r>
        <w:rPr>
          <w:rFonts w:ascii="Times New Roman" w:hAnsi="Times New Roman" w:hint="eastAsia"/>
          <w:bCs/>
          <w:sz w:val="24"/>
        </w:rPr>
        <w:t>内</w:t>
      </w:r>
      <w:r w:rsidRPr="00333B79">
        <w:rPr>
          <w:rFonts w:ascii="Times New Roman" w:hAnsi="Times New Roman" w:hint="eastAsia"/>
          <w:bCs/>
          <w:sz w:val="24"/>
        </w:rPr>
        <w:t>向中国证监会报告并提出解决方案，如</w:t>
      </w:r>
      <w:bookmarkStart w:id="21" w:name="_Hlk66695981"/>
      <w:r w:rsidR="00551519" w:rsidRPr="00774CAF">
        <w:rPr>
          <w:rFonts w:hint="eastAsia"/>
          <w:bCs/>
          <w:sz w:val="24"/>
        </w:rPr>
        <w:t>更换基金标的指数、转换运作方式，与其他基金合并或者终止基金合同等，并</w:t>
      </w:r>
      <w:bookmarkEnd w:id="21"/>
      <w:r w:rsidRPr="00333B79">
        <w:rPr>
          <w:rFonts w:ascii="Times New Roman" w:hAnsi="Times New Roman" w:hint="eastAsia"/>
          <w:bCs/>
          <w:sz w:val="24"/>
        </w:rPr>
        <w:t>在</w:t>
      </w:r>
      <w:r w:rsidRPr="00333B79">
        <w:rPr>
          <w:rFonts w:ascii="Times New Roman" w:hAnsi="Times New Roman"/>
          <w:bCs/>
          <w:sz w:val="24"/>
        </w:rPr>
        <w:t>6</w:t>
      </w:r>
      <w:r w:rsidRPr="00333B79">
        <w:rPr>
          <w:rFonts w:ascii="Times New Roman" w:hAnsi="Times New Roman" w:hint="eastAsia"/>
          <w:bCs/>
          <w:sz w:val="24"/>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6CE1B847" w14:textId="66E0308C"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proofErr w:type="gramStart"/>
      <w:r w:rsidRPr="00333B79">
        <w:rPr>
          <w:rFonts w:ascii="Times New Roman" w:hAnsi="Times New Roman" w:hint="eastAsia"/>
          <w:bCs/>
          <w:sz w:val="24"/>
        </w:rPr>
        <w:lastRenderedPageBreak/>
        <w:t>自指数</w:t>
      </w:r>
      <w:proofErr w:type="gramEnd"/>
      <w:r w:rsidRPr="00333B79">
        <w:rPr>
          <w:rFonts w:ascii="Times New Roman" w:hAnsi="Times New Roman" w:hint="eastAsia"/>
          <w:bCs/>
          <w:sz w:val="24"/>
        </w:rPr>
        <w:t>编制机构停止标的指数的编制及发布</w:t>
      </w:r>
      <w:proofErr w:type="gramStart"/>
      <w:r w:rsidRPr="00333B79">
        <w:rPr>
          <w:rFonts w:ascii="Times New Roman" w:hAnsi="Times New Roman" w:hint="eastAsia"/>
          <w:bCs/>
          <w:sz w:val="24"/>
        </w:rPr>
        <w:t>至解决</w:t>
      </w:r>
      <w:proofErr w:type="gramEnd"/>
      <w:r w:rsidRPr="00333B79">
        <w:rPr>
          <w:rFonts w:ascii="Times New Roman" w:hAnsi="Times New Roman" w:hint="eastAsia"/>
          <w:bCs/>
          <w:sz w:val="24"/>
        </w:rPr>
        <w:t>方案确定</w:t>
      </w:r>
      <w:r w:rsidR="0022392B">
        <w:rPr>
          <w:rFonts w:ascii="Times New Roman" w:hAnsi="Times New Roman" w:hint="eastAsia"/>
          <w:bCs/>
          <w:sz w:val="24"/>
        </w:rPr>
        <w:t>期间</w:t>
      </w:r>
      <w:r w:rsidRPr="00333B79">
        <w:rPr>
          <w:rFonts w:ascii="Times New Roman" w:hAnsi="Times New Roman" w:hint="eastAsia"/>
          <w:bCs/>
          <w:sz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2A677FBE" w14:textId="71946AB0"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bCs/>
          <w:sz w:val="24"/>
        </w:rPr>
        <w:t>7</w:t>
      </w:r>
      <w:r w:rsidRPr="00333B79">
        <w:rPr>
          <w:rFonts w:ascii="Times New Roman" w:hAnsi="Times New Roman" w:hint="eastAsia"/>
          <w:bCs/>
          <w:sz w:val="24"/>
        </w:rPr>
        <w:t>、成份股停牌的风险</w:t>
      </w:r>
    </w:p>
    <w:p w14:paraId="5F9C70EA" w14:textId="23EA90A6" w:rsidR="00333B79" w:rsidRPr="00333B79" w:rsidRDefault="00333B79" w:rsidP="00DE085B">
      <w:pPr>
        <w:autoSpaceDE w:val="0"/>
        <w:autoSpaceDN w:val="0"/>
        <w:adjustRightInd w:val="0"/>
        <w:snapToGrid w:val="0"/>
        <w:spacing w:line="360" w:lineRule="auto"/>
        <w:ind w:firstLineChars="200" w:firstLine="480"/>
        <w:rPr>
          <w:rFonts w:ascii="Times New Roman" w:hAnsi="Times New Roman"/>
          <w:bCs/>
          <w:sz w:val="24"/>
        </w:rPr>
      </w:pPr>
      <w:r w:rsidRPr="00333B79">
        <w:rPr>
          <w:rFonts w:ascii="Times New Roman" w:hAnsi="Times New Roman" w:hint="eastAsia"/>
          <w:bCs/>
          <w:sz w:val="24"/>
        </w:rPr>
        <w:t>标的指数成份股可能因各种原因临时或长期停牌，发生成份股停牌时可能面临如下风险：</w:t>
      </w:r>
    </w:p>
    <w:p w14:paraId="0FA4B97F" w14:textId="52E08E6D" w:rsidR="00333B79" w:rsidRPr="00333B79" w:rsidRDefault="00333B79" w:rsidP="00DE085B">
      <w:pPr>
        <w:autoSpaceDE w:val="0"/>
        <w:autoSpaceDN w:val="0"/>
        <w:adjustRightInd w:val="0"/>
        <w:snapToGrid w:val="0"/>
        <w:spacing w:line="360" w:lineRule="auto"/>
        <w:ind w:firstLineChars="200" w:firstLine="480"/>
        <w:rPr>
          <w:rFonts w:ascii="Times New Roman" w:hAnsi="Times New Roman"/>
          <w:bCs/>
          <w:sz w:val="24"/>
        </w:rPr>
      </w:pPr>
      <w:r w:rsidRPr="00333B79">
        <w:rPr>
          <w:rFonts w:ascii="Times New Roman" w:hAnsi="Times New Roman" w:hint="eastAsia"/>
          <w:bCs/>
          <w:sz w:val="24"/>
        </w:rPr>
        <w:t>（</w:t>
      </w:r>
      <w:r w:rsidRPr="00333B79">
        <w:rPr>
          <w:rFonts w:ascii="Times New Roman" w:hAnsi="Times New Roman" w:hint="eastAsia"/>
          <w:bCs/>
          <w:sz w:val="24"/>
        </w:rPr>
        <w:t>1</w:t>
      </w:r>
      <w:r w:rsidRPr="00333B79">
        <w:rPr>
          <w:rFonts w:ascii="Times New Roman" w:hAnsi="Times New Roman" w:hint="eastAsia"/>
          <w:bCs/>
          <w:sz w:val="24"/>
        </w:rPr>
        <w:t>）基金可能因无法及时调整投资组合而导致跟踪偏离度和跟踪误差扩大。</w:t>
      </w:r>
    </w:p>
    <w:p w14:paraId="69B29EFD" w14:textId="6B07E9FE" w:rsidR="00A57206" w:rsidRPr="0097679B" w:rsidRDefault="00333B79" w:rsidP="00333B79">
      <w:pPr>
        <w:autoSpaceDE w:val="0"/>
        <w:autoSpaceDN w:val="0"/>
        <w:adjustRightInd w:val="0"/>
        <w:snapToGrid w:val="0"/>
        <w:spacing w:line="360" w:lineRule="auto"/>
        <w:ind w:firstLineChars="200" w:firstLine="480"/>
        <w:rPr>
          <w:rFonts w:ascii="Times New Roman" w:hAnsi="Times New Roman"/>
          <w:bCs/>
          <w:sz w:val="24"/>
        </w:rPr>
      </w:pPr>
      <w:r w:rsidRPr="0097679B">
        <w:rPr>
          <w:rFonts w:ascii="Times New Roman" w:hAnsi="Times New Roman" w:hint="eastAsia"/>
          <w:bCs/>
          <w:sz w:val="24"/>
        </w:rPr>
        <w:t>（</w:t>
      </w:r>
      <w:r w:rsidR="00FA7550" w:rsidRPr="005423F3">
        <w:rPr>
          <w:rFonts w:ascii="Times New Roman" w:hAnsi="Times New Roman"/>
          <w:bCs/>
          <w:sz w:val="24"/>
        </w:rPr>
        <w:t>2</w:t>
      </w:r>
      <w:r w:rsidRPr="0097679B">
        <w:rPr>
          <w:rFonts w:ascii="Times New Roman" w:hAnsi="Times New Roman" w:hint="eastAsia"/>
          <w:bCs/>
          <w:sz w:val="24"/>
        </w:rPr>
        <w:t>）若成份股停牌时间较长，在约定时间内仍未能及时买入或卖出的，由此可能影响投资者的投资损益并使基金产生跟踪偏离度和跟踪误差。</w:t>
      </w:r>
    </w:p>
    <w:p w14:paraId="4F24ECC5" w14:textId="29A8B866"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sidRPr="0097679B">
        <w:rPr>
          <w:rFonts w:ascii="Times New Roman" w:hAnsi="Times New Roman" w:hint="eastAsia"/>
          <w:bCs/>
          <w:sz w:val="24"/>
        </w:rPr>
        <w:t>（</w:t>
      </w:r>
      <w:r w:rsidR="00FA7550" w:rsidRPr="005423F3">
        <w:rPr>
          <w:rFonts w:ascii="Times New Roman" w:hAnsi="Times New Roman"/>
          <w:bCs/>
          <w:sz w:val="24"/>
        </w:rPr>
        <w:t>3</w:t>
      </w:r>
      <w:r w:rsidRPr="0097679B">
        <w:rPr>
          <w:rFonts w:ascii="Times New Roman" w:hAnsi="Times New Roman" w:hint="eastAsia"/>
          <w:bCs/>
          <w:sz w:val="24"/>
        </w:rPr>
        <w:t>）在极端情况下，标的指数成份股可能大面积停牌，基金可能无法及时卖出成份股以获取足额的符合要求的赎回</w:t>
      </w:r>
      <w:r w:rsidR="000C609D" w:rsidRPr="0097679B">
        <w:rPr>
          <w:rFonts w:ascii="Times New Roman" w:hAnsi="Times New Roman" w:hint="eastAsia"/>
          <w:bCs/>
          <w:sz w:val="24"/>
        </w:rPr>
        <w:t>款项</w:t>
      </w:r>
      <w:r w:rsidRPr="0097679B">
        <w:rPr>
          <w:rFonts w:ascii="Times New Roman" w:hAnsi="Times New Roman" w:hint="eastAsia"/>
          <w:bCs/>
          <w:sz w:val="24"/>
        </w:rPr>
        <w:t>，由此基金管理人可能采取暂停赎回的措施，投资者将面临无法赎回全部或部分</w:t>
      </w:r>
      <w:r w:rsidR="000C609D" w:rsidRPr="0097679B">
        <w:rPr>
          <w:rFonts w:ascii="Times New Roman" w:hAnsi="Times New Roman" w:hint="eastAsia"/>
          <w:bCs/>
          <w:sz w:val="24"/>
        </w:rPr>
        <w:t>基金</w:t>
      </w:r>
      <w:r w:rsidRPr="0097679B">
        <w:rPr>
          <w:rFonts w:ascii="Times New Roman" w:hAnsi="Times New Roman" w:hint="eastAsia"/>
          <w:bCs/>
          <w:sz w:val="24"/>
        </w:rPr>
        <w:t>份额的风险。</w:t>
      </w:r>
    </w:p>
    <w:p w14:paraId="6A32FAC7" w14:textId="495C39BD" w:rsidR="00333B79" w:rsidRPr="00333B79" w:rsidRDefault="00333B79" w:rsidP="00333B79">
      <w:pPr>
        <w:autoSpaceDE w:val="0"/>
        <w:autoSpaceDN w:val="0"/>
        <w:adjustRightInd w:val="0"/>
        <w:snapToGrid w:val="0"/>
        <w:spacing w:line="360" w:lineRule="auto"/>
        <w:ind w:firstLineChars="200" w:firstLine="480"/>
        <w:rPr>
          <w:rFonts w:ascii="Times New Roman" w:hAnsi="Times New Roman"/>
          <w:bCs/>
          <w:sz w:val="24"/>
        </w:rPr>
      </w:pPr>
      <w:r w:rsidRPr="00333B79">
        <w:rPr>
          <w:rFonts w:ascii="Times New Roman" w:hAnsi="Times New Roman" w:hint="eastAsia"/>
          <w:bCs/>
          <w:sz w:val="24"/>
        </w:rPr>
        <w:t>本基金运作过程中，当标的指数成份股发生明显负面事件面临退市，且指数编制机构暂未</w:t>
      </w:r>
      <w:proofErr w:type="gramStart"/>
      <w:r w:rsidRPr="00333B79">
        <w:rPr>
          <w:rFonts w:ascii="Times New Roman" w:hAnsi="Times New Roman" w:hint="eastAsia"/>
          <w:bCs/>
          <w:sz w:val="24"/>
        </w:rPr>
        <w:t>作出</w:t>
      </w:r>
      <w:proofErr w:type="gramEnd"/>
      <w:r w:rsidRPr="00333B79">
        <w:rPr>
          <w:rFonts w:ascii="Times New Roman" w:hAnsi="Times New Roman" w:hint="eastAsia"/>
          <w:bCs/>
          <w:sz w:val="24"/>
        </w:rPr>
        <w:t>调整的，基金管理人应当按照持有人利益优先的原则，履行内部决策程序后及时对相关成份股进行调整，可能影响投资者的投资损益并使基金产生跟踪偏离度和跟踪误差。</w:t>
      </w:r>
    </w:p>
    <w:p w14:paraId="7D0DA3E9"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（六）本基金的特有风险</w:t>
      </w:r>
    </w:p>
    <w:p w14:paraId="0F5622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、本基金为股票型基金，投资于创业板</w:t>
      </w:r>
      <w:r>
        <w:rPr>
          <w:rFonts w:ascii="Times New Roman" w:hAnsi="Times New Roman"/>
          <w:sz w:val="24"/>
        </w:rPr>
        <w:t>50</w:t>
      </w:r>
      <w:r>
        <w:rPr>
          <w:rFonts w:ascii="Times New Roman" w:hAnsi="Times New Roman"/>
          <w:sz w:val="24"/>
        </w:rPr>
        <w:t>指数成份股及其备选成份股的比例不低于基金资产净值的</w:t>
      </w:r>
      <w:r>
        <w:rPr>
          <w:rFonts w:ascii="Times New Roman" w:hAnsi="Times New Roman"/>
          <w:sz w:val="24"/>
        </w:rPr>
        <w:t>90%</w:t>
      </w:r>
      <w:r>
        <w:rPr>
          <w:rFonts w:ascii="Times New Roman" w:hAnsi="Times New Roman"/>
          <w:sz w:val="24"/>
        </w:rPr>
        <w:t>，因投资权益类资产而面临权益类资产市场的系统性风险和个股风险；</w:t>
      </w:r>
    </w:p>
    <w:p w14:paraId="767FD20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、本基金可投资资产支持证券，资产支持证券具有一定的价格波动风险、流动性风险、信用风险等风险，基金管理人将本着谨慎和控制风险的原则进行资产支持证券投资，</w:t>
      </w:r>
      <w:proofErr w:type="gramStart"/>
      <w:r>
        <w:rPr>
          <w:rFonts w:ascii="Times New Roman" w:hAnsi="Times New Roman"/>
          <w:sz w:val="24"/>
        </w:rPr>
        <w:t>请基金</w:t>
      </w:r>
      <w:proofErr w:type="gramEnd"/>
      <w:r>
        <w:rPr>
          <w:rFonts w:ascii="Times New Roman" w:hAnsi="Times New Roman"/>
          <w:sz w:val="24"/>
        </w:rPr>
        <w:t>份额持有人关注包括投资资产支持证券可能导致的基金净值波动在内的各项风险；</w:t>
      </w:r>
    </w:p>
    <w:p w14:paraId="20A92BD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、基金合同提前终止风险。连续六十个工作日出现基金份额持有人数量不满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万元情形的，基金管理人提前终止基金合同，不需召开基金份额持有人大会。</w:t>
      </w:r>
    </w:p>
    <w:p w14:paraId="150299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14:paraId="1FC0683B" w14:textId="77777777" w:rsidR="00791B53" w:rsidRPr="00274103" w:rsidRDefault="002C0D99" w:rsidP="00274103">
      <w:pPr>
        <w:autoSpaceDE w:val="0"/>
        <w:autoSpaceDN w:val="0"/>
        <w:adjustRightInd w:val="0"/>
        <w:snapToGrid w:val="0"/>
        <w:spacing w:line="360" w:lineRule="auto"/>
        <w:ind w:firstLineChars="200" w:firstLine="422"/>
        <w:rPr>
          <w:rFonts w:ascii="宋体" w:hAnsi="宋体"/>
          <w:b/>
          <w:szCs w:val="24"/>
        </w:rPr>
      </w:pPr>
      <w:r w:rsidRPr="00274103">
        <w:rPr>
          <w:rFonts w:ascii="宋体" w:hAnsi="宋体" w:hint="eastAsia"/>
          <w:b/>
          <w:szCs w:val="24"/>
        </w:rPr>
        <w:lastRenderedPageBreak/>
        <w:t>（七）投资股指期货的特定风险</w:t>
      </w:r>
    </w:p>
    <w:p w14:paraId="336B74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Pr>
          <w:rFonts w:ascii="Times New Roman" w:hAnsi="Times New Roman"/>
          <w:sz w:val="24"/>
        </w:rPr>
        <w:t>基差风险</w:t>
      </w:r>
      <w:proofErr w:type="gramEnd"/>
      <w:r>
        <w:rPr>
          <w:rFonts w:ascii="Times New Roman" w:hAnsi="Times New Roman"/>
          <w:sz w:val="24"/>
        </w:rPr>
        <w:t>、保证金风险、信用风险和操作风险。具体为：</w:t>
      </w:r>
    </w:p>
    <w:p w14:paraId="3C718B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14:paraId="6B05752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14:paraId="4B6D1E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proofErr w:type="gramStart"/>
      <w:r>
        <w:rPr>
          <w:rFonts w:ascii="Times New Roman" w:hAnsi="Times New Roman"/>
          <w:sz w:val="24"/>
        </w:rPr>
        <w:t>基差风险</w:t>
      </w:r>
      <w:proofErr w:type="gramEnd"/>
      <w:r>
        <w:rPr>
          <w:rFonts w:ascii="Times New Roman" w:hAnsi="Times New Roman"/>
          <w:sz w:val="24"/>
        </w:rPr>
        <w:t>是指股指期货合约价格和指数价格之间的价格差的波动所造成的风险，以及不同股指期货合约价格之间价格差的波动所造成的期现价差风险。</w:t>
      </w:r>
    </w:p>
    <w:p w14:paraId="342CAF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14:paraId="315939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14:paraId="47120A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14:paraId="1A392D04" w14:textId="77777777" w:rsidR="00791B53"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此外，由于衍生品通常具有杠杆效应，价格波动比标的工具更为剧烈，并且其定价相当复杂，不适当的估值也有可能使基金资产面临损失风险。</w:t>
      </w:r>
    </w:p>
    <w:p w14:paraId="1E80B7EA" w14:textId="77777777" w:rsidR="00C9540F" w:rsidRPr="00F007B8" w:rsidRDefault="00C9540F" w:rsidP="00274103">
      <w:pPr>
        <w:autoSpaceDE w:val="0"/>
        <w:autoSpaceDN w:val="0"/>
        <w:adjustRightInd w:val="0"/>
        <w:snapToGrid w:val="0"/>
        <w:spacing w:line="360" w:lineRule="auto"/>
        <w:ind w:firstLineChars="200" w:firstLine="422"/>
        <w:rPr>
          <w:rFonts w:hAnsi="宋体"/>
          <w:b/>
          <w:bCs/>
          <w:kern w:val="0"/>
          <w:sz w:val="24"/>
          <w:szCs w:val="24"/>
        </w:rPr>
      </w:pPr>
      <w:r w:rsidRPr="00274103">
        <w:rPr>
          <w:rFonts w:ascii="宋体" w:hAnsi="宋体" w:hint="eastAsia"/>
          <w:b/>
          <w:szCs w:val="24"/>
        </w:rPr>
        <w:t>（八）投资存托凭证的特定风险</w:t>
      </w:r>
    </w:p>
    <w:p w14:paraId="4B1C4E18" w14:textId="77777777" w:rsidR="00C9540F" w:rsidRDefault="00C9540F" w:rsidP="00C9540F">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7ECD081" w14:textId="77777777" w:rsidR="00C9540F" w:rsidRPr="00375962" w:rsidRDefault="00C9540F" w:rsidP="00C9540F">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274103">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w:t>
      </w:r>
      <w:proofErr w:type="gramStart"/>
      <w:r w:rsidRPr="00274103">
        <w:rPr>
          <w:rFonts w:hAnsi="宋体" w:hint="eastAsia"/>
          <w:bCs/>
          <w:kern w:val="0"/>
          <w:sz w:val="24"/>
          <w:szCs w:val="24"/>
        </w:rPr>
        <w:t>托协议</w:t>
      </w:r>
      <w:proofErr w:type="gramEnd"/>
      <w:r w:rsidRPr="00274103">
        <w:rPr>
          <w:rFonts w:hAnsi="宋体" w:hint="eastAsia"/>
          <w:bCs/>
          <w:kern w:val="0"/>
          <w:sz w:val="24"/>
          <w:szCs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30799E9" w14:textId="77777777" w:rsidR="00C9540F" w:rsidRDefault="00C9540F" w:rsidP="00C9540F">
      <w:pPr>
        <w:autoSpaceDE w:val="0"/>
        <w:autoSpaceDN w:val="0"/>
        <w:adjustRightInd w:val="0"/>
        <w:snapToGrid w:val="0"/>
        <w:spacing w:line="360" w:lineRule="auto"/>
        <w:ind w:firstLineChars="200" w:firstLine="480"/>
        <w:rPr>
          <w:rFonts w:ascii="宋体" w:hAnsi="宋体"/>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05A8709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（八）其他风险</w:t>
      </w:r>
    </w:p>
    <w:p w14:paraId="29F313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6D51A1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6FAAC35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0515AED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2BE213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1B0B41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19E04F2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4D48F9A2"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9DA8BA" w14:textId="77777777" w:rsidR="00791B53" w:rsidRDefault="002C0D99">
      <w:pPr>
        <w:pStyle w:val="1"/>
        <w:snapToGrid w:val="0"/>
        <w:spacing w:beforeLines="0" w:before="240" w:after="240"/>
        <w:rPr>
          <w:rFonts w:ascii="宋体" w:hAnsi="宋体"/>
          <w:szCs w:val="30"/>
        </w:rPr>
      </w:pPr>
      <w:bookmarkStart w:id="22" w:name="_Toc54104362"/>
      <w:r>
        <w:rPr>
          <w:rFonts w:ascii="Times New Roman" w:hAnsi="Times New Roman"/>
          <w:sz w:val="30"/>
        </w:rPr>
        <w:lastRenderedPageBreak/>
        <w:t>十九、基金合同的变更、终止与基金财产的清算</w:t>
      </w:r>
      <w:bookmarkEnd w:id="22"/>
    </w:p>
    <w:p w14:paraId="525E9820"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14:paraId="11FED21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w:t>
      </w:r>
      <w:proofErr w:type="gramStart"/>
      <w:r>
        <w:rPr>
          <w:rFonts w:ascii="Times New Roman" w:hAnsi="Times New Roman"/>
          <w:sz w:val="24"/>
        </w:rPr>
        <w:t>开基金</w:t>
      </w:r>
      <w:proofErr w:type="gramEnd"/>
      <w:r>
        <w:rPr>
          <w:rFonts w:ascii="Times New Roman" w:hAnsi="Times New Roman"/>
          <w:sz w:val="24"/>
        </w:rPr>
        <w:t>份额持有人大会决议通过。对于法律法规规定和基金合同约定可不经基金份额持有人大会决议通过的事项，由基金管理人和基金托管人同意后变更并公告，并报中国证监会备案。</w:t>
      </w:r>
    </w:p>
    <w:p w14:paraId="77CE03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、关于《基金合同》变更的基金份额持有人大会决议自生效后方可执行，并</w:t>
      </w:r>
      <w:proofErr w:type="gramStart"/>
      <w:r>
        <w:rPr>
          <w:rFonts w:ascii="Times New Roman" w:hAnsi="Times New Roman"/>
          <w:sz w:val="24"/>
        </w:rPr>
        <w:t>自决议</w:t>
      </w:r>
      <w:proofErr w:type="gramEnd"/>
      <w:r>
        <w:rPr>
          <w:rFonts w:ascii="Times New Roman" w:hAnsi="Times New Roman"/>
          <w:sz w:val="24"/>
        </w:rPr>
        <w:t>生效后依照《信息披露办法》的规定在规定媒介公告。</w:t>
      </w:r>
    </w:p>
    <w:p w14:paraId="356B6AED"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14:paraId="74F1E82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有下列情形之一的，经履行相关程序后，《基金合同》应当终止：</w:t>
      </w:r>
    </w:p>
    <w:p w14:paraId="7F64FD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606310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296E2FC6" w14:textId="7936BC2D" w:rsidR="00590972"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w:t>
      </w:r>
      <w:r w:rsidR="00590972">
        <w:rPr>
          <w:rFonts w:ascii="Times New Roman" w:hAnsi="Times New Roman" w:hint="eastAsia"/>
          <w:sz w:val="24"/>
        </w:rPr>
        <w:t>出现标的指数不符合要求</w:t>
      </w:r>
      <w:r w:rsidR="00590972" w:rsidRPr="00E10D70">
        <w:rPr>
          <w:rFonts w:ascii="Times New Roman" w:hAnsi="Times New Roman" w:hint="eastAsia"/>
          <w:sz w:val="24"/>
        </w:rPr>
        <w:t>（不包括因成份股价格波动等指数编制方法变动之外的因素致使标的指数不符合要求的情形）、</w:t>
      </w:r>
      <w:r w:rsidR="00590972" w:rsidRPr="00590972">
        <w:rPr>
          <w:rFonts w:ascii="Times New Roman" w:hAnsi="Times New Roman" w:hint="eastAsia"/>
          <w:sz w:val="24"/>
        </w:rPr>
        <w:t>指数编制机构退出等情形，基金管理人召集基金份额持有人大会对解决方案进行表决，基金份额持有人大会未成功召开或就上述事项表决未通过的</w:t>
      </w:r>
      <w:r w:rsidR="00590972">
        <w:rPr>
          <w:rFonts w:ascii="Times New Roman" w:hAnsi="Times New Roman" w:hint="eastAsia"/>
          <w:sz w:val="24"/>
        </w:rPr>
        <w:t>；</w:t>
      </w:r>
    </w:p>
    <w:p w14:paraId="537491AA" w14:textId="5756CA10" w:rsidR="00791B53" w:rsidRDefault="00590972">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4</w:t>
      </w:r>
      <w:r>
        <w:rPr>
          <w:rFonts w:ascii="Times New Roman" w:hAnsi="Times New Roman" w:hint="eastAsia"/>
          <w:sz w:val="24"/>
        </w:rPr>
        <w:t>、</w:t>
      </w:r>
      <w:r w:rsidR="002C0D99">
        <w:rPr>
          <w:rFonts w:ascii="Times New Roman" w:hAnsi="Times New Roman"/>
          <w:sz w:val="24"/>
        </w:rPr>
        <w:t>连续</w:t>
      </w:r>
      <w:r w:rsidR="002C0D99">
        <w:rPr>
          <w:rFonts w:ascii="Times New Roman" w:hAnsi="Times New Roman"/>
          <w:sz w:val="24"/>
        </w:rPr>
        <w:t>60</w:t>
      </w:r>
      <w:r w:rsidR="002C0D99">
        <w:rPr>
          <w:rFonts w:ascii="Times New Roman" w:hAnsi="Times New Roman"/>
          <w:sz w:val="24"/>
        </w:rPr>
        <w:t>个工作日出现基金份额持有人数量不满</w:t>
      </w:r>
      <w:r w:rsidR="002C0D99">
        <w:rPr>
          <w:rFonts w:ascii="Times New Roman" w:hAnsi="Times New Roman"/>
          <w:sz w:val="24"/>
        </w:rPr>
        <w:t>200</w:t>
      </w:r>
      <w:r w:rsidR="002C0D99">
        <w:rPr>
          <w:rFonts w:ascii="Times New Roman" w:hAnsi="Times New Roman"/>
          <w:sz w:val="24"/>
        </w:rPr>
        <w:t>人或者基金资产净值低于</w:t>
      </w:r>
      <w:r w:rsidR="002C0D99">
        <w:rPr>
          <w:rFonts w:ascii="Times New Roman" w:hAnsi="Times New Roman"/>
          <w:sz w:val="24"/>
        </w:rPr>
        <w:t>5000</w:t>
      </w:r>
      <w:r w:rsidR="002C0D99">
        <w:rPr>
          <w:rFonts w:ascii="Times New Roman" w:hAnsi="Times New Roman"/>
          <w:sz w:val="24"/>
        </w:rPr>
        <w:t>万元情形的，基金管理人提前终止基金合同，不需召开基金份额持有人大会；</w:t>
      </w:r>
    </w:p>
    <w:p w14:paraId="3A051C19" w14:textId="48B6F619" w:rsidR="00791B53" w:rsidRDefault="00590972">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sidR="002C0D99">
        <w:rPr>
          <w:rFonts w:ascii="Times New Roman" w:hAnsi="Times New Roman"/>
          <w:sz w:val="24"/>
        </w:rPr>
        <w:t>、《基金合同》约定的其他情形；</w:t>
      </w:r>
    </w:p>
    <w:p w14:paraId="7113AFCA" w14:textId="2E0BFD24" w:rsidR="00791B53" w:rsidRDefault="00590972">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sidR="002C0D99">
        <w:rPr>
          <w:rFonts w:ascii="Times New Roman" w:hAnsi="Times New Roman"/>
          <w:sz w:val="24"/>
        </w:rPr>
        <w:t>、相关法律法规和中国证监会规定的其他情况。</w:t>
      </w:r>
    </w:p>
    <w:p w14:paraId="1B4BC7E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14:paraId="453FC10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39DC1B0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C05C9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1508DF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、基金财产清算程序：</w:t>
      </w:r>
    </w:p>
    <w:p w14:paraId="108157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w:t>
      </w:r>
    </w:p>
    <w:p w14:paraId="4D0FAC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6D5799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14:paraId="54B65D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733B07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3AAAF9F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4C454D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14:paraId="19B84B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14:paraId="4E3E057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14:paraId="3C63CF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5C15154A"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14:paraId="2FDEA0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AD0BDA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14:paraId="050783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0C5D3561"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14:paraId="6ED57D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0F41C749"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986F2BD" w14:textId="77777777" w:rsidR="00791B53" w:rsidRDefault="002C0D99">
      <w:pPr>
        <w:pStyle w:val="1"/>
        <w:snapToGrid w:val="0"/>
        <w:spacing w:beforeLines="0" w:before="240" w:after="240"/>
        <w:rPr>
          <w:rFonts w:ascii="宋体" w:hAnsi="宋体"/>
          <w:szCs w:val="30"/>
        </w:rPr>
      </w:pPr>
      <w:bookmarkStart w:id="23" w:name="_Toc54104363"/>
      <w:r>
        <w:rPr>
          <w:rFonts w:ascii="Times New Roman" w:hAnsi="Times New Roman"/>
          <w:sz w:val="30"/>
        </w:rPr>
        <w:lastRenderedPageBreak/>
        <w:t>二十、基金合同内容摘要</w:t>
      </w:r>
      <w:bookmarkEnd w:id="23"/>
    </w:p>
    <w:p w14:paraId="791B37D7"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（一）基金份额持有人、基金管理人和基金托管人的权利与义务</w:t>
      </w:r>
    </w:p>
    <w:p w14:paraId="243A24A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659BC8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）根据《基金法》、《运作办法》及其他有关规定，基金管理人的权利包括但不限于：</w:t>
      </w:r>
    </w:p>
    <w:p w14:paraId="2472F6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w:t>
      </w:r>
    </w:p>
    <w:p w14:paraId="695BF64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）自《基金合同》生效之日起，根据法律法规和《基金合同》独立运用并管理基金财产；</w:t>
      </w:r>
    </w:p>
    <w:p w14:paraId="0804671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14:paraId="2BF316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）销售基金份额；</w:t>
      </w:r>
    </w:p>
    <w:p w14:paraId="27C05F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）按照规定召集基金份额持有人大会；</w:t>
      </w:r>
    </w:p>
    <w:p w14:paraId="1A201F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5D566DA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）在基金托管人更换时，提名新的基金托管人；</w:t>
      </w:r>
    </w:p>
    <w:p w14:paraId="57B9A2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）选择、更换基金销售机构，对基金销售机构的相关行为进行监督和处理；</w:t>
      </w:r>
    </w:p>
    <w:p w14:paraId="07A9FA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14:paraId="1EFC41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）依据《基金合同》及有关法律规定决定基金收益的分配方案；</w:t>
      </w:r>
    </w:p>
    <w:p w14:paraId="4E6D1B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）在《基金合同》约定的范围内，拒绝或暂停受理申购与赎回申请；</w:t>
      </w:r>
    </w:p>
    <w:p w14:paraId="4AB433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14:paraId="7E292E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）在法律法规允许的前提下，为基金的利益依法为基金进行融资；</w:t>
      </w:r>
    </w:p>
    <w:p w14:paraId="0CF1DB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14:paraId="357320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）选择、更换律师事务所、会计师事务所、证券经纪商或其他为基金提供服务的外部机构；</w:t>
      </w:r>
    </w:p>
    <w:p w14:paraId="1CBA3F7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）在符合有关法律、法规的前提下，制定和调整有关基金认购、申购、赎回、</w:t>
      </w:r>
      <w:r>
        <w:rPr>
          <w:rFonts w:ascii="Times New Roman" w:hAnsi="Times New Roman"/>
          <w:sz w:val="24"/>
        </w:rPr>
        <w:lastRenderedPageBreak/>
        <w:t>转换等的业务规则；</w:t>
      </w:r>
    </w:p>
    <w:p w14:paraId="3021297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）法律法规及中国证监会规定的和《基金合同》约定的其他权利。</w:t>
      </w:r>
    </w:p>
    <w:p w14:paraId="0340C2C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）根据《基金法》、《运作办法》及其他有关规定，基金管理人的义务包括但不限于：</w:t>
      </w:r>
    </w:p>
    <w:p w14:paraId="667C17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14:paraId="41A3CA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43AB754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）自《基金合同》生效之日起，以诚实信用、谨慎勤勉的原则管理和运用基金财产；</w:t>
      </w:r>
    </w:p>
    <w:p w14:paraId="23BF069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726C10D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36CDEC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14:paraId="14F5FA5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）依法接受基金托管人的监督；</w:t>
      </w:r>
    </w:p>
    <w:p w14:paraId="3B916B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54E6C6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）进行基金会计核算并编制基金财务会计报告；</w:t>
      </w:r>
    </w:p>
    <w:p w14:paraId="346B66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）编制季度报告、中期报告和年度报告；</w:t>
      </w:r>
    </w:p>
    <w:p w14:paraId="174D7FE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）严格按照《基金法》、《基金合同》及其他有关规定，履行信息披露及报告义务；</w:t>
      </w:r>
    </w:p>
    <w:p w14:paraId="133101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14:paraId="5A1E44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14:paraId="563008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）按规定受理申购与赎回申请，及时、足额支付赎回款项；</w:t>
      </w:r>
    </w:p>
    <w:p w14:paraId="0BD098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15</w:t>
      </w:r>
      <w:r>
        <w:rPr>
          <w:rFonts w:ascii="Times New Roman" w:hAnsi="Times New Roman"/>
          <w:sz w:val="24"/>
        </w:rPr>
        <w:t>）依据《基金法》、《基金合同》及其他有关规定召集基金份额持有人大会或配合基金托管人、基金份额持有人依法召集基金份额持有人大会；</w:t>
      </w:r>
    </w:p>
    <w:p w14:paraId="5C6B79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14:paraId="221F0EF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C8DD99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）组织并参加基金财产清算小组，参与基金财产的保管、清理、估价、变现和分配；</w:t>
      </w:r>
    </w:p>
    <w:p w14:paraId="08E086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14:paraId="28980C7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14:paraId="6C2257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7C73F9D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14:paraId="0844FA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594FFB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14:paraId="6C82B1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）执行生效的基金份额持有人大会的决议；</w:t>
      </w:r>
    </w:p>
    <w:p w14:paraId="6CF111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）建立并保存基金份额持有人名册；</w:t>
      </w:r>
    </w:p>
    <w:p w14:paraId="77311A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）法律法规及中国证监会规定的和《基金合同》约定的其他义务。</w:t>
      </w:r>
    </w:p>
    <w:p w14:paraId="31C9D9E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27B9511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）根据《基金法》、《运作办法》及其他有关规定，基金托管人的权利包括但不限于：</w:t>
      </w:r>
    </w:p>
    <w:p w14:paraId="0B6938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）自《基金合同》生效之日起，依法</w:t>
      </w:r>
      <w:proofErr w:type="gramStart"/>
      <w:r>
        <w:rPr>
          <w:rFonts w:ascii="Times New Roman" w:hAnsi="Times New Roman"/>
          <w:sz w:val="24"/>
        </w:rPr>
        <w:t>律法规</w:t>
      </w:r>
      <w:proofErr w:type="gramEnd"/>
      <w:r>
        <w:rPr>
          <w:rFonts w:ascii="Times New Roman" w:hAnsi="Times New Roman"/>
          <w:sz w:val="24"/>
        </w:rPr>
        <w:t>和《基金合同》的规定安全保管</w:t>
      </w:r>
      <w:r>
        <w:rPr>
          <w:rFonts w:ascii="Times New Roman" w:hAnsi="Times New Roman"/>
          <w:sz w:val="24"/>
        </w:rPr>
        <w:lastRenderedPageBreak/>
        <w:t>基金财产；</w:t>
      </w:r>
    </w:p>
    <w:p w14:paraId="5EAF08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14:paraId="7BF3772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2ED2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）根据相关市场规则，为基金开设资金账户、证券账户、期货结算账户等投资所需账户，为基金办理证券交易资金清算；</w:t>
      </w:r>
    </w:p>
    <w:p w14:paraId="0D4DA5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）提议召开或召集基金份额持有人大会；</w:t>
      </w:r>
    </w:p>
    <w:p w14:paraId="76C990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）在基金管理人更换时，提名新的基金管理人；</w:t>
      </w:r>
    </w:p>
    <w:p w14:paraId="2DA6EEC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）法律法规及中国证监会规定的和《基金合同》约定的其他权利。</w:t>
      </w:r>
    </w:p>
    <w:p w14:paraId="78221A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）根据《基金法》、《运作办法》及其他有关规定，基金托管人的义务包括但不限于：</w:t>
      </w:r>
    </w:p>
    <w:p w14:paraId="4F720A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）以诚实信用、勤勉尽责的原则持有并安全保管基金财产；</w:t>
      </w:r>
    </w:p>
    <w:p w14:paraId="64FEC3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14:paraId="1CA6ED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B0116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14:paraId="03C2477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）保管由基金管理人代表基金签订的与基金有关的重大合同及有关凭证；</w:t>
      </w:r>
    </w:p>
    <w:p w14:paraId="4F3C8D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）按规定开设基金财产的资金账户、证券账户和期货结算账户等投资所需账户，按照《基金合同》的约定，根据基金管理人的投资指令，及时办理清算、交割事宜；</w:t>
      </w:r>
    </w:p>
    <w:p w14:paraId="611AB4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14:paraId="587AE2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）复核、审查基金管理人计算的基金资产净值、基金份额净值、基金份额申购、赎回价格；</w:t>
      </w:r>
    </w:p>
    <w:p w14:paraId="7D42637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9</w:t>
      </w:r>
      <w:r>
        <w:rPr>
          <w:rFonts w:ascii="Times New Roman" w:hAnsi="Times New Roman"/>
          <w:sz w:val="24"/>
        </w:rPr>
        <w:t>）办理与基金托管业务活动有关的信息披露事项；</w:t>
      </w:r>
    </w:p>
    <w:p w14:paraId="76EF4EC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5AF2F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14:paraId="3CAC9CB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）保存基金份额持有人名册；</w:t>
      </w:r>
    </w:p>
    <w:p w14:paraId="45055C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）按规定制作相关账册并与基金管理人核对；</w:t>
      </w:r>
    </w:p>
    <w:p w14:paraId="79B46E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14:paraId="19FEA48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14:paraId="58FB56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）按照法律法规和《基金合同》的规定监督基金管理人的投资运作；</w:t>
      </w:r>
    </w:p>
    <w:p w14:paraId="3D238CC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）参加基金财产清算小组，参与基金财产的保管、清理、估价、变现和分配；</w:t>
      </w:r>
    </w:p>
    <w:p w14:paraId="17DC538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14:paraId="7A7D6C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14:paraId="38C42A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589885F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）执行生效的基金份额持有人大会的决议；</w:t>
      </w:r>
    </w:p>
    <w:p w14:paraId="6E596B4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）法律法规及中国证监会规定的和《基金合同》约定的其他义务。</w:t>
      </w:r>
    </w:p>
    <w:p w14:paraId="7775E60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010757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w:t>
      </w:r>
      <w:proofErr w:type="gramStart"/>
      <w:r>
        <w:rPr>
          <w:rFonts w:ascii="Times New Roman" w:hAnsi="Times New Roman"/>
          <w:sz w:val="24"/>
        </w:rPr>
        <w:t>基金基金</w:t>
      </w:r>
      <w:proofErr w:type="gramEnd"/>
      <w:r>
        <w:rPr>
          <w:rFonts w:ascii="Times New Roman" w:hAnsi="Times New Roman"/>
          <w:sz w:val="24"/>
        </w:rPr>
        <w:t>份额的行为即视为对《基金合同》的承认和接受，基金投资者</w:t>
      </w:r>
      <w:proofErr w:type="gramStart"/>
      <w:r>
        <w:rPr>
          <w:rFonts w:ascii="Times New Roman" w:hAnsi="Times New Roman"/>
          <w:sz w:val="24"/>
        </w:rPr>
        <w:t>自依据</w:t>
      </w:r>
      <w:proofErr w:type="gramEnd"/>
      <w:r>
        <w:rPr>
          <w:rFonts w:ascii="Times New Roman" w:hAnsi="Times New Roman"/>
          <w:sz w:val="24"/>
        </w:rPr>
        <w:t>《基金合同》取得本</w:t>
      </w:r>
      <w:proofErr w:type="gramStart"/>
      <w:r>
        <w:rPr>
          <w:rFonts w:ascii="Times New Roman" w:hAnsi="Times New Roman"/>
          <w:sz w:val="24"/>
        </w:rPr>
        <w:t>基金基金</w:t>
      </w:r>
      <w:proofErr w:type="gramEnd"/>
      <w:r>
        <w:rPr>
          <w:rFonts w:ascii="Times New Roman" w:hAnsi="Times New Roman"/>
          <w:sz w:val="24"/>
        </w:rPr>
        <w:t>份额，即成为本基金份额持有人和《基金合同》的当事人，直至其不再持有本基金的基金份额。基金份额持有人作为《基金合同》当事人并不以在《基金合同》上书面签章或签字为必要条件。</w:t>
      </w:r>
    </w:p>
    <w:p w14:paraId="11B15D7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同一类别每份基金份额具有同等的合法权益。</w:t>
      </w:r>
    </w:p>
    <w:p w14:paraId="5C5C786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）根据《基金法》、《运作办法》及其他有关规定，基金份额持有人的权利</w:t>
      </w:r>
      <w:r>
        <w:rPr>
          <w:rFonts w:ascii="Times New Roman" w:hAnsi="Times New Roman"/>
          <w:sz w:val="24"/>
        </w:rPr>
        <w:lastRenderedPageBreak/>
        <w:t>包括但不限于：</w:t>
      </w:r>
    </w:p>
    <w:p w14:paraId="6283CD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）分享基金财产收益；</w:t>
      </w:r>
    </w:p>
    <w:p w14:paraId="7567652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）参与分配清算后的剩余基金财产；</w:t>
      </w:r>
    </w:p>
    <w:p w14:paraId="1AA057C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）依法并按照基金合同和招募说明书的规定转让或者申请赎回其持有的基金份额；</w:t>
      </w:r>
    </w:p>
    <w:p w14:paraId="1453E8E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）按照规定要求召开基金份额持有人大会或者召集基金份额持有人大会；</w:t>
      </w:r>
    </w:p>
    <w:p w14:paraId="721997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5ADE26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）查阅或者复制公开披露的基金信息资料；</w:t>
      </w:r>
    </w:p>
    <w:p w14:paraId="176910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）监督基金管理人的投资运作；</w:t>
      </w:r>
    </w:p>
    <w:p w14:paraId="34A1992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14:paraId="367C691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）法律法规及中国证监会规定的和《基金合同》约定的其他权利。</w:t>
      </w:r>
    </w:p>
    <w:p w14:paraId="5DD7A87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）根据《基金法》、《运作办法》及其他有关规定，基金份额持有人的义务包括但不限于：</w:t>
      </w:r>
    </w:p>
    <w:p w14:paraId="356697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）认真阅读并遵守《基金合同》、招募说明书等信息披露文件；</w:t>
      </w:r>
    </w:p>
    <w:p w14:paraId="3BC7360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14:paraId="6471325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）关注基金信息披露，及时行使权利和履行义务；</w:t>
      </w:r>
    </w:p>
    <w:p w14:paraId="65A608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）交纳基金认购、申购款项及法律法规和《基金合同》所规定的费用；</w:t>
      </w:r>
    </w:p>
    <w:p w14:paraId="2DB34D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）在其持有的基金份额范围内，承担基金亏损或者《基金合同》终止的有限责任；</w:t>
      </w:r>
    </w:p>
    <w:p w14:paraId="52C1D85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）不从事任何有损基金及其他《基金合同》当事人合法权益的活动；</w:t>
      </w:r>
    </w:p>
    <w:p w14:paraId="719547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）执行生效的基金份额持有人大会的决议；</w:t>
      </w:r>
    </w:p>
    <w:p w14:paraId="06E5587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）返还在基金交易过程中因任何原因获得的不当得利；</w:t>
      </w:r>
    </w:p>
    <w:p w14:paraId="27807C7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）遵守基金管理人、基金托管人、销售机构和登记机构的相关交易及业务规则；</w:t>
      </w:r>
    </w:p>
    <w:p w14:paraId="0733BE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14:paraId="672F0C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）法律法规及中国证监会规定的和《基金合同》约定的其他义务。</w:t>
      </w:r>
    </w:p>
    <w:p w14:paraId="1303D06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（二）基金份额持有人大会召集、议事及表决的程序和规则</w:t>
      </w:r>
    </w:p>
    <w:p w14:paraId="145FED4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3F1F2E3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本基金份额持有人大会不设日常机构。</w:t>
      </w:r>
    </w:p>
    <w:p w14:paraId="2A3CB0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14:paraId="755B34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）当出现或需要决定下列事由之一的，应当召开基金份额持有人大会，法律法规、基金合同和中国证监会另有规定的除外：</w:t>
      </w:r>
    </w:p>
    <w:p w14:paraId="470886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14:paraId="2D2E62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14:paraId="6785F89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14:paraId="199E40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w:t>
      </w:r>
    </w:p>
    <w:p w14:paraId="671A56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）调整基金管理人、基金托管人的报酬标准和提高销售服务费；</w:t>
      </w:r>
    </w:p>
    <w:p w14:paraId="786EF8A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14:paraId="54472A7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4933F5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w:t>
      </w:r>
    </w:p>
    <w:p w14:paraId="694B44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w:t>
      </w:r>
    </w:p>
    <w:p w14:paraId="0786A5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14:paraId="539416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733D47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14:paraId="10DD29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0F8A2B9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）在法律法规规定和《基金合同》约定的范围内且对基金份额持有人利益无实质性不利影响的前提下，以下情况可由基金管理人和基金托管人协商后修改，不需召开基金份额持有人大会：</w:t>
      </w:r>
    </w:p>
    <w:p w14:paraId="42B5F0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）调低基金销售服务费；</w:t>
      </w:r>
    </w:p>
    <w:p w14:paraId="58D0B4A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59AE6B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）在法律法规和《基金合同》规定的范围内调整本基金的申购费率、调低赎</w:t>
      </w:r>
      <w:r>
        <w:rPr>
          <w:rFonts w:ascii="Times New Roman" w:hAnsi="Times New Roman"/>
          <w:sz w:val="24"/>
        </w:rPr>
        <w:lastRenderedPageBreak/>
        <w:t>回费率、在对现有基金份额持有人利益无实质性不利影响的前提下变更收费方式；</w:t>
      </w:r>
    </w:p>
    <w:p w14:paraId="136257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）根据基金管理人与标的指数供应商签订的相应指数使用许可协议变更标的指数许可使用费费率和计费方式；</w:t>
      </w:r>
    </w:p>
    <w:p w14:paraId="3EBBD7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proofErr w:type="gramStart"/>
      <w:r>
        <w:rPr>
          <w:rFonts w:ascii="Times New Roman" w:hAnsi="Times New Roman"/>
          <w:sz w:val="24"/>
        </w:rPr>
        <w:t>因相应</w:t>
      </w:r>
      <w:proofErr w:type="gramEnd"/>
      <w:r>
        <w:rPr>
          <w:rFonts w:ascii="Times New Roman" w:hAnsi="Times New Roman"/>
          <w:sz w:val="24"/>
        </w:rPr>
        <w:t>的法律法规、登记机构的相关业务规则发生变动而应当对《基金合同》进行修改；</w:t>
      </w:r>
    </w:p>
    <w:p w14:paraId="4746272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）对《基金合同》的修改对基金份额持有人利益无实质性不利影响或修改不涉及《基金合同》当事人权利义务关系发生重大变化；</w:t>
      </w:r>
    </w:p>
    <w:p w14:paraId="695805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）在法律法规允许的情况下，且在对现有基金份额持有人利益无实质性不利影响的前提下，基金推出新业务或服务；</w:t>
      </w:r>
    </w:p>
    <w:p w14:paraId="70DB3B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）在符合法律法规及本基金合同规定、并且对基金份额持有人利益无实质不利影响的前提下，调整本基金份额类别的设置；</w:t>
      </w:r>
    </w:p>
    <w:p w14:paraId="257B59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）在不违反法律法规及对基金份额持有人利益无实质性不利影响的前提下，变更标的指数对基金投资范围和投资策略无实质性影响（包括但不限于指数编制单位变更、指数更名等事项）；</w:t>
      </w:r>
    </w:p>
    <w:p w14:paraId="083065D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）在不违反法律法规及对基金份额持有人利益无实质性不利影响的前提下，基金管理人、登记机构、销售机构调整有关基金认购、申购、赎回、转换、收益分配、</w:t>
      </w:r>
      <w:proofErr w:type="gramStart"/>
      <w:r>
        <w:rPr>
          <w:rFonts w:ascii="Times New Roman" w:hAnsi="Times New Roman"/>
          <w:sz w:val="24"/>
        </w:rPr>
        <w:t>非交易</w:t>
      </w:r>
      <w:proofErr w:type="gramEnd"/>
      <w:r>
        <w:rPr>
          <w:rFonts w:ascii="Times New Roman" w:hAnsi="Times New Roman"/>
          <w:sz w:val="24"/>
        </w:rPr>
        <w:t>过户、转托管等业务的规则；</w:t>
      </w:r>
    </w:p>
    <w:p w14:paraId="43BF993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）按照法律法规和《基金合同》规定不需召开基金份额持有人大会的其他情形。</w:t>
      </w:r>
    </w:p>
    <w:p w14:paraId="2865779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14:paraId="57AAE1C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51A499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）基金管理人未按规定召集或不能召开时，由基金托管人召集；</w:t>
      </w:r>
    </w:p>
    <w:p w14:paraId="329D3B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5509942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w:t>
      </w:r>
      <w:r>
        <w:rPr>
          <w:rFonts w:ascii="Times New Roman" w:hAnsi="Times New Roman"/>
          <w:sz w:val="24"/>
        </w:rPr>
        <w:lastRenderedPageBreak/>
        <w:t>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6B859BD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7FB89B1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682291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14:paraId="112D2FF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日，在规定媒介公告。基金份额持有人大会通知应至少载明以下内容：</w:t>
      </w:r>
    </w:p>
    <w:p w14:paraId="0D96977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14:paraId="653C62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w:t>
      </w:r>
      <w:proofErr w:type="gramStart"/>
      <w:r>
        <w:rPr>
          <w:rFonts w:ascii="Times New Roman" w:hAnsi="Times New Roman"/>
          <w:sz w:val="24"/>
        </w:rPr>
        <w:t>拟审议</w:t>
      </w:r>
      <w:proofErr w:type="gramEnd"/>
      <w:r>
        <w:rPr>
          <w:rFonts w:ascii="Times New Roman" w:hAnsi="Times New Roman"/>
          <w:sz w:val="24"/>
        </w:rPr>
        <w:t>的事项、议事程序和表决方式；</w:t>
      </w:r>
    </w:p>
    <w:p w14:paraId="58A364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14:paraId="0F40B2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3FF9FEA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14:paraId="74AAEC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14:paraId="5C4BBE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14:paraId="60D7432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D3750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w:t>
      </w:r>
      <w:r>
        <w:rPr>
          <w:rFonts w:ascii="Times New Roman" w:hAnsi="Times New Roman"/>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Times New Roman" w:hAnsi="Times New Roman"/>
          <w:sz w:val="24"/>
        </w:rPr>
        <w:t>拒不派</w:t>
      </w:r>
      <w:proofErr w:type="gramEnd"/>
      <w:r>
        <w:rPr>
          <w:rFonts w:ascii="Times New Roman" w:hAnsi="Times New Roman"/>
          <w:sz w:val="24"/>
        </w:rPr>
        <w:t>代表对表决意见的计票进行监督的，不影响表决意见的计票效力。</w:t>
      </w:r>
    </w:p>
    <w:p w14:paraId="0E0542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14:paraId="7ADCD5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基金份额持有人大会可通过现场开会方式、通讯开会方式或法律法规和监管机构允许的其他方式召开，会议的召开方式由会议召集人确定。</w:t>
      </w:r>
    </w:p>
    <w:p w14:paraId="04F374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B6555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F55BB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2CCB5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）通讯开会。通讯开会系指基金份额持有人将其对表决事项的投票以会议通知载明的形式或基金合同约定的其他方式在表决截止日以前送达至召集人指定的地址或系统。</w:t>
      </w:r>
    </w:p>
    <w:p w14:paraId="126E15A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14:paraId="2440AB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14:paraId="5FF51BC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）召集人按基金合同约定通知基金托管人（如果基金托管人为召集人，则为基金管理人）到指定地点对表决意见的计票进行监督。会议召集人在基金托管人</w:t>
      </w:r>
      <w:r>
        <w:rPr>
          <w:rFonts w:ascii="Times New Roman" w:hAnsi="Times New Roman"/>
          <w:sz w:val="24"/>
        </w:rPr>
        <w:lastRenderedPageBreak/>
        <w:t>（如果基金托管人为召集人，则为基金管理人）和公证机关的监督下按照会议通知规定的方式收取基金份额持有人的表决意见；基金托管人或基金管理人经通知不参加收取表决意见的，不影响表决效力；</w:t>
      </w:r>
    </w:p>
    <w:p w14:paraId="593736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6384F3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944448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B04D9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14:paraId="442994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0A270AF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6DDA16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14:paraId="4F8561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14:paraId="4AF971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5E8799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13224A2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ascii="Times New Roman" w:hAnsi="Times New Roman"/>
          <w:sz w:val="24"/>
        </w:rPr>
        <w:t>作出</w:t>
      </w:r>
      <w:proofErr w:type="gramEnd"/>
      <w:r>
        <w:rPr>
          <w:rFonts w:ascii="Times New Roman" w:hAnsi="Times New Roman"/>
          <w:sz w:val="24"/>
        </w:rPr>
        <w:t>的决议的效力。</w:t>
      </w:r>
    </w:p>
    <w:p w14:paraId="258431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w:t>
      </w:r>
      <w:proofErr w:type="gramStart"/>
      <w:r>
        <w:rPr>
          <w:rFonts w:ascii="Times New Roman" w:hAnsi="Times New Roman"/>
          <w:sz w:val="24"/>
        </w:rPr>
        <w:t>册</w:t>
      </w:r>
      <w:proofErr w:type="gramEnd"/>
      <w:r>
        <w:rPr>
          <w:rFonts w:ascii="Times New Roman" w:hAnsi="Times New Roman"/>
          <w:sz w:val="24"/>
        </w:rPr>
        <w:t>载明参加会议人员姓名（或单位名称）、身份证明文件号码、持有或代表有表决权的基金份额、委托人姓名（或单位名称）和联系方式等事项。</w:t>
      </w:r>
    </w:p>
    <w:p w14:paraId="5B6372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14:paraId="113D74F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7DBC49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14:paraId="3B52CD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14:paraId="72B0079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14:paraId="662160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297B99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5AD13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14:paraId="5BD0D60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5B0D3C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基金份额持有人大会的各项提案或同一项提案内并列的各项议题应当分开审议、逐项表决。</w:t>
      </w:r>
    </w:p>
    <w:p w14:paraId="1BB8E9A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14:paraId="1FE7C73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19D166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Times New Roman" w:hAnsi="Times New Roman"/>
          <w:sz w:val="24"/>
        </w:rPr>
        <w:t>或大会</w:t>
      </w:r>
      <w:proofErr w:type="gramEnd"/>
      <w:r>
        <w:rPr>
          <w:rFonts w:ascii="Times New Roman" w:hAnsi="Times New Roman"/>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151B7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06FFA41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w:t>
      </w:r>
      <w:proofErr w:type="gramStart"/>
      <w:r>
        <w:rPr>
          <w:rFonts w:ascii="Times New Roman" w:hAnsi="Times New Roman"/>
          <w:sz w:val="24"/>
        </w:rPr>
        <w:t>数要求</w:t>
      </w:r>
      <w:proofErr w:type="gramEnd"/>
      <w:r>
        <w:rPr>
          <w:rFonts w:ascii="Times New Roman" w:hAnsi="Times New Roman"/>
          <w:sz w:val="24"/>
        </w:rPr>
        <w:t>进行重新清点。监票人应当进行重新清点，重新清点以一次为限。重新清点后，大会主持人应当当场公布重新清点结果。</w:t>
      </w:r>
    </w:p>
    <w:p w14:paraId="1847BE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14:paraId="1367300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78A929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Times New Roman" w:hAnsi="Times New Roman"/>
          <w:sz w:val="24"/>
        </w:rPr>
        <w:t>人拒派</w:t>
      </w:r>
      <w:proofErr w:type="gramEnd"/>
      <w:r>
        <w:rPr>
          <w:rFonts w:ascii="Times New Roman" w:hAnsi="Times New Roman"/>
          <w:sz w:val="24"/>
        </w:rPr>
        <w:t>代表对表决意见的计票进行监督的，不影响计票和表决结果。</w:t>
      </w:r>
    </w:p>
    <w:p w14:paraId="0CAE866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、生效与公告</w:t>
      </w:r>
    </w:p>
    <w:p w14:paraId="1E6664B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基金份额持有人大会的决议，召集人应当自通过之日起</w:t>
      </w:r>
      <w:r>
        <w:rPr>
          <w:rFonts w:ascii="Times New Roman" w:hAnsi="Times New Roman"/>
          <w:sz w:val="24"/>
        </w:rPr>
        <w:t>5</w:t>
      </w:r>
      <w:r>
        <w:rPr>
          <w:rFonts w:ascii="Times New Roman" w:hAnsi="Times New Roman"/>
          <w:sz w:val="24"/>
        </w:rPr>
        <w:t>日内报中国证监会备案。基金份额持有人大会的决议自表决通过之日起生效。法律法规另有规定的，从其规定。</w:t>
      </w:r>
    </w:p>
    <w:p w14:paraId="5931ED9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6B75578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FACD3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w:t>
      </w:r>
      <w:proofErr w:type="gramStart"/>
      <w:r>
        <w:rPr>
          <w:rFonts w:ascii="Times New Roman" w:hAnsi="Times New Roman"/>
          <w:sz w:val="24"/>
        </w:rPr>
        <w:t>本部分对基金</w:t>
      </w:r>
      <w:proofErr w:type="gramEnd"/>
      <w:r>
        <w:rPr>
          <w:rFonts w:ascii="Times New Roman" w:hAnsi="Times New Roman"/>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74322BD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（三）基金合同解除和终止的事由、程序</w:t>
      </w:r>
    </w:p>
    <w:p w14:paraId="43C820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6F849F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w:t>
      </w:r>
      <w:proofErr w:type="gramStart"/>
      <w:r>
        <w:rPr>
          <w:rFonts w:ascii="Times New Roman" w:hAnsi="Times New Roman"/>
          <w:sz w:val="24"/>
        </w:rPr>
        <w:t>开基金</w:t>
      </w:r>
      <w:proofErr w:type="gramEnd"/>
      <w:r>
        <w:rPr>
          <w:rFonts w:ascii="Times New Roman" w:hAnsi="Times New Roman"/>
          <w:sz w:val="24"/>
        </w:rPr>
        <w:t>份额持有人大会决议通过。对于法律法规规定和基金合同约定可不经基金份额持有人大会决议通过的事项，由基金管理人和基金托管人同意后变更并公告，并报中国证监会备案。</w:t>
      </w:r>
    </w:p>
    <w:p w14:paraId="4DF055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）关于《基金合同》变更的基金份额持有人大会决议自生效后方可执行，并</w:t>
      </w:r>
      <w:proofErr w:type="gramStart"/>
      <w:r>
        <w:rPr>
          <w:rFonts w:ascii="Times New Roman" w:hAnsi="Times New Roman"/>
          <w:sz w:val="24"/>
        </w:rPr>
        <w:t>自决议</w:t>
      </w:r>
      <w:proofErr w:type="gramEnd"/>
      <w:r>
        <w:rPr>
          <w:rFonts w:ascii="Times New Roman" w:hAnsi="Times New Roman"/>
          <w:sz w:val="24"/>
        </w:rPr>
        <w:t>生效后依照《信息披露办法》的规定在规定媒介公告。</w:t>
      </w:r>
    </w:p>
    <w:p w14:paraId="181EFC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14:paraId="77C24E2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有下列情形之一的，经履行相关程序后，《基金合同》应当终止：</w:t>
      </w:r>
    </w:p>
    <w:p w14:paraId="743CCD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5BA12B9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5326F84D" w14:textId="696DFD18" w:rsidR="008B62D1" w:rsidRPr="008B62D1" w:rsidRDefault="002C0D99" w:rsidP="008B62D1">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w:t>
      </w:r>
      <w:r w:rsidR="008B62D1" w:rsidRPr="008B62D1">
        <w:rPr>
          <w:rFonts w:ascii="Times New Roman" w:hAnsi="Times New Roman" w:hint="eastAsia"/>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5112B9E4" w14:textId="000204DB" w:rsidR="00791B53" w:rsidRDefault="008B62D1">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2C0D99">
        <w:rPr>
          <w:rFonts w:ascii="Times New Roman" w:hAnsi="Times New Roman"/>
          <w:sz w:val="24"/>
        </w:rPr>
        <w:t>连续</w:t>
      </w:r>
      <w:r w:rsidR="002C0D99">
        <w:rPr>
          <w:rFonts w:ascii="Times New Roman" w:hAnsi="Times New Roman"/>
          <w:sz w:val="24"/>
        </w:rPr>
        <w:t>60</w:t>
      </w:r>
      <w:r w:rsidR="002C0D99">
        <w:rPr>
          <w:rFonts w:ascii="Times New Roman" w:hAnsi="Times New Roman"/>
          <w:sz w:val="24"/>
        </w:rPr>
        <w:t>个工作日出现基金份额持有人数量不满</w:t>
      </w:r>
      <w:r w:rsidR="002C0D99">
        <w:rPr>
          <w:rFonts w:ascii="Times New Roman" w:hAnsi="Times New Roman"/>
          <w:sz w:val="24"/>
        </w:rPr>
        <w:t>200</w:t>
      </w:r>
      <w:r w:rsidR="002C0D99">
        <w:rPr>
          <w:rFonts w:ascii="Times New Roman" w:hAnsi="Times New Roman"/>
          <w:sz w:val="24"/>
        </w:rPr>
        <w:t>人或者基金资产净值低于</w:t>
      </w:r>
      <w:r w:rsidR="002C0D99">
        <w:rPr>
          <w:rFonts w:ascii="Times New Roman" w:hAnsi="Times New Roman"/>
          <w:sz w:val="24"/>
        </w:rPr>
        <w:t>5000</w:t>
      </w:r>
      <w:r w:rsidR="002C0D99">
        <w:rPr>
          <w:rFonts w:ascii="Times New Roman" w:hAnsi="Times New Roman"/>
          <w:sz w:val="24"/>
        </w:rPr>
        <w:t>万元情形的，基金管理人提前终止基金合同，不需召开基金份额持有人大会；</w:t>
      </w:r>
    </w:p>
    <w:p w14:paraId="56723ED6" w14:textId="3B936F0A"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8B62D1">
        <w:rPr>
          <w:rFonts w:ascii="Times New Roman" w:hAnsi="Times New Roman"/>
          <w:sz w:val="24"/>
        </w:rPr>
        <w:t>5</w:t>
      </w:r>
      <w:r>
        <w:rPr>
          <w:rFonts w:ascii="Times New Roman" w:hAnsi="Times New Roman"/>
          <w:sz w:val="24"/>
        </w:rPr>
        <w:t>）《基金合同》约定的其他情形；</w:t>
      </w:r>
    </w:p>
    <w:p w14:paraId="77E17DDE" w14:textId="2217AD00"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8B62D1">
        <w:rPr>
          <w:rFonts w:ascii="Times New Roman" w:hAnsi="Times New Roman"/>
          <w:sz w:val="24"/>
        </w:rPr>
        <w:t>6</w:t>
      </w:r>
      <w:r>
        <w:rPr>
          <w:rFonts w:ascii="Times New Roman" w:hAnsi="Times New Roman"/>
          <w:sz w:val="24"/>
        </w:rPr>
        <w:t>）相关法律法规和中国证监会规定的其他情况。</w:t>
      </w:r>
    </w:p>
    <w:p w14:paraId="20A69D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14:paraId="32F892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w:t>
      </w:r>
      <w:r>
        <w:rPr>
          <w:rFonts w:ascii="Times New Roman" w:hAnsi="Times New Roman"/>
          <w:sz w:val="24"/>
        </w:rPr>
        <w:lastRenderedPageBreak/>
        <w:t>成立清算小组，基金管理人组织基金财产清算小组并在中国证监会的监督下进行基金清算。</w:t>
      </w:r>
    </w:p>
    <w:p w14:paraId="0508FC8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4CBC8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58DD050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14:paraId="3215F7D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w:t>
      </w:r>
    </w:p>
    <w:p w14:paraId="0FD2C6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14:paraId="2422A2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）对基金财产进行估值和变现；</w:t>
      </w:r>
    </w:p>
    <w:p w14:paraId="5FB89A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14:paraId="4802208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14A7AD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14:paraId="7FC606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）对基金剩余财产进行分配。</w:t>
      </w:r>
    </w:p>
    <w:p w14:paraId="6AE1EEF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个月，但因本基金所持证券的流动性受到限制而不能及时变现的，清算期限相应顺延。</w:t>
      </w:r>
    </w:p>
    <w:p w14:paraId="789A65C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、清算费用</w:t>
      </w:r>
    </w:p>
    <w:p w14:paraId="564080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038CBC4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、基金财产清算剩余资产的分配</w:t>
      </w:r>
    </w:p>
    <w:p w14:paraId="491FDD5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667B1B8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、基金财产清算的公告</w:t>
      </w:r>
    </w:p>
    <w:p w14:paraId="1BDB40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453F211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7</w:t>
      </w:r>
      <w:r>
        <w:rPr>
          <w:rFonts w:ascii="Times New Roman" w:hAnsi="Times New Roman"/>
          <w:sz w:val="24"/>
        </w:rPr>
        <w:t>、基金财产清算账册及文件的保存</w:t>
      </w:r>
    </w:p>
    <w:p w14:paraId="21E55C0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7707545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（四）争议解决方式</w:t>
      </w:r>
    </w:p>
    <w:p w14:paraId="6F3CC1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08DF5C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14:paraId="7BEB58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《基金合同》受中国法律（不含港澳台立法）管辖。</w:t>
      </w:r>
    </w:p>
    <w:p w14:paraId="0EA3E9A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14:paraId="41489E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《基金合同》正本一式三份，除上报有关监管机构一份外，基金管理人、基金托管人各持有一份，每份具有同等的法律效力。</w:t>
      </w:r>
    </w:p>
    <w:p w14:paraId="1A06382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《基金合同》可印制成册，供投资者在基金管理人、基金托管人、销售机构的办公场所和营业场所查阅。</w:t>
      </w:r>
    </w:p>
    <w:p w14:paraId="7BA4F746"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AF20BC" w14:textId="77777777" w:rsidR="00791B53" w:rsidRDefault="002C0D99">
      <w:pPr>
        <w:pStyle w:val="1"/>
        <w:snapToGrid w:val="0"/>
        <w:spacing w:beforeLines="0" w:before="240" w:after="240"/>
        <w:rPr>
          <w:rFonts w:ascii="宋体" w:hAnsi="宋体"/>
          <w:szCs w:val="30"/>
        </w:rPr>
      </w:pPr>
      <w:bookmarkStart w:id="24" w:name="_Toc54104364"/>
      <w:r>
        <w:rPr>
          <w:rFonts w:ascii="Times New Roman" w:hAnsi="Times New Roman"/>
          <w:sz w:val="30"/>
        </w:rPr>
        <w:lastRenderedPageBreak/>
        <w:t>二十一、托管协议的内容摘要</w:t>
      </w:r>
      <w:bookmarkEnd w:id="24"/>
    </w:p>
    <w:p w14:paraId="138779C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4F57AAF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71460D1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2770D28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住所：中国（上海）自由贸易试验区银城中路</w:t>
      </w:r>
      <w:r>
        <w:rPr>
          <w:rFonts w:ascii="Times New Roman" w:hAnsi="Times New Roman"/>
          <w:sz w:val="24"/>
        </w:rPr>
        <w:t>188</w:t>
      </w:r>
      <w:r>
        <w:rPr>
          <w:rFonts w:ascii="Times New Roman" w:hAnsi="Times New Roman"/>
          <w:sz w:val="24"/>
        </w:rPr>
        <w:t>号交通银行大楼二层（裙）</w:t>
      </w:r>
    </w:p>
    <w:p w14:paraId="2E49F85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w:t>
      </w:r>
      <w:proofErr w:type="gramStart"/>
      <w:r>
        <w:rPr>
          <w:rFonts w:ascii="Times New Roman" w:hAnsi="Times New Roman"/>
          <w:sz w:val="24"/>
        </w:rPr>
        <w:t>新区世纪</w:t>
      </w:r>
      <w:proofErr w:type="gramEnd"/>
      <w:r>
        <w:rPr>
          <w:rFonts w:ascii="Times New Roman" w:hAnsi="Times New Roman"/>
          <w:sz w:val="24"/>
        </w:rPr>
        <w:t>大道</w:t>
      </w:r>
      <w:r>
        <w:rPr>
          <w:rFonts w:ascii="Times New Roman" w:hAnsi="Times New Roman"/>
          <w:sz w:val="24"/>
        </w:rPr>
        <w:t>8</w:t>
      </w:r>
      <w:r>
        <w:rPr>
          <w:rFonts w:ascii="Times New Roman" w:hAnsi="Times New Roman"/>
          <w:sz w:val="24"/>
        </w:rPr>
        <w:t>号国</w:t>
      </w:r>
      <w:proofErr w:type="gramStart"/>
      <w:r>
        <w:rPr>
          <w:rFonts w:ascii="Times New Roman" w:hAnsi="Times New Roman"/>
          <w:sz w:val="24"/>
        </w:rPr>
        <w:t>金中心</w:t>
      </w:r>
      <w:proofErr w:type="gramEnd"/>
      <w:r>
        <w:rPr>
          <w:rFonts w:ascii="Times New Roman" w:hAnsi="Times New Roman"/>
          <w:sz w:val="24"/>
        </w:rPr>
        <w:t>二期</w:t>
      </w:r>
      <w:r>
        <w:rPr>
          <w:rFonts w:ascii="Times New Roman" w:hAnsi="Times New Roman"/>
          <w:sz w:val="24"/>
        </w:rPr>
        <w:t>21-22</w:t>
      </w:r>
      <w:r>
        <w:rPr>
          <w:rFonts w:ascii="Times New Roman" w:hAnsi="Times New Roman"/>
          <w:sz w:val="24"/>
        </w:rPr>
        <w:t>楼</w:t>
      </w:r>
    </w:p>
    <w:p w14:paraId="66C8CC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406A066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E8445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 xml:space="preserve"> 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7362A6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批准设立机关：中国证券监督管理委员会</w:t>
      </w:r>
    </w:p>
    <w:p w14:paraId="2AAA04A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批准设立文号：中国证监会证</w:t>
      </w:r>
      <w:proofErr w:type="gramStart"/>
      <w:r>
        <w:rPr>
          <w:rFonts w:ascii="Times New Roman" w:hAnsi="Times New Roman"/>
          <w:sz w:val="24"/>
        </w:rPr>
        <w:t>监基金字</w:t>
      </w:r>
      <w:proofErr w:type="gramEnd"/>
      <w:r>
        <w:rPr>
          <w:rFonts w:ascii="Times New Roman" w:hAnsi="Times New Roman"/>
          <w:sz w:val="24"/>
        </w:rPr>
        <w:t>[2005]128</w:t>
      </w:r>
      <w:r>
        <w:rPr>
          <w:rFonts w:ascii="Times New Roman" w:hAnsi="Times New Roman"/>
          <w:sz w:val="24"/>
        </w:rPr>
        <w:t>号</w:t>
      </w:r>
    </w:p>
    <w:p w14:paraId="578028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6AA9D6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 xml:space="preserve"> 2</w:t>
      </w:r>
      <w:r>
        <w:rPr>
          <w:rFonts w:ascii="Times New Roman" w:hAnsi="Times New Roman"/>
          <w:sz w:val="24"/>
        </w:rPr>
        <w:t>亿元人民币</w:t>
      </w:r>
    </w:p>
    <w:p w14:paraId="108B564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4C7A47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经营范围：基金募集、基金销售、资产管理和中国证监会许可的其他业务。</w:t>
      </w:r>
    </w:p>
    <w:p w14:paraId="0A0576D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0EAD3F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名称：招商银行股份有限公司</w:t>
      </w:r>
      <w:r>
        <w:rPr>
          <w:rFonts w:ascii="Times New Roman" w:hAnsi="Times New Roman"/>
          <w:sz w:val="24"/>
        </w:rPr>
        <w:t>(</w:t>
      </w:r>
      <w:r>
        <w:rPr>
          <w:rFonts w:ascii="Times New Roman" w:hAnsi="Times New Roman"/>
          <w:sz w:val="24"/>
        </w:rPr>
        <w:t>简称：招商银行</w:t>
      </w:r>
      <w:r>
        <w:rPr>
          <w:rFonts w:ascii="Times New Roman" w:hAnsi="Times New Roman"/>
          <w:sz w:val="24"/>
        </w:rPr>
        <w:t>)</w:t>
      </w:r>
    </w:p>
    <w:p w14:paraId="276D7F1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住所：深圳市深南大道</w:t>
      </w:r>
      <w:r>
        <w:rPr>
          <w:rFonts w:ascii="Times New Roman" w:hAnsi="Times New Roman"/>
          <w:sz w:val="24"/>
        </w:rPr>
        <w:t>7088</w:t>
      </w:r>
      <w:r>
        <w:rPr>
          <w:rFonts w:ascii="Times New Roman" w:hAnsi="Times New Roman"/>
          <w:sz w:val="24"/>
        </w:rPr>
        <w:t>号招商银行大厦</w:t>
      </w:r>
    </w:p>
    <w:p w14:paraId="2EB24DA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办公地址：深圳市深南大道</w:t>
      </w:r>
      <w:r>
        <w:rPr>
          <w:rFonts w:ascii="Times New Roman" w:hAnsi="Times New Roman"/>
          <w:sz w:val="24"/>
        </w:rPr>
        <w:t>7088</w:t>
      </w:r>
      <w:r>
        <w:rPr>
          <w:rFonts w:ascii="Times New Roman" w:hAnsi="Times New Roman"/>
          <w:sz w:val="24"/>
        </w:rPr>
        <w:t>号招商银行大厦</w:t>
      </w:r>
    </w:p>
    <w:p w14:paraId="095A02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518040</w:t>
      </w:r>
    </w:p>
    <w:p w14:paraId="5D2CDA8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1CC7A1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8</w:t>
      </w:r>
      <w:r>
        <w:rPr>
          <w:rFonts w:ascii="Times New Roman" w:hAnsi="Times New Roman"/>
          <w:sz w:val="24"/>
        </w:rPr>
        <w:t>日</w:t>
      </w:r>
    </w:p>
    <w:p w14:paraId="318EFB1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基金托管业务批准文号：证</w:t>
      </w:r>
      <w:proofErr w:type="gramStart"/>
      <w:r>
        <w:rPr>
          <w:rFonts w:ascii="Times New Roman" w:hAnsi="Times New Roman"/>
          <w:sz w:val="24"/>
        </w:rPr>
        <w:t>监基金字</w:t>
      </w:r>
      <w:proofErr w:type="gramEnd"/>
      <w:r>
        <w:rPr>
          <w:rFonts w:ascii="Times New Roman" w:hAnsi="Times New Roman"/>
          <w:sz w:val="24"/>
        </w:rPr>
        <w:t>[2002]83</w:t>
      </w:r>
      <w:r>
        <w:rPr>
          <w:rFonts w:ascii="Times New Roman" w:hAnsi="Times New Roman"/>
          <w:sz w:val="24"/>
        </w:rPr>
        <w:t>号</w:t>
      </w:r>
    </w:p>
    <w:p w14:paraId="554293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组织形式：股份有限公司</w:t>
      </w:r>
    </w:p>
    <w:p w14:paraId="76220EB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注册资本：人民币</w:t>
      </w:r>
      <w:r>
        <w:rPr>
          <w:rFonts w:ascii="Times New Roman" w:hAnsi="Times New Roman"/>
          <w:sz w:val="24"/>
        </w:rPr>
        <w:t>252.20</w:t>
      </w:r>
      <w:r>
        <w:rPr>
          <w:rFonts w:ascii="Times New Roman" w:hAnsi="Times New Roman"/>
          <w:sz w:val="24"/>
        </w:rPr>
        <w:t>亿元</w:t>
      </w:r>
    </w:p>
    <w:p w14:paraId="139B3B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453B00B3"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03969F7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、基金托管人根据有关法律法规的规定以及《基金合同》的约定，对基金投资范围、投资比例、投资限制、关联方交易等进行监督。《基金合同》明确约定基金投资证券选择标准的，基金管理人应</w:t>
      </w:r>
      <w:proofErr w:type="gramStart"/>
      <w:r>
        <w:rPr>
          <w:rFonts w:ascii="Times New Roman" w:hAnsi="Times New Roman"/>
          <w:sz w:val="24"/>
        </w:rPr>
        <w:t>事先或</w:t>
      </w:r>
      <w:proofErr w:type="gramEnd"/>
      <w:r>
        <w:rPr>
          <w:rFonts w:ascii="Times New Roman" w:hAnsi="Times New Roman"/>
          <w:sz w:val="24"/>
        </w:rPr>
        <w:t>定期向基金托管人提供投资品种池，</w:t>
      </w:r>
      <w:r>
        <w:rPr>
          <w:rFonts w:ascii="Times New Roman" w:hAnsi="Times New Roman"/>
          <w:sz w:val="24"/>
        </w:rPr>
        <w:lastRenderedPageBreak/>
        <w:t>以便基金托管人对基金实际投资是否符合基金合同关于证券选择标准的约定进行监督。</w:t>
      </w:r>
    </w:p>
    <w:p w14:paraId="4470097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）本基金的投资范围为：</w:t>
      </w:r>
    </w:p>
    <w:p w14:paraId="192822C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本基金的投资范围为具有良好流动性的金融工具，包括创业板</w:t>
      </w:r>
      <w:r>
        <w:rPr>
          <w:rFonts w:ascii="Times New Roman" w:hAnsi="Times New Roman"/>
          <w:sz w:val="24"/>
        </w:rPr>
        <w:t>50</w:t>
      </w:r>
      <w:r>
        <w:rPr>
          <w:rFonts w:ascii="Times New Roman" w:hAnsi="Times New Roman"/>
          <w:sz w:val="24"/>
        </w:rPr>
        <w:t>指数的成份股</w:t>
      </w:r>
      <w:r w:rsidR="00C9540F">
        <w:rPr>
          <w:rFonts w:ascii="宋体" w:hAnsi="宋体" w:hint="eastAsia"/>
          <w:bCs/>
          <w:sz w:val="24"/>
        </w:rPr>
        <w:t>（</w:t>
      </w:r>
      <w:proofErr w:type="gramStart"/>
      <w:r w:rsidR="00C9540F">
        <w:rPr>
          <w:rFonts w:ascii="宋体" w:hAnsi="宋体" w:hint="eastAsia"/>
          <w:bCs/>
          <w:sz w:val="24"/>
        </w:rPr>
        <w:t>含存托</w:t>
      </w:r>
      <w:proofErr w:type="gramEnd"/>
      <w:r w:rsidR="00C9540F">
        <w:rPr>
          <w:rFonts w:ascii="宋体" w:hAnsi="宋体" w:hint="eastAsia"/>
          <w:bCs/>
          <w:sz w:val="24"/>
        </w:rPr>
        <w:t>凭证）</w:t>
      </w:r>
      <w:r>
        <w:rPr>
          <w:rFonts w:ascii="Times New Roman" w:hAnsi="Times New Roman"/>
          <w:sz w:val="24"/>
        </w:rPr>
        <w:t>及其备选成份股</w:t>
      </w:r>
      <w:r w:rsidR="00C9540F">
        <w:rPr>
          <w:rFonts w:ascii="宋体" w:hAnsi="宋体" w:hint="eastAsia"/>
          <w:bCs/>
          <w:sz w:val="24"/>
        </w:rPr>
        <w:t>（</w:t>
      </w:r>
      <w:proofErr w:type="gramStart"/>
      <w:r w:rsidR="00C9540F">
        <w:rPr>
          <w:rFonts w:ascii="宋体" w:hAnsi="宋体" w:hint="eastAsia"/>
          <w:bCs/>
          <w:sz w:val="24"/>
        </w:rPr>
        <w:t>含存托</w:t>
      </w:r>
      <w:proofErr w:type="gramEnd"/>
      <w:r w:rsidR="00C9540F">
        <w:rPr>
          <w:rFonts w:ascii="宋体" w:hAnsi="宋体" w:hint="eastAsia"/>
          <w:bCs/>
          <w:sz w:val="24"/>
        </w:rPr>
        <w:t>凭证）</w:t>
      </w:r>
      <w:r>
        <w:rPr>
          <w:rFonts w:ascii="Times New Roman" w:hAnsi="Times New Roman"/>
          <w:sz w:val="24"/>
        </w:rPr>
        <w:t>、其他股票（含中小板、创业板及其他经中国证监会核准上市的股票</w:t>
      </w:r>
      <w:r w:rsidR="00C9540F">
        <w:rPr>
          <w:rFonts w:hint="eastAsia"/>
          <w:bCs/>
          <w:sz w:val="24"/>
        </w:rPr>
        <w:t>、存托凭证</w:t>
      </w:r>
      <w:r>
        <w:rPr>
          <w:rFonts w:ascii="Times New Roman" w:hAnsi="Times New Roman"/>
          <w:sz w:val="24"/>
        </w:rPr>
        <w:t>）、债券（含国债、央行票据、金融债券、政府支持债券、政府支持机构债券、地方政府债券、企业债券、公司债券、可转换债券（</w:t>
      </w:r>
      <w:proofErr w:type="gramStart"/>
      <w:r>
        <w:rPr>
          <w:rFonts w:ascii="Times New Roman" w:hAnsi="Times New Roman"/>
          <w:sz w:val="24"/>
        </w:rPr>
        <w:t>含可分离</w:t>
      </w:r>
      <w:proofErr w:type="gramEnd"/>
      <w:r>
        <w:rPr>
          <w:rFonts w:ascii="Times New Roman" w:hAnsi="Times New Roman"/>
          <w:sz w:val="24"/>
        </w:rPr>
        <w:t>交易可转换债券</w:t>
      </w:r>
      <w:proofErr w:type="gramStart"/>
      <w:r>
        <w:rPr>
          <w:rFonts w:ascii="Times New Roman" w:hAnsi="Times New Roman"/>
          <w:sz w:val="24"/>
        </w:rPr>
        <w:t>的纯债部分</w:t>
      </w:r>
      <w:proofErr w:type="gramEnd"/>
      <w:r>
        <w:rPr>
          <w:rFonts w:ascii="Times New Roman" w:hAnsi="Times New Roman"/>
          <w:sz w:val="24"/>
        </w:rPr>
        <w:t>）、可交换公司债券、公开发行的次级债券、中期票据、短期融资</w:t>
      </w:r>
      <w:proofErr w:type="gramStart"/>
      <w:r>
        <w:rPr>
          <w:rFonts w:ascii="Times New Roman" w:hAnsi="Times New Roman"/>
          <w:sz w:val="24"/>
        </w:rPr>
        <w:t>券</w:t>
      </w:r>
      <w:proofErr w:type="gramEnd"/>
      <w:r>
        <w:rPr>
          <w:rFonts w:ascii="Times New Roman" w:hAnsi="Times New Roman"/>
          <w:sz w:val="24"/>
        </w:rPr>
        <w:t>、超短期融资</w:t>
      </w:r>
      <w:proofErr w:type="gramStart"/>
      <w:r>
        <w:rPr>
          <w:rFonts w:ascii="Times New Roman" w:hAnsi="Times New Roman"/>
          <w:sz w:val="24"/>
        </w:rPr>
        <w:t>券</w:t>
      </w:r>
      <w:proofErr w:type="gramEnd"/>
      <w:r>
        <w:rPr>
          <w:rFonts w:ascii="Times New Roman" w:hAnsi="Times New Roman"/>
          <w:sz w:val="24"/>
        </w:rPr>
        <w:t>等）、资产支持证券、货币市场工具、债券回购、同业存单、银行存款（</w:t>
      </w:r>
      <w:proofErr w:type="gramStart"/>
      <w:r>
        <w:rPr>
          <w:rFonts w:ascii="Times New Roman" w:hAnsi="Times New Roman"/>
          <w:sz w:val="24"/>
        </w:rPr>
        <w:t>含协议</w:t>
      </w:r>
      <w:proofErr w:type="gramEnd"/>
      <w:r>
        <w:rPr>
          <w:rFonts w:ascii="Times New Roman" w:hAnsi="Times New Roman"/>
          <w:sz w:val="24"/>
        </w:rPr>
        <w:t>存款、定期存款及其他银行存款）、股指期货以及法律法规或中国证监会允许基金投资的其他金融工具。</w:t>
      </w:r>
    </w:p>
    <w:p w14:paraId="33C9F7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14:paraId="662E2AE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）本基金各类品种的投资比例、投资限制为：</w:t>
      </w:r>
    </w:p>
    <w:p w14:paraId="14303E4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基金的投资组合比例为：本基金投资于创业板</w:t>
      </w:r>
      <w:r>
        <w:rPr>
          <w:rFonts w:ascii="Times New Roman" w:hAnsi="Times New Roman"/>
          <w:sz w:val="24"/>
        </w:rPr>
        <w:t>50</w:t>
      </w:r>
      <w:r>
        <w:rPr>
          <w:rFonts w:ascii="Times New Roman" w:hAnsi="Times New Roman"/>
          <w:sz w:val="24"/>
        </w:rPr>
        <w:t>指数成份股</w:t>
      </w:r>
      <w:r w:rsidR="00C9540F">
        <w:rPr>
          <w:rFonts w:hint="eastAsia"/>
          <w:bCs/>
          <w:sz w:val="24"/>
        </w:rPr>
        <w:t>（</w:t>
      </w:r>
      <w:proofErr w:type="gramStart"/>
      <w:r w:rsidR="00C9540F">
        <w:rPr>
          <w:bCs/>
          <w:sz w:val="24"/>
        </w:rPr>
        <w:t>含</w:t>
      </w:r>
      <w:r w:rsidR="00C9540F" w:rsidRPr="005E1D32">
        <w:rPr>
          <w:bCs/>
          <w:sz w:val="24"/>
        </w:rPr>
        <w:t>存托</w:t>
      </w:r>
      <w:proofErr w:type="gramEnd"/>
      <w:r w:rsidR="00C9540F" w:rsidRPr="005E1D32">
        <w:rPr>
          <w:bCs/>
          <w:sz w:val="24"/>
        </w:rPr>
        <w:t>凭证</w:t>
      </w:r>
      <w:r w:rsidR="00C9540F">
        <w:rPr>
          <w:rFonts w:hint="eastAsia"/>
          <w:bCs/>
          <w:sz w:val="24"/>
        </w:rPr>
        <w:t>）</w:t>
      </w:r>
      <w:r>
        <w:rPr>
          <w:rFonts w:ascii="Times New Roman" w:hAnsi="Times New Roman"/>
          <w:sz w:val="24"/>
        </w:rPr>
        <w:t>及其备选成份股</w:t>
      </w:r>
      <w:r w:rsidR="00C9540F">
        <w:rPr>
          <w:rFonts w:hint="eastAsia"/>
          <w:bCs/>
          <w:sz w:val="24"/>
        </w:rPr>
        <w:t>（</w:t>
      </w:r>
      <w:proofErr w:type="gramStart"/>
      <w:r w:rsidR="00C9540F">
        <w:rPr>
          <w:bCs/>
          <w:sz w:val="24"/>
        </w:rPr>
        <w:t>含</w:t>
      </w:r>
      <w:r w:rsidR="00C9540F" w:rsidRPr="005E1D32">
        <w:rPr>
          <w:bCs/>
          <w:sz w:val="24"/>
        </w:rPr>
        <w:t>存托</w:t>
      </w:r>
      <w:proofErr w:type="gramEnd"/>
      <w:r w:rsidR="00C9540F" w:rsidRPr="005E1D32">
        <w:rPr>
          <w:bCs/>
          <w:sz w:val="24"/>
        </w:rPr>
        <w:t>凭证</w:t>
      </w:r>
      <w:r w:rsidR="00C9540F">
        <w:rPr>
          <w:rFonts w:hint="eastAsia"/>
          <w:bCs/>
          <w:sz w:val="24"/>
        </w:rPr>
        <w:t>）</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14:paraId="19D1EE4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25AEF46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14:paraId="43E21E3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）本基金投资于创业板</w:t>
      </w:r>
      <w:r>
        <w:rPr>
          <w:rFonts w:ascii="Times New Roman" w:hAnsi="Times New Roman"/>
          <w:sz w:val="24"/>
        </w:rPr>
        <w:t>50</w:t>
      </w:r>
      <w:r>
        <w:rPr>
          <w:rFonts w:ascii="Times New Roman" w:hAnsi="Times New Roman"/>
          <w:sz w:val="24"/>
        </w:rPr>
        <w:t>指数成份股</w:t>
      </w:r>
      <w:r w:rsidR="00C9540F">
        <w:rPr>
          <w:rFonts w:hint="eastAsia"/>
          <w:bCs/>
          <w:sz w:val="24"/>
        </w:rPr>
        <w:t>（</w:t>
      </w:r>
      <w:proofErr w:type="gramStart"/>
      <w:r w:rsidR="00C9540F">
        <w:rPr>
          <w:bCs/>
          <w:sz w:val="24"/>
        </w:rPr>
        <w:t>含</w:t>
      </w:r>
      <w:r w:rsidR="00C9540F" w:rsidRPr="005E1D32">
        <w:rPr>
          <w:bCs/>
          <w:sz w:val="24"/>
        </w:rPr>
        <w:t>存托</w:t>
      </w:r>
      <w:proofErr w:type="gramEnd"/>
      <w:r w:rsidR="00C9540F" w:rsidRPr="005E1D32">
        <w:rPr>
          <w:bCs/>
          <w:sz w:val="24"/>
        </w:rPr>
        <w:t>凭证</w:t>
      </w:r>
      <w:r w:rsidR="00C9540F">
        <w:rPr>
          <w:rFonts w:hint="eastAsia"/>
          <w:bCs/>
          <w:sz w:val="24"/>
        </w:rPr>
        <w:t>）</w:t>
      </w:r>
      <w:r>
        <w:rPr>
          <w:rFonts w:ascii="Times New Roman" w:hAnsi="Times New Roman"/>
          <w:sz w:val="24"/>
        </w:rPr>
        <w:t>及其备选成份股</w:t>
      </w:r>
      <w:r w:rsidR="00C9540F">
        <w:rPr>
          <w:rFonts w:hint="eastAsia"/>
          <w:bCs/>
          <w:sz w:val="24"/>
        </w:rPr>
        <w:t>（</w:t>
      </w:r>
      <w:proofErr w:type="gramStart"/>
      <w:r w:rsidR="00C9540F">
        <w:rPr>
          <w:bCs/>
          <w:sz w:val="24"/>
        </w:rPr>
        <w:t>含</w:t>
      </w:r>
      <w:r w:rsidR="00C9540F" w:rsidRPr="005E1D32">
        <w:rPr>
          <w:bCs/>
          <w:sz w:val="24"/>
        </w:rPr>
        <w:t>存托</w:t>
      </w:r>
      <w:proofErr w:type="gramEnd"/>
      <w:r w:rsidR="00C9540F" w:rsidRPr="005E1D32">
        <w:rPr>
          <w:bCs/>
          <w:sz w:val="24"/>
        </w:rPr>
        <w:t>凭证</w:t>
      </w:r>
      <w:r w:rsidR="00C9540F">
        <w:rPr>
          <w:rFonts w:hint="eastAsia"/>
          <w:bCs/>
          <w:sz w:val="24"/>
        </w:rPr>
        <w:t>）</w:t>
      </w:r>
      <w:r>
        <w:rPr>
          <w:rFonts w:ascii="Times New Roman" w:hAnsi="Times New Roman"/>
          <w:sz w:val="24"/>
        </w:rPr>
        <w:t>的比例不低于基金资产净值的</w:t>
      </w:r>
      <w:r>
        <w:rPr>
          <w:rFonts w:ascii="Times New Roman" w:hAnsi="Times New Roman"/>
          <w:sz w:val="24"/>
        </w:rPr>
        <w:t>90%</w:t>
      </w:r>
      <w:r>
        <w:rPr>
          <w:rFonts w:ascii="Times New Roman" w:hAnsi="Times New Roman"/>
          <w:sz w:val="24"/>
        </w:rPr>
        <w:t>；</w:t>
      </w:r>
    </w:p>
    <w:p w14:paraId="54AE93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）每个交易日日终在扣除股指期货合约需缴纳的交易保证金后，本基金保留的现金或者投资于到期日在一年以内的政府债券的比例合计不低于基金资产净值的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14:paraId="486FAF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7FB7CD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4959170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5</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79D5F49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2015E8E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0395A77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14:paraId="1F45374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，进入全国银行间同业市场进行债券回购的最长期限为</w:t>
      </w:r>
      <w:r>
        <w:rPr>
          <w:rFonts w:ascii="Times New Roman" w:hAnsi="Times New Roman"/>
          <w:sz w:val="24"/>
        </w:rPr>
        <w:t>1</w:t>
      </w:r>
      <w:r>
        <w:rPr>
          <w:rFonts w:ascii="Times New Roman" w:hAnsi="Times New Roman"/>
          <w:sz w:val="24"/>
        </w:rPr>
        <w:t>年，债券回购到期后不得展期；</w:t>
      </w:r>
    </w:p>
    <w:p w14:paraId="3D664C2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）本基金主动投资于流动性受限资产的市值合计不得超过该基金资产净值的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18833D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）本基金与私募类</w:t>
      </w:r>
      <w:proofErr w:type="gramStart"/>
      <w:r>
        <w:rPr>
          <w:rFonts w:ascii="Times New Roman" w:hAnsi="Times New Roman"/>
          <w:sz w:val="24"/>
        </w:rPr>
        <w:t>证券资管产品</w:t>
      </w:r>
      <w:proofErr w:type="gramEnd"/>
      <w:r>
        <w:rPr>
          <w:rFonts w:ascii="Times New Roman" w:hAnsi="Times New Roman"/>
          <w:sz w:val="24"/>
        </w:rPr>
        <w:t>及中国证监会认定的其他主体为交易对手开展逆回购交易的，可接受质押品的资质要求应当与本基金合同约定的投资范围保持一致；</w:t>
      </w:r>
    </w:p>
    <w:p w14:paraId="7DD52B0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）本基金资产总值不超过基金资产净值的</w:t>
      </w:r>
      <w:r>
        <w:rPr>
          <w:rFonts w:ascii="Times New Roman" w:hAnsi="Times New Roman"/>
          <w:sz w:val="24"/>
        </w:rPr>
        <w:t>140%</w:t>
      </w:r>
      <w:r>
        <w:rPr>
          <w:rFonts w:ascii="Times New Roman" w:hAnsi="Times New Roman"/>
          <w:sz w:val="24"/>
        </w:rPr>
        <w:t>；</w:t>
      </w:r>
    </w:p>
    <w:p w14:paraId="75E00E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）本基金参与股指期货交易，则：</w:t>
      </w:r>
    </w:p>
    <w:p w14:paraId="2F923FE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14:paraId="18AB1C6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本基金在任何交易日日终，持有的买入股指期货合约价值与有价证券市值之和，不得超过基金资产净值的</w:t>
      </w:r>
      <w:r>
        <w:rPr>
          <w:rFonts w:ascii="Times New Roman" w:hAnsi="Times New Roman"/>
          <w:sz w:val="24"/>
        </w:rPr>
        <w:t>100%</w:t>
      </w:r>
      <w:r>
        <w:rPr>
          <w:rFonts w:ascii="Times New Roman" w:hAnsi="Times New Roman"/>
          <w:sz w:val="24"/>
        </w:rPr>
        <w:t>。其中，有价证券指股票、债券（不含到期日在一年以内的政府债券）、资产支持证券、买入返售金融资产（不含质押式回购）等；</w:t>
      </w:r>
    </w:p>
    <w:p w14:paraId="776C47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③</w:t>
      </w:r>
      <w:r>
        <w:rPr>
          <w:rFonts w:ascii="Times New Roman" w:hAnsi="Times New Roman"/>
          <w:sz w:val="24"/>
        </w:rPr>
        <w:t>本基金在任何交易日日终，持有的卖出股指期货合约价值不得超过基金持有的股票总市值的</w:t>
      </w:r>
      <w:r>
        <w:rPr>
          <w:rFonts w:ascii="Times New Roman" w:hAnsi="Times New Roman"/>
          <w:sz w:val="24"/>
        </w:rPr>
        <w:t>20%</w:t>
      </w:r>
      <w:r>
        <w:rPr>
          <w:rFonts w:ascii="Times New Roman" w:hAnsi="Times New Roman"/>
          <w:sz w:val="24"/>
        </w:rPr>
        <w:t>；</w:t>
      </w:r>
    </w:p>
    <w:p w14:paraId="1011DE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④</w:t>
      </w:r>
      <w:r>
        <w:rPr>
          <w:rFonts w:ascii="Times New Roman" w:hAnsi="Times New Roman"/>
          <w:sz w:val="24"/>
        </w:rPr>
        <w:t>本基金所持有的股票市值和买入、卖出股指期货合约价值，合计（轧差计算）应当符合基金合同关于股票投资比例的有关约定；</w:t>
      </w:r>
    </w:p>
    <w:p w14:paraId="18981D6A" w14:textId="77777777" w:rsidR="00791B53" w:rsidRDefault="002C0D9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lastRenderedPageBreak/>
        <w:t>⑤</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14:paraId="1EAD3670" w14:textId="77777777" w:rsidR="00C9540F" w:rsidRDefault="00C9540F">
      <w:pPr>
        <w:autoSpaceDE w:val="0"/>
        <w:autoSpaceDN w:val="0"/>
        <w:adjustRightInd w:val="0"/>
        <w:snapToGrid w:val="0"/>
        <w:spacing w:line="360" w:lineRule="auto"/>
        <w:ind w:firstLineChars="200" w:firstLine="480"/>
        <w:rPr>
          <w:rFonts w:ascii="宋体" w:hAnsi="宋体"/>
          <w:szCs w:val="24"/>
        </w:rPr>
      </w:pPr>
      <w:r w:rsidRPr="00672590">
        <w:rPr>
          <w:rFonts w:hint="eastAsia"/>
          <w:bCs/>
          <w:sz w:val="24"/>
        </w:rPr>
        <w:t>1</w:t>
      </w:r>
      <w:r w:rsidRPr="00672590">
        <w:rPr>
          <w:bCs/>
          <w:sz w:val="24"/>
        </w:rPr>
        <w:t>4</w:t>
      </w:r>
      <w:r w:rsidRPr="00672590">
        <w:rPr>
          <w:rFonts w:hint="eastAsia"/>
          <w:bCs/>
          <w:sz w:val="24"/>
        </w:rPr>
        <w:t>）本基金投资存托凭证的比例限制依照境内上市交易的股票执行；</w:t>
      </w:r>
    </w:p>
    <w:p w14:paraId="760E32BD" w14:textId="1940B4EA" w:rsidR="00791B53" w:rsidRDefault="00C9540F">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sidR="002C0D99">
        <w:rPr>
          <w:rFonts w:ascii="Times New Roman" w:hAnsi="Times New Roman"/>
          <w:sz w:val="24"/>
        </w:rPr>
        <w:t>）法律法规及中国证监会规定的和《基金合同》约定的其他投资限制。</w:t>
      </w:r>
    </w:p>
    <w:p w14:paraId="19BD64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）本基金财产不得用于以下投资或者活动：</w:t>
      </w:r>
    </w:p>
    <w:p w14:paraId="11C5C62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6B4F10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）违反规定向他人贷款或者提供担保；</w:t>
      </w:r>
    </w:p>
    <w:p w14:paraId="533F55C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3FCB5FA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）买卖其他基金份额，但是中国证监会另有规定的除外；</w:t>
      </w:r>
    </w:p>
    <w:p w14:paraId="782277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）向其基金管理人、基金托管人出资；</w:t>
      </w:r>
    </w:p>
    <w:p w14:paraId="5D53C7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）从事内幕交易、操纵证券交易价格及其他不正当的证券交易活动；</w:t>
      </w:r>
    </w:p>
    <w:p w14:paraId="7212E71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）法律、行政法规和中国证监会规定禁止的其他活动。</w:t>
      </w:r>
    </w:p>
    <w:p w14:paraId="5A39183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5B62669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07B28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如法律、行政法规或监管部门取消上述规定，如适用于本基金，基金管理人在履行适当程序后，本基金可不受上述规定的限制。</w:t>
      </w:r>
    </w:p>
    <w:p w14:paraId="6759044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）基金管理人应当自基金合同生效日起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w:t>
      </w:r>
    </w:p>
    <w:p w14:paraId="5D057E0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基金托管人对基金的投资的监督与检查自本基金合同生效之日起开始。除上述</w:t>
      </w:r>
      <w:r>
        <w:rPr>
          <w:rFonts w:ascii="Times New Roman" w:hAnsi="Times New Roman"/>
          <w:sz w:val="24"/>
        </w:rPr>
        <w:t>2</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11</w:t>
      </w:r>
      <w:r>
        <w:rPr>
          <w:rFonts w:ascii="Times New Roman" w:hAnsi="Times New Roman"/>
          <w:sz w:val="24"/>
        </w:rPr>
        <w:t>）情形之外，因证券、期货市场波动、证券发行人合并或基金规模变动、标的指数成份股及</w:t>
      </w:r>
      <w:r>
        <w:rPr>
          <w:rFonts w:ascii="Times New Roman" w:hAnsi="Times New Roman"/>
          <w:sz w:val="24"/>
        </w:rPr>
        <w:t>/</w:t>
      </w:r>
      <w:r>
        <w:rPr>
          <w:rFonts w:ascii="Times New Roman" w:hAnsi="Times New Roman"/>
          <w:sz w:val="24"/>
        </w:rPr>
        <w:t>或权重调整、标的指数股流动性限制等基金管理人之外的原因导致投资比例不符合上述规定的，基金管理人应在</w:t>
      </w:r>
      <w:r>
        <w:rPr>
          <w:rFonts w:ascii="Times New Roman" w:hAnsi="Times New Roman"/>
          <w:sz w:val="24"/>
        </w:rPr>
        <w:t>10</w:t>
      </w:r>
      <w:r>
        <w:rPr>
          <w:rFonts w:ascii="Times New Roman" w:hAnsi="Times New Roman"/>
          <w:sz w:val="24"/>
        </w:rPr>
        <w:t>个交易日内进行调整，</w:t>
      </w:r>
      <w:r>
        <w:rPr>
          <w:rFonts w:ascii="Times New Roman" w:hAnsi="Times New Roman"/>
          <w:sz w:val="24"/>
        </w:rPr>
        <w:lastRenderedPageBreak/>
        <w:t>但中国证监会规定的特殊情形除外。法律法规另有规定的，从其规定。</w:t>
      </w:r>
    </w:p>
    <w:p w14:paraId="36C04D1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法律法规及监管政策等对基金合同约定的投资禁止行为和投资组合比例限制进行变更的，本基金可相应调整禁止行为和投资比例限制规定。《基金法》及其他有关法律法规或监管部门取消上述限制的，履行适当程序后，基金不受上述限制。</w:t>
      </w:r>
    </w:p>
    <w:p w14:paraId="0A59A1C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2BA01AE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14:paraId="3834A79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）本基金投资于有固定期限银行存款的比例，不得超过基金资产净值的</w:t>
      </w:r>
      <w:r>
        <w:rPr>
          <w:rFonts w:ascii="Times New Roman" w:hAnsi="Times New Roman"/>
          <w:sz w:val="24"/>
        </w:rPr>
        <w:t>30%</w:t>
      </w:r>
      <w:r>
        <w:rPr>
          <w:rFonts w:ascii="Times New Roman" w:hAnsi="Times New Roman"/>
          <w:sz w:val="24"/>
        </w:rPr>
        <w:t>，但投资于有存款期限，根据协议可提前支取的银行存款不受上述比例限制；本基金投资于具有基金托管人资格的同一商业银行的银行存款、同业存单占基金资产净值的比例合计不得超过</w:t>
      </w:r>
      <w:r>
        <w:rPr>
          <w:rFonts w:ascii="Times New Roman" w:hAnsi="Times New Roman"/>
          <w:sz w:val="24"/>
        </w:rPr>
        <w:t>20%</w:t>
      </w:r>
      <w:r>
        <w:rPr>
          <w:rFonts w:ascii="Times New Roman" w:hAnsi="Times New Roman"/>
          <w:sz w:val="24"/>
        </w:rPr>
        <w:t>，投资于不具有基金托管人资格的同一商业银行的银行存款、同业存单占基金资产净值的比例合计不得超过</w:t>
      </w:r>
      <w:r>
        <w:rPr>
          <w:rFonts w:ascii="Times New Roman" w:hAnsi="Times New Roman"/>
          <w:sz w:val="24"/>
        </w:rPr>
        <w:t>5%</w:t>
      </w:r>
      <w:r>
        <w:rPr>
          <w:rFonts w:ascii="Times New Roman" w:hAnsi="Times New Roman"/>
          <w:sz w:val="24"/>
        </w:rPr>
        <w:t>。</w:t>
      </w:r>
    </w:p>
    <w:p w14:paraId="570E5B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有关法律法规或监管部门制定或修改新的定期存款投资政策，基金管理人履行适当程序后，可相应调整投资组合限制的规定。</w:t>
      </w:r>
    </w:p>
    <w:p w14:paraId="5CD312B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882B95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3A0D594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w:t>
      </w:r>
      <w:r>
        <w:rPr>
          <w:rFonts w:ascii="Times New Roman" w:hAnsi="Times New Roman"/>
          <w:sz w:val="24"/>
        </w:rPr>
        <w:lastRenderedPageBreak/>
        <w:t>的风险。</w:t>
      </w:r>
    </w:p>
    <w:p w14:paraId="2D260F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）基金管理人须加强内部风险控制制度的建设。如因基金管理人员工职务行为导致基金财产受到损失的，需由基金管理人承担由此造成的损失。</w:t>
      </w:r>
    </w:p>
    <w:p w14:paraId="2822B3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14:paraId="5658C53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、基金投资银行存款协议的签订、账户开设与管理、投资指令与资金划付、账目核对、到期兑付、提前支取</w:t>
      </w:r>
    </w:p>
    <w:p w14:paraId="2692D7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）基金投资银行存款协议的签订</w:t>
      </w:r>
    </w:p>
    <w:p w14:paraId="6A7360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674E50F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）基金托管人依据相关法规对《总体合作协议》和《存款协议书》的内容进行复核，审查存款银行资格等。</w:t>
      </w:r>
    </w:p>
    <w:p w14:paraId="4285A7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1C6DCB3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）由存款银行指定的存放存款的分支机构（以下简称</w:t>
      </w:r>
      <w:r>
        <w:rPr>
          <w:rFonts w:ascii="Times New Roman" w:hAnsi="Times New Roman"/>
          <w:sz w:val="24"/>
        </w:rPr>
        <w:t>“</w:t>
      </w:r>
      <w:r>
        <w:rPr>
          <w:rFonts w:ascii="Times New Roman" w:hAnsi="Times New Roman"/>
          <w:sz w:val="24"/>
        </w:rPr>
        <w:t>存款分支机构</w:t>
      </w:r>
      <w:r>
        <w:rPr>
          <w:rFonts w:ascii="Times New Roman" w:hAnsi="Times New Roman"/>
          <w:sz w:val="24"/>
        </w:rPr>
        <w:t>”</w:t>
      </w:r>
      <w:r>
        <w:rPr>
          <w:rFonts w:ascii="Times New Roman" w:hAnsi="Times New Roman"/>
          <w:sz w:val="24"/>
        </w:rPr>
        <w:t>）寄送、上门交付或双方约定方式送达存款证实书或其他有效存款凭证的，基金托管人可向存款分支机构的上级行发出存款余额</w:t>
      </w:r>
      <w:proofErr w:type="gramStart"/>
      <w:r>
        <w:rPr>
          <w:rFonts w:ascii="Times New Roman" w:hAnsi="Times New Roman"/>
          <w:sz w:val="24"/>
        </w:rPr>
        <w:t>询</w:t>
      </w:r>
      <w:proofErr w:type="gramEnd"/>
      <w:r>
        <w:rPr>
          <w:rFonts w:ascii="Times New Roman" w:hAnsi="Times New Roman"/>
          <w:sz w:val="24"/>
        </w:rPr>
        <w:t>证函，存款分支机构及其上级行应予配合。</w:t>
      </w:r>
    </w:p>
    <w:p w14:paraId="3B1ADB9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）基金管理人应在《存款协议书》中规定，基金存放到期或提前兑付的资金应全部划转到指定的基金托管账户，并在《存款协议书》写明账户名称和账号，未划入指定账户的，由存款银行承担一切责任。</w:t>
      </w:r>
    </w:p>
    <w:p w14:paraId="106645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E94B54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）基金管理人应在《存款协议书》中规定，因定期存款产生的存单不得被质</w:t>
      </w:r>
      <w:r>
        <w:rPr>
          <w:rFonts w:ascii="Times New Roman" w:hAnsi="Times New Roman"/>
          <w:sz w:val="24"/>
        </w:rPr>
        <w:lastRenderedPageBreak/>
        <w:t>押或以任何方式被抵押，不得用于转让和背书。</w:t>
      </w:r>
    </w:p>
    <w:p w14:paraId="69FABF5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）基金投资银行存款时的账户开设与管理</w:t>
      </w:r>
    </w:p>
    <w:p w14:paraId="538ADA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）基金投资于银行存款时，基金管理人应当依据基金管理人与存款银行签订的《总体合作协议》、《存款协议书》等，以基金的名义在存款银行总行或授权分行指定的分支机构开立银行账户。</w:t>
      </w:r>
    </w:p>
    <w:p w14:paraId="10E38FD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）基金投资于银行存款时的预留印鉴由基金托管人保管和使用。</w:t>
      </w:r>
    </w:p>
    <w:p w14:paraId="0511BC4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）存款凭证传递、账目核对及到期兑付</w:t>
      </w:r>
    </w:p>
    <w:p w14:paraId="1470470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）存款证实书等存款凭证传递</w:t>
      </w:r>
    </w:p>
    <w:p w14:paraId="3261DE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存款资金只能存放于存款银行总行或授权分行指定的分支机构。基金管理人应在《存款协议书》中规定，存款银行分支机构应为基金开具存款证实书或其他有效存款凭证（下称</w:t>
      </w:r>
      <w:r>
        <w:rPr>
          <w:rFonts w:ascii="Times New Roman" w:hAnsi="Times New Roman"/>
          <w:sz w:val="24"/>
        </w:rPr>
        <w:t>“</w:t>
      </w:r>
      <w:r>
        <w:rPr>
          <w:rFonts w:ascii="Times New Roman" w:hAnsi="Times New Roman"/>
          <w:sz w:val="24"/>
        </w:rPr>
        <w:t>存款凭证</w:t>
      </w:r>
      <w:r>
        <w:rPr>
          <w:rFonts w:ascii="Times New Roman" w:hAnsi="Times New Roman"/>
          <w:sz w:val="24"/>
        </w:rPr>
        <w:t>”</w:t>
      </w:r>
      <w:r>
        <w:rPr>
          <w:rFonts w:ascii="Times New Roman" w:hAnsi="Times New Roman"/>
          <w:sz w:val="24"/>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FB27FA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）存款凭证的遗失补办</w:t>
      </w:r>
    </w:p>
    <w:p w14:paraId="2DD7AA5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存款凭证在邮寄过程中遗失的，由基金管理人向存款银行提出补办申请，基金管理人应督促存款银行尽快补办存款凭证，并按以上</w:t>
      </w:r>
      <w:r>
        <w:rPr>
          <w:rFonts w:ascii="Times New Roman" w:hAnsi="Times New Roman"/>
          <w:sz w:val="24"/>
        </w:rPr>
        <w:t>1</w:t>
      </w:r>
      <w:r>
        <w:rPr>
          <w:rFonts w:ascii="Times New Roman" w:hAnsi="Times New Roman"/>
          <w:sz w:val="24"/>
        </w:rPr>
        <w:t>）的方式快递或上门交付至托管人，原存款凭证自动作废。</w:t>
      </w:r>
    </w:p>
    <w:p w14:paraId="45AEBDD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）账目核对</w:t>
      </w:r>
    </w:p>
    <w:p w14:paraId="5BB6ED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每个工作日，基金管理人应与基金托管人核对各项银行存款投资余额及应计利息。基金管理人应在《存款协议书》中规定，对于存期超过</w:t>
      </w:r>
      <w:r>
        <w:rPr>
          <w:rFonts w:ascii="Times New Roman" w:hAnsi="Times New Roman"/>
          <w:sz w:val="24"/>
        </w:rPr>
        <w:t>3</w:t>
      </w:r>
      <w:r>
        <w:rPr>
          <w:rFonts w:ascii="Times New Roman" w:hAnsi="Times New Roman"/>
          <w:sz w:val="24"/>
        </w:rPr>
        <w:t>个月的定期存款，存款银行应于每季末后</w:t>
      </w:r>
      <w:r>
        <w:rPr>
          <w:rFonts w:ascii="Times New Roman" w:hAnsi="Times New Roman"/>
          <w:sz w:val="24"/>
        </w:rPr>
        <w:t>5</w:t>
      </w:r>
      <w:r>
        <w:rPr>
          <w:rFonts w:ascii="Times New Roman" w:hAnsi="Times New Roman"/>
          <w:sz w:val="24"/>
        </w:rPr>
        <w:t>个工作日内向基金托管人指定人员寄送对账单。因存款银行未寄送对账单造成的资金被挪用、盗取的责任由存款银行承担。</w:t>
      </w:r>
    </w:p>
    <w:p w14:paraId="13D275B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存款银行应配合基金托管人对存款凭证的</w:t>
      </w:r>
      <w:proofErr w:type="gramStart"/>
      <w:r>
        <w:rPr>
          <w:rFonts w:ascii="Times New Roman" w:hAnsi="Times New Roman"/>
          <w:sz w:val="24"/>
        </w:rPr>
        <w:t>询</w:t>
      </w:r>
      <w:proofErr w:type="gramEnd"/>
      <w:r>
        <w:rPr>
          <w:rFonts w:ascii="Times New Roman" w:hAnsi="Times New Roman"/>
          <w:sz w:val="24"/>
        </w:rPr>
        <w:t>证，并在</w:t>
      </w:r>
      <w:proofErr w:type="gramStart"/>
      <w:r>
        <w:rPr>
          <w:rFonts w:ascii="Times New Roman" w:hAnsi="Times New Roman"/>
          <w:sz w:val="24"/>
        </w:rPr>
        <w:t>询</w:t>
      </w:r>
      <w:proofErr w:type="gramEnd"/>
      <w:r>
        <w:rPr>
          <w:rFonts w:ascii="Times New Roman" w:hAnsi="Times New Roman"/>
          <w:sz w:val="24"/>
        </w:rPr>
        <w:t>证函上加盖存款银行公章寄送至基金托管人指定联系人。</w:t>
      </w:r>
    </w:p>
    <w:p w14:paraId="0BFBA8E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）到期兑付</w:t>
      </w:r>
    </w:p>
    <w:p w14:paraId="508C810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基金管理人提前通知基金托管人通过快递或双方约定方式将存款凭证原件寄给存款银行分支机构指定的会计主管。存款银行未收到存款凭证原件的，应向基金托</w:t>
      </w:r>
      <w:r>
        <w:rPr>
          <w:rFonts w:ascii="Times New Roman" w:hAnsi="Times New Roman"/>
          <w:sz w:val="24"/>
        </w:rPr>
        <w:lastRenderedPageBreak/>
        <w:t>管人电话询问。存款到期</w:t>
      </w:r>
      <w:proofErr w:type="gramStart"/>
      <w:r>
        <w:rPr>
          <w:rFonts w:ascii="Times New Roman" w:hAnsi="Times New Roman"/>
          <w:sz w:val="24"/>
        </w:rPr>
        <w:t>前基金</w:t>
      </w:r>
      <w:proofErr w:type="gramEnd"/>
      <w:r>
        <w:rPr>
          <w:rFonts w:ascii="Times New Roman" w:hAnsi="Times New Roman"/>
          <w:sz w:val="24"/>
        </w:rPr>
        <w:t>管理人与存款银行确认存款凭证收到并于到期日兑付存款本息事宜。</w:t>
      </w:r>
    </w:p>
    <w:p w14:paraId="39400B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8F482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74822B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如果存款到期日为法定节假日，存款银行顺延至到期后第一个工作日支付，存款银行需按原协议约定利率和实际延期天数支付延期利息。</w:t>
      </w:r>
    </w:p>
    <w:p w14:paraId="7567A33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）提前支取</w:t>
      </w:r>
    </w:p>
    <w:p w14:paraId="23ED305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如果在存款期限内，由于基金规模发生缩减的原因或者出于流动性管理的需要等原因，基金管理人可以提前支取全部或部分资金。</w:t>
      </w:r>
    </w:p>
    <w:p w14:paraId="5D63B49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提前支取的具体事项按照基金管理人与存款银行签订的《存款协议书》执行。</w:t>
      </w:r>
    </w:p>
    <w:p w14:paraId="551420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）基金投资银行存款的监督</w:t>
      </w:r>
    </w:p>
    <w:p w14:paraId="0026532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基金托管人发现基金管理人在进行存款投资时有违反有关法律法规的规定及《基金合同》的约定的行为，应及时以书面形式通知基金管理人在</w:t>
      </w:r>
      <w:r>
        <w:rPr>
          <w:rFonts w:ascii="Times New Roman" w:hAnsi="Times New Roman"/>
          <w:sz w:val="24"/>
        </w:rPr>
        <w:t xml:space="preserve">10 </w:t>
      </w:r>
      <w:proofErr w:type="gramStart"/>
      <w:r>
        <w:rPr>
          <w:rFonts w:ascii="Times New Roman" w:hAnsi="Times New Roman"/>
          <w:sz w:val="24"/>
        </w:rPr>
        <w:t>个</w:t>
      </w:r>
      <w:proofErr w:type="gramEnd"/>
      <w:r>
        <w:rPr>
          <w:rFonts w:ascii="Times New Roman" w:hAnsi="Times New Roman"/>
          <w:sz w:val="24"/>
        </w:rPr>
        <w:t>工作日内纠正。基金管理人对基金托管人通知的违规事项未能在</w:t>
      </w:r>
      <w:r>
        <w:rPr>
          <w:rFonts w:ascii="Times New Roman" w:hAnsi="Times New Roman"/>
          <w:sz w:val="24"/>
        </w:rPr>
        <w:t xml:space="preserve">10 </w:t>
      </w:r>
      <w:proofErr w:type="gramStart"/>
      <w:r>
        <w:rPr>
          <w:rFonts w:ascii="Times New Roman" w:hAnsi="Times New Roman"/>
          <w:sz w:val="24"/>
        </w:rPr>
        <w:t>个</w:t>
      </w:r>
      <w:proofErr w:type="gramEnd"/>
      <w:r>
        <w:rPr>
          <w:rFonts w:ascii="Times New Roman" w:hAnsi="Times New Roman"/>
          <w:sz w:val="24"/>
        </w:rPr>
        <w:t>工作日内纠正的，基金托管人应报告中国证监会。基金托管人发现基金管理人有重大违规行为，应立即报告中国证监会，同时通知基金管理人在</w:t>
      </w:r>
      <w:r>
        <w:rPr>
          <w:rFonts w:ascii="Times New Roman" w:hAnsi="Times New Roman"/>
          <w:sz w:val="24"/>
        </w:rPr>
        <w:t xml:space="preserve">10 </w:t>
      </w:r>
      <w:proofErr w:type="gramStart"/>
      <w:r>
        <w:rPr>
          <w:rFonts w:ascii="Times New Roman" w:hAnsi="Times New Roman"/>
          <w:sz w:val="24"/>
        </w:rPr>
        <w:t>个</w:t>
      </w:r>
      <w:proofErr w:type="gramEnd"/>
      <w:r>
        <w:rPr>
          <w:rFonts w:ascii="Times New Roman" w:hAnsi="Times New Roman"/>
          <w:sz w:val="24"/>
        </w:rPr>
        <w:t>工作日内纠正或拒绝结算，若因基金管理人拒不执行造成基金财产损失的，相关损失由基金管理人承担，基金托管人不承担任何责任。</w:t>
      </w:r>
    </w:p>
    <w:p w14:paraId="5951BEF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w:t>
      </w:r>
      <w:r>
        <w:rPr>
          <w:rFonts w:ascii="Times New Roman" w:hAnsi="Times New Roman"/>
          <w:sz w:val="24"/>
        </w:rPr>
        <w:lastRenderedPageBreak/>
        <w:t>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Times New Roman" w:hAnsi="Times New Roman"/>
          <w:sz w:val="24"/>
        </w:rPr>
        <w:t>3</w:t>
      </w:r>
      <w:r>
        <w:rPr>
          <w:rFonts w:ascii="Times New Roman" w:hAnsi="Times New Roman"/>
          <w:sz w:val="24"/>
        </w:rPr>
        <w:t>个交易</w:t>
      </w:r>
      <w:proofErr w:type="gramStart"/>
      <w:r>
        <w:rPr>
          <w:rFonts w:ascii="Times New Roman" w:hAnsi="Times New Roman"/>
          <w:sz w:val="24"/>
        </w:rPr>
        <w:t>日内与</w:t>
      </w:r>
      <w:proofErr w:type="gramEnd"/>
      <w:r>
        <w:rPr>
          <w:rFonts w:ascii="Times New Roman" w:hAnsi="Times New Roman"/>
          <w:sz w:val="24"/>
        </w:rPr>
        <w:t>基金托管人协商解决。</w:t>
      </w:r>
    </w:p>
    <w:p w14:paraId="3017C6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负责对交易对手的资信风险防范，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B26EA4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、本基金投资流通受限证券，应遵守《关于基金投资非公开发行股票等流通受限证券有关问题的通知》等有关监管规定。</w:t>
      </w:r>
    </w:p>
    <w:p w14:paraId="3EF66E1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Times New Roman" w:hAnsi="Times New Roman"/>
          <w:sz w:val="24"/>
        </w:rPr>
        <w:t>券</w:t>
      </w:r>
      <w:proofErr w:type="gramEnd"/>
      <w:r>
        <w:rPr>
          <w:rFonts w:ascii="Times New Roman" w:hAnsi="Times New Roman"/>
          <w:sz w:val="24"/>
        </w:rPr>
        <w:t>等流通受限证券。</w:t>
      </w:r>
    </w:p>
    <w:p w14:paraId="0EEA99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591A92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本基金不得投资未经中国证监会批准的非公开发行证券。</w:t>
      </w:r>
    </w:p>
    <w:p w14:paraId="6B78FA5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本基金不得投资有</w:t>
      </w:r>
      <w:proofErr w:type="gramStart"/>
      <w:r>
        <w:rPr>
          <w:rFonts w:ascii="Times New Roman" w:hAnsi="Times New Roman"/>
          <w:sz w:val="24"/>
        </w:rPr>
        <w:t>锁定期但锁定</w:t>
      </w:r>
      <w:proofErr w:type="gramEnd"/>
      <w:r>
        <w:rPr>
          <w:rFonts w:ascii="Times New Roman" w:hAnsi="Times New Roman"/>
          <w:sz w:val="24"/>
        </w:rPr>
        <w:t>期不明确的证券。</w:t>
      </w:r>
    </w:p>
    <w:p w14:paraId="1B27D3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1EDED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基金管理人应至少</w:t>
      </w:r>
      <w:proofErr w:type="gramStart"/>
      <w:r>
        <w:rPr>
          <w:rFonts w:ascii="Times New Roman" w:hAnsi="Times New Roman"/>
          <w:sz w:val="24"/>
        </w:rPr>
        <w:t>于首次</w:t>
      </w:r>
      <w:proofErr w:type="gramEnd"/>
      <w:r>
        <w:rPr>
          <w:rFonts w:ascii="Times New Roman" w:hAnsi="Times New Roman"/>
          <w:sz w:val="24"/>
        </w:rPr>
        <w:t>执行投资指令之前两个工作日将上述资料书面发至基金托管人，保证基金托管人有足够的时间进行审核。基金托管人应在收到上述资料</w:t>
      </w:r>
      <w:r>
        <w:rPr>
          <w:rFonts w:ascii="Times New Roman" w:hAnsi="Times New Roman"/>
          <w:sz w:val="24"/>
        </w:rPr>
        <w:lastRenderedPageBreak/>
        <w:t>后两个工作日内，以书面或其他双方认可的方式确认收到上述资料。</w:t>
      </w:r>
    </w:p>
    <w:p w14:paraId="7FCE5AC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2A7DFD9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Times New Roman" w:hAnsi="Times New Roman"/>
          <w:sz w:val="24"/>
        </w:rPr>
        <w:t>于拟执行</w:t>
      </w:r>
      <w:proofErr w:type="gramEnd"/>
      <w:r>
        <w:rPr>
          <w:rFonts w:ascii="Times New Roman" w:hAnsi="Times New Roman"/>
          <w:sz w:val="24"/>
        </w:rPr>
        <w:t>投资指令前两个工作日将上述信息书面发至基金托管人，保证基金托管人有足够的时间进行审核。</w:t>
      </w:r>
    </w:p>
    <w:p w14:paraId="3E75FCE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由于基金管理人未及时提供有关证券的具体的必要的信息，致使托管人无法审核认购指令而影响认购款项划拨的，基金托管人免于承担责任。</w:t>
      </w:r>
    </w:p>
    <w:p w14:paraId="4F73A6C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22D1BBA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基金管理人应在基金投资非公开发行股票后两个交易日内</w:t>
      </w:r>
      <w:r>
        <w:rPr>
          <w:rFonts w:ascii="Times New Roman" w:hAnsi="Times New Roman"/>
          <w:sz w:val="24"/>
        </w:rPr>
        <w:t>,</w:t>
      </w:r>
      <w:r>
        <w:rPr>
          <w:rFonts w:ascii="Times New Roman" w:hAnsi="Times New Roman"/>
          <w:sz w:val="24"/>
        </w:rPr>
        <w:t>在中国证监会规定媒介披露所投资非公开发行股票的名称、数量、总成本、账面价值</w:t>
      </w:r>
      <w:r>
        <w:rPr>
          <w:rFonts w:ascii="Times New Roman" w:hAnsi="Times New Roman"/>
          <w:sz w:val="24"/>
        </w:rPr>
        <w:t>,</w:t>
      </w:r>
      <w:r>
        <w:rPr>
          <w:rFonts w:ascii="Times New Roman" w:hAnsi="Times New Roman"/>
          <w:sz w:val="24"/>
        </w:rPr>
        <w:t>以及总成本和账面价值占基金资产净值的比例、锁定期等信息。</w:t>
      </w:r>
    </w:p>
    <w:p w14:paraId="631867E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、基金管理人应当对投资中期票据业务进行研究，认真评估中期票据投资业务的风险，本着审慎、勤勉尽责的原则进行中期票据的投资业务，并应符合法律法规及监管机构的相关规定。</w:t>
      </w:r>
    </w:p>
    <w:p w14:paraId="3A5612C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w:t>
      </w:r>
      <w:r>
        <w:rPr>
          <w:rFonts w:ascii="Times New Roman" w:hAnsi="Times New Roman"/>
          <w:sz w:val="24"/>
        </w:rPr>
        <w:lastRenderedPageBreak/>
        <w:t>核查。</w:t>
      </w:r>
    </w:p>
    <w:p w14:paraId="131A65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发现基金管理人的上述事项及投资指令或实际投资运作违反法律法规、《基金合同》和本托管协议的规定，应及时以电话提醒、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6A790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567868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3FA014C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、基金托管人发现基金管理人有重大违规行为，应及时报告中国证监会，同时通知基金管理人限期纠正。</w:t>
      </w:r>
    </w:p>
    <w:p w14:paraId="7B48D653"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3453206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14:paraId="740F82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w:t>
      </w:r>
      <w:r>
        <w:rPr>
          <w:rFonts w:ascii="Times New Roman" w:hAnsi="Times New Roman"/>
          <w:sz w:val="24"/>
        </w:rPr>
        <w:lastRenderedPageBreak/>
        <w:t>管人改正。</w:t>
      </w:r>
    </w:p>
    <w:p w14:paraId="121C118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Times New Roman" w:hAnsi="Times New Roman"/>
          <w:sz w:val="24"/>
        </w:rPr>
        <w:t>供基金</w:t>
      </w:r>
      <w:proofErr w:type="gramEnd"/>
      <w:r>
        <w:rPr>
          <w:rFonts w:ascii="Times New Roman" w:hAnsi="Times New Roman"/>
          <w:sz w:val="24"/>
        </w:rPr>
        <w:t>管理人核查托管财产的完整性和真实性。</w:t>
      </w:r>
    </w:p>
    <w:p w14:paraId="59D95F8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、基金管理人发现基金托管人有重大违规行为，应及时报告中国证监会，同时通知基金托管人限期纠正，并将纠正结果报告中国证监会。</w:t>
      </w:r>
    </w:p>
    <w:p w14:paraId="03339990"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w:t>
      </w:r>
    </w:p>
    <w:p w14:paraId="6D96EE0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5236255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0242436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w:t>
      </w:r>
    </w:p>
    <w:p w14:paraId="4320C25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）基金托管人按照规定开设基金财产的资金账户、证券账户和期货结算账户等投资所需的相关账户。</w:t>
      </w:r>
    </w:p>
    <w:p w14:paraId="5ACCBAC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）基金托管人对所托管的不同基金财产分别设置账户，确保基金财产的完整与独立。</w:t>
      </w:r>
    </w:p>
    <w:p w14:paraId="7B2765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317EF17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E01780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4967A28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）除依据法律法规和基金合同的规定外，基金托管人不得委托第三人托管基金财产。</w:t>
      </w:r>
    </w:p>
    <w:p w14:paraId="27D2EF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14:paraId="622EA5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）基金募集期间募集认购款项应开立</w:t>
      </w:r>
      <w:r>
        <w:rPr>
          <w:rFonts w:ascii="Times New Roman" w:hAnsi="Times New Roman"/>
          <w:sz w:val="24"/>
        </w:rPr>
        <w:t>“</w:t>
      </w:r>
      <w:r>
        <w:rPr>
          <w:rFonts w:ascii="Times New Roman" w:hAnsi="Times New Roman"/>
          <w:sz w:val="24"/>
        </w:rPr>
        <w:t>基金募集专户</w:t>
      </w:r>
      <w:r>
        <w:rPr>
          <w:rFonts w:ascii="Times New Roman" w:hAnsi="Times New Roman"/>
          <w:sz w:val="24"/>
        </w:rPr>
        <w:t>”</w:t>
      </w:r>
      <w:r>
        <w:rPr>
          <w:rFonts w:ascii="Times New Roman" w:hAnsi="Times New Roman"/>
          <w:sz w:val="24"/>
        </w:rPr>
        <w:t>。该账户由基金管理人或基金管理人委托的登记机构开立并管理。</w:t>
      </w:r>
    </w:p>
    <w:p w14:paraId="32869DE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14:paraId="7163B6D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proofErr w:type="gramStart"/>
      <w:r>
        <w:rPr>
          <w:rFonts w:ascii="Times New Roman" w:hAnsi="Times New Roman"/>
          <w:sz w:val="24"/>
        </w:rPr>
        <w:t>若基金</w:t>
      </w:r>
      <w:proofErr w:type="gramEnd"/>
      <w:r>
        <w:rPr>
          <w:rFonts w:ascii="Times New Roman" w:hAnsi="Times New Roman"/>
          <w:sz w:val="24"/>
        </w:rPr>
        <w:t>募集期限届满，未能达到基金合同生效的条件，由基金管理人按规定办理退款等事宜。</w:t>
      </w:r>
    </w:p>
    <w:p w14:paraId="1969A0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、基金资金账户的开立和管理</w:t>
      </w:r>
    </w:p>
    <w:p w14:paraId="04461F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）基金托管人以本基金的名义在其营业机构开立基金的资金账户（也可称为</w:t>
      </w:r>
      <w:r>
        <w:rPr>
          <w:rFonts w:ascii="Times New Roman" w:hAnsi="Times New Roman"/>
          <w:sz w:val="24"/>
        </w:rPr>
        <w:t>“</w:t>
      </w:r>
      <w:r>
        <w:rPr>
          <w:rFonts w:ascii="Times New Roman" w:hAnsi="Times New Roman"/>
          <w:sz w:val="24"/>
        </w:rPr>
        <w:t>托管账户</w:t>
      </w:r>
      <w:r>
        <w:rPr>
          <w:rFonts w:ascii="Times New Roman" w:hAnsi="Times New Roman"/>
          <w:sz w:val="24"/>
        </w:rPr>
        <w:t>”</w:t>
      </w:r>
      <w:r>
        <w:rPr>
          <w:rFonts w:ascii="Times New Roman" w:hAnsi="Times New Roman"/>
          <w:sz w:val="24"/>
        </w:rPr>
        <w:t>），保管基金的银行存款，并根据基金管理人的指令办理资金收付。托管账户名称应为</w:t>
      </w:r>
      <w:r>
        <w:rPr>
          <w:rFonts w:ascii="Times New Roman" w:hAnsi="Times New Roman"/>
          <w:sz w:val="24"/>
        </w:rPr>
        <w:t>“</w:t>
      </w:r>
      <w:r>
        <w:rPr>
          <w:rFonts w:ascii="Times New Roman" w:hAnsi="Times New Roman"/>
          <w:sz w:val="24"/>
        </w:rPr>
        <w:t>交银施罗德创业板</w:t>
      </w:r>
      <w:r>
        <w:rPr>
          <w:rFonts w:ascii="Times New Roman" w:hAnsi="Times New Roman"/>
          <w:sz w:val="24"/>
        </w:rPr>
        <w:t>50</w:t>
      </w:r>
      <w:r>
        <w:rPr>
          <w:rFonts w:ascii="Times New Roman" w:hAnsi="Times New Roman"/>
          <w:sz w:val="24"/>
        </w:rPr>
        <w:t>指数型证券投资基金</w:t>
      </w:r>
      <w:r>
        <w:rPr>
          <w:rFonts w:ascii="Times New Roman" w:hAnsi="Times New Roman"/>
          <w:sz w:val="24"/>
        </w:rPr>
        <w:t>”</w:t>
      </w:r>
      <w:r>
        <w:rPr>
          <w:rFonts w:ascii="Times New Roman" w:hAnsi="Times New Roman"/>
          <w:sz w:val="24"/>
        </w:rPr>
        <w:t>，预留印鉴为基金托管人印章。</w:t>
      </w:r>
    </w:p>
    <w:p w14:paraId="1143DCC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737AA18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）基金资金账户的开立和管理应符合法律法规及银行业监督管理机构的有关规定。</w:t>
      </w:r>
    </w:p>
    <w:p w14:paraId="429397F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、基金证券账户和结算备付金账户的开立和管理</w:t>
      </w:r>
    </w:p>
    <w:p w14:paraId="3339324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）基金托管人在中国证券登记结算有限责任公司上海分公司、深圳分公司为基金开立基金托管人与基金联名的证券账户。</w:t>
      </w:r>
    </w:p>
    <w:p w14:paraId="344B727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D73057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）基金证券账户的开立和证券账户卡的保管由基金托管人负责，账户资产的管理和运用由基金管理人负责。</w:t>
      </w:r>
    </w:p>
    <w:p w14:paraId="50A47B1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）基金托管人以基金托管人的名义在中国证券登记结算有限责任公司开立结算备付金账户，并代表所托管的基金完成与中国证券登记结算有限责任公司的一</w:t>
      </w:r>
      <w:r>
        <w:rPr>
          <w:rFonts w:ascii="Times New Roman" w:hAnsi="Times New Roman"/>
          <w:sz w:val="24"/>
        </w:rPr>
        <w:lastRenderedPageBreak/>
        <w:t>级法人清算工作，基金管理人应予以积极协助。结算备付金、结算保证金等的收取按照中国证券登记结算有限责任公司的规定执行。</w:t>
      </w:r>
    </w:p>
    <w:p w14:paraId="511326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）若中国证监会或其他监管机构在本托管协议订立日之后允许基金从事其他投资品种的投资业务，涉及相关账户的开立、使用的，按有关规定开立、使用并管理；若无相关规定，</w:t>
      </w:r>
      <w:proofErr w:type="gramStart"/>
      <w:r>
        <w:rPr>
          <w:rFonts w:ascii="Times New Roman" w:hAnsi="Times New Roman"/>
          <w:sz w:val="24"/>
        </w:rPr>
        <w:t>则基金</w:t>
      </w:r>
      <w:proofErr w:type="gramEnd"/>
      <w:r>
        <w:rPr>
          <w:rFonts w:ascii="Times New Roman" w:hAnsi="Times New Roman"/>
          <w:sz w:val="24"/>
        </w:rPr>
        <w:t>托管人比照上述关于账户开立、使用的规定执行。</w:t>
      </w:r>
    </w:p>
    <w:p w14:paraId="66BEB3D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、债券托管账户的开设和管理</w:t>
      </w:r>
    </w:p>
    <w:p w14:paraId="3D0599B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AE6E92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、其他账户的开立和管理</w:t>
      </w:r>
    </w:p>
    <w:p w14:paraId="278C72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5212D00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36C389B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）因业务发展需要而开立的其他账户，可以根据法律法规和基金合同的规定，由基金管理人协助基金托管人按照有关法律法规和本协议的约定协商后开立。新账户按有关规定使用并管理。</w:t>
      </w:r>
    </w:p>
    <w:p w14:paraId="0686FDE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）法律法规等有关规定对相关账户的开立和管理另有规定的，从其规定办理。</w:t>
      </w:r>
    </w:p>
    <w:p w14:paraId="03C7919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、基金财产投资的有关有价凭证等的保管</w:t>
      </w:r>
    </w:p>
    <w:p w14:paraId="1A29EFD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5E26FE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、与基金财产有关的重大合同的保管</w:t>
      </w:r>
    </w:p>
    <w:p w14:paraId="6AEBF39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Pr>
          <w:rFonts w:ascii="Times New Roman" w:hAnsi="Times New Roman"/>
          <w:sz w:val="24"/>
        </w:rPr>
        <w:t>15</w:t>
      </w:r>
      <w:r>
        <w:rPr>
          <w:rFonts w:ascii="Times New Roman" w:hAnsi="Times New Roman"/>
          <w:sz w:val="24"/>
        </w:rPr>
        <w:t>年。</w:t>
      </w:r>
    </w:p>
    <w:p w14:paraId="78ECDFA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24D67A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（五）基金资产净值计算、估值和会计核算</w:t>
      </w:r>
    </w:p>
    <w:p w14:paraId="5E8F5FD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、基金资产净值的计算、复核与完成的时间及程序</w:t>
      </w:r>
    </w:p>
    <w:p w14:paraId="3D5CAEF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w:t>
      </w:r>
    </w:p>
    <w:p w14:paraId="27B04CB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14:paraId="317BB0F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各类基金份额的基金份额净值是指估值日该类基金份额的基金资产净值除以估值日该类基金份额总数，基金份额净值的计算，精确到</w:t>
      </w:r>
      <w:r>
        <w:rPr>
          <w:rFonts w:ascii="Times New Roman" w:hAnsi="Times New Roman"/>
          <w:sz w:val="24"/>
        </w:rPr>
        <w:t>0.0001</w:t>
      </w:r>
      <w:r>
        <w:rPr>
          <w:rFonts w:ascii="Times New Roman" w:hAnsi="Times New Roman"/>
          <w:sz w:val="24"/>
        </w:rPr>
        <w:t>元，小数点后第五位四舍五入。基金管理人可以设立大额赎回情形下的净值精度应急调整机制，具体可参见相关公告。国家另有规定的，从其规定。</w:t>
      </w:r>
    </w:p>
    <w:p w14:paraId="713FEAA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基金管理人每个工作日计算各类基金份额的基金资产净值、基金份额净值，经基金托管人复核，按规定公告，但基金管理人根据法律法规或基金合同的规定暂停估值时除外。</w:t>
      </w:r>
    </w:p>
    <w:p w14:paraId="3C1B334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）复核程序</w:t>
      </w:r>
    </w:p>
    <w:p w14:paraId="7A8C41B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基金管理人每个工作日对基金资产进行估值后，将各类基金份额的基金资产净值、基金份额净值发送基金托管人，经基金托管人复核无误后，由基金管理人对外公布。</w:t>
      </w:r>
    </w:p>
    <w:p w14:paraId="71C2693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4A4B4B8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、基金资产的估值</w:t>
      </w:r>
    </w:p>
    <w:p w14:paraId="459C7CB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基金管理人及基金托管人应当按照《基金合同》的约定进行估值。</w:t>
      </w:r>
    </w:p>
    <w:p w14:paraId="1F684A3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、基金份额净值错误的处理方式</w:t>
      </w:r>
    </w:p>
    <w:p w14:paraId="7EF34D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基金管理人及基金托管人应当按照《基金合同》的约定处理份额净值错误。</w:t>
      </w:r>
    </w:p>
    <w:p w14:paraId="56EAA8A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、基金会计制度</w:t>
      </w:r>
    </w:p>
    <w:p w14:paraId="03558C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按国家有关部门规定的会计制度执行。</w:t>
      </w:r>
    </w:p>
    <w:p w14:paraId="03F9F9F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、基金账册的建立</w:t>
      </w:r>
    </w:p>
    <w:p w14:paraId="27F61DB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27DED1C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、基金财务报表与报告的编制和复核</w:t>
      </w:r>
    </w:p>
    <w:p w14:paraId="2A232A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）财务报表的编制</w:t>
      </w:r>
    </w:p>
    <w:p w14:paraId="221684A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基金财务报表由基金管理人编制，基金托管人复核。</w:t>
      </w:r>
    </w:p>
    <w:p w14:paraId="54EBAE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）报表复核</w:t>
      </w:r>
    </w:p>
    <w:p w14:paraId="70A151D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基金托管人在收到基金管理人编制的基金财务报表后，进行独立的复核。核对不符时，应及时通知基金管理人共同查出原因，进行调整，直至双方数据完全一致。</w:t>
      </w:r>
    </w:p>
    <w:p w14:paraId="77CCBB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）财务报表的编制与复核时间安排</w:t>
      </w:r>
    </w:p>
    <w:p w14:paraId="044EAC6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基金管理人、基金托管人应当在每月结束后</w:t>
      </w:r>
      <w:r>
        <w:rPr>
          <w:rFonts w:ascii="Times New Roman" w:hAnsi="Times New Roman"/>
          <w:sz w:val="24"/>
        </w:rPr>
        <w:t>5</w:t>
      </w:r>
      <w:r>
        <w:rPr>
          <w:rFonts w:ascii="Times New Roman" w:hAnsi="Times New Roman"/>
          <w:sz w:val="24"/>
        </w:rPr>
        <w:t>个工作日内完成月度报表的编制及复核；在每个季度结束之日起</w:t>
      </w:r>
      <w:r>
        <w:rPr>
          <w:rFonts w:ascii="Times New Roman" w:hAnsi="Times New Roman"/>
          <w:sz w:val="24"/>
        </w:rPr>
        <w:t>15</w:t>
      </w:r>
      <w:r>
        <w:rPr>
          <w:rFonts w:ascii="Times New Roman" w:hAnsi="Times New Roman"/>
          <w:sz w:val="24"/>
        </w:rPr>
        <w:t>个工作日内完成基金季度报告的编制及复核；在上半年结束之日起</w:t>
      </w:r>
      <w:r>
        <w:rPr>
          <w:rFonts w:ascii="Times New Roman" w:hAnsi="Times New Roman"/>
          <w:sz w:val="24"/>
        </w:rPr>
        <w:t>60</w:t>
      </w:r>
      <w:r>
        <w:rPr>
          <w:rFonts w:ascii="Times New Roman" w:hAnsi="Times New Roman"/>
          <w:sz w:val="24"/>
        </w:rPr>
        <w:t>日内完成基金半年度报告的编制及复核；在每年结束之日起</w:t>
      </w:r>
      <w:r>
        <w:rPr>
          <w:rFonts w:ascii="Times New Roman" w:hAnsi="Times New Roman"/>
          <w:sz w:val="24"/>
        </w:rPr>
        <w:t>90</w:t>
      </w:r>
      <w:r>
        <w:rPr>
          <w:rFonts w:ascii="Times New Roman" w:hAnsi="Times New Roman"/>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5939A78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、在有需要时，基金管理人应每季度向基金托管人提供基金业绩比较基准的基础数据和编制结果。</w:t>
      </w:r>
    </w:p>
    <w:p w14:paraId="13DD4016"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14:paraId="29F05580"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Pr>
          <w:rFonts w:ascii="Times New Roman" w:hAnsi="Times New Roman"/>
          <w:sz w:val="24"/>
        </w:rPr>
        <w:t>15</w:t>
      </w:r>
      <w:r>
        <w:rPr>
          <w:rFonts w:ascii="Times New Roman" w:hAnsi="Times New Roman"/>
          <w:sz w:val="24"/>
        </w:rPr>
        <w:t>年。如</w:t>
      </w:r>
      <w:r>
        <w:rPr>
          <w:rFonts w:ascii="Times New Roman" w:hAnsi="Times New Roman"/>
          <w:sz w:val="24"/>
        </w:rPr>
        <w:lastRenderedPageBreak/>
        <w:t>不能妥善保管，则按相关法律法规承担责任。</w:t>
      </w:r>
    </w:p>
    <w:p w14:paraId="040CCA3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79B795F2"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1300548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0EB8BE4E"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14:paraId="60696D5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本协议受中华人民共和国法律（不含港澳台立法）管辖。</w:t>
      </w:r>
    </w:p>
    <w:p w14:paraId="47943C2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（八）托管协议的变更、终止与基金财产的清算</w:t>
      </w:r>
    </w:p>
    <w:p w14:paraId="1CD4A20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2459863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本协议双方当事人经协商一致，可以对协议进行修改。修改后的新协议，其内容不得与基金合同的规定有任何冲突。基金托管协议的变更应报中国证监会备案。</w:t>
      </w:r>
    </w:p>
    <w:p w14:paraId="197DEB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0ECDF32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0DF6A4D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）基金托管人因解散、破产、撤销等事由，不能继续担任基金托管人的职务，而在</w:t>
      </w:r>
      <w:r>
        <w:rPr>
          <w:rFonts w:ascii="Times New Roman" w:hAnsi="Times New Roman"/>
          <w:sz w:val="24"/>
        </w:rPr>
        <w:t>6</w:t>
      </w:r>
      <w:r>
        <w:rPr>
          <w:rFonts w:ascii="Times New Roman" w:hAnsi="Times New Roman"/>
          <w:sz w:val="24"/>
        </w:rPr>
        <w:t>个月内无其他适当的托管机构承接其原有权利义务；</w:t>
      </w:r>
    </w:p>
    <w:p w14:paraId="4A1DCAD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）基金管理人因解散、破产、撤销等事由，不能继续担任基金管理人的职务，而在</w:t>
      </w:r>
      <w:r>
        <w:rPr>
          <w:rFonts w:ascii="Times New Roman" w:hAnsi="Times New Roman"/>
          <w:sz w:val="24"/>
        </w:rPr>
        <w:t>6</w:t>
      </w:r>
      <w:r>
        <w:rPr>
          <w:rFonts w:ascii="Times New Roman" w:hAnsi="Times New Roman"/>
          <w:sz w:val="24"/>
        </w:rPr>
        <w:t>个月内无其他适当的基金管理机构承接其原有权利义务；</w:t>
      </w:r>
    </w:p>
    <w:p w14:paraId="73FC00B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）发生法律法规或《基金合同》规定的其他终止事项。</w:t>
      </w:r>
    </w:p>
    <w:p w14:paraId="25B50996"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14:paraId="2D3D788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基金管理人与基金托管人按照《基金合同》的约定处理基金财产的清算。</w:t>
      </w:r>
    </w:p>
    <w:p w14:paraId="2A451C32"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578581" w14:textId="77777777" w:rsidR="00791B53" w:rsidRDefault="002C0D99">
      <w:pPr>
        <w:pStyle w:val="1"/>
        <w:snapToGrid w:val="0"/>
        <w:spacing w:beforeLines="0" w:before="240" w:after="240"/>
        <w:rPr>
          <w:rFonts w:ascii="宋体" w:hAnsi="宋体"/>
          <w:szCs w:val="30"/>
        </w:rPr>
      </w:pPr>
      <w:bookmarkStart w:id="25" w:name="_Toc54104365"/>
      <w:r>
        <w:rPr>
          <w:rFonts w:ascii="Times New Roman" w:hAnsi="Times New Roman"/>
          <w:sz w:val="30"/>
        </w:rPr>
        <w:lastRenderedPageBreak/>
        <w:t>二十二、对基金份额持有人的服务</w:t>
      </w:r>
      <w:bookmarkEnd w:id="25"/>
    </w:p>
    <w:p w14:paraId="10A9697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4E3F3479"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69CCDBAC"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每次交易结束后，可在</w:t>
      </w:r>
      <w:r>
        <w:rPr>
          <w:rFonts w:ascii="Times New Roman" w:hAnsi="Times New Roman"/>
          <w:sz w:val="24"/>
        </w:rPr>
        <w:t>T+2</w:t>
      </w:r>
      <w:r>
        <w:rPr>
          <w:rFonts w:ascii="Times New Roman" w:hAnsi="Times New Roman"/>
          <w:sz w:val="24"/>
        </w:rPr>
        <w:t>个工作日后通过销售机构的网点查询和打印确认单。</w:t>
      </w:r>
    </w:p>
    <w:p w14:paraId="73144DE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本基金管理人将向持有人提供电子或纸质对账单，需要订阅或取消的客户可与本基金管理</w:t>
      </w:r>
      <w:proofErr w:type="gramStart"/>
      <w:r>
        <w:rPr>
          <w:rFonts w:ascii="Times New Roman" w:hAnsi="Times New Roman"/>
          <w:sz w:val="24"/>
        </w:rPr>
        <w:t>人客户</w:t>
      </w:r>
      <w:proofErr w:type="gramEnd"/>
      <w:r>
        <w:rPr>
          <w:rFonts w:ascii="Times New Roman" w:hAnsi="Times New Roman"/>
          <w:sz w:val="24"/>
        </w:rPr>
        <w:t>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6CFD200F"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45C3BF9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本基金管理人已开通基金网上直销业务，个人投资者可以直接通过本基金管理人网站的网上直销交易平台办理开户和本基金的申购、赎回、定期定额投资和转换等业务。通过网上直销交易平台办理本基金</w:t>
      </w:r>
      <w:r>
        <w:rPr>
          <w:rFonts w:ascii="Times New Roman" w:hAnsi="Times New Roman"/>
          <w:sz w:val="24"/>
        </w:rPr>
        <w:t>A</w:t>
      </w:r>
      <w:r>
        <w:rPr>
          <w:rFonts w:ascii="Times New Roman" w:hAnsi="Times New Roman"/>
          <w:sz w:val="24"/>
        </w:rPr>
        <w:t>类基金份额的申购和定期定额投资业务的个人投资者将享受前端申购费率的优惠，通过网上直销交易平台进行基金转换，从各基金招募说明书所载的零申购费率的基金转换</w:t>
      </w:r>
      <w:proofErr w:type="gramStart"/>
      <w:r>
        <w:rPr>
          <w:rFonts w:ascii="Times New Roman" w:hAnsi="Times New Roman"/>
          <w:sz w:val="24"/>
        </w:rPr>
        <w:t>入非零申购</w:t>
      </w:r>
      <w:proofErr w:type="gramEnd"/>
      <w:r>
        <w:rPr>
          <w:rFonts w:ascii="Times New Roman" w:hAnsi="Times New Roman"/>
          <w:sz w:val="24"/>
        </w:rPr>
        <w:t>费率的基金，转出与转入基金的前端申购补差费率将享受优惠，其他费率标准不变。具体优惠费率请参见公司网站列示的网上直销交易平台申购、定期定额投资及转换费率表或相关公告。</w:t>
      </w:r>
    </w:p>
    <w:p w14:paraId="019992C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7BA048A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在条件成熟的时候，本基金管理人将根据基金网上直销业务的发展状况，适时调整可用于基金网上直销交易平台的银行卡种类，敬请投资人留意相关公告。</w:t>
      </w:r>
    </w:p>
    <w:p w14:paraId="4F1064F8"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42FE60E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投资人如果想查询基金账户余额、基金产品与服务等信息，请拨打本基金管理</w:t>
      </w:r>
      <w:proofErr w:type="gramStart"/>
      <w:r>
        <w:rPr>
          <w:rFonts w:ascii="Times New Roman" w:hAnsi="Times New Roman"/>
          <w:sz w:val="24"/>
        </w:rPr>
        <w:t>人客户</w:t>
      </w:r>
      <w:proofErr w:type="gramEnd"/>
      <w:r>
        <w:rPr>
          <w:rFonts w:ascii="Times New Roman" w:hAnsi="Times New Roman"/>
          <w:sz w:val="24"/>
        </w:rPr>
        <w:t>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33D92DF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w:t>
      </w:r>
      <w:proofErr w:type="gramStart"/>
      <w:r>
        <w:rPr>
          <w:rFonts w:ascii="Times New Roman" w:hAnsi="Times New Roman"/>
          <w:sz w:val="24"/>
        </w:rPr>
        <w:t>人客户</w:t>
      </w:r>
      <w:proofErr w:type="gramEnd"/>
      <w:r>
        <w:rPr>
          <w:rFonts w:ascii="Times New Roman" w:hAnsi="Times New Roman"/>
          <w:sz w:val="24"/>
        </w:rPr>
        <w:t>服务电话修改基金查询密码。</w:t>
      </w:r>
    </w:p>
    <w:p w14:paraId="2DC5AD6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投资人可以拨打本基金管理</w:t>
      </w:r>
      <w:proofErr w:type="gramStart"/>
      <w:r>
        <w:rPr>
          <w:rFonts w:ascii="Times New Roman" w:hAnsi="Times New Roman"/>
          <w:sz w:val="24"/>
        </w:rPr>
        <w:t>人客户</w:t>
      </w:r>
      <w:proofErr w:type="gramEnd"/>
      <w:r>
        <w:rPr>
          <w:rFonts w:ascii="Times New Roman" w:hAnsi="Times New Roman"/>
          <w:sz w:val="24"/>
        </w:rPr>
        <w:t>服务电话投诉直销机构的人员和服务。</w:t>
      </w:r>
    </w:p>
    <w:p w14:paraId="139A439A"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14:paraId="2020361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本基金收益分配时，基金份额持有人持有的基金份额可选择现金红利或选择红</w:t>
      </w:r>
      <w:r>
        <w:rPr>
          <w:rFonts w:ascii="Times New Roman" w:hAnsi="Times New Roman"/>
          <w:sz w:val="24"/>
        </w:rPr>
        <w:lastRenderedPageBreak/>
        <w:t>利再投将现金红利自动转为基金份额进行再投资，若投资人不选择，本基金默认的收益分配方式是现金分红；基金份额持有人可对其持有的</w:t>
      </w:r>
      <w:r>
        <w:rPr>
          <w:rFonts w:ascii="Times New Roman" w:hAnsi="Times New Roman"/>
          <w:sz w:val="24"/>
        </w:rPr>
        <w:t>A</w:t>
      </w:r>
      <w:r>
        <w:rPr>
          <w:rFonts w:ascii="Times New Roman" w:hAnsi="Times New Roman"/>
          <w:sz w:val="24"/>
        </w:rPr>
        <w:t>类以及</w:t>
      </w:r>
      <w:r>
        <w:rPr>
          <w:rFonts w:ascii="Times New Roman" w:hAnsi="Times New Roman"/>
          <w:sz w:val="24"/>
        </w:rPr>
        <w:t>C</w:t>
      </w:r>
      <w:r>
        <w:rPr>
          <w:rFonts w:ascii="Times New Roman" w:hAnsi="Times New Roman"/>
          <w:sz w:val="24"/>
        </w:rPr>
        <w:t>类基金份额分别选择不同的收益分配方式。再投资红利按红利再投日（即除息日）除息后的基金份额净值自动转为基金份额，并免收申购费用。</w:t>
      </w:r>
    </w:p>
    <w:p w14:paraId="0EC83E0B"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14:paraId="3300E11F"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14:paraId="43C933C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18D4717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14:paraId="2912056D"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3366F19A"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0F4F73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7620AE75" w14:textId="77777777" w:rsidR="00791B53" w:rsidRDefault="002C0D99">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（六）如本招募说明书存在任何您/</w:t>
      </w:r>
      <w:proofErr w:type="gramStart"/>
      <w:r w:rsidRPr="00BB248E">
        <w:rPr>
          <w:rFonts w:ascii="宋体" w:hAnsi="宋体" w:hint="eastAsia"/>
          <w:b/>
          <w:szCs w:val="24"/>
        </w:rPr>
        <w:t>贵机构</w:t>
      </w:r>
      <w:proofErr w:type="gramEnd"/>
      <w:r w:rsidRPr="00BB248E">
        <w:rPr>
          <w:rFonts w:ascii="宋体" w:hAnsi="宋体" w:hint="eastAsia"/>
          <w:b/>
          <w:szCs w:val="24"/>
        </w:rPr>
        <w:t>无法理解的内容，请通过上述方式联系基金管理人。</w:t>
      </w:r>
      <w:proofErr w:type="gramStart"/>
      <w:r w:rsidRPr="00BB248E">
        <w:rPr>
          <w:rFonts w:ascii="宋体" w:hAnsi="宋体" w:hint="eastAsia"/>
          <w:b/>
          <w:szCs w:val="24"/>
        </w:rPr>
        <w:t>请确保</w:t>
      </w:r>
      <w:proofErr w:type="gramEnd"/>
      <w:r w:rsidRPr="00BB248E">
        <w:rPr>
          <w:rFonts w:ascii="宋体" w:hAnsi="宋体" w:hint="eastAsia"/>
          <w:b/>
          <w:szCs w:val="24"/>
        </w:rPr>
        <w:t>投资前，您/</w:t>
      </w:r>
      <w:proofErr w:type="gramStart"/>
      <w:r w:rsidRPr="00BB248E">
        <w:rPr>
          <w:rFonts w:ascii="宋体" w:hAnsi="宋体" w:hint="eastAsia"/>
          <w:b/>
          <w:szCs w:val="24"/>
        </w:rPr>
        <w:t>贵机构</w:t>
      </w:r>
      <w:proofErr w:type="gramEnd"/>
      <w:r w:rsidRPr="00BB248E">
        <w:rPr>
          <w:rFonts w:ascii="宋体" w:hAnsi="宋体" w:hint="eastAsia"/>
          <w:b/>
          <w:szCs w:val="24"/>
        </w:rPr>
        <w:t>已经全面理解了本招募说明书。</w:t>
      </w:r>
    </w:p>
    <w:p w14:paraId="5ED1B5A3"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32273A" w14:textId="77777777" w:rsidR="00791B53" w:rsidRDefault="002C0D99">
      <w:pPr>
        <w:pStyle w:val="1"/>
        <w:snapToGrid w:val="0"/>
        <w:spacing w:beforeLines="0" w:before="240" w:after="240"/>
        <w:rPr>
          <w:rFonts w:ascii="宋体" w:hAnsi="宋体"/>
          <w:szCs w:val="30"/>
        </w:rPr>
      </w:pPr>
      <w:bookmarkStart w:id="26" w:name="_Toc54104366"/>
      <w:r>
        <w:rPr>
          <w:rFonts w:ascii="Times New Roman" w:hAnsi="Times New Roman"/>
          <w:sz w:val="30"/>
        </w:rPr>
        <w:lastRenderedPageBreak/>
        <w:t>二十三、其他应披露事项</w:t>
      </w:r>
      <w:bookmarkEnd w:id="26"/>
    </w:p>
    <w:p w14:paraId="55179CF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05ED4863"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791B53" w14:paraId="414692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FEA83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6887DA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D486B2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E4251B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791B53" w14:paraId="63E57F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6D615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E3BB0A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12F4C80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3AB0B8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rsidR="00791B53" w14:paraId="41FEE5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51773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E57C62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指数型证券投资基金招募说明书</w:t>
            </w:r>
          </w:p>
        </w:tc>
        <w:tc>
          <w:tcPr>
            <w:tcW w:w="750" w:type="pct"/>
            <w:tcBorders>
              <w:top w:val="single" w:sz="4" w:space="0" w:color="auto"/>
              <w:left w:val="single" w:sz="4" w:space="0" w:color="auto"/>
              <w:bottom w:val="single" w:sz="4" w:space="0" w:color="auto"/>
              <w:right w:val="single" w:sz="4" w:space="0" w:color="auto"/>
            </w:tcBorders>
            <w:vAlign w:val="center"/>
          </w:tcPr>
          <w:p w14:paraId="7858ED1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8BF33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rsidR="00791B53" w14:paraId="173E650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BE872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A5494F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合同摘要</w:t>
            </w:r>
          </w:p>
        </w:tc>
        <w:tc>
          <w:tcPr>
            <w:tcW w:w="750" w:type="pct"/>
            <w:tcBorders>
              <w:top w:val="single" w:sz="4" w:space="0" w:color="auto"/>
              <w:left w:val="single" w:sz="4" w:space="0" w:color="auto"/>
              <w:bottom w:val="single" w:sz="4" w:space="0" w:color="auto"/>
              <w:right w:val="single" w:sz="4" w:space="0" w:color="auto"/>
            </w:tcBorders>
            <w:vAlign w:val="center"/>
          </w:tcPr>
          <w:p w14:paraId="09E312A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750865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rsidR="00791B53" w14:paraId="6DB358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B600C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448A039"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份额发售公告</w:t>
            </w:r>
          </w:p>
        </w:tc>
        <w:tc>
          <w:tcPr>
            <w:tcW w:w="750" w:type="pct"/>
            <w:tcBorders>
              <w:top w:val="single" w:sz="4" w:space="0" w:color="auto"/>
              <w:left w:val="single" w:sz="4" w:space="0" w:color="auto"/>
              <w:bottom w:val="single" w:sz="4" w:space="0" w:color="auto"/>
              <w:right w:val="single" w:sz="4" w:space="0" w:color="auto"/>
            </w:tcBorders>
            <w:vAlign w:val="center"/>
          </w:tcPr>
          <w:p w14:paraId="41375A9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9B08F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rsidR="00791B53" w14:paraId="551AFB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44C0CA"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CA4BA5C"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合同及招募说明书提示性公告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68E1F0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48636C"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rsidR="00791B53" w14:paraId="4D5A9AB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4091B1"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321E2C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w:t>
            </w:r>
          </w:p>
        </w:tc>
        <w:tc>
          <w:tcPr>
            <w:tcW w:w="750" w:type="pct"/>
            <w:tcBorders>
              <w:top w:val="single" w:sz="4" w:space="0" w:color="auto"/>
              <w:left w:val="single" w:sz="4" w:space="0" w:color="auto"/>
              <w:bottom w:val="single" w:sz="4" w:space="0" w:color="auto"/>
              <w:right w:val="single" w:sz="4" w:space="0" w:color="auto"/>
            </w:tcBorders>
            <w:vAlign w:val="center"/>
          </w:tcPr>
          <w:p w14:paraId="5606D8D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B8BDE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2019-10-16</w:t>
            </w:r>
          </w:p>
        </w:tc>
      </w:tr>
      <w:tr w:rsidR="00791B53" w14:paraId="1A083C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EF319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E4EE53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w:t>
            </w:r>
            <w:proofErr w:type="gramStart"/>
            <w:r>
              <w:rPr>
                <w:rFonts w:ascii="Times New Roman" w:hAnsi="Times New Roman"/>
                <w:color w:val="000000"/>
                <w:kern w:val="0"/>
                <w:sz w:val="25"/>
                <w:szCs w:val="24"/>
              </w:rPr>
              <w:t>玄元保险</w:t>
            </w:r>
            <w:proofErr w:type="gramEnd"/>
            <w:r>
              <w:rPr>
                <w:rFonts w:ascii="Times New Roman" w:hAnsi="Times New Roman"/>
                <w:color w:val="000000"/>
                <w:kern w:val="0"/>
                <w:sz w:val="25"/>
                <w:szCs w:val="24"/>
              </w:rPr>
              <w:t>代理有限公司为旗下基金销售机构的公告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3BB797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30B7C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2019-10-25</w:t>
            </w:r>
          </w:p>
        </w:tc>
      </w:tr>
      <w:tr w:rsidR="00791B53" w14:paraId="0F6CE6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FDD6A6"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D206A2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交银施罗德基金管理有限公司关于提醒投资者及时提供或更新身份信息资料的公告</w:t>
            </w:r>
          </w:p>
        </w:tc>
        <w:tc>
          <w:tcPr>
            <w:tcW w:w="750" w:type="pct"/>
            <w:tcBorders>
              <w:top w:val="single" w:sz="4" w:space="0" w:color="auto"/>
              <w:left w:val="single" w:sz="4" w:space="0" w:color="auto"/>
              <w:bottom w:val="single" w:sz="4" w:space="0" w:color="auto"/>
              <w:right w:val="single" w:sz="4" w:space="0" w:color="auto"/>
            </w:tcBorders>
            <w:vAlign w:val="center"/>
          </w:tcPr>
          <w:p w14:paraId="6F946D4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C31D95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2019-10-28</w:t>
            </w:r>
          </w:p>
        </w:tc>
      </w:tr>
      <w:tr w:rsidR="00791B53" w14:paraId="59A335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D5B5A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4A64F8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交银施罗德基金管理有限公司关于增加中原证券股份有限公司为交银施罗德创业板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B46176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FBD18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2019-11-06</w:t>
            </w:r>
          </w:p>
        </w:tc>
      </w:tr>
      <w:tr w:rsidR="00791B53" w14:paraId="6791AF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411A4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D9AC67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指数型证券投资基金提前结束募集的公告</w:t>
            </w:r>
          </w:p>
        </w:tc>
        <w:tc>
          <w:tcPr>
            <w:tcW w:w="750" w:type="pct"/>
            <w:tcBorders>
              <w:top w:val="single" w:sz="4" w:space="0" w:color="auto"/>
              <w:left w:val="single" w:sz="4" w:space="0" w:color="auto"/>
              <w:bottom w:val="single" w:sz="4" w:space="0" w:color="auto"/>
              <w:right w:val="single" w:sz="4" w:space="0" w:color="auto"/>
            </w:tcBorders>
            <w:vAlign w:val="center"/>
          </w:tcPr>
          <w:p w14:paraId="05BC18C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C0E319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2019-11-08</w:t>
            </w:r>
          </w:p>
        </w:tc>
      </w:tr>
      <w:tr w:rsidR="00791B53" w14:paraId="23BEB7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F716DD"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543512B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合同生效公告</w:t>
            </w:r>
          </w:p>
        </w:tc>
        <w:tc>
          <w:tcPr>
            <w:tcW w:w="750" w:type="pct"/>
            <w:tcBorders>
              <w:top w:val="single" w:sz="4" w:space="0" w:color="auto"/>
              <w:left w:val="single" w:sz="4" w:space="0" w:color="auto"/>
              <w:bottom w:val="single" w:sz="4" w:space="0" w:color="auto"/>
              <w:right w:val="single" w:sz="4" w:space="0" w:color="auto"/>
            </w:tcBorders>
            <w:vAlign w:val="center"/>
          </w:tcPr>
          <w:p w14:paraId="131D09E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116E3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2019-11-21</w:t>
            </w:r>
          </w:p>
        </w:tc>
      </w:tr>
      <w:tr w:rsidR="00791B53" w14:paraId="5EC375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997DC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14:paraId="297B26E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指数型证券投资基金开放日常申购、赎回、定期定额投资业务并参与部分销售机构申购费率优惠活动的公告</w:t>
            </w:r>
          </w:p>
        </w:tc>
        <w:tc>
          <w:tcPr>
            <w:tcW w:w="750" w:type="pct"/>
            <w:tcBorders>
              <w:top w:val="single" w:sz="4" w:space="0" w:color="auto"/>
              <w:left w:val="single" w:sz="4" w:space="0" w:color="auto"/>
              <w:bottom w:val="single" w:sz="4" w:space="0" w:color="auto"/>
              <w:right w:val="single" w:sz="4" w:space="0" w:color="auto"/>
            </w:tcBorders>
            <w:vAlign w:val="center"/>
          </w:tcPr>
          <w:p w14:paraId="748FCC5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A046A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2020-01-03</w:t>
            </w:r>
          </w:p>
        </w:tc>
      </w:tr>
      <w:tr w:rsidR="00791B53" w14:paraId="73E702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7E5FA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0A28421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57C3D9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532CB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2020-01-10</w:t>
            </w:r>
          </w:p>
        </w:tc>
      </w:tr>
      <w:tr w:rsidR="00791B53" w14:paraId="4F34E6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5FA34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7006FC2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7047AE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ECA9A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2020-01-20</w:t>
            </w:r>
          </w:p>
        </w:tc>
      </w:tr>
      <w:tr w:rsidR="00791B53" w14:paraId="4FC429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84217F"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705DA4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692D6A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41220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2020-01-31</w:t>
            </w:r>
          </w:p>
        </w:tc>
      </w:tr>
      <w:tr w:rsidR="00791B53" w14:paraId="68F222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80EE8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44C835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交银施罗德基金管理有限公司关于增加中证金牛（北京）投资咨询有限公司为旗下基金销售机构的公告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657A4E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5F0FE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2020-02-06</w:t>
            </w:r>
          </w:p>
        </w:tc>
      </w:tr>
      <w:tr w:rsidR="00791B53" w14:paraId="7EC7E6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14269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1C18C66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w:t>
            </w:r>
            <w:proofErr w:type="gramStart"/>
            <w:r>
              <w:rPr>
                <w:rFonts w:ascii="Times New Roman" w:hAnsi="Times New Roman"/>
                <w:color w:val="000000"/>
                <w:kern w:val="0"/>
                <w:sz w:val="25"/>
                <w:szCs w:val="24"/>
              </w:rPr>
              <w:t>终止泰诚财富</w:t>
            </w:r>
            <w:proofErr w:type="gramEnd"/>
            <w:r>
              <w:rPr>
                <w:rFonts w:ascii="Times New Roman" w:hAnsi="Times New Roman"/>
                <w:color w:val="000000"/>
                <w:kern w:val="0"/>
                <w:sz w:val="25"/>
                <w:szCs w:val="24"/>
              </w:rPr>
              <w:t>基金销售（大连）有限公司办理相关销售业务的公告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D7FE73B"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D6BAC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2020-03-21</w:t>
            </w:r>
          </w:p>
        </w:tc>
      </w:tr>
      <w:tr w:rsidR="00791B53" w14:paraId="5B81D0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E7071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1B074F6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27ED52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C4EB4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2020-04-13</w:t>
            </w:r>
          </w:p>
        </w:tc>
      </w:tr>
      <w:tr w:rsidR="00791B53" w14:paraId="6B4507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1BCAE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2B43CC1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2FA90AF"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8D781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2020-04-22</w:t>
            </w:r>
          </w:p>
        </w:tc>
      </w:tr>
      <w:tr w:rsidR="00791B53" w14:paraId="472558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3D06E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0A3F74B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交银施罗德基金管理有限公司关于增加国信证券股份有限公司为旗下基金销售机构的公告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F6D2FF3"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D5623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2020-06-23</w:t>
            </w:r>
          </w:p>
        </w:tc>
      </w:tr>
      <w:tr w:rsidR="00791B53" w14:paraId="340601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BE513E"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663FBD3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w:t>
            </w:r>
            <w:proofErr w:type="gramStart"/>
            <w:r>
              <w:rPr>
                <w:rFonts w:ascii="Times New Roman" w:hAnsi="Times New Roman"/>
                <w:color w:val="000000"/>
                <w:kern w:val="0"/>
                <w:sz w:val="25"/>
                <w:szCs w:val="24"/>
              </w:rPr>
              <w:t>信建投证券</w:t>
            </w:r>
            <w:proofErr w:type="gramEnd"/>
            <w:r>
              <w:rPr>
                <w:rFonts w:ascii="Times New Roman" w:hAnsi="Times New Roman"/>
                <w:color w:val="000000"/>
                <w:kern w:val="0"/>
                <w:sz w:val="25"/>
                <w:szCs w:val="24"/>
              </w:rPr>
              <w:t>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64A02C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5A51E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2020-06-24</w:t>
            </w:r>
          </w:p>
        </w:tc>
      </w:tr>
      <w:tr w:rsidR="00791B53" w14:paraId="5749C7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628D7C"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10DAB86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1DFE4B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54F50C"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2020-07-21</w:t>
            </w:r>
          </w:p>
        </w:tc>
      </w:tr>
      <w:tr w:rsidR="00791B53" w14:paraId="4FF674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7CC93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23</w:t>
            </w:r>
          </w:p>
        </w:tc>
        <w:tc>
          <w:tcPr>
            <w:tcW w:w="750" w:type="pct"/>
            <w:tcBorders>
              <w:top w:val="single" w:sz="4" w:space="0" w:color="auto"/>
              <w:left w:val="single" w:sz="4" w:space="0" w:color="auto"/>
              <w:bottom w:val="single" w:sz="4" w:space="0" w:color="auto"/>
              <w:right w:val="single" w:sz="4" w:space="0" w:color="auto"/>
            </w:tcBorders>
            <w:vAlign w:val="center"/>
          </w:tcPr>
          <w:p w14:paraId="023F959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5C59FF6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A79B1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2020-08-03</w:t>
            </w:r>
          </w:p>
        </w:tc>
      </w:tr>
      <w:tr w:rsidR="00791B53" w14:paraId="6F520F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E8476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360819B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w:t>
            </w:r>
          </w:p>
        </w:tc>
        <w:tc>
          <w:tcPr>
            <w:tcW w:w="750" w:type="pct"/>
            <w:tcBorders>
              <w:top w:val="single" w:sz="4" w:space="0" w:color="auto"/>
              <w:left w:val="single" w:sz="4" w:space="0" w:color="auto"/>
              <w:bottom w:val="single" w:sz="4" w:space="0" w:color="auto"/>
              <w:right w:val="single" w:sz="4" w:space="0" w:color="auto"/>
            </w:tcBorders>
            <w:vAlign w:val="center"/>
          </w:tcPr>
          <w:p w14:paraId="6FCFD03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27360B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2020-08-03</w:t>
            </w:r>
          </w:p>
        </w:tc>
      </w:tr>
      <w:tr w:rsidR="00791B53" w14:paraId="4D0BDF6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369042"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5A491635"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交银施罗德基金管理有限公司根据《公开募集证券投资基金信息披露管理办法》修改</w:t>
            </w:r>
            <w:proofErr w:type="gramStart"/>
            <w:r>
              <w:rPr>
                <w:rFonts w:ascii="Times New Roman" w:hAnsi="Times New Roman"/>
                <w:color w:val="000000"/>
                <w:kern w:val="0"/>
                <w:sz w:val="25"/>
                <w:szCs w:val="24"/>
              </w:rPr>
              <w:t>旗下交</w:t>
            </w:r>
            <w:proofErr w:type="gramEnd"/>
            <w:r>
              <w:rPr>
                <w:rFonts w:ascii="Times New Roman" w:hAnsi="Times New Roman"/>
                <w:color w:val="000000"/>
                <w:kern w:val="0"/>
                <w:sz w:val="25"/>
                <w:szCs w:val="24"/>
              </w:rPr>
              <w:t>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合同、托管协议的公告</w:t>
            </w:r>
          </w:p>
        </w:tc>
        <w:tc>
          <w:tcPr>
            <w:tcW w:w="750" w:type="pct"/>
            <w:tcBorders>
              <w:top w:val="single" w:sz="4" w:space="0" w:color="auto"/>
              <w:left w:val="single" w:sz="4" w:space="0" w:color="auto"/>
              <w:bottom w:val="single" w:sz="4" w:space="0" w:color="auto"/>
              <w:right w:val="single" w:sz="4" w:space="0" w:color="auto"/>
            </w:tcBorders>
            <w:vAlign w:val="center"/>
          </w:tcPr>
          <w:p w14:paraId="40E5CE1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2106B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2020-08-03</w:t>
            </w:r>
          </w:p>
        </w:tc>
      </w:tr>
      <w:tr w:rsidR="00791B53" w14:paraId="1EF256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85E6A7"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3AEE810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6AD842F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8D75F1"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2020-08-04</w:t>
            </w:r>
          </w:p>
        </w:tc>
      </w:tr>
      <w:tr w:rsidR="00791B53" w14:paraId="560FAC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E2A0F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7E46493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6974D91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2B93414"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2020-08-04</w:t>
            </w:r>
          </w:p>
        </w:tc>
      </w:tr>
      <w:tr w:rsidR="00791B53" w14:paraId="5A470D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4FC39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390EE4A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关于增加安信证券股份有限公司为旗下基金销售机构的公告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B67878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C644B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2020-08-25</w:t>
            </w:r>
          </w:p>
        </w:tc>
      </w:tr>
      <w:tr w:rsidR="00791B53" w14:paraId="28C5AB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CC8D20"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2C4F09ED"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F3C81F7"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52DBC2"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2020-08-29</w:t>
            </w:r>
          </w:p>
        </w:tc>
      </w:tr>
      <w:tr w:rsidR="00791B53" w14:paraId="2CADC2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53D0E3"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24816DEE"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146318A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B5ACAA"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2020-08-29</w:t>
            </w:r>
          </w:p>
        </w:tc>
      </w:tr>
      <w:tr w:rsidR="00791B53" w14:paraId="69D076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FC8989"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13350CB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交银施罗德创业板</w:t>
            </w:r>
            <w:r>
              <w:rPr>
                <w:rFonts w:ascii="Times New Roman" w:hAnsi="Times New Roman"/>
                <w:color w:val="000000"/>
                <w:kern w:val="0"/>
                <w:sz w:val="25"/>
                <w:szCs w:val="24"/>
              </w:rPr>
              <w:t>50</w:t>
            </w:r>
            <w:r>
              <w:rPr>
                <w:rFonts w:ascii="Times New Roman" w:hAnsi="Times New Roman"/>
                <w:color w:val="000000"/>
                <w:kern w:val="0"/>
                <w:sz w:val="25"/>
                <w:szCs w:val="24"/>
              </w:rPr>
              <w:t>指数型证券投资基金（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75346D16"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49EB3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2020-08-29</w:t>
            </w:r>
          </w:p>
        </w:tc>
      </w:tr>
      <w:tr w:rsidR="00791B53" w14:paraId="694D04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616254" w14:textId="77777777" w:rsidR="00791B53" w:rsidRDefault="002C0D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1C061F9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w:t>
            </w:r>
            <w:proofErr w:type="gramStart"/>
            <w:r>
              <w:rPr>
                <w:rFonts w:ascii="Times New Roman" w:hAnsi="Times New Roman"/>
                <w:color w:val="000000"/>
                <w:kern w:val="0"/>
                <w:sz w:val="25"/>
                <w:szCs w:val="24"/>
              </w:rPr>
              <w:t>普益基金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1F59248"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F9AC20" w14:textId="77777777" w:rsidR="00791B53" w:rsidRDefault="002C0D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2020-09-07</w:t>
            </w:r>
          </w:p>
        </w:tc>
      </w:tr>
    </w:tbl>
    <w:p w14:paraId="4AB415D2"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B60482" w14:textId="77777777" w:rsidR="00791B53" w:rsidRDefault="002C0D99">
      <w:pPr>
        <w:pStyle w:val="1"/>
        <w:snapToGrid w:val="0"/>
        <w:spacing w:beforeLines="0" w:before="240" w:after="240"/>
        <w:rPr>
          <w:rFonts w:ascii="宋体" w:hAnsi="宋体"/>
          <w:szCs w:val="30"/>
        </w:rPr>
      </w:pPr>
      <w:bookmarkStart w:id="27" w:name="_Toc54104367"/>
      <w:r>
        <w:rPr>
          <w:rFonts w:ascii="Times New Roman" w:hAnsi="Times New Roman"/>
          <w:sz w:val="30"/>
        </w:rPr>
        <w:lastRenderedPageBreak/>
        <w:t>二十四、招募说明书的存放及查阅方式</w:t>
      </w:r>
      <w:bookmarkEnd w:id="27"/>
    </w:p>
    <w:p w14:paraId="56D7ECA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49EC592"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4A0E3207" w14:textId="77777777" w:rsidR="004B247A" w:rsidRDefault="002C0D99" w:rsidP="004B247A">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A21508" w14:textId="77777777" w:rsidR="00791B53" w:rsidRDefault="002C0D99">
      <w:pPr>
        <w:pStyle w:val="1"/>
        <w:snapToGrid w:val="0"/>
        <w:spacing w:beforeLines="0" w:before="240" w:after="240"/>
        <w:rPr>
          <w:rFonts w:ascii="宋体" w:hAnsi="宋体"/>
          <w:szCs w:val="30"/>
        </w:rPr>
      </w:pPr>
      <w:bookmarkStart w:id="28" w:name="_Toc54104368"/>
      <w:r>
        <w:rPr>
          <w:rFonts w:ascii="Times New Roman" w:hAnsi="Times New Roman"/>
          <w:sz w:val="30"/>
        </w:rPr>
        <w:lastRenderedPageBreak/>
        <w:t>二十五、备查文件</w:t>
      </w:r>
      <w:bookmarkEnd w:id="28"/>
    </w:p>
    <w:p w14:paraId="6E0D8941"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1857690B"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（一）中国证监会准予交银施罗德创业板</w:t>
      </w:r>
      <w:r>
        <w:rPr>
          <w:rFonts w:ascii="Times New Roman" w:hAnsi="Times New Roman"/>
          <w:sz w:val="24"/>
        </w:rPr>
        <w:t>50</w:t>
      </w:r>
      <w:r>
        <w:rPr>
          <w:rFonts w:ascii="Times New Roman" w:hAnsi="Times New Roman"/>
          <w:sz w:val="24"/>
        </w:rPr>
        <w:t>指数型证券投资基金募集注册的文件</w:t>
      </w:r>
    </w:p>
    <w:p w14:paraId="6C658A29"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（二）《交银施罗德创业板</w:t>
      </w:r>
      <w:r>
        <w:rPr>
          <w:rFonts w:ascii="Times New Roman" w:hAnsi="Times New Roman"/>
          <w:sz w:val="24"/>
        </w:rPr>
        <w:t>50</w:t>
      </w:r>
      <w:r>
        <w:rPr>
          <w:rFonts w:ascii="Times New Roman" w:hAnsi="Times New Roman"/>
          <w:sz w:val="24"/>
        </w:rPr>
        <w:t>指数型证券投资基金基金合同》</w:t>
      </w:r>
    </w:p>
    <w:p w14:paraId="0E722575"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（三）《交银施罗德创业板</w:t>
      </w:r>
      <w:r>
        <w:rPr>
          <w:rFonts w:ascii="Times New Roman" w:hAnsi="Times New Roman"/>
          <w:sz w:val="24"/>
        </w:rPr>
        <w:t>50</w:t>
      </w:r>
      <w:r>
        <w:rPr>
          <w:rFonts w:ascii="Times New Roman" w:hAnsi="Times New Roman"/>
          <w:sz w:val="24"/>
        </w:rPr>
        <w:t>指数型证券投资基金托管协议》</w:t>
      </w:r>
    </w:p>
    <w:p w14:paraId="4C13B5F8"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2B38DB57"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3F434FD4" w14:textId="77777777" w:rsidR="00791B53" w:rsidRDefault="002C0D9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（六）关于申请募集注册交银施罗德创业板</w:t>
      </w:r>
      <w:r>
        <w:rPr>
          <w:rFonts w:ascii="Times New Roman" w:hAnsi="Times New Roman"/>
          <w:sz w:val="24"/>
        </w:rPr>
        <w:t>50</w:t>
      </w:r>
      <w:r>
        <w:rPr>
          <w:rFonts w:ascii="Times New Roman" w:hAnsi="Times New Roman"/>
          <w:sz w:val="24"/>
        </w:rPr>
        <w:t>指数型证券投资基金的法律意见书</w:t>
      </w:r>
    </w:p>
    <w:sectPr w:rsidR="00791B53">
      <w:footerReference w:type="default" r:id="rId17"/>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3929F" w14:textId="77777777" w:rsidR="001D35B8" w:rsidRDefault="001D35B8">
      <w:r>
        <w:separator/>
      </w:r>
    </w:p>
  </w:endnote>
  <w:endnote w:type="continuationSeparator" w:id="0">
    <w:p w14:paraId="7691936C" w14:textId="77777777" w:rsidR="001D35B8" w:rsidRDefault="001D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1480C" w14:textId="138982EA" w:rsidR="009C06A7" w:rsidRDefault="009C06A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9B494FD" wp14:editId="45922B07">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F15D" w14:textId="77777777" w:rsidR="009C06A7" w:rsidRDefault="009C06A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046">
                            <w:rPr>
                              <w:rFonts w:ascii="Times New Roman" w:hAnsi="Times New Roman"/>
                              <w:noProof/>
                              <w:kern w:val="0"/>
                              <w:sz w:val="18"/>
                              <w:szCs w:val="18"/>
                            </w:rPr>
                            <w:t>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494FD"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0676F15D" w14:textId="77777777" w:rsidR="009C06A7" w:rsidRDefault="009C06A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046">
                      <w:rPr>
                        <w:rFonts w:ascii="Times New Roman" w:hAnsi="Times New Roman"/>
                        <w:noProof/>
                        <w:kern w:val="0"/>
                        <w:sz w:val="18"/>
                        <w:szCs w:val="18"/>
                      </w:rPr>
                      <w:t>5</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7855" w14:textId="79FC92B5" w:rsidR="009C06A7" w:rsidRDefault="009C06A7">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7AD17CD" wp14:editId="7505C8FD">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346C9" w14:textId="77777777" w:rsidR="009C06A7" w:rsidRDefault="009C06A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046">
                            <w:rPr>
                              <w:rFonts w:ascii="Times New Roman" w:hAnsi="Times New Roman"/>
                              <w:noProof/>
                              <w:kern w:val="0"/>
                              <w:sz w:val="18"/>
                              <w:szCs w:val="18"/>
                            </w:rPr>
                            <w:t>115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D17CD"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17F346C9" w14:textId="77777777" w:rsidR="009C06A7" w:rsidRDefault="009C06A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8D5046">
                      <w:rPr>
                        <w:rFonts w:ascii="Times New Roman" w:hAnsi="Times New Roman"/>
                        <w:noProof/>
                        <w:kern w:val="0"/>
                        <w:sz w:val="18"/>
                        <w:szCs w:val="18"/>
                      </w:rPr>
                      <w:t>115</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B7AB9" w14:textId="77777777" w:rsidR="001D35B8" w:rsidRDefault="001D35B8">
      <w:r>
        <w:separator/>
      </w:r>
    </w:p>
  </w:footnote>
  <w:footnote w:type="continuationSeparator" w:id="0">
    <w:p w14:paraId="1D8CCEFA" w14:textId="77777777" w:rsidR="001D35B8" w:rsidRDefault="001D3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F3F7" w14:textId="2710A8B1" w:rsidR="009C06A7" w:rsidRDefault="009C06A7">
    <w:pPr>
      <w:pStyle w:val="a3"/>
      <w:jc w:val="right"/>
    </w:pPr>
    <w:r>
      <w:rPr>
        <w:noProof/>
      </w:rPr>
      <w:drawing>
        <wp:anchor distT="0" distB="0" distL="114300" distR="114300" simplePos="0" relativeHeight="251655680" behindDoc="0" locked="0" layoutInCell="1" allowOverlap="1" wp14:anchorId="201FA974" wp14:editId="1AC8DE9B">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C1F40E5" w14:textId="77777777" w:rsidR="009C06A7" w:rsidRDefault="009C06A7">
    <w:pPr>
      <w:pStyle w:val="a3"/>
      <w:jc w:val="right"/>
      <w:rPr>
        <w:rFonts w:ascii="宋体" w:hAnsi="宋体"/>
      </w:rPr>
    </w:pPr>
    <w:r>
      <w:rPr>
        <w:rFonts w:ascii="宋体" w:hAnsi="宋体" w:hint="eastAsia"/>
      </w:rPr>
      <w:t>交银施罗德创业板50指数型证券投资基金(更新)招募说明书(2020年第2号)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239A8" w14:textId="77777777" w:rsidR="009C06A7" w:rsidRDefault="009C06A7">
    <w:pPr>
      <w:pStyle w:val="TOC1"/>
      <w:jc w:val="right"/>
    </w:pPr>
  </w:p>
  <w:p w14:paraId="6FEA8A0A" w14:textId="77777777" w:rsidR="009C06A7" w:rsidRDefault="009C06A7">
    <w:pPr>
      <w:pStyle w:val="TOC1"/>
      <w:jc w:val="right"/>
    </w:pPr>
  </w:p>
  <w:p w14:paraId="13BEA1B0" w14:textId="77777777" w:rsidR="009C06A7" w:rsidRDefault="009C06A7">
    <w:pPr>
      <w:pStyle w:val="a3"/>
      <w:jc w:val="right"/>
    </w:pPr>
  </w:p>
  <w:p w14:paraId="134DA0C0" w14:textId="72850DD5" w:rsidR="009C06A7" w:rsidRDefault="009C06A7">
    <w:pPr>
      <w:pStyle w:val="a3"/>
      <w:jc w:val="right"/>
    </w:pPr>
    <w:r>
      <w:rPr>
        <w:noProof/>
      </w:rPr>
      <w:drawing>
        <wp:anchor distT="0" distB="0" distL="114300" distR="114300" simplePos="0" relativeHeight="251656704" behindDoc="0" locked="0" layoutInCell="1" allowOverlap="1" wp14:anchorId="1FC4A38D" wp14:editId="09829B1B">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41CA7FD" w14:textId="3FB28D7B" w:rsidR="009C06A7" w:rsidRDefault="009C06A7">
    <w:pPr>
      <w:pStyle w:val="a3"/>
      <w:jc w:val="right"/>
      <w:rPr>
        <w:rFonts w:ascii="宋体" w:hAnsi="宋体"/>
      </w:rPr>
    </w:pPr>
    <w:r>
      <w:rPr>
        <w:rFonts w:ascii="宋体" w:hAnsi="宋体" w:hint="eastAsia"/>
      </w:rPr>
      <w:t>交银施罗德创业板50指数型证券投资基金(更新)招募说明书(</w:t>
    </w:r>
    <w:r w:rsidR="008B62D1">
      <w:rPr>
        <w:rFonts w:ascii="宋体" w:hAnsi="宋体" w:hint="eastAsia"/>
      </w:rPr>
      <w:t>202</w:t>
    </w:r>
    <w:r w:rsidR="008B62D1">
      <w:rPr>
        <w:rFonts w:ascii="宋体" w:hAnsi="宋体"/>
      </w:rPr>
      <w:t>1</w:t>
    </w:r>
    <w:r>
      <w:rPr>
        <w:rFonts w:ascii="宋体" w:hAnsi="宋体" w:hint="eastAsia"/>
      </w:rPr>
      <w:t>年</w:t>
    </w:r>
    <w:r w:rsidR="008B62D1">
      <w:rPr>
        <w:rFonts w:ascii="宋体" w:hAnsi="宋体" w:hint="eastAsia"/>
      </w:rPr>
      <w:t>第</w:t>
    </w:r>
    <w:r w:rsidR="008B62D1">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E29E0" w14:textId="77777777" w:rsidR="009C06A7" w:rsidRDefault="009C06A7">
    <w:pPr>
      <w:pStyle w:val="a3"/>
      <w:jc w:val="right"/>
    </w:pPr>
  </w:p>
  <w:p w14:paraId="6EF941D3" w14:textId="77777777" w:rsidR="009C06A7" w:rsidRDefault="009C06A7">
    <w:pPr>
      <w:pStyle w:val="a3"/>
      <w:jc w:val="right"/>
    </w:pPr>
  </w:p>
  <w:p w14:paraId="6B5F387B" w14:textId="77777777" w:rsidR="009C06A7" w:rsidRDefault="009C06A7">
    <w:pPr>
      <w:pStyle w:val="a3"/>
      <w:jc w:val="right"/>
    </w:pPr>
  </w:p>
  <w:p w14:paraId="3F06B833" w14:textId="4151C4AD" w:rsidR="009C06A7" w:rsidRDefault="009C06A7">
    <w:pPr>
      <w:pStyle w:val="a3"/>
      <w:jc w:val="right"/>
    </w:pPr>
    <w:r>
      <w:rPr>
        <w:noProof/>
      </w:rPr>
      <w:drawing>
        <wp:anchor distT="0" distB="0" distL="114300" distR="114300" simplePos="0" relativeHeight="251657728" behindDoc="0" locked="0" layoutInCell="1" allowOverlap="1" wp14:anchorId="55C31297" wp14:editId="070AB86C">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FD55D8E" w14:textId="57DA9825" w:rsidR="009C06A7" w:rsidRDefault="009C06A7">
    <w:pPr>
      <w:pStyle w:val="a3"/>
      <w:jc w:val="right"/>
      <w:rPr>
        <w:rFonts w:ascii="宋体" w:hAnsi="宋体"/>
      </w:rPr>
    </w:pPr>
    <w:r>
      <w:rPr>
        <w:rFonts w:ascii="宋体" w:hAnsi="宋体" w:hint="eastAsia"/>
      </w:rPr>
      <w:t>交银施罗德创业板50指数型证券投资基金(更新)招募说明书(202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164B80"/>
    <w:multiLevelType w:val="multilevel"/>
    <w:tmpl w:val="5D948A94"/>
    <w:lvl w:ilvl="0">
      <w:start w:val="1"/>
      <w:numFmt w:val="decimal"/>
      <w:lvlText w:val="%1"/>
      <w:lvlJc w:val="left"/>
      <w:pPr>
        <w:tabs>
          <w:tab w:val="num" w:pos="3835"/>
        </w:tabs>
        <w:ind w:left="3835" w:hanging="432"/>
      </w:pPr>
    </w:lvl>
    <w:lvl w:ilvl="1">
      <w:start w:val="1"/>
      <w:numFmt w:val="chineseCountingThousand"/>
      <w:lvlText w:val="%2、"/>
      <w:lvlJc w:val="left"/>
      <w:pPr>
        <w:tabs>
          <w:tab w:val="num" w:pos="1002"/>
        </w:tabs>
        <w:ind w:left="1002" w:hanging="576"/>
      </w:pPr>
      <w:rPr>
        <w:b/>
        <w:sz w:val="32"/>
        <w:szCs w:val="3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C9"/>
    <w:rsid w:val="000002A2"/>
    <w:rsid w:val="00001EEA"/>
    <w:rsid w:val="00003EC9"/>
    <w:rsid w:val="0000560A"/>
    <w:rsid w:val="0001266E"/>
    <w:rsid w:val="00013564"/>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2B5A"/>
    <w:rsid w:val="00094253"/>
    <w:rsid w:val="00095030"/>
    <w:rsid w:val="000A01A0"/>
    <w:rsid w:val="000A352B"/>
    <w:rsid w:val="000B0F8B"/>
    <w:rsid w:val="000B359E"/>
    <w:rsid w:val="000B3894"/>
    <w:rsid w:val="000B4E04"/>
    <w:rsid w:val="000C1E1E"/>
    <w:rsid w:val="000C38F1"/>
    <w:rsid w:val="000C5E77"/>
    <w:rsid w:val="000C609D"/>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07A1"/>
    <w:rsid w:val="001240EB"/>
    <w:rsid w:val="0012443D"/>
    <w:rsid w:val="00127053"/>
    <w:rsid w:val="00130345"/>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0AD6"/>
    <w:rsid w:val="001A1623"/>
    <w:rsid w:val="001A2263"/>
    <w:rsid w:val="001B4531"/>
    <w:rsid w:val="001B5BDB"/>
    <w:rsid w:val="001B75F9"/>
    <w:rsid w:val="001C2B9E"/>
    <w:rsid w:val="001C38DA"/>
    <w:rsid w:val="001C7A48"/>
    <w:rsid w:val="001C7C12"/>
    <w:rsid w:val="001D2797"/>
    <w:rsid w:val="001D2B67"/>
    <w:rsid w:val="001D35B8"/>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0EB9"/>
    <w:rsid w:val="00201F27"/>
    <w:rsid w:val="00201F9B"/>
    <w:rsid w:val="00203597"/>
    <w:rsid w:val="002076AC"/>
    <w:rsid w:val="00212B27"/>
    <w:rsid w:val="00212BBA"/>
    <w:rsid w:val="0021469C"/>
    <w:rsid w:val="00215523"/>
    <w:rsid w:val="00216962"/>
    <w:rsid w:val="00217CA4"/>
    <w:rsid w:val="00221112"/>
    <w:rsid w:val="00221A1B"/>
    <w:rsid w:val="002220A4"/>
    <w:rsid w:val="0022392B"/>
    <w:rsid w:val="00223C19"/>
    <w:rsid w:val="00224421"/>
    <w:rsid w:val="00226503"/>
    <w:rsid w:val="00226A60"/>
    <w:rsid w:val="00226C2B"/>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103"/>
    <w:rsid w:val="00274E85"/>
    <w:rsid w:val="002777F6"/>
    <w:rsid w:val="00277907"/>
    <w:rsid w:val="00280C42"/>
    <w:rsid w:val="00281B73"/>
    <w:rsid w:val="002833C9"/>
    <w:rsid w:val="00285E5C"/>
    <w:rsid w:val="00290B63"/>
    <w:rsid w:val="00290E73"/>
    <w:rsid w:val="00291D80"/>
    <w:rsid w:val="00293415"/>
    <w:rsid w:val="00294689"/>
    <w:rsid w:val="0029539A"/>
    <w:rsid w:val="002A1A82"/>
    <w:rsid w:val="002A2FB0"/>
    <w:rsid w:val="002A4D32"/>
    <w:rsid w:val="002A5F87"/>
    <w:rsid w:val="002B017B"/>
    <w:rsid w:val="002B0DC0"/>
    <w:rsid w:val="002B2664"/>
    <w:rsid w:val="002B4E21"/>
    <w:rsid w:val="002B5000"/>
    <w:rsid w:val="002B78AA"/>
    <w:rsid w:val="002C0D99"/>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06E85"/>
    <w:rsid w:val="003117B9"/>
    <w:rsid w:val="00311C71"/>
    <w:rsid w:val="00313073"/>
    <w:rsid w:val="0031336C"/>
    <w:rsid w:val="0031339F"/>
    <w:rsid w:val="00313F3E"/>
    <w:rsid w:val="00323F65"/>
    <w:rsid w:val="00326147"/>
    <w:rsid w:val="0033051E"/>
    <w:rsid w:val="00333B79"/>
    <w:rsid w:val="0033401D"/>
    <w:rsid w:val="00334456"/>
    <w:rsid w:val="00336150"/>
    <w:rsid w:val="00336E99"/>
    <w:rsid w:val="00342417"/>
    <w:rsid w:val="003454EC"/>
    <w:rsid w:val="00346537"/>
    <w:rsid w:val="00347B94"/>
    <w:rsid w:val="003527DD"/>
    <w:rsid w:val="003547A2"/>
    <w:rsid w:val="00355171"/>
    <w:rsid w:val="00361236"/>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A4"/>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3F6B9D"/>
    <w:rsid w:val="004021FF"/>
    <w:rsid w:val="00406654"/>
    <w:rsid w:val="0041100B"/>
    <w:rsid w:val="004114F3"/>
    <w:rsid w:val="00412894"/>
    <w:rsid w:val="004130C3"/>
    <w:rsid w:val="00413E71"/>
    <w:rsid w:val="00415DE8"/>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247A"/>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5D21"/>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23F3"/>
    <w:rsid w:val="00543B42"/>
    <w:rsid w:val="0054651A"/>
    <w:rsid w:val="00546EA9"/>
    <w:rsid w:val="005474CD"/>
    <w:rsid w:val="005501B7"/>
    <w:rsid w:val="00551519"/>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079C"/>
    <w:rsid w:val="00590972"/>
    <w:rsid w:val="00591C2A"/>
    <w:rsid w:val="005920A9"/>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B6242"/>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4C12"/>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0CAB"/>
    <w:rsid w:val="006B2E5D"/>
    <w:rsid w:val="006B3153"/>
    <w:rsid w:val="006B5871"/>
    <w:rsid w:val="006B6BB1"/>
    <w:rsid w:val="006B7212"/>
    <w:rsid w:val="006C14C3"/>
    <w:rsid w:val="006C35C6"/>
    <w:rsid w:val="006C4B6F"/>
    <w:rsid w:val="006C5755"/>
    <w:rsid w:val="006C589D"/>
    <w:rsid w:val="006C769C"/>
    <w:rsid w:val="006C7A95"/>
    <w:rsid w:val="006D11E8"/>
    <w:rsid w:val="006D4B0E"/>
    <w:rsid w:val="006D753C"/>
    <w:rsid w:val="006E0A00"/>
    <w:rsid w:val="006E1AFF"/>
    <w:rsid w:val="006E306D"/>
    <w:rsid w:val="006E4BEC"/>
    <w:rsid w:val="006E6968"/>
    <w:rsid w:val="006F04C6"/>
    <w:rsid w:val="006F08A0"/>
    <w:rsid w:val="006F2A97"/>
    <w:rsid w:val="006F7AD7"/>
    <w:rsid w:val="00702627"/>
    <w:rsid w:val="0070359F"/>
    <w:rsid w:val="0070464C"/>
    <w:rsid w:val="00705474"/>
    <w:rsid w:val="00705B46"/>
    <w:rsid w:val="007076B2"/>
    <w:rsid w:val="007105AB"/>
    <w:rsid w:val="00711BBB"/>
    <w:rsid w:val="0071340A"/>
    <w:rsid w:val="00713FC7"/>
    <w:rsid w:val="00716FD1"/>
    <w:rsid w:val="00720D0F"/>
    <w:rsid w:val="007218A9"/>
    <w:rsid w:val="0072241C"/>
    <w:rsid w:val="00724399"/>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1B53"/>
    <w:rsid w:val="007927A6"/>
    <w:rsid w:val="00797F6E"/>
    <w:rsid w:val="007A1F4C"/>
    <w:rsid w:val="007A53F8"/>
    <w:rsid w:val="007B05BD"/>
    <w:rsid w:val="007B31A5"/>
    <w:rsid w:val="007B3327"/>
    <w:rsid w:val="007B3533"/>
    <w:rsid w:val="007B4996"/>
    <w:rsid w:val="007B6926"/>
    <w:rsid w:val="007B6FA3"/>
    <w:rsid w:val="007B705D"/>
    <w:rsid w:val="007C42F8"/>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6EC7"/>
    <w:rsid w:val="008703C2"/>
    <w:rsid w:val="0087209F"/>
    <w:rsid w:val="008773E0"/>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2D1"/>
    <w:rsid w:val="008B691D"/>
    <w:rsid w:val="008C4D11"/>
    <w:rsid w:val="008D5046"/>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7679B"/>
    <w:rsid w:val="00991483"/>
    <w:rsid w:val="0099296D"/>
    <w:rsid w:val="009935AA"/>
    <w:rsid w:val="00993F94"/>
    <w:rsid w:val="009951B2"/>
    <w:rsid w:val="009A028C"/>
    <w:rsid w:val="009A039C"/>
    <w:rsid w:val="009A2859"/>
    <w:rsid w:val="009A4E90"/>
    <w:rsid w:val="009A50B8"/>
    <w:rsid w:val="009A737B"/>
    <w:rsid w:val="009B1823"/>
    <w:rsid w:val="009B406F"/>
    <w:rsid w:val="009B443A"/>
    <w:rsid w:val="009B4D09"/>
    <w:rsid w:val="009B6DD1"/>
    <w:rsid w:val="009C06A7"/>
    <w:rsid w:val="009C1332"/>
    <w:rsid w:val="009C4A4F"/>
    <w:rsid w:val="009C6D34"/>
    <w:rsid w:val="009D1567"/>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17A"/>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206"/>
    <w:rsid w:val="00A57E0C"/>
    <w:rsid w:val="00A6039D"/>
    <w:rsid w:val="00A631B5"/>
    <w:rsid w:val="00A63351"/>
    <w:rsid w:val="00A6487D"/>
    <w:rsid w:val="00A65DF5"/>
    <w:rsid w:val="00A66D3E"/>
    <w:rsid w:val="00A676CE"/>
    <w:rsid w:val="00A7001C"/>
    <w:rsid w:val="00A70A43"/>
    <w:rsid w:val="00A716B2"/>
    <w:rsid w:val="00A75807"/>
    <w:rsid w:val="00A775DA"/>
    <w:rsid w:val="00A77913"/>
    <w:rsid w:val="00A8209D"/>
    <w:rsid w:val="00A82740"/>
    <w:rsid w:val="00A860C9"/>
    <w:rsid w:val="00A9137F"/>
    <w:rsid w:val="00A91C6C"/>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1FD4"/>
    <w:rsid w:val="00AF4A88"/>
    <w:rsid w:val="00AF60FC"/>
    <w:rsid w:val="00AF619D"/>
    <w:rsid w:val="00B01A75"/>
    <w:rsid w:val="00B02D39"/>
    <w:rsid w:val="00B03711"/>
    <w:rsid w:val="00B03B6B"/>
    <w:rsid w:val="00B04CC3"/>
    <w:rsid w:val="00B17DE2"/>
    <w:rsid w:val="00B2096A"/>
    <w:rsid w:val="00B20E8D"/>
    <w:rsid w:val="00B32541"/>
    <w:rsid w:val="00B3267F"/>
    <w:rsid w:val="00B33C0A"/>
    <w:rsid w:val="00B35F87"/>
    <w:rsid w:val="00B379DA"/>
    <w:rsid w:val="00B37A67"/>
    <w:rsid w:val="00B41203"/>
    <w:rsid w:val="00B41500"/>
    <w:rsid w:val="00B5297F"/>
    <w:rsid w:val="00B52E16"/>
    <w:rsid w:val="00B53812"/>
    <w:rsid w:val="00B53C36"/>
    <w:rsid w:val="00B606CE"/>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614"/>
    <w:rsid w:val="00BB17E3"/>
    <w:rsid w:val="00BB1CDB"/>
    <w:rsid w:val="00BB2110"/>
    <w:rsid w:val="00BB3645"/>
    <w:rsid w:val="00BB547E"/>
    <w:rsid w:val="00BB69B7"/>
    <w:rsid w:val="00BC2581"/>
    <w:rsid w:val="00BC3F55"/>
    <w:rsid w:val="00BC481A"/>
    <w:rsid w:val="00BC4D26"/>
    <w:rsid w:val="00BC51F2"/>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40F"/>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460E"/>
    <w:rsid w:val="00CD56D7"/>
    <w:rsid w:val="00CD57FC"/>
    <w:rsid w:val="00CD632A"/>
    <w:rsid w:val="00CD69F7"/>
    <w:rsid w:val="00CE0B6D"/>
    <w:rsid w:val="00CE127E"/>
    <w:rsid w:val="00CE1C10"/>
    <w:rsid w:val="00CE217C"/>
    <w:rsid w:val="00CE4AE9"/>
    <w:rsid w:val="00CF41D0"/>
    <w:rsid w:val="00D00CF9"/>
    <w:rsid w:val="00D012FF"/>
    <w:rsid w:val="00D04647"/>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1A7E"/>
    <w:rsid w:val="00DB3CAF"/>
    <w:rsid w:val="00DB4966"/>
    <w:rsid w:val="00DB5BD4"/>
    <w:rsid w:val="00DC1386"/>
    <w:rsid w:val="00DC4230"/>
    <w:rsid w:val="00DC7A46"/>
    <w:rsid w:val="00DD0F54"/>
    <w:rsid w:val="00DD4F7A"/>
    <w:rsid w:val="00DD5050"/>
    <w:rsid w:val="00DD5306"/>
    <w:rsid w:val="00DD5903"/>
    <w:rsid w:val="00DD5E1E"/>
    <w:rsid w:val="00DE085B"/>
    <w:rsid w:val="00DE229B"/>
    <w:rsid w:val="00DE3A2B"/>
    <w:rsid w:val="00DE4A81"/>
    <w:rsid w:val="00DE7AB8"/>
    <w:rsid w:val="00DF3188"/>
    <w:rsid w:val="00DF4881"/>
    <w:rsid w:val="00DF5529"/>
    <w:rsid w:val="00DF6DE8"/>
    <w:rsid w:val="00DF6FB0"/>
    <w:rsid w:val="00DF76B3"/>
    <w:rsid w:val="00DF76F2"/>
    <w:rsid w:val="00E00083"/>
    <w:rsid w:val="00E009E2"/>
    <w:rsid w:val="00E01DE7"/>
    <w:rsid w:val="00E0411F"/>
    <w:rsid w:val="00E0572E"/>
    <w:rsid w:val="00E10005"/>
    <w:rsid w:val="00E10D70"/>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821"/>
    <w:rsid w:val="00E75FA1"/>
    <w:rsid w:val="00E76419"/>
    <w:rsid w:val="00E77787"/>
    <w:rsid w:val="00E77CD7"/>
    <w:rsid w:val="00E82017"/>
    <w:rsid w:val="00E82792"/>
    <w:rsid w:val="00E844D7"/>
    <w:rsid w:val="00E86AF9"/>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17461"/>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201C"/>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1031"/>
    <w:rsid w:val="00FA2FCD"/>
    <w:rsid w:val="00FA3FA8"/>
    <w:rsid w:val="00FA4718"/>
    <w:rsid w:val="00FA6E64"/>
    <w:rsid w:val="00FA7550"/>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D1FDFC"/>
  <w15:docId w15:val="{3396F29D-3AC6-439B-BF7E-95627179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aliases w:val="H1,Heading 0"/>
    <w:basedOn w:val="a"/>
    <w:next w:val="a"/>
    <w:link w:val="10"/>
    <w:qFormat/>
    <w:pPr>
      <w:keepNext/>
      <w:keepLines/>
      <w:spacing w:beforeLines="100" w:before="100" w:afterLines="100" w:after="100" w:line="360" w:lineRule="auto"/>
      <w:jc w:val="center"/>
      <w:outlineLvl w:val="0"/>
    </w:pPr>
    <w:rPr>
      <w:b/>
      <w:bCs/>
      <w:kern w:val="44"/>
      <w:sz w:val="28"/>
      <w:szCs w:val="44"/>
    </w:rPr>
  </w:style>
  <w:style w:type="paragraph" w:styleId="2">
    <w:name w:val="heading 2"/>
    <w:aliases w:val="H2,Heading 2 Hidden,Heading 2 CCBS"/>
    <w:basedOn w:val="a"/>
    <w:next w:val="a"/>
    <w:link w:val="20"/>
    <w:unhideWhenUsed/>
    <w:qFormat/>
    <w:pPr>
      <w:keepNext/>
      <w:keepLines/>
      <w:spacing w:before="260" w:after="260" w:line="416" w:lineRule="auto"/>
      <w:outlineLvl w:val="1"/>
    </w:pPr>
    <w:rPr>
      <w:rFonts w:ascii="Cambria" w:hAnsi="Cambria"/>
      <w:b/>
      <w:bCs/>
      <w:sz w:val="32"/>
      <w:szCs w:val="32"/>
    </w:rPr>
  </w:style>
  <w:style w:type="paragraph" w:styleId="3">
    <w:name w:val="heading 3"/>
    <w:aliases w:val="Heading 3 - old,Level 3 Head,H3,h3,l3,CT,标题样式1"/>
    <w:basedOn w:val="a"/>
    <w:next w:val="a"/>
    <w:link w:val="30"/>
    <w:qFormat/>
    <w:rsid w:val="00333B79"/>
    <w:pPr>
      <w:keepNext/>
      <w:keepLines/>
      <w:tabs>
        <w:tab w:val="num" w:pos="720"/>
      </w:tabs>
      <w:spacing w:before="260" w:after="260" w:line="415" w:lineRule="auto"/>
      <w:ind w:left="720" w:hanging="720"/>
      <w:outlineLvl w:val="2"/>
    </w:pPr>
    <w:rPr>
      <w:rFonts w:ascii="Times New Roman" w:hAnsi="Times New Roman"/>
      <w:b/>
      <w:bCs/>
      <w:sz w:val="32"/>
      <w:szCs w:val="32"/>
    </w:rPr>
  </w:style>
  <w:style w:type="paragraph" w:styleId="4">
    <w:name w:val="heading 4"/>
    <w:aliases w:val="H4,4th level,h4,PIM 4"/>
    <w:basedOn w:val="a"/>
    <w:next w:val="a"/>
    <w:link w:val="40"/>
    <w:unhideWhenUsed/>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333B79"/>
    <w:pPr>
      <w:keepNext/>
      <w:keepLines/>
      <w:tabs>
        <w:tab w:val="num" w:pos="1008"/>
      </w:tabs>
      <w:autoSpaceDE w:val="0"/>
      <w:autoSpaceDN w:val="0"/>
      <w:adjustRightInd w:val="0"/>
      <w:spacing w:before="280" w:after="290" w:line="374" w:lineRule="auto"/>
      <w:ind w:left="1008" w:hanging="1008"/>
      <w:outlineLvl w:val="4"/>
    </w:pPr>
    <w:rPr>
      <w:rFonts w:ascii="宋体" w:hAnsi="Times New Roman" w:hint="eastAsia"/>
      <w:b/>
      <w:kern w:val="0"/>
      <w:sz w:val="28"/>
      <w:szCs w:val="20"/>
    </w:rPr>
  </w:style>
  <w:style w:type="paragraph" w:styleId="6">
    <w:name w:val="heading 6"/>
    <w:basedOn w:val="a"/>
    <w:next w:val="a"/>
    <w:link w:val="60"/>
    <w:qFormat/>
    <w:rsid w:val="00333B79"/>
    <w:pPr>
      <w:keepNext/>
      <w:keepLines/>
      <w:tabs>
        <w:tab w:val="num" w:pos="1152"/>
      </w:tabs>
      <w:autoSpaceDE w:val="0"/>
      <w:autoSpaceDN w:val="0"/>
      <w:adjustRightInd w:val="0"/>
      <w:spacing w:before="240" w:after="64" w:line="319" w:lineRule="auto"/>
      <w:ind w:left="1152" w:hanging="1152"/>
      <w:outlineLvl w:val="5"/>
    </w:pPr>
    <w:rPr>
      <w:rFonts w:ascii="Arial" w:eastAsia="黑体" w:hAnsi="Arial"/>
      <w:b/>
      <w:kern w:val="0"/>
      <w:sz w:val="24"/>
      <w:szCs w:val="20"/>
    </w:rPr>
  </w:style>
  <w:style w:type="paragraph" w:styleId="7">
    <w:name w:val="heading 7"/>
    <w:basedOn w:val="a"/>
    <w:next w:val="a"/>
    <w:link w:val="70"/>
    <w:qFormat/>
    <w:rsid w:val="00333B79"/>
    <w:pPr>
      <w:keepNext/>
      <w:keepLines/>
      <w:tabs>
        <w:tab w:val="num" w:pos="1296"/>
      </w:tabs>
      <w:autoSpaceDE w:val="0"/>
      <w:autoSpaceDN w:val="0"/>
      <w:adjustRightInd w:val="0"/>
      <w:spacing w:before="240" w:after="64" w:line="319" w:lineRule="auto"/>
      <w:ind w:left="1296" w:hanging="1296"/>
      <w:outlineLvl w:val="6"/>
    </w:pPr>
    <w:rPr>
      <w:rFonts w:ascii="宋体" w:hAnsi="Times New Roman" w:hint="eastAsia"/>
      <w:b/>
      <w:kern w:val="0"/>
      <w:sz w:val="24"/>
      <w:szCs w:val="20"/>
    </w:rPr>
  </w:style>
  <w:style w:type="paragraph" w:styleId="8">
    <w:name w:val="heading 8"/>
    <w:basedOn w:val="a"/>
    <w:next w:val="a"/>
    <w:link w:val="80"/>
    <w:qFormat/>
    <w:rsid w:val="00333B79"/>
    <w:pPr>
      <w:keepNext/>
      <w:keepLines/>
      <w:tabs>
        <w:tab w:val="num" w:pos="1440"/>
      </w:tabs>
      <w:autoSpaceDE w:val="0"/>
      <w:autoSpaceDN w:val="0"/>
      <w:adjustRightInd w:val="0"/>
      <w:spacing w:before="240" w:after="64" w:line="319" w:lineRule="auto"/>
      <w:ind w:left="1440" w:hanging="1440"/>
      <w:outlineLvl w:val="7"/>
    </w:pPr>
    <w:rPr>
      <w:rFonts w:ascii="Arial" w:eastAsia="黑体" w:hAnsi="Arial"/>
      <w:kern w:val="0"/>
      <w:sz w:val="24"/>
      <w:szCs w:val="20"/>
    </w:rPr>
  </w:style>
  <w:style w:type="paragraph" w:styleId="9">
    <w:name w:val="heading 9"/>
    <w:basedOn w:val="a"/>
    <w:next w:val="a"/>
    <w:link w:val="90"/>
    <w:qFormat/>
    <w:rsid w:val="00333B79"/>
    <w:pPr>
      <w:keepNext/>
      <w:keepLines/>
      <w:tabs>
        <w:tab w:val="num" w:pos="1584"/>
      </w:tabs>
      <w:autoSpaceDE w:val="0"/>
      <w:autoSpaceDN w:val="0"/>
      <w:adjustRightInd w:val="0"/>
      <w:spacing w:before="240" w:after="64" w:line="319" w:lineRule="auto"/>
      <w:ind w:left="1584" w:hanging="1584"/>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TOC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TOC2">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aliases w:val="H2 字符,Heading 2 Hidden 字符,Heading 2 CCBS 字符"/>
    <w:link w:val="2"/>
    <w:uiPriority w:val="9"/>
    <w:semiHidden/>
    <w:rPr>
      <w:rFonts w:ascii="Cambria" w:eastAsia="宋体" w:hAnsi="Cambria" w:cs="Times New Roman"/>
      <w:b/>
      <w:bCs/>
      <w:kern w:val="2"/>
      <w:sz w:val="32"/>
      <w:szCs w:val="32"/>
    </w:rPr>
  </w:style>
  <w:style w:type="character" w:customStyle="1" w:styleId="40">
    <w:name w:val="标题 4 字符"/>
    <w:aliases w:val="H4 字符,4th level 字符,h4 字符,PIM 4 字符"/>
    <w:link w:val="4"/>
    <w:uiPriority w:val="9"/>
    <w:semiHidden/>
    <w:rPr>
      <w:rFonts w:ascii="Cambria" w:eastAsia="宋体" w:hAnsi="Cambria" w:cs="Times New Roman"/>
      <w:b/>
      <w:bCs/>
      <w:kern w:val="2"/>
      <w:sz w:val="28"/>
      <w:szCs w:val="28"/>
    </w:rPr>
  </w:style>
  <w:style w:type="character" w:customStyle="1" w:styleId="10">
    <w:name w:val="标题 1 字符"/>
    <w:aliases w:val="H1 字符,Heading 0 字符"/>
    <w:link w:val="1"/>
    <w:uiPriority w:val="9"/>
    <w:rPr>
      <w:b/>
      <w:bCs/>
      <w:kern w:val="44"/>
      <w:sz w:val="28"/>
      <w:szCs w:val="44"/>
    </w:rPr>
  </w:style>
  <w:style w:type="character" w:customStyle="1" w:styleId="Char">
    <w:name w:val="批注文字 Char"/>
    <w:uiPriority w:val="99"/>
    <w:rsid w:val="00013564"/>
    <w:rPr>
      <w:kern w:val="2"/>
      <w:sz w:val="21"/>
    </w:rPr>
  </w:style>
  <w:style w:type="character" w:customStyle="1" w:styleId="30">
    <w:name w:val="标题 3 字符"/>
    <w:aliases w:val="Heading 3 - old 字符,Level 3 Head 字符,H3 字符,h3 字符,l3 字符,CT 字符,标题样式1 字符"/>
    <w:basedOn w:val="a0"/>
    <w:link w:val="3"/>
    <w:rsid w:val="00333B79"/>
    <w:rPr>
      <w:rFonts w:ascii="Times New Roman" w:hAnsi="Times New Roman"/>
      <w:b/>
      <w:bCs/>
      <w:kern w:val="2"/>
      <w:sz w:val="32"/>
      <w:szCs w:val="32"/>
    </w:rPr>
  </w:style>
  <w:style w:type="character" w:customStyle="1" w:styleId="50">
    <w:name w:val="标题 5 字符"/>
    <w:basedOn w:val="a0"/>
    <w:link w:val="5"/>
    <w:rsid w:val="00333B79"/>
    <w:rPr>
      <w:rFonts w:ascii="宋体" w:hAnsi="Times New Roman"/>
      <w:b/>
      <w:sz w:val="28"/>
    </w:rPr>
  </w:style>
  <w:style w:type="character" w:customStyle="1" w:styleId="60">
    <w:name w:val="标题 6 字符"/>
    <w:basedOn w:val="a0"/>
    <w:link w:val="6"/>
    <w:rsid w:val="00333B79"/>
    <w:rPr>
      <w:rFonts w:ascii="Arial" w:eastAsia="黑体" w:hAnsi="Arial"/>
      <w:b/>
      <w:sz w:val="24"/>
    </w:rPr>
  </w:style>
  <w:style w:type="character" w:customStyle="1" w:styleId="70">
    <w:name w:val="标题 7 字符"/>
    <w:basedOn w:val="a0"/>
    <w:link w:val="7"/>
    <w:rsid w:val="00333B79"/>
    <w:rPr>
      <w:rFonts w:ascii="宋体" w:hAnsi="Times New Roman"/>
      <w:b/>
      <w:sz w:val="24"/>
    </w:rPr>
  </w:style>
  <w:style w:type="character" w:customStyle="1" w:styleId="80">
    <w:name w:val="标题 8 字符"/>
    <w:basedOn w:val="a0"/>
    <w:link w:val="8"/>
    <w:rsid w:val="00333B79"/>
    <w:rPr>
      <w:rFonts w:ascii="Arial" w:eastAsia="黑体" w:hAnsi="Arial"/>
      <w:sz w:val="24"/>
    </w:rPr>
  </w:style>
  <w:style w:type="character" w:customStyle="1" w:styleId="90">
    <w:name w:val="标题 9 字符"/>
    <w:basedOn w:val="a0"/>
    <w:link w:val="9"/>
    <w:rsid w:val="00333B79"/>
    <w:rPr>
      <w:rFonts w:ascii="Arial" w:eastAsia="黑体"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49D93-6962-4C48-95FF-AE8D54E9B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16157</Words>
  <Characters>92097</Characters>
  <Application>Microsoft Office Word</Application>
  <DocSecurity>0</DocSecurity>
  <Lines>767</Lines>
  <Paragraphs>216</Paragraphs>
  <ScaleCrop>false</ScaleCrop>
  <Company>Microsoft</Company>
  <LinksUpToDate>false</LinksUpToDate>
  <CharactersWithSpaces>108038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4</cp:revision>
  <cp:lastPrinted>2013-02-18T03:10:00Z</cp:lastPrinted>
  <dcterms:created xsi:type="dcterms:W3CDTF">2021-03-25T07:22:00Z</dcterms:created>
  <dcterms:modified xsi:type="dcterms:W3CDTF">2021-03-26T07:33:00Z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