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BC560" w14:textId="77777777" w:rsidR="00593636" w:rsidRPr="00EB07BC" w:rsidRDefault="00593636">
      <w:pPr>
        <w:rPr>
          <w:sz w:val="32"/>
        </w:rPr>
      </w:pPr>
    </w:p>
    <w:p w14:paraId="1FDFBE0E" w14:textId="77777777" w:rsidR="00593636" w:rsidRPr="00EB07BC" w:rsidRDefault="00593636">
      <w:pPr>
        <w:rPr>
          <w:sz w:val="32"/>
        </w:rPr>
      </w:pPr>
    </w:p>
    <w:p w14:paraId="658AF22E" w14:textId="77777777" w:rsidR="00593636" w:rsidRPr="00EB07BC" w:rsidRDefault="00593636">
      <w:pPr>
        <w:rPr>
          <w:sz w:val="32"/>
        </w:rPr>
      </w:pPr>
    </w:p>
    <w:p w14:paraId="1E79B969" w14:textId="77777777" w:rsidR="00593636" w:rsidRPr="00EB07BC" w:rsidRDefault="00F80C67">
      <w:pPr>
        <w:jc w:val="center"/>
        <w:rPr>
          <w:sz w:val="32"/>
        </w:rPr>
      </w:pPr>
      <w:r>
        <w:rPr>
          <w:noProof/>
        </w:rPr>
        <w:drawing>
          <wp:inline distT="0" distB="0" distL="0" distR="0" wp14:anchorId="38D1B952" wp14:editId="60BF3F3A">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ECABDCC" w14:textId="77777777" w:rsidR="00A77DF8" w:rsidRDefault="00A77DF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2E00DFC" w14:textId="77777777" w:rsidR="00A77DF8" w:rsidRDefault="00A77DF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8852BF9" w14:textId="77777777" w:rsidR="00A77DF8" w:rsidRDefault="00E47C6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交银施罗德深证</w:t>
      </w:r>
      <w:r>
        <w:rPr>
          <w:rFonts w:ascii="Times New Roman" w:hAnsi="Times New Roman"/>
          <w:b/>
          <w:spacing w:val="2"/>
          <w:w w:val="99"/>
          <w:kern w:val="0"/>
          <w:position w:val="-4"/>
          <w:sz w:val="44"/>
          <w:szCs w:val="44"/>
        </w:rPr>
        <w:t>300</w:t>
      </w:r>
      <w:r>
        <w:rPr>
          <w:rFonts w:ascii="Times New Roman" w:hAnsi="Times New Roman"/>
          <w:b/>
          <w:spacing w:val="2"/>
          <w:w w:val="99"/>
          <w:kern w:val="0"/>
          <w:position w:val="-4"/>
          <w:sz w:val="44"/>
          <w:szCs w:val="44"/>
        </w:rPr>
        <w:t>价值交易型开放式指数证券投资基金联接基金</w:t>
      </w:r>
    </w:p>
    <w:p w14:paraId="57F4EED6" w14:textId="77777777" w:rsidR="00A77DF8" w:rsidRDefault="00E47C6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6A7B707D" w14:textId="719D82EF" w:rsidR="00A77DF8" w:rsidRDefault="00E47C67">
      <w:pPr>
        <w:snapToGrid w:val="0"/>
        <w:spacing w:line="360" w:lineRule="auto"/>
        <w:jc w:val="center"/>
        <w:rPr>
          <w:rFonts w:ascii="宋体" w:hAnsi="宋体"/>
          <w:b/>
          <w:sz w:val="30"/>
          <w:szCs w:val="30"/>
        </w:rPr>
      </w:pPr>
      <w:r>
        <w:rPr>
          <w:rFonts w:ascii="Times New Roman" w:hAnsi="Times New Roman"/>
          <w:b/>
          <w:color w:val="000000"/>
          <w:sz w:val="32"/>
          <w:szCs w:val="32"/>
        </w:rPr>
        <w:t>(202</w:t>
      </w:r>
      <w:r w:rsidR="000634B1">
        <w:rPr>
          <w:rFonts w:ascii="Times New Roman" w:hAnsi="Times New Roman"/>
          <w:b/>
          <w:color w:val="000000"/>
          <w:sz w:val="32"/>
          <w:szCs w:val="32"/>
        </w:rPr>
        <w:t>1</w:t>
      </w:r>
      <w:r>
        <w:rPr>
          <w:rFonts w:ascii="Times New Roman" w:hAnsi="Times New Roman"/>
          <w:b/>
          <w:color w:val="000000"/>
          <w:sz w:val="32"/>
          <w:szCs w:val="32"/>
        </w:rPr>
        <w:t>年第</w:t>
      </w:r>
      <w:r w:rsidR="000634B1">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1C976911"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7A67C1A"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F3E3DC"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7956D9"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D059A32"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F9686C"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D27E59B" w14:textId="77777777" w:rsidR="00A77DF8" w:rsidRDefault="00E47C6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EA03423" w14:textId="77777777" w:rsidR="00A77DF8" w:rsidRDefault="00E47C6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12FD11D6"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1A2009B" w14:textId="77777777" w:rsidR="00A77DF8" w:rsidRDefault="00A77DF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EFE0730" w14:textId="070E60CF" w:rsidR="00A77DF8" w:rsidRDefault="00E47C6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0634B1">
        <w:rPr>
          <w:rFonts w:ascii="Times New Roman" w:hAnsi="Times New Roman"/>
          <w:b/>
          <w:spacing w:val="2"/>
          <w:w w:val="99"/>
          <w:kern w:val="0"/>
          <w:sz w:val="28"/>
          <w:szCs w:val="32"/>
        </w:rPr>
        <w:t>一</w:t>
      </w:r>
      <w:r>
        <w:rPr>
          <w:rFonts w:ascii="Times New Roman" w:hAnsi="Times New Roman"/>
          <w:b/>
          <w:spacing w:val="2"/>
          <w:w w:val="99"/>
          <w:kern w:val="0"/>
          <w:sz w:val="28"/>
          <w:szCs w:val="32"/>
        </w:rPr>
        <w:t>年</w:t>
      </w:r>
      <w:r w:rsidR="000634B1">
        <w:rPr>
          <w:rFonts w:ascii="Times New Roman" w:hAnsi="Times New Roman"/>
          <w:b/>
          <w:spacing w:val="2"/>
          <w:w w:val="99"/>
          <w:kern w:val="0"/>
          <w:sz w:val="28"/>
          <w:szCs w:val="32"/>
        </w:rPr>
        <w:t>三</w:t>
      </w:r>
      <w:r>
        <w:rPr>
          <w:rFonts w:ascii="Times New Roman" w:hAnsi="Times New Roman"/>
          <w:b/>
          <w:spacing w:val="2"/>
          <w:w w:val="99"/>
          <w:kern w:val="0"/>
          <w:sz w:val="28"/>
          <w:szCs w:val="32"/>
        </w:rPr>
        <w:t>月</w:t>
      </w:r>
    </w:p>
    <w:p w14:paraId="42667DDA" w14:textId="77777777" w:rsidR="00A77DF8" w:rsidRDefault="00A77DF8">
      <w:pPr>
        <w:autoSpaceDE w:val="0"/>
        <w:autoSpaceDN w:val="0"/>
        <w:adjustRightInd w:val="0"/>
        <w:snapToGrid w:val="0"/>
        <w:spacing w:line="360" w:lineRule="auto"/>
        <w:ind w:left="1347" w:rightChars="6" w:right="13"/>
        <w:rPr>
          <w:rFonts w:ascii="宋体" w:hAnsi="宋体"/>
          <w:kern w:val="0"/>
          <w:sz w:val="32"/>
          <w:szCs w:val="32"/>
        </w:rPr>
        <w:sectPr w:rsidR="00A77DF8">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70F6DD9F" w14:textId="77777777" w:rsidR="00A77DF8" w:rsidRDefault="00E47C67">
      <w:pPr>
        <w:pStyle w:val="1"/>
        <w:snapToGrid w:val="0"/>
        <w:spacing w:beforeLines="0" w:before="240" w:after="240"/>
        <w:rPr>
          <w:rFonts w:ascii="宋体" w:hAnsi="宋体"/>
          <w:kern w:val="0"/>
        </w:rPr>
      </w:pPr>
      <w:bookmarkStart w:id="0" w:name="_Toc324920538"/>
      <w:bookmarkStart w:id="1" w:name="_Toc496884613"/>
      <w:bookmarkStart w:id="2" w:name="_Toc54104404"/>
      <w:r>
        <w:rPr>
          <w:rFonts w:ascii="Times New Roman" w:hAnsi="Times New Roman"/>
          <w:kern w:val="0"/>
        </w:rPr>
        <w:lastRenderedPageBreak/>
        <w:t>重要提示</w:t>
      </w:r>
      <w:bookmarkEnd w:id="0"/>
      <w:bookmarkEnd w:id="1"/>
      <w:bookmarkEnd w:id="2"/>
    </w:p>
    <w:p w14:paraId="49A11D43" w14:textId="77777777" w:rsidR="00A77DF8" w:rsidRDefault="00E47C6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交银施罗德深证</w:t>
      </w:r>
      <w:r>
        <w:rPr>
          <w:rFonts w:ascii="Times New Roman" w:hAnsi="Times New Roman"/>
          <w:kern w:val="0"/>
          <w:sz w:val="24"/>
        </w:rPr>
        <w:t>300</w:t>
      </w:r>
      <w:r>
        <w:rPr>
          <w:rFonts w:ascii="Times New Roman" w:hAnsi="Times New Roman"/>
          <w:kern w:val="0"/>
          <w:sz w:val="24"/>
        </w:rPr>
        <w:t>价值交易型开放式指数证券投资基金联接基金（以下简称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2011</w:t>
      </w:r>
      <w:r>
        <w:rPr>
          <w:rFonts w:ascii="Times New Roman" w:hAnsi="Times New Roman"/>
          <w:kern w:val="0"/>
          <w:sz w:val="24"/>
        </w:rPr>
        <w:t>】</w:t>
      </w:r>
      <w:r>
        <w:rPr>
          <w:rFonts w:ascii="Times New Roman" w:hAnsi="Times New Roman"/>
          <w:kern w:val="0"/>
          <w:sz w:val="24"/>
        </w:rPr>
        <w:t>967</w:t>
      </w:r>
      <w:r>
        <w:rPr>
          <w:rFonts w:ascii="Times New Roman" w:hAnsi="Times New Roman"/>
          <w:kern w:val="0"/>
          <w:sz w:val="24"/>
        </w:rPr>
        <w:t>号文核准募集。本基金基金合同于</w:t>
      </w: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日正式生效。</w:t>
      </w:r>
    </w:p>
    <w:p w14:paraId="44EC80F6" w14:textId="77777777" w:rsidR="00A77DF8" w:rsidRDefault="00E47C6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401C2D3E" w14:textId="77777777" w:rsidR="00A77DF8" w:rsidRDefault="00E47C6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4006F21" w14:textId="77777777" w:rsidR="00A77DF8" w:rsidRDefault="00E47C67">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为</w:t>
      </w:r>
      <w:r>
        <w:rPr>
          <w:rFonts w:ascii="Times New Roman" w:hAnsi="Times New Roman"/>
          <w:kern w:val="0"/>
          <w:sz w:val="24"/>
        </w:rPr>
        <w:t>ETF</w:t>
      </w:r>
      <w:r>
        <w:rPr>
          <w:rFonts w:ascii="Times New Roman" w:hAnsi="Times New Roman"/>
          <w:kern w:val="0"/>
          <w:sz w:val="24"/>
        </w:rPr>
        <w:t>联接基金，紧密跟踪标的指数，具有和标的指数所代表的股票市场相似的风险收益特征，风险与收益高于混合基金、债券基金与货币市场基金，属于证券投资基金中风险较高、预期收益较高的品种。</w:t>
      </w:r>
    </w:p>
    <w:p w14:paraId="370A7B56" w14:textId="77777777" w:rsidR="0096769B" w:rsidRPr="003A4A71" w:rsidRDefault="0096769B" w:rsidP="0096769B">
      <w:pPr>
        <w:widowControl/>
        <w:adjustRightInd w:val="0"/>
        <w:snapToGrid w:val="0"/>
        <w:spacing w:line="360" w:lineRule="auto"/>
        <w:ind w:firstLineChars="200" w:firstLine="480"/>
        <w:rPr>
          <w:rFonts w:ascii="Times New Roman" w:hAnsi="Times New Roman"/>
          <w:bCs/>
          <w:sz w:val="24"/>
          <w:szCs w:val="18"/>
        </w:rPr>
      </w:pPr>
      <w:r w:rsidRPr="003A4A71">
        <w:rPr>
          <w:rFonts w:ascii="Times New Roman" w:hAnsi="Times New Roman" w:hint="eastAsia"/>
          <w:bCs/>
          <w:sz w:val="24"/>
          <w:szCs w:val="18"/>
        </w:rPr>
        <w:t>本基金主要投资于目标</w:t>
      </w:r>
      <w:r w:rsidRPr="003A4A71">
        <w:rPr>
          <w:rFonts w:ascii="Times New Roman" w:hAnsi="Times New Roman" w:hint="eastAsia"/>
          <w:bCs/>
          <w:sz w:val="24"/>
          <w:szCs w:val="18"/>
        </w:rPr>
        <w:t>E</w:t>
      </w:r>
      <w:r w:rsidRPr="003A4A71">
        <w:rPr>
          <w:rFonts w:ascii="Times New Roman" w:hAnsi="Times New Roman"/>
          <w:bCs/>
          <w:sz w:val="24"/>
          <w:szCs w:val="18"/>
        </w:rPr>
        <w:t>TF</w:t>
      </w:r>
      <w:r w:rsidRPr="003A4A71">
        <w:rPr>
          <w:rFonts w:ascii="Times New Roman" w:hAnsi="Times New Roman" w:hint="eastAsia"/>
          <w:bCs/>
          <w:sz w:val="24"/>
          <w:szCs w:val="18"/>
        </w:rPr>
        <w:t>，投资者投资于本基金面临跟踪误差控制未达约定目标、指数编制机构停止服务、成份券停牌等潜在风险。</w:t>
      </w:r>
    </w:p>
    <w:p w14:paraId="1E5B190B" w14:textId="47C7543E"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本基金标的指数为</w:t>
      </w:r>
      <w:r w:rsidRPr="0096769B">
        <w:rPr>
          <w:rFonts w:ascii="宋体" w:hAnsi="宋体"/>
          <w:kern w:val="0"/>
          <w:sz w:val="24"/>
        </w:rPr>
        <w:t>深证300价值</w:t>
      </w:r>
      <w:r w:rsidR="00C02D5A">
        <w:rPr>
          <w:rFonts w:ascii="宋体" w:hAnsi="宋体" w:hint="eastAsia"/>
          <w:kern w:val="0"/>
          <w:sz w:val="24"/>
        </w:rPr>
        <w:t>价格</w:t>
      </w:r>
      <w:r w:rsidRPr="0096769B">
        <w:rPr>
          <w:rFonts w:ascii="宋体" w:hAnsi="宋体" w:hint="eastAsia"/>
          <w:kern w:val="0"/>
          <w:sz w:val="24"/>
        </w:rPr>
        <w:t>指数</w:t>
      </w:r>
      <w:r w:rsidRPr="0096769B">
        <w:rPr>
          <w:rFonts w:ascii="宋体" w:hAnsi="宋体"/>
          <w:bCs/>
          <w:kern w:val="0"/>
          <w:sz w:val="24"/>
        </w:rPr>
        <w:t>。</w:t>
      </w:r>
    </w:p>
    <w:p w14:paraId="27DC6F13"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1、选样空间</w:t>
      </w:r>
    </w:p>
    <w:p w14:paraId="4E9DE898"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深证300指数样本股。</w:t>
      </w:r>
    </w:p>
    <w:p w14:paraId="1AF0EE01"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2、选样方法</w:t>
      </w:r>
    </w:p>
    <w:p w14:paraId="27E76D96" w14:textId="11031958"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bCs/>
          <w:kern w:val="0"/>
          <w:sz w:val="24"/>
        </w:rPr>
        <w:t>1</w:t>
      </w:r>
      <w:r w:rsidRPr="0096769B">
        <w:rPr>
          <w:rFonts w:ascii="宋体" w:hAnsi="宋体" w:hint="eastAsia"/>
          <w:bCs/>
          <w:kern w:val="0"/>
          <w:sz w:val="24"/>
        </w:rPr>
        <w:t>）计算价值因子的变量数值</w:t>
      </w:r>
    </w:p>
    <w:p w14:paraId="539F2372" w14:textId="62B0DCA6"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p>
    <w:p w14:paraId="1B1FBB76" w14:textId="360DBDF9"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 xml:space="preserve">价值因子有四个变量：每股收益与价格比率、每股经营现金流与价格比率、股息收益率、每股净资产与价格比率。 </w:t>
      </w:r>
    </w:p>
    <w:p w14:paraId="2B6758B0"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2）计算风格Z值</w:t>
      </w:r>
    </w:p>
    <w:p w14:paraId="36C221F8" w14:textId="4A3D5D3F"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计算出每只股票的变量值之后，在样本空间内对所有变量值进行标准化z分处理。</w:t>
      </w:r>
    </w:p>
    <w:p w14:paraId="509DEC40"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为确保用于标准化处理的市场均值不会因为极值而受到太大影响，计算增长率变量时，先对样本空间内所有股票的数值按照升序排列。对于处在下端10%或者上端90%等级的数值，分别设定为第10%等级与90%等级的数值。</w:t>
      </w:r>
    </w:p>
    <w:p w14:paraId="557D4630" w14:textId="34CD6BEC"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一个公司股票的价值Z值是四个价值因子变量Z值的均值。</w:t>
      </w:r>
    </w:p>
    <w:p w14:paraId="41FA91B4"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bCs/>
          <w:kern w:val="0"/>
          <w:sz w:val="24"/>
        </w:rPr>
        <w:t>3</w:t>
      </w:r>
      <w:r w:rsidRPr="0096769B">
        <w:rPr>
          <w:rFonts w:ascii="宋体" w:hAnsi="宋体" w:hint="eastAsia"/>
          <w:bCs/>
          <w:kern w:val="0"/>
          <w:sz w:val="24"/>
        </w:rPr>
        <w:t>）</w:t>
      </w:r>
      <w:r w:rsidRPr="0096769B">
        <w:rPr>
          <w:rFonts w:ascii="宋体" w:hAnsi="宋体"/>
          <w:bCs/>
          <w:kern w:val="0"/>
          <w:sz w:val="24"/>
        </w:rPr>
        <w:t>指数选样</w:t>
      </w:r>
    </w:p>
    <w:p w14:paraId="44B4804E"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在深证300中选取价值Z值最高的100只股票作为深证300价值指数初始样本股。</w:t>
      </w:r>
    </w:p>
    <w:p w14:paraId="5BAB08FA"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3、指数计算</w:t>
      </w:r>
    </w:p>
    <w:p w14:paraId="4B843417"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指数采用派氏加权法，依据下列公式逐日连锁实时计算：</w:t>
      </w:r>
    </w:p>
    <w:p w14:paraId="29CF24F5"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noProof/>
          <w:kern w:val="0"/>
          <w:sz w:val="24"/>
        </w:rPr>
        <w:drawing>
          <wp:inline distT="0" distB="0" distL="0" distR="0" wp14:anchorId="72224288" wp14:editId="4BCA7573">
            <wp:extent cx="4668475" cy="5410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0599" cy="552855"/>
                    </a:xfrm>
                    <a:prstGeom prst="rect">
                      <a:avLst/>
                    </a:prstGeom>
                  </pic:spPr>
                </pic:pic>
              </a:graphicData>
            </a:graphic>
          </wp:inline>
        </w:drawing>
      </w:r>
    </w:p>
    <w:p w14:paraId="0AC9933D" w14:textId="77777777" w:rsidR="0096769B" w:rsidRPr="0096769B" w:rsidRDefault="0096769B" w:rsidP="0096769B">
      <w:pPr>
        <w:autoSpaceDE w:val="0"/>
        <w:autoSpaceDN w:val="0"/>
        <w:adjustRightInd w:val="0"/>
        <w:snapToGrid w:val="0"/>
        <w:spacing w:line="360" w:lineRule="auto"/>
        <w:ind w:leftChars="50" w:left="105" w:firstLineChars="200" w:firstLine="480"/>
        <w:rPr>
          <w:rFonts w:ascii="宋体" w:hAnsi="宋体"/>
          <w:bCs/>
          <w:kern w:val="0"/>
          <w:sz w:val="24"/>
        </w:rPr>
      </w:pPr>
      <w:r w:rsidRPr="0096769B">
        <w:rPr>
          <w:rFonts w:ascii="宋体" w:hAnsi="宋体" w:hint="eastAsia"/>
          <w:bCs/>
          <w:kern w:val="0"/>
          <w:sz w:val="24"/>
        </w:rPr>
        <w:t>有关标的指数具体编制方案及成份股信息详见深圳证券信息有限公司国证指数网网站，网址：</w:t>
      </w:r>
      <w:r w:rsidRPr="0096769B">
        <w:rPr>
          <w:rFonts w:ascii="宋体" w:hAnsi="宋体"/>
          <w:bCs/>
          <w:kern w:val="0"/>
          <w:sz w:val="24"/>
        </w:rPr>
        <w:t>www.cnindex.com.cn</w:t>
      </w:r>
      <w:r w:rsidRPr="0096769B">
        <w:rPr>
          <w:rFonts w:ascii="宋体" w:hAnsi="宋体" w:hint="eastAsia"/>
          <w:bCs/>
          <w:kern w:val="0"/>
          <w:sz w:val="24"/>
        </w:rPr>
        <w:t>。</w:t>
      </w:r>
    </w:p>
    <w:p w14:paraId="6FB40307" w14:textId="77777777" w:rsidR="00593636" w:rsidRPr="00593636" w:rsidRDefault="00593636" w:rsidP="00593636">
      <w:pPr>
        <w:autoSpaceDE w:val="0"/>
        <w:autoSpaceDN w:val="0"/>
        <w:adjustRightInd w:val="0"/>
        <w:snapToGrid w:val="0"/>
        <w:spacing w:line="360" w:lineRule="auto"/>
        <w:ind w:leftChars="50" w:left="105" w:firstLineChars="200" w:firstLine="480"/>
        <w:rPr>
          <w:rFonts w:ascii="宋体" w:hAnsi="宋体"/>
          <w:kern w:val="0"/>
          <w:sz w:val="24"/>
        </w:rPr>
      </w:pPr>
      <w:r w:rsidRPr="00593636">
        <w:rPr>
          <w:rFonts w:ascii="宋体"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67E50CAA" w14:textId="77777777" w:rsidR="00593636" w:rsidRPr="00593636" w:rsidRDefault="00593636" w:rsidP="00593636">
      <w:pPr>
        <w:autoSpaceDE w:val="0"/>
        <w:autoSpaceDN w:val="0"/>
        <w:adjustRightInd w:val="0"/>
        <w:snapToGrid w:val="0"/>
        <w:spacing w:line="360" w:lineRule="auto"/>
        <w:ind w:leftChars="50" w:left="105" w:firstLineChars="200" w:firstLine="480"/>
        <w:rPr>
          <w:rFonts w:ascii="宋体" w:hAnsi="宋体"/>
          <w:kern w:val="0"/>
          <w:sz w:val="24"/>
        </w:rPr>
      </w:pPr>
      <w:r w:rsidRPr="00593636">
        <w:rPr>
          <w:rFonts w:ascii="宋体" w:hAnsi="宋体" w:hint="eastAsia"/>
          <w:kern w:val="0"/>
          <w:sz w:val="24"/>
        </w:rPr>
        <w:t>本基金可根据投资策略需要或市场环境的变化，选择将部分基金资产投资于存托凭证或选择不将基金资产投资于存托凭证，基金资产并非必然投资存托凭证。</w:t>
      </w:r>
    </w:p>
    <w:p w14:paraId="5923CFF7" w14:textId="77777777" w:rsidR="00A77DF8" w:rsidRDefault="00E47C6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14:paraId="4DEE1A62" w14:textId="45F7CF47" w:rsidR="00A77DF8" w:rsidRDefault="00593636">
      <w:pPr>
        <w:autoSpaceDE w:val="0"/>
        <w:autoSpaceDN w:val="0"/>
        <w:adjustRightInd w:val="0"/>
        <w:snapToGrid w:val="0"/>
        <w:spacing w:line="360" w:lineRule="auto"/>
        <w:ind w:leftChars="50" w:left="105" w:firstLineChars="200" w:firstLine="480"/>
        <w:rPr>
          <w:rFonts w:ascii="宋体" w:hAnsi="宋体"/>
          <w:kern w:val="0"/>
          <w:sz w:val="24"/>
        </w:rPr>
      </w:pPr>
      <w:r w:rsidRPr="00593636">
        <w:rPr>
          <w:rFonts w:ascii="Times New Roman" w:hAnsi="Times New Roman" w:hint="eastAsia"/>
          <w:kern w:val="0"/>
          <w:sz w:val="24"/>
        </w:rPr>
        <w:t>本基金本次更新招募说明书对基金合同变更的相关信息进行更新，基金合同变更相关信息截止日为</w:t>
      </w:r>
      <w:r w:rsidR="009D784F">
        <w:rPr>
          <w:rFonts w:ascii="Times New Roman" w:hAnsi="Times New Roman"/>
          <w:kern w:val="0"/>
          <w:sz w:val="24"/>
        </w:rPr>
        <w:t>2021</w:t>
      </w:r>
      <w:r w:rsidR="009D784F">
        <w:rPr>
          <w:rFonts w:ascii="Times New Roman" w:hAnsi="Times New Roman" w:hint="eastAsia"/>
          <w:kern w:val="0"/>
          <w:sz w:val="24"/>
        </w:rPr>
        <w:t>年</w:t>
      </w:r>
      <w:r w:rsidR="009D784F">
        <w:rPr>
          <w:rFonts w:ascii="Times New Roman" w:hAnsi="Times New Roman"/>
          <w:kern w:val="0"/>
          <w:sz w:val="24"/>
        </w:rPr>
        <w:t>03</w:t>
      </w:r>
      <w:r w:rsidR="009D784F">
        <w:rPr>
          <w:rFonts w:ascii="Times New Roman" w:hAnsi="Times New Roman" w:hint="eastAsia"/>
          <w:kern w:val="0"/>
          <w:sz w:val="24"/>
        </w:rPr>
        <w:t>月</w:t>
      </w:r>
      <w:r w:rsidR="009D784F">
        <w:rPr>
          <w:rFonts w:ascii="Times New Roman" w:hAnsi="Times New Roman"/>
          <w:kern w:val="0"/>
          <w:sz w:val="24"/>
        </w:rPr>
        <w:t>31</w:t>
      </w:r>
      <w:r w:rsidR="009D784F">
        <w:rPr>
          <w:rFonts w:ascii="Times New Roman" w:hAnsi="Times New Roman" w:hint="eastAsia"/>
          <w:kern w:val="0"/>
          <w:sz w:val="24"/>
        </w:rPr>
        <w:t>日</w:t>
      </w:r>
      <w:r w:rsidRPr="00593636">
        <w:rPr>
          <w:rFonts w:ascii="Times New Roman" w:hAnsi="Times New Roman" w:hint="eastAsia"/>
          <w:kern w:val="0"/>
          <w:sz w:val="24"/>
        </w:rPr>
        <w:t>。</w:t>
      </w:r>
      <w:r w:rsidR="00E47C67">
        <w:rPr>
          <w:rFonts w:ascii="Times New Roman" w:hAnsi="Times New Roman"/>
          <w:kern w:val="0"/>
          <w:sz w:val="24"/>
        </w:rPr>
        <w:t>本招募说明书所载</w:t>
      </w:r>
      <w:r>
        <w:rPr>
          <w:rFonts w:ascii="Times New Roman" w:hAnsi="Times New Roman" w:hint="eastAsia"/>
          <w:kern w:val="0"/>
          <w:sz w:val="24"/>
        </w:rPr>
        <w:t>其他</w:t>
      </w:r>
      <w:r w:rsidR="00E47C67">
        <w:rPr>
          <w:rFonts w:ascii="Times New Roman" w:hAnsi="Times New Roman"/>
          <w:kern w:val="0"/>
          <w:sz w:val="24"/>
        </w:rPr>
        <w:t>内容截止日为</w:t>
      </w:r>
      <w:r w:rsidR="00E47C67">
        <w:rPr>
          <w:rFonts w:ascii="Times New Roman" w:hAnsi="Times New Roman"/>
          <w:kern w:val="0"/>
          <w:sz w:val="24"/>
        </w:rPr>
        <w:t>2020</w:t>
      </w:r>
      <w:r w:rsidR="00E47C67">
        <w:rPr>
          <w:rFonts w:ascii="Times New Roman" w:hAnsi="Times New Roman"/>
          <w:kern w:val="0"/>
          <w:sz w:val="24"/>
        </w:rPr>
        <w:t>年</w:t>
      </w:r>
      <w:r w:rsidR="00E47C67">
        <w:rPr>
          <w:rFonts w:ascii="Times New Roman" w:hAnsi="Times New Roman"/>
          <w:kern w:val="0"/>
          <w:sz w:val="24"/>
        </w:rPr>
        <w:t>09</w:t>
      </w:r>
      <w:r w:rsidR="00E47C67">
        <w:rPr>
          <w:rFonts w:ascii="Times New Roman" w:hAnsi="Times New Roman"/>
          <w:kern w:val="0"/>
          <w:sz w:val="24"/>
        </w:rPr>
        <w:t>月</w:t>
      </w:r>
      <w:r w:rsidR="00E47C67">
        <w:rPr>
          <w:rFonts w:ascii="Times New Roman" w:hAnsi="Times New Roman"/>
          <w:kern w:val="0"/>
          <w:sz w:val="24"/>
        </w:rPr>
        <w:t>10</w:t>
      </w:r>
      <w:r w:rsidR="00E47C67">
        <w:rPr>
          <w:rFonts w:ascii="Times New Roman" w:hAnsi="Times New Roman"/>
          <w:kern w:val="0"/>
          <w:sz w:val="24"/>
        </w:rPr>
        <w:t>日，有关财务数据和净值表现截止日为</w:t>
      </w:r>
      <w:r w:rsidR="00E47C67">
        <w:rPr>
          <w:rFonts w:ascii="Times New Roman" w:hAnsi="Times New Roman"/>
          <w:kern w:val="0"/>
          <w:sz w:val="24"/>
        </w:rPr>
        <w:t>2020</w:t>
      </w:r>
      <w:r w:rsidR="00E47C67">
        <w:rPr>
          <w:rFonts w:ascii="Times New Roman" w:hAnsi="Times New Roman"/>
          <w:kern w:val="0"/>
          <w:sz w:val="24"/>
        </w:rPr>
        <w:t>年</w:t>
      </w:r>
      <w:r w:rsidR="00E47C67">
        <w:rPr>
          <w:rFonts w:ascii="Times New Roman" w:hAnsi="Times New Roman"/>
          <w:kern w:val="0"/>
          <w:sz w:val="24"/>
        </w:rPr>
        <w:t>06</w:t>
      </w:r>
      <w:r w:rsidR="00E47C67">
        <w:rPr>
          <w:rFonts w:ascii="Times New Roman" w:hAnsi="Times New Roman"/>
          <w:kern w:val="0"/>
          <w:sz w:val="24"/>
        </w:rPr>
        <w:t>月</w:t>
      </w:r>
      <w:r w:rsidR="00E47C67">
        <w:rPr>
          <w:rFonts w:ascii="Times New Roman" w:hAnsi="Times New Roman"/>
          <w:kern w:val="0"/>
          <w:sz w:val="24"/>
        </w:rPr>
        <w:t>30</w:t>
      </w:r>
      <w:r w:rsidR="00E47C67">
        <w:rPr>
          <w:rFonts w:ascii="Times New Roman" w:hAnsi="Times New Roman"/>
          <w:kern w:val="0"/>
          <w:sz w:val="24"/>
        </w:rPr>
        <w:t>日。本招募说</w:t>
      </w:r>
      <w:r w:rsidR="00E47C67">
        <w:rPr>
          <w:rFonts w:ascii="Times New Roman" w:hAnsi="Times New Roman"/>
          <w:kern w:val="0"/>
          <w:sz w:val="24"/>
        </w:rPr>
        <w:lastRenderedPageBreak/>
        <w:t>明书所载的财务数据未经审计。</w:t>
      </w:r>
    </w:p>
    <w:p w14:paraId="427711C5" w14:textId="77777777" w:rsidR="00A77DF8" w:rsidRDefault="00A77DF8">
      <w:pPr>
        <w:autoSpaceDE w:val="0"/>
        <w:autoSpaceDN w:val="0"/>
        <w:adjustRightInd w:val="0"/>
        <w:snapToGrid w:val="0"/>
        <w:spacing w:before="51" w:line="360" w:lineRule="auto"/>
        <w:ind w:left="120" w:rightChars="6" w:right="13" w:firstLine="480"/>
        <w:rPr>
          <w:rFonts w:ascii="宋体" w:hAnsi="宋体"/>
          <w:kern w:val="0"/>
          <w:szCs w:val="24"/>
        </w:rPr>
        <w:sectPr w:rsidR="00A77DF8">
          <w:headerReference w:type="default" r:id="rId13"/>
          <w:pgSz w:w="11920" w:h="16840"/>
          <w:pgMar w:top="1440" w:right="1680" w:bottom="280" w:left="1680" w:header="0" w:footer="1073" w:gutter="0"/>
          <w:pgNumType w:start="1"/>
          <w:cols w:space="720"/>
        </w:sectPr>
      </w:pPr>
    </w:p>
    <w:p w14:paraId="6CF1892E" w14:textId="77777777" w:rsidR="00712EA0" w:rsidRPr="00712EA0" w:rsidRDefault="00E47C67" w:rsidP="00712EA0">
      <w:pPr>
        <w:pStyle w:val="af3"/>
        <w:snapToGrid w:val="0"/>
        <w:spacing w:after="240" w:line="360" w:lineRule="auto"/>
        <w:jc w:val="center"/>
        <w:rPr>
          <w:rFonts w:ascii="宋体" w:hAnsi="宋体"/>
          <w:noProof/>
          <w:sz w:val="24"/>
        </w:rPr>
      </w:pPr>
      <w:r w:rsidRPr="00712EA0">
        <w:rPr>
          <w:rFonts w:ascii="宋体" w:hAnsi="宋体"/>
          <w:color w:val="000000"/>
          <w:position w:val="-4"/>
          <w:sz w:val="24"/>
          <w:szCs w:val="30"/>
        </w:rPr>
        <w:lastRenderedPageBreak/>
        <w:t>目</w:t>
      </w:r>
      <w:r w:rsidRPr="00712EA0">
        <w:rPr>
          <w:rFonts w:ascii="宋体" w:hAnsi="宋体"/>
          <w:color w:val="000000"/>
          <w:position w:val="-4"/>
          <w:sz w:val="24"/>
          <w:szCs w:val="30"/>
        </w:rPr>
        <w:tab/>
        <w:t>录</w:t>
      </w:r>
      <w:r w:rsidR="00712EA0" w:rsidRPr="00712EA0">
        <w:rPr>
          <w:rFonts w:ascii="宋体" w:hAnsi="宋体"/>
          <w:color w:val="000000"/>
          <w:position w:val="-4"/>
          <w:sz w:val="24"/>
          <w:szCs w:val="30"/>
        </w:rPr>
        <w:fldChar w:fldCharType="begin"/>
      </w:r>
      <w:r w:rsidR="00712EA0" w:rsidRPr="00712EA0">
        <w:rPr>
          <w:rFonts w:ascii="宋体" w:hAnsi="宋体"/>
          <w:color w:val="000000"/>
          <w:position w:val="-4"/>
          <w:sz w:val="24"/>
          <w:szCs w:val="30"/>
        </w:rPr>
        <w:instrText xml:space="preserve"> TOC \o "1-3" \f - \h \t "-1" </w:instrText>
      </w:r>
      <w:r w:rsidR="00712EA0" w:rsidRPr="00712EA0">
        <w:rPr>
          <w:rFonts w:ascii="宋体" w:hAnsi="宋体"/>
          <w:color w:val="000000"/>
          <w:position w:val="-4"/>
          <w:sz w:val="24"/>
          <w:szCs w:val="30"/>
        </w:rPr>
        <w:fldChar w:fldCharType="separate"/>
      </w:r>
    </w:p>
    <w:p w14:paraId="0928A905"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04" w:history="1">
        <w:r w:rsidR="00712EA0" w:rsidRPr="00712EA0">
          <w:rPr>
            <w:rStyle w:val="af0"/>
            <w:rFonts w:ascii="宋体" w:hAnsi="宋体" w:hint="eastAsia"/>
            <w:noProof/>
            <w:kern w:val="0"/>
            <w:sz w:val="24"/>
          </w:rPr>
          <w:t>重要提示</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_Toc54104404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w:t>
        </w:r>
        <w:r w:rsidR="00712EA0" w:rsidRPr="00712EA0">
          <w:rPr>
            <w:rFonts w:ascii="宋体" w:hAnsi="宋体"/>
            <w:noProof/>
            <w:sz w:val="24"/>
          </w:rPr>
          <w:fldChar w:fldCharType="end"/>
        </w:r>
      </w:hyperlink>
    </w:p>
    <w:p w14:paraId="77E8C94E"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05" w:history="1">
        <w:r w:rsidR="00712EA0" w:rsidRPr="00712EA0">
          <w:rPr>
            <w:rStyle w:val="af0"/>
            <w:rFonts w:ascii="宋体" w:hAnsi="宋体" w:hint="eastAsia"/>
            <w:noProof/>
            <w:sz w:val="24"/>
          </w:rPr>
          <w:t>一、绪言</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_Toc54104405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5</w:t>
        </w:r>
        <w:r w:rsidR="00712EA0" w:rsidRPr="00712EA0">
          <w:rPr>
            <w:rFonts w:ascii="宋体" w:hAnsi="宋体"/>
            <w:noProof/>
            <w:sz w:val="24"/>
          </w:rPr>
          <w:fldChar w:fldCharType="end"/>
        </w:r>
      </w:hyperlink>
    </w:p>
    <w:p w14:paraId="387FA0C9"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06" w:history="1">
        <w:r w:rsidR="00712EA0" w:rsidRPr="00712EA0">
          <w:rPr>
            <w:rStyle w:val="af0"/>
            <w:rFonts w:ascii="宋体" w:hAnsi="宋体" w:hint="eastAsia"/>
            <w:noProof/>
            <w:sz w:val="24"/>
          </w:rPr>
          <w:t>二、释义</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_Toc54104406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6</w:t>
        </w:r>
        <w:r w:rsidR="00712EA0" w:rsidRPr="00712EA0">
          <w:rPr>
            <w:rFonts w:ascii="宋体" w:hAnsi="宋体"/>
            <w:noProof/>
            <w:sz w:val="24"/>
          </w:rPr>
          <w:fldChar w:fldCharType="end"/>
        </w:r>
      </w:hyperlink>
    </w:p>
    <w:p w14:paraId="134804C8"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07" w:history="1">
        <w:r w:rsidR="00712EA0" w:rsidRPr="00712EA0">
          <w:rPr>
            <w:rStyle w:val="af0"/>
            <w:rFonts w:ascii="宋体" w:hAnsi="宋体" w:hint="eastAsia"/>
            <w:noProof/>
            <w:sz w:val="24"/>
          </w:rPr>
          <w:t>三、基金管理人</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_Toc54104407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11</w:t>
        </w:r>
        <w:r w:rsidR="00712EA0" w:rsidRPr="00712EA0">
          <w:rPr>
            <w:rFonts w:ascii="宋体" w:hAnsi="宋体"/>
            <w:noProof/>
            <w:sz w:val="24"/>
          </w:rPr>
          <w:fldChar w:fldCharType="end"/>
        </w:r>
      </w:hyperlink>
    </w:p>
    <w:p w14:paraId="4CEC2441"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08" w:history="1">
        <w:r w:rsidR="00712EA0" w:rsidRPr="00712EA0">
          <w:rPr>
            <w:rStyle w:val="af0"/>
            <w:rFonts w:ascii="宋体" w:hAnsi="宋体" w:hint="eastAsia"/>
            <w:noProof/>
            <w:sz w:val="24"/>
          </w:rPr>
          <w:t>四、基金托管人</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_Toc54104408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19</w:t>
        </w:r>
        <w:r w:rsidR="00712EA0" w:rsidRPr="00712EA0">
          <w:rPr>
            <w:rFonts w:ascii="宋体" w:hAnsi="宋体"/>
            <w:noProof/>
            <w:sz w:val="24"/>
          </w:rPr>
          <w:fldChar w:fldCharType="end"/>
        </w:r>
      </w:hyperlink>
    </w:p>
    <w:p w14:paraId="1A37A2EA"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09" w:history="1">
        <w:r w:rsidR="00712EA0" w:rsidRPr="00712EA0">
          <w:rPr>
            <w:rStyle w:val="af0"/>
            <w:rFonts w:ascii="宋体" w:hAnsi="宋体" w:hint="eastAsia"/>
            <w:noProof/>
            <w:sz w:val="24"/>
          </w:rPr>
          <w:t>五、相关服务机构</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_Toc54104409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22</w:t>
        </w:r>
        <w:r w:rsidR="00712EA0" w:rsidRPr="00712EA0">
          <w:rPr>
            <w:rFonts w:ascii="宋体" w:hAnsi="宋体"/>
            <w:noProof/>
            <w:sz w:val="24"/>
          </w:rPr>
          <w:fldChar w:fldCharType="end"/>
        </w:r>
      </w:hyperlink>
    </w:p>
    <w:p w14:paraId="6371A18E"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0" w:history="1">
        <w:r w:rsidR="00712EA0" w:rsidRPr="00712EA0">
          <w:rPr>
            <w:rStyle w:val="af0"/>
            <w:rFonts w:ascii="宋体" w:hAnsi="宋体" w:hint="eastAsia"/>
            <w:noProof/>
            <w:sz w:val="24"/>
          </w:rPr>
          <w:t>六、基金的募集</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_Toc54104410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44</w:t>
        </w:r>
        <w:r w:rsidR="00712EA0" w:rsidRPr="00712EA0">
          <w:rPr>
            <w:rFonts w:ascii="宋体" w:hAnsi="宋体"/>
            <w:noProof/>
            <w:sz w:val="24"/>
          </w:rPr>
          <w:fldChar w:fldCharType="end"/>
        </w:r>
      </w:hyperlink>
    </w:p>
    <w:p w14:paraId="194FA76B"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1" w:history="1">
        <w:r w:rsidR="00712EA0" w:rsidRPr="00712EA0">
          <w:rPr>
            <w:rStyle w:val="af0"/>
            <w:rFonts w:ascii="宋体" w:hAnsi="宋体" w:hint="eastAsia"/>
            <w:noProof/>
            <w:sz w:val="24"/>
          </w:rPr>
          <w:t>七、基金合同的生效</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_Toc54104411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46</w:t>
        </w:r>
        <w:r w:rsidR="00712EA0" w:rsidRPr="00712EA0">
          <w:rPr>
            <w:rFonts w:ascii="宋体" w:hAnsi="宋体"/>
            <w:noProof/>
            <w:sz w:val="24"/>
          </w:rPr>
          <w:fldChar w:fldCharType="end"/>
        </w:r>
      </w:hyperlink>
    </w:p>
    <w:p w14:paraId="1FD67DC1"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2" w:history="1">
        <w:r w:rsidR="00712EA0" w:rsidRPr="00712EA0">
          <w:rPr>
            <w:rStyle w:val="af0"/>
            <w:rFonts w:ascii="宋体" w:hAnsi="宋体" w:hint="eastAsia"/>
            <w:noProof/>
            <w:sz w:val="24"/>
          </w:rPr>
          <w:t>八、基金份额的申购与赎回</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_Toc54104412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47</w:t>
        </w:r>
        <w:r w:rsidR="00712EA0" w:rsidRPr="00712EA0">
          <w:rPr>
            <w:rFonts w:ascii="宋体" w:hAnsi="宋体"/>
            <w:noProof/>
            <w:sz w:val="24"/>
          </w:rPr>
          <w:fldChar w:fldCharType="end"/>
        </w:r>
      </w:hyperlink>
    </w:p>
    <w:p w14:paraId="02A30C57"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3" w:history="1">
        <w:r w:rsidR="00712EA0" w:rsidRPr="00712EA0">
          <w:rPr>
            <w:rStyle w:val="af0"/>
            <w:rFonts w:ascii="宋体" w:hAnsi="宋体" w:hint="eastAsia"/>
            <w:noProof/>
            <w:sz w:val="24"/>
          </w:rPr>
          <w:t>九、基金的转换</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_Toc54104413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61</w:t>
        </w:r>
        <w:r w:rsidR="00712EA0" w:rsidRPr="00712EA0">
          <w:rPr>
            <w:rFonts w:ascii="宋体" w:hAnsi="宋体"/>
            <w:noProof/>
            <w:sz w:val="24"/>
          </w:rPr>
          <w:fldChar w:fldCharType="end"/>
        </w:r>
      </w:hyperlink>
    </w:p>
    <w:p w14:paraId="441D1410"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4" w:history="1">
        <w:r w:rsidR="00712EA0" w:rsidRPr="00712EA0">
          <w:rPr>
            <w:rStyle w:val="af0"/>
            <w:rFonts w:ascii="宋体" w:hAnsi="宋体" w:hint="eastAsia"/>
            <w:noProof/>
            <w:sz w:val="24"/>
          </w:rPr>
          <w:t>十、基金的投资</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_Toc54104414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68</w:t>
        </w:r>
        <w:r w:rsidR="00712EA0" w:rsidRPr="00712EA0">
          <w:rPr>
            <w:rFonts w:ascii="宋体" w:hAnsi="宋体"/>
            <w:noProof/>
            <w:sz w:val="24"/>
          </w:rPr>
          <w:fldChar w:fldCharType="end"/>
        </w:r>
      </w:hyperlink>
    </w:p>
    <w:p w14:paraId="2A9774F8"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5" w:history="1">
        <w:r w:rsidR="00712EA0" w:rsidRPr="00712EA0">
          <w:rPr>
            <w:rStyle w:val="af0"/>
            <w:rFonts w:ascii="宋体" w:hAnsi="宋体" w:hint="eastAsia"/>
            <w:noProof/>
            <w:sz w:val="24"/>
          </w:rPr>
          <w:t>十一、基金的业绩</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_Toc54104415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78</w:t>
        </w:r>
        <w:r w:rsidR="00712EA0" w:rsidRPr="00712EA0">
          <w:rPr>
            <w:rFonts w:ascii="宋体" w:hAnsi="宋体"/>
            <w:noProof/>
            <w:sz w:val="24"/>
          </w:rPr>
          <w:fldChar w:fldCharType="end"/>
        </w:r>
      </w:hyperlink>
    </w:p>
    <w:p w14:paraId="0F6F1FB2"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6" w:history="1">
        <w:r w:rsidR="00712EA0" w:rsidRPr="00712EA0">
          <w:rPr>
            <w:rStyle w:val="af0"/>
            <w:rFonts w:ascii="宋体" w:hAnsi="宋体" w:hint="eastAsia"/>
            <w:noProof/>
            <w:sz w:val="24"/>
          </w:rPr>
          <w:t>十二、基金的财产</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_Toc54104416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80</w:t>
        </w:r>
        <w:r w:rsidR="00712EA0" w:rsidRPr="00712EA0">
          <w:rPr>
            <w:rFonts w:ascii="宋体" w:hAnsi="宋体"/>
            <w:noProof/>
            <w:sz w:val="24"/>
          </w:rPr>
          <w:fldChar w:fldCharType="end"/>
        </w:r>
      </w:hyperlink>
    </w:p>
    <w:p w14:paraId="351F9BB9"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7" w:history="1">
        <w:r w:rsidR="00712EA0" w:rsidRPr="00712EA0">
          <w:rPr>
            <w:rStyle w:val="af0"/>
            <w:rFonts w:ascii="宋体" w:hAnsi="宋体" w:hint="eastAsia"/>
            <w:noProof/>
            <w:sz w:val="24"/>
          </w:rPr>
          <w:t>十三、基金资产的估值</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_Toc54104417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81</w:t>
        </w:r>
        <w:r w:rsidR="00712EA0" w:rsidRPr="00712EA0">
          <w:rPr>
            <w:rFonts w:ascii="宋体" w:hAnsi="宋体"/>
            <w:noProof/>
            <w:sz w:val="24"/>
          </w:rPr>
          <w:fldChar w:fldCharType="end"/>
        </w:r>
      </w:hyperlink>
    </w:p>
    <w:p w14:paraId="18A5DA8E"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8" w:history="1">
        <w:r w:rsidR="00712EA0" w:rsidRPr="00712EA0">
          <w:rPr>
            <w:rStyle w:val="af0"/>
            <w:rFonts w:ascii="宋体" w:hAnsi="宋体" w:hint="eastAsia"/>
            <w:noProof/>
            <w:sz w:val="24"/>
          </w:rPr>
          <w:t>十四、基金的收益与分配</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_Toc54104418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88</w:t>
        </w:r>
        <w:r w:rsidR="00712EA0" w:rsidRPr="00712EA0">
          <w:rPr>
            <w:rFonts w:ascii="宋体" w:hAnsi="宋体"/>
            <w:noProof/>
            <w:sz w:val="24"/>
          </w:rPr>
          <w:fldChar w:fldCharType="end"/>
        </w:r>
      </w:hyperlink>
    </w:p>
    <w:p w14:paraId="2DBE44F7"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19" w:history="1">
        <w:r w:rsidR="00712EA0" w:rsidRPr="00712EA0">
          <w:rPr>
            <w:rStyle w:val="af0"/>
            <w:rFonts w:ascii="宋体" w:hAnsi="宋体" w:hint="eastAsia"/>
            <w:noProof/>
            <w:sz w:val="24"/>
          </w:rPr>
          <w:t>十五、基金的费用与税收</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_Toc54104419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90</w:t>
        </w:r>
        <w:r w:rsidR="00712EA0" w:rsidRPr="00712EA0">
          <w:rPr>
            <w:rFonts w:ascii="宋体" w:hAnsi="宋体"/>
            <w:noProof/>
            <w:sz w:val="24"/>
          </w:rPr>
          <w:fldChar w:fldCharType="end"/>
        </w:r>
      </w:hyperlink>
    </w:p>
    <w:p w14:paraId="7768873A"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0" w:history="1">
        <w:r w:rsidR="00712EA0" w:rsidRPr="00712EA0">
          <w:rPr>
            <w:rStyle w:val="af0"/>
            <w:rFonts w:ascii="宋体" w:hAnsi="宋体" w:hint="eastAsia"/>
            <w:noProof/>
            <w:sz w:val="24"/>
          </w:rPr>
          <w:t>十六、基金的会计与审计</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_Toc54104420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92</w:t>
        </w:r>
        <w:r w:rsidR="00712EA0" w:rsidRPr="00712EA0">
          <w:rPr>
            <w:rFonts w:ascii="宋体" w:hAnsi="宋体"/>
            <w:noProof/>
            <w:sz w:val="24"/>
          </w:rPr>
          <w:fldChar w:fldCharType="end"/>
        </w:r>
      </w:hyperlink>
    </w:p>
    <w:p w14:paraId="0018B190"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1" w:history="1">
        <w:r w:rsidR="00712EA0" w:rsidRPr="00712EA0">
          <w:rPr>
            <w:rStyle w:val="af0"/>
            <w:rFonts w:ascii="宋体" w:hAnsi="宋体" w:hint="eastAsia"/>
            <w:noProof/>
            <w:sz w:val="24"/>
          </w:rPr>
          <w:t>十七、基金的信息披露</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_Toc54104421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93</w:t>
        </w:r>
        <w:r w:rsidR="00712EA0" w:rsidRPr="00712EA0">
          <w:rPr>
            <w:rFonts w:ascii="宋体" w:hAnsi="宋体"/>
            <w:noProof/>
            <w:sz w:val="24"/>
          </w:rPr>
          <w:fldChar w:fldCharType="end"/>
        </w:r>
      </w:hyperlink>
    </w:p>
    <w:p w14:paraId="4E608D98"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2" w:history="1">
        <w:r w:rsidR="00712EA0" w:rsidRPr="00712EA0">
          <w:rPr>
            <w:rStyle w:val="af0"/>
            <w:rFonts w:ascii="宋体" w:hAnsi="宋体" w:hint="eastAsia"/>
            <w:noProof/>
            <w:sz w:val="24"/>
          </w:rPr>
          <w:t>十八、风险揭示</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_Toc54104422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99</w:t>
        </w:r>
        <w:r w:rsidR="00712EA0" w:rsidRPr="00712EA0">
          <w:rPr>
            <w:rFonts w:ascii="宋体" w:hAnsi="宋体"/>
            <w:noProof/>
            <w:sz w:val="24"/>
          </w:rPr>
          <w:fldChar w:fldCharType="end"/>
        </w:r>
      </w:hyperlink>
    </w:p>
    <w:p w14:paraId="6924E778"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3" w:history="1">
        <w:r w:rsidR="00712EA0" w:rsidRPr="00712EA0">
          <w:rPr>
            <w:rStyle w:val="af0"/>
            <w:rFonts w:ascii="宋体" w:hAnsi="宋体" w:hint="eastAsia"/>
            <w:noProof/>
            <w:sz w:val="24"/>
          </w:rPr>
          <w:t>十九、基金合同的终止与基金财产的清算</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_Toc54104423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105</w:t>
        </w:r>
        <w:r w:rsidR="00712EA0" w:rsidRPr="00712EA0">
          <w:rPr>
            <w:rFonts w:ascii="宋体" w:hAnsi="宋体"/>
            <w:noProof/>
            <w:sz w:val="24"/>
          </w:rPr>
          <w:fldChar w:fldCharType="end"/>
        </w:r>
      </w:hyperlink>
    </w:p>
    <w:p w14:paraId="47D0D99C"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4" w:history="1">
        <w:r w:rsidR="00712EA0" w:rsidRPr="00712EA0">
          <w:rPr>
            <w:rStyle w:val="af0"/>
            <w:rFonts w:ascii="宋体" w:hAnsi="宋体" w:hint="eastAsia"/>
            <w:noProof/>
            <w:sz w:val="24"/>
          </w:rPr>
          <w:t>二十、基金合同的内容摘要</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_Toc54104424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107</w:t>
        </w:r>
        <w:r w:rsidR="00712EA0" w:rsidRPr="00712EA0">
          <w:rPr>
            <w:rFonts w:ascii="宋体" w:hAnsi="宋体"/>
            <w:noProof/>
            <w:sz w:val="24"/>
          </w:rPr>
          <w:fldChar w:fldCharType="end"/>
        </w:r>
      </w:hyperlink>
    </w:p>
    <w:p w14:paraId="3239088B"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5" w:history="1">
        <w:r w:rsidR="00712EA0" w:rsidRPr="00712EA0">
          <w:rPr>
            <w:rStyle w:val="af0"/>
            <w:rFonts w:ascii="宋体" w:hAnsi="宋体" w:hint="eastAsia"/>
            <w:noProof/>
            <w:sz w:val="24"/>
          </w:rPr>
          <w:t>二十一、托管协议的内容摘要</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_Toc54104425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122</w:t>
        </w:r>
        <w:r w:rsidR="00712EA0" w:rsidRPr="00712EA0">
          <w:rPr>
            <w:rFonts w:ascii="宋体" w:hAnsi="宋体"/>
            <w:noProof/>
            <w:sz w:val="24"/>
          </w:rPr>
          <w:fldChar w:fldCharType="end"/>
        </w:r>
      </w:hyperlink>
    </w:p>
    <w:p w14:paraId="5109924A"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6" w:history="1">
        <w:r w:rsidR="00712EA0" w:rsidRPr="00712EA0">
          <w:rPr>
            <w:rStyle w:val="af0"/>
            <w:rFonts w:ascii="宋体" w:hAnsi="宋体" w:hint="eastAsia"/>
            <w:noProof/>
            <w:sz w:val="24"/>
          </w:rPr>
          <w:t>二十二、对基金份额持有人的服务</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_Toc54104426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139</w:t>
        </w:r>
        <w:r w:rsidR="00712EA0" w:rsidRPr="00712EA0">
          <w:rPr>
            <w:rFonts w:ascii="宋体" w:hAnsi="宋体"/>
            <w:noProof/>
            <w:sz w:val="24"/>
          </w:rPr>
          <w:fldChar w:fldCharType="end"/>
        </w:r>
      </w:hyperlink>
    </w:p>
    <w:p w14:paraId="773DF9E5"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7" w:history="1">
        <w:r w:rsidR="00712EA0" w:rsidRPr="00712EA0">
          <w:rPr>
            <w:rStyle w:val="af0"/>
            <w:rFonts w:ascii="宋体" w:hAnsi="宋体" w:hint="eastAsia"/>
            <w:noProof/>
            <w:sz w:val="24"/>
          </w:rPr>
          <w:t>二十三、其他应披露事项</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_Toc54104427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141</w:t>
        </w:r>
        <w:r w:rsidR="00712EA0" w:rsidRPr="00712EA0">
          <w:rPr>
            <w:rFonts w:ascii="宋体" w:hAnsi="宋体"/>
            <w:noProof/>
            <w:sz w:val="24"/>
          </w:rPr>
          <w:fldChar w:fldCharType="end"/>
        </w:r>
      </w:hyperlink>
    </w:p>
    <w:p w14:paraId="1FA8BE4E" w14:textId="77777777" w:rsidR="00712EA0" w:rsidRPr="004A7361" w:rsidRDefault="002E0962" w:rsidP="00712EA0">
      <w:pPr>
        <w:pStyle w:val="TOC1"/>
        <w:tabs>
          <w:tab w:val="right" w:leader="dot" w:pos="8550"/>
        </w:tabs>
        <w:spacing w:line="360" w:lineRule="auto"/>
        <w:rPr>
          <w:rFonts w:ascii="宋体" w:hAnsi="宋体"/>
          <w:noProof/>
          <w:sz w:val="24"/>
        </w:rPr>
      </w:pPr>
      <w:hyperlink w:anchor="_Toc54104428" w:history="1">
        <w:r w:rsidR="00712EA0" w:rsidRPr="00712EA0">
          <w:rPr>
            <w:rStyle w:val="af0"/>
            <w:rFonts w:ascii="宋体" w:hAnsi="宋体" w:hint="eastAsia"/>
            <w:noProof/>
            <w:sz w:val="24"/>
          </w:rPr>
          <w:t>二十四、招募说明书的存放及查阅方式</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_Toc54104428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143</w:t>
        </w:r>
        <w:r w:rsidR="00712EA0" w:rsidRPr="00712EA0">
          <w:rPr>
            <w:rFonts w:ascii="宋体" w:hAnsi="宋体"/>
            <w:noProof/>
            <w:sz w:val="24"/>
          </w:rPr>
          <w:fldChar w:fldCharType="end"/>
        </w:r>
      </w:hyperlink>
    </w:p>
    <w:p w14:paraId="447A16DB" w14:textId="3D83ED48" w:rsidR="00A77DF8" w:rsidRPr="00712EA0" w:rsidRDefault="002E0962" w:rsidP="0053309A">
      <w:pPr>
        <w:pStyle w:val="TOC1"/>
        <w:tabs>
          <w:tab w:val="right" w:leader="dot" w:pos="8550"/>
        </w:tabs>
        <w:spacing w:line="360" w:lineRule="auto"/>
        <w:rPr>
          <w:rFonts w:ascii="宋体" w:hAnsi="宋体"/>
          <w:color w:val="000000"/>
          <w:sz w:val="24"/>
        </w:rPr>
      </w:pPr>
      <w:hyperlink w:anchor="_Toc54104429" w:history="1">
        <w:r w:rsidR="00712EA0" w:rsidRPr="00712EA0">
          <w:rPr>
            <w:rStyle w:val="af0"/>
            <w:rFonts w:ascii="宋体" w:hAnsi="宋体" w:hint="eastAsia"/>
            <w:noProof/>
            <w:sz w:val="24"/>
          </w:rPr>
          <w:t>二十五、备查文件</w:t>
        </w:r>
        <w:r w:rsidR="00712EA0" w:rsidRPr="00712EA0">
          <w:rPr>
            <w:rFonts w:ascii="宋体" w:hAnsi="宋体"/>
            <w:noProof/>
            <w:sz w:val="24"/>
          </w:rPr>
          <w:tab/>
        </w:r>
        <w:r w:rsidR="00712EA0" w:rsidRPr="00712EA0">
          <w:rPr>
            <w:rFonts w:ascii="宋体" w:hAnsi="宋体"/>
            <w:noProof/>
            <w:sz w:val="24"/>
          </w:rPr>
          <w:fldChar w:fldCharType="begin"/>
        </w:r>
        <w:r w:rsidR="00712EA0" w:rsidRPr="00712EA0">
          <w:rPr>
            <w:rFonts w:ascii="宋体" w:hAnsi="宋体"/>
            <w:noProof/>
            <w:sz w:val="24"/>
          </w:rPr>
          <w:instrText xml:space="preserve"> PAGEREF _Toc54104429 \h </w:instrText>
        </w:r>
        <w:r w:rsidR="00712EA0" w:rsidRPr="00712EA0">
          <w:rPr>
            <w:rFonts w:ascii="宋体" w:hAnsi="宋体"/>
            <w:noProof/>
            <w:sz w:val="24"/>
          </w:rPr>
        </w:r>
        <w:r w:rsidR="00712EA0" w:rsidRPr="00712EA0">
          <w:rPr>
            <w:rFonts w:ascii="宋体" w:hAnsi="宋体"/>
            <w:noProof/>
            <w:sz w:val="24"/>
          </w:rPr>
          <w:fldChar w:fldCharType="separate"/>
        </w:r>
        <w:r w:rsidR="00B11CB0">
          <w:rPr>
            <w:rFonts w:ascii="宋体" w:hAnsi="宋体"/>
            <w:noProof/>
            <w:sz w:val="24"/>
          </w:rPr>
          <w:t>144</w:t>
        </w:r>
        <w:r w:rsidR="00712EA0" w:rsidRPr="00712EA0">
          <w:rPr>
            <w:rFonts w:ascii="宋体" w:hAnsi="宋体"/>
            <w:noProof/>
            <w:sz w:val="24"/>
          </w:rPr>
          <w:fldChar w:fldCharType="end"/>
        </w:r>
      </w:hyperlink>
      <w:r w:rsidR="00712EA0" w:rsidRPr="00712EA0">
        <w:rPr>
          <w:rFonts w:ascii="宋体" w:hAnsi="宋体"/>
          <w:color w:val="000000"/>
          <w:position w:val="-4"/>
          <w:sz w:val="24"/>
          <w:szCs w:val="30"/>
        </w:rPr>
        <w:fldChar w:fldCharType="end"/>
      </w:r>
    </w:p>
    <w:p w14:paraId="1ACB9791" w14:textId="77777777" w:rsidR="00A77DF8" w:rsidRDefault="00A77DF8">
      <w:pPr>
        <w:autoSpaceDE w:val="0"/>
        <w:autoSpaceDN w:val="0"/>
        <w:adjustRightInd w:val="0"/>
        <w:snapToGrid w:val="0"/>
        <w:spacing w:line="360" w:lineRule="auto"/>
        <w:ind w:left="120" w:rightChars="6" w:right="13"/>
        <w:rPr>
          <w:rFonts w:ascii="宋体" w:hAnsi="宋体"/>
          <w:kern w:val="0"/>
          <w:szCs w:val="24"/>
        </w:rPr>
        <w:sectPr w:rsidR="00A77DF8">
          <w:pgSz w:w="11920" w:h="16840"/>
          <w:pgMar w:top="1480" w:right="1680" w:bottom="280" w:left="1680" w:header="0" w:footer="1073" w:gutter="0"/>
          <w:cols w:space="720"/>
        </w:sectPr>
      </w:pPr>
    </w:p>
    <w:p w14:paraId="0F825E82" w14:textId="77777777" w:rsidR="00A77DF8" w:rsidRDefault="00E47C67">
      <w:pPr>
        <w:pStyle w:val="1"/>
        <w:snapToGrid w:val="0"/>
        <w:spacing w:beforeLines="0" w:before="240" w:after="240"/>
        <w:rPr>
          <w:rFonts w:ascii="宋体" w:hAnsi="宋体"/>
          <w:szCs w:val="30"/>
        </w:rPr>
      </w:pPr>
      <w:bookmarkStart w:id="3" w:name="_Toc54104405"/>
      <w:r>
        <w:rPr>
          <w:rFonts w:ascii="Times New Roman" w:hAnsi="Times New Roman"/>
          <w:sz w:val="30"/>
        </w:rPr>
        <w:lastRenderedPageBreak/>
        <w:t>一、绪言</w:t>
      </w:r>
      <w:bookmarkEnd w:id="3"/>
    </w:p>
    <w:p w14:paraId="177069FC" w14:textId="3230772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《交银施罗德深证</w:t>
      </w:r>
      <w:r>
        <w:rPr>
          <w:rFonts w:ascii="Times New Roman" w:hAnsi="Times New Roman"/>
          <w:sz w:val="24"/>
        </w:rPr>
        <w:t>300</w:t>
      </w:r>
      <w:r>
        <w:rPr>
          <w:rFonts w:ascii="Times New Roman" w:hAnsi="Times New Roman"/>
          <w:sz w:val="24"/>
        </w:rPr>
        <w:t>价值交易型开放式指数证券投资基金联接基金招募说明书》（以下简称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w:t>
      </w:r>
      <w:r w:rsidR="00885A91" w:rsidRPr="001A0AD6">
        <w:rPr>
          <w:rFonts w:ascii="Times New Roman" w:hAnsi="Times New Roman" w:hint="eastAsia"/>
          <w:sz w:val="24"/>
        </w:rPr>
        <w:t>、《公开募集证券投资基金运作指引第</w:t>
      </w:r>
      <w:r w:rsidR="00885A91" w:rsidRPr="001A0AD6">
        <w:rPr>
          <w:rFonts w:ascii="Times New Roman" w:hAnsi="Times New Roman" w:hint="eastAsia"/>
          <w:sz w:val="24"/>
        </w:rPr>
        <w:t>3</w:t>
      </w:r>
      <w:r w:rsidR="00885A91" w:rsidRPr="001A0AD6">
        <w:rPr>
          <w:rFonts w:ascii="Times New Roman" w:hAnsi="Times New Roman" w:hint="eastAsia"/>
          <w:sz w:val="24"/>
        </w:rPr>
        <w:t>号——指数基金指引》（以下简称“《指数基金指引》”）</w:t>
      </w:r>
      <w:r>
        <w:rPr>
          <w:rFonts w:ascii="Times New Roman" w:hAnsi="Times New Roman"/>
          <w:sz w:val="24"/>
        </w:rPr>
        <w:t>和其他相关法律法规的规定以及《交银施罗德深证</w:t>
      </w:r>
      <w:r>
        <w:rPr>
          <w:rFonts w:ascii="Times New Roman" w:hAnsi="Times New Roman"/>
          <w:sz w:val="24"/>
        </w:rPr>
        <w:t>300</w:t>
      </w:r>
      <w:r>
        <w:rPr>
          <w:rFonts w:ascii="Times New Roman" w:hAnsi="Times New Roman"/>
          <w:sz w:val="24"/>
        </w:rPr>
        <w:t>价值交易型开放式指数证券投资基金联接基金基金合同》（以下简称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4E9EAA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Times New Roman" w:hAnsi="Times New Roman"/>
          <w:sz w:val="24"/>
        </w:rPr>
        <w:t>,</w:t>
      </w:r>
      <w:r>
        <w:rPr>
          <w:rFonts w:ascii="Times New Roman" w:hAnsi="Times New Roman"/>
          <w:sz w:val="24"/>
        </w:rPr>
        <w:t>或对本招募说明书作任何解释或者说明。</w:t>
      </w:r>
    </w:p>
    <w:p w14:paraId="37F96B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76907CB3"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0CCE73" w14:textId="77777777" w:rsidR="00A77DF8" w:rsidRDefault="00E47C67">
      <w:pPr>
        <w:pStyle w:val="1"/>
        <w:snapToGrid w:val="0"/>
        <w:spacing w:beforeLines="0" w:before="240" w:after="240"/>
        <w:rPr>
          <w:rFonts w:ascii="宋体" w:hAnsi="宋体"/>
          <w:szCs w:val="30"/>
        </w:rPr>
      </w:pPr>
      <w:bookmarkStart w:id="4" w:name="_Toc54104406"/>
      <w:r>
        <w:rPr>
          <w:rFonts w:ascii="Times New Roman" w:hAnsi="Times New Roman"/>
          <w:sz w:val="30"/>
        </w:rPr>
        <w:lastRenderedPageBreak/>
        <w:t>二、释义</w:t>
      </w:r>
      <w:bookmarkEnd w:id="4"/>
    </w:p>
    <w:p w14:paraId="2658C9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14:paraId="372999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、基金或本基金：指交银施罗德深证</w:t>
      </w:r>
      <w:r>
        <w:rPr>
          <w:rFonts w:ascii="Times New Roman" w:hAnsi="Times New Roman"/>
          <w:sz w:val="24"/>
        </w:rPr>
        <w:t>300</w:t>
      </w:r>
      <w:r>
        <w:rPr>
          <w:rFonts w:ascii="Times New Roman" w:hAnsi="Times New Roman"/>
          <w:sz w:val="24"/>
        </w:rPr>
        <w:t>价值交易型开放式指数证券投资基金联接基金</w:t>
      </w:r>
    </w:p>
    <w:p w14:paraId="51F4EC3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14:paraId="3C1728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、基金托管人或本基金托管人：指中国农业银行股份有限公司</w:t>
      </w:r>
    </w:p>
    <w:p w14:paraId="5F763E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、基金合同或本基金合同：指《交银施罗德深证</w:t>
      </w:r>
      <w:r>
        <w:rPr>
          <w:rFonts w:ascii="Times New Roman" w:hAnsi="Times New Roman"/>
          <w:sz w:val="24"/>
        </w:rPr>
        <w:t>300</w:t>
      </w:r>
      <w:r>
        <w:rPr>
          <w:rFonts w:ascii="Times New Roman" w:hAnsi="Times New Roman"/>
          <w:sz w:val="24"/>
        </w:rPr>
        <w:t>价值交易型开放式指数证券投资基金联接基金基金合同》及对基金合同的任何有效修订和补充</w:t>
      </w:r>
    </w:p>
    <w:p w14:paraId="5659E55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、托管协议：指基金管理人与基金托管人就本基金签订之《交银施罗德深证</w:t>
      </w:r>
      <w:r>
        <w:rPr>
          <w:rFonts w:ascii="Times New Roman" w:hAnsi="Times New Roman"/>
          <w:sz w:val="24"/>
        </w:rPr>
        <w:t>300</w:t>
      </w:r>
      <w:r>
        <w:rPr>
          <w:rFonts w:ascii="Times New Roman" w:hAnsi="Times New Roman"/>
          <w:sz w:val="24"/>
        </w:rPr>
        <w:t>价值交易型开放式指数证券投资基金联接基金托管协议》及对该托管协议的任何有效修订和补充</w:t>
      </w:r>
    </w:p>
    <w:p w14:paraId="51BF23A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、招募说明书或本招募说明书：指《交银施罗德深证</w:t>
      </w:r>
      <w:r>
        <w:rPr>
          <w:rFonts w:ascii="Times New Roman" w:hAnsi="Times New Roman"/>
          <w:sz w:val="24"/>
        </w:rPr>
        <w:t>300</w:t>
      </w:r>
      <w:r>
        <w:rPr>
          <w:rFonts w:ascii="Times New Roman" w:hAnsi="Times New Roman"/>
          <w:sz w:val="24"/>
        </w:rPr>
        <w:t>价值交易型开放式指数证券投资基金联接基金招募说明书》，及其更新</w:t>
      </w:r>
    </w:p>
    <w:p w14:paraId="2CC68A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、基金份额发售公告：指《交银施罗德深证</w:t>
      </w:r>
      <w:r>
        <w:rPr>
          <w:rFonts w:ascii="Times New Roman" w:hAnsi="Times New Roman"/>
          <w:sz w:val="24"/>
        </w:rPr>
        <w:t>300</w:t>
      </w:r>
      <w:r>
        <w:rPr>
          <w:rFonts w:ascii="Times New Roman" w:hAnsi="Times New Roman"/>
          <w:sz w:val="24"/>
        </w:rPr>
        <w:t>价值交易型开放式指数证券投资基金联接基金份额发售公告》</w:t>
      </w:r>
    </w:p>
    <w:p w14:paraId="57C557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、基金产品资料概要：指《交银施罗德深证</w:t>
      </w:r>
      <w:r>
        <w:rPr>
          <w:rFonts w:ascii="Times New Roman" w:hAnsi="Times New Roman"/>
          <w:sz w:val="24"/>
        </w:rPr>
        <w:t>300</w:t>
      </w:r>
      <w:r>
        <w:rPr>
          <w:rFonts w:ascii="Times New Roman" w:hAnsi="Times New Roman"/>
          <w:sz w:val="24"/>
        </w:rPr>
        <w:t>价值交易型开放式指数证券投资基金基金产品资料概要》及其更新</w:t>
      </w:r>
    </w:p>
    <w:p w14:paraId="48C5C62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、法律法规：指中国现行有效并公布实施的法律、行政法规、部门规章、规范性文件及对该等法律法规不时作出的修订</w:t>
      </w:r>
    </w:p>
    <w:p w14:paraId="664EF9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、《基金法》：指</w:t>
      </w:r>
      <w:r>
        <w:rPr>
          <w:rFonts w:ascii="Times New Roman" w:hAnsi="Times New Roman"/>
          <w:sz w:val="24"/>
        </w:rPr>
        <w:t>2003</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28</w:t>
      </w:r>
      <w:r>
        <w:rPr>
          <w:rFonts w:ascii="Times New Roman" w:hAnsi="Times New Roman"/>
          <w:sz w:val="24"/>
        </w:rPr>
        <w:t>日经第十届全国人民代表大会常务委员会第五次会议通过，自</w:t>
      </w:r>
      <w:r>
        <w:rPr>
          <w:rFonts w:ascii="Times New Roman" w:hAnsi="Times New Roman"/>
          <w:sz w:val="24"/>
        </w:rPr>
        <w:t>2004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日起实施的《中华人民共和国证券投资基金法》及颁布机关对其不时作出的修订</w:t>
      </w:r>
    </w:p>
    <w:p w14:paraId="7ED29D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、《证券法》：指</w:t>
      </w:r>
      <w:r>
        <w:rPr>
          <w:rFonts w:ascii="Times New Roman" w:hAnsi="Times New Roman"/>
          <w:sz w:val="24"/>
        </w:rPr>
        <w:t>2005</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日经第十届全国人民代表大会常务委员会第十八次会议通过，自</w:t>
      </w:r>
      <w:r>
        <w:rPr>
          <w:rFonts w:ascii="Times New Roman" w:hAnsi="Times New Roman"/>
          <w:sz w:val="24"/>
        </w:rPr>
        <w:t>2006</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日实施的《中华人民共和国证券法》及对其不时做出的修订</w:t>
      </w:r>
    </w:p>
    <w:p w14:paraId="70E736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、《销售办法》：指中国证监会</w:t>
      </w:r>
      <w:r>
        <w:rPr>
          <w:rFonts w:ascii="Times New Roman" w:hAnsi="Times New Roman"/>
          <w:sz w:val="24"/>
        </w:rPr>
        <w:t>2011</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9</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日实施的《证券投资基金销售管理办法》及对其不时作出的修订</w:t>
      </w:r>
    </w:p>
    <w:p w14:paraId="713409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、《信息披露办法》：指中国证监会</w:t>
      </w:r>
      <w:r>
        <w:rPr>
          <w:rFonts w:ascii="Times New Roman" w:hAnsi="Times New Roman"/>
          <w:sz w:val="24"/>
        </w:rPr>
        <w:t>2019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26</w:t>
      </w:r>
      <w:r>
        <w:rPr>
          <w:rFonts w:ascii="Times New Roman" w:hAnsi="Times New Roman"/>
          <w:sz w:val="24"/>
        </w:rPr>
        <w:t>日颁布、同年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日实施的《公开募集证券投资基金信息披露管理办法》及对其不时作出的修订</w:t>
      </w:r>
    </w:p>
    <w:p w14:paraId="746FA5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14</w:t>
      </w:r>
      <w:r>
        <w:rPr>
          <w:rFonts w:ascii="Times New Roman" w:hAnsi="Times New Roman"/>
          <w:sz w:val="24"/>
        </w:rPr>
        <w:t>、《运作办法》：指中国证监会</w:t>
      </w:r>
      <w:r>
        <w:rPr>
          <w:rFonts w:ascii="Times New Roman" w:hAnsi="Times New Roman"/>
          <w:sz w:val="24"/>
        </w:rPr>
        <w:t>2004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29</w:t>
      </w:r>
      <w:r>
        <w:rPr>
          <w:rFonts w:ascii="Times New Roman" w:hAnsi="Times New Roman"/>
          <w:sz w:val="24"/>
        </w:rPr>
        <w:t>日颁布、同年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日实施的《证券投资基金运作管理办法》及对其不时作出的修订</w:t>
      </w:r>
    </w:p>
    <w:p w14:paraId="7A3A2A3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日实施的《公开募集开放式证券投资基金流动性风险管理规定》及颁布机关对其不时做出的修订</w:t>
      </w:r>
    </w:p>
    <w:p w14:paraId="479A6317" w14:textId="77777777" w:rsidR="00885A91" w:rsidRPr="00885A91" w:rsidRDefault="00E47C67" w:rsidP="00885A91">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16</w:t>
      </w:r>
      <w:r>
        <w:rPr>
          <w:rFonts w:ascii="Times New Roman" w:hAnsi="Times New Roman"/>
          <w:sz w:val="24"/>
        </w:rPr>
        <w:t>、</w:t>
      </w:r>
      <w:r w:rsidR="00885A91" w:rsidRPr="00885A91">
        <w:rPr>
          <w:rFonts w:ascii="Times New Roman" w:hAnsi="Times New Roman"/>
          <w:bCs/>
          <w:sz w:val="24"/>
        </w:rPr>
        <w:t>《</w:t>
      </w:r>
      <w:r w:rsidR="00885A91" w:rsidRPr="00885A91">
        <w:rPr>
          <w:rFonts w:ascii="Times New Roman" w:hAnsi="Times New Roman" w:hint="eastAsia"/>
          <w:bCs/>
          <w:sz w:val="24"/>
        </w:rPr>
        <w:t>指数基金指引》：指中国证监会</w:t>
      </w:r>
      <w:r w:rsidR="00885A91" w:rsidRPr="00885A91">
        <w:rPr>
          <w:rFonts w:ascii="Times New Roman" w:hAnsi="Times New Roman" w:hint="eastAsia"/>
          <w:bCs/>
          <w:sz w:val="24"/>
        </w:rPr>
        <w:t>2021</w:t>
      </w:r>
      <w:r w:rsidR="00885A91" w:rsidRPr="00885A91">
        <w:rPr>
          <w:rFonts w:ascii="Times New Roman" w:hAnsi="Times New Roman" w:hint="eastAsia"/>
          <w:bCs/>
          <w:sz w:val="24"/>
        </w:rPr>
        <w:t>年</w:t>
      </w:r>
      <w:r w:rsidR="00885A91" w:rsidRPr="00885A91">
        <w:rPr>
          <w:rFonts w:ascii="Times New Roman" w:hAnsi="Times New Roman" w:hint="eastAsia"/>
          <w:bCs/>
          <w:sz w:val="24"/>
        </w:rPr>
        <w:t>1</w:t>
      </w:r>
      <w:r w:rsidR="00885A91" w:rsidRPr="00885A91">
        <w:rPr>
          <w:rFonts w:ascii="Times New Roman" w:hAnsi="Times New Roman" w:hint="eastAsia"/>
          <w:bCs/>
          <w:sz w:val="24"/>
        </w:rPr>
        <w:t>月</w:t>
      </w:r>
      <w:r w:rsidR="00885A91" w:rsidRPr="00885A91">
        <w:rPr>
          <w:rFonts w:ascii="Times New Roman" w:hAnsi="Times New Roman" w:hint="eastAsia"/>
          <w:bCs/>
          <w:sz w:val="24"/>
        </w:rPr>
        <w:t>22</w:t>
      </w:r>
      <w:r w:rsidR="00885A91" w:rsidRPr="00885A91">
        <w:rPr>
          <w:rFonts w:ascii="Times New Roman" w:hAnsi="Times New Roman" w:hint="eastAsia"/>
          <w:bCs/>
          <w:sz w:val="24"/>
        </w:rPr>
        <w:t>日颁布、同年</w:t>
      </w:r>
      <w:r w:rsidR="00885A91" w:rsidRPr="00885A91">
        <w:rPr>
          <w:rFonts w:ascii="Times New Roman" w:hAnsi="Times New Roman" w:hint="eastAsia"/>
          <w:bCs/>
          <w:sz w:val="24"/>
        </w:rPr>
        <w:t>2</w:t>
      </w:r>
      <w:r w:rsidR="00885A91" w:rsidRPr="00885A91">
        <w:rPr>
          <w:rFonts w:ascii="Times New Roman" w:hAnsi="Times New Roman" w:hint="eastAsia"/>
          <w:bCs/>
          <w:sz w:val="24"/>
        </w:rPr>
        <w:t>月</w:t>
      </w:r>
      <w:r w:rsidR="00885A91" w:rsidRPr="00885A91">
        <w:rPr>
          <w:rFonts w:ascii="Times New Roman" w:hAnsi="Times New Roman" w:hint="eastAsia"/>
          <w:bCs/>
          <w:sz w:val="24"/>
        </w:rPr>
        <w:t>1</w:t>
      </w:r>
      <w:r w:rsidR="00885A91" w:rsidRPr="00885A91">
        <w:rPr>
          <w:rFonts w:ascii="Times New Roman" w:hAnsi="Times New Roman" w:hint="eastAsia"/>
          <w:bCs/>
          <w:sz w:val="24"/>
        </w:rPr>
        <w:t>日实施的《公开募集证券投资基金运作指引第</w:t>
      </w:r>
      <w:r w:rsidR="00885A91" w:rsidRPr="00885A91">
        <w:rPr>
          <w:rFonts w:ascii="Times New Roman" w:hAnsi="Times New Roman" w:hint="eastAsia"/>
          <w:bCs/>
          <w:sz w:val="24"/>
        </w:rPr>
        <w:t>3</w:t>
      </w:r>
      <w:r w:rsidR="00885A91" w:rsidRPr="00885A91">
        <w:rPr>
          <w:rFonts w:ascii="Times New Roman" w:hAnsi="Times New Roman" w:hint="eastAsia"/>
          <w:bCs/>
          <w:sz w:val="24"/>
        </w:rPr>
        <w:t>号——指数基金指引》及颁布机关对其不时做出的修订</w:t>
      </w:r>
    </w:p>
    <w:p w14:paraId="24720BE5" w14:textId="08D83B55" w:rsidR="00A77DF8" w:rsidRDefault="00885A91" w:rsidP="00885A91">
      <w:pPr>
        <w:autoSpaceDE w:val="0"/>
        <w:autoSpaceDN w:val="0"/>
        <w:adjustRightInd w:val="0"/>
        <w:snapToGrid w:val="0"/>
        <w:spacing w:line="360" w:lineRule="auto"/>
        <w:ind w:firstLineChars="200" w:firstLine="480"/>
        <w:rPr>
          <w:rFonts w:ascii="宋体" w:hAnsi="宋体"/>
          <w:szCs w:val="24"/>
        </w:rPr>
      </w:pPr>
      <w:r w:rsidRPr="00885A91">
        <w:rPr>
          <w:rFonts w:ascii="Times New Roman" w:hAnsi="Times New Roman" w:hint="eastAsia"/>
          <w:bCs/>
          <w:sz w:val="24"/>
        </w:rPr>
        <w:t>1</w:t>
      </w:r>
      <w:r w:rsidRPr="00885A91">
        <w:rPr>
          <w:rFonts w:ascii="Times New Roman" w:hAnsi="Times New Roman"/>
          <w:bCs/>
          <w:sz w:val="24"/>
        </w:rPr>
        <w:t>7</w:t>
      </w:r>
      <w:r w:rsidRPr="00885A91">
        <w:rPr>
          <w:rFonts w:ascii="Times New Roman" w:hAnsi="Times New Roman" w:hint="eastAsia"/>
          <w:bCs/>
          <w:sz w:val="24"/>
        </w:rPr>
        <w:t>、</w:t>
      </w:r>
      <w:r w:rsidR="00E47C67">
        <w:rPr>
          <w:rFonts w:ascii="Times New Roman" w:hAnsi="Times New Roman"/>
          <w:sz w:val="24"/>
        </w:rPr>
        <w:t>中国：指中华人民共和国，就本基金合同而言，不包括香港特别行政区、澳门特别行政区和台湾地区</w:t>
      </w:r>
    </w:p>
    <w:p w14:paraId="463F2589" w14:textId="72DB06D1"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sidR="00E47C67">
        <w:rPr>
          <w:rFonts w:ascii="Times New Roman" w:hAnsi="Times New Roman"/>
          <w:sz w:val="24"/>
        </w:rPr>
        <w:t>、中国证监会：指中国证券监督管理委员会</w:t>
      </w:r>
    </w:p>
    <w:p w14:paraId="7F8FCE56" w14:textId="57A16321"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sidR="00E47C67">
        <w:rPr>
          <w:rFonts w:ascii="Times New Roman" w:hAnsi="Times New Roman"/>
          <w:sz w:val="24"/>
        </w:rPr>
        <w:t>、中国银监会：指中国银行业监督管理委员会</w:t>
      </w:r>
    </w:p>
    <w:p w14:paraId="4AEBA3B7" w14:textId="6564D5B5"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sidR="00E47C67">
        <w:rPr>
          <w:rFonts w:ascii="Times New Roman" w:hAnsi="Times New Roman"/>
          <w:sz w:val="24"/>
        </w:rPr>
        <w:t>、基金合同当事人：指受基金合同约束，根据基金合同享有权利并承担义务的法律主体，包括基金管理人、基金托管人和基金份额持有人</w:t>
      </w:r>
    </w:p>
    <w:p w14:paraId="4CF481AA" w14:textId="68677018"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sidR="00E47C67">
        <w:rPr>
          <w:rFonts w:ascii="Times New Roman" w:hAnsi="Times New Roman"/>
          <w:sz w:val="24"/>
        </w:rPr>
        <w:t>、个人投资者：指符合法律法规规定的条件可以投资证券投资基金的自然人</w:t>
      </w:r>
    </w:p>
    <w:p w14:paraId="5B1F3CF5" w14:textId="634445C6"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sidR="00E47C67">
        <w:rPr>
          <w:rFonts w:ascii="Times New Roman" w:hAnsi="Times New Roman"/>
          <w:sz w:val="24"/>
        </w:rPr>
        <w:t>、机构投资者：指符合法律法规规定可以投资证券投资基金的在中国境内注册登记或经政府有关部门批准设立的机构</w:t>
      </w:r>
    </w:p>
    <w:p w14:paraId="587279EA" w14:textId="4D359CD6"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sidR="00E47C67">
        <w:rPr>
          <w:rFonts w:ascii="Times New Roman" w:hAnsi="Times New Roman"/>
          <w:sz w:val="24"/>
        </w:rPr>
        <w:t>、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3ABBE9F6" w14:textId="1CCEAAC4"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sidR="00E47C67">
        <w:rPr>
          <w:rFonts w:ascii="Times New Roman" w:hAnsi="Times New Roman"/>
          <w:sz w:val="24"/>
        </w:rPr>
        <w:t>、基金投资者或投资者：指个人投资者、机构投资者和合格境外机构投资者，以及法律法规或中国证监会允许购买证券投资基金的其他投资者</w:t>
      </w:r>
    </w:p>
    <w:p w14:paraId="560B680B" w14:textId="3F79DFB2"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sidR="00E47C67">
        <w:rPr>
          <w:rFonts w:ascii="Times New Roman" w:hAnsi="Times New Roman"/>
          <w:sz w:val="24"/>
        </w:rPr>
        <w:t>、基金份额持有人：指依招募说明书和基金合同合法取得基金份额的基金投资者</w:t>
      </w:r>
    </w:p>
    <w:p w14:paraId="0EA35A7F" w14:textId="418775DF"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sidR="00E47C67">
        <w:rPr>
          <w:rFonts w:ascii="Times New Roman" w:hAnsi="Times New Roman"/>
          <w:sz w:val="24"/>
        </w:rPr>
        <w:t>、基金销售业务：指基金的宣传推介、认购、申购、赎回、转换、转托管及定期定额投资等业务</w:t>
      </w:r>
    </w:p>
    <w:p w14:paraId="2BD36E37" w14:textId="04C1CD6C"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sidR="00E47C67">
        <w:rPr>
          <w:rFonts w:ascii="Times New Roman" w:hAnsi="Times New Roman"/>
          <w:sz w:val="24"/>
        </w:rPr>
        <w:t>、销售机构：指直销机构和代销机构</w:t>
      </w:r>
    </w:p>
    <w:p w14:paraId="6937F0AC" w14:textId="19F260CF"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sidR="00E47C67">
        <w:rPr>
          <w:rFonts w:ascii="Times New Roman" w:hAnsi="Times New Roman"/>
          <w:sz w:val="24"/>
        </w:rPr>
        <w:t>、直销机构：指交银施罗德基金管理有限公司</w:t>
      </w:r>
    </w:p>
    <w:p w14:paraId="2218D545" w14:textId="02789E00"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sidR="00E47C67">
        <w:rPr>
          <w:rFonts w:ascii="Times New Roman" w:hAnsi="Times New Roman"/>
          <w:sz w:val="24"/>
        </w:rPr>
        <w:t>、代销机构：指符合《销售办法》和中国证监会规定的其他条件，取得基金代销业务资格并与基金管理人签订了基金销售服务代理协议，代为办理基金销售业</w:t>
      </w:r>
      <w:r w:rsidR="00E47C67">
        <w:rPr>
          <w:rFonts w:ascii="Times New Roman" w:hAnsi="Times New Roman"/>
          <w:sz w:val="24"/>
        </w:rPr>
        <w:lastRenderedPageBreak/>
        <w:t>务的机构</w:t>
      </w:r>
    </w:p>
    <w:p w14:paraId="2DBA894A" w14:textId="68520D56"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sidR="00E47C67">
        <w:rPr>
          <w:rFonts w:ascii="Times New Roman" w:hAnsi="Times New Roman"/>
          <w:sz w:val="24"/>
        </w:rPr>
        <w:t>、基金销售网点：指直销机构的直销中心及代销机构的代销网点</w:t>
      </w:r>
    </w:p>
    <w:p w14:paraId="6831B1D3" w14:textId="2ED683F2"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sidR="00E47C67">
        <w:rPr>
          <w:rFonts w:ascii="Times New Roman" w:hAnsi="Times New Roman"/>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14:paraId="557FD29A" w14:textId="7690B460"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sidR="00E47C67">
        <w:rPr>
          <w:rFonts w:ascii="Times New Roman" w:hAnsi="Times New Roman"/>
          <w:sz w:val="24"/>
        </w:rPr>
        <w:t>、注册登记机构：指办理注册登记业务的机构。基金的注册登记机构为交银施罗德基金管理有限公司或接受交银施罗德基金管理有限公司委托代为办理注册登记业务的机构</w:t>
      </w:r>
    </w:p>
    <w:p w14:paraId="23BF4DD1" w14:textId="2864C26F"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sidR="00E47C67">
        <w:rPr>
          <w:rFonts w:ascii="Times New Roman" w:hAnsi="Times New Roman"/>
          <w:sz w:val="24"/>
        </w:rPr>
        <w:t>、基金账户：指注册登记机构为基金投资者开立的、记录其持有的、基金管理人所管理的基金份额余额及其变动情况的账户</w:t>
      </w:r>
    </w:p>
    <w:p w14:paraId="7D1905AB" w14:textId="3C83E408"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sidR="00E47C67">
        <w:rPr>
          <w:rFonts w:ascii="Times New Roman" w:hAnsi="Times New Roman"/>
          <w:sz w:val="24"/>
        </w:rPr>
        <w:t>、基金交易账户：指销售机构为基金投资者开立的、记录基金投资者通过该销售机构办理交易业务而引起的基金份额的变动及结余情况的账户</w:t>
      </w:r>
    </w:p>
    <w:p w14:paraId="43FB5A8C" w14:textId="2ACFDA3A"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sidR="00E47C67">
        <w:rPr>
          <w:rFonts w:ascii="Times New Roman" w:hAnsi="Times New Roman"/>
          <w:sz w:val="24"/>
        </w:rPr>
        <w:t>、基金合同生效日：指基金募集期结束后达到法律法规规定及基金合同约定的备案条件，基金管理人聘请法定机构验资并向中国证监会办理基金备案手续完毕，并收到其书面确认的日期</w:t>
      </w:r>
    </w:p>
    <w:p w14:paraId="1CCD7637" w14:textId="02F3BC50"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sidR="00E47C67">
        <w:rPr>
          <w:rFonts w:ascii="Times New Roman" w:hAnsi="Times New Roman"/>
          <w:sz w:val="24"/>
        </w:rPr>
        <w:t>、基金合同终止日：指基金合同规定的基金合同终止事由出现后，基金财产清算完毕，清算结果报中国证监会备案并予以公告的日期</w:t>
      </w:r>
    </w:p>
    <w:p w14:paraId="113CEF27" w14:textId="5B8C095A"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sidR="00E47C67">
        <w:rPr>
          <w:rFonts w:ascii="Times New Roman" w:hAnsi="Times New Roman"/>
          <w:sz w:val="24"/>
        </w:rPr>
        <w:t>、目标</w:t>
      </w:r>
      <w:r w:rsidR="00E47C67">
        <w:rPr>
          <w:rFonts w:ascii="Times New Roman" w:hAnsi="Times New Roman"/>
          <w:sz w:val="24"/>
        </w:rPr>
        <w:t>ETF</w:t>
      </w:r>
      <w:r w:rsidR="00E47C67">
        <w:rPr>
          <w:rFonts w:ascii="Times New Roman" w:hAnsi="Times New Roman"/>
          <w:sz w:val="24"/>
        </w:rPr>
        <w:t>：指另一获中国证监会核准的交易型开放式指数证券投资基金（简称</w:t>
      </w:r>
      <w:r w:rsidR="00E47C67">
        <w:rPr>
          <w:rFonts w:ascii="Times New Roman" w:hAnsi="Times New Roman"/>
          <w:sz w:val="24"/>
        </w:rPr>
        <w:t>ETF</w:t>
      </w:r>
      <w:r w:rsidR="00E47C67">
        <w:rPr>
          <w:rFonts w:ascii="Times New Roman" w:hAnsi="Times New Roman"/>
          <w:sz w:val="24"/>
        </w:rPr>
        <w:t>），该</w:t>
      </w:r>
      <w:r w:rsidR="00E47C67">
        <w:rPr>
          <w:rFonts w:ascii="Times New Roman" w:hAnsi="Times New Roman"/>
          <w:sz w:val="24"/>
        </w:rPr>
        <w:t>ETF</w:t>
      </w:r>
      <w:r w:rsidR="00E47C67">
        <w:rPr>
          <w:rFonts w:ascii="Times New Roman" w:hAnsi="Times New Roman"/>
          <w:sz w:val="24"/>
        </w:rPr>
        <w:t>和本基金所跟踪的标的指数相同，并且该</w:t>
      </w:r>
      <w:r w:rsidR="00E47C67">
        <w:rPr>
          <w:rFonts w:ascii="Times New Roman" w:hAnsi="Times New Roman"/>
          <w:sz w:val="24"/>
        </w:rPr>
        <w:t>ETF</w:t>
      </w:r>
      <w:r w:rsidR="00E47C67">
        <w:rPr>
          <w:rFonts w:ascii="Times New Roman" w:hAnsi="Times New Roman"/>
          <w:sz w:val="24"/>
        </w:rPr>
        <w:t>的投资目标和本基金的投资目标类似，本基金主要投资于该</w:t>
      </w:r>
      <w:r w:rsidR="00E47C67">
        <w:rPr>
          <w:rFonts w:ascii="Times New Roman" w:hAnsi="Times New Roman"/>
          <w:sz w:val="24"/>
        </w:rPr>
        <w:t>ETF</w:t>
      </w:r>
      <w:r w:rsidR="00E47C67">
        <w:rPr>
          <w:rFonts w:ascii="Times New Roman" w:hAnsi="Times New Roman"/>
          <w:sz w:val="24"/>
        </w:rPr>
        <w:t>以求达到投资目标。发售时，本基金选择深证</w:t>
      </w:r>
      <w:r w:rsidR="00E47C67">
        <w:rPr>
          <w:rFonts w:ascii="Times New Roman" w:hAnsi="Times New Roman"/>
          <w:sz w:val="24"/>
        </w:rPr>
        <w:t>300</w:t>
      </w:r>
      <w:r w:rsidR="00E47C67">
        <w:rPr>
          <w:rFonts w:ascii="Times New Roman" w:hAnsi="Times New Roman"/>
          <w:sz w:val="24"/>
        </w:rPr>
        <w:t>价值交易型开放式指数证券投资基金为目标</w:t>
      </w:r>
      <w:r w:rsidR="00E47C67">
        <w:rPr>
          <w:rFonts w:ascii="Times New Roman" w:hAnsi="Times New Roman"/>
          <w:sz w:val="24"/>
        </w:rPr>
        <w:t>ETF</w:t>
      </w:r>
    </w:p>
    <w:p w14:paraId="69AF7678" w14:textId="264F95B2"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sidR="00E47C67">
        <w:rPr>
          <w:rFonts w:ascii="Times New Roman" w:hAnsi="Times New Roman"/>
          <w:sz w:val="24"/>
        </w:rPr>
        <w:t>、</w:t>
      </w:r>
      <w:r w:rsidR="00E47C67">
        <w:rPr>
          <w:rFonts w:ascii="Times New Roman" w:hAnsi="Times New Roman"/>
          <w:sz w:val="24"/>
        </w:rPr>
        <w:t>ETF</w:t>
      </w:r>
      <w:r w:rsidR="00E47C67">
        <w:rPr>
          <w:rFonts w:ascii="Times New Roman" w:hAnsi="Times New Roman"/>
          <w:sz w:val="24"/>
        </w:rPr>
        <w:t>联接基金或联接基金：指将绝大多数基金财产投资于跟踪同一标的指数的目标</w:t>
      </w:r>
      <w:r w:rsidR="00E47C67">
        <w:rPr>
          <w:rFonts w:ascii="Times New Roman" w:hAnsi="Times New Roman"/>
          <w:sz w:val="24"/>
        </w:rPr>
        <w:t>ETF</w:t>
      </w:r>
      <w:r w:rsidR="00E47C67">
        <w:rPr>
          <w:rFonts w:ascii="Times New Roman" w:hAnsi="Times New Roman"/>
          <w:sz w:val="24"/>
        </w:rPr>
        <w:t>，紧密跟踪标的指数表现，追求跟踪偏离度和跟踪误差最小化，采用开放式运作方式的基金，本基金是联接其所投资的目标</w:t>
      </w:r>
      <w:r w:rsidR="00E47C67">
        <w:rPr>
          <w:rFonts w:ascii="Times New Roman" w:hAnsi="Times New Roman"/>
          <w:sz w:val="24"/>
        </w:rPr>
        <w:t>ETF</w:t>
      </w:r>
      <w:r w:rsidR="00E47C67">
        <w:rPr>
          <w:rFonts w:ascii="Times New Roman" w:hAnsi="Times New Roman"/>
          <w:sz w:val="24"/>
        </w:rPr>
        <w:t>的</w:t>
      </w:r>
      <w:r w:rsidR="00E47C67">
        <w:rPr>
          <w:rFonts w:ascii="Times New Roman" w:hAnsi="Times New Roman"/>
          <w:sz w:val="24"/>
        </w:rPr>
        <w:t>ETF</w:t>
      </w:r>
      <w:r w:rsidR="00E47C67">
        <w:rPr>
          <w:rFonts w:ascii="Times New Roman" w:hAnsi="Times New Roman"/>
          <w:sz w:val="24"/>
        </w:rPr>
        <w:t>联接基金</w:t>
      </w:r>
    </w:p>
    <w:p w14:paraId="0B60C87E" w14:textId="562E8988"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sidR="00E47C67">
        <w:rPr>
          <w:rFonts w:ascii="Times New Roman" w:hAnsi="Times New Roman"/>
          <w:sz w:val="24"/>
        </w:rPr>
        <w:t>、基金募集期：指自基金份额发售之日起至发售结束之日止的期间，最长不得超过</w:t>
      </w:r>
      <w:r w:rsidR="00E47C67">
        <w:rPr>
          <w:rFonts w:ascii="Times New Roman" w:hAnsi="Times New Roman"/>
          <w:sz w:val="24"/>
        </w:rPr>
        <w:t>3</w:t>
      </w:r>
      <w:r w:rsidR="00E47C67">
        <w:rPr>
          <w:rFonts w:ascii="Times New Roman" w:hAnsi="Times New Roman"/>
          <w:sz w:val="24"/>
        </w:rPr>
        <w:t>个月</w:t>
      </w:r>
    </w:p>
    <w:p w14:paraId="1AF836A8" w14:textId="525F0544"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sidR="00E47C67">
        <w:rPr>
          <w:rFonts w:ascii="Times New Roman" w:hAnsi="Times New Roman"/>
          <w:sz w:val="24"/>
        </w:rPr>
        <w:t>、存续期：指基金合同生效至终止之间的不定期期限</w:t>
      </w:r>
    </w:p>
    <w:p w14:paraId="3F559D4E" w14:textId="2259D9E5"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sidR="00E47C67">
        <w:rPr>
          <w:rFonts w:ascii="Times New Roman" w:hAnsi="Times New Roman"/>
          <w:sz w:val="24"/>
        </w:rPr>
        <w:t>、工作日：指上海证券交易所、深圳证券交易所的正常交易日</w:t>
      </w:r>
    </w:p>
    <w:p w14:paraId="52807DBF" w14:textId="6C08F803"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sidR="00E47C67">
        <w:rPr>
          <w:rFonts w:ascii="Times New Roman" w:hAnsi="Times New Roman"/>
          <w:sz w:val="24"/>
        </w:rPr>
        <w:t>、日：指公历日</w:t>
      </w:r>
    </w:p>
    <w:p w14:paraId="2664DC02" w14:textId="2F1F726B"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43</w:t>
      </w:r>
      <w:r w:rsidR="00E47C67">
        <w:rPr>
          <w:rFonts w:ascii="Times New Roman" w:hAnsi="Times New Roman"/>
          <w:sz w:val="24"/>
        </w:rPr>
        <w:t>、月：指公历月</w:t>
      </w:r>
    </w:p>
    <w:p w14:paraId="0659077B" w14:textId="647538ED"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sidR="00E47C67">
        <w:rPr>
          <w:rFonts w:ascii="Times New Roman" w:hAnsi="Times New Roman"/>
          <w:sz w:val="24"/>
        </w:rPr>
        <w:t>、</w:t>
      </w:r>
      <w:r w:rsidR="00E47C67">
        <w:rPr>
          <w:rFonts w:ascii="Times New Roman" w:hAnsi="Times New Roman"/>
          <w:sz w:val="24"/>
        </w:rPr>
        <w:t>T</w:t>
      </w:r>
      <w:r w:rsidR="00E47C67">
        <w:rPr>
          <w:rFonts w:ascii="Times New Roman" w:hAnsi="Times New Roman"/>
          <w:sz w:val="24"/>
        </w:rPr>
        <w:t>日：指销售机构在规定时间受理基金投资者申购、赎回或其他基金业务申请的工作日</w:t>
      </w:r>
    </w:p>
    <w:p w14:paraId="2080A97D" w14:textId="0015D5EF"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sidR="00E47C67">
        <w:rPr>
          <w:rFonts w:ascii="Times New Roman" w:hAnsi="Times New Roman"/>
          <w:sz w:val="24"/>
        </w:rPr>
        <w:t>、</w:t>
      </w:r>
      <w:proofErr w:type="spellStart"/>
      <w:r w:rsidR="00E47C67">
        <w:rPr>
          <w:rFonts w:ascii="Times New Roman" w:hAnsi="Times New Roman"/>
          <w:sz w:val="24"/>
        </w:rPr>
        <w:t>T+n</w:t>
      </w:r>
      <w:proofErr w:type="spellEnd"/>
      <w:r w:rsidR="00E47C67">
        <w:rPr>
          <w:rFonts w:ascii="Times New Roman" w:hAnsi="Times New Roman"/>
          <w:sz w:val="24"/>
        </w:rPr>
        <w:t>日：指自</w:t>
      </w:r>
      <w:r w:rsidR="00E47C67">
        <w:rPr>
          <w:rFonts w:ascii="Times New Roman" w:hAnsi="Times New Roman"/>
          <w:sz w:val="24"/>
        </w:rPr>
        <w:t>T</w:t>
      </w:r>
      <w:r w:rsidR="00E47C67">
        <w:rPr>
          <w:rFonts w:ascii="Times New Roman" w:hAnsi="Times New Roman"/>
          <w:sz w:val="24"/>
        </w:rPr>
        <w:t>日起第</w:t>
      </w:r>
      <w:r w:rsidR="00E47C67">
        <w:rPr>
          <w:rFonts w:ascii="Times New Roman" w:hAnsi="Times New Roman"/>
          <w:sz w:val="24"/>
        </w:rPr>
        <w:t>n</w:t>
      </w:r>
      <w:r w:rsidR="00E47C67">
        <w:rPr>
          <w:rFonts w:ascii="Times New Roman" w:hAnsi="Times New Roman"/>
          <w:sz w:val="24"/>
        </w:rPr>
        <w:t>个工作日（不包含</w:t>
      </w:r>
      <w:r w:rsidR="00E47C67">
        <w:rPr>
          <w:rFonts w:ascii="Times New Roman" w:hAnsi="Times New Roman"/>
          <w:sz w:val="24"/>
        </w:rPr>
        <w:t>T</w:t>
      </w:r>
      <w:r w:rsidR="00E47C67">
        <w:rPr>
          <w:rFonts w:ascii="Times New Roman" w:hAnsi="Times New Roman"/>
          <w:sz w:val="24"/>
        </w:rPr>
        <w:t>日）</w:t>
      </w:r>
    </w:p>
    <w:p w14:paraId="02F2F5E8" w14:textId="60BCF2A3"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sidR="00E47C67">
        <w:rPr>
          <w:rFonts w:ascii="Times New Roman" w:hAnsi="Times New Roman"/>
          <w:sz w:val="24"/>
        </w:rPr>
        <w:t>、开放日：指为基金投资者办理基金份额申购、赎回或其他业务的工作日</w:t>
      </w:r>
    </w:p>
    <w:p w14:paraId="3DD0826C" w14:textId="4BB535A0"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sidR="00E47C67">
        <w:rPr>
          <w:rFonts w:ascii="Times New Roman" w:hAnsi="Times New Roman"/>
          <w:sz w:val="24"/>
        </w:rPr>
        <w:t>、交易时间：指开放日基金接受申购、赎回或其他交易的时间段</w:t>
      </w:r>
    </w:p>
    <w:p w14:paraId="03284B79" w14:textId="01D71D83"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sidR="00E47C67">
        <w:rPr>
          <w:rFonts w:ascii="Times New Roman" w:hAnsi="Times New Roman"/>
          <w:sz w:val="24"/>
        </w:rPr>
        <w:t>、认购：指在基金募集期间，基金投资者申请购买基金份额的行为</w:t>
      </w:r>
    </w:p>
    <w:p w14:paraId="3BE40A18" w14:textId="3493CAA9"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sidR="00E47C67">
        <w:rPr>
          <w:rFonts w:ascii="Times New Roman" w:hAnsi="Times New Roman"/>
          <w:sz w:val="24"/>
        </w:rPr>
        <w:t>、申购：指在基金存续期内，基金投资者按基金合同和招募说明书的规定申请购买基金份额的行为</w:t>
      </w:r>
    </w:p>
    <w:p w14:paraId="366409D9" w14:textId="24D28559"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sidR="00E47C67">
        <w:rPr>
          <w:rFonts w:ascii="Times New Roman" w:hAnsi="Times New Roman"/>
          <w:sz w:val="24"/>
        </w:rPr>
        <w:t>、赎回：指在基金存续期内基金份额持有人按基金合同和招募说明书的规定的条件要求申请将基金份额兑换为现金的行为</w:t>
      </w:r>
    </w:p>
    <w:p w14:paraId="36DA8D1E" w14:textId="3B526A8B"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sidR="00E47C67">
        <w:rPr>
          <w:rFonts w:ascii="Times New Roman" w:hAnsi="Times New Roman"/>
          <w:sz w:val="24"/>
        </w:rPr>
        <w:t>、标的指数：指深证</w:t>
      </w:r>
      <w:r w:rsidR="00E47C67">
        <w:rPr>
          <w:rFonts w:ascii="Times New Roman" w:hAnsi="Times New Roman"/>
          <w:sz w:val="24"/>
        </w:rPr>
        <w:t>300</w:t>
      </w:r>
      <w:r w:rsidR="00E47C67">
        <w:rPr>
          <w:rFonts w:ascii="Times New Roman" w:hAnsi="Times New Roman"/>
          <w:sz w:val="24"/>
        </w:rPr>
        <w:t>价值价格指数及其未来可能发生的变更</w:t>
      </w:r>
    </w:p>
    <w:p w14:paraId="79649615" w14:textId="63CE2DB6"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sidR="00E47C67">
        <w:rPr>
          <w:rFonts w:ascii="Times New Roman" w:hAnsi="Times New Roman"/>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14:paraId="22DE89D5" w14:textId="77BC8970"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sidR="00E47C67">
        <w:rPr>
          <w:rFonts w:ascii="Times New Roman" w:hAnsi="Times New Roman"/>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4E5A80ED" w14:textId="16F1843A"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sidR="00E47C67">
        <w:rPr>
          <w:rFonts w:ascii="Times New Roman" w:hAnsi="Times New Roman"/>
          <w:sz w:val="24"/>
        </w:rPr>
        <w:t>、转托管：指基金份额持有人在本基金的不同销售机构之间实施变更所持基金份额销售机构的操作</w:t>
      </w:r>
    </w:p>
    <w:p w14:paraId="0110E80E" w14:textId="4A6A6655"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sidR="00E47C67">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sidR="00E47C67">
        <w:rPr>
          <w:rFonts w:ascii="Times New Roman" w:hAnsi="Times New Roman"/>
          <w:sz w:val="24"/>
        </w:rPr>
        <w:t>10%</w:t>
      </w:r>
      <w:r w:rsidR="00E47C67">
        <w:rPr>
          <w:rFonts w:ascii="Times New Roman" w:hAnsi="Times New Roman"/>
          <w:sz w:val="24"/>
        </w:rPr>
        <w:t>的情形</w:t>
      </w:r>
    </w:p>
    <w:p w14:paraId="00A32068" w14:textId="6EE4ACBC"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sidR="00E47C67">
        <w:rPr>
          <w:rFonts w:ascii="Times New Roman" w:hAnsi="Times New Roman"/>
          <w:sz w:val="24"/>
        </w:rPr>
        <w:t>、元：指人民币元</w:t>
      </w:r>
    </w:p>
    <w:p w14:paraId="0D1ED58E" w14:textId="55C38AAD"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57</w:t>
      </w:r>
      <w:r w:rsidR="00E47C67">
        <w:rPr>
          <w:rFonts w:ascii="Times New Roman" w:hAnsi="Times New Roman"/>
          <w:sz w:val="24"/>
        </w:rPr>
        <w:t>、基金利润：指基金利息收入、投资收益、公允价值变动收益和其他收入扣除相关费用后的余额</w:t>
      </w:r>
    </w:p>
    <w:p w14:paraId="72F36828" w14:textId="49ABFBB8"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58</w:t>
      </w:r>
      <w:r w:rsidR="00E47C67">
        <w:rPr>
          <w:rFonts w:ascii="Times New Roman" w:hAnsi="Times New Roman"/>
          <w:sz w:val="24"/>
        </w:rPr>
        <w:t>、基金资产总值：指基金拥有的包括目标</w:t>
      </w:r>
      <w:r w:rsidR="00E47C67">
        <w:rPr>
          <w:rFonts w:ascii="Times New Roman" w:hAnsi="Times New Roman"/>
          <w:sz w:val="24"/>
        </w:rPr>
        <w:t>ETF</w:t>
      </w:r>
      <w:r w:rsidR="00E47C67">
        <w:rPr>
          <w:rFonts w:ascii="Times New Roman" w:hAnsi="Times New Roman"/>
          <w:sz w:val="24"/>
        </w:rPr>
        <w:t>份额在内的各类有价证券、银行存款本息、基金应收款项及其他资产的价值总和</w:t>
      </w:r>
    </w:p>
    <w:p w14:paraId="7EEFC79A" w14:textId="65E498C2"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59</w:t>
      </w:r>
      <w:r w:rsidR="00E47C67">
        <w:rPr>
          <w:rFonts w:ascii="Times New Roman" w:hAnsi="Times New Roman"/>
          <w:sz w:val="24"/>
        </w:rPr>
        <w:t>、基金资产净值：指基金资产总值减去基金负债后的净资产值</w:t>
      </w:r>
    </w:p>
    <w:p w14:paraId="4FC9569B" w14:textId="0DC53F4B"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60</w:t>
      </w:r>
      <w:r w:rsidR="00E47C67">
        <w:rPr>
          <w:rFonts w:ascii="Times New Roman" w:hAnsi="Times New Roman"/>
          <w:sz w:val="24"/>
        </w:rPr>
        <w:t>、基金份额净值：指计算日基金资产净值除以计算日基金份额总数的数值</w:t>
      </w:r>
    </w:p>
    <w:p w14:paraId="7A0C554B" w14:textId="6319DA8A"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61</w:t>
      </w:r>
      <w:r w:rsidR="00E47C67">
        <w:rPr>
          <w:rFonts w:ascii="Times New Roman" w:hAnsi="Times New Roman"/>
          <w:sz w:val="24"/>
        </w:rPr>
        <w:t>、基金资产估值：指计算评估基金资产和负债的价值，以确定基金资产净值和基金份额净值的过程</w:t>
      </w:r>
    </w:p>
    <w:p w14:paraId="4631080B" w14:textId="71E1C61C"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62</w:t>
      </w:r>
      <w:r w:rsidR="00E47C67">
        <w:rPr>
          <w:rFonts w:ascii="Times New Roman" w:hAnsi="Times New Roman"/>
          <w:sz w:val="24"/>
        </w:rPr>
        <w:t>、流动性受限资产：指由于法律法规、监管、合同或操作障碍等原因无法以合理价格予以变现的资产，包括但不限于到期日在</w:t>
      </w:r>
      <w:r w:rsidR="00E47C67">
        <w:rPr>
          <w:rFonts w:ascii="Times New Roman" w:hAnsi="Times New Roman"/>
          <w:sz w:val="24"/>
        </w:rPr>
        <w:t>10</w:t>
      </w:r>
      <w:r w:rsidR="00E47C67">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20E7A1E" w14:textId="7D7A022D"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63</w:t>
      </w:r>
      <w:r w:rsidR="00E47C67">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14:paraId="606FAEDB" w14:textId="4CB268AA"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64</w:t>
      </w:r>
      <w:r w:rsidR="00E47C67">
        <w:rPr>
          <w:rFonts w:ascii="Times New Roman" w:hAnsi="Times New Roman"/>
          <w:sz w:val="24"/>
        </w:rPr>
        <w:t>、《业务规则》：指《交银施罗德基金管理有限公司开放式基金业务规则》，是规范基金管理人所管理的开放式证券投资基金注册登记方面的业务规则，由基金管理人制订、解释与修订</w:t>
      </w:r>
    </w:p>
    <w:p w14:paraId="3793FF38" w14:textId="73662662" w:rsidR="00A77DF8" w:rsidRDefault="00885A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65</w:t>
      </w:r>
      <w:r w:rsidR="00E47C67">
        <w:rPr>
          <w:rFonts w:ascii="Times New Roman" w:hAnsi="Times New Roman"/>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14:paraId="43B2E441"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EB7472" w14:textId="77777777" w:rsidR="00A77DF8" w:rsidRDefault="00E47C67">
      <w:pPr>
        <w:pStyle w:val="1"/>
        <w:snapToGrid w:val="0"/>
        <w:spacing w:beforeLines="0" w:before="240" w:after="240"/>
        <w:rPr>
          <w:rFonts w:ascii="宋体" w:hAnsi="宋体"/>
          <w:szCs w:val="30"/>
        </w:rPr>
      </w:pPr>
      <w:bookmarkStart w:id="5" w:name="_Toc54104407"/>
      <w:r>
        <w:rPr>
          <w:rFonts w:ascii="Times New Roman" w:hAnsi="Times New Roman"/>
          <w:sz w:val="30"/>
        </w:rPr>
        <w:lastRenderedPageBreak/>
        <w:t>三、基金管理人</w:t>
      </w:r>
      <w:bookmarkEnd w:id="5"/>
    </w:p>
    <w:p w14:paraId="23DF034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3D8E31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131A8D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7CA7A8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6FEFC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3F1CD9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50C798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42FC3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077B25C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A64E0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2B145B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46F3F67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18437A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A77DF8" w14:paraId="14DD048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FB560C8"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C4EC4B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A77DF8" w14:paraId="2F0A308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E03B8C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FD3E52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A77DF8" w14:paraId="3397618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4F4898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44CDBC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A77DF8" w14:paraId="31B1266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185D09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59FE21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741C2B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77CCB3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0302AE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8E0AC5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E3F93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14:paraId="680D00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14:paraId="55EB9F2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B46AD8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 xml:space="preserve">Lieven </w:t>
      </w:r>
      <w:proofErr w:type="spellStart"/>
      <w:r>
        <w:rPr>
          <w:rFonts w:ascii="Times New Roman" w:hAnsi="Times New Roman"/>
          <w:sz w:val="24"/>
        </w:rPr>
        <w:t>Debruyne</w:t>
      </w:r>
      <w:proofErr w:type="spellEnd"/>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717C23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427D2B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6F6D2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5F1A3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3216DA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w:t>
      </w:r>
      <w:r>
        <w:rPr>
          <w:rFonts w:ascii="Times New Roman" w:hAnsi="Times New Roman"/>
          <w:sz w:val="24"/>
        </w:rPr>
        <w:lastRenderedPageBreak/>
        <w:t>交通银行江苏分行副行长，交通银行战略投资部总经理。</w:t>
      </w:r>
    </w:p>
    <w:p w14:paraId="31CDD9A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14:paraId="4124D2D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CB921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54429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42FC5B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664668F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635B21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4FDAE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30D6A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4B1D95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14:paraId="75EAB7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蔡铮先生，基金经理。复旦大学电子工程硕士，</w:t>
      </w:r>
      <w:r>
        <w:rPr>
          <w:rFonts w:ascii="Times New Roman" w:hAnsi="Times New Roman"/>
          <w:sz w:val="24"/>
        </w:rPr>
        <w:t>11</w:t>
      </w:r>
      <w:r>
        <w:rPr>
          <w:rFonts w:ascii="Times New Roman" w:hAnsi="Times New Roman"/>
          <w:sz w:val="24"/>
        </w:rPr>
        <w:t>年证券从业经验。</w:t>
      </w:r>
      <w:r>
        <w:rPr>
          <w:rFonts w:ascii="Times New Roman" w:hAnsi="Times New Roman"/>
          <w:sz w:val="24"/>
        </w:rPr>
        <w:t>2007</w:t>
      </w:r>
      <w:r>
        <w:rPr>
          <w:rFonts w:ascii="Times New Roman" w:hAnsi="Times New Roman"/>
          <w:sz w:val="24"/>
        </w:rPr>
        <w:t>年起</w:t>
      </w:r>
      <w:r>
        <w:rPr>
          <w:rFonts w:ascii="Times New Roman" w:hAnsi="Times New Roman"/>
          <w:sz w:val="24"/>
        </w:rPr>
        <w:lastRenderedPageBreak/>
        <w:t>在瑞士银行香港分行工作。</w:t>
      </w:r>
      <w:r>
        <w:rPr>
          <w:rFonts w:ascii="Times New Roman" w:hAnsi="Times New Roman"/>
          <w:sz w:val="24"/>
        </w:rPr>
        <w:t>2009</w:t>
      </w:r>
      <w:r>
        <w:rPr>
          <w:rFonts w:ascii="Times New Roman" w:hAnsi="Times New Roman"/>
          <w:sz w:val="24"/>
        </w:rPr>
        <w:t>年加入交银施罗德基金管理有限公司，曾任投资研究部数量分析师、量化投资部助理总经理、量化投资部副总经理，现任量化投资副总监兼多元资产管理副总监、基金经理。曾任基金经理助理、交银施罗德沪深</w:t>
      </w:r>
      <w:r>
        <w:rPr>
          <w:rFonts w:ascii="Times New Roman" w:hAnsi="Times New Roman"/>
          <w:sz w:val="24"/>
        </w:rPr>
        <w:t>300</w:t>
      </w:r>
      <w:r>
        <w:rPr>
          <w:rFonts w:ascii="Times New Roman" w:hAnsi="Times New Roman"/>
          <w:sz w:val="24"/>
        </w:rPr>
        <w:t>行业分层等权重指数证券投资基金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、交银施罗德中证环境治理指数分级证券投资基金（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13</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18</w:t>
      </w:r>
      <w:r>
        <w:rPr>
          <w:rFonts w:ascii="Times New Roman" w:hAnsi="Times New Roman"/>
          <w:sz w:val="24"/>
        </w:rPr>
        <w:t>日）、交银施罗德致远量化智投策略定期开放混合型证券投资基金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、交银施罗德国证新能源指数分级证券投资基金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、交银施罗德中证海外中国互联网指数型证券投资基金</w:t>
      </w:r>
      <w:r>
        <w:rPr>
          <w:rFonts w:ascii="Times New Roman" w:hAnsi="Times New Roman"/>
          <w:sz w:val="24"/>
        </w:rPr>
        <w:t>(LOF)(2015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、交银施罗德中证互联网金融指数分级证券投资基金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、交银施罗德中证环境治理指数型证券投资基金（</w:t>
      </w:r>
      <w:r>
        <w:rPr>
          <w:rFonts w:ascii="Times New Roman" w:hAnsi="Times New Roman"/>
          <w:sz w:val="24"/>
        </w:rPr>
        <w:t>LOF</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19</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488F1A8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历任基金经理</w:t>
      </w:r>
    </w:p>
    <w:p w14:paraId="34FA2D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屈乐伟先生，</w:t>
      </w:r>
      <w:r>
        <w:rPr>
          <w:rFonts w:ascii="Times New Roman" w:hAnsi="Times New Roman"/>
          <w:sz w:val="24"/>
        </w:rPr>
        <w:t>2011</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28</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29</w:t>
      </w:r>
      <w:r>
        <w:rPr>
          <w:rFonts w:ascii="Times New Roman" w:hAnsi="Times New Roman"/>
          <w:sz w:val="24"/>
        </w:rPr>
        <w:t>日任本基金基金经理</w:t>
      </w:r>
    </w:p>
    <w:p w14:paraId="7CAB7E6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5A1D67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351390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4AA090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0CE6F0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14:paraId="129AFBB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14:paraId="5EB7BE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4A121E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14:paraId="341EE9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20F25C1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、对所管理的不同基金财产分别管理、分别记账，进行证券投资；</w:t>
      </w:r>
    </w:p>
    <w:p w14:paraId="0CC42C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5CF6DE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05C6B4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32F4601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6416D7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5B5CDDB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、召集基金份额持有人大会；</w:t>
      </w:r>
    </w:p>
    <w:p w14:paraId="14B295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221CC3D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449289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44A9C8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408A4A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14:paraId="14684A4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7FF533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7CD5A0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2A87B2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32DA3E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799D1F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14:paraId="1BD316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0C1394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662B54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274F2F1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23CEB35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4BC2E1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、不利用职务之便为自己、受雇人或任何第三者谋取利益；</w:t>
      </w:r>
    </w:p>
    <w:p w14:paraId="0E55B8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14:paraId="098DFB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26EDE7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0FE64E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1153E19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14:paraId="5A01FB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190CE1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14:paraId="1E4079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2A943E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14:paraId="1424A2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5C89106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14:paraId="11469B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5CD4E32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6E1AAE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0ADD6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78092C0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12EB0D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5E70710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1AAE3CB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14:paraId="295B2FE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A48EC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14:paraId="4A9D77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604E2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14:paraId="546FE4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639F53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72591F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019AE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5448C91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757F1C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53E2C7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E13A2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125A441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2BF396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3AD8ECC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建立内控体系，完善内控制度</w:t>
      </w:r>
    </w:p>
    <w:p w14:paraId="2F01212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5960D2B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建立相互分离、相互制衡的内控机制</w:t>
      </w:r>
    </w:p>
    <w:p w14:paraId="7280AD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建立、健全了各项制度，做到基金经理分开，投资决策分开，基金交易集中，形成不同部门、不同岗位之间的制衡机制，从制度上减少和防范风险。</w:t>
      </w:r>
    </w:p>
    <w:p w14:paraId="4D9158E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建立、健全岗位责任制</w:t>
      </w:r>
    </w:p>
    <w:p w14:paraId="5C0C22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58977C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建立风险分类、识别、评估、报告、提示程序</w:t>
      </w:r>
    </w:p>
    <w:p w14:paraId="468A7A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99649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建立有效的内部监控系统</w:t>
      </w:r>
    </w:p>
    <w:p w14:paraId="259014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235CB1F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使用数量化的风险管理手段</w:t>
      </w:r>
    </w:p>
    <w:p w14:paraId="3624731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2F60778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提供足够的培训</w:t>
      </w:r>
    </w:p>
    <w:p w14:paraId="22D629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0D0964BC"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6A2B15" w14:textId="77777777" w:rsidR="00A77DF8" w:rsidRDefault="00E47C67">
      <w:pPr>
        <w:pStyle w:val="1"/>
        <w:snapToGrid w:val="0"/>
        <w:spacing w:beforeLines="0" w:before="240" w:after="240"/>
        <w:rPr>
          <w:rFonts w:ascii="宋体" w:hAnsi="宋体"/>
          <w:szCs w:val="30"/>
        </w:rPr>
      </w:pPr>
      <w:bookmarkStart w:id="6" w:name="_Toc54104408"/>
      <w:r>
        <w:rPr>
          <w:rFonts w:ascii="Times New Roman" w:hAnsi="Times New Roman"/>
          <w:sz w:val="30"/>
        </w:rPr>
        <w:lastRenderedPageBreak/>
        <w:t>四、基金托管人</w:t>
      </w:r>
      <w:bookmarkEnd w:id="6"/>
    </w:p>
    <w:p w14:paraId="5003939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14:paraId="344266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14:paraId="725096F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14:paraId="18BBA6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71F0FA3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44BCC48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18CC959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7B94535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14:paraId="044E30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14:paraId="46A207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14:paraId="510F16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4AEF70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5EB4B4A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55846E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5492BE7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14:paraId="1CA0C2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14:paraId="5E3F68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41A22CB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14:paraId="0599832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14:paraId="6D4A3F5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14:paraId="546DFA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529</w:t>
      </w:r>
      <w:r>
        <w:rPr>
          <w:rFonts w:ascii="Times New Roman" w:hAnsi="Times New Roman"/>
          <w:sz w:val="24"/>
        </w:rPr>
        <w:t>只。</w:t>
      </w:r>
    </w:p>
    <w:p w14:paraId="1A236219"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14:paraId="5A7713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14:paraId="2523B0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14:paraId="6531F8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14:paraId="491C740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14:paraId="639C498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14:paraId="7DBE564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9FFBFA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14:paraId="33681A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3BCB6AC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14:paraId="05CBDBD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14:paraId="78BE6E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14:paraId="3C8FB3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14:paraId="6FEAB3B3"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FCCB2C" w14:textId="77777777" w:rsidR="00A77DF8" w:rsidRDefault="00E47C67">
      <w:pPr>
        <w:pStyle w:val="1"/>
        <w:snapToGrid w:val="0"/>
        <w:spacing w:beforeLines="0" w:before="240" w:after="240"/>
        <w:rPr>
          <w:rFonts w:ascii="宋体" w:hAnsi="宋体"/>
          <w:szCs w:val="30"/>
        </w:rPr>
      </w:pPr>
      <w:bookmarkStart w:id="7" w:name="_Toc54104409"/>
      <w:r>
        <w:rPr>
          <w:rFonts w:ascii="Times New Roman" w:hAnsi="Times New Roman"/>
          <w:sz w:val="30"/>
        </w:rPr>
        <w:lastRenderedPageBreak/>
        <w:t>五、相关服务机构</w:t>
      </w:r>
      <w:bookmarkEnd w:id="7"/>
    </w:p>
    <w:p w14:paraId="120B15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4E3B0F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4ADE71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14:paraId="52BFBD1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20C6782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78FCEEC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1A61040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16E3B81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391A0B6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3733EEA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5E56F85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49814D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008582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1CE7AD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个人投资者可以通过基金管理人网上直销交易平台办理开户、本基金的申购、赎回、定期定额投资、转换等业务，具体交易细则请参阅基金管理人网站。</w:t>
      </w:r>
    </w:p>
    <w:p w14:paraId="7EEEBE0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 fund001.com</w:t>
      </w:r>
      <w:r>
        <w:rPr>
          <w:rFonts w:ascii="Times New Roman" w:hAnsi="Times New Roman"/>
          <w:sz w:val="24"/>
        </w:rPr>
        <w:t>。</w:t>
      </w:r>
    </w:p>
    <w:p w14:paraId="27FC09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、场内代销机构</w:t>
      </w:r>
    </w:p>
    <w:p w14:paraId="0B03D50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具有基金代销资格的上海证券交易所场内会员单位（具体名单见基金份额发售公告）。</w:t>
      </w:r>
    </w:p>
    <w:p w14:paraId="2D111DC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、场外代销机构</w:t>
      </w:r>
    </w:p>
    <w:p w14:paraId="04AF3A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）名称：中国建设银行股份有限公司</w:t>
      </w:r>
    </w:p>
    <w:p w14:paraId="515B5C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25</w:t>
      </w:r>
      <w:r>
        <w:rPr>
          <w:rFonts w:ascii="Times New Roman" w:hAnsi="Times New Roman"/>
          <w:sz w:val="24"/>
        </w:rPr>
        <w:t>号</w:t>
      </w:r>
    </w:p>
    <w:p w14:paraId="38E584A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25</w:t>
      </w:r>
      <w:r>
        <w:rPr>
          <w:rFonts w:ascii="Times New Roman" w:hAnsi="Times New Roman"/>
          <w:sz w:val="24"/>
        </w:rPr>
        <w:t>号</w:t>
      </w:r>
    </w:p>
    <w:p w14:paraId="581DEE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法定代表人：田国立</w:t>
      </w:r>
    </w:p>
    <w:p w14:paraId="0F4FBE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013B1A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537CD37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95533</w:t>
      </w:r>
    </w:p>
    <w:p w14:paraId="76C884A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www.ccb.com</w:t>
      </w:r>
    </w:p>
    <w:p w14:paraId="059597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）名称：中国工商银行股份有限公司</w:t>
      </w:r>
    </w:p>
    <w:p w14:paraId="56D41A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住所：北京市复兴门内大街</w:t>
      </w:r>
      <w:r>
        <w:rPr>
          <w:rFonts w:ascii="Times New Roman" w:hAnsi="Times New Roman"/>
          <w:sz w:val="24"/>
        </w:rPr>
        <w:t>55</w:t>
      </w:r>
      <w:r>
        <w:rPr>
          <w:rFonts w:ascii="Times New Roman" w:hAnsi="Times New Roman"/>
          <w:sz w:val="24"/>
        </w:rPr>
        <w:t>号</w:t>
      </w:r>
    </w:p>
    <w:p w14:paraId="22159C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办公地址：北京市复兴门内大街</w:t>
      </w:r>
      <w:r>
        <w:rPr>
          <w:rFonts w:ascii="Times New Roman" w:hAnsi="Times New Roman"/>
          <w:sz w:val="24"/>
        </w:rPr>
        <w:t>55</w:t>
      </w:r>
      <w:r>
        <w:rPr>
          <w:rFonts w:ascii="Times New Roman" w:hAnsi="Times New Roman"/>
          <w:sz w:val="24"/>
        </w:rPr>
        <w:t>号</w:t>
      </w:r>
    </w:p>
    <w:p w14:paraId="32215C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法定代表人：易会满</w:t>
      </w:r>
    </w:p>
    <w:p w14:paraId="44D617A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95588</w:t>
      </w:r>
    </w:p>
    <w:p w14:paraId="64551C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www.icbc.com.cn</w:t>
      </w:r>
    </w:p>
    <w:p w14:paraId="3045AA7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）名称：华夏银行股份有限公司</w:t>
      </w:r>
    </w:p>
    <w:p w14:paraId="7BA8820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22</w:t>
      </w:r>
      <w:r>
        <w:rPr>
          <w:rFonts w:ascii="Times New Roman" w:hAnsi="Times New Roman"/>
          <w:sz w:val="24"/>
        </w:rPr>
        <w:t>号</w:t>
      </w:r>
    </w:p>
    <w:p w14:paraId="0A91ED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办公地址：北京市东城区建国门内大街</w:t>
      </w:r>
      <w:r>
        <w:rPr>
          <w:rFonts w:ascii="Times New Roman" w:hAnsi="Times New Roman"/>
          <w:sz w:val="24"/>
        </w:rPr>
        <w:t>22</w:t>
      </w:r>
      <w:r>
        <w:rPr>
          <w:rFonts w:ascii="Times New Roman" w:hAnsi="Times New Roman"/>
          <w:sz w:val="24"/>
        </w:rPr>
        <w:t>号</w:t>
      </w:r>
    </w:p>
    <w:p w14:paraId="1B5B1E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法定代表人：李民吉</w:t>
      </w:r>
    </w:p>
    <w:p w14:paraId="11B91A2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95577</w:t>
      </w:r>
    </w:p>
    <w:p w14:paraId="052C29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www.hxb.com.cn</w:t>
      </w:r>
    </w:p>
    <w:p w14:paraId="0A39232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）名称：北京银行股份有限公司</w:t>
      </w:r>
    </w:p>
    <w:p w14:paraId="4D0546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住所：北京市西城区金融大街甲</w:t>
      </w:r>
      <w:r>
        <w:rPr>
          <w:rFonts w:ascii="Times New Roman" w:hAnsi="Times New Roman"/>
          <w:sz w:val="24"/>
        </w:rPr>
        <w:t>17</w:t>
      </w:r>
      <w:r>
        <w:rPr>
          <w:rFonts w:ascii="Times New Roman" w:hAnsi="Times New Roman"/>
          <w:sz w:val="24"/>
        </w:rPr>
        <w:t>号首层</w:t>
      </w:r>
    </w:p>
    <w:p w14:paraId="5E66392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办公地址：北京市西城区金融大街甲</w:t>
      </w:r>
      <w:r>
        <w:rPr>
          <w:rFonts w:ascii="Times New Roman" w:hAnsi="Times New Roman"/>
          <w:sz w:val="24"/>
        </w:rPr>
        <w:t>17</w:t>
      </w:r>
      <w:r>
        <w:rPr>
          <w:rFonts w:ascii="Times New Roman" w:hAnsi="Times New Roman"/>
          <w:sz w:val="24"/>
        </w:rPr>
        <w:t>号首层</w:t>
      </w:r>
    </w:p>
    <w:p w14:paraId="12AC91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法定代表人：张东宁</w:t>
      </w:r>
    </w:p>
    <w:p w14:paraId="015D45E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66226045</w:t>
      </w:r>
    </w:p>
    <w:p w14:paraId="724FA7A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联系人：孔超</w:t>
      </w:r>
    </w:p>
    <w:p w14:paraId="74DE96D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95526</w:t>
      </w:r>
    </w:p>
    <w:p w14:paraId="1A4E9D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www.bankofbeijing.com.cn</w:t>
      </w:r>
    </w:p>
    <w:p w14:paraId="5504371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）名称：宁波银行股份有限公司</w:t>
      </w:r>
    </w:p>
    <w:p w14:paraId="1DC232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住所：宁波市江东区中山东路</w:t>
      </w:r>
      <w:r>
        <w:rPr>
          <w:rFonts w:ascii="Times New Roman" w:hAnsi="Times New Roman"/>
          <w:sz w:val="24"/>
        </w:rPr>
        <w:t>294</w:t>
      </w:r>
      <w:r>
        <w:rPr>
          <w:rFonts w:ascii="Times New Roman" w:hAnsi="Times New Roman"/>
          <w:sz w:val="24"/>
        </w:rPr>
        <w:t>号</w:t>
      </w:r>
    </w:p>
    <w:p w14:paraId="3E0A5F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法定代表人：陆华裕</w:t>
      </w:r>
    </w:p>
    <w:p w14:paraId="2EF221D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63586210</w:t>
      </w:r>
    </w:p>
    <w:p w14:paraId="1A09A6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63586215</w:t>
      </w:r>
    </w:p>
    <w:p w14:paraId="7F4925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联系人：胡技勋</w:t>
      </w:r>
    </w:p>
    <w:p w14:paraId="343D259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96528</w:t>
      </w:r>
      <w:r>
        <w:rPr>
          <w:rFonts w:ascii="Times New Roman" w:hAnsi="Times New Roman"/>
          <w:sz w:val="24"/>
        </w:rPr>
        <w:t>（上海地区</w:t>
      </w:r>
      <w:r>
        <w:rPr>
          <w:rFonts w:ascii="Times New Roman" w:hAnsi="Times New Roman"/>
          <w:sz w:val="24"/>
        </w:rPr>
        <w:t>962528</w:t>
      </w:r>
      <w:r>
        <w:rPr>
          <w:rFonts w:ascii="Times New Roman" w:hAnsi="Times New Roman"/>
          <w:sz w:val="24"/>
        </w:rPr>
        <w:t>）</w:t>
      </w:r>
    </w:p>
    <w:p w14:paraId="28D7B0C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www.nbcb.com.cn</w:t>
      </w:r>
    </w:p>
    <w:p w14:paraId="75A682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）名称：中国民生银行股份有限公司</w:t>
      </w:r>
    </w:p>
    <w:p w14:paraId="0FFBE79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住所：北京市西城区复兴门内大街</w:t>
      </w:r>
      <w:r>
        <w:rPr>
          <w:rFonts w:ascii="Times New Roman" w:hAnsi="Times New Roman"/>
          <w:sz w:val="24"/>
        </w:rPr>
        <w:t>2</w:t>
      </w:r>
      <w:r>
        <w:rPr>
          <w:rFonts w:ascii="Times New Roman" w:hAnsi="Times New Roman"/>
          <w:sz w:val="24"/>
        </w:rPr>
        <w:t>号</w:t>
      </w:r>
    </w:p>
    <w:p w14:paraId="4DEFA6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w:t>
      </w:r>
      <w:r>
        <w:rPr>
          <w:rFonts w:ascii="Times New Roman" w:hAnsi="Times New Roman"/>
          <w:sz w:val="24"/>
        </w:rPr>
        <w:t>号</w:t>
      </w:r>
    </w:p>
    <w:p w14:paraId="7DDDF8D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法定代表人：洪崎</w:t>
      </w:r>
    </w:p>
    <w:p w14:paraId="47A0DE3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58560666</w:t>
      </w:r>
    </w:p>
    <w:p w14:paraId="017A038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57092611</w:t>
      </w:r>
    </w:p>
    <w:p w14:paraId="40E53A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联系人：许野</w:t>
      </w:r>
    </w:p>
    <w:p w14:paraId="35094F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95568</w:t>
      </w:r>
    </w:p>
    <w:p w14:paraId="412B68B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www.cmbc.com.cn</w:t>
      </w:r>
    </w:p>
    <w:p w14:paraId="395DF68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）名称：中国农业银行股份有限公司</w:t>
      </w:r>
    </w:p>
    <w:p w14:paraId="64C740A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4B0930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3A93779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465F22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4AAE5D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1E582C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37BFF8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w:t>
      </w:r>
    </w:p>
    <w:p w14:paraId="5AB9C5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www.abchina.com</w:t>
      </w:r>
    </w:p>
    <w:p w14:paraId="23D948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）名称：上海银行股份有限公司</w:t>
      </w:r>
    </w:p>
    <w:p w14:paraId="61AC76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168</w:t>
      </w:r>
      <w:r>
        <w:rPr>
          <w:rFonts w:ascii="Times New Roman" w:hAnsi="Times New Roman"/>
          <w:sz w:val="24"/>
        </w:rPr>
        <w:t>号</w:t>
      </w:r>
    </w:p>
    <w:p w14:paraId="304AFD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168</w:t>
      </w:r>
      <w:r>
        <w:rPr>
          <w:rFonts w:ascii="Times New Roman" w:hAnsi="Times New Roman"/>
          <w:sz w:val="24"/>
        </w:rPr>
        <w:t>号</w:t>
      </w:r>
    </w:p>
    <w:p w14:paraId="47E8C1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法定代表人：金煜</w:t>
      </w:r>
    </w:p>
    <w:p w14:paraId="4752088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68475888</w:t>
      </w:r>
    </w:p>
    <w:p w14:paraId="311D31C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68476111</w:t>
      </w:r>
    </w:p>
    <w:p w14:paraId="480A7A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联系人：张萍</w:t>
      </w:r>
    </w:p>
    <w:p w14:paraId="550596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962888</w:t>
      </w:r>
    </w:p>
    <w:p w14:paraId="5274665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www.bankofshanghai.com</w:t>
      </w:r>
    </w:p>
    <w:p w14:paraId="5685F7D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）名称：招商银行股份有限公司</w:t>
      </w:r>
    </w:p>
    <w:p w14:paraId="6C8282D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14:paraId="65E377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14:paraId="626F6F8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14:paraId="6817B8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14:paraId="710975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14:paraId="12FF9A4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14:paraId="72CED1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14:paraId="034D42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14:paraId="45F7D6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）名称：交通银行股份有限公司</w:t>
      </w:r>
    </w:p>
    <w:p w14:paraId="4FE182B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14:paraId="1960F16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3719384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14:paraId="5D9204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45BA8F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21138F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14:paraId="06735A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14:paraId="126CD9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14:paraId="74DA4F1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）名称：中信银行股份有限公司</w:t>
      </w:r>
    </w:p>
    <w:p w14:paraId="761934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14:paraId="400FF61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14:paraId="3F6168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14:paraId="16FEC8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14:paraId="476B61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14:paraId="7D9AA2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联系人：丰靖</w:t>
      </w:r>
    </w:p>
    <w:p w14:paraId="30559A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95558</w:t>
      </w:r>
    </w:p>
    <w:p w14:paraId="5F0B1F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bank.ecitic.com</w:t>
      </w:r>
    </w:p>
    <w:p w14:paraId="48BEAFF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）名称：东莞农村商业银行股份有限公司</w:t>
      </w:r>
    </w:p>
    <w:p w14:paraId="567067C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住所：东莞市东城区鸿福东路</w:t>
      </w:r>
      <w:r>
        <w:rPr>
          <w:rFonts w:ascii="Times New Roman" w:hAnsi="Times New Roman"/>
          <w:sz w:val="24"/>
        </w:rPr>
        <w:t>2</w:t>
      </w:r>
      <w:r>
        <w:rPr>
          <w:rFonts w:ascii="Times New Roman" w:hAnsi="Times New Roman"/>
          <w:sz w:val="24"/>
        </w:rPr>
        <w:t>号</w:t>
      </w:r>
    </w:p>
    <w:p w14:paraId="3149EB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办公地址：东莞市东城区鸿福东路</w:t>
      </w:r>
      <w:r>
        <w:rPr>
          <w:rFonts w:ascii="Times New Roman" w:hAnsi="Times New Roman"/>
          <w:sz w:val="24"/>
        </w:rPr>
        <w:t>2</w:t>
      </w:r>
      <w:r>
        <w:rPr>
          <w:rFonts w:ascii="Times New Roman" w:hAnsi="Times New Roman"/>
          <w:sz w:val="24"/>
        </w:rPr>
        <w:t>号</w:t>
      </w:r>
    </w:p>
    <w:p w14:paraId="7BE5EF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法定代表人：王耀球</w:t>
      </w:r>
    </w:p>
    <w:p w14:paraId="3F3151E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22866254</w:t>
      </w:r>
    </w:p>
    <w:p w14:paraId="621EDA0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22866282</w:t>
      </w:r>
    </w:p>
    <w:p w14:paraId="549E84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联系人：林培珊</w:t>
      </w:r>
    </w:p>
    <w:p w14:paraId="604FD8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0769</w:t>
      </w:r>
      <w:r>
        <w:rPr>
          <w:rFonts w:ascii="Times New Roman" w:hAnsi="Times New Roman"/>
          <w:sz w:val="24"/>
        </w:rPr>
        <w:t>）</w:t>
      </w:r>
      <w:r>
        <w:rPr>
          <w:rFonts w:ascii="Times New Roman" w:hAnsi="Times New Roman"/>
          <w:sz w:val="24"/>
        </w:rPr>
        <w:t>961122</w:t>
      </w:r>
    </w:p>
    <w:p w14:paraId="722EF1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www.drcbank.com</w:t>
      </w:r>
    </w:p>
    <w:p w14:paraId="0DF525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）名称：江苏常熟农村商业银行股份有限公司</w:t>
      </w:r>
    </w:p>
    <w:p w14:paraId="10AAC9C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住所：江苏省常熟市新世纪大道</w:t>
      </w:r>
      <w:r>
        <w:rPr>
          <w:rFonts w:ascii="Times New Roman" w:hAnsi="Times New Roman"/>
          <w:sz w:val="24"/>
        </w:rPr>
        <w:t>58</w:t>
      </w:r>
      <w:r>
        <w:rPr>
          <w:rFonts w:ascii="Times New Roman" w:hAnsi="Times New Roman"/>
          <w:sz w:val="24"/>
        </w:rPr>
        <w:t>号</w:t>
      </w:r>
    </w:p>
    <w:p w14:paraId="030AB9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办公地址：江苏省常熟市新世纪大道</w:t>
      </w:r>
      <w:r>
        <w:rPr>
          <w:rFonts w:ascii="Times New Roman" w:hAnsi="Times New Roman"/>
          <w:sz w:val="24"/>
        </w:rPr>
        <w:t>58</w:t>
      </w:r>
      <w:r>
        <w:rPr>
          <w:rFonts w:ascii="Times New Roman" w:hAnsi="Times New Roman"/>
          <w:sz w:val="24"/>
        </w:rPr>
        <w:t>号</w:t>
      </w:r>
    </w:p>
    <w:p w14:paraId="4D6F82F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法定代表人：宋建明</w:t>
      </w:r>
    </w:p>
    <w:p w14:paraId="4A00025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0512</w:t>
      </w:r>
      <w:r>
        <w:rPr>
          <w:rFonts w:ascii="Times New Roman" w:hAnsi="Times New Roman"/>
          <w:sz w:val="24"/>
        </w:rPr>
        <w:t>）</w:t>
      </w:r>
      <w:r>
        <w:rPr>
          <w:rFonts w:ascii="Times New Roman" w:hAnsi="Times New Roman"/>
          <w:sz w:val="24"/>
        </w:rPr>
        <w:t>52909128</w:t>
      </w:r>
    </w:p>
    <w:p w14:paraId="7D67A94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0512</w:t>
      </w:r>
      <w:r>
        <w:rPr>
          <w:rFonts w:ascii="Times New Roman" w:hAnsi="Times New Roman"/>
          <w:sz w:val="24"/>
        </w:rPr>
        <w:t>）</w:t>
      </w:r>
      <w:r>
        <w:rPr>
          <w:rFonts w:ascii="Times New Roman" w:hAnsi="Times New Roman"/>
          <w:sz w:val="24"/>
        </w:rPr>
        <w:t>52909122</w:t>
      </w:r>
    </w:p>
    <w:p w14:paraId="0CD741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联系人：黄晓</w:t>
      </w:r>
    </w:p>
    <w:p w14:paraId="390214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962000</w:t>
      </w:r>
    </w:p>
    <w:p w14:paraId="1FDC43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www.csrcbank.com</w:t>
      </w:r>
    </w:p>
    <w:p w14:paraId="6019B8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）名称：江苏江南农村商业银行股份有限公司</w:t>
      </w:r>
    </w:p>
    <w:p w14:paraId="55D416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住所：江苏省常州市和平中路</w:t>
      </w:r>
      <w:r>
        <w:rPr>
          <w:rFonts w:ascii="Times New Roman" w:hAnsi="Times New Roman"/>
          <w:sz w:val="24"/>
        </w:rPr>
        <w:t>413</w:t>
      </w:r>
      <w:r>
        <w:rPr>
          <w:rFonts w:ascii="Times New Roman" w:hAnsi="Times New Roman"/>
          <w:sz w:val="24"/>
        </w:rPr>
        <w:t>号</w:t>
      </w:r>
    </w:p>
    <w:p w14:paraId="446747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办公地址：江苏省常州市和平中路</w:t>
      </w:r>
      <w:r>
        <w:rPr>
          <w:rFonts w:ascii="Times New Roman" w:hAnsi="Times New Roman"/>
          <w:sz w:val="24"/>
        </w:rPr>
        <w:t>413</w:t>
      </w:r>
      <w:r>
        <w:rPr>
          <w:rFonts w:ascii="Times New Roman" w:hAnsi="Times New Roman"/>
          <w:sz w:val="24"/>
        </w:rPr>
        <w:t>号</w:t>
      </w:r>
    </w:p>
    <w:p w14:paraId="493F60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法定代表人：陆向阳</w:t>
      </w:r>
    </w:p>
    <w:p w14:paraId="1F6FD0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0519-80585939</w:t>
      </w:r>
    </w:p>
    <w:p w14:paraId="1F9F09D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0519-89995170</w:t>
      </w:r>
    </w:p>
    <w:p w14:paraId="3349EF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联系人：蒋姣</w:t>
      </w:r>
    </w:p>
    <w:p w14:paraId="36700C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96005</w:t>
      </w:r>
    </w:p>
    <w:p w14:paraId="039DD0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http://www.jnbank.com.cn</w:t>
      </w:r>
    </w:p>
    <w:p w14:paraId="58543AC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）名称：海通证券股份有限公司</w:t>
      </w:r>
    </w:p>
    <w:p w14:paraId="325ED4C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14:paraId="7B16C2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14:paraId="3339E00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14:paraId="4E54EA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14:paraId="2AC553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14:paraId="6F1881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14:paraId="1A3528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14:paraId="046AA90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14:paraId="0AE304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）名称：红塔证券股份有限公司</w:t>
      </w:r>
    </w:p>
    <w:p w14:paraId="4227DB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住所：云南省昆明市北京路</w:t>
      </w:r>
      <w:r>
        <w:rPr>
          <w:rFonts w:ascii="Times New Roman" w:hAnsi="Times New Roman"/>
          <w:sz w:val="24"/>
        </w:rPr>
        <w:t>155</w:t>
      </w:r>
      <w:r>
        <w:rPr>
          <w:rFonts w:ascii="Times New Roman" w:hAnsi="Times New Roman"/>
          <w:sz w:val="24"/>
        </w:rPr>
        <w:t>号附</w:t>
      </w:r>
      <w:r>
        <w:rPr>
          <w:rFonts w:ascii="Times New Roman" w:hAnsi="Times New Roman"/>
          <w:sz w:val="24"/>
        </w:rPr>
        <w:t>1</w:t>
      </w:r>
      <w:r>
        <w:rPr>
          <w:rFonts w:ascii="Times New Roman" w:hAnsi="Times New Roman"/>
          <w:sz w:val="24"/>
        </w:rPr>
        <w:t>号红塔大厦</w:t>
      </w:r>
      <w:r>
        <w:rPr>
          <w:rFonts w:ascii="Times New Roman" w:hAnsi="Times New Roman"/>
          <w:sz w:val="24"/>
        </w:rPr>
        <w:t>9</w:t>
      </w:r>
      <w:r>
        <w:rPr>
          <w:rFonts w:ascii="Times New Roman" w:hAnsi="Times New Roman"/>
          <w:sz w:val="24"/>
        </w:rPr>
        <w:t>楼</w:t>
      </w:r>
    </w:p>
    <w:p w14:paraId="0E098C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办公地址：云南省昆明市北京路</w:t>
      </w:r>
      <w:r>
        <w:rPr>
          <w:rFonts w:ascii="Times New Roman" w:hAnsi="Times New Roman"/>
          <w:sz w:val="24"/>
        </w:rPr>
        <w:t>155</w:t>
      </w:r>
      <w:r>
        <w:rPr>
          <w:rFonts w:ascii="Times New Roman" w:hAnsi="Times New Roman"/>
          <w:sz w:val="24"/>
        </w:rPr>
        <w:t>号附</w:t>
      </w:r>
      <w:r>
        <w:rPr>
          <w:rFonts w:ascii="Times New Roman" w:hAnsi="Times New Roman"/>
          <w:sz w:val="24"/>
        </w:rPr>
        <w:t>1</w:t>
      </w:r>
      <w:r>
        <w:rPr>
          <w:rFonts w:ascii="Times New Roman" w:hAnsi="Times New Roman"/>
          <w:sz w:val="24"/>
        </w:rPr>
        <w:t>号红塔大厦</w:t>
      </w:r>
      <w:r>
        <w:rPr>
          <w:rFonts w:ascii="Times New Roman" w:hAnsi="Times New Roman"/>
          <w:sz w:val="24"/>
        </w:rPr>
        <w:t>9</w:t>
      </w:r>
      <w:r>
        <w:rPr>
          <w:rFonts w:ascii="Times New Roman" w:hAnsi="Times New Roman"/>
          <w:sz w:val="24"/>
        </w:rPr>
        <w:t>楼</w:t>
      </w:r>
    </w:p>
    <w:p w14:paraId="1F62F41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法定代表人：况雨林</w:t>
      </w:r>
    </w:p>
    <w:p w14:paraId="323AE68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0871-3577888</w:t>
      </w:r>
    </w:p>
    <w:p w14:paraId="18AAB08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www.hongtastock.com</w:t>
      </w:r>
    </w:p>
    <w:p w14:paraId="6742B23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）名称：申万宏源证券有限公司</w:t>
      </w:r>
    </w:p>
    <w:p w14:paraId="04BC92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5149FE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1EC554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法定代表人：杨玉成</w:t>
      </w:r>
    </w:p>
    <w:p w14:paraId="134249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14:paraId="70FF2C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联系人：李清怡</w:t>
      </w:r>
    </w:p>
    <w:p w14:paraId="085837F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14:paraId="3B6743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www.sywg.com</w:t>
      </w:r>
    </w:p>
    <w:p w14:paraId="03A52B4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）名称：联讯证券股份有限公司</w:t>
      </w:r>
    </w:p>
    <w:p w14:paraId="727ABA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惠州市江北东江三路</w:t>
      </w:r>
      <w:r>
        <w:rPr>
          <w:rFonts w:ascii="Times New Roman" w:hAnsi="Times New Roman"/>
          <w:sz w:val="24"/>
        </w:rPr>
        <w:t>55</w:t>
      </w:r>
      <w:r>
        <w:rPr>
          <w:rFonts w:ascii="Times New Roman" w:hAnsi="Times New Roman"/>
          <w:sz w:val="24"/>
        </w:rPr>
        <w:t>号广播电视新闻中心西面一层大堂和三、四层</w:t>
      </w:r>
    </w:p>
    <w:p w14:paraId="694EF4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办公地址：惠州市江北东江三路</w:t>
      </w:r>
      <w:r>
        <w:rPr>
          <w:rFonts w:ascii="Times New Roman" w:hAnsi="Times New Roman"/>
          <w:sz w:val="24"/>
        </w:rPr>
        <w:t>55</w:t>
      </w:r>
      <w:r>
        <w:rPr>
          <w:rFonts w:ascii="Times New Roman" w:hAnsi="Times New Roman"/>
          <w:sz w:val="24"/>
        </w:rPr>
        <w:t>号广播电视新闻中心西面一层大堂和三、四层</w:t>
      </w:r>
    </w:p>
    <w:p w14:paraId="14F9BF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法定代表人：徐刚</w:t>
      </w:r>
    </w:p>
    <w:p w14:paraId="4C4025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33606736</w:t>
      </w:r>
    </w:p>
    <w:p w14:paraId="53F69C0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33606760</w:t>
      </w:r>
    </w:p>
    <w:p w14:paraId="36CDD7F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联系人：陈思</w:t>
      </w:r>
    </w:p>
    <w:p w14:paraId="11E239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95564</w:t>
      </w:r>
    </w:p>
    <w:p w14:paraId="2EBF14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www.lxzq.com.cn</w:t>
      </w:r>
    </w:p>
    <w:p w14:paraId="738BE88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）名称：华西证券股份有限公司</w:t>
      </w:r>
    </w:p>
    <w:p w14:paraId="5964A0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14:paraId="0481063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14:paraId="64D852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法定代表人：杨炯洋</w:t>
      </w:r>
    </w:p>
    <w:p w14:paraId="59F264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14:paraId="42FFCB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14:paraId="6A337C2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联系人：周志茹</w:t>
      </w:r>
    </w:p>
    <w:p w14:paraId="543006B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95584</w:t>
      </w:r>
    </w:p>
    <w:p w14:paraId="517E8D0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www.hx168.com.cn</w:t>
      </w:r>
    </w:p>
    <w:p w14:paraId="7EF5D4C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）名称：平安证券股份有限公司</w:t>
      </w:r>
    </w:p>
    <w:p w14:paraId="37F0EB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307AF43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77F6C3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14:paraId="50AE85E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525507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230DA60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14:paraId="5DA602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14:paraId="44AA75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14:paraId="5A7C16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）名称：北京钱景财富投资管理有限公司</w:t>
      </w:r>
    </w:p>
    <w:p w14:paraId="658314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70BA544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373F023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14:paraId="07444E8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628619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4D8EA45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14:paraId="744281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366D2A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www.niuji.net</w:t>
      </w:r>
    </w:p>
    <w:p w14:paraId="150A88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）名称：上海大智慧基金销售有限公司</w:t>
      </w:r>
    </w:p>
    <w:p w14:paraId="501FF7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75542A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38E58B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14:paraId="5934EE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14:paraId="5EB4D0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14:paraId="59A0D90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联系人：张蜓</w:t>
      </w:r>
    </w:p>
    <w:p w14:paraId="0AB1C7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14:paraId="613EF5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14:paraId="4752A4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）名称：上海利得基金销售有限公司</w:t>
      </w:r>
    </w:p>
    <w:p w14:paraId="4885B08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4BD155A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38CEB2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14:paraId="6C99BE0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14:paraId="611D19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14:paraId="347175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7FAA03E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14:paraId="3865E2E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14:paraId="37BFAF1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）名称：上海凯石财富基金销售有限公司</w:t>
      </w:r>
    </w:p>
    <w:p w14:paraId="4FACA4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14:paraId="2D3657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14:paraId="18D4A88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法定代表人：陈继武</w:t>
      </w:r>
    </w:p>
    <w:p w14:paraId="3151F93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021-63333319</w:t>
      </w:r>
    </w:p>
    <w:p w14:paraId="30D299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021-63332523</w:t>
      </w:r>
    </w:p>
    <w:p w14:paraId="1A51305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联系人：李晓明</w:t>
      </w:r>
    </w:p>
    <w:p w14:paraId="37B93B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4000 178 000</w:t>
      </w:r>
    </w:p>
    <w:p w14:paraId="582C5D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www.lingxianfund.com</w:t>
      </w:r>
    </w:p>
    <w:p w14:paraId="390E42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）名称：北京虹点基金销售有限公司</w:t>
      </w:r>
    </w:p>
    <w:p w14:paraId="732430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4E70C2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56E456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14:paraId="10E26CB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59722A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0BD9730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14:paraId="301D6F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14:paraId="74527E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14:paraId="1BD038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1E10D2D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06761D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7C44B74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14:paraId="7339581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79F672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7E807A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14:paraId="21FB01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14:paraId="357BDB2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14:paraId="6B9365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）名称：上海好买基金销售有限公司</w:t>
      </w:r>
    </w:p>
    <w:p w14:paraId="10B51B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0EFC29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7ADDC41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14:paraId="28B7AB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29373F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14:paraId="478044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14:paraId="1ED176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14:paraId="64C025C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）名称：上海长量基金销售投资顾问有限公司</w:t>
      </w:r>
    </w:p>
    <w:p w14:paraId="3A75F4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5A2CB9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00D082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14:paraId="5A19EE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2FF11C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4FE7C3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14:paraId="0950F8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14:paraId="0263E2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14:paraId="4CED63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）名称：深圳众禄基金销售有限公司</w:t>
      </w:r>
    </w:p>
    <w:p w14:paraId="4A1AF3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06ED742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5E8CF29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6043C4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22E5AC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600F22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14:paraId="3FA187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14:paraId="32D557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3D9679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）名称：蚂蚁（杭州）基金销售有限公司</w:t>
      </w:r>
    </w:p>
    <w:p w14:paraId="50C643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14:paraId="6129AF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1735DC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14:paraId="0863C2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7616F9B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6A7752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联系人：周嬿旻</w:t>
      </w:r>
    </w:p>
    <w:p w14:paraId="7EA2E5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14:paraId="4A4F77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14:paraId="65B0DD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）名称：深圳市新兰德证券投资咨询有限公司</w:t>
      </w:r>
    </w:p>
    <w:p w14:paraId="4D27D9A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0CD591F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784E8B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14:paraId="783EF9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2300D71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7248E6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14:paraId="71CDDE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14:paraId="01DC52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14:paraId="7C67E8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）名称：北京展恒基金销售股份有限公司</w:t>
      </w:r>
    </w:p>
    <w:p w14:paraId="395EEC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09B4B0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73DA1A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14:paraId="1134DA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33C1B4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292789B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6CDAE8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14:paraId="251296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14:paraId="552D39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）名称：一路财富（北京）信息科技有限公司</w:t>
      </w:r>
    </w:p>
    <w:p w14:paraId="42F885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532E80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3A0BDD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743DFB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14:paraId="08DDA2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14:paraId="39C1C5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14:paraId="59BD15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14:paraId="45FE946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14:paraId="528F86C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）名称：和讯信息科技有限公司</w:t>
      </w:r>
    </w:p>
    <w:p w14:paraId="6731B6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793E35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62A8B1E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14:paraId="7CBE944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364C71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2DBB08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14:paraId="7B3B75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4009200022</w:t>
      </w:r>
    </w:p>
    <w:p w14:paraId="33065B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14:paraId="15E5878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）名称：上海天天基金销售有限公司</w:t>
      </w:r>
    </w:p>
    <w:p w14:paraId="218CEAE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361CAE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0553FEA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14:paraId="025BEB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1B6C7A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2B9DAA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14:paraId="5A9E2F1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14:paraId="018270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14:paraId="0426DA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）名称：上海联泰资产管理有限公司</w:t>
      </w:r>
    </w:p>
    <w:p w14:paraId="61A990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410C66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13D70C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14:paraId="3BFA79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14:paraId="13123A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021-52975270</w:t>
      </w:r>
    </w:p>
    <w:p w14:paraId="3D6C2DA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联系人：凌秋艳</w:t>
      </w:r>
    </w:p>
    <w:p w14:paraId="7A2054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14:paraId="4552F3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14:paraId="1A532CC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）名称：珠海盈米财富管理有限公司</w:t>
      </w:r>
    </w:p>
    <w:p w14:paraId="03E943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26DAFF3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3A7CCDF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14:paraId="60F694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6EB5C55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4E61A0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联系人：黄敏嫦</w:t>
      </w:r>
    </w:p>
    <w:p w14:paraId="126104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2F02DE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14:paraId="1C0CA86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）名称：上海基煜基金销售有限公司</w:t>
      </w:r>
    </w:p>
    <w:p w14:paraId="2CA56CE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614FD2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4E5BB55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14:paraId="2F48FC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1E13A2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725717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14:paraId="123090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14:paraId="6C2B769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14:paraId="5A718A1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）名称：宜信普泽投资顾问（北京）有限公司</w:t>
      </w:r>
    </w:p>
    <w:p w14:paraId="50CAC1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0D64F0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7464507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14:paraId="47705E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14:paraId="3CE9B3E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010-85894285</w:t>
      </w:r>
    </w:p>
    <w:p w14:paraId="6CA67D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14:paraId="4A1F06A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400-6099-200</w:t>
      </w:r>
    </w:p>
    <w:p w14:paraId="234EA3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14:paraId="1AD25C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）名称：中国国际金融股份有限公司</w:t>
      </w:r>
    </w:p>
    <w:p w14:paraId="132DC3B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5DBAD1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62FF0D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14:paraId="6DBD13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09A2B5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4217D8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14:paraId="27D639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14:paraId="607AA24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）名称：浙江同花顺基金销售有限公司</w:t>
      </w:r>
    </w:p>
    <w:p w14:paraId="5BB1618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3EF848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5603F3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法定代表人：凌顺平</w:t>
      </w:r>
    </w:p>
    <w:p w14:paraId="708F616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4797C0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23C198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14:paraId="55151B3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14:paraId="25C2A3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14:paraId="371251C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）名称：中信期货有限公司</w:t>
      </w:r>
    </w:p>
    <w:p w14:paraId="54D902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242EED1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3749F6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法定代表人：张皓</w:t>
      </w:r>
    </w:p>
    <w:p w14:paraId="2B8BFF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010-60833754</w:t>
      </w:r>
    </w:p>
    <w:p w14:paraId="34D4384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021-60819988</w:t>
      </w:r>
    </w:p>
    <w:p w14:paraId="4C807AB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联系人：刘宏莹</w:t>
      </w:r>
    </w:p>
    <w:p w14:paraId="77EFFC9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400-990-8826</w:t>
      </w:r>
    </w:p>
    <w:p w14:paraId="4CBB20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网站：</w:t>
      </w:r>
      <w:r>
        <w:rPr>
          <w:rFonts w:ascii="Times New Roman" w:hAnsi="Times New Roman"/>
          <w:sz w:val="24"/>
        </w:rPr>
        <w:t>www.citicsf.com</w:t>
      </w:r>
    </w:p>
    <w:p w14:paraId="41CF267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43</w:t>
      </w:r>
      <w:r>
        <w:rPr>
          <w:rFonts w:ascii="Times New Roman" w:hAnsi="Times New Roman"/>
          <w:sz w:val="24"/>
        </w:rPr>
        <w:t>）名称：上海陆金所资产管理有限公司</w:t>
      </w:r>
    </w:p>
    <w:p w14:paraId="43033FD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6EB576D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429E195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14:paraId="463EC7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717053E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7D50701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联系人：宁博宇</w:t>
      </w:r>
    </w:p>
    <w:p w14:paraId="11E9A0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14:paraId="4ACDFF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14:paraId="5BD585A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）名称：北京恒天明泽基金销售有限公司</w:t>
      </w:r>
    </w:p>
    <w:p w14:paraId="297640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3887C6C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4BE173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14:paraId="23065F8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468BC0A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7A6A44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14:paraId="59CFAB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14:paraId="0F0031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14:paraId="1573C4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）名称：北京汇成基金销售有限公司</w:t>
      </w:r>
    </w:p>
    <w:p w14:paraId="155220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0AAB21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6232AE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14:paraId="4D5C8E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72D2F0C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216CECC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联系人：丁向坤</w:t>
      </w:r>
    </w:p>
    <w:p w14:paraId="6AC51F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14:paraId="275875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079DFE1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）名称：奕丰基金销售有限公司</w:t>
      </w:r>
    </w:p>
    <w:p w14:paraId="532884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546B4B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333DBFD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14:paraId="62F5FC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11E14FC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0BBDE33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14:paraId="0EC202E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14:paraId="43F731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14:paraId="7D2F77E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）名称：北京创金启富投资管理有限公司</w:t>
      </w:r>
    </w:p>
    <w:p w14:paraId="21172B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14:paraId="10DEB84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14:paraId="4B5152F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法定代表人：梁蓉</w:t>
      </w:r>
    </w:p>
    <w:p w14:paraId="09E8A4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14:paraId="3CF2E3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14:paraId="4D0AB5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联系人：李婷婷</w:t>
      </w:r>
    </w:p>
    <w:p w14:paraId="2EDAC88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400-6262-818</w:t>
      </w:r>
    </w:p>
    <w:p w14:paraId="1A4BD6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www.5irich.com</w:t>
      </w:r>
    </w:p>
    <w:p w14:paraId="6A76CF4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）名称：上海云湾投资管理有限公司</w:t>
      </w:r>
    </w:p>
    <w:p w14:paraId="6AFAFEB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14:paraId="3A0A41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14:paraId="3689D8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法定代表人：戴新装</w:t>
      </w:r>
    </w:p>
    <w:p w14:paraId="6135B20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14:paraId="63FC4F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14:paraId="6180C7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14:paraId="2472090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14:paraId="45D082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14:paraId="6B2DE3A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）名称：中证金牛（北京）投资咨询有限公司</w:t>
      </w:r>
    </w:p>
    <w:p w14:paraId="5A830B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704FCBA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4045BD5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14:paraId="4E7E42A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5CD088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4713F2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14:paraId="6349F6F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14:paraId="2793D7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www.jnlc.com</w:t>
      </w:r>
    </w:p>
    <w:p w14:paraId="6DB24F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）名称：北京新浪仓石基金销售有限公司</w:t>
      </w:r>
    </w:p>
    <w:p w14:paraId="6C8DD7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187EA5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4DAC3C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14:paraId="6395664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758264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14:paraId="265B20F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14:paraId="110DAC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54A290B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14:paraId="7B96AC5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）名称：北京肯特瑞基金销售有限公司</w:t>
      </w:r>
    </w:p>
    <w:p w14:paraId="5E5EB37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7216B91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6CC856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14:paraId="5CB75C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14:paraId="015BED3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14:paraId="3EA8B7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698D71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14:paraId="725470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14:paraId="2C7E67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）名称：北京蛋卷基金销售有限公司</w:t>
      </w:r>
    </w:p>
    <w:p w14:paraId="08640C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014A6F8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1FA479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14:paraId="03D476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08CAD2B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680329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联系人：侯芳芳</w:t>
      </w:r>
    </w:p>
    <w:p w14:paraId="5C6D92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14:paraId="7291901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14:paraId="5551F4E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）名称：凤凰金信（银川）投资管理有限公司</w:t>
      </w:r>
    </w:p>
    <w:p w14:paraId="442D62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14:paraId="1C33B88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073BB2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14:paraId="183D56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04308F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560CE2E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14:paraId="4769F09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14:paraId="4640AD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14:paraId="3A49E1C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）名称：深圳市金斧子基金销售有限公司</w:t>
      </w:r>
    </w:p>
    <w:p w14:paraId="3F67451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14:paraId="77D26D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14:paraId="5EB53D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法定代表人：赖任军</w:t>
      </w:r>
    </w:p>
    <w:p w14:paraId="69F827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14:paraId="701928F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14:paraId="10458B7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联系人：张烨</w:t>
      </w:r>
    </w:p>
    <w:p w14:paraId="5704E25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400-9500-888</w:t>
      </w:r>
    </w:p>
    <w:p w14:paraId="716C43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www.jfzinv.com</w:t>
      </w:r>
    </w:p>
    <w:p w14:paraId="615537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）名称：格上富信投资顾问有限公司</w:t>
      </w:r>
    </w:p>
    <w:p w14:paraId="1D4FF9E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20322B1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3FAB0E7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14:paraId="20566B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2E738F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224AEE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14:paraId="2FA2037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400-066-8586</w:t>
      </w:r>
    </w:p>
    <w:p w14:paraId="756B77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14:paraId="36E4591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）名称：上海万得基金销售有限公司</w:t>
      </w:r>
    </w:p>
    <w:p w14:paraId="713AEF1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7CF446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423B35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14:paraId="748304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14:paraId="6147A9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14:paraId="154EC17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095FC5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14:paraId="3A2685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72DC46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）名称：天津万家财富资产管理有限公司</w:t>
      </w:r>
    </w:p>
    <w:p w14:paraId="077F31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14:paraId="359173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14:paraId="27FAEE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14:paraId="609B22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14:paraId="3A88399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14:paraId="1716E1B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联系人：王芳芳</w:t>
      </w:r>
    </w:p>
    <w:p w14:paraId="63DE5E0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14:paraId="64CB35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http://www.wanjiawealth.com/</w:t>
      </w:r>
    </w:p>
    <w:p w14:paraId="62DD9BD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）名称：上海挖财金融信息服务有限公司</w:t>
      </w:r>
    </w:p>
    <w:p w14:paraId="6AB0C1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1A05CE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6BCFBF9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1BF6F64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6C53C3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646D182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14:paraId="4844E79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167547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14:paraId="2C4A83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）名称：嘉实财富管理有限公司</w:t>
      </w:r>
    </w:p>
    <w:p w14:paraId="4197F17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7D17A6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0F65980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478705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21E958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0FF268A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14:paraId="61A494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14:paraId="01EF10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4B6011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）名称：南京苏宁基金销售有限公司</w:t>
      </w:r>
    </w:p>
    <w:p w14:paraId="3F807C2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3F282F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03AB60D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14:paraId="60AFA12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14:paraId="4CC5343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14:paraId="447142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48077F6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14:paraId="62AF1F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736AB5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）名称：北京百度百盈基金销售有限公司</w:t>
      </w:r>
    </w:p>
    <w:p w14:paraId="5FBA31F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051CFA8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14:paraId="43C4B0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6BC001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14:paraId="3FFC6DA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14:paraId="5207A0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联系人：霍博华</w:t>
      </w:r>
    </w:p>
    <w:p w14:paraId="09A3FE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14:paraId="736D051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386914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）名称：北京唐鼎耀华投资咨询有限公司</w:t>
      </w:r>
    </w:p>
    <w:p w14:paraId="324747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7396D1B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7BF7D6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14:paraId="6DE3832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4C2B860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3CC07A3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3F1CEC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14:paraId="53A2A7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14:paraId="2203D5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）名称：上海华夏财富投资管理有限公司</w:t>
      </w:r>
    </w:p>
    <w:p w14:paraId="0831991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71CA0A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6EF1602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14:paraId="3D01BB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010-88066632</w:t>
      </w:r>
    </w:p>
    <w:p w14:paraId="06741B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14:paraId="2F4B3BE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14:paraId="744589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14:paraId="2ACBD2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684DE08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）名称：江苏汇林保大基金销售有限公司</w:t>
      </w:r>
    </w:p>
    <w:p w14:paraId="0EAC725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08AC3E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52DD80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14:paraId="1694F1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6B13BA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14:paraId="6EE74AB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3A2A5C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14:paraId="063B88C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34F9FE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）名称：玄元保险代理有限公司</w:t>
      </w:r>
    </w:p>
    <w:p w14:paraId="75A06D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26931C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74C7D0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14:paraId="30A087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19748E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278183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14:paraId="2E90D2C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www.licaimofang.cn</w:t>
      </w:r>
    </w:p>
    <w:p w14:paraId="04F2AF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）名称：阳光人寿保险股份有限公司</w:t>
      </w:r>
    </w:p>
    <w:p w14:paraId="6D42A1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304CD8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0F212B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14:paraId="068359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7803297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2C5B805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14:paraId="4D5690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95510</w:t>
      </w:r>
    </w:p>
    <w:p w14:paraId="0CF04A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14:paraId="795DFF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）名称：大连网金基金销售有限公司</w:t>
      </w:r>
    </w:p>
    <w:p w14:paraId="261701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5BAE4D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48E6C5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5820AB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785D5C4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30AAB8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207258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5DC019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14:paraId="2D9275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基金管理人可根据有关法律法规的要求，选择其它符合要求的机构代理销售本基金，并在管理人网站公示。</w:t>
      </w:r>
    </w:p>
    <w:p w14:paraId="66AA7C9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14:paraId="357A652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338666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460E69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31F692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14:paraId="5B54FEB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66BC49B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60648A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0C1F8A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310F84F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名称：上海市通力律师事务所</w:t>
      </w:r>
    </w:p>
    <w:p w14:paraId="3B6BF4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3793BD1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39CA12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18457D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3CEC31B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4C3C76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14:paraId="468A98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14:paraId="4DF66E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01EC97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14:paraId="6C7AE2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6</w:t>
      </w:r>
      <w:r>
        <w:rPr>
          <w:rFonts w:ascii="Times New Roman" w:hAnsi="Times New Roman"/>
          <w:sz w:val="24"/>
        </w:rPr>
        <w:t>楼</w:t>
      </w:r>
    </w:p>
    <w:p w14:paraId="4162869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14:paraId="7BD2ED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65FDB1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50A09B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3C676C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14:paraId="66BA3C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经办注册会计师：童咏静、朱宏宇</w:t>
      </w:r>
    </w:p>
    <w:p w14:paraId="11C2DBF4"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B7CE6E5" w14:textId="77777777" w:rsidR="00A77DF8" w:rsidRDefault="00E47C67">
      <w:pPr>
        <w:pStyle w:val="1"/>
        <w:snapToGrid w:val="0"/>
        <w:spacing w:beforeLines="0" w:before="240" w:after="240"/>
        <w:rPr>
          <w:rFonts w:ascii="宋体" w:hAnsi="宋体"/>
          <w:szCs w:val="30"/>
        </w:rPr>
      </w:pPr>
      <w:bookmarkStart w:id="8" w:name="_Toc54104410"/>
      <w:r>
        <w:rPr>
          <w:rFonts w:ascii="Times New Roman" w:hAnsi="Times New Roman"/>
          <w:sz w:val="30"/>
        </w:rPr>
        <w:lastRenderedPageBreak/>
        <w:t>六、基金的募集</w:t>
      </w:r>
      <w:bookmarkEnd w:id="8"/>
    </w:p>
    <w:p w14:paraId="01B2D56F"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（一）本基金的募集情况</w:t>
      </w:r>
    </w:p>
    <w:p w14:paraId="44B2A8B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[2011]967</w:t>
      </w:r>
      <w:r>
        <w:rPr>
          <w:rFonts w:ascii="Times New Roman" w:hAnsi="Times New Roman"/>
          <w:sz w:val="24"/>
        </w:rPr>
        <w:t>号文核准募集发售。</w:t>
      </w:r>
    </w:p>
    <w:p w14:paraId="14FF40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w:t>
      </w:r>
      <w:r>
        <w:rPr>
          <w:rFonts w:ascii="Times New Roman" w:hAnsi="Times New Roman"/>
          <w:sz w:val="24"/>
        </w:rPr>
        <w:t>ETF</w:t>
      </w:r>
      <w:r>
        <w:rPr>
          <w:rFonts w:ascii="Times New Roman" w:hAnsi="Times New Roman"/>
          <w:sz w:val="24"/>
        </w:rPr>
        <w:t>联接基金。基金存续期间为不定期。</w:t>
      </w:r>
    </w:p>
    <w:p w14:paraId="1F58C06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2AD987C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本基金的募集期限不超过</w:t>
      </w:r>
      <w:r>
        <w:rPr>
          <w:rFonts w:ascii="Times New Roman" w:hAnsi="Times New Roman"/>
          <w:sz w:val="24"/>
        </w:rPr>
        <w:t>3</w:t>
      </w:r>
      <w:r>
        <w:rPr>
          <w:rFonts w:ascii="Times New Roman" w:hAnsi="Times New Roman"/>
          <w:sz w:val="24"/>
        </w:rPr>
        <w:t>个月，自基金份额开始发售之日起计算。</w:t>
      </w:r>
    </w:p>
    <w:p w14:paraId="763ADA1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2011</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23</w:t>
      </w:r>
      <w:r>
        <w:rPr>
          <w:rFonts w:ascii="Times New Roman" w:hAnsi="Times New Roman"/>
          <w:sz w:val="24"/>
        </w:rPr>
        <w:t>日止进行发售。</w:t>
      </w:r>
    </w:p>
    <w:p w14:paraId="4ACEC8A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本基金设立募集期共募集</w:t>
      </w:r>
      <w:r>
        <w:rPr>
          <w:rFonts w:ascii="Times New Roman" w:hAnsi="Times New Roman"/>
          <w:sz w:val="24"/>
        </w:rPr>
        <w:t>374,322,437.11</w:t>
      </w:r>
      <w:r>
        <w:rPr>
          <w:rFonts w:ascii="Times New Roman" w:hAnsi="Times New Roman"/>
          <w:sz w:val="24"/>
        </w:rPr>
        <w:t>份基金份额，有效认购户数为</w:t>
      </w:r>
      <w:r>
        <w:rPr>
          <w:rFonts w:ascii="Times New Roman" w:hAnsi="Times New Roman"/>
          <w:sz w:val="24"/>
        </w:rPr>
        <w:t>5,973</w:t>
      </w:r>
      <w:r>
        <w:rPr>
          <w:rFonts w:ascii="Times New Roman" w:hAnsi="Times New Roman"/>
          <w:sz w:val="24"/>
        </w:rPr>
        <w:t>户。</w:t>
      </w:r>
    </w:p>
    <w:p w14:paraId="79F39B95"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（二）本基金与目标ETF的差异</w:t>
      </w:r>
    </w:p>
    <w:p w14:paraId="11A48D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、交易方式的差异</w:t>
      </w:r>
    </w:p>
    <w:p w14:paraId="70E1CA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本基金为目标</w:t>
      </w:r>
      <w:r>
        <w:rPr>
          <w:rFonts w:ascii="Times New Roman" w:hAnsi="Times New Roman"/>
          <w:sz w:val="24"/>
        </w:rPr>
        <w:t>ETF</w:t>
      </w:r>
      <w:r>
        <w:rPr>
          <w:rFonts w:ascii="Times New Roman" w:hAnsi="Times New Roman"/>
          <w:sz w:val="24"/>
        </w:rPr>
        <w:t>的联接基金，投资者可以通过本基金的销售机构申购赎回本基金的基金份额。</w:t>
      </w:r>
    </w:p>
    <w:p w14:paraId="2128D4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本基金的目标</w:t>
      </w:r>
      <w:r>
        <w:rPr>
          <w:rFonts w:ascii="Times New Roman" w:hAnsi="Times New Roman"/>
          <w:sz w:val="24"/>
        </w:rPr>
        <w:t>ETF</w:t>
      </w:r>
      <w:r>
        <w:rPr>
          <w:rFonts w:ascii="Times New Roman" w:hAnsi="Times New Roman"/>
          <w:sz w:val="24"/>
        </w:rPr>
        <w:t>属于交易型开放式指数证券投资基金，投资者可以通过目标</w:t>
      </w:r>
      <w:r>
        <w:rPr>
          <w:rFonts w:ascii="Times New Roman" w:hAnsi="Times New Roman"/>
          <w:sz w:val="24"/>
        </w:rPr>
        <w:t>ETF</w:t>
      </w:r>
      <w:r>
        <w:rPr>
          <w:rFonts w:ascii="Times New Roman" w:hAnsi="Times New Roman"/>
          <w:sz w:val="24"/>
        </w:rPr>
        <w:t>的申购赎回代理券商申购赎回目标</w:t>
      </w:r>
      <w:r>
        <w:rPr>
          <w:rFonts w:ascii="Times New Roman" w:hAnsi="Times New Roman"/>
          <w:sz w:val="24"/>
        </w:rPr>
        <w:t>ETF</w:t>
      </w:r>
      <w:r>
        <w:rPr>
          <w:rFonts w:ascii="Times New Roman" w:hAnsi="Times New Roman"/>
          <w:sz w:val="24"/>
        </w:rPr>
        <w:t>的基金份额。此外，目标</w:t>
      </w:r>
      <w:r>
        <w:rPr>
          <w:rFonts w:ascii="Times New Roman" w:hAnsi="Times New Roman"/>
          <w:sz w:val="24"/>
        </w:rPr>
        <w:t>ETF</w:t>
      </w:r>
      <w:r>
        <w:rPr>
          <w:rFonts w:ascii="Times New Roman" w:hAnsi="Times New Roman"/>
          <w:sz w:val="24"/>
        </w:rPr>
        <w:t>符合上市条件申请上市成功后，投资者还可通过深圳证券交易所的交易系统在二级市场买卖目标</w:t>
      </w:r>
      <w:r>
        <w:rPr>
          <w:rFonts w:ascii="Times New Roman" w:hAnsi="Times New Roman"/>
          <w:sz w:val="24"/>
        </w:rPr>
        <w:t>ETF</w:t>
      </w:r>
      <w:r>
        <w:rPr>
          <w:rFonts w:ascii="Times New Roman" w:hAnsi="Times New Roman"/>
          <w:sz w:val="24"/>
        </w:rPr>
        <w:t>的基金份额。</w:t>
      </w:r>
    </w:p>
    <w:p w14:paraId="367FEA3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、申购赎回方式的差异</w:t>
      </w:r>
    </w:p>
    <w:p w14:paraId="644926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本基金为目标</w:t>
      </w:r>
      <w:r>
        <w:rPr>
          <w:rFonts w:ascii="Times New Roman" w:hAnsi="Times New Roman"/>
          <w:sz w:val="24"/>
        </w:rPr>
        <w:t>ETF</w:t>
      </w:r>
      <w:r>
        <w:rPr>
          <w:rFonts w:ascii="Times New Roman" w:hAnsi="Times New Roman"/>
          <w:sz w:val="24"/>
        </w:rPr>
        <w:t>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14:paraId="656768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本基金的目标</w:t>
      </w:r>
      <w:r>
        <w:rPr>
          <w:rFonts w:ascii="Times New Roman" w:hAnsi="Times New Roman"/>
          <w:sz w:val="24"/>
        </w:rPr>
        <w:t>ETF</w:t>
      </w:r>
      <w:r>
        <w:rPr>
          <w:rFonts w:ascii="Times New Roman" w:hAnsi="Times New Roman"/>
          <w:sz w:val="24"/>
        </w:rPr>
        <w:t>属于交易型开放式指数证券投资基金。投资者申购赎回目标</w:t>
      </w:r>
      <w:r>
        <w:rPr>
          <w:rFonts w:ascii="Times New Roman" w:hAnsi="Times New Roman"/>
          <w:sz w:val="24"/>
        </w:rPr>
        <w:t>ETF</w:t>
      </w:r>
      <w:r>
        <w:rPr>
          <w:rFonts w:ascii="Times New Roman" w:hAnsi="Times New Roman"/>
          <w:sz w:val="24"/>
        </w:rPr>
        <w:t>基金份额均采用实物申购赎回方式，申购和赎回均以份额申请。申购、赎回对价根据申购赎回清单和投资者申购、赎回的基金份额数额确定。</w:t>
      </w:r>
    </w:p>
    <w:p w14:paraId="4B1A3F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、投资方法的差异</w:t>
      </w:r>
    </w:p>
    <w:p w14:paraId="4907A03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本基金为目标</w:t>
      </w:r>
      <w:r>
        <w:rPr>
          <w:rFonts w:ascii="Times New Roman" w:hAnsi="Times New Roman"/>
          <w:sz w:val="24"/>
        </w:rPr>
        <w:t>ETF</w:t>
      </w:r>
      <w:r>
        <w:rPr>
          <w:rFonts w:ascii="Times New Roman" w:hAnsi="Times New Roman"/>
          <w:sz w:val="24"/>
        </w:rPr>
        <w:t>的联接基金，属于开放式证券投资基金，以被动式的指数化投资管理方式，将</w:t>
      </w:r>
      <w:r>
        <w:rPr>
          <w:rFonts w:ascii="Times New Roman" w:hAnsi="Times New Roman"/>
          <w:sz w:val="24"/>
        </w:rPr>
        <w:t>90%</w:t>
      </w:r>
      <w:r>
        <w:rPr>
          <w:rFonts w:ascii="Times New Roman" w:hAnsi="Times New Roman"/>
          <w:sz w:val="24"/>
        </w:rPr>
        <w:t>以上的基金净资产投资于目标</w:t>
      </w:r>
      <w:r>
        <w:rPr>
          <w:rFonts w:ascii="Times New Roman" w:hAnsi="Times New Roman"/>
          <w:sz w:val="24"/>
        </w:rPr>
        <w:t>ETF</w:t>
      </w:r>
      <w:r>
        <w:rPr>
          <w:rFonts w:ascii="Times New Roman" w:hAnsi="Times New Roman"/>
          <w:sz w:val="24"/>
        </w:rPr>
        <w:t>，实现紧密跟踪标的指数的投资目标；</w:t>
      </w:r>
    </w:p>
    <w:p w14:paraId="44991AB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本基金的目标</w:t>
      </w:r>
      <w:r>
        <w:rPr>
          <w:rFonts w:ascii="Times New Roman" w:hAnsi="Times New Roman"/>
          <w:sz w:val="24"/>
        </w:rPr>
        <w:t>ETF</w:t>
      </w:r>
      <w:r>
        <w:rPr>
          <w:rFonts w:ascii="Times New Roman" w:hAnsi="Times New Roman"/>
          <w:sz w:val="24"/>
        </w:rPr>
        <w:t>属于交易型开放式指数证券投资基金，绝大部分资产采用完</w:t>
      </w:r>
      <w:r>
        <w:rPr>
          <w:rFonts w:ascii="Times New Roman" w:hAnsi="Times New Roman"/>
          <w:sz w:val="24"/>
        </w:rPr>
        <w:lastRenderedPageBreak/>
        <w:t>全复制法跟踪标的指数，以完全按照标的指数成份股组成及其权重构建基金股票投资组合为原则，进行被动式指数化投资。</w:t>
      </w:r>
    </w:p>
    <w:p w14:paraId="40A2D10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、业绩表现的差异</w:t>
      </w:r>
    </w:p>
    <w:p w14:paraId="413A88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本基金为目标</w:t>
      </w:r>
      <w:r>
        <w:rPr>
          <w:rFonts w:ascii="Times New Roman" w:hAnsi="Times New Roman"/>
          <w:sz w:val="24"/>
        </w:rPr>
        <w:t>ETF</w:t>
      </w:r>
      <w:r>
        <w:rPr>
          <w:rFonts w:ascii="Times New Roman" w:hAnsi="Times New Roman"/>
          <w:sz w:val="24"/>
        </w:rPr>
        <w:t>的联接基金，将</w:t>
      </w:r>
      <w:r>
        <w:rPr>
          <w:rFonts w:ascii="Times New Roman" w:hAnsi="Times New Roman"/>
          <w:sz w:val="24"/>
        </w:rPr>
        <w:t>90%</w:t>
      </w:r>
      <w:r>
        <w:rPr>
          <w:rFonts w:ascii="Times New Roman" w:hAnsi="Times New Roman"/>
          <w:sz w:val="24"/>
        </w:rPr>
        <w:t>以上的基金净资产投资于目标</w:t>
      </w:r>
      <w:r>
        <w:rPr>
          <w:rFonts w:ascii="Times New Roman" w:hAnsi="Times New Roman"/>
          <w:sz w:val="24"/>
        </w:rPr>
        <w:t>ETF</w:t>
      </w:r>
      <w:r>
        <w:rPr>
          <w:rFonts w:ascii="Times New Roman" w:hAnsi="Times New Roman"/>
          <w:sz w:val="24"/>
        </w:rPr>
        <w:t>，以紧密跟踪标的指数，但不能保证本基金的表现与目标</w:t>
      </w:r>
      <w:r>
        <w:rPr>
          <w:rFonts w:ascii="Times New Roman" w:hAnsi="Times New Roman"/>
          <w:sz w:val="24"/>
        </w:rPr>
        <w:t>ETF</w:t>
      </w:r>
      <w:r>
        <w:rPr>
          <w:rFonts w:ascii="Times New Roman" w:hAnsi="Times New Roman"/>
          <w:sz w:val="24"/>
        </w:rPr>
        <w:t>的表现完全一致，产生业绩表现差异的原因包括以下几个方面：</w:t>
      </w:r>
    </w:p>
    <w:p w14:paraId="7D9E4F2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）本基金基金份额的赎回采用现金方式，为支付现金赎回款，相比目标</w:t>
      </w:r>
      <w:r>
        <w:rPr>
          <w:rFonts w:ascii="Times New Roman" w:hAnsi="Times New Roman"/>
          <w:sz w:val="24"/>
        </w:rPr>
        <w:t>ETF</w:t>
      </w:r>
      <w:r>
        <w:rPr>
          <w:rFonts w:ascii="Times New Roman" w:hAnsi="Times New Roman"/>
          <w:sz w:val="24"/>
        </w:rPr>
        <w:t>，本基金需要保留更多的现金资产；</w:t>
      </w:r>
    </w:p>
    <w:p w14:paraId="3D5048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）本基金基金份额的申购采用现金方式，在利用到账的申购资金投资目标</w:t>
      </w:r>
      <w:r>
        <w:rPr>
          <w:rFonts w:ascii="Times New Roman" w:hAnsi="Times New Roman"/>
          <w:sz w:val="24"/>
        </w:rPr>
        <w:t>ETF</w:t>
      </w:r>
      <w:r>
        <w:rPr>
          <w:rFonts w:ascii="Times New Roman" w:hAnsi="Times New Roman"/>
          <w:sz w:val="24"/>
        </w:rPr>
        <w:t>过程中，市场波动等原因会造成本基金与目标</w:t>
      </w:r>
      <w:r>
        <w:rPr>
          <w:rFonts w:ascii="Times New Roman" w:hAnsi="Times New Roman"/>
          <w:sz w:val="24"/>
        </w:rPr>
        <w:t>ETF</w:t>
      </w:r>
      <w:r>
        <w:rPr>
          <w:rFonts w:ascii="Times New Roman" w:hAnsi="Times New Roman"/>
          <w:sz w:val="24"/>
        </w:rPr>
        <w:t>表现的差异；</w:t>
      </w:r>
    </w:p>
    <w:p w14:paraId="4BEB67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）本基金为应对投资者以现金方式申购赎回本基金基金份额而进行的证券交易需支付一定的手续费，此等费用将影响本基金相对于目标</w:t>
      </w:r>
      <w:r>
        <w:rPr>
          <w:rFonts w:ascii="Times New Roman" w:hAnsi="Times New Roman"/>
          <w:sz w:val="24"/>
        </w:rPr>
        <w:t>ETF</w:t>
      </w:r>
      <w:r>
        <w:rPr>
          <w:rFonts w:ascii="Times New Roman" w:hAnsi="Times New Roman"/>
          <w:sz w:val="24"/>
        </w:rPr>
        <w:t>的表现。</w:t>
      </w:r>
    </w:p>
    <w:p w14:paraId="20F0CFCA"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602F01" w14:textId="77777777" w:rsidR="00A77DF8" w:rsidRDefault="00E47C67">
      <w:pPr>
        <w:pStyle w:val="1"/>
        <w:snapToGrid w:val="0"/>
        <w:spacing w:beforeLines="0" w:before="240" w:after="240"/>
        <w:rPr>
          <w:rFonts w:ascii="宋体" w:hAnsi="宋体"/>
          <w:szCs w:val="30"/>
        </w:rPr>
      </w:pPr>
      <w:bookmarkStart w:id="9" w:name="_Toc54104411"/>
      <w:r>
        <w:rPr>
          <w:rFonts w:ascii="Times New Roman" w:hAnsi="Times New Roman"/>
          <w:sz w:val="30"/>
        </w:rPr>
        <w:lastRenderedPageBreak/>
        <w:t>七、基金合同的生效</w:t>
      </w:r>
      <w:bookmarkEnd w:id="9"/>
    </w:p>
    <w:p w14:paraId="71F823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28</w:t>
      </w:r>
      <w:r>
        <w:rPr>
          <w:rFonts w:ascii="Times New Roman" w:hAnsi="Times New Roman"/>
          <w:sz w:val="24"/>
        </w:rPr>
        <w:t>日正式生效。自基金合同生效之日起，本基金管理人正式开始管理本基金。</w:t>
      </w:r>
    </w:p>
    <w:p w14:paraId="5769C8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基金合同生效后的存续期内，基金份额持有人数量不满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万元，基金管理人应当及时报告中国证监会；基金份额持有人数量连续</w:t>
      </w:r>
      <w:r>
        <w:rPr>
          <w:rFonts w:ascii="Times New Roman" w:hAnsi="Times New Roman"/>
          <w:sz w:val="24"/>
        </w:rPr>
        <w:t>20</w:t>
      </w:r>
      <w:r>
        <w:rPr>
          <w:rFonts w:ascii="Times New Roman" w:hAnsi="Times New Roman"/>
          <w:sz w:val="24"/>
        </w:rPr>
        <w:t>个工作日达不到</w:t>
      </w:r>
      <w:r>
        <w:rPr>
          <w:rFonts w:ascii="Times New Roman" w:hAnsi="Times New Roman"/>
          <w:sz w:val="24"/>
        </w:rPr>
        <w:t>200</w:t>
      </w:r>
      <w:r>
        <w:rPr>
          <w:rFonts w:ascii="Times New Roman" w:hAnsi="Times New Roman"/>
          <w:sz w:val="24"/>
        </w:rPr>
        <w:t>人，或连续</w:t>
      </w:r>
      <w:r>
        <w:rPr>
          <w:rFonts w:ascii="Times New Roman" w:hAnsi="Times New Roman"/>
          <w:sz w:val="24"/>
        </w:rPr>
        <w:t>20</w:t>
      </w:r>
      <w:r>
        <w:rPr>
          <w:rFonts w:ascii="Times New Roman" w:hAnsi="Times New Roman"/>
          <w:sz w:val="24"/>
        </w:rPr>
        <w:t>个工作日基金资产净值低于</w:t>
      </w:r>
      <w:r>
        <w:rPr>
          <w:rFonts w:ascii="Times New Roman" w:hAnsi="Times New Roman"/>
          <w:sz w:val="24"/>
        </w:rPr>
        <w:t>5000</w:t>
      </w:r>
      <w:r>
        <w:rPr>
          <w:rFonts w:ascii="Times New Roman" w:hAnsi="Times New Roman"/>
          <w:sz w:val="24"/>
        </w:rPr>
        <w:t>万元，基金管理人应当及时向中国证监会报告，说明出现上述情况的原因并提出解决方案。法律法规或监管机构另有规定时，从其规定。</w:t>
      </w:r>
    </w:p>
    <w:p w14:paraId="102B1F7E"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63D6AD" w14:textId="77777777" w:rsidR="00A77DF8" w:rsidRDefault="00E47C67">
      <w:pPr>
        <w:pStyle w:val="1"/>
        <w:snapToGrid w:val="0"/>
        <w:spacing w:beforeLines="0" w:before="240" w:after="240"/>
        <w:rPr>
          <w:rFonts w:ascii="宋体" w:hAnsi="宋体"/>
          <w:szCs w:val="30"/>
        </w:rPr>
      </w:pPr>
      <w:bookmarkStart w:id="10" w:name="_Toc54104412"/>
      <w:r>
        <w:rPr>
          <w:rFonts w:ascii="Times New Roman" w:hAnsi="Times New Roman"/>
          <w:sz w:val="30"/>
        </w:rPr>
        <w:lastRenderedPageBreak/>
        <w:t>八、基金份额的申购与赎回</w:t>
      </w:r>
      <w:bookmarkEnd w:id="10"/>
    </w:p>
    <w:p w14:paraId="4E2F83A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0FD9E7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投资者可通过下述场所按照规定的方式进行申购或赎回：</w:t>
      </w:r>
    </w:p>
    <w:p w14:paraId="358FE09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6BA7F0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本基金直销机构为本公司以及本公司的网上直销交易平台。</w:t>
      </w:r>
    </w:p>
    <w:p w14:paraId="24B6AB3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0ED363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5E965B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93354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514976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A4647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452B2B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243DDE8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748DB6F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7BB0A2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42533BA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个人投资者可以通过本公司网上直销交易平台办理开户、本基金的申购、赎回、转换及定期定额投资等业务，具体交易细则请参阅本公司网站。网上直销交易平台网址：</w:t>
      </w:r>
      <w:r>
        <w:rPr>
          <w:rFonts w:ascii="Times New Roman" w:hAnsi="Times New Roman"/>
          <w:sz w:val="24"/>
        </w:rPr>
        <w:t>www.fund001.com</w:t>
      </w:r>
    </w:p>
    <w:p w14:paraId="0E2582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、场内代销机构</w:t>
      </w:r>
    </w:p>
    <w:p w14:paraId="500EADE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本基金的场内代销机构为通过上海证券交易所交易系统办理相关业务的上海证券交易所会员单位，目前场内交易只支持前端收费模式下基金份额的申购。具体名单详见上海证券交易所网站。</w:t>
      </w:r>
    </w:p>
    <w:p w14:paraId="5E3307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、场外代销机构</w:t>
      </w:r>
    </w:p>
    <w:p w14:paraId="66C238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本基金的场外代销机构的代销网点请见本招募说明书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43EE1B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投资者可通过上述场所按照规定的方式进行申购或赎回。本基金管理人可根据情况变更或增减基金代销机构，并在管理人网站公示。</w:t>
      </w:r>
    </w:p>
    <w:p w14:paraId="20B40EF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36AE64E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5B61EFF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申购和赎回的开放日为证券交易所交易日（基金管理人公告暂停申购或赎回时</w:t>
      </w:r>
      <w:r>
        <w:rPr>
          <w:rFonts w:ascii="Times New Roman" w:hAnsi="Times New Roman"/>
          <w:sz w:val="24"/>
        </w:rPr>
        <w:lastRenderedPageBreak/>
        <w:t>除外），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14:paraId="573F04A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27A38B6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、申购的开始日及业务办理时间</w:t>
      </w:r>
    </w:p>
    <w:p w14:paraId="482718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2011</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24</w:t>
      </w:r>
      <w:r>
        <w:rPr>
          <w:rFonts w:ascii="Times New Roman" w:hAnsi="Times New Roman"/>
          <w:sz w:val="24"/>
        </w:rPr>
        <w:t>日起开放场内、场外申购业务。</w:t>
      </w:r>
    </w:p>
    <w:p w14:paraId="1EDD0D4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、赎回的开始日及业务办理时间</w:t>
      </w:r>
    </w:p>
    <w:p w14:paraId="21544B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2011</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24</w:t>
      </w:r>
      <w:r>
        <w:rPr>
          <w:rFonts w:ascii="Times New Roman" w:hAnsi="Times New Roman"/>
          <w:sz w:val="24"/>
        </w:rPr>
        <w:t>日起开放场内、场外赎回业务。</w:t>
      </w:r>
    </w:p>
    <w:p w14:paraId="39DE18CB"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（三）申购和赎回的原则</w:t>
      </w:r>
    </w:p>
    <w:p w14:paraId="186A042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原则，即基金份额的申购与赎回价格以申请当日收市后计算的基金份额净值为基准进行计算；</w:t>
      </w:r>
    </w:p>
    <w:p w14:paraId="362F29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、基金采用金额申购和份额赎回的原则，即申购以金额申请，赎回以份额申请；</w:t>
      </w:r>
    </w:p>
    <w:p w14:paraId="4A62CC0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p>
    <w:p w14:paraId="4B39F1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、当日的申购与赎回申请可以在基金管理人规定的时间以内撤销；</w:t>
      </w:r>
    </w:p>
    <w:p w14:paraId="08EDB8A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、基金管理人在不损害基金份额持有人权益的情况下可更改上述原则，但最迟应在新的原则实施前依照有关规定在指定媒介上公告。</w:t>
      </w:r>
    </w:p>
    <w:p w14:paraId="22D0E0A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14:paraId="4246B97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14:paraId="2E46B5F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场外申购时，场外代销网点每个账户单笔申购的最低金额为单笔</w:t>
      </w:r>
      <w:r>
        <w:rPr>
          <w:rFonts w:ascii="Times New Roman" w:hAnsi="Times New Roman"/>
          <w:sz w:val="24"/>
        </w:rPr>
        <w:t>1</w:t>
      </w:r>
      <w:r>
        <w:rPr>
          <w:rFonts w:ascii="Times New Roman" w:hAnsi="Times New Roman"/>
          <w:sz w:val="24"/>
        </w:rPr>
        <w:t>元，如果代销机构业务规则规定的最低单笔申购金额高于</w:t>
      </w:r>
      <w:r>
        <w:rPr>
          <w:rFonts w:ascii="Times New Roman" w:hAnsi="Times New Roman"/>
          <w:sz w:val="24"/>
        </w:rPr>
        <w:t>1</w:t>
      </w:r>
      <w:r>
        <w:rPr>
          <w:rFonts w:ascii="Times New Roman" w:hAnsi="Times New Roman"/>
          <w:sz w:val="24"/>
        </w:rPr>
        <w:t>元，以代销机构的规定为准。场内申购时，每笔申购金额最低为</w:t>
      </w:r>
      <w:r>
        <w:rPr>
          <w:rFonts w:ascii="Times New Roman" w:hAnsi="Times New Roman"/>
          <w:sz w:val="24"/>
        </w:rPr>
        <w:t>1000</w:t>
      </w:r>
      <w:r>
        <w:rPr>
          <w:rFonts w:ascii="Times New Roman" w:hAnsi="Times New Roman"/>
          <w:sz w:val="24"/>
        </w:rPr>
        <w:t>元人民币，同时每笔申购必须是</w:t>
      </w:r>
      <w:r>
        <w:rPr>
          <w:rFonts w:ascii="Times New Roman" w:hAnsi="Times New Roman"/>
          <w:sz w:val="24"/>
        </w:rPr>
        <w:t>100</w:t>
      </w:r>
      <w:r>
        <w:rPr>
          <w:rFonts w:ascii="Times New Roman" w:hAnsi="Times New Roman"/>
          <w:sz w:val="24"/>
        </w:rPr>
        <w:t>元的整数倍，并且单笔申购最高不超过</w:t>
      </w:r>
      <w:r>
        <w:rPr>
          <w:rFonts w:ascii="Times New Roman" w:hAnsi="Times New Roman"/>
          <w:sz w:val="24"/>
        </w:rPr>
        <w:t>99,999,900</w:t>
      </w:r>
      <w:r>
        <w:rPr>
          <w:rFonts w:ascii="Times New Roman" w:hAnsi="Times New Roman"/>
          <w:sz w:val="24"/>
        </w:rPr>
        <w:t>元。</w:t>
      </w:r>
    </w:p>
    <w:p w14:paraId="69BECD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直销机构每个账户首次申购的最低金额为单笔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元；已在直销中心有认购或申购过本基金管理人管理的任一基金</w:t>
      </w:r>
      <w:r>
        <w:rPr>
          <w:rFonts w:ascii="Times New Roman" w:hAnsi="Times New Roman"/>
          <w:sz w:val="24"/>
        </w:rPr>
        <w:lastRenderedPageBreak/>
        <w:t>（包括本基金）记录的投资者不受首次申购最低金额的限制。通过本公司网上直销交易平台办理基金申购业务的不受直销中心单笔申购最低金额的限制，申购最低金额为单笔</w:t>
      </w:r>
      <w:r>
        <w:rPr>
          <w:rFonts w:ascii="Times New Roman" w:hAnsi="Times New Roman"/>
          <w:sz w:val="24"/>
        </w:rPr>
        <w:t>1</w:t>
      </w:r>
      <w:r>
        <w:rPr>
          <w:rFonts w:ascii="Times New Roman" w:hAnsi="Times New Roman"/>
          <w:sz w:val="24"/>
        </w:rPr>
        <w:t>元。本基金直销中心单笔申购最低金额可由基金管理人酌情调整。</w:t>
      </w:r>
    </w:p>
    <w:p w14:paraId="57F080C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14:paraId="408847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场外赎回的最低份额为单笔</w:t>
      </w:r>
      <w:r>
        <w:rPr>
          <w:rFonts w:ascii="Times New Roman" w:hAnsi="Times New Roman"/>
          <w:sz w:val="24"/>
        </w:rPr>
        <w:t>1</w:t>
      </w:r>
      <w:r>
        <w:rPr>
          <w:rFonts w:ascii="Times New Roman" w:hAnsi="Times New Roman"/>
          <w:sz w:val="24"/>
        </w:rPr>
        <w:t>份基金份额，如果其他销售机构业务规则规定的单笔最低赎回份额高于</w:t>
      </w:r>
      <w:r>
        <w:rPr>
          <w:rFonts w:ascii="Times New Roman" w:hAnsi="Times New Roman"/>
          <w:sz w:val="24"/>
        </w:rPr>
        <w:t>1</w:t>
      </w:r>
      <w:r>
        <w:rPr>
          <w:rFonts w:ascii="Times New Roman" w:hAnsi="Times New Roman"/>
          <w:sz w:val="24"/>
        </w:rPr>
        <w:t>份，以该销售机构的规定为准。场内赎回时，赎回的最低份额为</w:t>
      </w:r>
      <w:r>
        <w:rPr>
          <w:rFonts w:ascii="Times New Roman" w:hAnsi="Times New Roman"/>
          <w:sz w:val="24"/>
        </w:rPr>
        <w:t>50</w:t>
      </w:r>
      <w:r>
        <w:rPr>
          <w:rFonts w:ascii="Times New Roman" w:hAnsi="Times New Roman"/>
          <w:sz w:val="24"/>
        </w:rPr>
        <w:t>份基金份额，同时赎回份额必须是整数份额，并且单笔赎回最多不超过</w:t>
      </w:r>
      <w:r>
        <w:rPr>
          <w:rFonts w:ascii="Times New Roman" w:hAnsi="Times New Roman"/>
          <w:sz w:val="24"/>
        </w:rPr>
        <w:t>99,999,999</w:t>
      </w:r>
      <w:r>
        <w:rPr>
          <w:rFonts w:ascii="Times New Roman" w:hAnsi="Times New Roman"/>
          <w:sz w:val="24"/>
        </w:rPr>
        <w:t>份基金份额。</w:t>
      </w:r>
    </w:p>
    <w:p w14:paraId="473B2F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14:paraId="44AB5E9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每个工作日投资者在单个交易账户保留的本基金份额余额少于</w:t>
      </w:r>
      <w:r>
        <w:rPr>
          <w:rFonts w:ascii="Times New Roman" w:hAnsi="Times New Roman"/>
          <w:sz w:val="24"/>
        </w:rPr>
        <w:t>1</w:t>
      </w:r>
      <w:r>
        <w:rPr>
          <w:rFonts w:ascii="Times New Roman" w:hAnsi="Times New Roman"/>
          <w:sz w:val="24"/>
        </w:rPr>
        <w:t>份时，若当日该账户同时有份额减少类业务（如赎回、转换出等）被确认，则基金管理人有权将投资者在该账户保留的本基金份额一次性全部赎回。</w:t>
      </w:r>
    </w:p>
    <w:p w14:paraId="7D595EA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89076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、基金管理人可根据市场情况，在法律法规允许的情况下，调整上述规定的数量或比例限制，基金管理人必须在调整前依照《信息披露办法》的有关规定在指定的媒体上公告并报中国证监会备案。</w:t>
      </w:r>
    </w:p>
    <w:p w14:paraId="091EB38B"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14:paraId="79DA80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w:t>
      </w:r>
    </w:p>
    <w:p w14:paraId="4E92305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基金投资者必须根据销售机构规定的程序，在开放日的具体业务办理时间内提出申购或赎回的申请。</w:t>
      </w:r>
    </w:p>
    <w:p w14:paraId="595449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基金投资者在提交申购申请时须按销售机构规定的方式备足申购资金，基金投资者在提交赎回申请时须持有足够的基金份额余额，否则所提交的申购、赎回申请无效而不予成交。</w:t>
      </w:r>
    </w:p>
    <w:p w14:paraId="11A3D8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14:paraId="55B24E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T </w:t>
      </w:r>
      <w:r>
        <w:rPr>
          <w:rFonts w:ascii="Times New Roman" w:hAnsi="Times New Roman"/>
          <w:sz w:val="24"/>
        </w:rPr>
        <w:t>日规定时间受理的申请，正常情况下，注册登记机构在</w:t>
      </w:r>
      <w:r>
        <w:rPr>
          <w:rFonts w:ascii="Times New Roman" w:hAnsi="Times New Roman"/>
          <w:sz w:val="24"/>
        </w:rPr>
        <w:t xml:space="preserve">T+1 </w:t>
      </w:r>
      <w:r>
        <w:rPr>
          <w:rFonts w:ascii="Times New Roman" w:hAnsi="Times New Roman"/>
          <w:sz w:val="24"/>
        </w:rPr>
        <w:t>日内（包括该日）为投资者对该交易的有效性进行确认，基金投资者应在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w:t>
      </w:r>
    </w:p>
    <w:p w14:paraId="34889E3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基金管理人可以在法律法规允许的范围内，依法对上述申购和赎回申请的确认时间进行调整，并必须在调整实施日前按照《信息披露办法》的有关规定在指定媒介上公告。</w:t>
      </w:r>
    </w:p>
    <w:p w14:paraId="782AC90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销售机构对申购、赎回申请的受理并不代表该申请一定成功，而仅代表销售机构确实接收到申购、赎回申请。申购、赎回申请的确认以注册登记机构的确认结果为准。</w:t>
      </w:r>
    </w:p>
    <w:p w14:paraId="1C6FB11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、申购和赎回的款项支付</w:t>
      </w:r>
    </w:p>
    <w:p w14:paraId="03EAAB2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5CB40C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基金投资者赎回申请成功后，基金管理人将通过注册登记机构及其相关销售机构在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日（包括该日）内将赎回款项划往基金份额持有人账户。在发生巨额赎回时，款项的支付办法参照本基金合同有关条款处理。</w:t>
      </w:r>
    </w:p>
    <w:p w14:paraId="023DFF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、申购和赎回基金份额的份额注册登记</w:t>
      </w:r>
    </w:p>
    <w:p w14:paraId="1F7BAEE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）投资者</w:t>
      </w:r>
      <w:r>
        <w:rPr>
          <w:rFonts w:ascii="Times New Roman" w:hAnsi="Times New Roman"/>
          <w:sz w:val="24"/>
        </w:rPr>
        <w:t xml:space="preserve">T </w:t>
      </w:r>
      <w:r>
        <w:rPr>
          <w:rFonts w:ascii="Times New Roman" w:hAnsi="Times New Roman"/>
          <w:sz w:val="24"/>
        </w:rPr>
        <w:t>日申购基金成功后，正常情况下，注册登记机构在</w:t>
      </w:r>
      <w:r>
        <w:rPr>
          <w:rFonts w:ascii="Times New Roman" w:hAnsi="Times New Roman"/>
          <w:sz w:val="24"/>
        </w:rPr>
        <w:t>T</w:t>
      </w:r>
      <w:r>
        <w:rPr>
          <w:rFonts w:ascii="Times New Roman" w:hAnsi="Times New Roman"/>
          <w:sz w:val="24"/>
        </w:rPr>
        <w:t>＋</w:t>
      </w:r>
      <w:r>
        <w:rPr>
          <w:rFonts w:ascii="Times New Roman" w:hAnsi="Times New Roman"/>
          <w:sz w:val="24"/>
        </w:rPr>
        <w:t xml:space="preserve">1 </w:t>
      </w:r>
      <w:r>
        <w:rPr>
          <w:rFonts w:ascii="Times New Roman" w:hAnsi="Times New Roman"/>
          <w:sz w:val="24"/>
        </w:rPr>
        <w:t>日为投资者增加权益并办理注册登记手续，投资者自</w:t>
      </w:r>
      <w:r>
        <w:rPr>
          <w:rFonts w:ascii="Times New Roman" w:hAnsi="Times New Roman"/>
          <w:sz w:val="24"/>
        </w:rPr>
        <w:t>T</w:t>
      </w:r>
      <w:r>
        <w:rPr>
          <w:rFonts w:ascii="Times New Roman" w:hAnsi="Times New Roman"/>
          <w:sz w:val="24"/>
        </w:rPr>
        <w:t>＋</w:t>
      </w:r>
      <w:r>
        <w:rPr>
          <w:rFonts w:ascii="Times New Roman" w:hAnsi="Times New Roman"/>
          <w:sz w:val="24"/>
        </w:rPr>
        <w:t xml:space="preserve">2 </w:t>
      </w:r>
      <w:r>
        <w:rPr>
          <w:rFonts w:ascii="Times New Roman" w:hAnsi="Times New Roman"/>
          <w:sz w:val="24"/>
        </w:rPr>
        <w:t>日（包括该日）起有权赎回该部分基金份额。投资者应及时查询有关申请的确认情况。</w:t>
      </w:r>
    </w:p>
    <w:p w14:paraId="66F13B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）投资者</w:t>
      </w:r>
      <w:r>
        <w:rPr>
          <w:rFonts w:ascii="Times New Roman" w:hAnsi="Times New Roman"/>
          <w:sz w:val="24"/>
        </w:rPr>
        <w:t xml:space="preserve">T </w:t>
      </w:r>
      <w:r>
        <w:rPr>
          <w:rFonts w:ascii="Times New Roman" w:hAnsi="Times New Roman"/>
          <w:sz w:val="24"/>
        </w:rPr>
        <w:t>日赎回基金成功后，正常情况下，基金注册登记机构在</w:t>
      </w:r>
      <w:r>
        <w:rPr>
          <w:rFonts w:ascii="Times New Roman" w:hAnsi="Times New Roman"/>
          <w:sz w:val="24"/>
        </w:rPr>
        <w:t>T</w:t>
      </w:r>
      <w:r>
        <w:rPr>
          <w:rFonts w:ascii="Times New Roman" w:hAnsi="Times New Roman"/>
          <w:sz w:val="24"/>
        </w:rPr>
        <w:t>＋</w:t>
      </w:r>
      <w:r>
        <w:rPr>
          <w:rFonts w:ascii="Times New Roman" w:hAnsi="Times New Roman"/>
          <w:sz w:val="24"/>
        </w:rPr>
        <w:t xml:space="preserve">1 </w:t>
      </w:r>
      <w:r>
        <w:rPr>
          <w:rFonts w:ascii="Times New Roman" w:hAnsi="Times New Roman"/>
          <w:sz w:val="24"/>
        </w:rPr>
        <w:t>日为投资者扣除权益并办理相应的注册登记手续。</w:t>
      </w:r>
    </w:p>
    <w:p w14:paraId="4F8719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）基金管理人可在法律法规允许的范围内，对上述注册登记办理时间进行调整，并最迟于开始实施前按照《信息披露办法》的有关规定在指定媒介上公告。</w:t>
      </w:r>
    </w:p>
    <w:p w14:paraId="0CE04B20"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14:paraId="13AEB7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14:paraId="30CE47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本基金提供两种申购费用的支付模式。投资者可以选择前端收费模式，即在申购时支付申购费用；也可以选择后端收费模式，即在赎回时才支付相应的申购费用，该费用随基金份额的持有时间递减。</w:t>
      </w:r>
    </w:p>
    <w:p w14:paraId="74AC42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本基金的申购费用由基金申购人承担，不列入基金财产，主要用于本基金的市场推广、销售、注册登记等各项费用。</w:t>
      </w:r>
    </w:p>
    <w:p w14:paraId="0F7EF1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投资者可以多次申购本基金，申购费率按每笔申购申请单独计算。</w:t>
      </w:r>
    </w:p>
    <w:p w14:paraId="13F34CE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77DF8" w14:paraId="7DE7BBA0"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7DB16E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2B0BABD0"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79CB0E1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A77DF8" w14:paraId="5966D42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E15E954"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9A50D4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7BFAA3B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77DF8" w14:paraId="511E4DA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8E4E88D"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BA5F0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8DBBE3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A77DF8" w14:paraId="610C8E6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295E68C"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BBA4B6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4EB46E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A77DF8" w14:paraId="3601ABB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9C09209"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BAF441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DD380D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77DF8" w14:paraId="1E4AEE7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9247027"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5EF739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4E333A2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A77DF8" w14:paraId="4FB8248D"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BAC291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sz="4" w:space="0" w:color="auto"/>
              <w:left w:val="single" w:sz="4" w:space="0" w:color="auto"/>
              <w:bottom w:val="single" w:sz="4" w:space="0" w:color="auto"/>
              <w:right w:val="single" w:sz="4" w:space="0" w:color="auto"/>
            </w:tcBorders>
            <w:vAlign w:val="center"/>
          </w:tcPr>
          <w:p w14:paraId="56B0747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sz="4" w:space="0" w:color="auto"/>
              <w:left w:val="single" w:sz="4" w:space="0" w:color="auto"/>
              <w:bottom w:val="single" w:sz="4" w:space="0" w:color="auto"/>
              <w:right w:val="single" w:sz="4" w:space="0" w:color="auto"/>
            </w:tcBorders>
            <w:vAlign w:val="center"/>
          </w:tcPr>
          <w:p w14:paraId="4A70429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A77DF8" w14:paraId="68E4B10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65F12CE"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861640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14:paraId="7B46DEF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A77DF8" w14:paraId="5D0AC04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8691B5D"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34B77E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6142DC4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A77DF8" w14:paraId="7AEAF7D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07F4E1F"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E4A51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149D8B0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A77DF8" w14:paraId="0BB896C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3341F49"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1A0F9B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379935F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37C49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因红利自动再投资而产生的基金份额，不收取相应的申购费用。</w:t>
      </w:r>
    </w:p>
    <w:p w14:paraId="1213D02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11</w:t>
      </w:r>
      <w:r>
        <w:rPr>
          <w:rFonts w:ascii="Times New Roman" w:hAnsi="Times New Roman"/>
          <w:sz w:val="24"/>
        </w:rPr>
        <w:t>日起，对通过本公司直销柜台申购本基金前端基金份额的养老金客户实施特定申购费率。</w:t>
      </w:r>
    </w:p>
    <w:p w14:paraId="1D2469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8F76D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通过本公司直销柜台申购本基金前端基金份额的养老金客户特定申购费率如下表：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A77DF8" w14:paraId="1B7301F7"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73AB019"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51829C40"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1AB1360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rsidR="00A77DF8" w14:paraId="6E57CF2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61F1C86"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296189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339755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A77DF8" w14:paraId="1191FF0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9B282ED"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05598D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ED5224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A77DF8" w14:paraId="444AE08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8F075B9"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BE1021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219011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A77DF8" w14:paraId="6F2BE89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794CF40"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2DF77C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204047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A77DF8" w14:paraId="3B6077E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882017"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B43D45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3436F4F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EE4C06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有关养老金客户实施特定申购费率的具体规定以及活动时间如有变化，敬请投资人留意本公司发布的相关公告。</w:t>
      </w:r>
    </w:p>
    <w:p w14:paraId="28B5B6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E2B69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）通过本基金管理人直销柜台办理本基金基金份额申购业务的投资者，享受</w:t>
      </w:r>
      <w:r>
        <w:rPr>
          <w:rFonts w:ascii="Times New Roman" w:hAnsi="Times New Roman"/>
          <w:sz w:val="24"/>
        </w:rPr>
        <w:lastRenderedPageBreak/>
        <w:t>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2734E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5C8F6A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04EB7B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14:paraId="58F0B9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14:paraId="2601A5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赎回费用由基金赎回人承担，赎回费用的</w:t>
      </w:r>
      <w:r>
        <w:rPr>
          <w:rFonts w:ascii="Times New Roman" w:hAnsi="Times New Roman"/>
          <w:sz w:val="24"/>
        </w:rPr>
        <w:t>25%</w:t>
      </w:r>
      <w:r>
        <w:rPr>
          <w:rFonts w:ascii="Times New Roman" w:hAnsi="Times New Roman"/>
          <w:sz w:val="24"/>
        </w:rPr>
        <w:t>归基金财产，其余用于支付注册登记费和其他必要的手续费。其中，对持续持有期少于</w:t>
      </w:r>
      <w:r>
        <w:rPr>
          <w:rFonts w:ascii="Times New Roman" w:hAnsi="Times New Roman"/>
          <w:sz w:val="24"/>
        </w:rPr>
        <w:t>7</w:t>
      </w:r>
      <w:r>
        <w:rPr>
          <w:rFonts w:ascii="Times New Roman" w:hAnsi="Times New Roman"/>
          <w:sz w:val="24"/>
        </w:rPr>
        <w:t>日的基金份额持有人收取不低于</w:t>
      </w:r>
      <w:r>
        <w:rPr>
          <w:rFonts w:ascii="Times New Roman" w:hAnsi="Times New Roman"/>
          <w:sz w:val="24"/>
        </w:rPr>
        <w:t>1.5%</w:t>
      </w:r>
      <w:r>
        <w:rPr>
          <w:rFonts w:ascii="Times New Roman" w:hAnsi="Times New Roman"/>
          <w:sz w:val="24"/>
        </w:rPr>
        <w:t>的赎回费并全额计入基金财产。</w:t>
      </w:r>
    </w:p>
    <w:p w14:paraId="28303FA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77DF8" w14:paraId="2124D2F2"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E062BE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2DD0098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10A3F2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77DF8" w14:paraId="10F3D5A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CBD4E5B"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573B4A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62E5477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77DF8" w14:paraId="0C3F222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557782C"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7AA256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156985C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77DF8" w14:paraId="3842E9A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D0EF93A"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27C20F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1F09064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A77DF8" w14:paraId="474C115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A0B4C70"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E80668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3EEA8DB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C42A26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、基金管理人可以在履行相关手续后，在基金合同约定的范围内调整申购、赎回费率或调整收费方式，基金管理人于新的费率或收费方式实施日前依照《信息披露办法》的有关规定在指定媒介上公告。</w:t>
      </w:r>
    </w:p>
    <w:p w14:paraId="335D3B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、对特定交易方式（如网上交易、电话交易等），基金管理人可以采用低于柜台交易方式的基金申购费率和基金赎回费率。</w:t>
      </w:r>
    </w:p>
    <w:p w14:paraId="1AB3636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14:paraId="6EF8E8D0"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14:paraId="5E086C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、申购和赎回数额、余额的处理方式</w:t>
      </w:r>
    </w:p>
    <w:p w14:paraId="043A04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份额余额的处理方式：申购的有效份额为按实际确认的申购金额在扣除相应的费用后，以当日基金份额净值为基准计算，场外申购份额计算结果保留到小数点后两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40C6502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）赎回金额的处理方式：赎回金额为按实际确认的有效赎回份额乘以申请当日基金份额净值并扣除相应的费用，四舍五入保留到小数点后两位，由此误差产生的收益或损失由基金财产承担。</w:t>
      </w:r>
    </w:p>
    <w:p w14:paraId="12FCF4D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14:paraId="0D4A3A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场外申购可以采取前端收费模式和后端收费模式，场内申购目前只支持前端收费模式。</w:t>
      </w:r>
    </w:p>
    <w:p w14:paraId="73B2D1C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）前端收费模式：</w:t>
      </w:r>
    </w:p>
    <w:p w14:paraId="2E27CA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478F102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566C32C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14:paraId="0FE4475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4390DE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14:paraId="27B563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日基金份额净值</w:t>
      </w:r>
    </w:p>
    <w:p w14:paraId="74C8D7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场内申购金额的有效份额保留到整数位，剩余部分对应申购资金返还投资者。</w:t>
      </w:r>
    </w:p>
    <w:p w14:paraId="580B51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元，如果其选择前端收费方式，申购费率为</w:t>
      </w:r>
      <w:r>
        <w:rPr>
          <w:rFonts w:ascii="Times New Roman" w:hAnsi="Times New Roman"/>
          <w:sz w:val="24"/>
        </w:rPr>
        <w:t>1.5%</w:t>
      </w:r>
      <w:r>
        <w:rPr>
          <w:rFonts w:ascii="Times New Roman" w:hAnsi="Times New Roman"/>
          <w:sz w:val="24"/>
        </w:rPr>
        <w:t>，则其可得到的申购份额为：</w:t>
      </w:r>
    </w:p>
    <w:p w14:paraId="453506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14:paraId="1E55CB0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14:paraId="5C5B2EA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14:paraId="311985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/1.040=37,893.14</w:t>
      </w:r>
      <w:r>
        <w:rPr>
          <w:rFonts w:ascii="Times New Roman" w:hAnsi="Times New Roman"/>
          <w:sz w:val="24"/>
        </w:rPr>
        <w:t>份</w:t>
      </w:r>
    </w:p>
    <w:p w14:paraId="3B1D88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如果投资者是场内申购，则申购份额为</w:t>
      </w:r>
      <w:r>
        <w:rPr>
          <w:rFonts w:ascii="Times New Roman" w:hAnsi="Times New Roman"/>
          <w:sz w:val="24"/>
        </w:rPr>
        <w:t xml:space="preserve">37,893 </w:t>
      </w:r>
      <w:r>
        <w:rPr>
          <w:rFonts w:ascii="Times New Roman" w:hAnsi="Times New Roman"/>
          <w:sz w:val="24"/>
        </w:rPr>
        <w:t>份，其余</w:t>
      </w:r>
      <w:r>
        <w:rPr>
          <w:rFonts w:ascii="Times New Roman" w:hAnsi="Times New Roman"/>
          <w:sz w:val="24"/>
        </w:rPr>
        <w:t xml:space="preserve">0.14 </w:t>
      </w:r>
      <w:r>
        <w:rPr>
          <w:rFonts w:ascii="Times New Roman" w:hAnsi="Times New Roman"/>
          <w:sz w:val="24"/>
        </w:rPr>
        <w:t>份对应金额返回给投资者。</w:t>
      </w:r>
    </w:p>
    <w:p w14:paraId="770AF9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）后端收费模式：</w:t>
      </w:r>
    </w:p>
    <w:p w14:paraId="7B24FDB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5525D56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申购份额＝申购总金额</w:t>
      </w:r>
      <w:r>
        <w:rPr>
          <w:rFonts w:ascii="Times New Roman" w:hAnsi="Times New Roman"/>
          <w:sz w:val="24"/>
        </w:rPr>
        <w:t>/T</w:t>
      </w:r>
      <w:r>
        <w:rPr>
          <w:rFonts w:ascii="Times New Roman" w:hAnsi="Times New Roman"/>
          <w:sz w:val="24"/>
        </w:rPr>
        <w:t>日基金份额净值</w:t>
      </w:r>
    </w:p>
    <w:p w14:paraId="2778C9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当投资者提出赎回时，后端申购费用的计算方法为：</w:t>
      </w:r>
    </w:p>
    <w:p w14:paraId="5FDFC1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后端申购费用＝赎回份额</w:t>
      </w:r>
      <w:r>
        <w:rPr>
          <w:rFonts w:ascii="Times New Roman" w:hAnsi="Times New Roman"/>
          <w:sz w:val="24"/>
        </w:rPr>
        <w:t>×</w:t>
      </w:r>
      <w:r>
        <w:rPr>
          <w:rFonts w:ascii="Times New Roman" w:hAnsi="Times New Roman"/>
          <w:sz w:val="24"/>
        </w:rPr>
        <w:t>申购日基金份额净值</w:t>
      </w:r>
      <w:r>
        <w:rPr>
          <w:rFonts w:ascii="Times New Roman" w:hAnsi="Times New Roman"/>
          <w:sz w:val="24"/>
        </w:rPr>
        <w:t>×</w:t>
      </w:r>
      <w:r>
        <w:rPr>
          <w:rFonts w:ascii="Times New Roman" w:hAnsi="Times New Roman"/>
          <w:sz w:val="24"/>
        </w:rPr>
        <w:t>后端申购费率</w:t>
      </w:r>
    </w:p>
    <w:p w14:paraId="2608AEC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元，如果其选择后端收费方式，则其可得到的申购份额为：</w:t>
      </w:r>
    </w:p>
    <w:p w14:paraId="3625B4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40,000/1.040</w:t>
      </w:r>
      <w:r>
        <w:rPr>
          <w:rFonts w:ascii="Times New Roman" w:hAnsi="Times New Roman"/>
          <w:sz w:val="24"/>
        </w:rPr>
        <w:t>＝</w:t>
      </w:r>
      <w:r>
        <w:rPr>
          <w:rFonts w:ascii="Times New Roman" w:hAnsi="Times New Roman"/>
          <w:sz w:val="24"/>
        </w:rPr>
        <w:t>38,461.54</w:t>
      </w:r>
      <w:r>
        <w:rPr>
          <w:rFonts w:ascii="Times New Roman" w:hAnsi="Times New Roman"/>
          <w:sz w:val="24"/>
        </w:rPr>
        <w:t>份</w:t>
      </w:r>
    </w:p>
    <w:p w14:paraId="5F79338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元，则可得到</w:t>
      </w:r>
      <w:r>
        <w:rPr>
          <w:rFonts w:ascii="Times New Roman" w:hAnsi="Times New Roman"/>
          <w:sz w:val="24"/>
        </w:rPr>
        <w:t>38,461.54</w:t>
      </w:r>
      <w:r>
        <w:rPr>
          <w:rFonts w:ascii="Times New Roman" w:hAnsi="Times New Roman"/>
          <w:sz w:val="24"/>
        </w:rPr>
        <w:t>份基金份额，但其在赎回时需根据其持有时间按对应的后端申购费率交纳后端申购费用。</w:t>
      </w:r>
    </w:p>
    <w:p w14:paraId="47BBD0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14:paraId="0B4689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w:t>
      </w:r>
    </w:p>
    <w:p w14:paraId="2C18368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）如果投资者在认（申）购时选择交纳前端认（申）购费用，则赎回金额的计算方法如下：</w:t>
      </w:r>
    </w:p>
    <w:p w14:paraId="37F08B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赎回费率</w:t>
      </w:r>
    </w:p>
    <w:p w14:paraId="22121E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赎回费用</w:t>
      </w:r>
    </w:p>
    <w:p w14:paraId="2C2BCC7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例三：某投资者赎回通过前端认购（申购）持有的</w:t>
      </w:r>
      <w:r>
        <w:rPr>
          <w:rFonts w:ascii="Times New Roman" w:hAnsi="Times New Roman"/>
          <w:sz w:val="24"/>
        </w:rPr>
        <w:t>10,000</w:t>
      </w:r>
      <w:r>
        <w:rPr>
          <w:rFonts w:ascii="Times New Roman" w:hAnsi="Times New Roman"/>
          <w:sz w:val="24"/>
        </w:rPr>
        <w:t>份基金份额，对应的赎回费率为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w:t>
      </w:r>
      <w:r>
        <w:rPr>
          <w:rFonts w:ascii="Times New Roman" w:hAnsi="Times New Roman"/>
          <w:sz w:val="24"/>
        </w:rPr>
        <w:t>元，则其可得到的赎回金额为：</w:t>
      </w:r>
    </w:p>
    <w:p w14:paraId="27509E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5ACFB6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14:paraId="6DA87E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即：投资者赎回本基金</w:t>
      </w:r>
      <w:r>
        <w:rPr>
          <w:rFonts w:ascii="Times New Roman" w:hAnsi="Times New Roman"/>
          <w:sz w:val="24"/>
        </w:rPr>
        <w:t>10,000</w:t>
      </w:r>
      <w:r>
        <w:rPr>
          <w:rFonts w:ascii="Times New Roman" w:hAnsi="Times New Roman"/>
          <w:sz w:val="24"/>
        </w:rPr>
        <w:t>份基金份额，假设赎回当日基金份额净值是</w:t>
      </w:r>
      <w:r>
        <w:rPr>
          <w:rFonts w:ascii="Times New Roman" w:hAnsi="Times New Roman"/>
          <w:sz w:val="24"/>
        </w:rPr>
        <w:t>1.016</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14:paraId="73F6CE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）如果投资者在认（申）购时选择交纳后端认（申）购费用，则赎回金额的计算方法如下：</w:t>
      </w:r>
    </w:p>
    <w:p w14:paraId="5E4F3C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赎回总额＝赎回份额</w:t>
      </w:r>
      <w:r>
        <w:rPr>
          <w:rFonts w:ascii="Times New Roman" w:hAnsi="Times New Roman"/>
          <w:sz w:val="24"/>
        </w:rPr>
        <w:t>×T</w:t>
      </w:r>
      <w:r>
        <w:rPr>
          <w:rFonts w:ascii="Times New Roman" w:hAnsi="Times New Roman"/>
          <w:sz w:val="24"/>
        </w:rPr>
        <w:t>日基金份额净值</w:t>
      </w:r>
    </w:p>
    <w:p w14:paraId="20E1480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后端认（申）购费用＝赎回份额</w:t>
      </w:r>
      <w:r>
        <w:rPr>
          <w:rFonts w:ascii="Times New Roman" w:hAnsi="Times New Roman"/>
          <w:sz w:val="24"/>
        </w:rPr>
        <w:t>×</w:t>
      </w:r>
      <w:r>
        <w:rPr>
          <w:rFonts w:ascii="Times New Roman" w:hAnsi="Times New Roman"/>
          <w:sz w:val="24"/>
        </w:rPr>
        <w:t>认（申）购日基金份额净值</w:t>
      </w:r>
      <w:r>
        <w:rPr>
          <w:rFonts w:ascii="Times New Roman" w:hAnsi="Times New Roman"/>
          <w:sz w:val="24"/>
        </w:rPr>
        <w:t>×</w:t>
      </w:r>
      <w:r>
        <w:rPr>
          <w:rFonts w:ascii="Times New Roman" w:hAnsi="Times New Roman"/>
          <w:sz w:val="24"/>
        </w:rPr>
        <w:t>后端认（申）购费率</w:t>
      </w:r>
    </w:p>
    <w:p w14:paraId="7D9639D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赎回费用＝赎回总额</w:t>
      </w:r>
      <w:r>
        <w:rPr>
          <w:rFonts w:ascii="Times New Roman" w:hAnsi="Times New Roman"/>
          <w:sz w:val="24"/>
        </w:rPr>
        <w:t>×</w:t>
      </w:r>
      <w:r>
        <w:rPr>
          <w:rFonts w:ascii="Times New Roman" w:hAnsi="Times New Roman"/>
          <w:sz w:val="24"/>
        </w:rPr>
        <w:t>赎回费率</w:t>
      </w:r>
    </w:p>
    <w:p w14:paraId="0736F2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赎回金额＝赎回总额－后端认（申）购费用－赎回费用</w:t>
      </w:r>
    </w:p>
    <w:p w14:paraId="61FC7E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例四：某投资者赎回通过后端认购持有的</w:t>
      </w:r>
      <w:r>
        <w:rPr>
          <w:rFonts w:ascii="Times New Roman" w:hAnsi="Times New Roman"/>
          <w:sz w:val="24"/>
        </w:rPr>
        <w:t>10,000</w:t>
      </w:r>
      <w:r>
        <w:rPr>
          <w:rFonts w:ascii="Times New Roman" w:hAnsi="Times New Roman"/>
          <w:sz w:val="24"/>
        </w:rPr>
        <w:t>份基金份额，对应的后端认购费率为</w:t>
      </w:r>
      <w:r>
        <w:rPr>
          <w:rFonts w:ascii="Times New Roman" w:hAnsi="Times New Roman"/>
          <w:sz w:val="24"/>
        </w:rPr>
        <w:t>1.6%</w:t>
      </w:r>
      <w:r>
        <w:rPr>
          <w:rFonts w:ascii="Times New Roman" w:hAnsi="Times New Roman"/>
          <w:sz w:val="24"/>
        </w:rPr>
        <w:t>，赎回费率为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w:t>
      </w:r>
      <w:r>
        <w:rPr>
          <w:rFonts w:ascii="Times New Roman" w:hAnsi="Times New Roman"/>
          <w:sz w:val="24"/>
        </w:rPr>
        <w:t>元，则其可得到的赎回金额为：</w:t>
      </w:r>
    </w:p>
    <w:p w14:paraId="2E9C2D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后端认购费用</w:t>
      </w:r>
      <w:r>
        <w:rPr>
          <w:rFonts w:ascii="Times New Roman" w:hAnsi="Times New Roman"/>
          <w:sz w:val="24"/>
        </w:rPr>
        <w:t xml:space="preserve"> = 10,000×1.00×1.6% = 160.00</w:t>
      </w:r>
      <w:r>
        <w:rPr>
          <w:rFonts w:ascii="Times New Roman" w:hAnsi="Times New Roman"/>
          <w:sz w:val="24"/>
        </w:rPr>
        <w:t>元</w:t>
      </w:r>
    </w:p>
    <w:p w14:paraId="389782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27752E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10,000×1.016-160.00-50.80 </w:t>
      </w:r>
      <w:r>
        <w:rPr>
          <w:rFonts w:ascii="Times New Roman" w:hAnsi="Times New Roman"/>
          <w:sz w:val="24"/>
        </w:rPr>
        <w:t>＝</w:t>
      </w:r>
      <w:r>
        <w:rPr>
          <w:rFonts w:ascii="Times New Roman" w:hAnsi="Times New Roman"/>
          <w:sz w:val="24"/>
        </w:rPr>
        <w:t xml:space="preserve"> 9,949.20</w:t>
      </w:r>
      <w:r>
        <w:rPr>
          <w:rFonts w:ascii="Times New Roman" w:hAnsi="Times New Roman"/>
          <w:sz w:val="24"/>
        </w:rPr>
        <w:t>元</w:t>
      </w:r>
    </w:p>
    <w:p w14:paraId="5598108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即：投资者赎回通过后端认购所得本基金</w:t>
      </w:r>
      <w:r>
        <w:rPr>
          <w:rFonts w:ascii="Times New Roman" w:hAnsi="Times New Roman"/>
          <w:sz w:val="24"/>
        </w:rPr>
        <w:t>10,000</w:t>
      </w:r>
      <w:r>
        <w:rPr>
          <w:rFonts w:ascii="Times New Roman" w:hAnsi="Times New Roman"/>
          <w:sz w:val="24"/>
        </w:rPr>
        <w:t>份基金份额，假设赎回当日基金份额净值是</w:t>
      </w:r>
      <w:r>
        <w:rPr>
          <w:rFonts w:ascii="Times New Roman" w:hAnsi="Times New Roman"/>
          <w:sz w:val="24"/>
        </w:rPr>
        <w:t>1.016</w:t>
      </w:r>
      <w:r>
        <w:rPr>
          <w:rFonts w:ascii="Times New Roman" w:hAnsi="Times New Roman"/>
          <w:sz w:val="24"/>
        </w:rPr>
        <w:t>元，则其可得到的赎回金额为</w:t>
      </w:r>
      <w:r>
        <w:rPr>
          <w:rFonts w:ascii="Times New Roman" w:hAnsi="Times New Roman"/>
          <w:sz w:val="24"/>
        </w:rPr>
        <w:t>9,949.20</w:t>
      </w:r>
      <w:r>
        <w:rPr>
          <w:rFonts w:ascii="Times New Roman" w:hAnsi="Times New Roman"/>
          <w:sz w:val="24"/>
        </w:rPr>
        <w:t>元。</w:t>
      </w:r>
    </w:p>
    <w:p w14:paraId="45BFC1F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例五：某投资者赎回通过后端申购持有的</w:t>
      </w:r>
      <w:r>
        <w:rPr>
          <w:rFonts w:ascii="Times New Roman" w:hAnsi="Times New Roman"/>
          <w:sz w:val="24"/>
        </w:rPr>
        <w:t>10,000</w:t>
      </w:r>
      <w:r>
        <w:rPr>
          <w:rFonts w:ascii="Times New Roman" w:hAnsi="Times New Roman"/>
          <w:sz w:val="24"/>
        </w:rPr>
        <w:t>份基金份额，对应的后端申购费率为</w:t>
      </w:r>
      <w:r>
        <w:rPr>
          <w:rFonts w:ascii="Times New Roman" w:hAnsi="Times New Roman"/>
          <w:sz w:val="24"/>
        </w:rPr>
        <w:t>1.8%</w:t>
      </w:r>
      <w:r>
        <w:rPr>
          <w:rFonts w:ascii="Times New Roman" w:hAnsi="Times New Roman"/>
          <w:sz w:val="24"/>
        </w:rPr>
        <w:t>，赎回费率为</w:t>
      </w:r>
      <w:r>
        <w:rPr>
          <w:rFonts w:ascii="Times New Roman" w:hAnsi="Times New Roman"/>
          <w:sz w:val="24"/>
        </w:rPr>
        <w:t>0.5%</w:t>
      </w:r>
      <w:r>
        <w:rPr>
          <w:rFonts w:ascii="Times New Roman" w:hAnsi="Times New Roman"/>
          <w:sz w:val="24"/>
        </w:rPr>
        <w:t>，假设申购当日基金份额净值是</w:t>
      </w:r>
      <w:r>
        <w:rPr>
          <w:rFonts w:ascii="Times New Roman" w:hAnsi="Times New Roman"/>
          <w:sz w:val="24"/>
        </w:rPr>
        <w:t>1.010</w:t>
      </w:r>
      <w:r>
        <w:rPr>
          <w:rFonts w:ascii="Times New Roman" w:hAnsi="Times New Roman"/>
          <w:sz w:val="24"/>
        </w:rPr>
        <w:t>元，赎回当日基金份额净值是</w:t>
      </w:r>
      <w:r>
        <w:rPr>
          <w:rFonts w:ascii="Times New Roman" w:hAnsi="Times New Roman"/>
          <w:sz w:val="24"/>
        </w:rPr>
        <w:t>1.016</w:t>
      </w:r>
      <w:r>
        <w:rPr>
          <w:rFonts w:ascii="Times New Roman" w:hAnsi="Times New Roman"/>
          <w:sz w:val="24"/>
        </w:rPr>
        <w:t>元，则其可得到的赎回金额为：</w:t>
      </w:r>
    </w:p>
    <w:p w14:paraId="6882262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w:t>
      </w:r>
      <w:r>
        <w:rPr>
          <w:rFonts w:ascii="Times New Roman" w:hAnsi="Times New Roman"/>
          <w:sz w:val="24"/>
        </w:rPr>
        <w:t xml:space="preserve"> = 10,000×1.010×1.8% = 181.80</w:t>
      </w:r>
      <w:r>
        <w:rPr>
          <w:rFonts w:ascii="Times New Roman" w:hAnsi="Times New Roman"/>
          <w:sz w:val="24"/>
        </w:rPr>
        <w:t>元</w:t>
      </w:r>
    </w:p>
    <w:p w14:paraId="63FDBF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18AECA6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10,000×1.016-181.80-50.80 </w:t>
      </w:r>
      <w:r>
        <w:rPr>
          <w:rFonts w:ascii="Times New Roman" w:hAnsi="Times New Roman"/>
          <w:sz w:val="24"/>
        </w:rPr>
        <w:t>＝</w:t>
      </w:r>
      <w:r>
        <w:rPr>
          <w:rFonts w:ascii="Times New Roman" w:hAnsi="Times New Roman"/>
          <w:sz w:val="24"/>
        </w:rPr>
        <w:t xml:space="preserve"> 9,927.40</w:t>
      </w:r>
      <w:r>
        <w:rPr>
          <w:rFonts w:ascii="Times New Roman" w:hAnsi="Times New Roman"/>
          <w:sz w:val="24"/>
        </w:rPr>
        <w:t>元</w:t>
      </w:r>
    </w:p>
    <w:p w14:paraId="0496BB1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即：投资者赎回通过后端申购所得本基金</w:t>
      </w:r>
      <w:r>
        <w:rPr>
          <w:rFonts w:ascii="Times New Roman" w:hAnsi="Times New Roman"/>
          <w:sz w:val="24"/>
        </w:rPr>
        <w:t>10,000</w:t>
      </w:r>
      <w:r>
        <w:rPr>
          <w:rFonts w:ascii="Times New Roman" w:hAnsi="Times New Roman"/>
          <w:sz w:val="24"/>
        </w:rPr>
        <w:t>份基金份额，假设申购当日基金份额净值是</w:t>
      </w:r>
      <w:r>
        <w:rPr>
          <w:rFonts w:ascii="Times New Roman" w:hAnsi="Times New Roman"/>
          <w:sz w:val="24"/>
        </w:rPr>
        <w:t>1.010</w:t>
      </w:r>
      <w:r>
        <w:rPr>
          <w:rFonts w:ascii="Times New Roman" w:hAnsi="Times New Roman"/>
          <w:sz w:val="24"/>
        </w:rPr>
        <w:t>元，赎回当日基金份额净值是</w:t>
      </w:r>
      <w:r>
        <w:rPr>
          <w:rFonts w:ascii="Times New Roman" w:hAnsi="Times New Roman"/>
          <w:sz w:val="24"/>
        </w:rPr>
        <w:t>1.016</w:t>
      </w:r>
      <w:r>
        <w:rPr>
          <w:rFonts w:ascii="Times New Roman" w:hAnsi="Times New Roman"/>
          <w:sz w:val="24"/>
        </w:rPr>
        <w:t>元，则其可得到的赎回金额为</w:t>
      </w:r>
      <w:r>
        <w:rPr>
          <w:rFonts w:ascii="Times New Roman" w:hAnsi="Times New Roman"/>
          <w:sz w:val="24"/>
        </w:rPr>
        <w:t>9,927.40</w:t>
      </w:r>
      <w:r>
        <w:rPr>
          <w:rFonts w:ascii="Times New Roman" w:hAnsi="Times New Roman"/>
          <w:sz w:val="24"/>
        </w:rPr>
        <w:t>元。</w:t>
      </w:r>
    </w:p>
    <w:p w14:paraId="259513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630C0A1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基金份额净值＝基金资产净值总额</w:t>
      </w:r>
      <w:r>
        <w:rPr>
          <w:rFonts w:ascii="Times New Roman" w:hAnsi="Times New Roman"/>
          <w:sz w:val="24"/>
        </w:rPr>
        <w:t>/</w:t>
      </w:r>
      <w:r>
        <w:rPr>
          <w:rFonts w:ascii="Times New Roman" w:hAnsi="Times New Roman"/>
          <w:sz w:val="24"/>
        </w:rPr>
        <w:t>发行在外的基金份额总数</w:t>
      </w:r>
    </w:p>
    <w:p w14:paraId="5FED0A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日公告。遇特殊情况，经中国证监会同意，可以适当延迟计算或公告。</w:t>
      </w:r>
    </w:p>
    <w:p w14:paraId="23A65BF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（八）拒绝或暂停申购的情形及处理方式</w:t>
      </w:r>
    </w:p>
    <w:p w14:paraId="402255F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发生下列情况时，基金管理人可拒绝或暂停接受基金投资者的申购申请：</w:t>
      </w:r>
    </w:p>
    <w:p w14:paraId="0048B2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、因不可抗力导致基金无法正常运作或无法接受申购；</w:t>
      </w:r>
    </w:p>
    <w:p w14:paraId="7FFAAD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、证券交易所交易时间非正常停市，导致基金管理人无法计算当日基金资产净值；</w:t>
      </w:r>
    </w:p>
    <w:p w14:paraId="4ED632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、所投资的目标</w:t>
      </w:r>
      <w:r>
        <w:rPr>
          <w:rFonts w:ascii="Times New Roman" w:hAnsi="Times New Roman"/>
          <w:sz w:val="24"/>
        </w:rPr>
        <w:t>ETF</w:t>
      </w:r>
      <w:r>
        <w:rPr>
          <w:rFonts w:ascii="Times New Roman" w:hAnsi="Times New Roman"/>
          <w:sz w:val="24"/>
        </w:rPr>
        <w:t>暂停估值，导致基金管理人无法计算当日基金资产净值；</w:t>
      </w:r>
    </w:p>
    <w:p w14:paraId="0A6B42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、所投资的目标</w:t>
      </w:r>
      <w:r>
        <w:rPr>
          <w:rFonts w:ascii="Times New Roman" w:hAnsi="Times New Roman"/>
          <w:sz w:val="24"/>
        </w:rPr>
        <w:t>ETF</w:t>
      </w:r>
      <w:r>
        <w:rPr>
          <w:rFonts w:ascii="Times New Roman" w:hAnsi="Times New Roman"/>
          <w:sz w:val="24"/>
        </w:rPr>
        <w:t>暂停申购或二级市场交易停牌，基金管理人认为有必要</w:t>
      </w:r>
      <w:r>
        <w:rPr>
          <w:rFonts w:ascii="Times New Roman" w:hAnsi="Times New Roman"/>
          <w:sz w:val="24"/>
        </w:rPr>
        <w:lastRenderedPageBreak/>
        <w:t>暂停本基金申购的情形；</w:t>
      </w:r>
    </w:p>
    <w:p w14:paraId="4FE6C56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、发生本基金合同规定的暂停基金资产估值情况；</w:t>
      </w:r>
    </w:p>
    <w:p w14:paraId="632F77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、基金管理人、基金托管人、基金销售机构或注册登记机构等因异常情况无法办理申购（上述异常情况包括但不限于系统故障、网络故障、通讯故障、电力故障、数据错误等）；</w:t>
      </w:r>
    </w:p>
    <w:p w14:paraId="2EF712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、基金资产规模过大，使基金管理人无法找到合适的投资品种，或基金管理人认为会损害已有基金份额持有人利益的其他情形；</w:t>
      </w:r>
    </w:p>
    <w:p w14:paraId="579BFD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165742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、基金管理人认为会有损于现有基金份额持有人利益的某笔申购；</w:t>
      </w:r>
    </w:p>
    <w:p w14:paraId="2C9C30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、法律法规规定或中国证监会认定的其他情形。</w:t>
      </w:r>
    </w:p>
    <w:p w14:paraId="7EEB73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发生上述除第</w:t>
      </w:r>
      <w:r>
        <w:rPr>
          <w:rFonts w:ascii="Times New Roman" w:hAnsi="Times New Roman"/>
          <w:sz w:val="24"/>
        </w:rPr>
        <w:t>9</w:t>
      </w:r>
      <w:r>
        <w:rPr>
          <w:rFonts w:ascii="Times New Roman" w:hAnsi="Times New Roman"/>
          <w:sz w:val="24"/>
        </w:rPr>
        <w:t>项以外的暂停申购情形且基金管理人决定暂停接受基金投资者的申购申请时，基金管理人应当根据有关规定在指定媒介上刊登暂停申购公告。如果基金投资者的申购申请被拒绝，被拒绝的申购款项将退还给投资者。在暂停申购的情况消除时，基金管理人应及时恢复申购业务的办理。</w:t>
      </w:r>
    </w:p>
    <w:p w14:paraId="29CD2C31"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（九）暂停赎回或者延缓支付赎回款项的情形及处理方式</w:t>
      </w:r>
    </w:p>
    <w:p w14:paraId="3F251CB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发生下列情形时，基金管理人可暂停接受基金投资者的赎回申请或延缓支付赎回款项：</w:t>
      </w:r>
    </w:p>
    <w:p w14:paraId="0DCB1B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14:paraId="43E9FB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、证券交易所交易时间临时停市，导致基金管理人无法计算当日基金资产净值；</w:t>
      </w:r>
    </w:p>
    <w:p w14:paraId="025C71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、连续两个或两个以上开放日发生巨额赎回，导致本基金的现金支付出现困难；</w:t>
      </w:r>
    </w:p>
    <w:p w14:paraId="2F8D6C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、所投资的目标</w:t>
      </w:r>
      <w:r>
        <w:rPr>
          <w:rFonts w:ascii="Times New Roman" w:hAnsi="Times New Roman"/>
          <w:sz w:val="24"/>
        </w:rPr>
        <w:t>ETF</w:t>
      </w:r>
      <w:r>
        <w:rPr>
          <w:rFonts w:ascii="Times New Roman" w:hAnsi="Times New Roman"/>
          <w:sz w:val="24"/>
        </w:rPr>
        <w:t>暂停估值，导致基金管理人无法计算当日基金资产净值；</w:t>
      </w:r>
    </w:p>
    <w:p w14:paraId="5F7C94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、所投资的目标</w:t>
      </w:r>
      <w:r>
        <w:rPr>
          <w:rFonts w:ascii="Times New Roman" w:hAnsi="Times New Roman"/>
          <w:sz w:val="24"/>
        </w:rPr>
        <w:t>ETF</w:t>
      </w:r>
      <w:r>
        <w:rPr>
          <w:rFonts w:ascii="Times New Roman" w:hAnsi="Times New Roman"/>
          <w:sz w:val="24"/>
        </w:rPr>
        <w:t>暂停赎回或二级市场交易停牌，基金管理人认为有必要暂停本基金赎回的情形；</w:t>
      </w:r>
    </w:p>
    <w:p w14:paraId="496C31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、发生本基金合同规定的暂停基金资产估值情况；</w:t>
      </w:r>
    </w:p>
    <w:p w14:paraId="56AE578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、基金管理人、基金托管人、基金销售机构或注册登记机构的技术保障等异常情况发生导致基金销售系统或基金注册登记系统或基金会计系统无法正常运行；</w:t>
      </w:r>
    </w:p>
    <w:p w14:paraId="7960F6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8</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14:paraId="17E4A8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、法律法规规定或中国证监会认定的其他情形。</w:t>
      </w:r>
    </w:p>
    <w:p w14:paraId="3A23621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且基金管理人决定暂停接受基金投资者的赎回申请或延缓支付赎回款项时，基金管理人应在当日向中国证监会备案，已成功确认的赎回申请，基金管理人应足额支付；如不能足额支付，可延期支付。若连续两个或两个以上开放日发生巨额赎回，延期支付最长不得超过</w:t>
      </w:r>
      <w:r>
        <w:rPr>
          <w:rFonts w:ascii="Times New Roman" w:hAnsi="Times New Roman"/>
          <w:sz w:val="24"/>
        </w:rPr>
        <w:t>20</w:t>
      </w:r>
      <w:r>
        <w:rPr>
          <w:rFonts w:ascii="Times New Roman" w:hAnsi="Times New Roman"/>
          <w:sz w:val="24"/>
        </w:rPr>
        <w:t>个工作日，并在指定媒介上公告。</w:t>
      </w:r>
    </w:p>
    <w:p w14:paraId="7A762A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若出现上述第</w:t>
      </w:r>
      <w:r>
        <w:rPr>
          <w:rFonts w:ascii="Times New Roman" w:hAnsi="Times New Roman"/>
          <w:sz w:val="24"/>
        </w:rPr>
        <w:t>3</w:t>
      </w:r>
      <w:r>
        <w:rPr>
          <w:rFonts w:ascii="Times New Roman" w:hAnsi="Times New Roman"/>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224941CD"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14:paraId="6F6E0C1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14:paraId="6BD2DE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rFonts w:ascii="Times New Roman" w:hAnsi="Times New Roman"/>
          <w:sz w:val="24"/>
        </w:rPr>
        <w:t>10%</w:t>
      </w:r>
      <w:r>
        <w:rPr>
          <w:rFonts w:ascii="Times New Roman" w:hAnsi="Times New Roman"/>
          <w:sz w:val="24"/>
        </w:rPr>
        <w:t>，即认为是发生了巨额赎回。</w:t>
      </w:r>
    </w:p>
    <w:p w14:paraId="13AF5A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14:paraId="491F68F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当基金出现巨额赎回时，基金管理人可以根据基金当时的资产组合状况决定全额赎回或部分顺延赎回。</w:t>
      </w:r>
    </w:p>
    <w:p w14:paraId="550997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）全额赎回：当基金管理人认为有能力支付基金投资者的赎回申请时，按正常赎回程序执行。</w:t>
      </w:r>
    </w:p>
    <w:p w14:paraId="6C0415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rFonts w:ascii="Times New Roman" w:hAnsi="Times New Roman"/>
          <w:sz w:val="24"/>
        </w:rPr>
        <w:t>10%</w:t>
      </w:r>
      <w:r>
        <w:rPr>
          <w:rFonts w:ascii="Times New Roman" w:hAnsi="Times New Roman"/>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w:t>
      </w:r>
      <w:r>
        <w:rPr>
          <w:rFonts w:ascii="Times New Roman" w:hAnsi="Times New Roman"/>
          <w:sz w:val="24"/>
        </w:rPr>
        <w:lastRenderedPageBreak/>
        <w:t>开放日的基金份额净值为基础计算赎回金额，并以此类推，直到全部赎回为止。如基金投资者在提交赎回申请时未作明确选择，投资者未能赎回部分作自动延期赎回处理。</w:t>
      </w:r>
    </w:p>
    <w:p w14:paraId="73CA2E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）部分顺延赎回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2E6D1C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w:t>
      </w:r>
    </w:p>
    <w:p w14:paraId="2AEA63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当发生巨额赎回并顺延赎回时，基金管理人应当通过邮寄、传真、刊登公告或者通知代销机构代为告知等方式在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14:paraId="7D0127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日以上（含本数）发生巨额赎回，如基金管理人认为有必要，可暂停接受基金的赎回申请；已经确认成功的赎回申请可以延缓支付赎回款项，但不得超过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304E509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14:paraId="477604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15A5C7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、暂停结束，基金重新开放申购或赎回时，基金管理人应依照《信息披露管理办法》的有关规定，在指定媒介上刊登基金重新开放申购或赎回公告，并公告最近</w:t>
      </w:r>
      <w:r>
        <w:rPr>
          <w:rFonts w:ascii="Times New Roman" w:hAnsi="Times New Roman"/>
          <w:sz w:val="24"/>
        </w:rPr>
        <w:t>1</w:t>
      </w:r>
      <w:r>
        <w:rPr>
          <w:rFonts w:ascii="Times New Roman" w:hAnsi="Times New Roman"/>
          <w:sz w:val="24"/>
        </w:rPr>
        <w:t>个工作日的基金份额净值。</w:t>
      </w:r>
    </w:p>
    <w:p w14:paraId="13DC1BE9"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（十二）基金的非交易过户</w:t>
      </w:r>
    </w:p>
    <w:p w14:paraId="7E2776E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指注册登记机构受理继承、捐赠、司法强制执行和经注册登记机构认可的其它情况而产生的非交易过户。无论在上述何种情况下，接受划转的主体必须是依法可以持有本基金基金份额的投资者。</w:t>
      </w:r>
    </w:p>
    <w:p w14:paraId="4B0A9E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w:t>
      </w:r>
      <w:r>
        <w:rPr>
          <w:rFonts w:ascii="Times New Roman" w:hAnsi="Times New Roman"/>
          <w:sz w:val="24"/>
        </w:rPr>
        <w:lastRenderedPageBreak/>
        <w:t>求提供的相关资料，对于符合条件的非交易过户申请按注册登记机构的有关规定办理，并按注册登记机构规定的标准收费。</w:t>
      </w:r>
    </w:p>
    <w:p w14:paraId="71824CF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 基金的转托管</w:t>
      </w:r>
    </w:p>
    <w:p w14:paraId="2ECF7FA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14:paraId="69607D3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如果基金管理人、注册登记机构、办理转托管的销售机构出现技术系统性能限制或出于其它合理原因，可以暂停该业务或者拒绝基金份额持有人的转托管申请。</w:t>
      </w:r>
    </w:p>
    <w:p w14:paraId="35B14BA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（十四）定期定额投资计划</w:t>
      </w:r>
    </w:p>
    <w:p w14:paraId="6DB00BE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rFonts w:ascii="Times New Roman" w:hAnsi="Times New Roman"/>
          <w:sz w:val="24"/>
        </w:rPr>
        <w:t>2011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日刊登公告自</w:t>
      </w:r>
      <w:r>
        <w:rPr>
          <w:rFonts w:ascii="Times New Roman" w:hAnsi="Times New Roman"/>
          <w:sz w:val="24"/>
        </w:rPr>
        <w:t>2011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9</w:t>
      </w:r>
      <w:r>
        <w:rPr>
          <w:rFonts w:ascii="Times New Roman" w:hAnsi="Times New Roman"/>
          <w:sz w:val="24"/>
        </w:rPr>
        <w:t>日起开通定期定额投资计划业务，具体开通销售机构名单和业务规则参见相关公告。</w:t>
      </w:r>
    </w:p>
    <w:p w14:paraId="15C471C9"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（十五）定期定额赎回业务</w:t>
      </w:r>
    </w:p>
    <w:p w14:paraId="2C4DE49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2011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日刊登公告自</w:t>
      </w:r>
      <w:r>
        <w:rPr>
          <w:rFonts w:ascii="Times New Roman" w:hAnsi="Times New Roman"/>
          <w:sz w:val="24"/>
        </w:rPr>
        <w:t>2011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9</w:t>
      </w:r>
      <w:r>
        <w:rPr>
          <w:rFonts w:ascii="Times New Roman" w:hAnsi="Times New Roman"/>
          <w:sz w:val="24"/>
        </w:rPr>
        <w:t>日起在中国农业银行股份有限公司下属各代销网点开通定期定额赎回业务。</w:t>
      </w:r>
    </w:p>
    <w:p w14:paraId="434754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ascii="Times New Roman" w:hAnsi="Times New Roman"/>
          <w:sz w:val="24"/>
        </w:rPr>
        <w:t>95599</w:t>
      </w:r>
      <w:r>
        <w:rPr>
          <w:rFonts w:ascii="Times New Roman" w:hAnsi="Times New Roman"/>
          <w:sz w:val="24"/>
        </w:rPr>
        <w:t>）。</w:t>
      </w:r>
    </w:p>
    <w:p w14:paraId="226EEB28"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（十六）其他情形</w:t>
      </w:r>
    </w:p>
    <w:p w14:paraId="14401E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基金份额的冻结和解冻的业务，由注册登记机构办理。</w:t>
      </w:r>
    </w:p>
    <w:p w14:paraId="7AED13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来决定是否冻结。</w:t>
      </w:r>
    </w:p>
    <w:p w14:paraId="7410E73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当基金份额处于冻结状态时，注册登记机构或其他相关机构有权拒绝该部分基</w:t>
      </w:r>
      <w:r>
        <w:rPr>
          <w:rFonts w:ascii="Times New Roman" w:hAnsi="Times New Roman"/>
          <w:sz w:val="24"/>
        </w:rPr>
        <w:lastRenderedPageBreak/>
        <w:t>金份额的赎回、转出、非交易过户以及基金的转托管。</w:t>
      </w:r>
    </w:p>
    <w:p w14:paraId="4783164D"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FB626A" w14:textId="77777777" w:rsidR="00A77DF8" w:rsidRDefault="00E47C67">
      <w:pPr>
        <w:pStyle w:val="1"/>
        <w:snapToGrid w:val="0"/>
        <w:spacing w:beforeLines="0" w:before="240" w:after="240"/>
        <w:rPr>
          <w:rFonts w:ascii="宋体" w:hAnsi="宋体"/>
          <w:szCs w:val="30"/>
        </w:rPr>
      </w:pPr>
      <w:bookmarkStart w:id="11" w:name="_Toc54104413"/>
      <w:r>
        <w:rPr>
          <w:rFonts w:ascii="Times New Roman" w:hAnsi="Times New Roman"/>
          <w:sz w:val="30"/>
        </w:rPr>
        <w:lastRenderedPageBreak/>
        <w:t>九、基金的转换</w:t>
      </w:r>
      <w:bookmarkEnd w:id="11"/>
    </w:p>
    <w:p w14:paraId="68FB393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（一）基金转换</w:t>
      </w:r>
    </w:p>
    <w:p w14:paraId="08CE38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14:paraId="6A532648"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（二）转换业务办理时间</w:t>
      </w:r>
    </w:p>
    <w:p w14:paraId="12F094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2011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日刊登公告自</w:t>
      </w:r>
      <w:r>
        <w:rPr>
          <w:rFonts w:ascii="Times New Roman" w:hAnsi="Times New Roman"/>
          <w:sz w:val="24"/>
        </w:rPr>
        <w:t>2011</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9</w:t>
      </w:r>
      <w:r>
        <w:rPr>
          <w:rFonts w:ascii="Times New Roman" w:hAnsi="Times New Roman"/>
          <w:sz w:val="24"/>
        </w:rPr>
        <w:t>日起开放日常转换业务。</w:t>
      </w:r>
    </w:p>
    <w:p w14:paraId="327C59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14:paraId="678E96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43BCAD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14:paraId="64E1F69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（三）基金转换的程序</w:t>
      </w:r>
    </w:p>
    <w:p w14:paraId="4BBEFB0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78B1A1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14:paraId="5181F0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14:paraId="010588C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14:paraId="4C5DD0E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14:paraId="46230841"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（四）基金转换的数额限制</w:t>
      </w:r>
    </w:p>
    <w:p w14:paraId="490073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基金转换以份额为单位进行申请，申请转换份额精确到小数点后两位，小数点后两位以后的部分四舍五入，误差部分归基金财产。</w:t>
      </w:r>
    </w:p>
    <w:p w14:paraId="31602B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w:t>
      </w:r>
      <w:r>
        <w:rPr>
          <w:rFonts w:ascii="Times New Roman" w:hAnsi="Times New Roman"/>
          <w:sz w:val="24"/>
        </w:rPr>
        <w:lastRenderedPageBreak/>
        <w:t>其全部或部分基金份额转换成其它基金，单笔转换申请不受转入基金最低申购限额限制。</w:t>
      </w:r>
    </w:p>
    <w:p w14:paraId="5167E8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1A44D8D5"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（五）基金转换费用</w:t>
      </w:r>
    </w:p>
    <w:p w14:paraId="5E3F1C1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3625D82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14:paraId="64E322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转出基金的赎回费用及归入基金财产的比例按照各基金最新的更新招募说明书及相关公告规定的赎回费率和计费方式收取。</w:t>
      </w:r>
    </w:p>
    <w:p w14:paraId="78A2B41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14:paraId="14E2F8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25D3D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14:paraId="2E049E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w:t>
      </w:r>
      <w:r>
        <w:rPr>
          <w:rFonts w:ascii="Times New Roman" w:hAnsi="Times New Roman"/>
          <w:sz w:val="24"/>
        </w:rPr>
        <w:lastRenderedPageBreak/>
        <w:t>基金后端申购费率减去转入基金后端申购费率差额进行补差。</w:t>
      </w:r>
    </w:p>
    <w:p w14:paraId="023A54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、网上直销的申购补差费率优惠</w:t>
      </w:r>
    </w:p>
    <w:p w14:paraId="12D712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FE246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具体转换费率水平请参见本基金管理人网站（</w:t>
      </w:r>
      <w:r>
        <w:rPr>
          <w:rFonts w:ascii="Times New Roman" w:hAnsi="Times New Roman"/>
          <w:sz w:val="24"/>
        </w:rPr>
        <w:t>www.fund001.com</w:t>
      </w:r>
      <w:r>
        <w:rPr>
          <w:rFonts w:ascii="Times New Roman" w:hAnsi="Times New Roman"/>
          <w:sz w:val="24"/>
        </w:rPr>
        <w:t>）列示的相关转换费率表或相关公告。</w:t>
      </w:r>
    </w:p>
    <w:p w14:paraId="06AE3C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、基金管理人可以根据法律法规及基金合同的规定对上述收费方式和费率进行调整，并应于调整后的收费方式和费率在实施前依照《信息披露办法》的有关规定在中国证监会指定媒介上公告。</w:t>
      </w:r>
    </w:p>
    <w:p w14:paraId="6540A6A9"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（六）基金转换份额的计算公式</w:t>
      </w:r>
    </w:p>
    <w:p w14:paraId="7C4699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3B760A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3A7CE3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641E754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7F8641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5C792BF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14:paraId="2F978F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645D58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6C15BF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196F381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5AC78E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例一：某投资者持有交银趋势前端收费模式的基金份额</w:t>
      </w:r>
      <w:r>
        <w:rPr>
          <w:rFonts w:ascii="Times New Roman" w:hAnsi="Times New Roman"/>
          <w:sz w:val="24"/>
        </w:rPr>
        <w:t>100,000</w:t>
      </w:r>
      <w:r>
        <w:rPr>
          <w:rFonts w:ascii="Times New Roman" w:hAnsi="Times New Roman"/>
          <w:sz w:val="24"/>
        </w:rPr>
        <w:t>份，持有期半年，转换申请当日交银趋势的基金份额净值为</w:t>
      </w:r>
      <w:r>
        <w:rPr>
          <w:rFonts w:ascii="Times New Roman" w:hAnsi="Times New Roman"/>
          <w:sz w:val="24"/>
        </w:rPr>
        <w:t>1.010</w:t>
      </w:r>
      <w:r>
        <w:rPr>
          <w:rFonts w:ascii="Times New Roman" w:hAnsi="Times New Roman"/>
          <w:sz w:val="24"/>
        </w:rPr>
        <w:t>元，交银成长的基金份额净值</w:t>
      </w:r>
      <w:r>
        <w:rPr>
          <w:rFonts w:ascii="Times New Roman" w:hAnsi="Times New Roman"/>
          <w:sz w:val="24"/>
        </w:rPr>
        <w:lastRenderedPageBreak/>
        <w:t>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份交银趋势前端基金份额转换为交银成长前端基金份额，则转入交银成长确认的基金份额为：</w:t>
      </w:r>
    </w:p>
    <w:p w14:paraId="34C288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=100,000×1.010=101,000</w:t>
      </w:r>
      <w:r>
        <w:rPr>
          <w:rFonts w:ascii="Times New Roman" w:hAnsi="Times New Roman"/>
          <w:sz w:val="24"/>
        </w:rPr>
        <w:t>元</w:t>
      </w:r>
    </w:p>
    <w:p w14:paraId="25FDE92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18E786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05328CB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7F4D75D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59AF854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元，交银趋势的基金份额净值为</w:t>
      </w:r>
      <w:r>
        <w:rPr>
          <w:rFonts w:ascii="Times New Roman" w:hAnsi="Times New Roman"/>
          <w:sz w:val="24"/>
        </w:rPr>
        <w:t>1.010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类基金份额转换为交银趋势前端基金份额，则转入交银趋势确认的基金份额为：</w:t>
      </w:r>
    </w:p>
    <w:p w14:paraId="3D983D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147929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072CC3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5B66ABC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0CD9C5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/1.010=1,004,374.17</w:t>
      </w:r>
      <w:r>
        <w:rPr>
          <w:rFonts w:ascii="Times New Roman" w:hAnsi="Times New Roman"/>
          <w:sz w:val="24"/>
        </w:rPr>
        <w:t>份</w:t>
      </w:r>
    </w:p>
    <w:p w14:paraId="1987B8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06B62A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159209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1E8BC41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72EF78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67EC036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644A7DF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18CF9C3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6FA8AC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转出基金的赎回费</w:t>
      </w:r>
      <w:r>
        <w:rPr>
          <w:rFonts w:ascii="Times New Roman" w:hAnsi="Times New Roman"/>
          <w:sz w:val="24"/>
        </w:rPr>
        <w:t>=0</w:t>
      </w:r>
      <w:r>
        <w:rPr>
          <w:rFonts w:ascii="Times New Roman" w:hAnsi="Times New Roman"/>
          <w:sz w:val="24"/>
        </w:rPr>
        <w:t>元</w:t>
      </w:r>
    </w:p>
    <w:p w14:paraId="34FD888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7D6BC43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2A5340A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56E43C6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0CED3C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0441EC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7011F9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7CA01C1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2562BEA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5837EE5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74BF873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72B38D1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6D37ACA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14:paraId="0BE756A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44F483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7354C55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1623943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6DF9D4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245365E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例六：某投资者持有交银先锋后端收费模式的基金份额</w:t>
      </w:r>
      <w:r>
        <w:rPr>
          <w:rFonts w:ascii="Times New Roman" w:hAnsi="Times New Roman"/>
          <w:sz w:val="24"/>
        </w:rPr>
        <w:t>100,000</w:t>
      </w:r>
      <w:r>
        <w:rPr>
          <w:rFonts w:ascii="Times New Roman" w:hAnsi="Times New Roman"/>
          <w:sz w:val="24"/>
        </w:rPr>
        <w:t>份，持有期一年半，转换申请当日交银先锋的基金份额净值为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份交银先锋后端基金份额转换为交银货币，则转入交银货币的基金份额为：</w:t>
      </w:r>
    </w:p>
    <w:p w14:paraId="2E78D1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转出确认金额</w:t>
      </w:r>
      <w:r>
        <w:rPr>
          <w:rFonts w:ascii="Times New Roman" w:hAnsi="Times New Roman"/>
          <w:sz w:val="24"/>
        </w:rPr>
        <w:t>=100,000×1.250=125,000</w:t>
      </w:r>
      <w:r>
        <w:rPr>
          <w:rFonts w:ascii="Times New Roman" w:hAnsi="Times New Roman"/>
          <w:sz w:val="24"/>
        </w:rPr>
        <w:t>元</w:t>
      </w:r>
    </w:p>
    <w:p w14:paraId="6C17022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49BAF60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247D2C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71179E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3238670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38D540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=100,000×0.850=85,000</w:t>
      </w:r>
      <w:r>
        <w:rPr>
          <w:rFonts w:ascii="Times New Roman" w:hAnsi="Times New Roman"/>
          <w:sz w:val="24"/>
        </w:rPr>
        <w:t>元</w:t>
      </w:r>
    </w:p>
    <w:p w14:paraId="68108B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5DCE7DB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55BAF44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003A5D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5A24AE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4C3677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609724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215AE0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365C90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181293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1BB3D70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（七）业务规则</w:t>
      </w:r>
    </w:p>
    <w:p w14:paraId="5D4CE7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A5E0A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w:t>
      </w:r>
      <w:r>
        <w:rPr>
          <w:rFonts w:ascii="Times New Roman" w:hAnsi="Times New Roman"/>
          <w:sz w:val="24"/>
        </w:rPr>
        <w:lastRenderedPageBreak/>
        <w:t>式的其他基金。货币市场基金、债券基金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34CFB2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14:paraId="1EFD0C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6CDF76C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53DC4CE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（八）暂停基金转换</w:t>
      </w:r>
    </w:p>
    <w:p w14:paraId="457F95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AA3EA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本基金单个开放日，基金净赎回申请份额（该基金赎回申请总份额加上基金转换中转出申请总份额后扣除申购申请总份额及基金转换中转入申请总份额后的余额）超过上一日基金总份额的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D6D5C64"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7E0E64" w14:textId="77777777" w:rsidR="00A77DF8" w:rsidRDefault="00E47C67">
      <w:pPr>
        <w:pStyle w:val="1"/>
        <w:snapToGrid w:val="0"/>
        <w:spacing w:beforeLines="0" w:before="240" w:after="240"/>
        <w:rPr>
          <w:rFonts w:ascii="宋体" w:hAnsi="宋体"/>
          <w:szCs w:val="30"/>
        </w:rPr>
      </w:pPr>
      <w:bookmarkStart w:id="12" w:name="_Toc54104414"/>
      <w:r>
        <w:rPr>
          <w:rFonts w:ascii="Times New Roman" w:hAnsi="Times New Roman"/>
          <w:sz w:val="30"/>
        </w:rPr>
        <w:lastRenderedPageBreak/>
        <w:t>十、基金的投资</w:t>
      </w:r>
      <w:bookmarkEnd w:id="12"/>
    </w:p>
    <w:p w14:paraId="79FAF6A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2BD56D3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紧密跟踪标的指数，追求跟踪偏离度与跟踪误差最小化。</w:t>
      </w:r>
    </w:p>
    <w:p w14:paraId="35CAA27B"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（二）标的指数</w:t>
      </w:r>
    </w:p>
    <w:p w14:paraId="39C80C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本基金的标的指数即目标</w:t>
      </w:r>
      <w:r>
        <w:rPr>
          <w:rFonts w:ascii="Times New Roman" w:hAnsi="Times New Roman"/>
          <w:sz w:val="24"/>
        </w:rPr>
        <w:t>ETF</w:t>
      </w:r>
      <w:r>
        <w:rPr>
          <w:rFonts w:ascii="Times New Roman" w:hAnsi="Times New Roman"/>
          <w:sz w:val="24"/>
        </w:rPr>
        <w:t>的标的指数，为深证</w:t>
      </w:r>
      <w:r>
        <w:rPr>
          <w:rFonts w:ascii="Times New Roman" w:hAnsi="Times New Roman"/>
          <w:sz w:val="24"/>
        </w:rPr>
        <w:t>300</w:t>
      </w:r>
      <w:r>
        <w:rPr>
          <w:rFonts w:ascii="Times New Roman" w:hAnsi="Times New Roman"/>
          <w:sz w:val="24"/>
        </w:rPr>
        <w:t>价值价格指数。深证</w:t>
      </w:r>
      <w:r>
        <w:rPr>
          <w:rFonts w:ascii="Times New Roman" w:hAnsi="Times New Roman"/>
          <w:sz w:val="24"/>
        </w:rPr>
        <w:t>300</w:t>
      </w:r>
      <w:r>
        <w:rPr>
          <w:rFonts w:ascii="Times New Roman" w:hAnsi="Times New Roman"/>
          <w:sz w:val="24"/>
        </w:rPr>
        <w:t>价值价格指数是由深圳证券信息公司编制，并以深证</w:t>
      </w:r>
      <w:r>
        <w:rPr>
          <w:rFonts w:ascii="Times New Roman" w:hAnsi="Times New Roman"/>
          <w:sz w:val="24"/>
        </w:rPr>
        <w:t>300</w:t>
      </w:r>
      <w:r>
        <w:rPr>
          <w:rFonts w:ascii="Times New Roman" w:hAnsi="Times New Roman"/>
          <w:sz w:val="24"/>
        </w:rPr>
        <w:t>指数为基础开发的风格指数，它以深证</w:t>
      </w:r>
      <w:r>
        <w:rPr>
          <w:rFonts w:ascii="Times New Roman" w:hAnsi="Times New Roman"/>
          <w:sz w:val="24"/>
        </w:rPr>
        <w:t>300</w:t>
      </w:r>
      <w:r>
        <w:rPr>
          <w:rFonts w:ascii="Times New Roman" w:hAnsi="Times New Roman"/>
          <w:sz w:val="24"/>
        </w:rPr>
        <w:t>指数的成份股为样本空间，选取采用价值因子评分最高的</w:t>
      </w:r>
      <w:r>
        <w:rPr>
          <w:rFonts w:ascii="Times New Roman" w:hAnsi="Times New Roman"/>
          <w:sz w:val="24"/>
        </w:rPr>
        <w:t>100</w:t>
      </w:r>
      <w:r>
        <w:rPr>
          <w:rFonts w:ascii="Times New Roman" w:hAnsi="Times New Roman"/>
          <w:sz w:val="24"/>
        </w:rPr>
        <w:t>只股票为指数的成份股，并于每年</w:t>
      </w:r>
      <w:r>
        <w:rPr>
          <w:rFonts w:ascii="Times New Roman" w:hAnsi="Times New Roman"/>
          <w:sz w:val="24"/>
        </w:rPr>
        <w:t>1</w:t>
      </w:r>
      <w:r>
        <w:rPr>
          <w:rFonts w:ascii="Times New Roman" w:hAnsi="Times New Roman"/>
          <w:sz w:val="24"/>
        </w:rPr>
        <w:t>月和</w:t>
      </w:r>
      <w:r>
        <w:rPr>
          <w:rFonts w:ascii="Times New Roman" w:hAnsi="Times New Roman"/>
          <w:sz w:val="24"/>
        </w:rPr>
        <w:t>7</w:t>
      </w:r>
      <w:r>
        <w:rPr>
          <w:rFonts w:ascii="Times New Roman" w:hAnsi="Times New Roman"/>
          <w:sz w:val="24"/>
        </w:rPr>
        <w:t>月对指数成份股进行调整。该指数的基期为</w:t>
      </w:r>
      <w:r>
        <w:rPr>
          <w:rFonts w:ascii="Times New Roman" w:hAnsi="Times New Roman"/>
          <w:sz w:val="24"/>
        </w:rPr>
        <w:t>2004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日，基点为</w:t>
      </w:r>
      <w:r>
        <w:rPr>
          <w:rFonts w:ascii="Times New Roman" w:hAnsi="Times New Roman"/>
          <w:sz w:val="24"/>
        </w:rPr>
        <w:t>1000</w:t>
      </w:r>
      <w:r>
        <w:rPr>
          <w:rFonts w:ascii="Times New Roman" w:hAnsi="Times New Roman"/>
          <w:sz w:val="24"/>
        </w:rPr>
        <w:t>点。</w:t>
      </w:r>
    </w:p>
    <w:p w14:paraId="4A9706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本基金按照基金合同的约定通过适当程序变更目标</w:t>
      </w:r>
      <w:r>
        <w:rPr>
          <w:rFonts w:ascii="Times New Roman" w:hAnsi="Times New Roman"/>
          <w:sz w:val="24"/>
        </w:rPr>
        <w:t>ETF</w:t>
      </w:r>
      <w:r>
        <w:rPr>
          <w:rFonts w:ascii="Times New Roman" w:hAnsi="Times New Roman"/>
          <w:sz w:val="24"/>
        </w:rPr>
        <w:t>时，标的指数应相应变更。</w:t>
      </w:r>
    </w:p>
    <w:p w14:paraId="1ED7641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鉴于本基金与目标</w:t>
      </w:r>
      <w:r>
        <w:rPr>
          <w:rFonts w:ascii="Times New Roman" w:hAnsi="Times New Roman"/>
          <w:sz w:val="24"/>
        </w:rPr>
        <w:t>ETF</w:t>
      </w:r>
      <w:r>
        <w:rPr>
          <w:rFonts w:ascii="Times New Roman" w:hAnsi="Times New Roman"/>
          <w:sz w:val="24"/>
        </w:rPr>
        <w:t>的相关性，若目标</w:t>
      </w:r>
      <w:r>
        <w:rPr>
          <w:rFonts w:ascii="Times New Roman" w:hAnsi="Times New Roman"/>
          <w:sz w:val="24"/>
        </w:rPr>
        <w:t>ETF</w:t>
      </w:r>
      <w:r>
        <w:rPr>
          <w:rFonts w:ascii="Times New Roman" w:hAnsi="Times New Roman"/>
          <w:sz w:val="24"/>
        </w:rPr>
        <w:t>变更标的指数，本基金的标的指数应相应变更。</w:t>
      </w:r>
    </w:p>
    <w:p w14:paraId="4828CCC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（三）投资理念</w:t>
      </w:r>
    </w:p>
    <w:p w14:paraId="6045E8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本基金遵循指数化投资理念，指数化投资具有低成本、管理透明及分散化程度高等优点，能稳定地获得与标的指数相近的回报。本基金遵循指数化投资理念，以目标</w:t>
      </w:r>
      <w:r>
        <w:rPr>
          <w:rFonts w:ascii="Times New Roman" w:hAnsi="Times New Roman"/>
          <w:sz w:val="24"/>
        </w:rPr>
        <w:t>ETF</w:t>
      </w:r>
      <w:r>
        <w:rPr>
          <w:rFonts w:ascii="Times New Roman" w:hAnsi="Times New Roman"/>
          <w:sz w:val="24"/>
        </w:rPr>
        <w:t>为主要投资对象，力求帮助投资者以较低的成本获取与标的指数和目标</w:t>
      </w:r>
      <w:r>
        <w:rPr>
          <w:rFonts w:ascii="Times New Roman" w:hAnsi="Times New Roman"/>
          <w:sz w:val="24"/>
        </w:rPr>
        <w:t>ETF</w:t>
      </w:r>
      <w:r>
        <w:rPr>
          <w:rFonts w:ascii="Times New Roman" w:hAnsi="Times New Roman"/>
          <w:sz w:val="24"/>
        </w:rPr>
        <w:t>相似的收益。</w:t>
      </w:r>
    </w:p>
    <w:p w14:paraId="7507BF78"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（四）投资范围</w:t>
      </w:r>
    </w:p>
    <w:p w14:paraId="45495A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本基金以目标</w:t>
      </w:r>
      <w:r>
        <w:rPr>
          <w:rFonts w:ascii="Times New Roman" w:hAnsi="Times New Roman"/>
          <w:sz w:val="24"/>
        </w:rPr>
        <w:t>ETF</w:t>
      </w:r>
      <w:r>
        <w:rPr>
          <w:rFonts w:ascii="Times New Roman" w:hAnsi="Times New Roman"/>
          <w:sz w:val="24"/>
        </w:rPr>
        <w:t>、标的指数成份股、备选成份股为主要投资对象（含中小板股票和创业板股票及其他经中国证监会核准的上市股票</w:t>
      </w:r>
      <w:r w:rsidR="00593636" w:rsidRPr="00593636">
        <w:rPr>
          <w:rFonts w:ascii="Times New Roman" w:hAnsi="Times New Roman" w:hint="eastAsia"/>
          <w:sz w:val="24"/>
        </w:rPr>
        <w:t>、存托凭证</w:t>
      </w:r>
      <w:r>
        <w:rPr>
          <w:rFonts w:ascii="Times New Roman" w:hAnsi="Times New Roman"/>
          <w:sz w:val="24"/>
        </w:rPr>
        <w:t>），把全部或接近全部的基金资产用于跟踪标的指数的表现，正常情况下投资于目标</w:t>
      </w:r>
      <w:r>
        <w:rPr>
          <w:rFonts w:ascii="Times New Roman" w:hAnsi="Times New Roman"/>
          <w:sz w:val="24"/>
        </w:rPr>
        <w:t>ETF</w:t>
      </w:r>
      <w:r>
        <w:rPr>
          <w:rFonts w:ascii="Times New Roman" w:hAnsi="Times New Roman"/>
          <w:sz w:val="24"/>
        </w:rPr>
        <w:t>的资产比例不低于基金资产净值的</w:t>
      </w:r>
      <w:r>
        <w:rPr>
          <w:rFonts w:ascii="Times New Roman" w:hAnsi="Times New Roman"/>
          <w:sz w:val="24"/>
        </w:rPr>
        <w:t>90%</w:t>
      </w:r>
      <w:r>
        <w:rPr>
          <w:rFonts w:ascii="Times New Roman" w:hAnsi="Times New Roman"/>
          <w:sz w:val="24"/>
        </w:rPr>
        <w:t>，基金持有的现金及到期日在一年以内的政府债券的投资比例合计不低于基金资产净值的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，其中现金不包括结算备付金、存出保证金和应收申购款等。此外，为更好地实现投资目标，本基金也可少量投资于新股</w:t>
      </w:r>
      <w:r w:rsidR="00013825" w:rsidRPr="00013825">
        <w:rPr>
          <w:rFonts w:ascii="Times New Roman" w:hAnsi="Times New Roman" w:hint="eastAsia"/>
          <w:sz w:val="24"/>
        </w:rPr>
        <w:t>（含存托凭证）</w:t>
      </w:r>
      <w:r>
        <w:rPr>
          <w:rFonts w:ascii="Times New Roman" w:hAnsi="Times New Roman"/>
          <w:sz w:val="24"/>
        </w:rPr>
        <w:t>、债券、回购、权证及中国证监会允许基金投资的其它金融工具（但须符合中国证监会的相关规定）。如法律法规或监管机构以后允许基金投资其它品种，基金管理人在履行适当程序后，可以将其纳入投资范围。</w:t>
      </w:r>
    </w:p>
    <w:p w14:paraId="2A1171E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（五）投资策略</w:t>
      </w:r>
    </w:p>
    <w:p w14:paraId="7A4C87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本基金通过把全部或接近全部的基金资产投资于目标</w:t>
      </w:r>
      <w:r>
        <w:rPr>
          <w:rFonts w:ascii="Times New Roman" w:hAnsi="Times New Roman"/>
          <w:sz w:val="24"/>
        </w:rPr>
        <w:t>ETF</w:t>
      </w:r>
      <w:r>
        <w:rPr>
          <w:rFonts w:ascii="Times New Roman" w:hAnsi="Times New Roman"/>
          <w:sz w:val="24"/>
        </w:rPr>
        <w:t>、标的指数成份股和</w:t>
      </w:r>
      <w:r>
        <w:rPr>
          <w:rFonts w:ascii="Times New Roman" w:hAnsi="Times New Roman"/>
          <w:sz w:val="24"/>
        </w:rPr>
        <w:lastRenderedPageBreak/>
        <w:t>备选成份股进行被动式指数化投资，正常情况下投资于目标</w:t>
      </w:r>
      <w:r>
        <w:rPr>
          <w:rFonts w:ascii="Times New Roman" w:hAnsi="Times New Roman"/>
          <w:sz w:val="24"/>
        </w:rPr>
        <w:t>ETF</w:t>
      </w:r>
      <w:r>
        <w:rPr>
          <w:rFonts w:ascii="Times New Roman" w:hAnsi="Times New Roman"/>
          <w:sz w:val="24"/>
        </w:rPr>
        <w:t>的资产比例不低于基金资产净值的</w:t>
      </w:r>
      <w:r>
        <w:rPr>
          <w:rFonts w:ascii="Times New Roman" w:hAnsi="Times New Roman"/>
          <w:sz w:val="24"/>
        </w:rPr>
        <w:t>90%</w:t>
      </w:r>
      <w:r>
        <w:rPr>
          <w:rFonts w:ascii="Times New Roman" w:hAnsi="Times New Roman"/>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p w14:paraId="6507B8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本基金投资目标</w:t>
      </w:r>
      <w:r>
        <w:rPr>
          <w:rFonts w:ascii="Times New Roman" w:hAnsi="Times New Roman"/>
          <w:sz w:val="24"/>
        </w:rPr>
        <w:t>ETF</w:t>
      </w:r>
      <w:r>
        <w:rPr>
          <w:rFonts w:ascii="Times New Roman" w:hAnsi="Times New Roman"/>
          <w:sz w:val="24"/>
        </w:rPr>
        <w:t>的方式以申购和赎回为主，但在目标</w:t>
      </w:r>
      <w:r>
        <w:rPr>
          <w:rFonts w:ascii="Times New Roman" w:hAnsi="Times New Roman"/>
          <w:sz w:val="24"/>
        </w:rPr>
        <w:t>ETF</w:t>
      </w:r>
      <w:r>
        <w:rPr>
          <w:rFonts w:ascii="Times New Roman" w:hAnsi="Times New Roman"/>
          <w:sz w:val="24"/>
        </w:rPr>
        <w:t>二级市场流动性较好的情况下，也可以通过二级市场交易买卖目标</w:t>
      </w:r>
      <w:r>
        <w:rPr>
          <w:rFonts w:ascii="Times New Roman" w:hAnsi="Times New Roman"/>
          <w:sz w:val="24"/>
        </w:rPr>
        <w:t>ETF</w:t>
      </w:r>
      <w:r>
        <w:rPr>
          <w:rFonts w:ascii="Times New Roman" w:hAnsi="Times New Roman"/>
          <w:sz w:val="24"/>
        </w:rPr>
        <w:t>，以降低成本、提高效率。</w:t>
      </w:r>
    </w:p>
    <w:p w14:paraId="7449C712" w14:textId="77777777" w:rsidR="00A77DF8" w:rsidRDefault="00E47C6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对于标的指数成份股和备选成份股部分的投资，主要采用完全复制法，按照标的指数成份股组成及其权重构建基金股票投资组合为原则，并根据标的指数成份股及其权重的变动而进行相应调整。但在因特殊情况（如法律法规限制、流动性不足等）导致无法获得足够数量的股票时，基金管理人将搭配使用其他合理方法进行适当的替代。</w:t>
      </w:r>
    </w:p>
    <w:p w14:paraId="4D66F0A1" w14:textId="77777777" w:rsidR="00013825" w:rsidRPr="00EC1AC0" w:rsidRDefault="00EC1AC0">
      <w:pPr>
        <w:autoSpaceDE w:val="0"/>
        <w:autoSpaceDN w:val="0"/>
        <w:adjustRightInd w:val="0"/>
        <w:snapToGrid w:val="0"/>
        <w:spacing w:line="360" w:lineRule="auto"/>
        <w:ind w:firstLineChars="200" w:firstLine="480"/>
        <w:rPr>
          <w:rFonts w:ascii="Times New Roman" w:hAnsi="Times New Roman"/>
          <w:sz w:val="24"/>
        </w:rPr>
      </w:pPr>
      <w:r w:rsidRPr="00EC1AC0">
        <w:rPr>
          <w:rFonts w:ascii="Times New Roman" w:hAnsi="Times New Roman" w:hint="eastAsia"/>
          <w:sz w:val="24"/>
        </w:rPr>
        <w:t>本基金投资存托凭证的策略依照境内上市交易的股票投资策略执行。</w:t>
      </w:r>
    </w:p>
    <w:p w14:paraId="012A2A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、决策依据</w:t>
      </w:r>
    </w:p>
    <w:p w14:paraId="49A6AA3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有关法律法规、基金合同和标的指数的相关规定是基金管理人运用基金财产的决策依据。</w:t>
      </w:r>
    </w:p>
    <w:p w14:paraId="19DBCC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、决策和交易机制</w:t>
      </w:r>
    </w:p>
    <w:p w14:paraId="204DBAB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本基金实行投资决策委员会领导下的基金经理负责制。</w:t>
      </w:r>
    </w:p>
    <w:p w14:paraId="6100757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14:paraId="69A81E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基金经理的主要职责是决定日常指数跟踪维护过程中的组合构建、调整决策，特别是对目标</w:t>
      </w:r>
      <w:r>
        <w:rPr>
          <w:rFonts w:ascii="Times New Roman" w:hAnsi="Times New Roman"/>
          <w:sz w:val="24"/>
        </w:rPr>
        <w:t>ETF</w:t>
      </w:r>
      <w:r>
        <w:rPr>
          <w:rFonts w:ascii="Times New Roman" w:hAnsi="Times New Roman"/>
          <w:sz w:val="24"/>
        </w:rPr>
        <w:t>份额的投资决策。</w:t>
      </w:r>
    </w:p>
    <w:p w14:paraId="719559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099649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、投资程序</w:t>
      </w:r>
    </w:p>
    <w:p w14:paraId="6598400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14:paraId="1CDC97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）研究支持：量化投资部依托公司整体研究平台，整合外部信息以及券商等外部研究力量的研究成果开展指数跟踪、成份股公司行为等相关信息的搜集与分析、目标</w:t>
      </w:r>
      <w:r>
        <w:rPr>
          <w:rFonts w:ascii="Times New Roman" w:hAnsi="Times New Roman"/>
          <w:sz w:val="24"/>
        </w:rPr>
        <w:t>ETF</w:t>
      </w:r>
      <w:r>
        <w:rPr>
          <w:rFonts w:ascii="Times New Roman" w:hAnsi="Times New Roman"/>
          <w:sz w:val="24"/>
        </w:rPr>
        <w:t>申购赎回清单分析、目标</w:t>
      </w:r>
      <w:r>
        <w:rPr>
          <w:rFonts w:ascii="Times New Roman" w:hAnsi="Times New Roman"/>
          <w:sz w:val="24"/>
        </w:rPr>
        <w:t>ETF</w:t>
      </w:r>
      <w:r>
        <w:rPr>
          <w:rFonts w:ascii="Times New Roman" w:hAnsi="Times New Roman"/>
          <w:sz w:val="24"/>
        </w:rPr>
        <w:t>二级市场的流动性和折溢价分析、成分</w:t>
      </w:r>
      <w:r>
        <w:rPr>
          <w:rFonts w:ascii="Times New Roman" w:hAnsi="Times New Roman"/>
          <w:sz w:val="24"/>
        </w:rPr>
        <w:lastRenderedPageBreak/>
        <w:t>股流动性分析、误差及其归因分析等工作，以作为基金投资决策的重要依据。</w:t>
      </w:r>
    </w:p>
    <w:p w14:paraId="55A126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）投资决策：投资决策委员会定期召开或遇重大事项时召开投资决策会议，决策相关事项。基金经理根据投资决策委员会的决议，每日进行基金投资管理的日常决策。</w:t>
      </w:r>
    </w:p>
    <w:p w14:paraId="224B94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）组合构建：根据标的指数情况，结合研究支持，基金经理构建以目标</w:t>
      </w:r>
      <w:r>
        <w:rPr>
          <w:rFonts w:ascii="Times New Roman" w:hAnsi="Times New Roman"/>
          <w:sz w:val="24"/>
        </w:rPr>
        <w:t>ETF</w:t>
      </w:r>
      <w:r>
        <w:rPr>
          <w:rFonts w:ascii="Times New Roman" w:hAnsi="Times New Roman"/>
          <w:sz w:val="24"/>
        </w:rPr>
        <w:t>为主的证券组合。在追求跟踪误差和偏离度最小化的前提下，基金经理将采取适当的方法，以降低买入成本、控制投资风险。</w:t>
      </w:r>
    </w:p>
    <w:p w14:paraId="4896D80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）交易执行：中央交易室负责具体的交易执行，同时履行一线监控的职责。</w:t>
      </w:r>
    </w:p>
    <w:p w14:paraId="5DEA60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387038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）组合监控与调整：基金经理将跟踪目标</w:t>
      </w:r>
      <w:r>
        <w:rPr>
          <w:rFonts w:ascii="Times New Roman" w:hAnsi="Times New Roman"/>
          <w:sz w:val="24"/>
        </w:rPr>
        <w:t>ETF</w:t>
      </w:r>
      <w:r>
        <w:rPr>
          <w:rFonts w:ascii="Times New Roman" w:hAnsi="Times New Roman"/>
          <w:sz w:val="24"/>
        </w:rPr>
        <w:t>申购赎回清单特征、二级市场交易特征及标的指数变动，结合成份股基本面情况、成份股公司行为、流动性状况、基金申购和赎回的现金流量情况以及组合投资绩效评估的结果等，采取适当的跟踪技术对投资组合进行监控和调整，密切跟踪标的指数。</w:t>
      </w:r>
    </w:p>
    <w:p w14:paraId="6D9F00A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14:paraId="07E8B96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（六）投资组合管理</w:t>
      </w:r>
    </w:p>
    <w:p w14:paraId="061D307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由于本基金的特殊性，本基金将以全部或接近全部的基金资产投资于目标</w:t>
      </w:r>
      <w:r>
        <w:rPr>
          <w:rFonts w:ascii="Times New Roman" w:hAnsi="Times New Roman"/>
          <w:sz w:val="24"/>
        </w:rPr>
        <w:t>ETF</w:t>
      </w:r>
      <w:r>
        <w:rPr>
          <w:rFonts w:ascii="Times New Roman" w:hAnsi="Times New Roman"/>
          <w:sz w:val="24"/>
        </w:rPr>
        <w:t>。正常情况下本基金投资于目标</w:t>
      </w:r>
      <w:r>
        <w:rPr>
          <w:rFonts w:ascii="Times New Roman" w:hAnsi="Times New Roman"/>
          <w:sz w:val="24"/>
        </w:rPr>
        <w:t>ETF</w:t>
      </w:r>
      <w:r>
        <w:rPr>
          <w:rFonts w:ascii="Times New Roman" w:hAnsi="Times New Roman"/>
          <w:sz w:val="24"/>
        </w:rPr>
        <w:t>的比例不低于基金资产净值的</w:t>
      </w:r>
      <w:r>
        <w:rPr>
          <w:rFonts w:ascii="Times New Roman" w:hAnsi="Times New Roman"/>
          <w:sz w:val="24"/>
        </w:rPr>
        <w:t>90%</w:t>
      </w:r>
      <w:r>
        <w:rPr>
          <w:rFonts w:ascii="Times New Roman" w:hAnsi="Times New Roman"/>
          <w:sz w:val="24"/>
        </w:rPr>
        <w:t>。本基金将在基金合同生效之日起</w:t>
      </w:r>
      <w:r>
        <w:rPr>
          <w:rFonts w:ascii="Times New Roman" w:hAnsi="Times New Roman"/>
          <w:sz w:val="24"/>
        </w:rPr>
        <w:t>6</w:t>
      </w:r>
      <w:r>
        <w:rPr>
          <w:rFonts w:ascii="Times New Roman" w:hAnsi="Times New Roman"/>
          <w:sz w:val="24"/>
        </w:rPr>
        <w:t>个月内达到这一投资比例。此后，如因证券市场波动、上市公司合并、基金规模变动、标的指数成分股调整、基金申购或赎回带来现金等因素导致基金不符合这一投资比例的，基金管理人将在</w:t>
      </w:r>
      <w:r>
        <w:rPr>
          <w:rFonts w:ascii="Times New Roman" w:hAnsi="Times New Roman"/>
          <w:sz w:val="24"/>
        </w:rPr>
        <w:t>10</w:t>
      </w:r>
      <w:r>
        <w:rPr>
          <w:rFonts w:ascii="Times New Roman" w:hAnsi="Times New Roman"/>
          <w:sz w:val="24"/>
        </w:rPr>
        <w:t>个交易日内进行调整。</w:t>
      </w:r>
    </w:p>
    <w:p w14:paraId="28D9C1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、投资组合的建立</w:t>
      </w:r>
    </w:p>
    <w:p w14:paraId="44F00E3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基金管理人构建投资组合的过程主要分为两步：确定建仓策略和实施建仓策略。</w:t>
      </w:r>
    </w:p>
    <w:p w14:paraId="485D10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）确定建仓策略：基金管理人综合考虑基金规模、目标</w:t>
      </w:r>
      <w:r>
        <w:rPr>
          <w:rFonts w:ascii="Times New Roman" w:hAnsi="Times New Roman"/>
          <w:sz w:val="24"/>
        </w:rPr>
        <w:t>ETF</w:t>
      </w:r>
      <w:r>
        <w:rPr>
          <w:rFonts w:ascii="Times New Roman" w:hAnsi="Times New Roman"/>
          <w:sz w:val="24"/>
        </w:rPr>
        <w:t>二级市场的流动性和折溢价，以及成份股流动性、公司行为、基本面等因素，确定合理的建仓策略。</w:t>
      </w:r>
    </w:p>
    <w:p w14:paraId="354BAF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）实施建仓策略：基金管理人在基金合同约定的期限内，基于建仓策略，根据当时的市场情况，采用适当的手段构建和调整投资组合直至达到本基金投资范</w:t>
      </w:r>
      <w:r>
        <w:rPr>
          <w:rFonts w:ascii="Times New Roman" w:hAnsi="Times New Roman"/>
          <w:sz w:val="24"/>
        </w:rPr>
        <w:lastRenderedPageBreak/>
        <w:t>围的要求。</w:t>
      </w:r>
    </w:p>
    <w:p w14:paraId="339B073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、日常投资组合管理</w:t>
      </w:r>
    </w:p>
    <w:p w14:paraId="5D70DC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）对目标</w:t>
      </w:r>
      <w:r>
        <w:rPr>
          <w:rFonts w:ascii="Times New Roman" w:hAnsi="Times New Roman"/>
          <w:sz w:val="24"/>
        </w:rPr>
        <w:t>ETF</w:t>
      </w:r>
      <w:r>
        <w:rPr>
          <w:rFonts w:ascii="Times New Roman" w:hAnsi="Times New Roman"/>
          <w:sz w:val="24"/>
        </w:rPr>
        <w:t>二级市场流动性及折溢价进行跟踪与分析，适当制订目标</w:t>
      </w:r>
      <w:r>
        <w:rPr>
          <w:rFonts w:ascii="Times New Roman" w:hAnsi="Times New Roman"/>
          <w:sz w:val="24"/>
        </w:rPr>
        <w:t>ETF</w:t>
      </w:r>
      <w:r>
        <w:rPr>
          <w:rFonts w:ascii="Times New Roman" w:hAnsi="Times New Roman"/>
          <w:sz w:val="24"/>
        </w:rPr>
        <w:t>份额的申购赎回、二级市场买卖策略。</w:t>
      </w:r>
    </w:p>
    <w:p w14:paraId="4DC2C0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）跟踪本基金申购和赎回信息，分析其对组合的影响，并进行相应的流动性管理。</w:t>
      </w:r>
    </w:p>
    <w:p w14:paraId="436519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、投资绩效评估</w:t>
      </w:r>
    </w:p>
    <w:p w14:paraId="189B15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）每日，基金经理分析基金的跟踪偏离度。</w:t>
      </w:r>
    </w:p>
    <w:p w14:paraId="1091D58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）每月末，量化投资部对本基金的运行情况进行量化评估。</w:t>
      </w:r>
    </w:p>
    <w:p w14:paraId="45B9A19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7D7805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在正常市场情况下，本基金日均跟踪偏离度的绝对值不超过</w:t>
      </w:r>
      <w:r>
        <w:rPr>
          <w:rFonts w:ascii="Times New Roman" w:hAnsi="Times New Roman"/>
          <w:sz w:val="24"/>
        </w:rPr>
        <w:t>0.3%</w:t>
      </w:r>
      <w:r>
        <w:rPr>
          <w:rFonts w:ascii="Times New Roman" w:hAnsi="Times New Roman"/>
          <w:sz w:val="24"/>
        </w:rPr>
        <w:t>，年跟踪误差不超过</w:t>
      </w:r>
      <w:r>
        <w:rPr>
          <w:rFonts w:ascii="Times New Roman" w:hAnsi="Times New Roman"/>
          <w:sz w:val="24"/>
        </w:rPr>
        <w:t>4%</w:t>
      </w:r>
      <w:r>
        <w:rPr>
          <w:rFonts w:ascii="Times New Roman" w:hAnsi="Times New Roman"/>
          <w:sz w:val="24"/>
        </w:rPr>
        <w:t>。在目标</w:t>
      </w:r>
      <w:r>
        <w:rPr>
          <w:rFonts w:ascii="Times New Roman" w:hAnsi="Times New Roman"/>
          <w:sz w:val="24"/>
        </w:rPr>
        <w:t>ETF</w:t>
      </w:r>
      <w:r>
        <w:rPr>
          <w:rFonts w:ascii="Times New Roman" w:hAnsi="Times New Roman"/>
          <w:sz w:val="24"/>
        </w:rPr>
        <w:t>日均跟踪偏离度符合其基金合同所设定目标的前提下，如因指数编制规则调整或其他因素导致跟踪偏离度和跟踪误差超过上述范围，基金管理人应采取合理措施力争避免跟踪偏离度、跟踪误差进一步扩大。</w:t>
      </w:r>
    </w:p>
    <w:p w14:paraId="00731B9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 业绩比较基准</w:t>
      </w:r>
    </w:p>
    <w:p w14:paraId="5AF5BF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本基金的业绩比较基准为：标的指数收益率</w:t>
      </w:r>
      <w:r>
        <w:rPr>
          <w:rFonts w:ascii="Times New Roman" w:hAnsi="Times New Roman"/>
          <w:sz w:val="24"/>
        </w:rPr>
        <w:t xml:space="preserve">×95% </w:t>
      </w:r>
      <w:r>
        <w:rPr>
          <w:rFonts w:ascii="Times New Roman" w:hAnsi="Times New Roman"/>
          <w:sz w:val="24"/>
        </w:rPr>
        <w:t>＋银行活期存款税后收益率</w:t>
      </w:r>
      <w:r>
        <w:rPr>
          <w:rFonts w:ascii="Times New Roman" w:hAnsi="Times New Roman"/>
          <w:sz w:val="24"/>
        </w:rPr>
        <w:t>×5%</w:t>
      </w:r>
      <w:r>
        <w:rPr>
          <w:rFonts w:ascii="Times New Roman" w:hAnsi="Times New Roman"/>
          <w:sz w:val="24"/>
        </w:rPr>
        <w:t>。</w:t>
      </w:r>
    </w:p>
    <w:p w14:paraId="0D1C827B" w14:textId="0A49E054" w:rsidR="00B95CAF" w:rsidRPr="00B95CAF" w:rsidRDefault="00B95CAF" w:rsidP="00B95CAF">
      <w:pPr>
        <w:autoSpaceDE w:val="0"/>
        <w:autoSpaceDN w:val="0"/>
        <w:adjustRightInd w:val="0"/>
        <w:snapToGrid w:val="0"/>
        <w:spacing w:line="360" w:lineRule="auto"/>
        <w:ind w:firstLineChars="200" w:firstLine="480"/>
        <w:rPr>
          <w:rFonts w:ascii="Times New Roman" w:hAnsi="Times New Roman"/>
          <w:bCs/>
          <w:sz w:val="24"/>
        </w:rPr>
      </w:pPr>
      <w:r w:rsidRPr="00B95CAF">
        <w:rPr>
          <w:rFonts w:ascii="Times New Roman" w:hAnsi="Times New Roman"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C02D5A" w:rsidRPr="00C02D5A">
        <w:rPr>
          <w:rFonts w:ascii="Times New Roman" w:hAnsi="Times New Roman" w:hint="eastAsia"/>
          <w:bCs/>
          <w:sz w:val="24"/>
        </w:rPr>
        <w:t>更换基金标的指数、转换运作方式，与其他基金合并或者终止基金合同等，并</w:t>
      </w:r>
      <w:r w:rsidRPr="00B95CAF">
        <w:rPr>
          <w:rFonts w:ascii="Times New Roman" w:hAnsi="Times New Roman" w:hint="eastAsia"/>
          <w:bCs/>
          <w:sz w:val="24"/>
        </w:rPr>
        <w:t>在</w:t>
      </w:r>
      <w:r w:rsidRPr="00B95CAF">
        <w:rPr>
          <w:rFonts w:ascii="Times New Roman" w:hAnsi="Times New Roman"/>
          <w:bCs/>
          <w:sz w:val="24"/>
        </w:rPr>
        <w:t>6</w:t>
      </w:r>
      <w:r w:rsidRPr="00B95CAF">
        <w:rPr>
          <w:rFonts w:ascii="Times New Roman" w:hAnsi="Times New Roman" w:hint="eastAsia"/>
          <w:bCs/>
          <w:sz w:val="24"/>
        </w:rPr>
        <w:t>个月内召集基金份额持有人大会进行表决，基金份额持有人大会未成功召开或就上述事项表决未通过的，基金合同终止。</w:t>
      </w:r>
    </w:p>
    <w:p w14:paraId="19C6690D" w14:textId="77777777" w:rsidR="00B95CAF" w:rsidRPr="00B95CAF" w:rsidRDefault="00B95CAF" w:rsidP="00B95CAF">
      <w:pPr>
        <w:autoSpaceDE w:val="0"/>
        <w:autoSpaceDN w:val="0"/>
        <w:adjustRightInd w:val="0"/>
        <w:snapToGrid w:val="0"/>
        <w:spacing w:line="360" w:lineRule="auto"/>
        <w:ind w:firstLineChars="200" w:firstLine="480"/>
        <w:rPr>
          <w:rFonts w:ascii="Times New Roman" w:hAnsi="Times New Roman"/>
          <w:sz w:val="24"/>
        </w:rPr>
      </w:pPr>
      <w:r w:rsidRPr="00B95CAF">
        <w:rPr>
          <w:rFonts w:ascii="Times New Roman" w:hAnsi="Times New Roman"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0DCF995" w14:textId="77777777" w:rsidR="00C3426C" w:rsidRDefault="00C3426C">
      <w:pPr>
        <w:autoSpaceDE w:val="0"/>
        <w:autoSpaceDN w:val="0"/>
        <w:adjustRightInd w:val="0"/>
        <w:snapToGrid w:val="0"/>
        <w:spacing w:line="360" w:lineRule="auto"/>
        <w:ind w:firstLineChars="200" w:firstLine="480"/>
        <w:rPr>
          <w:rFonts w:ascii="Times New Roman" w:hAnsi="Times New Roman"/>
          <w:bCs/>
          <w:sz w:val="24"/>
        </w:rPr>
      </w:pPr>
      <w:r w:rsidRPr="000A7497">
        <w:rPr>
          <w:rFonts w:ascii="Times New Roman" w:hAnsi="Times New Roman" w:hint="eastAsia"/>
          <w:bCs/>
          <w:sz w:val="24"/>
        </w:rPr>
        <w:t>若基金标的指数发生变更，基金业绩比较基准随之变更，由基金管理人根据标的指数变更情形履行对应适当程序，并在调整实施前依照《信息披露办法》的有关</w:t>
      </w:r>
      <w:r w:rsidRPr="000A7497">
        <w:rPr>
          <w:rFonts w:ascii="Times New Roman" w:hAnsi="Times New Roman" w:hint="eastAsia"/>
          <w:bCs/>
          <w:sz w:val="24"/>
        </w:rPr>
        <w:lastRenderedPageBreak/>
        <w:t>规定在中国证监会指定媒介上刊登公告。</w:t>
      </w:r>
    </w:p>
    <w:p w14:paraId="7F1E792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 风险收益特征</w:t>
      </w:r>
    </w:p>
    <w:p w14:paraId="4F1A91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w:t>
      </w:r>
      <w:r>
        <w:rPr>
          <w:rFonts w:ascii="Times New Roman" w:hAnsi="Times New Roman"/>
          <w:sz w:val="24"/>
        </w:rPr>
        <w:t>ETF</w:t>
      </w:r>
      <w:r>
        <w:rPr>
          <w:rFonts w:ascii="Times New Roman" w:hAnsi="Times New Roman"/>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94FAE7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 投资限制</w:t>
      </w:r>
    </w:p>
    <w:p w14:paraId="10E4BA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本基金的投资组合将遵循以下限制：</w:t>
      </w:r>
    </w:p>
    <w:p w14:paraId="31D6DE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。债券回购最长期限为</w:t>
      </w:r>
      <w:r>
        <w:rPr>
          <w:rFonts w:ascii="Times New Roman" w:hAnsi="Times New Roman"/>
          <w:sz w:val="24"/>
        </w:rPr>
        <w:t>1</w:t>
      </w:r>
      <w:r>
        <w:rPr>
          <w:rFonts w:ascii="Times New Roman" w:hAnsi="Times New Roman"/>
          <w:sz w:val="24"/>
        </w:rPr>
        <w:t>年，债券回购到期后不得展期；</w:t>
      </w:r>
    </w:p>
    <w:p w14:paraId="1B242A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556C21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30608E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；法律法规或监管部门另有规定的，遵从其规定；</w:t>
      </w:r>
    </w:p>
    <w:p w14:paraId="033B0E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；本基金投资于同一原始权益人的各类资产支持证券的比例，不得超过该基金资产净值的</w:t>
      </w:r>
      <w:r>
        <w:rPr>
          <w:rFonts w:ascii="Times New Roman" w:hAnsi="Times New Roman"/>
          <w:sz w:val="24"/>
        </w:rPr>
        <w:t>10%</w:t>
      </w:r>
      <w:r>
        <w:rPr>
          <w:rFonts w:ascii="Times New Roman" w:hAnsi="Times New Roman"/>
          <w:sz w:val="24"/>
        </w:rPr>
        <w:t>；基金管理人管理的全部证券投资基金投资于同一原始权益人的各类资产支持证券，不得超过其各类资产支持证券合计规模的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；本基金持有的全部资产支持证券，其市值不得超过该基金资产净值的</w:t>
      </w:r>
      <w:r>
        <w:rPr>
          <w:rFonts w:ascii="Times New Roman" w:hAnsi="Times New Roman"/>
          <w:sz w:val="24"/>
        </w:rPr>
        <w:t>20%</w:t>
      </w:r>
      <w:r>
        <w:rPr>
          <w:rFonts w:ascii="Times New Roman" w:hAnsi="Times New Roman"/>
          <w:sz w:val="24"/>
        </w:rPr>
        <w:t>；</w:t>
      </w:r>
    </w:p>
    <w:p w14:paraId="0BB06F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）本基金不得违反基金合同中有关投资范围、投资策略、投资比例的规定；</w:t>
      </w:r>
    </w:p>
    <w:p w14:paraId="0AAF867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0AC724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）本基金与私募类证券资管产品及中国证监会认定的其他主体为交易对手开展逆回购交易的，可接受质押品的资质要求应当与本基金合同约定的投资范围保持一致；</w:t>
      </w:r>
    </w:p>
    <w:p w14:paraId="14CB1939" w14:textId="77777777" w:rsidR="009C73AB" w:rsidRDefault="00E47C6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9</w:t>
      </w:r>
      <w:r>
        <w:rPr>
          <w:rFonts w:ascii="Times New Roman" w:hAnsi="Times New Roman"/>
          <w:sz w:val="24"/>
        </w:rPr>
        <w:t>）</w:t>
      </w:r>
      <w:r w:rsidR="009C73AB" w:rsidRPr="009C73AB">
        <w:rPr>
          <w:rFonts w:ascii="Times New Roman" w:hAnsi="Times New Roman" w:hint="eastAsia"/>
          <w:sz w:val="24"/>
        </w:rPr>
        <w:t>本基金投资存托凭证的比例限制依照境内上市交易的股票执行；</w:t>
      </w:r>
    </w:p>
    <w:p w14:paraId="4E9361EF" w14:textId="77777777" w:rsidR="00A77DF8" w:rsidRDefault="009C73AB">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w:t>
      </w:r>
      <w:r>
        <w:rPr>
          <w:rFonts w:ascii="Times New Roman" w:hAnsi="Times New Roman" w:hint="eastAsia"/>
          <w:sz w:val="24"/>
        </w:rPr>
        <w:t>10</w:t>
      </w:r>
      <w:r>
        <w:rPr>
          <w:rFonts w:ascii="Times New Roman" w:hAnsi="Times New Roman" w:hint="eastAsia"/>
          <w:sz w:val="24"/>
        </w:rPr>
        <w:t>）</w:t>
      </w:r>
      <w:r w:rsidR="00E47C67">
        <w:rPr>
          <w:rFonts w:ascii="Times New Roman" w:hAnsi="Times New Roman"/>
          <w:sz w:val="24"/>
        </w:rPr>
        <w:t>法律法规或监管部门对上述比例限制另有规定的，从其规定。</w:t>
      </w:r>
    </w:p>
    <w:p w14:paraId="0720EE4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个月内使基金的投资组合比例符合基金合同的约定。在符合相关法律法规规定的前提下，除上述第（</w:t>
      </w:r>
      <w:r>
        <w:rPr>
          <w:rFonts w:ascii="Times New Roman" w:hAnsi="Times New Roman"/>
          <w:sz w:val="24"/>
        </w:rPr>
        <w:t>3</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）项以外，因证券市场波动、上市公司合并、基金规模变动、标的指数成分股调整、基金申购或赎回带来现金等非本基金管理人的因素致使基金的投资组合不符合上述规定的投资比例的，基金管理人应当在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14:paraId="15629A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若法律法规或监管部门对上述约定的投资组合比例限制规定进行变更的，以变更后的规定为准。若法律法规或监管部门取消上述限制，履行适当程序后，本基金投资可不受上述规定限制。</w:t>
      </w:r>
    </w:p>
    <w:p w14:paraId="02DF1EB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 禁止行为</w:t>
      </w:r>
    </w:p>
    <w:p w14:paraId="44AB16E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为维护基金份额持有人的合法权益，本基金禁止从事下列行为：</w:t>
      </w:r>
    </w:p>
    <w:p w14:paraId="729B228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448911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、向他人贷款或者提供担保；</w:t>
      </w:r>
    </w:p>
    <w:p w14:paraId="59818C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59F568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、买卖其他基金份额，但是法律法规或国务院另有规定和指定的目标</w:t>
      </w:r>
      <w:r>
        <w:rPr>
          <w:rFonts w:ascii="Times New Roman" w:hAnsi="Times New Roman"/>
          <w:sz w:val="24"/>
        </w:rPr>
        <w:t>ETF</w:t>
      </w:r>
      <w:r>
        <w:rPr>
          <w:rFonts w:ascii="Times New Roman" w:hAnsi="Times New Roman"/>
          <w:sz w:val="24"/>
        </w:rPr>
        <w:t>的除外；</w:t>
      </w:r>
    </w:p>
    <w:p w14:paraId="36AE192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、向基金管理人、基金托管人出资或者买卖基金管理人、基金托管人发行的股票或者债券；</w:t>
      </w:r>
    </w:p>
    <w:p w14:paraId="5006B65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、买卖与基金管理人、基金托管人有控股关系的股东或者与基金管理人、基金托管人有其他重大利害关系的公司发行的证券或者承销期内承销的证券，但指定的目标</w:t>
      </w:r>
      <w:r>
        <w:rPr>
          <w:rFonts w:ascii="Times New Roman" w:hAnsi="Times New Roman"/>
          <w:sz w:val="24"/>
        </w:rPr>
        <w:t>ETF</w:t>
      </w:r>
      <w:r>
        <w:rPr>
          <w:rFonts w:ascii="Times New Roman" w:hAnsi="Times New Roman"/>
          <w:sz w:val="24"/>
        </w:rPr>
        <w:t>除外；</w:t>
      </w:r>
    </w:p>
    <w:p w14:paraId="2C8E20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、从事内幕交易、操纵证券交易价格及其他不正当的证券交易活动；</w:t>
      </w:r>
    </w:p>
    <w:p w14:paraId="636F0F5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、依照法律法规有关规定，由中国证监会规定禁止的其他活动。</w:t>
      </w:r>
    </w:p>
    <w:p w14:paraId="36AB9CC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若法律法规或监管部门取消上述禁止性规定，履行适当程序后，本基金投资可不受上述规定限制。</w:t>
      </w:r>
    </w:p>
    <w:p w14:paraId="70AA258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（十一） 基金管理人代表基金行使股东及债权人权利的处理原则及方法</w:t>
      </w:r>
    </w:p>
    <w:p w14:paraId="4A6F99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、基金管理人按照国家有关规定代表基金独立行使股东和债权人权利，保护基金份额持有人的利益；</w:t>
      </w:r>
    </w:p>
    <w:p w14:paraId="3659A5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282CEB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5E4A7C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6A8E6AD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 基金的融资、融券</w:t>
      </w:r>
    </w:p>
    <w:p w14:paraId="74A572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本基金可以根据有关法律法规和政策的规定进行融资、融券。</w:t>
      </w:r>
    </w:p>
    <w:p w14:paraId="0A2D360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（十三）基金投资组合报告</w:t>
      </w:r>
    </w:p>
    <w:p w14:paraId="037DB8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14:paraId="091ED50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14:paraId="7EDFC13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本投资组合报告期为</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690439F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62318509" w14:textId="77777777" w:rsidR="00A77DF8" w:rsidRDefault="00E47C6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77DF8" w14:paraId="4DD89B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C99A3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12DF1B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0A9DF89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69571BF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A77DF8" w14:paraId="277116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CEEC5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24D1C8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434CEC05"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3,879.40</w:t>
            </w:r>
          </w:p>
        </w:tc>
        <w:tc>
          <w:tcPr>
            <w:tcW w:w="400" w:type="pct"/>
            <w:tcBorders>
              <w:top w:val="single" w:sz="4" w:space="0" w:color="auto"/>
              <w:left w:val="single" w:sz="4" w:space="0" w:color="auto"/>
              <w:bottom w:val="single" w:sz="4" w:space="0" w:color="auto"/>
              <w:right w:val="single" w:sz="4" w:space="0" w:color="auto"/>
            </w:tcBorders>
            <w:vAlign w:val="center"/>
          </w:tcPr>
          <w:p w14:paraId="7907486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A77DF8" w14:paraId="40B2E1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7C9F35"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FF493D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04D9567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3,879.40</w:t>
            </w:r>
          </w:p>
        </w:tc>
        <w:tc>
          <w:tcPr>
            <w:tcW w:w="400" w:type="pct"/>
            <w:tcBorders>
              <w:top w:val="single" w:sz="4" w:space="0" w:color="auto"/>
              <w:left w:val="single" w:sz="4" w:space="0" w:color="auto"/>
              <w:bottom w:val="single" w:sz="4" w:space="0" w:color="auto"/>
              <w:right w:val="single" w:sz="4" w:space="0" w:color="auto"/>
            </w:tcBorders>
            <w:vAlign w:val="center"/>
          </w:tcPr>
          <w:p w14:paraId="20D5AF4D"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A77DF8" w14:paraId="010B3FC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88BFB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E2F410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75DE347B"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62,067,037.50</w:t>
            </w:r>
          </w:p>
        </w:tc>
        <w:tc>
          <w:tcPr>
            <w:tcW w:w="400" w:type="pct"/>
            <w:tcBorders>
              <w:top w:val="single" w:sz="4" w:space="0" w:color="auto"/>
              <w:left w:val="single" w:sz="4" w:space="0" w:color="auto"/>
              <w:bottom w:val="single" w:sz="4" w:space="0" w:color="auto"/>
              <w:right w:val="single" w:sz="4" w:space="0" w:color="auto"/>
            </w:tcBorders>
            <w:vAlign w:val="center"/>
          </w:tcPr>
          <w:p w14:paraId="6890409A"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93.95</w:t>
            </w:r>
          </w:p>
        </w:tc>
      </w:tr>
      <w:tr w:rsidR="00A77DF8" w14:paraId="3108BB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9A2AA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0632A7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76064B1"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803B378"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9861E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1DD820"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F90E7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03AD49C6"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9F3D02D"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4EB00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47FC0C"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99D5AE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04B47A21"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BDF84A"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02DE4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7E411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4947B2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F4578E8"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73C524C"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4DA8FE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9F54F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A8BB85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5D2B99F3"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CBDEFE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754179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2EEA5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DE0E69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7FA3626"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4FC11BE"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F05D9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ED1D4D"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28A034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3AD128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AC0343"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B9892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7123B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574BC0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7A5D9B53"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3,818,599.25</w:t>
            </w:r>
          </w:p>
        </w:tc>
        <w:tc>
          <w:tcPr>
            <w:tcW w:w="400" w:type="pct"/>
            <w:tcBorders>
              <w:top w:val="single" w:sz="4" w:space="0" w:color="auto"/>
              <w:left w:val="single" w:sz="4" w:space="0" w:color="auto"/>
              <w:bottom w:val="single" w:sz="4" w:space="0" w:color="auto"/>
              <w:right w:val="single" w:sz="4" w:space="0" w:color="auto"/>
            </w:tcBorders>
            <w:vAlign w:val="center"/>
          </w:tcPr>
          <w:p w14:paraId="741CAFFE"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5.78</w:t>
            </w:r>
          </w:p>
        </w:tc>
      </w:tr>
      <w:tr w:rsidR="00A77DF8" w14:paraId="30BEF9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34EE8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44B08A7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43BCB8CB"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171,885.56</w:t>
            </w:r>
          </w:p>
        </w:tc>
        <w:tc>
          <w:tcPr>
            <w:tcW w:w="400" w:type="pct"/>
            <w:tcBorders>
              <w:top w:val="single" w:sz="4" w:space="0" w:color="auto"/>
              <w:left w:val="single" w:sz="4" w:space="0" w:color="auto"/>
              <w:bottom w:val="single" w:sz="4" w:space="0" w:color="auto"/>
              <w:right w:val="single" w:sz="4" w:space="0" w:color="auto"/>
            </w:tcBorders>
            <w:vAlign w:val="center"/>
          </w:tcPr>
          <w:p w14:paraId="3A0A1B1D"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0.26</w:t>
            </w:r>
          </w:p>
        </w:tc>
      </w:tr>
      <w:tr w:rsidR="00A77DF8" w14:paraId="181B06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73DF4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D48A8D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7820CFB"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66,061,401.71</w:t>
            </w:r>
          </w:p>
        </w:tc>
        <w:tc>
          <w:tcPr>
            <w:tcW w:w="400" w:type="pct"/>
            <w:tcBorders>
              <w:top w:val="single" w:sz="4" w:space="0" w:color="auto"/>
              <w:left w:val="single" w:sz="4" w:space="0" w:color="auto"/>
              <w:bottom w:val="single" w:sz="4" w:space="0" w:color="auto"/>
              <w:right w:val="single" w:sz="4" w:space="0" w:color="auto"/>
            </w:tcBorders>
            <w:vAlign w:val="center"/>
          </w:tcPr>
          <w:p w14:paraId="6338E0F5"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5FE09A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、期末投资目标基金明细</w:t>
      </w:r>
    </w:p>
    <w:tbl>
      <w:tblPr>
        <w:tblW w:w="5000" w:type="pct"/>
        <w:tblCellMar>
          <w:left w:w="0" w:type="dxa"/>
          <w:right w:w="0" w:type="dxa"/>
        </w:tblCellMar>
        <w:tblLook w:val="0000" w:firstRow="0" w:lastRow="0" w:firstColumn="0" w:lastColumn="0" w:noHBand="0" w:noVBand="0"/>
      </w:tblPr>
      <w:tblGrid>
        <w:gridCol w:w="1272"/>
        <w:gridCol w:w="1272"/>
        <w:gridCol w:w="1272"/>
        <w:gridCol w:w="1273"/>
        <w:gridCol w:w="1273"/>
        <w:gridCol w:w="1448"/>
        <w:gridCol w:w="840"/>
      </w:tblGrid>
      <w:tr w:rsidR="00A77DF8" w14:paraId="4E9031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8A506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33C7B3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tcBorders>
              <w:top w:val="single" w:sz="4" w:space="0" w:color="auto"/>
              <w:left w:val="single" w:sz="4" w:space="0" w:color="auto"/>
              <w:bottom w:val="single" w:sz="4" w:space="0" w:color="auto"/>
              <w:right w:val="single" w:sz="4" w:space="0" w:color="auto"/>
            </w:tcBorders>
            <w:vAlign w:val="center"/>
          </w:tcPr>
          <w:p w14:paraId="0250562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基金类型</w:t>
            </w:r>
          </w:p>
        </w:tc>
        <w:tc>
          <w:tcPr>
            <w:tcW w:w="750" w:type="pct"/>
            <w:tcBorders>
              <w:top w:val="single" w:sz="4" w:space="0" w:color="auto"/>
              <w:left w:val="single" w:sz="4" w:space="0" w:color="auto"/>
              <w:bottom w:val="single" w:sz="4" w:space="0" w:color="auto"/>
              <w:right w:val="single" w:sz="4" w:space="0" w:color="auto"/>
            </w:tcBorders>
            <w:vAlign w:val="center"/>
          </w:tcPr>
          <w:p w14:paraId="5F06208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运作方式</w:t>
            </w:r>
          </w:p>
        </w:tc>
        <w:tc>
          <w:tcPr>
            <w:tcW w:w="750" w:type="pct"/>
            <w:tcBorders>
              <w:top w:val="single" w:sz="4" w:space="0" w:color="auto"/>
              <w:left w:val="single" w:sz="4" w:space="0" w:color="auto"/>
              <w:bottom w:val="single" w:sz="4" w:space="0" w:color="auto"/>
              <w:right w:val="single" w:sz="4" w:space="0" w:color="auto"/>
            </w:tcBorders>
            <w:vAlign w:val="center"/>
          </w:tcPr>
          <w:p w14:paraId="091BFA9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管理人</w:t>
            </w:r>
          </w:p>
        </w:tc>
        <w:tc>
          <w:tcPr>
            <w:tcW w:w="750" w:type="pct"/>
            <w:tcBorders>
              <w:top w:val="single" w:sz="4" w:space="0" w:color="auto"/>
              <w:left w:val="single" w:sz="4" w:space="0" w:color="auto"/>
              <w:bottom w:val="single" w:sz="4" w:space="0" w:color="auto"/>
              <w:right w:val="single" w:sz="4" w:space="0" w:color="auto"/>
            </w:tcBorders>
            <w:vAlign w:val="center"/>
          </w:tcPr>
          <w:p w14:paraId="1169989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vAlign w:val="center"/>
          </w:tcPr>
          <w:p w14:paraId="1B0FF75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A77DF8" w14:paraId="5A7FE91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CD6287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EDBC2D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p>
        </w:tc>
        <w:tc>
          <w:tcPr>
            <w:tcW w:w="750" w:type="pct"/>
            <w:tcBorders>
              <w:top w:val="single" w:sz="4" w:space="0" w:color="auto"/>
              <w:left w:val="single" w:sz="4" w:space="0" w:color="auto"/>
              <w:bottom w:val="single" w:sz="4" w:space="0" w:color="auto"/>
              <w:right w:val="single" w:sz="4" w:space="0" w:color="auto"/>
            </w:tcBorders>
            <w:vAlign w:val="center"/>
          </w:tcPr>
          <w:p w14:paraId="1FCD6E0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股票型</w:t>
            </w:r>
          </w:p>
        </w:tc>
        <w:tc>
          <w:tcPr>
            <w:tcW w:w="750" w:type="pct"/>
            <w:tcBorders>
              <w:top w:val="single" w:sz="4" w:space="0" w:color="auto"/>
              <w:left w:val="single" w:sz="4" w:space="0" w:color="auto"/>
              <w:bottom w:val="single" w:sz="4" w:space="0" w:color="auto"/>
              <w:right w:val="single" w:sz="4" w:space="0" w:color="auto"/>
            </w:tcBorders>
            <w:vAlign w:val="center"/>
          </w:tcPr>
          <w:p w14:paraId="2702821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交易型开放式</w:t>
            </w:r>
          </w:p>
        </w:tc>
        <w:tc>
          <w:tcPr>
            <w:tcW w:w="750" w:type="pct"/>
            <w:tcBorders>
              <w:top w:val="single" w:sz="4" w:space="0" w:color="auto"/>
              <w:left w:val="single" w:sz="4" w:space="0" w:color="auto"/>
              <w:bottom w:val="single" w:sz="4" w:space="0" w:color="auto"/>
              <w:right w:val="single" w:sz="4" w:space="0" w:color="auto"/>
            </w:tcBorders>
            <w:vAlign w:val="center"/>
          </w:tcPr>
          <w:p w14:paraId="2645A91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交银施罗德基金管理有限公司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9758192"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62,067,037.50</w:t>
            </w:r>
          </w:p>
        </w:tc>
        <w:tc>
          <w:tcPr>
            <w:tcW w:w="750" w:type="pct"/>
            <w:tcBorders>
              <w:top w:val="single" w:sz="4" w:space="0" w:color="auto"/>
              <w:left w:val="single" w:sz="4" w:space="0" w:color="auto"/>
              <w:bottom w:val="single" w:sz="4" w:space="0" w:color="auto"/>
              <w:right w:val="single" w:sz="4" w:space="0" w:color="auto"/>
            </w:tcBorders>
            <w:vAlign w:val="center"/>
          </w:tcPr>
          <w:p w14:paraId="0BF8952F"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94.88</w:t>
            </w:r>
          </w:p>
        </w:tc>
      </w:tr>
    </w:tbl>
    <w:p w14:paraId="781D05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、报告期末按行业分类的股票投资组合</w:t>
      </w:r>
    </w:p>
    <w:p w14:paraId="0C67B3B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报告期末按行业分类的境内股票投资组合</w:t>
      </w:r>
    </w:p>
    <w:p w14:paraId="01658B1C" w14:textId="77777777" w:rsidR="00A77DF8" w:rsidRDefault="00E47C6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77DF8" w14:paraId="3D6762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9663A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377AA7A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777ECC2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566A0C5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A77DF8" w14:paraId="3EF0FC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4846D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69D1C94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302333E2"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18A3A72"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BCEF4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2613A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55CCF22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32722E5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1,462.50</w:t>
            </w:r>
          </w:p>
        </w:tc>
        <w:tc>
          <w:tcPr>
            <w:tcW w:w="400" w:type="pct"/>
            <w:tcBorders>
              <w:top w:val="single" w:sz="4" w:space="0" w:color="auto"/>
              <w:left w:val="single" w:sz="4" w:space="0" w:color="auto"/>
              <w:bottom w:val="single" w:sz="4" w:space="0" w:color="auto"/>
              <w:right w:val="single" w:sz="4" w:space="0" w:color="auto"/>
            </w:tcBorders>
            <w:vAlign w:val="center"/>
          </w:tcPr>
          <w:p w14:paraId="616787BB"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77DF8" w14:paraId="6CD6B0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872EC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361AD61F"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3E953BD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2,416.90</w:t>
            </w:r>
          </w:p>
        </w:tc>
        <w:tc>
          <w:tcPr>
            <w:tcW w:w="400" w:type="pct"/>
            <w:tcBorders>
              <w:top w:val="single" w:sz="4" w:space="0" w:color="auto"/>
              <w:left w:val="single" w:sz="4" w:space="0" w:color="auto"/>
              <w:bottom w:val="single" w:sz="4" w:space="0" w:color="auto"/>
              <w:right w:val="single" w:sz="4" w:space="0" w:color="auto"/>
            </w:tcBorders>
            <w:vAlign w:val="center"/>
          </w:tcPr>
          <w:p w14:paraId="7E25025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77DF8" w14:paraId="4BC0633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3069A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735259B9"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39490C8A"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272DE21"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E52EF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AB1CE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7580C7A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6877FD33"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397BE5"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B762A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B671B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283587FF"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28AF078C"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C14B6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27E66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52BF0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04780B2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0C5077D7"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122E1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1CE6E8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3D35E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354AB8C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0E9FF94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A29B3E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128428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790D3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7BFBCA3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0588BF41"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A1DC10E"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6F89B0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20FDB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53B1C48C"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65CE06E6"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BEB8FCE"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438DEB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60BA3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3BD53CF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7E9130F6"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3104E05"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272DFF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7D99B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0B7F1A90"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262ABD5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AD65FA"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31A780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A9661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3FBDCCF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6F6C959D"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B4943C"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29A815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F43CF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11D386A8"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7AE193FA"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AF6D076"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2E9240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4A2F1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28FE60C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41D45637"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9FC493C"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3ADEF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C87B2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52856A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47908727"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9DB82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4C9153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D58A8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65311F7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2890BC59"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3966AF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752FF8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39649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7AD3F9D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3123E3E7"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8EADD13"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BB725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639EF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S</w:t>
            </w:r>
          </w:p>
        </w:tc>
        <w:tc>
          <w:tcPr>
            <w:tcW w:w="750" w:type="pct"/>
            <w:tcBorders>
              <w:top w:val="single" w:sz="4" w:space="0" w:color="auto"/>
              <w:left w:val="single" w:sz="4" w:space="0" w:color="auto"/>
              <w:bottom w:val="single" w:sz="4" w:space="0" w:color="auto"/>
              <w:right w:val="single" w:sz="4" w:space="0" w:color="auto"/>
            </w:tcBorders>
            <w:vAlign w:val="center"/>
          </w:tcPr>
          <w:p w14:paraId="24D7859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7B2D9DDD"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00E329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5DA0CD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13EEB6" w14:textId="77777777" w:rsidR="00A77DF8" w:rsidRDefault="00A77DF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3B970F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C2EA99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3,879.40</w:t>
            </w:r>
          </w:p>
        </w:tc>
        <w:tc>
          <w:tcPr>
            <w:tcW w:w="400" w:type="pct"/>
            <w:tcBorders>
              <w:top w:val="single" w:sz="4" w:space="0" w:color="auto"/>
              <w:left w:val="single" w:sz="4" w:space="0" w:color="auto"/>
              <w:bottom w:val="single" w:sz="4" w:space="0" w:color="auto"/>
              <w:right w:val="single" w:sz="4" w:space="0" w:color="auto"/>
            </w:tcBorders>
            <w:vAlign w:val="center"/>
          </w:tcPr>
          <w:p w14:paraId="652BD53F"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14:paraId="7CEDB6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报告期末按行业分类的港股通投资股票投资组合</w:t>
      </w:r>
    </w:p>
    <w:p w14:paraId="467C99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3507F0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77DF8" w14:paraId="25A3B1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B0657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6325B6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34E8727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547B9A4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24DAF40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ED0A70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A77DF8" w14:paraId="78A562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EB900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F022CF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sz="4" w:space="0" w:color="auto"/>
              <w:left w:val="single" w:sz="4" w:space="0" w:color="auto"/>
              <w:bottom w:val="single" w:sz="4" w:space="0" w:color="auto"/>
              <w:right w:val="single" w:sz="4" w:space="0" w:color="auto"/>
            </w:tcBorders>
            <w:vAlign w:val="center"/>
          </w:tcPr>
          <w:p w14:paraId="218415A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sz="4" w:space="0" w:color="auto"/>
              <w:left w:val="single" w:sz="4" w:space="0" w:color="auto"/>
              <w:bottom w:val="single" w:sz="4" w:space="0" w:color="auto"/>
              <w:right w:val="single" w:sz="4" w:space="0" w:color="auto"/>
            </w:tcBorders>
            <w:vAlign w:val="center"/>
          </w:tcPr>
          <w:p w14:paraId="633FDFFD"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2480E6D2"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1,793.70</w:t>
            </w:r>
          </w:p>
        </w:tc>
        <w:tc>
          <w:tcPr>
            <w:tcW w:w="750" w:type="pct"/>
            <w:tcBorders>
              <w:top w:val="single" w:sz="4" w:space="0" w:color="auto"/>
              <w:left w:val="single" w:sz="4" w:space="0" w:color="auto"/>
              <w:bottom w:val="single" w:sz="4" w:space="0" w:color="auto"/>
              <w:right w:val="single" w:sz="4" w:space="0" w:color="auto"/>
            </w:tcBorders>
            <w:vAlign w:val="center"/>
          </w:tcPr>
          <w:p w14:paraId="0023CE13"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77DF8" w14:paraId="180E41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CD342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A55F1C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000983</w:t>
            </w:r>
          </w:p>
        </w:tc>
        <w:tc>
          <w:tcPr>
            <w:tcW w:w="750" w:type="pct"/>
            <w:tcBorders>
              <w:top w:val="single" w:sz="4" w:space="0" w:color="auto"/>
              <w:left w:val="single" w:sz="4" w:space="0" w:color="auto"/>
              <w:bottom w:val="single" w:sz="4" w:space="0" w:color="auto"/>
              <w:right w:val="single" w:sz="4" w:space="0" w:color="auto"/>
            </w:tcBorders>
            <w:vAlign w:val="center"/>
          </w:tcPr>
          <w:p w14:paraId="1E28B7F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西山煤电</w:t>
            </w:r>
          </w:p>
        </w:tc>
        <w:tc>
          <w:tcPr>
            <w:tcW w:w="750" w:type="pct"/>
            <w:tcBorders>
              <w:top w:val="single" w:sz="4" w:space="0" w:color="auto"/>
              <w:left w:val="single" w:sz="4" w:space="0" w:color="auto"/>
              <w:bottom w:val="single" w:sz="4" w:space="0" w:color="auto"/>
              <w:right w:val="single" w:sz="4" w:space="0" w:color="auto"/>
            </w:tcBorders>
            <w:vAlign w:val="center"/>
          </w:tcPr>
          <w:p w14:paraId="1B25FDFC"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390</w:t>
            </w:r>
          </w:p>
        </w:tc>
        <w:tc>
          <w:tcPr>
            <w:tcW w:w="750" w:type="pct"/>
            <w:tcBorders>
              <w:top w:val="single" w:sz="4" w:space="0" w:color="auto"/>
              <w:left w:val="single" w:sz="4" w:space="0" w:color="auto"/>
              <w:bottom w:val="single" w:sz="4" w:space="0" w:color="auto"/>
              <w:right w:val="single" w:sz="4" w:space="0" w:color="auto"/>
            </w:tcBorders>
            <w:vAlign w:val="center"/>
          </w:tcPr>
          <w:p w14:paraId="1B8D6712"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1,462.50</w:t>
            </w:r>
          </w:p>
        </w:tc>
        <w:tc>
          <w:tcPr>
            <w:tcW w:w="750" w:type="pct"/>
            <w:tcBorders>
              <w:top w:val="single" w:sz="4" w:space="0" w:color="auto"/>
              <w:left w:val="single" w:sz="4" w:space="0" w:color="auto"/>
              <w:bottom w:val="single" w:sz="4" w:space="0" w:color="auto"/>
              <w:right w:val="single" w:sz="4" w:space="0" w:color="auto"/>
            </w:tcBorders>
            <w:vAlign w:val="center"/>
          </w:tcPr>
          <w:p w14:paraId="1AB7CBB3"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77DF8" w14:paraId="7DB2B0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EC3EC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331324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000703</w:t>
            </w:r>
          </w:p>
        </w:tc>
        <w:tc>
          <w:tcPr>
            <w:tcW w:w="750" w:type="pct"/>
            <w:tcBorders>
              <w:top w:val="single" w:sz="4" w:space="0" w:color="auto"/>
              <w:left w:val="single" w:sz="4" w:space="0" w:color="auto"/>
              <w:bottom w:val="single" w:sz="4" w:space="0" w:color="auto"/>
              <w:right w:val="single" w:sz="4" w:space="0" w:color="auto"/>
            </w:tcBorders>
            <w:vAlign w:val="center"/>
          </w:tcPr>
          <w:p w14:paraId="1162D3D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恒逸石化</w:t>
            </w:r>
          </w:p>
        </w:tc>
        <w:tc>
          <w:tcPr>
            <w:tcW w:w="750" w:type="pct"/>
            <w:tcBorders>
              <w:top w:val="single" w:sz="4" w:space="0" w:color="auto"/>
              <w:left w:val="single" w:sz="4" w:space="0" w:color="auto"/>
              <w:bottom w:val="single" w:sz="4" w:space="0" w:color="auto"/>
              <w:right w:val="single" w:sz="4" w:space="0" w:color="auto"/>
            </w:tcBorders>
            <w:vAlign w:val="center"/>
          </w:tcPr>
          <w:p w14:paraId="1765B73A"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60</w:t>
            </w:r>
          </w:p>
        </w:tc>
        <w:tc>
          <w:tcPr>
            <w:tcW w:w="750" w:type="pct"/>
            <w:tcBorders>
              <w:top w:val="single" w:sz="4" w:space="0" w:color="auto"/>
              <w:left w:val="single" w:sz="4" w:space="0" w:color="auto"/>
              <w:bottom w:val="single" w:sz="4" w:space="0" w:color="auto"/>
              <w:right w:val="single" w:sz="4" w:space="0" w:color="auto"/>
            </w:tcBorders>
            <w:vAlign w:val="center"/>
          </w:tcPr>
          <w:p w14:paraId="3432E79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547.80</w:t>
            </w:r>
          </w:p>
        </w:tc>
        <w:tc>
          <w:tcPr>
            <w:tcW w:w="750" w:type="pct"/>
            <w:tcBorders>
              <w:top w:val="single" w:sz="4" w:space="0" w:color="auto"/>
              <w:left w:val="single" w:sz="4" w:space="0" w:color="auto"/>
              <w:bottom w:val="single" w:sz="4" w:space="0" w:color="auto"/>
              <w:right w:val="single" w:sz="4" w:space="0" w:color="auto"/>
            </w:tcBorders>
            <w:vAlign w:val="center"/>
          </w:tcPr>
          <w:p w14:paraId="1FEA61B2"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A77DF8" w14:paraId="14F955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1A7F0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288288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000932</w:t>
            </w:r>
          </w:p>
        </w:tc>
        <w:tc>
          <w:tcPr>
            <w:tcW w:w="750" w:type="pct"/>
            <w:tcBorders>
              <w:top w:val="single" w:sz="4" w:space="0" w:color="auto"/>
              <w:left w:val="single" w:sz="4" w:space="0" w:color="auto"/>
              <w:bottom w:val="single" w:sz="4" w:space="0" w:color="auto"/>
              <w:right w:val="single" w:sz="4" w:space="0" w:color="auto"/>
            </w:tcBorders>
            <w:vAlign w:val="center"/>
          </w:tcPr>
          <w:p w14:paraId="4C88907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华菱钢铁</w:t>
            </w:r>
          </w:p>
        </w:tc>
        <w:tc>
          <w:tcPr>
            <w:tcW w:w="750" w:type="pct"/>
            <w:tcBorders>
              <w:top w:val="single" w:sz="4" w:space="0" w:color="auto"/>
              <w:left w:val="single" w:sz="4" w:space="0" w:color="auto"/>
              <w:bottom w:val="single" w:sz="4" w:space="0" w:color="auto"/>
              <w:right w:val="single" w:sz="4" w:space="0" w:color="auto"/>
            </w:tcBorders>
            <w:vAlign w:val="center"/>
          </w:tcPr>
          <w:p w14:paraId="2E1B5756"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69F24EDD"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75.40</w:t>
            </w:r>
          </w:p>
        </w:tc>
        <w:tc>
          <w:tcPr>
            <w:tcW w:w="750" w:type="pct"/>
            <w:tcBorders>
              <w:top w:val="single" w:sz="4" w:space="0" w:color="auto"/>
              <w:left w:val="single" w:sz="4" w:space="0" w:color="auto"/>
              <w:bottom w:val="single" w:sz="4" w:space="0" w:color="auto"/>
              <w:right w:val="single" w:sz="4" w:space="0" w:color="auto"/>
            </w:tcBorders>
            <w:vAlign w:val="center"/>
          </w:tcPr>
          <w:p w14:paraId="0FC85F36"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14:paraId="3C5DD31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767730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558AC6F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47FF5F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2AFAAC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、报告期末按公允价值占基金资产净值比例大小排序的前十名资产支持证券投资明细</w:t>
      </w:r>
    </w:p>
    <w:p w14:paraId="6DB6E26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1C17E0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报告期末按公允价值占基金资产净值比例大小排序的前五名贵金属投资明细</w:t>
      </w:r>
    </w:p>
    <w:p w14:paraId="5B126E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6D153E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报告期末按公允价值占基金资产净值比例大小排序的前五名权证投资明细</w:t>
      </w:r>
    </w:p>
    <w:p w14:paraId="6302AA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785289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、报告期末本基金投资的股指期货交易情况说明</w:t>
      </w:r>
    </w:p>
    <w:p w14:paraId="1171A70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502276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、报告期末本基金投资的国债期货交易情况说明</w:t>
      </w:r>
    </w:p>
    <w:p w14:paraId="5523A3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53331EA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、投资组合报告附注</w:t>
      </w:r>
    </w:p>
    <w:p w14:paraId="6B2D0E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3A8565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12.2</w:t>
      </w:r>
      <w:r>
        <w:rPr>
          <w:rFonts w:ascii="Times New Roman" w:hAnsi="Times New Roman"/>
          <w:sz w:val="24"/>
        </w:rPr>
        <w:t>本基金投资的前十名股票中，没有超出基金合同规定的备选股票库之外的股票。</w:t>
      </w:r>
    </w:p>
    <w:p w14:paraId="2A8E36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12.3</w:t>
      </w:r>
      <w:r>
        <w:rPr>
          <w:rFonts w:ascii="Times New Roman" w:hAnsi="Times New Roman"/>
          <w:sz w:val="24"/>
        </w:rPr>
        <w:t>其他资产构成</w:t>
      </w:r>
    </w:p>
    <w:p w14:paraId="2CDC92B5" w14:textId="77777777" w:rsidR="00A77DF8" w:rsidRDefault="00E47C6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A77DF8" w14:paraId="34F4B7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F5075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727696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6E0445C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A77DF8" w14:paraId="51CDC7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38766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022B9C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3F3E3D98"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11,457.08</w:t>
            </w:r>
          </w:p>
        </w:tc>
      </w:tr>
      <w:tr w:rsidR="00A77DF8" w14:paraId="7F04DC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68D7A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725CB7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7FFBEECB"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36AD86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7CC31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555F82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E1D575E"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B7992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04C5B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4226768"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16E5DDC5"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771.37</w:t>
            </w:r>
          </w:p>
        </w:tc>
      </w:tr>
      <w:tr w:rsidR="00A77DF8" w14:paraId="348D18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E2F61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B08E13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6EB51900"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159,657.11</w:t>
            </w:r>
          </w:p>
        </w:tc>
      </w:tr>
      <w:tr w:rsidR="00A77DF8" w14:paraId="7B4D08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E9184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0548C38"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06941DEF"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4E431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437D4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92B20BC"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26938864"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0A42B5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549EC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65B71C9"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5D2908C8"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77DF8" w14:paraId="1BC023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BB45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98270C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7C2E6AB2" w14:textId="77777777" w:rsidR="00A77DF8" w:rsidRDefault="00E47C67">
            <w:pPr>
              <w:widowControl/>
              <w:snapToGrid w:val="0"/>
              <w:jc w:val="right"/>
              <w:rPr>
                <w:rFonts w:ascii="宋体" w:hAnsi="宋体"/>
                <w:color w:val="000000"/>
                <w:kern w:val="0"/>
                <w:sz w:val="25"/>
                <w:szCs w:val="24"/>
              </w:rPr>
            </w:pPr>
            <w:r>
              <w:rPr>
                <w:rFonts w:ascii="Times New Roman" w:hAnsi="Times New Roman"/>
                <w:color w:val="000000"/>
                <w:kern w:val="0"/>
                <w:sz w:val="25"/>
                <w:szCs w:val="24"/>
              </w:rPr>
              <w:t>171,885.56</w:t>
            </w:r>
          </w:p>
        </w:tc>
      </w:tr>
    </w:tbl>
    <w:p w14:paraId="350CA0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12.4</w:t>
      </w:r>
      <w:r>
        <w:rPr>
          <w:rFonts w:ascii="Times New Roman" w:hAnsi="Times New Roman"/>
          <w:sz w:val="24"/>
        </w:rPr>
        <w:t>报告期末持有的处于转股期的可转换债券明细</w:t>
      </w:r>
    </w:p>
    <w:p w14:paraId="4082C4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73B27F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12.5</w:t>
      </w:r>
      <w:r>
        <w:rPr>
          <w:rFonts w:ascii="Times New Roman" w:hAnsi="Times New Roman"/>
          <w:sz w:val="24"/>
        </w:rPr>
        <w:t>报告期末前十名股票中存在流通受限情况的说明</w:t>
      </w:r>
    </w:p>
    <w:p w14:paraId="21DD47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本基金本报告期末前十名股票中不存在流通受限情况。</w:t>
      </w:r>
    </w:p>
    <w:p w14:paraId="4119EC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12.6</w:t>
      </w:r>
      <w:r>
        <w:rPr>
          <w:rFonts w:ascii="Times New Roman" w:hAnsi="Times New Roman"/>
          <w:sz w:val="24"/>
        </w:rPr>
        <w:t>投资组合报告附注的其他文字描述部分</w:t>
      </w:r>
    </w:p>
    <w:p w14:paraId="1A9F662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701F61B3"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EF4074F" w14:textId="77777777" w:rsidR="00A77DF8" w:rsidRDefault="00E47C67">
      <w:pPr>
        <w:pStyle w:val="1"/>
        <w:snapToGrid w:val="0"/>
        <w:spacing w:beforeLines="0" w:before="240" w:after="240"/>
        <w:rPr>
          <w:rFonts w:ascii="宋体" w:hAnsi="宋体"/>
          <w:szCs w:val="30"/>
        </w:rPr>
      </w:pPr>
      <w:bookmarkStart w:id="13" w:name="_Toc54104415"/>
      <w:r>
        <w:rPr>
          <w:rFonts w:ascii="Times New Roman" w:hAnsi="Times New Roman"/>
          <w:sz w:val="30"/>
        </w:rPr>
        <w:lastRenderedPageBreak/>
        <w:t>十一、基金的业绩</w:t>
      </w:r>
      <w:bookmarkEnd w:id="13"/>
    </w:p>
    <w:p w14:paraId="72C968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33BAA1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19CA3C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77DF8" w14:paraId="60391CA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E8278B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E5DEFD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4C7634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10384F9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B533C6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341641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1EA94E9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A77DF8" w14:paraId="7DB74B3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A0DCB3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E393FC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12.64%</w:t>
            </w:r>
          </w:p>
        </w:tc>
        <w:tc>
          <w:tcPr>
            <w:tcW w:w="750" w:type="pct"/>
            <w:tcBorders>
              <w:top w:val="single" w:sz="4" w:space="0" w:color="auto"/>
              <w:left w:val="single" w:sz="4" w:space="0" w:color="auto"/>
              <w:bottom w:val="single" w:sz="4" w:space="0" w:color="auto"/>
              <w:right w:val="single" w:sz="4" w:space="0" w:color="auto"/>
            </w:tcBorders>
            <w:vAlign w:val="center"/>
          </w:tcPr>
          <w:p w14:paraId="05500CB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sz="4" w:space="0" w:color="auto"/>
              <w:left w:val="single" w:sz="4" w:space="0" w:color="auto"/>
              <w:bottom w:val="single" w:sz="4" w:space="0" w:color="auto"/>
              <w:right w:val="single" w:sz="4" w:space="0" w:color="auto"/>
            </w:tcBorders>
            <w:vAlign w:val="center"/>
          </w:tcPr>
          <w:p w14:paraId="6B035E2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11.85%</w:t>
            </w:r>
          </w:p>
        </w:tc>
        <w:tc>
          <w:tcPr>
            <w:tcW w:w="750" w:type="pct"/>
            <w:tcBorders>
              <w:top w:val="single" w:sz="4" w:space="0" w:color="auto"/>
              <w:left w:val="single" w:sz="4" w:space="0" w:color="auto"/>
              <w:bottom w:val="single" w:sz="4" w:space="0" w:color="auto"/>
              <w:right w:val="single" w:sz="4" w:space="0" w:color="auto"/>
            </w:tcBorders>
            <w:vAlign w:val="center"/>
          </w:tcPr>
          <w:p w14:paraId="7B40E4E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14:paraId="039B264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72172A1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A77DF8" w14:paraId="785D82B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CE3FB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326E761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-2.19%</w:t>
            </w:r>
          </w:p>
        </w:tc>
        <w:tc>
          <w:tcPr>
            <w:tcW w:w="750" w:type="pct"/>
            <w:tcBorders>
              <w:top w:val="single" w:sz="4" w:space="0" w:color="auto"/>
              <w:left w:val="single" w:sz="4" w:space="0" w:color="auto"/>
              <w:bottom w:val="single" w:sz="4" w:space="0" w:color="auto"/>
              <w:right w:val="single" w:sz="4" w:space="0" w:color="auto"/>
            </w:tcBorders>
            <w:vAlign w:val="center"/>
          </w:tcPr>
          <w:p w14:paraId="52B535E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14:paraId="0CE0FDA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-3.50%</w:t>
            </w:r>
          </w:p>
        </w:tc>
        <w:tc>
          <w:tcPr>
            <w:tcW w:w="750" w:type="pct"/>
            <w:tcBorders>
              <w:top w:val="single" w:sz="4" w:space="0" w:color="auto"/>
              <w:left w:val="single" w:sz="4" w:space="0" w:color="auto"/>
              <w:bottom w:val="single" w:sz="4" w:space="0" w:color="auto"/>
              <w:right w:val="single" w:sz="4" w:space="0" w:color="auto"/>
            </w:tcBorders>
            <w:vAlign w:val="center"/>
          </w:tcPr>
          <w:p w14:paraId="2E701F1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1E64FE3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23791D1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A77DF8" w14:paraId="2E9C05A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66BDF3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5F719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49.46%</w:t>
            </w:r>
          </w:p>
        </w:tc>
        <w:tc>
          <w:tcPr>
            <w:tcW w:w="750" w:type="pct"/>
            <w:tcBorders>
              <w:top w:val="single" w:sz="4" w:space="0" w:color="auto"/>
              <w:left w:val="single" w:sz="4" w:space="0" w:color="auto"/>
              <w:bottom w:val="single" w:sz="4" w:space="0" w:color="auto"/>
              <w:right w:val="single" w:sz="4" w:space="0" w:color="auto"/>
            </w:tcBorders>
            <w:vAlign w:val="center"/>
          </w:tcPr>
          <w:p w14:paraId="5F95663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017EA32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49.41%</w:t>
            </w:r>
          </w:p>
        </w:tc>
        <w:tc>
          <w:tcPr>
            <w:tcW w:w="750" w:type="pct"/>
            <w:tcBorders>
              <w:top w:val="single" w:sz="4" w:space="0" w:color="auto"/>
              <w:left w:val="single" w:sz="4" w:space="0" w:color="auto"/>
              <w:bottom w:val="single" w:sz="4" w:space="0" w:color="auto"/>
              <w:right w:val="single" w:sz="4" w:space="0" w:color="auto"/>
            </w:tcBorders>
            <w:vAlign w:val="center"/>
          </w:tcPr>
          <w:p w14:paraId="72459C8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14:paraId="7391E77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F68B2B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A77DF8" w14:paraId="16C5F96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91608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E3045B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-27.55%</w:t>
            </w:r>
          </w:p>
        </w:tc>
        <w:tc>
          <w:tcPr>
            <w:tcW w:w="750" w:type="pct"/>
            <w:tcBorders>
              <w:top w:val="single" w:sz="4" w:space="0" w:color="auto"/>
              <w:left w:val="single" w:sz="4" w:space="0" w:color="auto"/>
              <w:bottom w:val="single" w:sz="4" w:space="0" w:color="auto"/>
              <w:right w:val="single" w:sz="4" w:space="0" w:color="auto"/>
            </w:tcBorders>
            <w:vAlign w:val="center"/>
          </w:tcPr>
          <w:p w14:paraId="6CEEC22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1.42%</w:t>
            </w:r>
          </w:p>
        </w:tc>
        <w:tc>
          <w:tcPr>
            <w:tcW w:w="750" w:type="pct"/>
            <w:tcBorders>
              <w:top w:val="single" w:sz="4" w:space="0" w:color="auto"/>
              <w:left w:val="single" w:sz="4" w:space="0" w:color="auto"/>
              <w:bottom w:val="single" w:sz="4" w:space="0" w:color="auto"/>
              <w:right w:val="single" w:sz="4" w:space="0" w:color="auto"/>
            </w:tcBorders>
            <w:vAlign w:val="center"/>
          </w:tcPr>
          <w:p w14:paraId="1E9A97F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-28.35%</w:t>
            </w:r>
          </w:p>
        </w:tc>
        <w:tc>
          <w:tcPr>
            <w:tcW w:w="750" w:type="pct"/>
            <w:tcBorders>
              <w:top w:val="single" w:sz="4" w:space="0" w:color="auto"/>
              <w:left w:val="single" w:sz="4" w:space="0" w:color="auto"/>
              <w:bottom w:val="single" w:sz="4" w:space="0" w:color="auto"/>
              <w:right w:val="single" w:sz="4" w:space="0" w:color="auto"/>
            </w:tcBorders>
            <w:vAlign w:val="center"/>
          </w:tcPr>
          <w:p w14:paraId="2BC41A0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sz="4" w:space="0" w:color="auto"/>
              <w:left w:val="single" w:sz="4" w:space="0" w:color="auto"/>
              <w:bottom w:val="single" w:sz="4" w:space="0" w:color="auto"/>
              <w:right w:val="single" w:sz="4" w:space="0" w:color="auto"/>
            </w:tcBorders>
            <w:vAlign w:val="center"/>
          </w:tcPr>
          <w:p w14:paraId="1D271C5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14:paraId="007800D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rsidR="00A77DF8" w14:paraId="3762A1A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FD931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20111A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w:t>
            </w:r>
          </w:p>
        </w:tc>
        <w:tc>
          <w:tcPr>
            <w:tcW w:w="750" w:type="pct"/>
            <w:tcBorders>
              <w:top w:val="single" w:sz="4" w:space="0" w:color="auto"/>
              <w:left w:val="single" w:sz="4" w:space="0" w:color="auto"/>
              <w:bottom w:val="single" w:sz="4" w:space="0" w:color="auto"/>
              <w:right w:val="single" w:sz="4" w:space="0" w:color="auto"/>
            </w:tcBorders>
            <w:vAlign w:val="center"/>
          </w:tcPr>
          <w:p w14:paraId="2E0EA3C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14:paraId="02AE1C6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30.37%</w:t>
            </w:r>
          </w:p>
        </w:tc>
        <w:tc>
          <w:tcPr>
            <w:tcW w:w="750" w:type="pct"/>
            <w:tcBorders>
              <w:top w:val="single" w:sz="4" w:space="0" w:color="auto"/>
              <w:left w:val="single" w:sz="4" w:space="0" w:color="auto"/>
              <w:bottom w:val="single" w:sz="4" w:space="0" w:color="auto"/>
              <w:right w:val="single" w:sz="4" w:space="0" w:color="auto"/>
            </w:tcBorders>
            <w:vAlign w:val="center"/>
          </w:tcPr>
          <w:p w14:paraId="6C837E3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14:paraId="0B8E010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14:paraId="61CAAD2E"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A77DF8" w14:paraId="7D33A4B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E0DC6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6757AD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-8.20%</w:t>
            </w:r>
          </w:p>
        </w:tc>
        <w:tc>
          <w:tcPr>
            <w:tcW w:w="750" w:type="pct"/>
            <w:tcBorders>
              <w:top w:val="single" w:sz="4" w:space="0" w:color="auto"/>
              <w:left w:val="single" w:sz="4" w:space="0" w:color="auto"/>
              <w:bottom w:val="single" w:sz="4" w:space="0" w:color="auto"/>
              <w:right w:val="single" w:sz="4" w:space="0" w:color="auto"/>
            </w:tcBorders>
            <w:vAlign w:val="center"/>
          </w:tcPr>
          <w:p w14:paraId="33F5A4B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sz="4" w:space="0" w:color="auto"/>
              <w:left w:val="single" w:sz="4" w:space="0" w:color="auto"/>
              <w:bottom w:val="single" w:sz="4" w:space="0" w:color="auto"/>
              <w:right w:val="single" w:sz="4" w:space="0" w:color="auto"/>
            </w:tcBorders>
            <w:vAlign w:val="center"/>
          </w:tcPr>
          <w:p w14:paraId="71BD569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-8.69%</w:t>
            </w:r>
          </w:p>
        </w:tc>
        <w:tc>
          <w:tcPr>
            <w:tcW w:w="750" w:type="pct"/>
            <w:tcBorders>
              <w:top w:val="single" w:sz="4" w:space="0" w:color="auto"/>
              <w:left w:val="single" w:sz="4" w:space="0" w:color="auto"/>
              <w:bottom w:val="single" w:sz="4" w:space="0" w:color="auto"/>
              <w:right w:val="single" w:sz="4" w:space="0" w:color="auto"/>
            </w:tcBorders>
            <w:vAlign w:val="center"/>
          </w:tcPr>
          <w:p w14:paraId="07B116EA"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2FC8B9F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sz="4" w:space="0" w:color="auto"/>
              <w:left w:val="single" w:sz="4" w:space="0" w:color="auto"/>
              <w:bottom w:val="single" w:sz="4" w:space="0" w:color="auto"/>
              <w:right w:val="single" w:sz="4" w:space="0" w:color="auto"/>
            </w:tcBorders>
            <w:vAlign w:val="center"/>
          </w:tcPr>
          <w:p w14:paraId="42922F7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-0.11%</w:t>
            </w:r>
          </w:p>
        </w:tc>
      </w:tr>
      <w:tr w:rsidR="00A77DF8" w14:paraId="28CEF18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14230E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35B120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12.99%</w:t>
            </w:r>
          </w:p>
        </w:tc>
        <w:tc>
          <w:tcPr>
            <w:tcW w:w="750" w:type="pct"/>
            <w:tcBorders>
              <w:top w:val="single" w:sz="4" w:space="0" w:color="auto"/>
              <w:left w:val="single" w:sz="4" w:space="0" w:color="auto"/>
              <w:bottom w:val="single" w:sz="4" w:space="0" w:color="auto"/>
              <w:right w:val="single" w:sz="4" w:space="0" w:color="auto"/>
            </w:tcBorders>
            <w:vAlign w:val="center"/>
          </w:tcPr>
          <w:p w14:paraId="77CF063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sz="4" w:space="0" w:color="auto"/>
              <w:left w:val="single" w:sz="4" w:space="0" w:color="auto"/>
              <w:bottom w:val="single" w:sz="4" w:space="0" w:color="auto"/>
              <w:right w:val="single" w:sz="4" w:space="0" w:color="auto"/>
            </w:tcBorders>
            <w:vAlign w:val="center"/>
          </w:tcPr>
          <w:p w14:paraId="5C2E088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15.28%</w:t>
            </w:r>
          </w:p>
        </w:tc>
        <w:tc>
          <w:tcPr>
            <w:tcW w:w="750" w:type="pct"/>
            <w:tcBorders>
              <w:top w:val="single" w:sz="4" w:space="0" w:color="auto"/>
              <w:left w:val="single" w:sz="4" w:space="0" w:color="auto"/>
              <w:bottom w:val="single" w:sz="4" w:space="0" w:color="auto"/>
              <w:right w:val="single" w:sz="4" w:space="0" w:color="auto"/>
            </w:tcBorders>
            <w:vAlign w:val="center"/>
          </w:tcPr>
          <w:p w14:paraId="6D0A04D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2.47%</w:t>
            </w:r>
          </w:p>
        </w:tc>
        <w:tc>
          <w:tcPr>
            <w:tcW w:w="750" w:type="pct"/>
            <w:tcBorders>
              <w:top w:val="single" w:sz="4" w:space="0" w:color="auto"/>
              <w:left w:val="single" w:sz="4" w:space="0" w:color="auto"/>
              <w:bottom w:val="single" w:sz="4" w:space="0" w:color="auto"/>
              <w:right w:val="single" w:sz="4" w:space="0" w:color="auto"/>
            </w:tcBorders>
            <w:vAlign w:val="center"/>
          </w:tcPr>
          <w:p w14:paraId="3467EE1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sz="4" w:space="0" w:color="auto"/>
              <w:left w:val="single" w:sz="4" w:space="0" w:color="auto"/>
              <w:bottom w:val="single" w:sz="4" w:space="0" w:color="auto"/>
              <w:right w:val="single" w:sz="4" w:space="0" w:color="auto"/>
            </w:tcBorders>
            <w:vAlign w:val="center"/>
          </w:tcPr>
          <w:p w14:paraId="1224CCB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-0.07%</w:t>
            </w:r>
          </w:p>
        </w:tc>
      </w:tr>
      <w:tr w:rsidR="00A77DF8" w14:paraId="34C531A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613DE5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44BE5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42.89%</w:t>
            </w:r>
          </w:p>
        </w:tc>
        <w:tc>
          <w:tcPr>
            <w:tcW w:w="750" w:type="pct"/>
            <w:tcBorders>
              <w:top w:val="single" w:sz="4" w:space="0" w:color="auto"/>
              <w:left w:val="single" w:sz="4" w:space="0" w:color="auto"/>
              <w:bottom w:val="single" w:sz="4" w:space="0" w:color="auto"/>
              <w:right w:val="single" w:sz="4" w:space="0" w:color="auto"/>
            </w:tcBorders>
            <w:vAlign w:val="center"/>
          </w:tcPr>
          <w:p w14:paraId="5F45EAB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sz="4" w:space="0" w:color="auto"/>
              <w:left w:val="single" w:sz="4" w:space="0" w:color="auto"/>
              <w:bottom w:val="single" w:sz="4" w:space="0" w:color="auto"/>
              <w:right w:val="single" w:sz="4" w:space="0" w:color="auto"/>
            </w:tcBorders>
            <w:vAlign w:val="center"/>
          </w:tcPr>
          <w:p w14:paraId="184943C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42.42%</w:t>
            </w:r>
          </w:p>
        </w:tc>
        <w:tc>
          <w:tcPr>
            <w:tcW w:w="750" w:type="pct"/>
            <w:tcBorders>
              <w:top w:val="single" w:sz="4" w:space="0" w:color="auto"/>
              <w:left w:val="single" w:sz="4" w:space="0" w:color="auto"/>
              <w:bottom w:val="single" w:sz="4" w:space="0" w:color="auto"/>
              <w:right w:val="single" w:sz="4" w:space="0" w:color="auto"/>
            </w:tcBorders>
            <w:vAlign w:val="center"/>
          </w:tcPr>
          <w:p w14:paraId="4DBAA52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14:paraId="0C5DA96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0039643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A77DF8" w14:paraId="39D00AE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C0E673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F9AED9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14:paraId="1599ABA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1.42%</w:t>
            </w:r>
          </w:p>
        </w:tc>
        <w:tc>
          <w:tcPr>
            <w:tcW w:w="750" w:type="pct"/>
            <w:tcBorders>
              <w:top w:val="single" w:sz="4" w:space="0" w:color="auto"/>
              <w:left w:val="single" w:sz="4" w:space="0" w:color="auto"/>
              <w:bottom w:val="single" w:sz="4" w:space="0" w:color="auto"/>
              <w:right w:val="single" w:sz="4" w:space="0" w:color="auto"/>
            </w:tcBorders>
            <w:vAlign w:val="center"/>
          </w:tcPr>
          <w:p w14:paraId="435BBBF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-3.02%</w:t>
            </w:r>
          </w:p>
        </w:tc>
        <w:tc>
          <w:tcPr>
            <w:tcW w:w="750" w:type="pct"/>
            <w:tcBorders>
              <w:top w:val="single" w:sz="4" w:space="0" w:color="auto"/>
              <w:left w:val="single" w:sz="4" w:space="0" w:color="auto"/>
              <w:bottom w:val="single" w:sz="4" w:space="0" w:color="auto"/>
              <w:right w:val="single" w:sz="4" w:space="0" w:color="auto"/>
            </w:tcBorders>
            <w:vAlign w:val="center"/>
          </w:tcPr>
          <w:p w14:paraId="31464AA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14:paraId="70AA6EF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0.58%</w:t>
            </w:r>
          </w:p>
        </w:tc>
        <w:tc>
          <w:tcPr>
            <w:tcW w:w="750" w:type="pct"/>
            <w:tcBorders>
              <w:top w:val="single" w:sz="4" w:space="0" w:color="auto"/>
              <w:left w:val="single" w:sz="4" w:space="0" w:color="auto"/>
              <w:bottom w:val="single" w:sz="4" w:space="0" w:color="auto"/>
              <w:right w:val="single" w:sz="4" w:space="0" w:color="auto"/>
            </w:tcBorders>
            <w:vAlign w:val="center"/>
          </w:tcPr>
          <w:p w14:paraId="556FB71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A77DF8" w14:paraId="389CF70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4025E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0FBCA4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3.96%</w:t>
            </w:r>
          </w:p>
        </w:tc>
        <w:tc>
          <w:tcPr>
            <w:tcW w:w="750" w:type="pct"/>
            <w:tcBorders>
              <w:top w:val="single" w:sz="4" w:space="0" w:color="auto"/>
              <w:left w:val="single" w:sz="4" w:space="0" w:color="auto"/>
              <w:bottom w:val="single" w:sz="4" w:space="0" w:color="auto"/>
              <w:right w:val="single" w:sz="4" w:space="0" w:color="auto"/>
            </w:tcBorders>
            <w:vAlign w:val="center"/>
          </w:tcPr>
          <w:p w14:paraId="768C66F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035671F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4.80%</w:t>
            </w:r>
          </w:p>
        </w:tc>
        <w:tc>
          <w:tcPr>
            <w:tcW w:w="750" w:type="pct"/>
            <w:tcBorders>
              <w:top w:val="single" w:sz="4" w:space="0" w:color="auto"/>
              <w:left w:val="single" w:sz="4" w:space="0" w:color="auto"/>
              <w:bottom w:val="single" w:sz="4" w:space="0" w:color="auto"/>
              <w:right w:val="single" w:sz="4" w:space="0" w:color="auto"/>
            </w:tcBorders>
            <w:vAlign w:val="center"/>
          </w:tcPr>
          <w:p w14:paraId="265EC39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1C82F7F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14:paraId="676F6C5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A77DF8" w14:paraId="4A7A332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8BD160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9026ED3"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-9.20%</w:t>
            </w:r>
          </w:p>
        </w:tc>
        <w:tc>
          <w:tcPr>
            <w:tcW w:w="750" w:type="pct"/>
            <w:tcBorders>
              <w:top w:val="single" w:sz="4" w:space="0" w:color="auto"/>
              <w:left w:val="single" w:sz="4" w:space="0" w:color="auto"/>
              <w:bottom w:val="single" w:sz="4" w:space="0" w:color="auto"/>
              <w:right w:val="single" w:sz="4" w:space="0" w:color="auto"/>
            </w:tcBorders>
            <w:vAlign w:val="center"/>
          </w:tcPr>
          <w:p w14:paraId="3D62405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7D4AF91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-14.50%</w:t>
            </w:r>
          </w:p>
        </w:tc>
        <w:tc>
          <w:tcPr>
            <w:tcW w:w="750" w:type="pct"/>
            <w:tcBorders>
              <w:top w:val="single" w:sz="4" w:space="0" w:color="auto"/>
              <w:left w:val="single" w:sz="4" w:space="0" w:color="auto"/>
              <w:bottom w:val="single" w:sz="4" w:space="0" w:color="auto"/>
              <w:right w:val="single" w:sz="4" w:space="0" w:color="auto"/>
            </w:tcBorders>
            <w:vAlign w:val="center"/>
          </w:tcPr>
          <w:p w14:paraId="4043872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14:paraId="79A4D73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5.30%</w:t>
            </w:r>
          </w:p>
        </w:tc>
        <w:tc>
          <w:tcPr>
            <w:tcW w:w="750" w:type="pct"/>
            <w:tcBorders>
              <w:top w:val="single" w:sz="4" w:space="0" w:color="auto"/>
              <w:left w:val="single" w:sz="4" w:space="0" w:color="auto"/>
              <w:bottom w:val="single" w:sz="4" w:space="0" w:color="auto"/>
              <w:right w:val="single" w:sz="4" w:space="0" w:color="auto"/>
            </w:tcBorders>
            <w:vAlign w:val="center"/>
          </w:tcPr>
          <w:p w14:paraId="43E1DA2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-0.42%</w:t>
            </w:r>
          </w:p>
        </w:tc>
      </w:tr>
    </w:tbl>
    <w:p w14:paraId="4D0A23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1904DE7B" w14:textId="77777777" w:rsidR="00A77DF8" w:rsidRDefault="00E47C6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交银施罗德深证</w:t>
      </w:r>
      <w:r>
        <w:rPr>
          <w:rFonts w:ascii="Times New Roman" w:hAnsi="Times New Roman"/>
          <w:sz w:val="24"/>
        </w:rPr>
        <w:t>300</w:t>
      </w:r>
      <w:r>
        <w:rPr>
          <w:rFonts w:ascii="Times New Roman" w:hAnsi="Times New Roman"/>
          <w:sz w:val="24"/>
        </w:rPr>
        <w:t>价值交易型开放式指数证券投资基金联接基金</w:t>
      </w:r>
    </w:p>
    <w:p w14:paraId="6AD7E11C" w14:textId="77777777" w:rsidR="00A77DF8" w:rsidRDefault="00E47C6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14:paraId="76E3D37F" w14:textId="77777777" w:rsidR="00A77DF8" w:rsidRDefault="00E47C6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1D35B7BC" w14:textId="77777777" w:rsidR="00A77DF8" w:rsidRDefault="00F80C67">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23E97601" wp14:editId="4E60C759">
            <wp:extent cx="5585460" cy="328422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5460" cy="3284220"/>
                    </a:xfrm>
                    <a:prstGeom prst="rect">
                      <a:avLst/>
                    </a:prstGeom>
                    <a:noFill/>
                    <a:ln>
                      <a:noFill/>
                    </a:ln>
                  </pic:spPr>
                </pic:pic>
              </a:graphicData>
            </a:graphic>
          </wp:inline>
        </w:drawing>
      </w:r>
    </w:p>
    <w:p w14:paraId="30D65FD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2B28A6CF"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9420E6" w14:textId="77777777" w:rsidR="00A77DF8" w:rsidRDefault="00E47C67">
      <w:pPr>
        <w:pStyle w:val="1"/>
        <w:snapToGrid w:val="0"/>
        <w:spacing w:beforeLines="0" w:before="240" w:after="240"/>
        <w:rPr>
          <w:rFonts w:ascii="宋体" w:hAnsi="宋体"/>
          <w:szCs w:val="30"/>
        </w:rPr>
      </w:pPr>
      <w:bookmarkStart w:id="14" w:name="_Toc54104416"/>
      <w:r>
        <w:rPr>
          <w:rFonts w:ascii="Times New Roman" w:hAnsi="Times New Roman"/>
          <w:sz w:val="30"/>
        </w:rPr>
        <w:lastRenderedPageBreak/>
        <w:t>十二、基金的财产</w:t>
      </w:r>
      <w:bookmarkEnd w:id="14"/>
    </w:p>
    <w:p w14:paraId="3ABEFF42"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4C53497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基金资产总值是指基金拥有的包括目标</w:t>
      </w:r>
      <w:r>
        <w:rPr>
          <w:rFonts w:ascii="Times New Roman" w:hAnsi="Times New Roman"/>
          <w:sz w:val="24"/>
        </w:rPr>
        <w:t>ETF</w:t>
      </w:r>
      <w:r>
        <w:rPr>
          <w:rFonts w:ascii="Times New Roman" w:hAnsi="Times New Roman"/>
          <w:sz w:val="24"/>
        </w:rPr>
        <w:t>份额在内的各类有价证券、银行存款本息、基金应收款项以及其他资产的价值总和。</w:t>
      </w:r>
    </w:p>
    <w:p w14:paraId="32352BF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3CE3D01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基金资产净值是指基金资产总值减去基金负债后的净资产值。</w:t>
      </w:r>
    </w:p>
    <w:p w14:paraId="0AB2A86C"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02F3F53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41287A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（四）基金财产的处分</w:t>
      </w:r>
    </w:p>
    <w:p w14:paraId="35EC1C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3E0CF4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14:paraId="120E67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14:paraId="4D9B7A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14:paraId="60C417E4"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6FDA" w14:textId="77777777" w:rsidR="00A77DF8" w:rsidRDefault="00E47C67">
      <w:pPr>
        <w:pStyle w:val="1"/>
        <w:snapToGrid w:val="0"/>
        <w:spacing w:beforeLines="0" w:before="240" w:after="240"/>
        <w:rPr>
          <w:rFonts w:ascii="宋体" w:hAnsi="宋体"/>
          <w:szCs w:val="30"/>
        </w:rPr>
      </w:pPr>
      <w:bookmarkStart w:id="15" w:name="_Toc54104417"/>
      <w:r>
        <w:rPr>
          <w:rFonts w:ascii="Times New Roman" w:hAnsi="Times New Roman"/>
          <w:sz w:val="30"/>
        </w:rPr>
        <w:lastRenderedPageBreak/>
        <w:t>十三、基金资产的估值</w:t>
      </w:r>
      <w:bookmarkEnd w:id="15"/>
    </w:p>
    <w:p w14:paraId="6030D8DB"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（一）估值目的</w:t>
      </w:r>
    </w:p>
    <w:p w14:paraId="4CFC41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基金资产的估值目的是客观、准确地反映基金资产是否保值、增值，并为基金份额提供计价依据。</w:t>
      </w:r>
    </w:p>
    <w:p w14:paraId="046A5DB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（二）估值日</w:t>
      </w:r>
    </w:p>
    <w:p w14:paraId="7F9AEE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本基金的估值日为相关的证券交易场所的正常交易日，以及国家法律法规规定需要对外披露基金净值的非交易日。</w:t>
      </w:r>
    </w:p>
    <w:p w14:paraId="75A98E1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（三）估值对象</w:t>
      </w:r>
    </w:p>
    <w:p w14:paraId="04BD71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基金依法拥有的目标</w:t>
      </w:r>
      <w:r>
        <w:rPr>
          <w:rFonts w:ascii="Times New Roman" w:hAnsi="Times New Roman"/>
          <w:sz w:val="24"/>
        </w:rPr>
        <w:t>ETF</w:t>
      </w:r>
      <w:r>
        <w:rPr>
          <w:rFonts w:ascii="Times New Roman" w:hAnsi="Times New Roman"/>
          <w:sz w:val="24"/>
        </w:rPr>
        <w:t>份额、股票、债券、权证及其他基金资产和负债。</w:t>
      </w:r>
    </w:p>
    <w:p w14:paraId="72B672A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14:paraId="5C58CE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、目标</w:t>
      </w:r>
      <w:r>
        <w:rPr>
          <w:rFonts w:ascii="Times New Roman" w:hAnsi="Times New Roman"/>
          <w:sz w:val="24"/>
        </w:rPr>
        <w:t>ETF</w:t>
      </w:r>
      <w:r>
        <w:rPr>
          <w:rFonts w:ascii="Times New Roman" w:hAnsi="Times New Roman"/>
          <w:sz w:val="24"/>
        </w:rPr>
        <w:t>估值方法：</w:t>
      </w:r>
    </w:p>
    <w:p w14:paraId="5608244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目标</w:t>
      </w:r>
      <w:r>
        <w:rPr>
          <w:rFonts w:ascii="Times New Roman" w:hAnsi="Times New Roman"/>
          <w:sz w:val="24"/>
        </w:rPr>
        <w:t>ETF</w:t>
      </w:r>
      <w:r>
        <w:rPr>
          <w:rFonts w:ascii="Times New Roman" w:hAnsi="Times New Roman"/>
          <w:sz w:val="24"/>
        </w:rPr>
        <w:t>以该</w:t>
      </w:r>
      <w:r>
        <w:rPr>
          <w:rFonts w:ascii="Times New Roman" w:hAnsi="Times New Roman"/>
          <w:sz w:val="24"/>
        </w:rPr>
        <w:t>ETF</w:t>
      </w:r>
      <w:r>
        <w:rPr>
          <w:rFonts w:ascii="Times New Roman" w:hAnsi="Times New Roman"/>
          <w:sz w:val="24"/>
        </w:rPr>
        <w:t>份额当日净值估值；若估值日非证券交易所的营业日，以该基金最近工作日的基金份额净值估值。</w:t>
      </w:r>
    </w:p>
    <w:p w14:paraId="1165B0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、股票估值方法：</w:t>
      </w:r>
    </w:p>
    <w:p w14:paraId="054375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）上市股票的估值：</w:t>
      </w:r>
    </w:p>
    <w:p w14:paraId="0801C9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47A61D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）未上市股票的估值：</w:t>
      </w:r>
    </w:p>
    <w:p w14:paraId="4AC1B60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首次发行未上市的股票，采用估值技术确定公允价值，在估值技术难以可靠计量公允价值的情况下，按成本价估值；</w:t>
      </w:r>
    </w:p>
    <w:p w14:paraId="04720A2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送股、转增股、配股和公开增发新股等发行未上市的股票，按估值日在证券交易所上市的同一股票的市价进行估值；</w:t>
      </w:r>
    </w:p>
    <w:p w14:paraId="25FD71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首次公开发行有明确锁定期的股票，同一股票在交易所上市后，按估值日在证券交易所上市的同一股票的市价进行估值；</w:t>
      </w:r>
    </w:p>
    <w:p w14:paraId="06F495C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非公开发行的且在发行时明确一定期限锁定期的股票，按监管机构或行业协会有关规定确定公允价值。</w:t>
      </w:r>
    </w:p>
    <w:p w14:paraId="702385FA" w14:textId="77777777" w:rsidR="00583CCA" w:rsidRDefault="00E47C6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583CCA" w:rsidRPr="00583CCA">
        <w:rPr>
          <w:rFonts w:ascii="Times New Roman" w:hAnsi="Times New Roman" w:hint="eastAsia"/>
          <w:sz w:val="24"/>
        </w:rPr>
        <w:t>本基金投资存托凭证的估值核算依照境内上市交易的股票执行。</w:t>
      </w:r>
    </w:p>
    <w:p w14:paraId="1DD7C3FB" w14:textId="77777777" w:rsidR="00A77DF8" w:rsidRDefault="00583CC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sidR="00E47C67">
        <w:rPr>
          <w:rFonts w:ascii="Times New Roman" w:hAnsi="Times New Roman"/>
          <w:sz w:val="24"/>
        </w:rPr>
        <w:t>在任何情况下，基金管理人如采用本项第（</w:t>
      </w:r>
      <w:r w:rsidR="00E47C67">
        <w:rPr>
          <w:rFonts w:ascii="Times New Roman" w:hAnsi="Times New Roman"/>
          <w:sz w:val="24"/>
        </w:rPr>
        <w:t>1</w:t>
      </w:r>
      <w:r w:rsidR="00E47C67">
        <w:rPr>
          <w:rFonts w:ascii="Times New Roman" w:hAnsi="Times New Roman"/>
          <w:sz w:val="24"/>
        </w:rPr>
        <w:t>）－（</w:t>
      </w:r>
      <w:r>
        <w:rPr>
          <w:rFonts w:ascii="Times New Roman" w:hAnsi="Times New Roman"/>
          <w:sz w:val="24"/>
        </w:rPr>
        <w:t>3</w:t>
      </w:r>
      <w:r w:rsidR="00E47C67">
        <w:rPr>
          <w:rFonts w:ascii="Times New Roman" w:hAnsi="Times New Roman"/>
          <w:sz w:val="24"/>
        </w:rPr>
        <w:t>）小项规定的方法</w:t>
      </w:r>
      <w:r w:rsidR="00E47C67">
        <w:rPr>
          <w:rFonts w:ascii="Times New Roman" w:hAnsi="Times New Roman"/>
          <w:sz w:val="24"/>
        </w:rPr>
        <w:lastRenderedPageBreak/>
        <w:t>对基金资产进行估值，均应被认为采用了适当的估值方法。但是，如果基金管理人认为按本项第（</w:t>
      </w:r>
      <w:r w:rsidR="00E47C67">
        <w:rPr>
          <w:rFonts w:ascii="Times New Roman" w:hAnsi="Times New Roman"/>
          <w:sz w:val="24"/>
        </w:rPr>
        <w:t>1</w:t>
      </w:r>
      <w:r w:rsidR="00E47C67">
        <w:rPr>
          <w:rFonts w:ascii="Times New Roman" w:hAnsi="Times New Roman"/>
          <w:sz w:val="24"/>
        </w:rPr>
        <w:t>）－（</w:t>
      </w:r>
      <w:r>
        <w:rPr>
          <w:rFonts w:ascii="Times New Roman" w:hAnsi="Times New Roman"/>
          <w:sz w:val="24"/>
        </w:rPr>
        <w:t>3</w:t>
      </w:r>
      <w:r w:rsidR="00E47C67">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798626E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583CCA">
        <w:rPr>
          <w:rFonts w:ascii="Times New Roman" w:hAnsi="Times New Roman"/>
          <w:sz w:val="24"/>
        </w:rPr>
        <w:t>5</w:t>
      </w:r>
      <w:r>
        <w:rPr>
          <w:rFonts w:ascii="Times New Roman" w:hAnsi="Times New Roman"/>
          <w:sz w:val="24"/>
        </w:rPr>
        <w:t>）国家有最新规定的，按其规定进行估值。</w:t>
      </w:r>
    </w:p>
    <w:p w14:paraId="2A8F915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、债券估值方法：</w:t>
      </w:r>
    </w:p>
    <w:p w14:paraId="60C852A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14:paraId="0017E7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302744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14:paraId="6D8E2B6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0223C3D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14:paraId="311CFC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）同一债券同时在两个或两个以上市场交易的，按债券所处的市场分别估值。</w:t>
      </w:r>
    </w:p>
    <w:p w14:paraId="40127BB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2093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）国家有最新规定的，按其规定进行估值。</w:t>
      </w:r>
    </w:p>
    <w:p w14:paraId="1CBD65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、权证估值方法：</w:t>
      </w:r>
    </w:p>
    <w:p w14:paraId="28F5416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3D9FC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14:paraId="3CC356A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14:paraId="2CDF2D6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08DD13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14:paraId="243166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、衍生品及其他有价证券等资产按国家有关规定进行估值。</w:t>
      </w:r>
    </w:p>
    <w:p w14:paraId="164137A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0043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2826A26F"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14:paraId="6D3231E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日常估值由基金管理人进行。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39B1198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14:paraId="5A2D02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w:t>
      </w:r>
      <w:r>
        <w:rPr>
          <w:rFonts w:ascii="Times New Roman" w:hAnsi="Times New Roman"/>
          <w:sz w:val="24"/>
        </w:rPr>
        <w:lastRenderedPageBreak/>
        <w:t>准确性、及时性。</w:t>
      </w:r>
    </w:p>
    <w:p w14:paraId="0BD5D80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本基金合同的当事人应按照以下约定处理：</w:t>
      </w:r>
    </w:p>
    <w:p w14:paraId="25CD32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、差错类型</w:t>
      </w:r>
    </w:p>
    <w:p w14:paraId="4C0AB39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给予赔偿，承担赔偿责任。</w:t>
      </w:r>
    </w:p>
    <w:p w14:paraId="5197F6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4DD1CB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04876F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、差错处理原则</w:t>
      </w:r>
    </w:p>
    <w:p w14:paraId="5ABA1A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30A804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14:paraId="38C8A0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3CE335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）差错调整采用尽量恢复至假设未发生差错的正确情形的方式；</w:t>
      </w:r>
    </w:p>
    <w:p w14:paraId="18945A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0E4EE5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03C3B4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）按法律法规规定的其他原则处理差错。</w:t>
      </w:r>
    </w:p>
    <w:p w14:paraId="05E9C3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、差错处理程序</w:t>
      </w:r>
    </w:p>
    <w:p w14:paraId="73FAD5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差错被发现后，有关的当事人应当及时进行处理，处理的程序如下：</w:t>
      </w:r>
    </w:p>
    <w:p w14:paraId="78EEFC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14:paraId="0347ABA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14:paraId="6F9008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14:paraId="03A49A2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）根据差错处理的方法，需要修改基金注册登记机构交易数据的，由基金注册登记机构进行更正，并就差错的更正向有关当事人进行确认。</w:t>
      </w:r>
    </w:p>
    <w:p w14:paraId="5CBAE36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、基金份额净值差错处理的原则和方法</w:t>
      </w:r>
    </w:p>
    <w:p w14:paraId="08B284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时，基金管理人应当及时通知基金托管人并报中国证监会；错误偏差达到基金资产净值的</w:t>
      </w:r>
      <w:r>
        <w:rPr>
          <w:rFonts w:ascii="Times New Roman" w:hAnsi="Times New Roman"/>
          <w:sz w:val="24"/>
        </w:rPr>
        <w:t>0.5%</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43A4BBF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w:t>
      </w:r>
      <w:r>
        <w:rPr>
          <w:rFonts w:ascii="Times New Roman" w:hAnsi="Times New Roman"/>
          <w:sz w:val="24"/>
        </w:rPr>
        <w:lastRenderedPageBreak/>
        <w:t>以下条款进行赔偿：</w:t>
      </w:r>
    </w:p>
    <w:p w14:paraId="21CB0B2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0578BC8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03E45D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AEBAF1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6EA9B4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14:paraId="7F7F02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）前述内容如法律法规或者监管部门另有规定的，从其规定。如果行业有通行做法，双方当事人应本着平等和保护基金份额持有人利益的原则进行协商。</w:t>
      </w:r>
    </w:p>
    <w:p w14:paraId="469B13A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14:paraId="464E4C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、基金投资所涉及的证券交易所遇法定节假日或因其他原因暂停营业时；</w:t>
      </w:r>
    </w:p>
    <w:p w14:paraId="44DCB23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、基金所投资之目标</w:t>
      </w:r>
      <w:r>
        <w:rPr>
          <w:rFonts w:ascii="Times New Roman" w:hAnsi="Times New Roman"/>
          <w:sz w:val="24"/>
        </w:rPr>
        <w:t>ETF</w:t>
      </w:r>
      <w:r>
        <w:rPr>
          <w:rFonts w:ascii="Times New Roman" w:hAnsi="Times New Roman"/>
          <w:sz w:val="24"/>
        </w:rPr>
        <w:t>发生暂停估值，暂停公告基金份额净值的情形；</w:t>
      </w:r>
    </w:p>
    <w:p w14:paraId="61ADC9C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、因不可抗力或其他情形致使基金管理人、基金托管人无法准确评估基金资产价值时；</w:t>
      </w:r>
    </w:p>
    <w:p w14:paraId="6322194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、占基金相当比例的投资品种的估值出现重大转变，而基金管理人为保障基金份额持有人的利益，决定延迟估值；</w:t>
      </w:r>
    </w:p>
    <w:p w14:paraId="2E2F9D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14:paraId="73AD4A3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、中国证监会和基金合同认定的其他情形。</w:t>
      </w:r>
    </w:p>
    <w:p w14:paraId="5A043641"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（八）基金净值的确认</w:t>
      </w:r>
    </w:p>
    <w:p w14:paraId="6EA2509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3FA05F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基金份额净值的计算精确到</w:t>
      </w:r>
      <w:r>
        <w:rPr>
          <w:rFonts w:ascii="Times New Roman" w:hAnsi="Times New Roman"/>
          <w:sz w:val="24"/>
        </w:rPr>
        <w:t>0.001</w:t>
      </w:r>
      <w:r>
        <w:rPr>
          <w:rFonts w:ascii="Times New Roman" w:hAnsi="Times New Roman"/>
          <w:sz w:val="24"/>
        </w:rPr>
        <w:t>元，小数点后第四位四舍五入。国家另有规定的，从其规定。</w:t>
      </w:r>
    </w:p>
    <w:p w14:paraId="09C4E560"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（九）特殊情形的处理</w:t>
      </w:r>
    </w:p>
    <w:p w14:paraId="61A050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、基金管理人或基金托管人按股票估值方法的第（</w:t>
      </w:r>
      <w:r w:rsidR="00583CCA">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）项、权证估值方法的第（</w:t>
      </w:r>
      <w:r>
        <w:rPr>
          <w:rFonts w:ascii="Times New Roman" w:hAnsi="Times New Roman"/>
          <w:sz w:val="24"/>
        </w:rPr>
        <w:t>4</w:t>
      </w:r>
      <w:r>
        <w:rPr>
          <w:rFonts w:ascii="Times New Roman" w:hAnsi="Times New Roman"/>
          <w:sz w:val="24"/>
        </w:rPr>
        <w:t>）项进行估值时，所造成的误差不作为基金资产估值错误处理。</w:t>
      </w:r>
    </w:p>
    <w:p w14:paraId="5E3429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23B3D88"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5B4387E" w14:textId="77777777" w:rsidR="00A77DF8" w:rsidRDefault="00E47C67">
      <w:pPr>
        <w:pStyle w:val="1"/>
        <w:snapToGrid w:val="0"/>
        <w:spacing w:beforeLines="0" w:before="240" w:after="240"/>
        <w:rPr>
          <w:rFonts w:ascii="宋体" w:hAnsi="宋体"/>
          <w:szCs w:val="30"/>
        </w:rPr>
      </w:pPr>
      <w:bookmarkStart w:id="16" w:name="_Toc54104418"/>
      <w:r>
        <w:rPr>
          <w:rFonts w:ascii="Times New Roman" w:hAnsi="Times New Roman"/>
          <w:sz w:val="30"/>
        </w:rPr>
        <w:lastRenderedPageBreak/>
        <w:t>十四、基金的收益与分配</w:t>
      </w:r>
      <w:bookmarkEnd w:id="16"/>
    </w:p>
    <w:p w14:paraId="6DE7E215"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 基金利润的构成</w:t>
      </w:r>
    </w:p>
    <w:p w14:paraId="73D9353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6EDA727D"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14:paraId="4D670F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14:paraId="05CDAFCF"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（三）收益分配原则</w:t>
      </w:r>
    </w:p>
    <w:p w14:paraId="3EDE42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本基金收益分配应遵循下列原则：</w:t>
      </w:r>
    </w:p>
    <w:p w14:paraId="6F9CED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、本基金的每份基金份额享有同等分配权；</w:t>
      </w:r>
    </w:p>
    <w:p w14:paraId="726128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、收益分配时所发生的银行转账或其他手续费用由基金投资者自行承担；</w:t>
      </w:r>
    </w:p>
    <w:p w14:paraId="145F146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、在符合有关基金分红条件的前提下，本基金每年收益分配次数最多为</w:t>
      </w:r>
      <w:r>
        <w:rPr>
          <w:rFonts w:ascii="Times New Roman" w:hAnsi="Times New Roman"/>
          <w:sz w:val="24"/>
        </w:rPr>
        <w:t>4</w:t>
      </w:r>
      <w:r>
        <w:rPr>
          <w:rFonts w:ascii="Times New Roman" w:hAnsi="Times New Roman"/>
          <w:sz w:val="24"/>
        </w:rPr>
        <w:t>次，每份基金份额每次分配比例不得低于收益分配基准日每份基金份额可供分配利润的</w:t>
      </w:r>
      <w:r>
        <w:rPr>
          <w:rFonts w:ascii="Times New Roman" w:hAnsi="Times New Roman"/>
          <w:sz w:val="24"/>
        </w:rPr>
        <w:t>10%</w:t>
      </w:r>
      <w:r>
        <w:rPr>
          <w:rFonts w:ascii="Times New Roman" w:hAnsi="Times New Roman"/>
          <w:sz w:val="24"/>
        </w:rPr>
        <w:t>；</w:t>
      </w:r>
    </w:p>
    <w:p w14:paraId="1E9D99E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、本基金收益分配方式分为两种：现金分红与红利再投资，基金投资者可选择现金红利或将现金红利自动转为基金份额进行再投资；若投资者不选择，本基金默认的收益分配方式是现金分红；</w:t>
      </w:r>
    </w:p>
    <w:p w14:paraId="1F2592B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、法律法规或监管机构另有规定的从其规定。</w:t>
      </w:r>
    </w:p>
    <w:p w14:paraId="7F79B2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在不影响基金份额持有人利益的情况下，基金管理人可在法律法规允许的前提下酌情调整以上基金收益分配原则，并于变更实施日前在指定媒介上公告。</w:t>
      </w:r>
    </w:p>
    <w:p w14:paraId="7ACDFB4D"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4B2EB11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基金收益分配方案中应载明基金收益分配基准日可供分配利润、基金收益分配对象、分配时间、分配数额及比例、分配方式等内容。</w:t>
      </w:r>
    </w:p>
    <w:p w14:paraId="594C530F"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14:paraId="601B5D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、本基金收益分配方案由基金管理人拟定、由基金托管人复核，依照《信息披露办法》的有关规定在指定媒介公告。</w:t>
      </w:r>
    </w:p>
    <w:p w14:paraId="14ED95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、本基金收益分配的发放日距离收益分配基准日的时间不超过</w:t>
      </w:r>
      <w:r>
        <w:rPr>
          <w:rFonts w:ascii="Times New Roman" w:hAnsi="Times New Roman"/>
          <w:sz w:val="24"/>
        </w:rPr>
        <w:t>15</w:t>
      </w:r>
      <w:r>
        <w:rPr>
          <w:rFonts w:ascii="Times New Roman" w:hAnsi="Times New Roman"/>
          <w:sz w:val="24"/>
        </w:rPr>
        <w:t>个工作日。在分配方案公布后（依据具体方案的规定），基金管理人就支付的现金红利向基金托管人发送划款指令，基金托管人按照基金管理人的指令及时进行分红资金的划付。</w:t>
      </w:r>
    </w:p>
    <w:p w14:paraId="798C0B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、法律法规或监管机关另有规定的，从其规定。</w:t>
      </w:r>
    </w:p>
    <w:p w14:paraId="0CAD0D2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（六）收益分配中发生的费用</w:t>
      </w:r>
    </w:p>
    <w:p w14:paraId="65DDDFF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14:paraId="0BE4ED6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（七）收益分配方式的修改</w:t>
      </w:r>
    </w:p>
    <w:p w14:paraId="687556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投资者可至销售机构办理收益分配方式的修改，投资者对不同的交易账户可设置不同的收益分配方式。</w:t>
      </w:r>
    </w:p>
    <w:p w14:paraId="787F6A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投资者同一日多次申报分红方式变更的，按照《业务规则》执行，最终确认的分红方式以基金注册登记机构记录为准。</w:t>
      </w:r>
    </w:p>
    <w:p w14:paraId="4B1E0C79"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D16B93" w14:textId="77777777" w:rsidR="00A77DF8" w:rsidRDefault="00E47C67">
      <w:pPr>
        <w:pStyle w:val="1"/>
        <w:snapToGrid w:val="0"/>
        <w:spacing w:beforeLines="0" w:before="240" w:after="240"/>
        <w:rPr>
          <w:rFonts w:ascii="宋体" w:hAnsi="宋体"/>
          <w:szCs w:val="30"/>
        </w:rPr>
      </w:pPr>
      <w:bookmarkStart w:id="17" w:name="_Toc54104419"/>
      <w:r>
        <w:rPr>
          <w:rFonts w:ascii="Times New Roman" w:hAnsi="Times New Roman"/>
          <w:sz w:val="30"/>
        </w:rPr>
        <w:lastRenderedPageBreak/>
        <w:t>十五、基金的费用与税收</w:t>
      </w:r>
      <w:bookmarkEnd w:id="17"/>
    </w:p>
    <w:p w14:paraId="2F18DCA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67D54B2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7CB208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54EE29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、基金合同生效后的信息披露费用；</w:t>
      </w:r>
    </w:p>
    <w:p w14:paraId="4FC10C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、基金份额持有人大会费用；</w:t>
      </w:r>
    </w:p>
    <w:p w14:paraId="3BFF63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、基金合同生效后与基金有关的会计师费和律师费；</w:t>
      </w:r>
    </w:p>
    <w:p w14:paraId="4FA512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、基金的证券交易费用；</w:t>
      </w:r>
    </w:p>
    <w:p w14:paraId="0ACC66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、基金财产拨划支付的银行费用；</w:t>
      </w:r>
    </w:p>
    <w:p w14:paraId="5E8708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、证券账户开户费用和银行账户维护费；</w:t>
      </w:r>
    </w:p>
    <w:p w14:paraId="7D50FE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、按照国家有关规定可以在基金财产中列支的其他费用。</w:t>
      </w:r>
    </w:p>
    <w:p w14:paraId="272E83C0"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3E8126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7BB0EC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4D625F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本基金基金财产中投资于目标</w:t>
      </w:r>
      <w:r>
        <w:rPr>
          <w:rFonts w:ascii="Times New Roman" w:hAnsi="Times New Roman"/>
          <w:sz w:val="24"/>
        </w:rPr>
        <w:t>ETF</w:t>
      </w:r>
      <w:r>
        <w:rPr>
          <w:rFonts w:ascii="Times New Roman" w:hAnsi="Times New Roman"/>
          <w:sz w:val="24"/>
        </w:rPr>
        <w:t>的部分不收取管理费。在通常情况下，按前一日基金资产净值扣除基金财产中目标</w:t>
      </w:r>
      <w:r>
        <w:rPr>
          <w:rFonts w:ascii="Times New Roman" w:hAnsi="Times New Roman"/>
          <w:sz w:val="24"/>
        </w:rPr>
        <w:t>ETF</w:t>
      </w:r>
      <w:r>
        <w:rPr>
          <w:rFonts w:ascii="Times New Roman" w:hAnsi="Times New Roman"/>
          <w:sz w:val="24"/>
        </w:rPr>
        <w:t>份额所对应资产净值后剩余部分（若为负数，则取</w:t>
      </w:r>
      <w:r>
        <w:rPr>
          <w:rFonts w:ascii="Times New Roman" w:hAnsi="Times New Roman"/>
          <w:sz w:val="24"/>
        </w:rPr>
        <w:t>0</w:t>
      </w:r>
      <w:r>
        <w:rPr>
          <w:rFonts w:ascii="Times New Roman" w:hAnsi="Times New Roman"/>
          <w:sz w:val="24"/>
        </w:rPr>
        <w:t>）的</w:t>
      </w:r>
      <w:r>
        <w:rPr>
          <w:rFonts w:ascii="Times New Roman" w:hAnsi="Times New Roman"/>
          <w:sz w:val="24"/>
        </w:rPr>
        <w:t>0.5%</w:t>
      </w:r>
      <w:r>
        <w:rPr>
          <w:rFonts w:ascii="Times New Roman" w:hAnsi="Times New Roman"/>
          <w:sz w:val="24"/>
        </w:rPr>
        <w:t>年费率计提基金管理费。计算方法如下：</w:t>
      </w:r>
    </w:p>
    <w:p w14:paraId="520339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年管理费率</w:t>
      </w:r>
      <w:r>
        <w:rPr>
          <w:rFonts w:ascii="Times New Roman" w:hAnsi="Times New Roman"/>
          <w:sz w:val="24"/>
        </w:rPr>
        <w:t>÷</w:t>
      </w:r>
      <w:r>
        <w:rPr>
          <w:rFonts w:ascii="Times New Roman" w:hAnsi="Times New Roman"/>
          <w:sz w:val="24"/>
        </w:rPr>
        <w:t>当年天数，本基金年管理费率为</w:t>
      </w:r>
      <w:r>
        <w:rPr>
          <w:rFonts w:ascii="Times New Roman" w:hAnsi="Times New Roman"/>
          <w:sz w:val="24"/>
        </w:rPr>
        <w:t>0.5%</w:t>
      </w:r>
    </w:p>
    <w:p w14:paraId="60B777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797EDEB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为前一日基金资产净值扣除基金财产中目标</w:t>
      </w:r>
      <w:r>
        <w:rPr>
          <w:rFonts w:ascii="Times New Roman" w:hAnsi="Times New Roman"/>
          <w:sz w:val="24"/>
        </w:rPr>
        <w:t>ETF</w:t>
      </w:r>
      <w:r>
        <w:rPr>
          <w:rFonts w:ascii="Times New Roman" w:hAnsi="Times New Roman"/>
          <w:sz w:val="24"/>
        </w:rPr>
        <w:t>份额所对应资产净值后的剩余部分，若为负数，则</w:t>
      </w:r>
      <w:r>
        <w:rPr>
          <w:rFonts w:ascii="Times New Roman" w:hAnsi="Times New Roman"/>
          <w:sz w:val="24"/>
        </w:rPr>
        <w:t>E</w:t>
      </w:r>
      <w:r>
        <w:rPr>
          <w:rFonts w:ascii="Times New Roman" w:hAnsi="Times New Roman"/>
          <w:sz w:val="24"/>
        </w:rPr>
        <w:t>取</w:t>
      </w:r>
      <w:r>
        <w:rPr>
          <w:rFonts w:ascii="Times New Roman" w:hAnsi="Times New Roman"/>
          <w:sz w:val="24"/>
        </w:rPr>
        <w:t>0</w:t>
      </w:r>
    </w:p>
    <w:p w14:paraId="1332BC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个工作日内从基金财产中一次性支付给基金管理人，若遇法定节假日、休息日，支付日期顺延。</w:t>
      </w:r>
    </w:p>
    <w:p w14:paraId="1C688A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719AAB8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本基金基金财产中投资于目标</w:t>
      </w:r>
      <w:r>
        <w:rPr>
          <w:rFonts w:ascii="Times New Roman" w:hAnsi="Times New Roman"/>
          <w:sz w:val="24"/>
        </w:rPr>
        <w:t>ETF</w:t>
      </w:r>
      <w:r>
        <w:rPr>
          <w:rFonts w:ascii="Times New Roman" w:hAnsi="Times New Roman"/>
          <w:sz w:val="24"/>
        </w:rPr>
        <w:t>的部分不收取托管费。在通常情况下，按前一日基金资产净值扣除基金财产中目标</w:t>
      </w:r>
      <w:r>
        <w:rPr>
          <w:rFonts w:ascii="Times New Roman" w:hAnsi="Times New Roman"/>
          <w:sz w:val="24"/>
        </w:rPr>
        <w:t>ETF</w:t>
      </w:r>
      <w:r>
        <w:rPr>
          <w:rFonts w:ascii="Times New Roman" w:hAnsi="Times New Roman"/>
          <w:sz w:val="24"/>
        </w:rPr>
        <w:t>份额所对应资产净值后剩余部分（若为负数，则取</w:t>
      </w:r>
      <w:r>
        <w:rPr>
          <w:rFonts w:ascii="Times New Roman" w:hAnsi="Times New Roman"/>
          <w:sz w:val="24"/>
        </w:rPr>
        <w:t>0</w:t>
      </w:r>
      <w:r>
        <w:rPr>
          <w:rFonts w:ascii="Times New Roman" w:hAnsi="Times New Roman"/>
          <w:sz w:val="24"/>
        </w:rPr>
        <w:t>）的</w:t>
      </w:r>
      <w:r>
        <w:rPr>
          <w:rFonts w:ascii="Times New Roman" w:hAnsi="Times New Roman"/>
          <w:sz w:val="24"/>
        </w:rPr>
        <w:t>0.1%</w:t>
      </w:r>
      <w:r>
        <w:rPr>
          <w:rFonts w:ascii="Times New Roman" w:hAnsi="Times New Roman"/>
          <w:sz w:val="24"/>
        </w:rPr>
        <w:t>年费率计提基金托管费。计算方法如下：</w:t>
      </w:r>
    </w:p>
    <w:p w14:paraId="55B476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年托管费率</w:t>
      </w:r>
      <w:r>
        <w:rPr>
          <w:rFonts w:ascii="Times New Roman" w:hAnsi="Times New Roman"/>
          <w:sz w:val="24"/>
        </w:rPr>
        <w:t>÷</w:t>
      </w:r>
      <w:r>
        <w:rPr>
          <w:rFonts w:ascii="Times New Roman" w:hAnsi="Times New Roman"/>
          <w:sz w:val="24"/>
        </w:rPr>
        <w:t>当年天数，本基金年托管费率为</w:t>
      </w:r>
      <w:r>
        <w:rPr>
          <w:rFonts w:ascii="Times New Roman" w:hAnsi="Times New Roman"/>
          <w:sz w:val="24"/>
        </w:rPr>
        <w:t>0.1%</w:t>
      </w:r>
    </w:p>
    <w:p w14:paraId="073F497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21F1C7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E</w:t>
      </w:r>
      <w:r>
        <w:rPr>
          <w:rFonts w:ascii="Times New Roman" w:hAnsi="Times New Roman"/>
          <w:sz w:val="24"/>
        </w:rPr>
        <w:t>为前一日基金资产净值扣除基金财产中目标</w:t>
      </w:r>
      <w:r>
        <w:rPr>
          <w:rFonts w:ascii="Times New Roman" w:hAnsi="Times New Roman"/>
          <w:sz w:val="24"/>
        </w:rPr>
        <w:t>ETF</w:t>
      </w:r>
      <w:r>
        <w:rPr>
          <w:rFonts w:ascii="Times New Roman" w:hAnsi="Times New Roman"/>
          <w:sz w:val="24"/>
        </w:rPr>
        <w:t>份额所对应资产净值后的剩余部分，若为负数，则</w:t>
      </w:r>
      <w:r>
        <w:rPr>
          <w:rFonts w:ascii="Times New Roman" w:hAnsi="Times New Roman"/>
          <w:sz w:val="24"/>
        </w:rPr>
        <w:t>E</w:t>
      </w:r>
      <w:r>
        <w:rPr>
          <w:rFonts w:ascii="Times New Roman" w:hAnsi="Times New Roman"/>
          <w:sz w:val="24"/>
        </w:rPr>
        <w:t>取</w:t>
      </w:r>
      <w:r>
        <w:rPr>
          <w:rFonts w:ascii="Times New Roman" w:hAnsi="Times New Roman"/>
          <w:sz w:val="24"/>
        </w:rPr>
        <w:t>0</w:t>
      </w:r>
    </w:p>
    <w:p w14:paraId="539082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个工作日内从基金财产中一次性支付给基金托管人，若遇法定节假日、休息日，支付日期顺延。</w:t>
      </w:r>
    </w:p>
    <w:p w14:paraId="69F7D8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）上述（一）中</w:t>
      </w:r>
      <w:r>
        <w:rPr>
          <w:rFonts w:ascii="Times New Roman" w:hAnsi="Times New Roman"/>
          <w:sz w:val="24"/>
        </w:rPr>
        <w:t>3</w:t>
      </w:r>
      <w:r>
        <w:rPr>
          <w:rFonts w:ascii="Times New Roman" w:hAnsi="Times New Roman"/>
          <w:sz w:val="24"/>
        </w:rPr>
        <w:t>到</w:t>
      </w:r>
      <w:r>
        <w:rPr>
          <w:rFonts w:ascii="Times New Roman" w:hAnsi="Times New Roman"/>
          <w:sz w:val="24"/>
        </w:rPr>
        <w:t>9</w:t>
      </w:r>
      <w:r>
        <w:rPr>
          <w:rFonts w:ascii="Times New Roman" w:hAnsi="Times New Roman"/>
          <w:sz w:val="24"/>
        </w:rPr>
        <w:t>项费用由基金托管人根据其他有关法律法规及相应协议的规定，按费用支出金额支付，列入或摊入当期基金费用。</w:t>
      </w:r>
    </w:p>
    <w:p w14:paraId="64443B5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28A615E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06A43FA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662B9F1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328448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17EB65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）转换费</w:t>
      </w:r>
    </w:p>
    <w:p w14:paraId="3CA0DF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本基金转换费的费率水平、计算方式和收取方式详见</w:t>
      </w:r>
      <w:r>
        <w:rPr>
          <w:rFonts w:ascii="Times New Roman" w:hAnsi="Times New Roman"/>
          <w:sz w:val="24"/>
        </w:rPr>
        <w:t xml:space="preserve"> “</w:t>
      </w:r>
      <w:r>
        <w:rPr>
          <w:rFonts w:ascii="Times New Roman" w:hAnsi="Times New Roman"/>
          <w:sz w:val="24"/>
        </w:rPr>
        <w:t>基金的转换</w:t>
      </w:r>
      <w:r>
        <w:rPr>
          <w:rFonts w:ascii="Times New Roman" w:hAnsi="Times New Roman"/>
          <w:sz w:val="24"/>
        </w:rPr>
        <w:t>”</w:t>
      </w:r>
      <w:r>
        <w:rPr>
          <w:rFonts w:ascii="Times New Roman" w:hAnsi="Times New Roman"/>
          <w:sz w:val="24"/>
        </w:rPr>
        <w:t>一章</w:t>
      </w:r>
    </w:p>
    <w:p w14:paraId="02A9085C"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29B2732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3DF7C4A8"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人和基金托管人可根据基金发展情况调整基金管理费率和基金托管费率。降低基金管理费率和基金托管费率，无须召开基金份额持有人大会。基金管理人必须依照有关规定最迟于新的费率实施日前在指定媒介上刊登公告。</w:t>
      </w:r>
    </w:p>
    <w:p w14:paraId="654041B0"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（五）基金税收</w:t>
      </w:r>
    </w:p>
    <w:p w14:paraId="6D24E2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基金和基金份额持有人根据国家法律法规的规定，履行纳税义务。</w:t>
      </w:r>
    </w:p>
    <w:p w14:paraId="3B220D04"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5A1C69" w14:textId="77777777" w:rsidR="00A77DF8" w:rsidRDefault="00E47C67">
      <w:pPr>
        <w:pStyle w:val="1"/>
        <w:snapToGrid w:val="0"/>
        <w:spacing w:beforeLines="0" w:before="240" w:after="240"/>
        <w:rPr>
          <w:rFonts w:ascii="宋体" w:hAnsi="宋体"/>
          <w:szCs w:val="30"/>
        </w:rPr>
      </w:pPr>
      <w:bookmarkStart w:id="18" w:name="_Toc54104420"/>
      <w:r>
        <w:rPr>
          <w:rFonts w:ascii="Times New Roman" w:hAnsi="Times New Roman"/>
          <w:sz w:val="30"/>
        </w:rPr>
        <w:lastRenderedPageBreak/>
        <w:t>十六、基金的会计与审计</w:t>
      </w:r>
      <w:bookmarkEnd w:id="18"/>
    </w:p>
    <w:p w14:paraId="3000A65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（一）基金的会计政策</w:t>
      </w:r>
    </w:p>
    <w:p w14:paraId="23FA01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、基金管理人为本基金的会计责任方；</w:t>
      </w:r>
    </w:p>
    <w:p w14:paraId="492946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、本基金的会计年度为公历每年的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4F724AB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、本基金的会计核算以人民币为记账本位币，以人民币元为记账单位；</w:t>
      </w:r>
    </w:p>
    <w:p w14:paraId="6EA8A2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、会计制度执行国家有关的会计制度；</w:t>
      </w:r>
    </w:p>
    <w:p w14:paraId="56662A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2885C0F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、基金管理人及基金托管人分别保留完整的会计账目、凭证并进行日常的会计核算，按照有关规定编制基金会计报表；</w:t>
      </w:r>
    </w:p>
    <w:p w14:paraId="2E477A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、基金托管人定期与基金管理人就基金的会计核算、报表编制等进行核对并书面确认。</w:t>
      </w:r>
    </w:p>
    <w:p w14:paraId="072C9268"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（二）基金的审计</w:t>
      </w:r>
    </w:p>
    <w:p w14:paraId="53F941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、基金管理人聘请具有证券、期货相关从业资格的会计师事务所及其注册会计师对本基金年度财务报表及其他规定事项进行审计。会计师事务所及其注册会计师与基金管理人、基金托管人相互独立。</w:t>
      </w:r>
    </w:p>
    <w:p w14:paraId="1C529B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、会计师事务所更换经办注册会计师时，应事先征得基金管理人同意。</w:t>
      </w:r>
    </w:p>
    <w:p w14:paraId="281C9D9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、基金管理人认为有充足理由更换会计师事务所，经通报基金托管人后可以更换。更换会计师事务所需按照《信息披露办法》的有关规定在指定媒介公告。</w:t>
      </w:r>
    </w:p>
    <w:p w14:paraId="6CD72BD5"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5B97322" w14:textId="77777777" w:rsidR="00A77DF8" w:rsidRDefault="00E47C67">
      <w:pPr>
        <w:pStyle w:val="1"/>
        <w:snapToGrid w:val="0"/>
        <w:spacing w:beforeLines="0" w:before="240" w:after="240"/>
        <w:rPr>
          <w:rFonts w:ascii="宋体" w:hAnsi="宋体"/>
          <w:szCs w:val="30"/>
        </w:rPr>
      </w:pPr>
      <w:bookmarkStart w:id="19" w:name="_Toc54104421"/>
      <w:r>
        <w:rPr>
          <w:rFonts w:ascii="Times New Roman" w:hAnsi="Times New Roman"/>
          <w:sz w:val="30"/>
        </w:rPr>
        <w:lastRenderedPageBreak/>
        <w:t>十七、基金的信息披露</w:t>
      </w:r>
      <w:bookmarkEnd w:id="19"/>
    </w:p>
    <w:p w14:paraId="0682906F"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14:paraId="59EBA4D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14:paraId="401F1C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14:paraId="04A1B3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4A668D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5B61364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（三）本基金信息披露义务人在承诺公开披露的基金信息时，不得有下列行为：</w:t>
      </w:r>
    </w:p>
    <w:p w14:paraId="3B6B9A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2A0007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5E23423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09B056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4D059F9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6BC85DD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00C4CFDC"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1966DAC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19E4C6F0"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14:paraId="78B0A9B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2C6B76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、招募说明书、基金合同、托管协议、基金产品资料概要</w:t>
      </w:r>
    </w:p>
    <w:p w14:paraId="319B06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2355BCF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w:t>
      </w:r>
      <w:r>
        <w:rPr>
          <w:rFonts w:ascii="Times New Roman" w:hAnsi="Times New Roman"/>
          <w:sz w:val="24"/>
        </w:rPr>
        <w:lastRenderedPageBreak/>
        <w:t>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B3FF0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4F08BFB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DAF3F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14:paraId="672A76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631CCE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14:paraId="6327DC4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0B3B52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14:paraId="7DD36B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14:paraId="32DCD7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《基金合同》生效后，在开始办理基金份额申购或者赎回前，基金管理人应当至少每周在指定网站披露一次基金份额净值和基金份额累计净值。</w:t>
      </w:r>
    </w:p>
    <w:p w14:paraId="5D42F1A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在开始办理基金份额申购或者赎回后，基金管理人应当在不晚于每个开放日的次日，通过指定网站、基金销售机构网站或者营业网点披露开放日的基金份额净值和基金份额累计净值。</w:t>
      </w:r>
    </w:p>
    <w:p w14:paraId="6C3CA1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14:paraId="6D1CE5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14:paraId="0894A91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A2798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6C05880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B406F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62081D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6C70F9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4512D7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7EDF92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62103F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14:paraId="245E413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4EF7D3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147FD2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06BE96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5899626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0F605C5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7EC235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w:t>
      </w:r>
      <w:r>
        <w:rPr>
          <w:rFonts w:ascii="Times New Roman" w:hAnsi="Times New Roman"/>
          <w:sz w:val="24"/>
        </w:rPr>
        <w:lastRenderedPageBreak/>
        <w:t>事项，基金托管人委托基金服务机构代为办理基金的核算、估值、复核等事项；</w:t>
      </w:r>
    </w:p>
    <w:p w14:paraId="7B8DC0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0822FE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41923E1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2264FE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17836D6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2808F5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7ABF8E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1C73A9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31FBB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235B8A2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）管理费、托管费、申购费、赎回费等费用计提标准、计提方式和费率发生变更；</w:t>
      </w:r>
    </w:p>
    <w:p w14:paraId="09CFE2F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）基金份额净值计价错误达基金份额净值百分之零点五；</w:t>
      </w:r>
    </w:p>
    <w:p w14:paraId="0744088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5808369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4E22983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2035742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3DB4F8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62A07B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）基金推出新业务或服务；</w:t>
      </w:r>
    </w:p>
    <w:p w14:paraId="41A8483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）基金信息披露义务人认为可能对基金份额持有人权益或者基金份额的价格产生重大影响的其他事项或中国证监会规定的其他事项。</w:t>
      </w:r>
    </w:p>
    <w:p w14:paraId="6FE651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14:paraId="71C7C8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w:t>
      </w:r>
      <w:r>
        <w:rPr>
          <w:rFonts w:ascii="Times New Roman" w:hAnsi="Times New Roman"/>
          <w:sz w:val="24"/>
        </w:rPr>
        <w:lastRenderedPageBreak/>
        <w:t>可能对基金份额价格产生误导性影响或者引起较大波动，以及可能损害基金份额持有人权益的，相关信息披露义务人知悉后应当立即对该消息进行公开澄清，并将有关情况立即报告中国证监会。</w:t>
      </w:r>
    </w:p>
    <w:p w14:paraId="186CAF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1C83C4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0625F3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790B26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、清算报告</w:t>
      </w:r>
    </w:p>
    <w:p w14:paraId="3BD4F6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410D9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、中国证监会规定的其他信息。</w:t>
      </w:r>
    </w:p>
    <w:p w14:paraId="457ABE6C"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14:paraId="10E81E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33ED02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14:paraId="268C73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52689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2683E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4443A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w:t>
      </w:r>
      <w:r>
        <w:rPr>
          <w:rFonts w:ascii="Times New Roman" w:hAnsi="Times New Roman"/>
          <w:sz w:val="24"/>
        </w:rPr>
        <w:lastRenderedPageBreak/>
        <w:t>机构，应当制作工作底稿，并将相关档案至少保存到《基金合同》终止后</w:t>
      </w:r>
      <w:r>
        <w:rPr>
          <w:rFonts w:ascii="Times New Roman" w:hAnsi="Times New Roman"/>
          <w:sz w:val="24"/>
        </w:rPr>
        <w:t>10</w:t>
      </w:r>
      <w:r>
        <w:rPr>
          <w:rFonts w:ascii="Times New Roman" w:hAnsi="Times New Roman"/>
          <w:sz w:val="24"/>
        </w:rPr>
        <w:t>年。</w:t>
      </w:r>
    </w:p>
    <w:p w14:paraId="5879F11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92330DC"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14:paraId="36164D8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10A8F33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14:paraId="3C8716D0"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830C3F" w14:textId="77777777" w:rsidR="00A77DF8" w:rsidRDefault="00E47C67">
      <w:pPr>
        <w:pStyle w:val="1"/>
        <w:snapToGrid w:val="0"/>
        <w:spacing w:beforeLines="0" w:before="240" w:after="240"/>
        <w:rPr>
          <w:rFonts w:ascii="宋体" w:hAnsi="宋体"/>
          <w:szCs w:val="30"/>
        </w:rPr>
      </w:pPr>
      <w:bookmarkStart w:id="20" w:name="_Toc54104422"/>
      <w:r>
        <w:rPr>
          <w:rFonts w:ascii="Times New Roman" w:hAnsi="Times New Roman"/>
          <w:sz w:val="30"/>
        </w:rPr>
        <w:lastRenderedPageBreak/>
        <w:t>十八、风险揭示</w:t>
      </w:r>
      <w:bookmarkEnd w:id="20"/>
    </w:p>
    <w:p w14:paraId="2F7988D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648312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1376BC8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D2BCC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244A965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C759F8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2775F2C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原则，在做出投资决策后，基金运营状况与基金净值变化引致的投资风险，由投资者自行负担。</w:t>
      </w:r>
    </w:p>
    <w:p w14:paraId="72EFBC5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基金份额持有人须了解并承受以下风险：</w:t>
      </w:r>
    </w:p>
    <w:p w14:paraId="72196611"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536D7BC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2A3381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15057C8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14:paraId="0E869E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D81708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9C7525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7EAEEF9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14:paraId="182AEDE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1F522E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744931B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w:t>
      </w:r>
      <w:r>
        <w:rPr>
          <w:rFonts w:ascii="Times New Roman" w:hAnsi="Times New Roman"/>
          <w:sz w:val="24"/>
        </w:rPr>
        <w:lastRenderedPageBreak/>
        <w:t>影响基金份额净值。</w:t>
      </w:r>
    </w:p>
    <w:p w14:paraId="37060B7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7DF356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B3F180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3E88B5C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DB378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092D35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rFonts w:ascii="Times New Roman" w:hAnsi="Times New Roman"/>
          <w:sz w:val="24"/>
        </w:rPr>
        <w:t>10%</w:t>
      </w:r>
      <w:r>
        <w:rPr>
          <w:rFonts w:ascii="Times New Roman" w:hAnsi="Times New Roman"/>
          <w:sz w:val="24"/>
        </w:rPr>
        <w:t>，即认为是发生了巨额赎回。</w:t>
      </w:r>
    </w:p>
    <w:p w14:paraId="2659D8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当基金出现巨额赎回时，基金管理人可以根据基金当时的资产组合状况决定全额赎回或部分顺延赎回。</w:t>
      </w:r>
    </w:p>
    <w:p w14:paraId="5FC1018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）全额赎回：当基金管理人认为有能力支付基金投资者的赎回申请时，按正常赎回程序执行。</w:t>
      </w:r>
    </w:p>
    <w:p w14:paraId="0A6527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rFonts w:ascii="Times New Roman" w:hAnsi="Times New Roman"/>
          <w:sz w:val="24"/>
        </w:rPr>
        <w:t>10%</w:t>
      </w:r>
      <w:r>
        <w:rPr>
          <w:rFonts w:ascii="Times New Roman" w:hAnsi="Times New Roman"/>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65A983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）部分顺延赎回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331E784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日以上（含本数）发生巨额赎回，如基金管理人认为有必要，可暂停接受基金的赎回申请；已经确认成功的赎回申请可以延缓支付赎回款项，但不得超过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32F970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265E7C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14:paraId="11E0E0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B0F3DB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14:paraId="12BFA08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14:paraId="5C7EF97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（五）投资本基金的特有风险</w:t>
      </w:r>
    </w:p>
    <w:p w14:paraId="0E3640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、目标</w:t>
      </w:r>
      <w:r>
        <w:rPr>
          <w:rFonts w:ascii="Times New Roman" w:hAnsi="Times New Roman"/>
          <w:sz w:val="24"/>
        </w:rPr>
        <w:t>ETF</w:t>
      </w:r>
      <w:r>
        <w:rPr>
          <w:rFonts w:ascii="Times New Roman" w:hAnsi="Times New Roman"/>
          <w:sz w:val="24"/>
        </w:rPr>
        <w:t>的风险</w:t>
      </w:r>
    </w:p>
    <w:p w14:paraId="52524D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w:t>
      </w:r>
      <w:r>
        <w:rPr>
          <w:rFonts w:ascii="Times New Roman" w:hAnsi="Times New Roman"/>
          <w:sz w:val="24"/>
        </w:rPr>
        <w:t>ETF</w:t>
      </w:r>
      <w:r>
        <w:rPr>
          <w:rFonts w:ascii="Times New Roman" w:hAnsi="Times New Roman"/>
          <w:sz w:val="24"/>
        </w:rPr>
        <w:t>联接基金，主要投资对象是目标</w:t>
      </w:r>
      <w:r>
        <w:rPr>
          <w:rFonts w:ascii="Times New Roman" w:hAnsi="Times New Roman"/>
          <w:sz w:val="24"/>
        </w:rPr>
        <w:t>ETF</w:t>
      </w:r>
      <w:r>
        <w:rPr>
          <w:rFonts w:ascii="Times New Roman" w:hAnsi="Times New Roman"/>
          <w:sz w:val="24"/>
        </w:rPr>
        <w:t>，因此目标</w:t>
      </w:r>
      <w:r>
        <w:rPr>
          <w:rFonts w:ascii="Times New Roman" w:hAnsi="Times New Roman"/>
          <w:sz w:val="24"/>
        </w:rPr>
        <w:t>ETF</w:t>
      </w:r>
      <w:r>
        <w:rPr>
          <w:rFonts w:ascii="Times New Roman" w:hAnsi="Times New Roman"/>
          <w:sz w:val="24"/>
        </w:rPr>
        <w:t>面临的风险可能直接或间接成为本基金的风险。</w:t>
      </w:r>
    </w:p>
    <w:p w14:paraId="3A70E8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、标的指数回报与股票市场平均回报偏离的风险</w:t>
      </w:r>
    </w:p>
    <w:p w14:paraId="1883F1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14:paraId="18D2ACB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、标的指数波动的风险</w:t>
      </w:r>
    </w:p>
    <w:p w14:paraId="6539679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w:t>
      </w:r>
      <w:r>
        <w:rPr>
          <w:rFonts w:ascii="Times New Roman" w:hAnsi="Times New Roman"/>
          <w:sz w:val="24"/>
        </w:rPr>
        <w:lastRenderedPageBreak/>
        <w:t>平发生变化，产生风险。</w:t>
      </w:r>
    </w:p>
    <w:p w14:paraId="6648B8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、基金投资组合回报与标的指数回报偏离的风险</w:t>
      </w:r>
    </w:p>
    <w:p w14:paraId="0ECE24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w:t>
      </w:r>
      <w:r>
        <w:rPr>
          <w:rFonts w:ascii="Times New Roman" w:hAnsi="Times New Roman"/>
          <w:sz w:val="24"/>
        </w:rPr>
        <w:t>90%</w:t>
      </w:r>
      <w:r>
        <w:rPr>
          <w:rFonts w:ascii="Times New Roman" w:hAnsi="Times New Roman"/>
          <w:sz w:val="24"/>
        </w:rPr>
        <w:t>以上的净资产投资于目标</w:t>
      </w:r>
      <w:r>
        <w:rPr>
          <w:rFonts w:ascii="Times New Roman" w:hAnsi="Times New Roman"/>
          <w:sz w:val="24"/>
        </w:rPr>
        <w:t>ETF</w:t>
      </w:r>
      <w:r>
        <w:rPr>
          <w:rFonts w:ascii="Times New Roman" w:hAnsi="Times New Roman"/>
          <w:sz w:val="24"/>
        </w:rPr>
        <w:t>，目标</w:t>
      </w:r>
      <w:r>
        <w:rPr>
          <w:rFonts w:ascii="Times New Roman" w:hAnsi="Times New Roman"/>
          <w:sz w:val="24"/>
        </w:rPr>
        <w:t>ETF</w:t>
      </w:r>
      <w:r>
        <w:rPr>
          <w:rFonts w:ascii="Times New Roman" w:hAnsi="Times New Roman"/>
          <w:sz w:val="24"/>
        </w:rPr>
        <w:t>回报与标的指数回报的偏离会造成本基金与标的指数的跟踪偏离；</w:t>
      </w:r>
    </w:p>
    <w:p w14:paraId="154A368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）本基金有投资成本、各种费用及税收，而指数编制不考虑费用和税收，这将导致本基金收益率落后于标的指数收益率，产生负的跟踪偏离度；</w:t>
      </w:r>
    </w:p>
    <w:p w14:paraId="5B19D1A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）受市场流动性风险的影响，本基金在实际管理过程中，由于投资者申购而增加的资金可能不能及时地转化为目标</w:t>
      </w:r>
      <w:r>
        <w:rPr>
          <w:rFonts w:ascii="Times New Roman" w:hAnsi="Times New Roman"/>
          <w:sz w:val="24"/>
        </w:rPr>
        <w:t>ETF</w:t>
      </w:r>
      <w:r>
        <w:rPr>
          <w:rFonts w:ascii="Times New Roman" w:hAnsi="Times New Roman"/>
          <w:sz w:val="24"/>
        </w:rPr>
        <w:t>份额和成份股、或在面临投资者赎回时无法以赎回价格将目标</w:t>
      </w:r>
      <w:r>
        <w:rPr>
          <w:rFonts w:ascii="Times New Roman" w:hAnsi="Times New Roman"/>
          <w:sz w:val="24"/>
        </w:rPr>
        <w:t>ETF</w:t>
      </w:r>
      <w:r>
        <w:rPr>
          <w:rFonts w:ascii="Times New Roman" w:hAnsi="Times New Roman"/>
          <w:sz w:val="24"/>
        </w:rPr>
        <w:t>份额和成份股及时地转化为现金，使得本基金在跟踪标的指数时存在一定的跟踪偏离风险；</w:t>
      </w:r>
    </w:p>
    <w:p w14:paraId="088C9E8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本基金实行指数化投资过程中，基金管理人对指数基金的管理能力，例如跟踪标的指数的水平、技术手段、买入卖出证券的时机选择等，都会对本基金的收益产生影响，从而影响本基金相对于对标的指数的偏离程度。</w:t>
      </w:r>
    </w:p>
    <w:p w14:paraId="1EC3615C"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sz w:val="24"/>
        </w:rPr>
        <w:t>5</w:t>
      </w:r>
      <w:r w:rsidRPr="00254E91">
        <w:rPr>
          <w:rFonts w:ascii="Times New Roman" w:hAnsi="Times New Roman" w:hint="eastAsia"/>
          <w:sz w:val="24"/>
        </w:rPr>
        <w:t>、</w:t>
      </w:r>
      <w:r w:rsidRPr="00254E91">
        <w:rPr>
          <w:rFonts w:ascii="Times New Roman" w:hAnsi="Times New Roman" w:hint="eastAsia"/>
          <w:bCs/>
          <w:sz w:val="24"/>
        </w:rPr>
        <w:t>跟踪误差控制未达约定目标的风险</w:t>
      </w:r>
    </w:p>
    <w:p w14:paraId="487AC9A2"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本基金力争控制本基金日均跟踪偏离度的绝对值不超过</w:t>
      </w:r>
      <w:r w:rsidRPr="00254E91">
        <w:rPr>
          <w:rFonts w:ascii="Times New Roman" w:hAnsi="Times New Roman" w:hint="eastAsia"/>
          <w:bCs/>
          <w:sz w:val="24"/>
        </w:rPr>
        <w:t>0.</w:t>
      </w:r>
      <w:r w:rsidRPr="00254E91">
        <w:rPr>
          <w:rFonts w:ascii="Times New Roman" w:hAnsi="Times New Roman"/>
          <w:bCs/>
          <w:sz w:val="24"/>
        </w:rPr>
        <w:t>3</w:t>
      </w:r>
      <w:r w:rsidRPr="00254E91">
        <w:rPr>
          <w:rFonts w:ascii="Times New Roman" w:hAnsi="Times New Roman" w:hint="eastAsia"/>
          <w:bCs/>
          <w:sz w:val="24"/>
        </w:rPr>
        <w:t>%</w:t>
      </w:r>
      <w:r w:rsidRPr="00254E91">
        <w:rPr>
          <w:rFonts w:ascii="Times New Roman" w:hAnsi="Times New Roman" w:hint="eastAsia"/>
          <w:bCs/>
          <w:sz w:val="24"/>
        </w:rPr>
        <w:t>，年跟踪误差不超过</w:t>
      </w:r>
      <w:r w:rsidRPr="00254E91">
        <w:rPr>
          <w:rFonts w:ascii="Times New Roman" w:hAnsi="Times New Roman"/>
          <w:bCs/>
          <w:sz w:val="24"/>
        </w:rPr>
        <w:t>4</w:t>
      </w:r>
      <w:r w:rsidRPr="00254E91">
        <w:rPr>
          <w:rFonts w:ascii="Times New Roman" w:hAnsi="Times New Roman" w:hint="eastAsia"/>
          <w:bCs/>
          <w:sz w:val="24"/>
        </w:rPr>
        <w:t>%</w:t>
      </w:r>
      <w:r w:rsidRPr="00254E91">
        <w:rPr>
          <w:rFonts w:ascii="Times New Roman" w:hAnsi="Times New Roman" w:hint="eastAsia"/>
          <w:bCs/>
          <w:sz w:val="24"/>
        </w:rPr>
        <w:t>。但因标的指数编制规则调整或其他因素可能导致跟踪误差超过上述范围，本基金净值表现与指数价格走势可能发生较大偏离。</w:t>
      </w:r>
    </w:p>
    <w:p w14:paraId="29962312"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6</w:t>
      </w:r>
      <w:r w:rsidRPr="00254E91">
        <w:rPr>
          <w:rFonts w:ascii="Times New Roman" w:hAnsi="Times New Roman" w:hint="eastAsia"/>
          <w:bCs/>
          <w:sz w:val="24"/>
        </w:rPr>
        <w:t>、指数编制机构停止服务的风险</w:t>
      </w:r>
    </w:p>
    <w:p w14:paraId="7FCC2D7F" w14:textId="23C093EF"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w:t>
      </w:r>
      <w:r w:rsidR="00C02D5A" w:rsidRPr="00C02D5A">
        <w:rPr>
          <w:rFonts w:ascii="Times New Roman" w:hAnsi="Times New Roman" w:hint="eastAsia"/>
          <w:bCs/>
          <w:sz w:val="24"/>
        </w:rPr>
        <w:t>更换基金标的指数、转换运作方式，与其他基金合并或者终止基金合同等，并</w:t>
      </w:r>
      <w:r w:rsidRPr="00254E91">
        <w:rPr>
          <w:rFonts w:ascii="Times New Roman" w:hAnsi="Times New Roman" w:hint="eastAsia"/>
          <w:bCs/>
          <w:sz w:val="24"/>
        </w:rPr>
        <w:t>在</w:t>
      </w:r>
      <w:r w:rsidRPr="00254E91">
        <w:rPr>
          <w:rFonts w:ascii="Times New Roman" w:hAnsi="Times New Roman"/>
          <w:bCs/>
          <w:sz w:val="24"/>
        </w:rPr>
        <w:t>6</w:t>
      </w:r>
      <w:r w:rsidRPr="00254E91">
        <w:rPr>
          <w:rFonts w:ascii="Times New Roman" w:hAnsi="Times New Roman" w:hint="eastAsia"/>
          <w:bCs/>
          <w:sz w:val="24"/>
        </w:rPr>
        <w:t>个月内召集基金份额持有人大会进行表决，基金份额持有人大会未成功召开或就上述事项表决未通过的，基金合同终止。</w:t>
      </w:r>
      <w:r w:rsidR="00406E20">
        <w:rPr>
          <w:rFonts w:hint="eastAsia"/>
          <w:bCs/>
          <w:sz w:val="24"/>
        </w:rPr>
        <w:t>投资人将面临更换基金标的指数、转换运作方式，与其他基金合并或者终止基金合同等风险。</w:t>
      </w:r>
    </w:p>
    <w:p w14:paraId="56FA57AC" w14:textId="2DF806A6"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自指数编制机构停止标的指数的编制及发布至解决方案确定</w:t>
      </w:r>
      <w:r w:rsidR="00C02D5A">
        <w:rPr>
          <w:rFonts w:ascii="Times New Roman" w:hAnsi="Times New Roman" w:hint="eastAsia"/>
          <w:bCs/>
          <w:sz w:val="24"/>
        </w:rPr>
        <w:t>期间</w:t>
      </w:r>
      <w:r w:rsidRPr="00254E91">
        <w:rPr>
          <w:rFonts w:ascii="Times New Roman" w:hAnsi="Times New Roman" w:hint="eastAsia"/>
          <w:bCs/>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5D02491C"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bCs/>
          <w:sz w:val="24"/>
        </w:rPr>
        <w:t>7</w:t>
      </w:r>
      <w:r w:rsidRPr="00254E91">
        <w:rPr>
          <w:rFonts w:ascii="Times New Roman" w:hAnsi="Times New Roman" w:hint="eastAsia"/>
          <w:bCs/>
          <w:sz w:val="24"/>
        </w:rPr>
        <w:t>、成份股停牌的风险</w:t>
      </w:r>
    </w:p>
    <w:p w14:paraId="3BBB9907"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lastRenderedPageBreak/>
        <w:t>标的指数成份股可能因各种原因临时或长期停牌，发生成份股停牌时可能面临如下风险：</w:t>
      </w:r>
    </w:p>
    <w:p w14:paraId="26EA83ED"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w:t>
      </w:r>
      <w:r w:rsidRPr="00254E91">
        <w:rPr>
          <w:rFonts w:ascii="Times New Roman" w:hAnsi="Times New Roman" w:hint="eastAsia"/>
          <w:bCs/>
          <w:sz w:val="24"/>
        </w:rPr>
        <w:t>1</w:t>
      </w:r>
      <w:r w:rsidRPr="00254E91">
        <w:rPr>
          <w:rFonts w:ascii="Times New Roman" w:hAnsi="Times New Roman" w:hint="eastAsia"/>
          <w:bCs/>
          <w:sz w:val="24"/>
        </w:rPr>
        <w:t>）基金可能因无法及时调整投资组合而导致跟踪偏离度和跟踪误差扩大。</w:t>
      </w:r>
    </w:p>
    <w:p w14:paraId="0DD3E189"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w:t>
      </w:r>
      <w:r w:rsidRPr="00254E91">
        <w:rPr>
          <w:rFonts w:ascii="Times New Roman" w:hAnsi="Times New Roman"/>
          <w:bCs/>
          <w:sz w:val="24"/>
        </w:rPr>
        <w:t>2</w:t>
      </w:r>
      <w:r w:rsidRPr="00254E91">
        <w:rPr>
          <w:rFonts w:ascii="Times New Roman" w:hAnsi="Times New Roman" w:hint="eastAsia"/>
          <w:bCs/>
          <w:sz w:val="24"/>
        </w:rPr>
        <w:t>）若成份股停牌时间较长，在约定时间内仍未能及时买入或卖出的，由此可能影响投资者的投资损益并使基金产生跟踪偏离度和跟踪误差。</w:t>
      </w:r>
    </w:p>
    <w:p w14:paraId="147FEE5C"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w:t>
      </w:r>
      <w:r w:rsidRPr="00254E91">
        <w:rPr>
          <w:rFonts w:ascii="Times New Roman" w:hAnsi="Times New Roman"/>
          <w:bCs/>
          <w:sz w:val="24"/>
        </w:rPr>
        <w:t>3</w:t>
      </w:r>
      <w:r w:rsidRPr="00254E91">
        <w:rPr>
          <w:rFonts w:ascii="Times New Roman" w:hAnsi="Times New Roman" w:hint="eastAsia"/>
          <w:bCs/>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14:paraId="0AE7EBA2" w14:textId="77777777" w:rsidR="00254E91" w:rsidRPr="00254E91" w:rsidRDefault="00254E91" w:rsidP="00254E91">
      <w:pPr>
        <w:autoSpaceDE w:val="0"/>
        <w:autoSpaceDN w:val="0"/>
        <w:adjustRightInd w:val="0"/>
        <w:snapToGrid w:val="0"/>
        <w:spacing w:line="360" w:lineRule="auto"/>
        <w:ind w:firstLineChars="200" w:firstLine="480"/>
        <w:rPr>
          <w:rFonts w:ascii="Times New Roman" w:hAnsi="Times New Roman"/>
          <w:bCs/>
          <w:sz w:val="24"/>
        </w:rPr>
      </w:pPr>
      <w:r w:rsidRPr="00254E91">
        <w:rPr>
          <w:rFonts w:ascii="Times New Roman" w:hAnsi="Times New Roman" w:hint="eastAsia"/>
          <w:bCs/>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14:paraId="15AA76FD" w14:textId="1F23EB71" w:rsidR="00A77DF8" w:rsidRDefault="00254E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sidR="00E47C67">
        <w:rPr>
          <w:rFonts w:ascii="Times New Roman" w:hAnsi="Times New Roman"/>
          <w:sz w:val="24"/>
        </w:rPr>
        <w:t>、本基金为目标</w:t>
      </w:r>
      <w:r w:rsidR="00E47C67">
        <w:rPr>
          <w:rFonts w:ascii="Times New Roman" w:hAnsi="Times New Roman"/>
          <w:sz w:val="24"/>
        </w:rPr>
        <w:t>ETF</w:t>
      </w:r>
      <w:r w:rsidR="00E47C67">
        <w:rPr>
          <w:rFonts w:ascii="Times New Roman" w:hAnsi="Times New Roman"/>
          <w:sz w:val="24"/>
        </w:rPr>
        <w:t>的联接基金，但不能保证本基金的表现与目标</w:t>
      </w:r>
      <w:r w:rsidR="00E47C67">
        <w:rPr>
          <w:rFonts w:ascii="Times New Roman" w:hAnsi="Times New Roman"/>
          <w:sz w:val="24"/>
        </w:rPr>
        <w:t>ETF</w:t>
      </w:r>
      <w:r w:rsidR="00E47C67">
        <w:rPr>
          <w:rFonts w:ascii="Times New Roman" w:hAnsi="Times New Roman"/>
          <w:sz w:val="24"/>
        </w:rPr>
        <w:t>的表现完全一致，产生差异的原因包括以下几个方面：</w:t>
      </w:r>
    </w:p>
    <w:p w14:paraId="47A3888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）本基金赎回采用现金方式，为支付现金赎回款，相比目标</w:t>
      </w:r>
      <w:r>
        <w:rPr>
          <w:rFonts w:ascii="Times New Roman" w:hAnsi="Times New Roman"/>
          <w:sz w:val="24"/>
        </w:rPr>
        <w:t>ETF</w:t>
      </w:r>
      <w:r>
        <w:rPr>
          <w:rFonts w:ascii="Times New Roman" w:hAnsi="Times New Roman"/>
          <w:sz w:val="24"/>
        </w:rPr>
        <w:t>，本基金需要保留更多的现金资产；</w:t>
      </w:r>
    </w:p>
    <w:p w14:paraId="67B860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）本基金申购采用现金方式，在利用到账的申购资金投资目标</w:t>
      </w:r>
      <w:r>
        <w:rPr>
          <w:rFonts w:ascii="Times New Roman" w:hAnsi="Times New Roman"/>
          <w:sz w:val="24"/>
        </w:rPr>
        <w:t>ETF</w:t>
      </w:r>
      <w:r>
        <w:rPr>
          <w:rFonts w:ascii="Times New Roman" w:hAnsi="Times New Roman"/>
          <w:sz w:val="24"/>
        </w:rPr>
        <w:t>过程中，市场波动等原因会造成本基金与目标</w:t>
      </w:r>
      <w:r>
        <w:rPr>
          <w:rFonts w:ascii="Times New Roman" w:hAnsi="Times New Roman"/>
          <w:sz w:val="24"/>
        </w:rPr>
        <w:t>ETF</w:t>
      </w:r>
      <w:r>
        <w:rPr>
          <w:rFonts w:ascii="Times New Roman" w:hAnsi="Times New Roman"/>
          <w:sz w:val="24"/>
        </w:rPr>
        <w:t>表现的差异；</w:t>
      </w:r>
    </w:p>
    <w:p w14:paraId="2747E7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）本基金为应对现金申购赎回而进行的证券交易需支付一定的手续费，此等费用将影响本基金相对于目标</w:t>
      </w:r>
      <w:r>
        <w:rPr>
          <w:rFonts w:ascii="Times New Roman" w:hAnsi="Times New Roman"/>
          <w:sz w:val="24"/>
        </w:rPr>
        <w:t>ETF</w:t>
      </w:r>
      <w:r>
        <w:rPr>
          <w:rFonts w:ascii="Times New Roman" w:hAnsi="Times New Roman"/>
          <w:sz w:val="24"/>
        </w:rPr>
        <w:t>的表现。</w:t>
      </w:r>
    </w:p>
    <w:p w14:paraId="0C87D005" w14:textId="400C1F6C" w:rsidR="00A77DF8" w:rsidRDefault="00254E9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sidR="00E47C67">
        <w:rPr>
          <w:rFonts w:ascii="Times New Roman" w:hAnsi="Times New Roman"/>
          <w:sz w:val="24"/>
        </w:rPr>
        <w:t>、本基金可投资创业板股票，创业板个股上市后的前五个交易日不设价格涨跌幅限制，第六个交易日开始涨跌幅限制比例为</w:t>
      </w:r>
      <w:r w:rsidR="00E47C67">
        <w:rPr>
          <w:rFonts w:ascii="Times New Roman" w:hAnsi="Times New Roman"/>
          <w:sz w:val="24"/>
        </w:rPr>
        <w:t>20%</w:t>
      </w:r>
      <w:r w:rsidR="00E47C67">
        <w:rPr>
          <w:rFonts w:ascii="Times New Roman" w:hAnsi="Times New Roman"/>
          <w:sz w:val="24"/>
        </w:rPr>
        <w:t>。</w:t>
      </w:r>
    </w:p>
    <w:p w14:paraId="51441918" w14:textId="77777777" w:rsidR="00583CCA" w:rsidRPr="00ED1722" w:rsidRDefault="00E47C67" w:rsidP="00583CCA">
      <w:pPr>
        <w:autoSpaceDE w:val="0"/>
        <w:autoSpaceDN w:val="0"/>
        <w:adjustRightInd w:val="0"/>
        <w:snapToGrid w:val="0"/>
        <w:spacing w:line="360" w:lineRule="auto"/>
        <w:ind w:firstLineChars="200" w:firstLine="482"/>
        <w:rPr>
          <w:rFonts w:ascii="Times New Roman" w:hAnsi="Times New Roman"/>
          <w:b/>
          <w:sz w:val="24"/>
        </w:rPr>
      </w:pPr>
      <w:r w:rsidRPr="00ED1722">
        <w:rPr>
          <w:rFonts w:ascii="Times New Roman" w:hAnsi="Times New Roman" w:hint="eastAsia"/>
          <w:b/>
          <w:sz w:val="24"/>
        </w:rPr>
        <w:t>（六）</w:t>
      </w:r>
      <w:r w:rsidR="00583CCA" w:rsidRPr="00DB604C">
        <w:rPr>
          <w:rFonts w:ascii="宋体" w:hAnsi="宋体" w:hint="eastAsia"/>
          <w:b/>
          <w:szCs w:val="24"/>
        </w:rPr>
        <w:t>投资存托凭证的特定风险</w:t>
      </w:r>
    </w:p>
    <w:p w14:paraId="3C83A049" w14:textId="77777777" w:rsidR="00583CCA" w:rsidRPr="00ED1722" w:rsidRDefault="00583CCA" w:rsidP="00583CCA">
      <w:pPr>
        <w:autoSpaceDE w:val="0"/>
        <w:autoSpaceDN w:val="0"/>
        <w:adjustRightInd w:val="0"/>
        <w:snapToGrid w:val="0"/>
        <w:spacing w:line="360" w:lineRule="auto"/>
        <w:ind w:firstLineChars="200" w:firstLine="480"/>
        <w:rPr>
          <w:rFonts w:ascii="Times New Roman" w:hAnsi="Times New Roman"/>
          <w:sz w:val="24"/>
        </w:rPr>
      </w:pPr>
      <w:r w:rsidRPr="00ED1722">
        <w:rPr>
          <w:rFonts w:ascii="Times New Roman" w:hAnsi="Times New Roman"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0A8DFF2" w14:textId="77777777" w:rsidR="00583CCA" w:rsidRPr="00ED1722" w:rsidRDefault="00583CCA" w:rsidP="00583CCA">
      <w:pPr>
        <w:autoSpaceDE w:val="0"/>
        <w:autoSpaceDN w:val="0"/>
        <w:adjustRightInd w:val="0"/>
        <w:snapToGrid w:val="0"/>
        <w:spacing w:line="360" w:lineRule="auto"/>
        <w:ind w:firstLineChars="200" w:firstLine="480"/>
        <w:rPr>
          <w:rFonts w:ascii="Times New Roman" w:hAnsi="Times New Roman"/>
          <w:sz w:val="24"/>
        </w:rPr>
      </w:pPr>
      <w:r w:rsidRPr="00ED1722">
        <w:rPr>
          <w:rFonts w:ascii="Times New Roman" w:hAnsi="Times New Roman" w:hint="eastAsia"/>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w:t>
      </w:r>
      <w:r w:rsidRPr="00ED1722">
        <w:rPr>
          <w:rFonts w:ascii="Times New Roman" w:hAnsi="Times New Roman" w:hint="eastAsia"/>
          <w:sz w:val="24"/>
        </w:rPr>
        <w:lastRenderedPageBreak/>
        <w:t>险；存托凭证退市的风险；已在境外上市的基础证券发行人，在持续信息披露监管方面与境内可能存在差异的风险；境内外法律制度、监管环境差异可能导致的其他风险。</w:t>
      </w:r>
    </w:p>
    <w:p w14:paraId="09A40F13" w14:textId="77777777" w:rsidR="00583CCA" w:rsidRPr="00ED1722" w:rsidRDefault="00583CCA" w:rsidP="00583CCA">
      <w:pPr>
        <w:autoSpaceDE w:val="0"/>
        <w:autoSpaceDN w:val="0"/>
        <w:adjustRightInd w:val="0"/>
        <w:snapToGrid w:val="0"/>
        <w:spacing w:line="360" w:lineRule="auto"/>
        <w:ind w:firstLineChars="200" w:firstLine="480"/>
        <w:rPr>
          <w:rFonts w:ascii="Times New Roman" w:hAnsi="Times New Roman"/>
          <w:sz w:val="24"/>
        </w:rPr>
      </w:pPr>
      <w:r w:rsidRPr="00ED1722">
        <w:rPr>
          <w:rFonts w:ascii="Times New Roman" w:hAnsi="Times New Roman" w:hint="eastAsia"/>
          <w:sz w:val="24"/>
        </w:rPr>
        <w:t>本基金可根据投资策略需要或市场环境的变化，选择将部分基金资产投资于存托凭证或选择不将基金资产投资于存托凭证，基金资产并非必然投资存托凭证。</w:t>
      </w:r>
    </w:p>
    <w:p w14:paraId="75E2FC4E" w14:textId="77777777" w:rsidR="00A77DF8" w:rsidRDefault="00583CCA">
      <w:pPr>
        <w:autoSpaceDE w:val="0"/>
        <w:autoSpaceDN w:val="0"/>
        <w:adjustRightInd w:val="0"/>
        <w:snapToGrid w:val="0"/>
        <w:spacing w:line="360" w:lineRule="auto"/>
        <w:ind w:firstLineChars="200" w:firstLine="422"/>
        <w:rPr>
          <w:rFonts w:ascii="宋体" w:hAnsi="宋体"/>
          <w:szCs w:val="24"/>
        </w:rPr>
      </w:pPr>
      <w:r>
        <w:rPr>
          <w:rFonts w:ascii="宋体" w:hAnsi="宋体" w:hint="eastAsia"/>
          <w:b/>
          <w:szCs w:val="24"/>
        </w:rPr>
        <w:t>（七）</w:t>
      </w:r>
      <w:r w:rsidR="00E47C67" w:rsidRPr="00BB248E">
        <w:rPr>
          <w:rFonts w:ascii="宋体" w:hAnsi="宋体" w:hint="eastAsia"/>
          <w:b/>
          <w:szCs w:val="24"/>
        </w:rPr>
        <w:t>其他风险</w:t>
      </w:r>
    </w:p>
    <w:p w14:paraId="1FF6233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40B1B79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7CDD080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468ABF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53E736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6832B9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7D080A4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14:paraId="38807B13"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3FE63D7" w14:textId="77777777" w:rsidR="00A77DF8" w:rsidRDefault="00E47C67">
      <w:pPr>
        <w:pStyle w:val="1"/>
        <w:snapToGrid w:val="0"/>
        <w:spacing w:beforeLines="0" w:before="240" w:after="240"/>
        <w:rPr>
          <w:rFonts w:ascii="宋体" w:hAnsi="宋体"/>
          <w:szCs w:val="30"/>
        </w:rPr>
      </w:pPr>
      <w:bookmarkStart w:id="21" w:name="_Toc54104423"/>
      <w:r>
        <w:rPr>
          <w:rFonts w:ascii="Times New Roman" w:hAnsi="Times New Roman"/>
          <w:sz w:val="30"/>
        </w:rPr>
        <w:lastRenderedPageBreak/>
        <w:t>十九、基金合同的终止与基金财产的清算</w:t>
      </w:r>
      <w:bookmarkEnd w:id="21"/>
    </w:p>
    <w:p w14:paraId="4149041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（一）基金合同的终止</w:t>
      </w:r>
    </w:p>
    <w:p w14:paraId="292E25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有下列情形之一的，基金合同经中国证监会核准后将终止：</w:t>
      </w:r>
    </w:p>
    <w:p w14:paraId="6A7459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0CAD1B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14:paraId="67F74B4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14:paraId="52C5DA7E" w14:textId="2C1E561E" w:rsidR="00254E91" w:rsidRPr="00254E91" w:rsidRDefault="00E47C67" w:rsidP="00254E91">
      <w:pPr>
        <w:snapToGrid w:val="0"/>
        <w:spacing w:line="360" w:lineRule="auto"/>
        <w:ind w:firstLineChars="200" w:firstLine="480"/>
        <w:rPr>
          <w:rFonts w:ascii="宋体" w:hAnsi="宋体"/>
          <w:bCs/>
          <w:sz w:val="24"/>
          <w:szCs w:val="24"/>
        </w:rPr>
      </w:pPr>
      <w:r>
        <w:rPr>
          <w:rFonts w:ascii="Times New Roman" w:hAnsi="Times New Roman"/>
          <w:sz w:val="24"/>
        </w:rPr>
        <w:t>4.</w:t>
      </w:r>
      <w:r w:rsidR="00254E91" w:rsidRPr="00254E91">
        <w:rPr>
          <w:rFonts w:ascii="宋体" w:hAnsi="宋体" w:hint="eastAsia"/>
          <w:bCs/>
          <w:sz w:val="24"/>
          <w:szCs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150FF821" w14:textId="795040A7" w:rsidR="00A77DF8" w:rsidRDefault="00254E91" w:rsidP="00254E91">
      <w:pPr>
        <w:autoSpaceDE w:val="0"/>
        <w:autoSpaceDN w:val="0"/>
        <w:adjustRightInd w:val="0"/>
        <w:snapToGrid w:val="0"/>
        <w:spacing w:line="360" w:lineRule="auto"/>
        <w:ind w:firstLineChars="200" w:firstLine="480"/>
        <w:rPr>
          <w:rFonts w:ascii="宋体" w:hAnsi="宋体"/>
          <w:szCs w:val="24"/>
        </w:rPr>
      </w:pPr>
      <w:r w:rsidRPr="00254E91">
        <w:rPr>
          <w:rFonts w:ascii="宋体" w:hAnsi="宋体"/>
          <w:sz w:val="24"/>
          <w:szCs w:val="24"/>
        </w:rPr>
        <w:t>5</w:t>
      </w:r>
      <w:r>
        <w:rPr>
          <w:rFonts w:ascii="宋体" w:hAnsi="宋体" w:hint="eastAsia"/>
          <w:sz w:val="24"/>
          <w:szCs w:val="24"/>
        </w:rPr>
        <w:t>.</w:t>
      </w:r>
      <w:r w:rsidR="00E47C67">
        <w:rPr>
          <w:rFonts w:ascii="Times New Roman" w:hAnsi="Times New Roman"/>
          <w:sz w:val="24"/>
        </w:rPr>
        <w:t>相关法律法规和中国证监会规定的其他情况。</w:t>
      </w:r>
    </w:p>
    <w:p w14:paraId="20AEBDD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（二）基金财产的清算</w:t>
      </w:r>
    </w:p>
    <w:p w14:paraId="6AB5AF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w:t>
      </w:r>
    </w:p>
    <w:p w14:paraId="57113B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）基金合同终止后，成立基金清算小组，基金清算小组在中国证监会的监督下进行基金清算。</w:t>
      </w:r>
    </w:p>
    <w:p w14:paraId="4B2E77F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）基金清算小组成员由基金管理人、基金托管人、具有从事证券相关业务资格的注册会计师、律师以及中国证监会指定的人员组成。基金清算小组可以聘用必要的工作人员。</w:t>
      </w:r>
    </w:p>
    <w:p w14:paraId="50BC12B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）基金清算小组负责基金财产的保管、清理、估价、变现和分配。基金清算小组可以依法进行必要的民事活动。</w:t>
      </w:r>
    </w:p>
    <w:p w14:paraId="5A260EB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基金财产清算程序</w:t>
      </w:r>
    </w:p>
    <w:p w14:paraId="010EF9A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）基金合同终止时，由基金清算小组统一接管基金财产；</w:t>
      </w:r>
    </w:p>
    <w:p w14:paraId="368BD1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）对基金财产进行清理和确认；</w:t>
      </w:r>
    </w:p>
    <w:p w14:paraId="2CFBD1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）对基金财产进行估价和变现；</w:t>
      </w:r>
    </w:p>
    <w:p w14:paraId="5397899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77877EE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）聘请会计师事务所对清算报告进行审计；</w:t>
      </w:r>
    </w:p>
    <w:p w14:paraId="241BBA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）聘请律师事务所对清算报告出具法律意见书；</w:t>
      </w:r>
    </w:p>
    <w:p w14:paraId="56CB10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）将基金清算结果报告中国证监会；</w:t>
      </w:r>
    </w:p>
    <w:p w14:paraId="4731E9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）公布基金清算报告；</w:t>
      </w:r>
    </w:p>
    <w:p w14:paraId="60DBA0B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）对基金剩余财产进行分配。</w:t>
      </w:r>
    </w:p>
    <w:p w14:paraId="64B1A2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清算费用</w:t>
      </w:r>
    </w:p>
    <w:p w14:paraId="0DB921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清算费用是指基金清算小组在进行基金清算过程中发生的所有合理费用，清算费用由基金清算小组优先从基金财产中支付。</w:t>
      </w:r>
    </w:p>
    <w:p w14:paraId="124167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基金财产按下列顺序清偿：</w:t>
      </w:r>
    </w:p>
    <w:p w14:paraId="72227E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）支付清算费用；</w:t>
      </w:r>
    </w:p>
    <w:p w14:paraId="305911B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）交纳所欠税款；</w:t>
      </w:r>
    </w:p>
    <w:p w14:paraId="64084A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）清偿基金债务；</w:t>
      </w:r>
    </w:p>
    <w:p w14:paraId="2D22E29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）按基金份额持有人持有的基金份额比例进行分配。</w:t>
      </w:r>
    </w:p>
    <w:p w14:paraId="2E5BA3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基金财产未按前款（</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）项规定清偿前，不分配给基金份额持有人。</w:t>
      </w:r>
    </w:p>
    <w:p w14:paraId="0C91E94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基金财产清算的公告</w:t>
      </w:r>
    </w:p>
    <w:p w14:paraId="54ADF5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基金财产清算公告于基金合同终止并报中国证监会备案后</w:t>
      </w:r>
      <w:r>
        <w:rPr>
          <w:rFonts w:ascii="Times New Roman" w:hAnsi="Times New Roman"/>
          <w:sz w:val="24"/>
        </w:rPr>
        <w:t>5</w:t>
      </w:r>
      <w:r>
        <w:rPr>
          <w:rFonts w:ascii="Times New Roman" w:hAnsi="Times New Roman"/>
          <w:sz w:val="24"/>
        </w:rPr>
        <w:t>个工作日内由基金清算小组公告；清算过程中的有关重大事项须及时公告；基金财产清算结果经会计师事务所审计，律师事务所出具法律意见书后，由基金财产清算小组报中国证监会备案并公告。</w:t>
      </w:r>
    </w:p>
    <w:p w14:paraId="30ACFA6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基金财产清算账册及文件的保存</w:t>
      </w:r>
    </w:p>
    <w:p w14:paraId="770F879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29D209A5"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C8CB97" w14:textId="77777777" w:rsidR="00A77DF8" w:rsidRDefault="00E47C67">
      <w:pPr>
        <w:pStyle w:val="1"/>
        <w:snapToGrid w:val="0"/>
        <w:spacing w:beforeLines="0" w:before="240" w:after="240"/>
        <w:rPr>
          <w:rFonts w:ascii="宋体" w:hAnsi="宋体"/>
          <w:szCs w:val="30"/>
        </w:rPr>
      </w:pPr>
      <w:bookmarkStart w:id="22" w:name="_Toc54104424"/>
      <w:r>
        <w:rPr>
          <w:rFonts w:ascii="Times New Roman" w:hAnsi="Times New Roman"/>
          <w:sz w:val="30"/>
        </w:rPr>
        <w:lastRenderedPageBreak/>
        <w:t>二十、基金合同的内容摘要</w:t>
      </w:r>
      <w:bookmarkEnd w:id="22"/>
    </w:p>
    <w:p w14:paraId="2737591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（一）基金合同当事人的权利与义务</w:t>
      </w:r>
    </w:p>
    <w:p w14:paraId="11619D4D"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1、基金管理人的权利与义务</w:t>
      </w:r>
    </w:p>
    <w:p w14:paraId="68DC538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根据《基金法》、《运作办法》及其他有关规定，基金管理人的权利为：</w:t>
      </w:r>
    </w:p>
    <w:p w14:paraId="677E84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）自本基金合同生效之日起，依照有关法律法规和本基金合同的规定独立运用基金财产；</w:t>
      </w:r>
    </w:p>
    <w:p w14:paraId="7BBA27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）依照本基金合同获得基金管理费以及法律法规规定或中国证监会批准的其他收入；</w:t>
      </w:r>
    </w:p>
    <w:p w14:paraId="2F78475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）根据法律法规和基金合同之规定销售基金份额；</w:t>
      </w:r>
    </w:p>
    <w:p w14:paraId="3455513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）根据法律法规和基金合同的规定制定基金收益分配方案；</w:t>
      </w:r>
    </w:p>
    <w:p w14:paraId="481A3D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）依照有关规定为基金的利益行使因基金财产投资于证券所产生的权利；</w:t>
      </w:r>
    </w:p>
    <w:p w14:paraId="31C81E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）在符合有关法律法规和本基金合同的前提下，制订和调整有关基金认购、申购、赎回、转换、转托管等业务的规则，决定基金的除调高托管费和管理费之外的费率结构和收费方式；</w:t>
      </w:r>
    </w:p>
    <w:p w14:paraId="6542F7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552108B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）在基金合同约定的范围内，拒绝或暂停受理申购、赎回和转换申请；</w:t>
      </w:r>
    </w:p>
    <w:p w14:paraId="6F590C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）自行担任注册登记机构或选择、更换注册登记机构，并对注册登记机构的代理行为进行必要的监督和检查；</w:t>
      </w:r>
    </w:p>
    <w:p w14:paraId="4651F13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）选择、更换代销机构，并依据销售代理协议和有关法律法规，对其行为进行必要的监督和检查；</w:t>
      </w:r>
    </w:p>
    <w:p w14:paraId="50A05E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）在基金托管人更换时，提名新的基金托管人；</w:t>
      </w:r>
    </w:p>
    <w:p w14:paraId="3355DD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）依法召集基金份额持有人大会；</w:t>
      </w:r>
    </w:p>
    <w:p w14:paraId="001EFC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）以基金管理人名义代表基金份额持有人利益行使诉讼权利或者实施其他法律行为；</w:t>
      </w:r>
    </w:p>
    <w:p w14:paraId="3FD5DA2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）选择、更换律师事务所、会计师事务所、证券经纪商或其他为基金提供服务的外部机构；</w:t>
      </w:r>
    </w:p>
    <w:p w14:paraId="0A1F10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）根据国家有关规定，在法律法规允许的前提下，为基金的利益依法为基</w:t>
      </w:r>
      <w:r>
        <w:rPr>
          <w:rFonts w:ascii="Times New Roman" w:hAnsi="Times New Roman"/>
          <w:sz w:val="24"/>
        </w:rPr>
        <w:lastRenderedPageBreak/>
        <w:t>金融资、融券；</w:t>
      </w:r>
    </w:p>
    <w:p w14:paraId="64C973F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）法律法规、基金合同以及依据基金合同制定的其它法律文件规定的其他权利。</w:t>
      </w:r>
    </w:p>
    <w:p w14:paraId="1F72A6A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根据《基金法》、《运作办法》及其他有关规定，基金管理人的义务为：</w:t>
      </w:r>
    </w:p>
    <w:p w14:paraId="0C70C31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）依法募集基金，办理或者委托经由证监会认定的其他机构代为办理基金份额的发售、申购、赎回和注册登记事宜；</w:t>
      </w:r>
    </w:p>
    <w:p w14:paraId="5CF922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14:paraId="5CAB482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）自基金合同生效之日起，以诚实信用、勤勉尽责的原则管理和运用基金财产；</w:t>
      </w:r>
    </w:p>
    <w:p w14:paraId="31FAF6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03C4D9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）建立健全内部风险控制、监察与稽核、财务管理及人事管理等制度，保证所管理的基金财产和基金管理人的财产相互独立，对所管理的不同基金财产分别管理，分别记账，进行证券投资；</w:t>
      </w:r>
    </w:p>
    <w:p w14:paraId="31DABE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）除依据《基金法》、基金合同及其他有关规定外，不得为自己及任何第三人谋取利益，不得委托第三人运作基金财产；</w:t>
      </w:r>
    </w:p>
    <w:p w14:paraId="2FD7A5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14:paraId="7EEA96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）计算并公告基金净值信息，确定基金份额申购、赎回价格；</w:t>
      </w:r>
    </w:p>
    <w:p w14:paraId="089FBD4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）采取适当合理的措施使计算基金份额认购、申购、赎回价格的方法符合基金合同等法律文件的规定；</w:t>
      </w:r>
    </w:p>
    <w:p w14:paraId="732D1D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）按规定受理基金份额的申购和赎回申请，及时、足额支付赎回款项；</w:t>
      </w:r>
    </w:p>
    <w:p w14:paraId="24BFF7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）进行基金会计核算并编制基金财务会计报告；</w:t>
      </w:r>
    </w:p>
    <w:p w14:paraId="73768A3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）编制季度报告、中期报告和年度报告；</w:t>
      </w:r>
    </w:p>
    <w:p w14:paraId="25A132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）严格按照《基金法》、基金合同及其他有关规定，履行信息披露及报告义务；</w:t>
      </w:r>
    </w:p>
    <w:p w14:paraId="341D2BA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）保守基金商业秘密，不得泄露基金投资计划、投资意向等。除《基金法》、基金合同及其他有关规定另有规定外，在基金信息公开披露前应予保密，不得向他人泄露；</w:t>
      </w:r>
    </w:p>
    <w:p w14:paraId="5E209D1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）按照基金合同的约定确定基金收益分配方案，及时向基金份额持有人分配收益；</w:t>
      </w:r>
    </w:p>
    <w:p w14:paraId="2437DC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16</w:t>
      </w:r>
      <w:r>
        <w:rPr>
          <w:rFonts w:ascii="Times New Roman" w:hAnsi="Times New Roman"/>
          <w:sz w:val="24"/>
        </w:rPr>
        <w:t>）依据《基金法》、基金合同及其他有关规定召集基金份额持有人大会或配合基金托管人、基金份额持有人依法召集基金份额持有人大会；</w:t>
      </w:r>
    </w:p>
    <w:p w14:paraId="0E1F06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）保存基金财产管理业务活动的记录、账册、报表和其他相关资料；</w:t>
      </w:r>
    </w:p>
    <w:p w14:paraId="575309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）以基金管理人名义，代表基金份额持有人利益行使诉讼权利或者实施其他法律行为；</w:t>
      </w:r>
    </w:p>
    <w:p w14:paraId="2796049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）组织并参加基金财产清算小组，参与基金财产的保管、清理、估价、变现和分配；</w:t>
      </w:r>
    </w:p>
    <w:p w14:paraId="413AB4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）因违反基金合同导致基金财产的损失或损害基金份额持有人合法权益，应当承担赔偿责任，其赔偿责任不因其退任而免除；</w:t>
      </w:r>
    </w:p>
    <w:p w14:paraId="042798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）基金托管人违反基金合同造成基金财产损失时，应为基金份额持有人利益向基金托管人追偿；</w:t>
      </w:r>
    </w:p>
    <w:p w14:paraId="7E2391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）按规定向基金托管人提供基金份额持有人名册资料；</w:t>
      </w:r>
    </w:p>
    <w:p w14:paraId="359937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）建立并保存基金份额持有人名册；</w:t>
      </w:r>
    </w:p>
    <w:p w14:paraId="51EC471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）面临解散、依法被撤销或者被依法宣告破产时，及时报告中国证监会并通知基金托管人；</w:t>
      </w:r>
    </w:p>
    <w:p w14:paraId="7070125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）执行生效的基金份额持有人大会的决定；</w:t>
      </w:r>
    </w:p>
    <w:p w14:paraId="167BD3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）不从事任何有损基金及其他基金合同当事人合法权益的活动；</w:t>
      </w:r>
    </w:p>
    <w:p w14:paraId="2763CA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）依照法律法规为基金的利益对被投资公司行使股东权利，为基金的利益行使因基金财产投资于证券所产生的权利，不谋求对上市公司的控股和直接管理；</w:t>
      </w:r>
    </w:p>
    <w:p w14:paraId="3A5542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）法律法规、基金合同规定的以及中国证监会要求的其他义务。</w:t>
      </w:r>
    </w:p>
    <w:p w14:paraId="73DC176C"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2、基金托管人的权利与义务</w:t>
      </w:r>
    </w:p>
    <w:p w14:paraId="5D7B79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根据《基金法》、《运作办法》及其他有关规定，基金托管人的权利为：</w:t>
      </w:r>
    </w:p>
    <w:p w14:paraId="64F3F9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）依照基金合同的约定获得基金托管费；</w:t>
      </w:r>
    </w:p>
    <w:p w14:paraId="7EBB9D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）监督基金管理人对本基金的投资运作；</w:t>
      </w:r>
    </w:p>
    <w:p w14:paraId="7E88C5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）自本基金合同生效之日起，依照法律法规和基金合同、托管协议的规定依法保管基金财产；</w:t>
      </w:r>
    </w:p>
    <w:p w14:paraId="601EBA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）在基金管理人更换时，提名新任基金管理人；</w:t>
      </w:r>
    </w:p>
    <w:p w14:paraId="15E91F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w:t>
      </w:r>
      <w:r>
        <w:rPr>
          <w:rFonts w:ascii="Times New Roman" w:hAnsi="Times New Roman"/>
          <w:sz w:val="24"/>
        </w:rPr>
        <w:lastRenderedPageBreak/>
        <w:t>同当事人的利益；</w:t>
      </w:r>
    </w:p>
    <w:p w14:paraId="2B677A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）依法提议召开或召集基金份额持有人大会；</w:t>
      </w:r>
    </w:p>
    <w:p w14:paraId="3BC0574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）按规定取得基金份额持有人名册；</w:t>
      </w:r>
    </w:p>
    <w:p w14:paraId="5CE1DD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）法律法规规定的其他权利。</w:t>
      </w:r>
    </w:p>
    <w:p w14:paraId="60059C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根据《基金法》、《运作办法》及其他有关规定，基金托管人的义务为：</w:t>
      </w:r>
    </w:p>
    <w:p w14:paraId="5248C4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14:paraId="4CA38C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）设立专门的基金托管部，具有符合要求的营业场所，配备足够的、合格的熟悉基金托管业务的专职人员，负责基金财产托管事宜；</w:t>
      </w:r>
    </w:p>
    <w:p w14:paraId="394804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EC59D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）除依据《基金法》、基金合同及其他有关规定外，不得为自己及任何第三人谋取利益，不得委托第三人托管基金财产；</w:t>
      </w:r>
    </w:p>
    <w:p w14:paraId="783EE67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14:paraId="201B61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p>
    <w:p w14:paraId="5573A87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）保守基金商业秘密。除《基金法》、基金合同及其他有关规定另有规定外，在基金信息公开披露前应予保密，不得向他人泄露；</w:t>
      </w:r>
    </w:p>
    <w:p w14:paraId="5112E2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C8654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）保存基金托管业务活动的记录、账册、报表和其他相关资料不少于</w:t>
      </w:r>
      <w:r>
        <w:rPr>
          <w:rFonts w:ascii="Times New Roman" w:hAnsi="Times New Roman"/>
          <w:sz w:val="24"/>
        </w:rPr>
        <w:t>15</w:t>
      </w:r>
      <w:r>
        <w:rPr>
          <w:rFonts w:ascii="Times New Roman" w:hAnsi="Times New Roman"/>
          <w:sz w:val="24"/>
        </w:rPr>
        <w:t>年；</w:t>
      </w:r>
    </w:p>
    <w:p w14:paraId="285E12B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）按照基金合同的约定，根据基金管理人的投资指令，及时办理清算、交割事宜；</w:t>
      </w:r>
    </w:p>
    <w:p w14:paraId="3C0044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）办理与基金托管业务活动有关的信息披露事项；</w:t>
      </w:r>
    </w:p>
    <w:p w14:paraId="714B1D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）复核、审查基金管理人计算的基金资产净值、基金份额净值和基金份额申购、赎回价格；</w:t>
      </w:r>
    </w:p>
    <w:p w14:paraId="69A5FB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）按照规定监督基金管理人的投资运作；</w:t>
      </w:r>
    </w:p>
    <w:p w14:paraId="1FAE22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）按规定制作相关账册并与基金管理人核对；</w:t>
      </w:r>
    </w:p>
    <w:p w14:paraId="766EBA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）依据基金管理人的指令或有关规定向基金份额持有人支付基金收益和赎</w:t>
      </w:r>
      <w:r>
        <w:rPr>
          <w:rFonts w:ascii="Times New Roman" w:hAnsi="Times New Roman"/>
          <w:sz w:val="24"/>
        </w:rPr>
        <w:lastRenderedPageBreak/>
        <w:t>回款项；</w:t>
      </w:r>
    </w:p>
    <w:p w14:paraId="10EB3D9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）按照规定召集基金份额持有人大会或配合基金管理人、基金份额持有人依法自行召集基金份额持有人大会；</w:t>
      </w:r>
    </w:p>
    <w:p w14:paraId="2BA630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）因违反基金合同导致基金财产损失，应承担赔偿责任，其赔偿责任不因其退任而免除；</w:t>
      </w:r>
    </w:p>
    <w:p w14:paraId="218C7D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）按规定监督基金管理人按照法律法规规定和基金合同履行其义务，基金管理人因违反基金合同造成基金财产损失时，应为基金向基金管理人追偿；</w:t>
      </w:r>
    </w:p>
    <w:p w14:paraId="25A4D6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）根据本基金合同和托管协议规定建立并保存基金份额持有人名册；</w:t>
      </w:r>
    </w:p>
    <w:p w14:paraId="3FC3C5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）参加基金财产清算组，参与基金财产的保管、清理、估价、变现和分配；</w:t>
      </w:r>
    </w:p>
    <w:p w14:paraId="54699F4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）面临解散、依法被撤销、破产或者由接管人接管其资产时，及时报告中国证监会和中国银监会，并通知基金管理人；</w:t>
      </w:r>
    </w:p>
    <w:p w14:paraId="7310B1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）执行生效的基金份额持有人大会的决定；</w:t>
      </w:r>
    </w:p>
    <w:p w14:paraId="626CB6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）法律法规、基金合同规定的以及中国证监会要求的其他义务。</w:t>
      </w:r>
    </w:p>
    <w:p w14:paraId="7F9497CF"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3、基金份额持有人的权利与义务</w:t>
      </w:r>
    </w:p>
    <w:p w14:paraId="0290CF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08711E7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每份基金份额具有同等的合法权益。</w:t>
      </w:r>
    </w:p>
    <w:p w14:paraId="76A9E39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根据《基金法》、《运作办法》及其他有关法律法规的规定，基金份额持有人的权利包括但不限于：</w:t>
      </w:r>
    </w:p>
    <w:p w14:paraId="6E8C0E9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14:paraId="0E1817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14:paraId="4D48DFA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）依法转让或者申请赎回其持有的基金份额；</w:t>
      </w:r>
    </w:p>
    <w:p w14:paraId="7FB92F6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14:paraId="7E5CA0E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42952B4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）根据基金合同的约定，出席或者委派代表出席目标</w:t>
      </w:r>
      <w:r>
        <w:rPr>
          <w:rFonts w:ascii="Times New Roman" w:hAnsi="Times New Roman"/>
          <w:sz w:val="24"/>
        </w:rPr>
        <w:t>ETF</w:t>
      </w:r>
      <w:r>
        <w:rPr>
          <w:rFonts w:ascii="Times New Roman" w:hAnsi="Times New Roman"/>
          <w:sz w:val="24"/>
        </w:rPr>
        <w:t>份额持有人大会，对目标</w:t>
      </w:r>
      <w:r>
        <w:rPr>
          <w:rFonts w:ascii="Times New Roman" w:hAnsi="Times New Roman"/>
          <w:sz w:val="24"/>
        </w:rPr>
        <w:t>ETF</w:t>
      </w:r>
      <w:r>
        <w:rPr>
          <w:rFonts w:ascii="Times New Roman" w:hAnsi="Times New Roman"/>
          <w:sz w:val="24"/>
        </w:rPr>
        <w:t>份额持有人大会审议事项行使表决权；</w:t>
      </w:r>
    </w:p>
    <w:p w14:paraId="6FA97A7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）查阅或者复制公开披露的基金信息资料；</w:t>
      </w:r>
    </w:p>
    <w:p w14:paraId="53CCDC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）监督基金管理人的投资运作；</w:t>
      </w:r>
    </w:p>
    <w:p w14:paraId="752F86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）对基金管理人、基金托管人、基金份额代销机构损害其合法权益的行为依法提起诉讼；</w:t>
      </w:r>
    </w:p>
    <w:p w14:paraId="3B5423B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）法律法规和基金合同规定的其他权利。</w:t>
      </w:r>
    </w:p>
    <w:p w14:paraId="25EB26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根据《基金法》、《运作办法》及其他有关法律法规的规定，基金份额持有人的义务包括但不限于：</w:t>
      </w:r>
    </w:p>
    <w:p w14:paraId="492C3D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）遵守法律法规、基金合同及其他有关规定；</w:t>
      </w:r>
    </w:p>
    <w:p w14:paraId="4143A85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）缴纳基金认购、申购款项及法律法规、基金合同和招募说明书规定的费用；</w:t>
      </w:r>
    </w:p>
    <w:p w14:paraId="5B9DED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）在持有的基金份额范围内，承担基金亏损或者基金合同终止的有限责任；</w:t>
      </w:r>
    </w:p>
    <w:p w14:paraId="54A622D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）不从事任何有损基金及其他基金份额持有人合法权益的活动；</w:t>
      </w:r>
    </w:p>
    <w:p w14:paraId="0493EA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）执行生效的基金份额持有人大会决议；</w:t>
      </w:r>
    </w:p>
    <w:p w14:paraId="399DB9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）遵守基金管理人、基金托管人及销售机构和注册登记机构的相关交易及业务规则；</w:t>
      </w:r>
    </w:p>
    <w:p w14:paraId="72F16CF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）返还在基金交易过程中因任何原因，自基金管理人、基金托管人、代销机构或其他基金份额持有人处获得的不当得利；</w:t>
      </w:r>
    </w:p>
    <w:p w14:paraId="32EF2E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）法律法规和基金合同规定的其他义务。</w:t>
      </w:r>
    </w:p>
    <w:p w14:paraId="1CCC6A51"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4、本基金合同当事人各方的权利义务以本基金合同为依据，不因基金账户名称而有所改变。</w:t>
      </w:r>
    </w:p>
    <w:p w14:paraId="69176EB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14:paraId="42FEE1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472F436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、召开事由</w:t>
      </w:r>
    </w:p>
    <w:p w14:paraId="7B3A9B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当出现或需要决定下列事由之一的，经基金管理人、基金托管人或持有基金份额</w:t>
      </w:r>
      <w:r>
        <w:rPr>
          <w:rFonts w:ascii="Times New Roman" w:hAnsi="Times New Roman"/>
          <w:sz w:val="24"/>
        </w:rPr>
        <w:t>10%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含本数，下同）的基金份额持有人（以基金管理人收到提议当日的基金份额计算，下同）提议时，应当召开基金份额持有人大会：</w:t>
      </w:r>
    </w:p>
    <w:p w14:paraId="125DA4A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）终止基金合同；</w:t>
      </w:r>
    </w:p>
    <w:p w14:paraId="2D82F4C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）转换基金运作方式；</w:t>
      </w:r>
    </w:p>
    <w:p w14:paraId="13F593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）变更基金类别；</w:t>
      </w:r>
    </w:p>
    <w:p w14:paraId="4F2825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）变更基金投资目标、投资范围或投资策略（法律法规和中国证监会另有规定的除外）；</w:t>
      </w:r>
    </w:p>
    <w:p w14:paraId="523D6D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）变更基金份额持有人大会议事程序；</w:t>
      </w:r>
    </w:p>
    <w:p w14:paraId="199602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）更换基金管理人、基金托管人；</w:t>
      </w:r>
    </w:p>
    <w:p w14:paraId="2AECB92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）提高基金管理人、基金托管人的报酬标准。但根据法律法规的要求提高该等报酬标准的除外；</w:t>
      </w:r>
    </w:p>
    <w:p w14:paraId="5689115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）本基金与其他基金的合并；</w:t>
      </w:r>
    </w:p>
    <w:p w14:paraId="636C46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）对基金合同当事人权利、义务产生重大影响，需召开基金份额持有人大会的变更基金合同等其他事项；</w:t>
      </w:r>
    </w:p>
    <w:p w14:paraId="4BD680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）基金管理人代表本基金的基金份额持有人提议召开或召集目标</w:t>
      </w:r>
      <w:r>
        <w:rPr>
          <w:rFonts w:ascii="Times New Roman" w:hAnsi="Times New Roman"/>
          <w:sz w:val="24"/>
        </w:rPr>
        <w:t>ETF</w:t>
      </w:r>
      <w:r>
        <w:rPr>
          <w:rFonts w:ascii="Times New Roman" w:hAnsi="Times New Roman"/>
          <w:sz w:val="24"/>
        </w:rPr>
        <w:t>份额持有人大会；</w:t>
      </w:r>
    </w:p>
    <w:p w14:paraId="7EFBD6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）法律法规、基金合同或中国证监会规定的其他情形。</w:t>
      </w:r>
    </w:p>
    <w:p w14:paraId="1E4FB4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出现以下情形之一的，可由基金管理人和基金托管人协商后修改，不需召开基金份额持有人大会：</w:t>
      </w:r>
    </w:p>
    <w:p w14:paraId="72D2FF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）调低基金管理费、基金托管费等其他应由基金或基金份额持有人承担的费用；</w:t>
      </w:r>
    </w:p>
    <w:p w14:paraId="239BFE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）法律法规要求增加的基金费用的收取；</w:t>
      </w:r>
    </w:p>
    <w:p w14:paraId="3279EC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）在法律法规和本基金合同规定的范围内调整基金的申购费率、调低赎回费率、变更或增加收费方式；</w:t>
      </w:r>
    </w:p>
    <w:p w14:paraId="0A697BD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）因相应的法律法规、证券交易所或者注册登记机构的相关业务规则发生变动必须对基金合同进行修改；</w:t>
      </w:r>
    </w:p>
    <w:p w14:paraId="0BC0B51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）基金合同的修改不涉及本基金合同当事人权利义务关系发生重大变化；</w:t>
      </w:r>
    </w:p>
    <w:p w14:paraId="7AF0AA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）基金合同的修改对基金份额持有人利益无实质性不利影响；</w:t>
      </w:r>
    </w:p>
    <w:p w14:paraId="7DB75A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）按照法律法规或本基金合同规定不需召开基金份额持有人大会的其他情形。</w:t>
      </w:r>
    </w:p>
    <w:p w14:paraId="7E0A905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、召集人及召集方式</w:t>
      </w:r>
    </w:p>
    <w:p w14:paraId="765125E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）除法律法规或本基金合同另有约定外，基金份额持有人大会由基金管理人召集。基金管理人未按规定召集或者不能召集时，由基金托管人召集。</w:t>
      </w:r>
    </w:p>
    <w:p w14:paraId="22284BA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w:t>
      </w:r>
      <w:r>
        <w:rPr>
          <w:rFonts w:ascii="Times New Roman" w:hAnsi="Times New Roman"/>
          <w:sz w:val="24"/>
        </w:rPr>
        <w:lastRenderedPageBreak/>
        <w:t>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日内召开；基金管理人决定不召集，基金托管人仍认为有必要召开的，应当自行召集。</w:t>
      </w:r>
    </w:p>
    <w:p w14:paraId="7EEB818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14:paraId="2BD466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以上的基金份额持有人就同一事项要求召开基金份额持有人大会，而基金管理人、基金托管人都不召集的，代表基金份额</w:t>
      </w:r>
      <w:r>
        <w:rPr>
          <w:rFonts w:ascii="Times New Roman" w:hAnsi="Times New Roman"/>
          <w:sz w:val="24"/>
        </w:rPr>
        <w:t>10%</w:t>
      </w:r>
      <w:r>
        <w:rPr>
          <w:rFonts w:ascii="Times New Roman" w:hAnsi="Times New Roman"/>
          <w:sz w:val="24"/>
        </w:rPr>
        <w:t>以上的基金份额持有人有权自行召集基金份额持有人大会，但应当至少提前</w:t>
      </w:r>
      <w:r>
        <w:rPr>
          <w:rFonts w:ascii="Times New Roman" w:hAnsi="Times New Roman"/>
          <w:sz w:val="24"/>
        </w:rPr>
        <w:t>30</w:t>
      </w:r>
      <w:r>
        <w:rPr>
          <w:rFonts w:ascii="Times New Roman" w:hAnsi="Times New Roman"/>
          <w:sz w:val="24"/>
        </w:rPr>
        <w:t>日向中国证监会备案。</w:t>
      </w:r>
    </w:p>
    <w:p w14:paraId="0E764D1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）基金份额持有人依法自行召集基金份额持有人大会的，基金管理人、基金托管人应当配合，不得阻碍、干扰。</w:t>
      </w:r>
    </w:p>
    <w:p w14:paraId="6B77F21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、召开基金份额持有人大会的通知时间、通知内容、通知方式</w:t>
      </w:r>
    </w:p>
    <w:p w14:paraId="738F90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基金份额持有人大会的召集人（以下简称</w:t>
      </w:r>
      <w:r>
        <w:rPr>
          <w:rFonts w:ascii="Times New Roman" w:hAnsi="Times New Roman"/>
          <w:sz w:val="24"/>
        </w:rPr>
        <w:t>“</w:t>
      </w:r>
      <w:r>
        <w:rPr>
          <w:rFonts w:ascii="Times New Roman" w:hAnsi="Times New Roman"/>
          <w:sz w:val="24"/>
        </w:rPr>
        <w:t>召集人</w:t>
      </w:r>
      <w:r>
        <w:rPr>
          <w:rFonts w:ascii="Times New Roman" w:hAnsi="Times New Roman"/>
          <w:sz w:val="24"/>
        </w:rPr>
        <w:t>”</w:t>
      </w:r>
      <w:r>
        <w:rPr>
          <w:rFonts w:ascii="Times New Roman" w:hAnsi="Times New Roman"/>
          <w:sz w:val="24"/>
        </w:rPr>
        <w:t>）负责选择确定开会时间、地点、方式和权益登记日。召开基金份额持有人大会，召集人必须于会议召开日前</w:t>
      </w:r>
      <w:r>
        <w:rPr>
          <w:rFonts w:ascii="Times New Roman" w:hAnsi="Times New Roman"/>
          <w:sz w:val="24"/>
        </w:rPr>
        <w:t>40</w:t>
      </w:r>
      <w:r>
        <w:rPr>
          <w:rFonts w:ascii="Times New Roman" w:hAnsi="Times New Roman"/>
          <w:sz w:val="24"/>
        </w:rPr>
        <w:t>日在指定媒介公告。基金份额持有人大会通知须至少载明以下内容：</w:t>
      </w:r>
    </w:p>
    <w:p w14:paraId="659E12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）会议召开的时间、地点和出席方式；</w:t>
      </w:r>
    </w:p>
    <w:p w14:paraId="7C3714A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）会议拟审议的主要事项；</w:t>
      </w:r>
    </w:p>
    <w:p w14:paraId="682038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）会议形式；</w:t>
      </w:r>
    </w:p>
    <w:p w14:paraId="37139F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）议事程序；</w:t>
      </w:r>
    </w:p>
    <w:p w14:paraId="06CD26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）有权出席基金份额持有人大会的基金份额持有人的权益登记日；</w:t>
      </w:r>
    </w:p>
    <w:p w14:paraId="0747471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）授权委托证明的内容要求（包括但不限于代理人身份、代理权限和代理有效期限等）、送达时间和地点；</w:t>
      </w:r>
    </w:p>
    <w:p w14:paraId="547DFE2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）表决方式；</w:t>
      </w:r>
    </w:p>
    <w:p w14:paraId="008B6F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）会务常设联系人姓名、电话；</w:t>
      </w:r>
    </w:p>
    <w:p w14:paraId="0052214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）出席会议者必须准备的文件和必须履行的手续；</w:t>
      </w:r>
    </w:p>
    <w:p w14:paraId="69D2970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10</w:t>
      </w:r>
      <w:r>
        <w:rPr>
          <w:rFonts w:ascii="Times New Roman" w:hAnsi="Times New Roman"/>
          <w:sz w:val="24"/>
        </w:rPr>
        <w:t>）召集人需要通知的其他事项。</w:t>
      </w:r>
    </w:p>
    <w:p w14:paraId="4EF7BE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1163F8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433819B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14:paraId="5A3ECF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）会议方式</w:t>
      </w:r>
    </w:p>
    <w:p w14:paraId="36A87B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）基金份额持有人大会的召开方式包括现场开会、通讯方式开会或法律法规和监管机关允许的其他方式。</w:t>
      </w:r>
    </w:p>
    <w:p w14:paraId="78A6886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14:paraId="27CB29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）通讯方式开会指按照本基金合同的相关规定以通讯的书面方式进行表决。</w:t>
      </w:r>
    </w:p>
    <w:p w14:paraId="38092CC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）召开基金份额持有人大会的条件</w:t>
      </w:r>
    </w:p>
    <w:p w14:paraId="5308A57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）现场开会方式</w:t>
      </w:r>
    </w:p>
    <w:p w14:paraId="0DC09C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在同时符合以下条件时，现场会议方可举行：</w:t>
      </w:r>
    </w:p>
    <w:p w14:paraId="314B29E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经核对、汇总，到会者出示的在权益登记日持有基金份额的凭证显示，全部有效凭证所对应的基金份额应占权益登记日基金总份额的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，下同）；</w:t>
      </w:r>
    </w:p>
    <w:p w14:paraId="2B9351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14:paraId="4DB6A30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未能满足上述条件的情况下，则召集人可另行确定并公告重新开会的时间（至少应在</w:t>
      </w:r>
      <w:r>
        <w:rPr>
          <w:rFonts w:ascii="Times New Roman" w:hAnsi="Times New Roman"/>
          <w:sz w:val="24"/>
        </w:rPr>
        <w:t>25</w:t>
      </w:r>
      <w:r>
        <w:rPr>
          <w:rFonts w:ascii="Times New Roman" w:hAnsi="Times New Roman"/>
          <w:sz w:val="24"/>
        </w:rPr>
        <w:t>个工作日后）和地点，但确定有权出席会议的基金份额持有人资格的权益登记日不变。</w:t>
      </w:r>
    </w:p>
    <w:p w14:paraId="7299372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）通讯开会方式</w:t>
      </w:r>
    </w:p>
    <w:p w14:paraId="7AE5DDC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在同时符合以下条件时，通讯会议方可举行：</w:t>
      </w:r>
    </w:p>
    <w:p w14:paraId="5F7A43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召集人按本基金合同规定公布会议通知后，在</w:t>
      </w:r>
      <w:r>
        <w:rPr>
          <w:rFonts w:ascii="Times New Roman" w:hAnsi="Times New Roman"/>
          <w:sz w:val="24"/>
        </w:rPr>
        <w:t>2</w:t>
      </w:r>
      <w:r>
        <w:rPr>
          <w:rFonts w:ascii="Times New Roman" w:hAnsi="Times New Roman"/>
          <w:sz w:val="24"/>
        </w:rPr>
        <w:t>个工作日内连续公布相关提示性公告；</w:t>
      </w:r>
    </w:p>
    <w:p w14:paraId="7076E4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召集人在基金托管人（如果基金托管人为召集人，则为基金管理人；以下称为</w:t>
      </w:r>
      <w:r>
        <w:rPr>
          <w:rFonts w:ascii="Times New Roman" w:hAnsi="Times New Roman"/>
          <w:sz w:val="24"/>
        </w:rPr>
        <w:t>“</w:t>
      </w:r>
      <w:r>
        <w:rPr>
          <w:rFonts w:ascii="Times New Roman" w:hAnsi="Times New Roman"/>
          <w:sz w:val="24"/>
        </w:rPr>
        <w:t>监督人</w:t>
      </w:r>
      <w:r>
        <w:rPr>
          <w:rFonts w:ascii="Times New Roman" w:hAnsi="Times New Roman"/>
          <w:sz w:val="24"/>
        </w:rPr>
        <w:t>”</w:t>
      </w:r>
      <w:r>
        <w:rPr>
          <w:rFonts w:ascii="Times New Roman" w:hAnsi="Times New Roman"/>
          <w:sz w:val="24"/>
        </w:rPr>
        <w:t>）和公证机关的监督下按照会议通知规定的方式收取和统计基金份额持有人的书面表决意见，监督人经通知拒不参加收取和统计书面表决意见的，不影响表决效力；</w:t>
      </w:r>
    </w:p>
    <w:p w14:paraId="1C18D4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本人直接出具书面意见或授权他人代表出具书面意见的基金份额持有人所代表的基金份额应占权益登记日基金总份额的</w:t>
      </w:r>
      <w:r>
        <w:rPr>
          <w:rFonts w:ascii="Times New Roman" w:hAnsi="Times New Roman"/>
          <w:sz w:val="24"/>
        </w:rPr>
        <w:t>50%</w:t>
      </w:r>
      <w:r>
        <w:rPr>
          <w:rFonts w:ascii="Times New Roman" w:hAnsi="Times New Roman"/>
          <w:sz w:val="24"/>
        </w:rPr>
        <w:t>以上；</w:t>
      </w:r>
    </w:p>
    <w:p w14:paraId="7F9512F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5067AA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如果开会条件达不到上述的条件，则召集人可另行确定并公告重新表决的时间（至少应在</w:t>
      </w:r>
      <w:r>
        <w:rPr>
          <w:rFonts w:ascii="Times New Roman" w:hAnsi="Times New Roman"/>
          <w:sz w:val="24"/>
        </w:rPr>
        <w:t>25</w:t>
      </w:r>
      <w:r>
        <w:rPr>
          <w:rFonts w:ascii="Times New Roman" w:hAnsi="Times New Roman"/>
          <w:sz w:val="24"/>
        </w:rPr>
        <w:t>个工作日后），且确定有权出席会议的基金份额持有人资格的权益登记日不变。</w:t>
      </w:r>
    </w:p>
    <w:p w14:paraId="349B631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在法律法规或监管机构允许的情况下，经会议通知载明，基金份额持有人也可以采用网络、电话或其他方式进行表决，或者采用网络、电话或其他方式授权他人代为出席会议并表决。</w:t>
      </w:r>
    </w:p>
    <w:p w14:paraId="4835DC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、议事内容与程序</w:t>
      </w:r>
    </w:p>
    <w:p w14:paraId="55673D9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74B296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）议事内容为本基金合同规定的召开基金份额持有人大会事由所涉及的内容以及会议召集人认为需提交基金份额持有人大会讨论的其他事项。</w:t>
      </w:r>
    </w:p>
    <w:p w14:paraId="02532B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）基金管理人、基金托管人、单独或合并持有权益登记日本基金总份额</w:t>
      </w:r>
      <w:r>
        <w:rPr>
          <w:rFonts w:ascii="Times New Roman" w:hAnsi="Times New Roman"/>
          <w:sz w:val="24"/>
        </w:rPr>
        <w:t>10%</w:t>
      </w:r>
      <w:r>
        <w:rPr>
          <w:rFonts w:ascii="Times New Roman" w:hAnsi="Times New Roman"/>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Times New Roman" w:hAnsi="Times New Roman"/>
          <w:sz w:val="24"/>
        </w:rPr>
        <w:t>35</w:t>
      </w:r>
      <w:r>
        <w:rPr>
          <w:rFonts w:ascii="Times New Roman" w:hAnsi="Times New Roman"/>
          <w:sz w:val="24"/>
        </w:rPr>
        <w:t>日提交召集人。召集人对于临时提案应当在大会召开日前</w:t>
      </w:r>
      <w:r>
        <w:rPr>
          <w:rFonts w:ascii="Times New Roman" w:hAnsi="Times New Roman"/>
          <w:sz w:val="24"/>
        </w:rPr>
        <w:t>30</w:t>
      </w:r>
      <w:r>
        <w:rPr>
          <w:rFonts w:ascii="Times New Roman" w:hAnsi="Times New Roman"/>
          <w:sz w:val="24"/>
        </w:rPr>
        <w:t>日公告。否则，会议的召开日期应当顺延并保证至少与临时提案公告日期有</w:t>
      </w:r>
      <w:r>
        <w:rPr>
          <w:rFonts w:ascii="Times New Roman" w:hAnsi="Times New Roman"/>
          <w:sz w:val="24"/>
        </w:rPr>
        <w:t>30</w:t>
      </w:r>
      <w:r>
        <w:rPr>
          <w:rFonts w:ascii="Times New Roman" w:hAnsi="Times New Roman"/>
          <w:sz w:val="24"/>
        </w:rPr>
        <w:t>日的间隔期。</w:t>
      </w:r>
    </w:p>
    <w:p w14:paraId="4BB6C2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）对于基金份额持有人提交的提案（包括临时提案），大会召集人应当按照以下原则对提案进行审核：</w:t>
      </w:r>
    </w:p>
    <w:p w14:paraId="3D4CCB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61F35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366050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）单独或合并持有权益登记日基金总份额</w:t>
      </w:r>
      <w:r>
        <w:rPr>
          <w:rFonts w:ascii="Times New Roman" w:hAnsi="Times New Roman"/>
          <w:sz w:val="24"/>
        </w:rPr>
        <w:t>10%</w:t>
      </w:r>
      <w:r>
        <w:rPr>
          <w:rFonts w:ascii="Times New Roman" w:hAnsi="Times New Roman"/>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个月。法律法规另有规定的除外。</w:t>
      </w:r>
    </w:p>
    <w:p w14:paraId="27F51E0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）基金份额持有人大会的召集人发出召开会议的通知后，如果需要对原有提案进行修改，应当最迟在基金份额持有人大会召开日前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14:paraId="018D78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2B4D6E6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549046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DED51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Times New Roman" w:hAnsi="Times New Roman"/>
          <w:sz w:val="24"/>
        </w:rPr>
        <w:t>50%</w:t>
      </w:r>
      <w:r>
        <w:rPr>
          <w:rFonts w:ascii="Times New Roman" w:hAnsi="Times New Roman"/>
          <w:sz w:val="24"/>
        </w:rPr>
        <w:t>以上多数选举产生一名代表作为该次基金份额持有人大会的主持人。基金管理人和基金托管人不出席或主持基金份额持有人大会，不影响基金份额持有人大会作出的决议的效力。</w:t>
      </w:r>
    </w:p>
    <w:p w14:paraId="545CE8C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召集人应当制作出席会议人员的签名册。签名册载明参加会议人员姓名（或单</w:t>
      </w:r>
      <w:r>
        <w:rPr>
          <w:rFonts w:ascii="Times New Roman" w:hAnsi="Times New Roman"/>
          <w:sz w:val="24"/>
        </w:rPr>
        <w:lastRenderedPageBreak/>
        <w:t>位名称）、身份证号码、持有或代表有表决权的基金份额、委托人姓名（或单位名称）等事项。</w:t>
      </w:r>
    </w:p>
    <w:p w14:paraId="0B5BF4F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）通讯方式开会</w:t>
      </w:r>
    </w:p>
    <w:p w14:paraId="61D252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在通讯表决开会的方式下，首先由召集人提前</w:t>
      </w:r>
      <w:r>
        <w:rPr>
          <w:rFonts w:ascii="Times New Roman" w:hAnsi="Times New Roman"/>
          <w:sz w:val="24"/>
        </w:rPr>
        <w:t>30</w:t>
      </w:r>
      <w:r>
        <w:rPr>
          <w:rFonts w:ascii="Times New Roman" w:hAnsi="Times New Roman"/>
          <w:sz w:val="24"/>
        </w:rPr>
        <w:t>日公布提案，在所通知的表决截止日期第</w:t>
      </w:r>
      <w:r>
        <w:rPr>
          <w:rFonts w:ascii="Times New Roman" w:hAnsi="Times New Roman"/>
          <w:sz w:val="24"/>
        </w:rPr>
        <w:t>2</w:t>
      </w:r>
      <w:r>
        <w:rPr>
          <w:rFonts w:ascii="Times New Roman" w:hAnsi="Times New Roman"/>
          <w:sz w:val="24"/>
        </w:rPr>
        <w:t>日在公证机构监督下由召集人统计全部有效表决并形成决议。如监督人经通知但拒绝到场监督，则在公正机关监督下形成的决议有效。</w:t>
      </w:r>
    </w:p>
    <w:p w14:paraId="5CBB46C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）基金份额持有人大会不得对未事先公告的议事内容进行表决。</w:t>
      </w:r>
    </w:p>
    <w:p w14:paraId="1796875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、决议形成的条件、表决方式、程序</w:t>
      </w:r>
    </w:p>
    <w:p w14:paraId="04D3396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）基金份额持有人所持每一基金份额享有平等的表决权。</w:t>
      </w:r>
    </w:p>
    <w:p w14:paraId="364CDBC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）基金份额持有人大会决议分为一般决议和特别决议：</w:t>
      </w:r>
    </w:p>
    <w:p w14:paraId="3D97910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）一般决议</w:t>
      </w:r>
    </w:p>
    <w:p w14:paraId="7AA43E9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一般决议须经出席会议的基金份额持有人及其代理人所持表决权的</w:t>
      </w:r>
      <w:r>
        <w:rPr>
          <w:rFonts w:ascii="Times New Roman" w:hAnsi="Times New Roman"/>
          <w:sz w:val="24"/>
        </w:rPr>
        <w:t>50%</w:t>
      </w:r>
      <w:r>
        <w:rPr>
          <w:rFonts w:ascii="Times New Roman" w:hAnsi="Times New Roman"/>
          <w:sz w:val="24"/>
        </w:rPr>
        <w:t>以上通过方为有效，除下列</w:t>
      </w:r>
      <w:r>
        <w:rPr>
          <w:rFonts w:ascii="Times New Roman" w:hAnsi="Times New Roman"/>
          <w:sz w:val="24"/>
        </w:rPr>
        <w:t>2</w:t>
      </w:r>
      <w:r>
        <w:rPr>
          <w:rFonts w:ascii="Times New Roman" w:hAnsi="Times New Roman"/>
          <w:sz w:val="24"/>
        </w:rPr>
        <w:t>）所规定的须以特别决议通过事项以外的其他事项均以一般决议的方式通过；</w:t>
      </w:r>
    </w:p>
    <w:p w14:paraId="0A0220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）特别决议</w:t>
      </w:r>
    </w:p>
    <w:p w14:paraId="0EAFC7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08746B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）基金份额持有人大会决定的事项，应当依法报中国证监会核准，或者备案，并予以公告。</w:t>
      </w:r>
    </w:p>
    <w:p w14:paraId="7554CFC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51B2E0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）基金份额持有人大会采取记名方式进行投票表决。</w:t>
      </w:r>
    </w:p>
    <w:p w14:paraId="564E051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）基金份额持有人大会的各项提案或同一项提案内并列的各项议题应当分开审议、逐项表决。</w:t>
      </w:r>
    </w:p>
    <w:p w14:paraId="0A273EA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、计票</w:t>
      </w:r>
    </w:p>
    <w:p w14:paraId="1E9B05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3C2542C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）如基金份额持有人大会由基金管理人或基金托管人召集，则基金份额持有</w:t>
      </w:r>
      <w:r>
        <w:rPr>
          <w:rFonts w:ascii="Times New Roman" w:hAnsi="Times New Roman"/>
          <w:sz w:val="24"/>
        </w:rPr>
        <w:lastRenderedPageBreak/>
        <w:t>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Times New Roman" w:hAnsi="Times New Roman"/>
          <w:sz w:val="24"/>
        </w:rPr>
        <w:t>3</w:t>
      </w:r>
      <w:r>
        <w:rPr>
          <w:rFonts w:ascii="Times New Roman" w:hAnsi="Times New Roman"/>
          <w:sz w:val="24"/>
        </w:rPr>
        <w:t>名基金份额持有人担任监票人。基金管理人或基金托管人不出席大会的，不影响计票的效力及表决结果。</w:t>
      </w:r>
    </w:p>
    <w:p w14:paraId="7C7F1CD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）监票人应当在基金份额持有人表决后立即进行清点，由大会主持人当场公布计票结果。</w:t>
      </w:r>
    </w:p>
    <w:p w14:paraId="338324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492D500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p>
    <w:p w14:paraId="6A63D68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）通讯方式开会</w:t>
      </w:r>
    </w:p>
    <w:p w14:paraId="132A363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56F8E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、基金份额持有人大会决议报中国证监会核准或备案后的公告时间、方式</w:t>
      </w:r>
    </w:p>
    <w:p w14:paraId="33B2755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）基金份额持有人大会通过的一般决议和特别决议，召集人应当自通过之日起</w:t>
      </w:r>
      <w:r>
        <w:rPr>
          <w:rFonts w:ascii="Times New Roman" w:hAnsi="Times New Roman"/>
          <w:sz w:val="24"/>
        </w:rPr>
        <w:t>5</w:t>
      </w:r>
      <w:r>
        <w:rPr>
          <w:rFonts w:ascii="Times New Roman" w:hAnsi="Times New Roman"/>
          <w:sz w:val="24"/>
        </w:rPr>
        <w:t>日内报中国证监会核准或者备案。基金份额持有人大会决定的事项自中国证监会依法核准或者出具无异议意见之日起生效，并在生效后方可执行。</w:t>
      </w:r>
    </w:p>
    <w:p w14:paraId="604C56E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）生效的基金份额持有人大会决议对全体基金份额持有人、基金管理人、基金托管人均有约束力。基金管理人、基金托管人和基金份额持有人应当执行生效的基金份额持有人大会的决定。</w:t>
      </w:r>
    </w:p>
    <w:p w14:paraId="6BADF2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）基金份额持有人大会决议应自生效之日起</w:t>
      </w:r>
      <w:r>
        <w:rPr>
          <w:rFonts w:ascii="Times New Roman" w:hAnsi="Times New Roman"/>
          <w:sz w:val="24"/>
        </w:rPr>
        <w:t>2</w:t>
      </w:r>
      <w:r>
        <w:rPr>
          <w:rFonts w:ascii="Times New Roman" w:hAnsi="Times New Roman"/>
          <w:sz w:val="24"/>
        </w:rPr>
        <w:t>个工作日内在指定媒介上公告。</w:t>
      </w:r>
    </w:p>
    <w:p w14:paraId="0B3CB62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）如果采用通讯方式进行表决，在公告基金份额持有人大会决议时，必须将公证书全文、公证机关、公证员姓名等一同公告。</w:t>
      </w:r>
    </w:p>
    <w:p w14:paraId="33258D2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、鉴于本基金是目标</w:t>
      </w:r>
      <w:r>
        <w:rPr>
          <w:rFonts w:ascii="Times New Roman" w:hAnsi="Times New Roman"/>
          <w:sz w:val="24"/>
        </w:rPr>
        <w:t xml:space="preserve">ETF </w:t>
      </w:r>
      <w:r>
        <w:rPr>
          <w:rFonts w:ascii="Times New Roman" w:hAnsi="Times New Roman"/>
          <w:sz w:val="24"/>
        </w:rPr>
        <w:t>的联接基金，本基金的基金份额持有人可以凭所持</w:t>
      </w:r>
      <w:r>
        <w:rPr>
          <w:rFonts w:ascii="Times New Roman" w:hAnsi="Times New Roman"/>
          <w:sz w:val="24"/>
        </w:rPr>
        <w:lastRenderedPageBreak/>
        <w:t>有的本基金份额出席或者委派代表出席目标</w:t>
      </w:r>
      <w:r>
        <w:rPr>
          <w:rFonts w:ascii="Times New Roman" w:hAnsi="Times New Roman"/>
          <w:sz w:val="24"/>
        </w:rPr>
        <w:t xml:space="preserve">ETF </w:t>
      </w:r>
      <w:r>
        <w:rPr>
          <w:rFonts w:ascii="Times New Roman" w:hAnsi="Times New Roman"/>
          <w:sz w:val="24"/>
        </w:rPr>
        <w:t>的基金份额持有人大会并参与表决。在计算参会份额和计票时，本基金持有人其持有的享有表决权的基金份额数和表决票数为：在目标</w:t>
      </w:r>
      <w:r>
        <w:rPr>
          <w:rFonts w:ascii="Times New Roman" w:hAnsi="Times New Roman"/>
          <w:sz w:val="24"/>
        </w:rPr>
        <w:t xml:space="preserve">ETF </w:t>
      </w:r>
      <w:r>
        <w:rPr>
          <w:rFonts w:ascii="Times New Roman" w:hAnsi="Times New Roman"/>
          <w:sz w:val="24"/>
        </w:rPr>
        <w:t>基金份额持有人大会的权益登记日，本基金持有目标</w:t>
      </w:r>
      <w:r>
        <w:rPr>
          <w:rFonts w:ascii="Times New Roman" w:hAnsi="Times New Roman"/>
          <w:sz w:val="24"/>
        </w:rPr>
        <w:t xml:space="preserve">ETF </w:t>
      </w:r>
      <w:r>
        <w:rPr>
          <w:rFonts w:ascii="Times New Roman" w:hAnsi="Times New Roman"/>
          <w:sz w:val="24"/>
        </w:rPr>
        <w:t>份额的总数乘以该基金份额持有人所持有的本基金份额占本基金总份额的比例。计算结果按照四舍五入的方法，保留到整数位。</w:t>
      </w:r>
    </w:p>
    <w:p w14:paraId="42A3E7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本基金的基金管理人不应以本基金的名义代表本基金的全体基金份额持有人以目标</w:t>
      </w:r>
      <w:r>
        <w:rPr>
          <w:rFonts w:ascii="Times New Roman" w:hAnsi="Times New Roman"/>
          <w:sz w:val="24"/>
        </w:rPr>
        <w:t xml:space="preserve">ETF </w:t>
      </w:r>
      <w:r>
        <w:rPr>
          <w:rFonts w:ascii="Times New Roman" w:hAnsi="Times New Roman"/>
          <w:sz w:val="24"/>
        </w:rPr>
        <w:t>的基金份额持有人的身份行使表决权，但可接受本基金的特定基金份额持有人的委托以本基金的基金份额持有人代理人的身份出席目标</w:t>
      </w:r>
      <w:r>
        <w:rPr>
          <w:rFonts w:ascii="Times New Roman" w:hAnsi="Times New Roman"/>
          <w:sz w:val="24"/>
        </w:rPr>
        <w:t xml:space="preserve">ETF </w:t>
      </w:r>
      <w:r>
        <w:rPr>
          <w:rFonts w:ascii="Times New Roman" w:hAnsi="Times New Roman"/>
          <w:sz w:val="24"/>
        </w:rPr>
        <w:t>的基金份额持有人大会并参与表决。</w:t>
      </w:r>
    </w:p>
    <w:p w14:paraId="25075C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本基金的基金管理人代表本基金的基金份额持有人提议召开或召集目标</w:t>
      </w:r>
      <w:r>
        <w:rPr>
          <w:rFonts w:ascii="Times New Roman" w:hAnsi="Times New Roman"/>
          <w:sz w:val="24"/>
        </w:rPr>
        <w:t xml:space="preserve">ETF </w:t>
      </w:r>
      <w:r>
        <w:rPr>
          <w:rFonts w:ascii="Times New Roman" w:hAnsi="Times New Roman"/>
          <w:sz w:val="24"/>
        </w:rPr>
        <w:t>基金份额持有人大会的，须先遵照本基金《基金合同》的约定召开本基金的基金份额持有人大会。本基金的基金份额持有人大会决定提议召开或召集目标</w:t>
      </w:r>
      <w:r>
        <w:rPr>
          <w:rFonts w:ascii="Times New Roman" w:hAnsi="Times New Roman"/>
          <w:sz w:val="24"/>
        </w:rPr>
        <w:t xml:space="preserve">ETF </w:t>
      </w:r>
      <w:r>
        <w:rPr>
          <w:rFonts w:ascii="Times New Roman" w:hAnsi="Times New Roman"/>
          <w:sz w:val="24"/>
        </w:rPr>
        <w:t>基金份额持有人大会的，由本基金基金管理人代表本基金的基金份额持有人提议召开或召集目标</w:t>
      </w:r>
      <w:r>
        <w:rPr>
          <w:rFonts w:ascii="Times New Roman" w:hAnsi="Times New Roman"/>
          <w:sz w:val="24"/>
        </w:rPr>
        <w:t>ETF</w:t>
      </w:r>
      <w:r>
        <w:rPr>
          <w:rFonts w:ascii="Times New Roman" w:hAnsi="Times New Roman"/>
          <w:sz w:val="24"/>
        </w:rPr>
        <w:t>基金份额持有人大会。</w:t>
      </w:r>
    </w:p>
    <w:p w14:paraId="26739B6C"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（三）基金合同的变更与终止</w:t>
      </w:r>
    </w:p>
    <w:p w14:paraId="3C1E55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72C9A6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3D0D7E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）但出现下列情况时，可不经基金份额持有人大会决议，由基金管理人和基金托管人同意变更后公布经修订的基金合同，并报中国证监会备案：</w:t>
      </w:r>
    </w:p>
    <w:p w14:paraId="49B2C58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）调低基金管理费、基金托管费等应由基金或基金份额持有人承担的费用；</w:t>
      </w:r>
    </w:p>
    <w:p w14:paraId="6A51CF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5F897F7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）在法律法规和本基金合同规定的范围内调整基金的申购费率、调低赎回费率、变更或增加收费方式；</w:t>
      </w:r>
    </w:p>
    <w:p w14:paraId="38EC5D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）因相应的法律法规、证券交易所或者注册登记机构的相关业务规则发生变动必须对基金合同进行修改；</w:t>
      </w:r>
    </w:p>
    <w:p w14:paraId="5EC67DC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）基金合同的修改不涉及本基金合同当事人权利义务关系发生重大变化；</w:t>
      </w:r>
    </w:p>
    <w:p w14:paraId="7FD4B9B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）基金合同的修改对基金份额持有人利益无实质性不利影响；</w:t>
      </w:r>
    </w:p>
    <w:p w14:paraId="1EE6CE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）按照法律法规或本基金合同规定不需召开基金份额持有人大会的其他情形。</w:t>
      </w:r>
    </w:p>
    <w:p w14:paraId="179C00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、基金合同的终止</w:t>
      </w:r>
    </w:p>
    <w:p w14:paraId="56C962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有下列情形之一的，本基金合同经中国证监会核准后将终止：</w:t>
      </w:r>
    </w:p>
    <w:p w14:paraId="06D8F50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4C3CFF2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14:paraId="5B14A3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14:paraId="34A5C754" w14:textId="22DA753F" w:rsidR="00254E91" w:rsidRPr="00254E91" w:rsidRDefault="00E47C67" w:rsidP="00254E91">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4</w:t>
      </w:r>
      <w:r>
        <w:rPr>
          <w:rFonts w:ascii="Times New Roman" w:hAnsi="Times New Roman"/>
          <w:sz w:val="24"/>
        </w:rPr>
        <w:t>）</w:t>
      </w:r>
      <w:r w:rsidR="00254E91" w:rsidRPr="00254E91">
        <w:rPr>
          <w:rFonts w:ascii="Times New Roman" w:hAnsi="Times New Roman"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1C8B229" w14:textId="394EB822" w:rsidR="00A77DF8" w:rsidRDefault="007233FF" w:rsidP="00254E91">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sidR="00E47C67">
        <w:rPr>
          <w:rFonts w:ascii="Times New Roman" w:hAnsi="Times New Roman"/>
          <w:sz w:val="24"/>
        </w:rPr>
        <w:t>相关法律法规和中国证监会规定的其他情况。</w:t>
      </w:r>
    </w:p>
    <w:p w14:paraId="4B67A0C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w:t>
      </w:r>
    </w:p>
    <w:p w14:paraId="619053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78E6FC1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14:paraId="506131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本基金合同适用中华人民共和国法律并从其解释。</w:t>
      </w:r>
    </w:p>
    <w:p w14:paraId="3BBF8738"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（五）基金合同存放及投资者取得基金合同的方式</w:t>
      </w:r>
    </w:p>
    <w:p w14:paraId="3DB346B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14:paraId="21AC86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本基金合同可印制成册，供基金投资者在基金管理人和基金托管人办公场所查阅。基金合同条款及内容应以基金合同正本为准。</w:t>
      </w:r>
    </w:p>
    <w:p w14:paraId="729E0F62"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C10AD4" w14:textId="77777777" w:rsidR="00A77DF8" w:rsidRDefault="00E47C67">
      <w:pPr>
        <w:pStyle w:val="1"/>
        <w:snapToGrid w:val="0"/>
        <w:spacing w:beforeLines="0" w:before="240" w:after="240"/>
        <w:rPr>
          <w:rFonts w:ascii="宋体" w:hAnsi="宋体"/>
          <w:szCs w:val="30"/>
        </w:rPr>
      </w:pPr>
      <w:bookmarkStart w:id="23" w:name="_Toc54104425"/>
      <w:r>
        <w:rPr>
          <w:rFonts w:ascii="Times New Roman" w:hAnsi="Times New Roman"/>
          <w:sz w:val="30"/>
        </w:rPr>
        <w:lastRenderedPageBreak/>
        <w:t>二十一、托管协议的内容摘要</w:t>
      </w:r>
      <w:bookmarkEnd w:id="23"/>
    </w:p>
    <w:p w14:paraId="6CC933F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7DDB79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67D002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320774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63195EA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5F51EA2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6490320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0ADB42C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89DB4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[2005]128</w:t>
      </w:r>
      <w:r>
        <w:rPr>
          <w:rFonts w:ascii="Times New Roman" w:hAnsi="Times New Roman"/>
          <w:sz w:val="24"/>
        </w:rPr>
        <w:t>号</w:t>
      </w:r>
    </w:p>
    <w:p w14:paraId="7514BFD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14:paraId="3810712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注册资本：贰亿元人民币</w:t>
      </w:r>
    </w:p>
    <w:p w14:paraId="69D0A02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039DF0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5D1E99F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7A063E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14:paraId="5C969C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14:paraId="190ACC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4E43E0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14:paraId="1CF722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4FFFB2C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1F7B14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14:paraId="4FC0E00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基金托管资格批准文号：中国证监会证监基字</w:t>
      </w:r>
      <w:r>
        <w:rPr>
          <w:rFonts w:ascii="Times New Roman" w:hAnsi="Times New Roman"/>
          <w:sz w:val="24"/>
        </w:rPr>
        <w:t>[1998]23</w:t>
      </w:r>
      <w:r>
        <w:rPr>
          <w:rFonts w:ascii="Times New Roman" w:hAnsi="Times New Roman"/>
          <w:sz w:val="24"/>
        </w:rPr>
        <w:t>号</w:t>
      </w:r>
    </w:p>
    <w:p w14:paraId="3560424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14:paraId="48DBFC7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3A71CE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w:t>
      </w:r>
      <w:r>
        <w:rPr>
          <w:rFonts w:ascii="Times New Roman" w:hAnsi="Times New Roman"/>
          <w:sz w:val="24"/>
        </w:rPr>
        <w:t xml:space="preserve"> </w:t>
      </w:r>
      <w:r>
        <w:rPr>
          <w:rFonts w:ascii="Times New Roman" w:hAnsi="Times New Roman"/>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Times New Roman" w:hAnsi="Times New Roman"/>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Times New Roman" w:hAnsi="Times New Roman"/>
          <w:sz w:val="24"/>
        </w:rPr>
        <w:t xml:space="preserve"> </w:t>
      </w:r>
      <w:r>
        <w:rPr>
          <w:rFonts w:ascii="Times New Roman" w:hAnsi="Times New Roman"/>
          <w:sz w:val="24"/>
        </w:rPr>
        <w:t>券投资托管业务；代理开放式基金业务；电话银行、手机银行、网上银行业务；金融衍生产品交易业务；经国务院银行业监督管理机构等监管部门批准的其他业务。</w:t>
      </w:r>
    </w:p>
    <w:p w14:paraId="3B017537"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41FA994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5D6C12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本基金以目标</w:t>
      </w:r>
      <w:r>
        <w:rPr>
          <w:rFonts w:ascii="Times New Roman" w:hAnsi="Times New Roman"/>
          <w:sz w:val="24"/>
        </w:rPr>
        <w:t>ETF</w:t>
      </w:r>
      <w:r>
        <w:rPr>
          <w:rFonts w:ascii="Times New Roman" w:hAnsi="Times New Roman"/>
          <w:sz w:val="24"/>
        </w:rPr>
        <w:t>、标的指数成份股、备选成份股为主要投资对象（含中小板股票和创业板股票及其他经中国证监会核准的上市股票</w:t>
      </w:r>
      <w:r w:rsidR="00583CCA">
        <w:rPr>
          <w:rFonts w:ascii="Times New Roman" w:hAnsi="Times New Roman"/>
          <w:sz w:val="24"/>
        </w:rPr>
        <w:t>、</w:t>
      </w:r>
      <w:r w:rsidR="00583CCA">
        <w:rPr>
          <w:rFonts w:ascii="Times New Roman" w:hAnsi="Times New Roman" w:hint="eastAsia"/>
          <w:sz w:val="24"/>
        </w:rPr>
        <w:t>存托凭证</w:t>
      </w:r>
      <w:r>
        <w:rPr>
          <w:rFonts w:ascii="Times New Roman" w:hAnsi="Times New Roman"/>
          <w:sz w:val="24"/>
        </w:rPr>
        <w:t>），把全部或接近全部的基金资产用于跟踪标的指数的表现，正常情况下投资于目标</w:t>
      </w:r>
      <w:r>
        <w:rPr>
          <w:rFonts w:ascii="Times New Roman" w:hAnsi="Times New Roman"/>
          <w:sz w:val="24"/>
        </w:rPr>
        <w:t>ETF</w:t>
      </w:r>
      <w:r>
        <w:rPr>
          <w:rFonts w:ascii="Times New Roman" w:hAnsi="Times New Roman"/>
          <w:sz w:val="24"/>
        </w:rPr>
        <w:t>的资产比例不低于基金资产净值的</w:t>
      </w:r>
      <w:r>
        <w:rPr>
          <w:rFonts w:ascii="Times New Roman" w:hAnsi="Times New Roman"/>
          <w:sz w:val="24"/>
        </w:rPr>
        <w:t>90%</w:t>
      </w:r>
      <w:r>
        <w:rPr>
          <w:rFonts w:ascii="Times New Roman" w:hAnsi="Times New Roman"/>
          <w:sz w:val="24"/>
        </w:rPr>
        <w:t>，基金持有的现金及到期日在一年以内的政府债券的投资比例合计不低于基金资产净值的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，其中现金不包括结算备付金、存出保证金和应收申购款等。此外，为更好地实现投资目标，本基金也可少量投资于新股</w:t>
      </w:r>
      <w:r w:rsidR="00275575">
        <w:rPr>
          <w:rFonts w:ascii="Times New Roman" w:hAnsi="Times New Roman"/>
          <w:sz w:val="24"/>
        </w:rPr>
        <w:t>（</w:t>
      </w:r>
      <w:r w:rsidR="00275575">
        <w:rPr>
          <w:rFonts w:ascii="Times New Roman" w:hAnsi="Times New Roman" w:hint="eastAsia"/>
          <w:sz w:val="24"/>
        </w:rPr>
        <w:t>含存托凭证</w:t>
      </w:r>
      <w:r w:rsidR="00275575">
        <w:rPr>
          <w:rFonts w:ascii="Times New Roman" w:hAnsi="Times New Roman"/>
          <w:sz w:val="24"/>
        </w:rPr>
        <w:t>）</w:t>
      </w:r>
      <w:r>
        <w:rPr>
          <w:rFonts w:ascii="Times New Roman" w:hAnsi="Times New Roman"/>
          <w:sz w:val="24"/>
        </w:rPr>
        <w:t>、债券、回购、权证及中国证监会允许基金投资的其它金融工具（但须符合中国证监会的相关规定）。如法律法规或监管机构以后允许基金投资其它品种，基金管理人在履行适当程序后，可以将其纳入投资范围。</w:t>
      </w:r>
    </w:p>
    <w:p w14:paraId="5ABE0F1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、基金托管人根据有关法律法规的规定及基金合同的约定，对基金投资、融资、融券比例进行监督。基金托管人按下述比例和调整期限进行监督：</w:t>
      </w:r>
    </w:p>
    <w:p w14:paraId="485628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）进入全国银行间同业市场的债券回购融入的资金余额不超过基金资产净值的</w:t>
      </w:r>
      <w:r>
        <w:rPr>
          <w:rFonts w:ascii="Times New Roman" w:hAnsi="Times New Roman"/>
          <w:sz w:val="24"/>
        </w:rPr>
        <w:t>40%</w:t>
      </w:r>
      <w:r>
        <w:rPr>
          <w:rFonts w:ascii="Times New Roman" w:hAnsi="Times New Roman"/>
          <w:sz w:val="24"/>
        </w:rPr>
        <w:t>。债券回购最长期限为１年，债券回购到期后不得展期；</w:t>
      </w:r>
    </w:p>
    <w:p w14:paraId="2C6C9C5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5DB738D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）本基金投资权证，在任何交易日买入权证的总金额，不得超过上一交易</w:t>
      </w:r>
      <w:r>
        <w:rPr>
          <w:rFonts w:ascii="Times New Roman" w:hAnsi="Times New Roman"/>
          <w:sz w:val="24"/>
        </w:rPr>
        <w:lastRenderedPageBreak/>
        <w:t>日基金资产净值的</w:t>
      </w:r>
      <w:r>
        <w:rPr>
          <w:rFonts w:ascii="Times New Roman" w:hAnsi="Times New Roman"/>
          <w:sz w:val="24"/>
        </w:rPr>
        <w:t>0.5%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；本基金与本基金管理人管理的其他基金持有的同一权证，不得超过该权证的</w:t>
      </w:r>
      <w:r>
        <w:rPr>
          <w:rFonts w:ascii="Times New Roman" w:hAnsi="Times New Roman"/>
          <w:sz w:val="24"/>
        </w:rPr>
        <w:t>10%</w:t>
      </w:r>
      <w:r>
        <w:rPr>
          <w:rFonts w:ascii="Times New Roman" w:hAnsi="Times New Roman"/>
          <w:sz w:val="24"/>
        </w:rPr>
        <w:t>；法律法规或监管部门另有规定的，遵从其规定；</w:t>
      </w:r>
    </w:p>
    <w:p w14:paraId="590D15A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；本基金投资于同一原始权益人的各类资产支持证券的比例，不得超过该基金资产净值的</w:t>
      </w:r>
      <w:r>
        <w:rPr>
          <w:rFonts w:ascii="Times New Roman" w:hAnsi="Times New Roman"/>
          <w:sz w:val="24"/>
        </w:rPr>
        <w:t>10%</w:t>
      </w:r>
      <w:r>
        <w:rPr>
          <w:rFonts w:ascii="Times New Roman" w:hAnsi="Times New Roman"/>
          <w:sz w:val="24"/>
        </w:rPr>
        <w:t>；本基金管理人管理的全部证券投资基金投资于同一原始权益人的各类资产支持证券，不得超过其各类资产支持证券合计规模的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；本基金持有的全部资产支持证券，其市值不得超过该基金资产净值的</w:t>
      </w:r>
      <w:r>
        <w:rPr>
          <w:rFonts w:ascii="Times New Roman" w:hAnsi="Times New Roman"/>
          <w:sz w:val="24"/>
        </w:rPr>
        <w:t>20%</w:t>
      </w:r>
      <w:r>
        <w:rPr>
          <w:rFonts w:ascii="Times New Roman" w:hAnsi="Times New Roman"/>
          <w:sz w:val="24"/>
        </w:rPr>
        <w:t>；</w:t>
      </w:r>
    </w:p>
    <w:p w14:paraId="6605922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14:paraId="7EC5734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）本基金持有一家公司发行的流通受限证券，其市值不得超过基金资产净值的</w:t>
      </w:r>
      <w:r>
        <w:rPr>
          <w:rFonts w:ascii="Times New Roman" w:hAnsi="Times New Roman"/>
          <w:sz w:val="24"/>
        </w:rPr>
        <w:t>2%</w:t>
      </w:r>
      <w:r>
        <w:rPr>
          <w:rFonts w:ascii="Times New Roman" w:hAnsi="Times New Roman"/>
          <w:sz w:val="24"/>
        </w:rPr>
        <w:t>；本基金持有的所有流通受限证券，其市值不得超过该基金资产净值的</w:t>
      </w:r>
      <w:r>
        <w:rPr>
          <w:rFonts w:ascii="Times New Roman" w:hAnsi="Times New Roman"/>
          <w:sz w:val="24"/>
        </w:rPr>
        <w:t>15%</w:t>
      </w:r>
      <w:r>
        <w:rPr>
          <w:rFonts w:ascii="Times New Roman" w:hAnsi="Times New Roman"/>
          <w:sz w:val="24"/>
        </w:rPr>
        <w:t>；</w:t>
      </w:r>
    </w:p>
    <w:p w14:paraId="77E46E1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）本基金不得违反基金合同中有关投资范围、投资策略、投资比例的规定；</w:t>
      </w:r>
    </w:p>
    <w:p w14:paraId="115F65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13B2C7A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4CA342C4" w14:textId="77777777" w:rsidR="00583CCA" w:rsidRDefault="00E47C6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10</w:t>
      </w:r>
      <w:r>
        <w:rPr>
          <w:rFonts w:ascii="Times New Roman" w:hAnsi="Times New Roman"/>
          <w:sz w:val="24"/>
        </w:rPr>
        <w:t>）</w:t>
      </w:r>
      <w:r w:rsidR="00583CCA" w:rsidRPr="00583CCA">
        <w:rPr>
          <w:rFonts w:ascii="Times New Roman" w:hAnsi="Times New Roman" w:hint="eastAsia"/>
          <w:sz w:val="24"/>
        </w:rPr>
        <w:t>本基金投资存托凭证的比例限制依照境内上市交易的股票执行；</w:t>
      </w:r>
    </w:p>
    <w:p w14:paraId="2E4529E7" w14:textId="77777777" w:rsidR="00A77DF8" w:rsidRDefault="00583CC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w:t>
      </w:r>
      <w:r w:rsidR="00E47C67">
        <w:rPr>
          <w:rFonts w:ascii="Times New Roman" w:hAnsi="Times New Roman"/>
          <w:sz w:val="24"/>
        </w:rPr>
        <w:t>法律法规或监管部门对上述比例限制另有规定的，从其规定。</w:t>
      </w:r>
    </w:p>
    <w:p w14:paraId="2E654E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个月内使基金的投资组合比例符合基金合同的约定。在符合相关法律法规规定的前提下，除上述第（</w:t>
      </w:r>
      <w:r>
        <w:rPr>
          <w:rFonts w:ascii="Times New Roman" w:hAnsi="Times New Roman"/>
          <w:sz w:val="24"/>
        </w:rPr>
        <w:t>5</w:t>
      </w: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9</w:t>
      </w:r>
      <w:r>
        <w:rPr>
          <w:rFonts w:ascii="Times New Roman" w:hAnsi="Times New Roman"/>
          <w:sz w:val="24"/>
        </w:rPr>
        <w:t>）项以外</w:t>
      </w:r>
      <w:r>
        <w:rPr>
          <w:rFonts w:ascii="Times New Roman" w:hAnsi="Times New Roman"/>
          <w:sz w:val="24"/>
        </w:rPr>
        <w:t>,</w:t>
      </w:r>
      <w:r>
        <w:rPr>
          <w:rFonts w:ascii="Times New Roman" w:hAnsi="Times New Roman"/>
          <w:sz w:val="24"/>
        </w:rPr>
        <w:t>因证券市场波动、上市公司合并、基金规模变动、标的指数成分股调整、基金申购或赎回带来现金等基金管理人之外的因素致使基金投资组合比例不符合上述规定的投资比例的，基金管理人应当在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14:paraId="7F7F48D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若法律法规或监管部门对上述约定的投资组合比例限制规定进行变更的，以变更后的规定为准；若法律法规或监管部门取消上述限制，在履行适当程序后，本基</w:t>
      </w:r>
      <w:r>
        <w:rPr>
          <w:rFonts w:ascii="Times New Roman" w:hAnsi="Times New Roman"/>
          <w:sz w:val="24"/>
        </w:rPr>
        <w:lastRenderedPageBreak/>
        <w:t>金投资可不受上述规定限制。</w:t>
      </w:r>
    </w:p>
    <w:p w14:paraId="511A9A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基金托管人对基金投资的监督和检查自基金合同生效之日起开始。</w:t>
      </w:r>
    </w:p>
    <w:p w14:paraId="0495C4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0AC275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676E35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1</w:t>
      </w:r>
      <w:r>
        <w:rPr>
          <w:rFonts w:ascii="Times New Roman" w:hAnsi="Times New Roman"/>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9FDFA1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、基金托管人根据有关法律法规的规定及基金合同的约定，对基金管理人选</w:t>
      </w:r>
      <w:r>
        <w:rPr>
          <w:rFonts w:ascii="Times New Roman" w:hAnsi="Times New Roman"/>
          <w:sz w:val="24"/>
        </w:rPr>
        <w:lastRenderedPageBreak/>
        <w:t>择存款银行进行监督。</w:t>
      </w:r>
    </w:p>
    <w:p w14:paraId="6F705D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4B4A9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14:paraId="61C70A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14:paraId="2BE13CF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）基金托管人应加强对基金银行存款业务的监督与核查，严格审查、复核相关协议、账户资料、投资指令、存款证实书等有关文件，切实履行托管职责。</w:t>
      </w:r>
    </w:p>
    <w:p w14:paraId="7AED02B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14:paraId="718EBDC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基金托管人发现基金管理人在选择存款银行时有违反有关法律法规的规定及基金合同的约定的行为，应及时以书面形式通知基金管理人在</w:t>
      </w:r>
      <w:r>
        <w:rPr>
          <w:rFonts w:ascii="Times New Roman" w:hAnsi="Times New Roman"/>
          <w:sz w:val="24"/>
        </w:rPr>
        <w:t>10</w:t>
      </w:r>
      <w:r>
        <w:rPr>
          <w:rFonts w:ascii="Times New Roman" w:hAnsi="Times New Roman"/>
          <w:sz w:val="24"/>
        </w:rPr>
        <w:t>个工作日内纠正。基金管理人对基金托管人通知的违规事项未能在</w:t>
      </w:r>
      <w:r>
        <w:rPr>
          <w:rFonts w:ascii="Times New Roman" w:hAnsi="Times New Roman"/>
          <w:sz w:val="24"/>
        </w:rPr>
        <w:t>10</w:t>
      </w:r>
      <w:r>
        <w:rPr>
          <w:rFonts w:ascii="Times New Roman" w:hAnsi="Times New Roman"/>
          <w:sz w:val="24"/>
        </w:rPr>
        <w:t>个工作日内纠正的，基金托管人应报告中国证监会。基金托管人发现基金管理人有重大违规行为，应立即报告中国证监会，同时通知基金管理人在</w:t>
      </w:r>
      <w:r>
        <w:rPr>
          <w:rFonts w:ascii="Times New Roman" w:hAnsi="Times New Roman"/>
          <w:sz w:val="24"/>
        </w:rPr>
        <w:t>10</w:t>
      </w:r>
      <w:r>
        <w:rPr>
          <w:rFonts w:ascii="Times New Roman" w:hAnsi="Times New Roman"/>
          <w:sz w:val="24"/>
        </w:rPr>
        <w:t>个工作日内纠正或拒绝结算。</w:t>
      </w:r>
    </w:p>
    <w:p w14:paraId="0C14B4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1596C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如果基金管理人未经基金托管人的审核擅自将不实的业绩表现数据印制在宣传推介材料上，则基金托管人对此不承担任何责任，并将在发现后立即报告中国证监会。</w:t>
      </w:r>
    </w:p>
    <w:p w14:paraId="2EB07DD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、基金托管人根据有关法律法规的规定及基金合同的约定，对基金投资流通受限证券进行监督。</w:t>
      </w:r>
    </w:p>
    <w:p w14:paraId="43D995B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）基金投资流通受限证券，应遵守《关于规范基金投资非公开发行证券行为的紧急通知》、《关于基金投资非公开发行股票等流通受限证券有关问题的通知》等有关法律法规规定。</w:t>
      </w:r>
    </w:p>
    <w:p w14:paraId="0D51BF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w:t>
      </w:r>
      <w:r>
        <w:rPr>
          <w:rFonts w:ascii="Times New Roman" w:hAnsi="Times New Roman"/>
          <w:sz w:val="24"/>
        </w:rPr>
        <w:t>,</w:t>
      </w:r>
      <w:r>
        <w:rPr>
          <w:rFonts w:ascii="Times New Roman" w:hAnsi="Times New Roman"/>
          <w:sz w:val="24"/>
        </w:rPr>
        <w:lastRenderedPageBreak/>
        <w:t>不包括由于发布重大消息或其他原因而临时停牌的证券、已发行未上市证券、回购交易中的质押券等流通受限证券。</w:t>
      </w:r>
    </w:p>
    <w:p w14:paraId="142CCE3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15F10F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）在投资流通受限证券之前，基金管理人应至少提前一个交易日向基金托管人提供有关非公开定向增发流通受限证券的相关信息，具体应当包括但不限于如下文件（如有）：</w:t>
      </w:r>
    </w:p>
    <w:p w14:paraId="5BEF0ED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19D7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37E70C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04BA352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7694DF7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w:t>
      </w:r>
      <w:r>
        <w:rPr>
          <w:rFonts w:ascii="Times New Roman" w:hAnsi="Times New Roman"/>
          <w:sz w:val="24"/>
        </w:rPr>
        <w:lastRenderedPageBreak/>
        <w:t>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Times New Roman" w:hAnsi="Times New Roman"/>
          <w:sz w:val="24"/>
        </w:rPr>
        <w:t>,</w:t>
      </w:r>
      <w:r>
        <w:rPr>
          <w:rFonts w:ascii="Times New Roman" w:hAnsi="Times New Roman"/>
          <w:sz w:val="24"/>
        </w:rPr>
        <w:t>基金托管人有权随时对通知事项进行复查</w:t>
      </w:r>
      <w:r>
        <w:rPr>
          <w:rFonts w:ascii="Times New Roman" w:hAnsi="Times New Roman"/>
          <w:sz w:val="24"/>
        </w:rPr>
        <w:t xml:space="preserve">, </w:t>
      </w:r>
      <w:r>
        <w:rPr>
          <w:rFonts w:ascii="Times New Roman" w:hAnsi="Times New Roman"/>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84EE0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517E3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8170F0"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10D683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07CB71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ascii="Times New Roman" w:hAnsi="Times New Roman"/>
          <w:sz w:val="24"/>
        </w:rPr>
        <w:t xml:space="preserve">, </w:t>
      </w:r>
      <w:r>
        <w:rPr>
          <w:rFonts w:ascii="Times New Roman" w:hAnsi="Times New Roman"/>
          <w:sz w:val="24"/>
        </w:rPr>
        <w:t>督促基金托管人改正。基金托管人应积极配合基金管理人的核查行为，包括但不限于：提交相关资料以供</w:t>
      </w:r>
      <w:r>
        <w:rPr>
          <w:rFonts w:ascii="Times New Roman" w:hAnsi="Times New Roman"/>
          <w:sz w:val="24"/>
        </w:rPr>
        <w:lastRenderedPageBreak/>
        <w:t>基金管理人核查托管财产的完整性和真实性，在规定时间内答复基金管理人并改正。</w:t>
      </w:r>
    </w:p>
    <w:p w14:paraId="1B8842E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57A3F39"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（四）基金财产保管</w:t>
      </w:r>
    </w:p>
    <w:p w14:paraId="4DD8623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013CE97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18D656E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）基金托管人应安全保管基金财产。未经基金管理人依据合法程序作出的合法合规指令，基金托管人不得自行运用、处分、分配基金的任何财产。</w:t>
      </w:r>
    </w:p>
    <w:p w14:paraId="71CF89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14:paraId="41DB96D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）基金托管人对所托管的不同基金财产分别设置账户，与基金托管人的其他业务和其他基金的托管业务实行严格的分帐管理，确保基金财产的完整与独立。</w:t>
      </w:r>
    </w:p>
    <w:p w14:paraId="2037489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14:paraId="03E7C9E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E3A6E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14:paraId="52AD0E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14:paraId="54231E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）基金募集期间的认购款项应存于专用账户。该账户由基金管理人委托的注册登记机构开立并管理。</w:t>
      </w:r>
    </w:p>
    <w:p w14:paraId="6254E98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募集到的全部资金划入基金托管人为基金开立的基金托管资金账户，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14:paraId="6E8F337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）若基金募集期限届满，未能达到基金合同生效的条件，由基金管理人按规定办理退款等事宜，基金托管人应提供充分协助。</w:t>
      </w:r>
    </w:p>
    <w:p w14:paraId="06B60C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、基金托管资金账户的开立和管理</w:t>
      </w:r>
    </w:p>
    <w:p w14:paraId="111549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14:paraId="78B0614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218FBA3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21E825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）基金托管资金账户的开立和管理应符合相关法律法规的有关规定。</w:t>
      </w:r>
    </w:p>
    <w:p w14:paraId="61E61A1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14:paraId="5383C4C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14:paraId="01214A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14:paraId="7532328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21C8946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6F2C78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14:paraId="4ADD6D2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BB0FB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、债券托管专户的开设和管理</w:t>
      </w:r>
    </w:p>
    <w:p w14:paraId="3FBBE5F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26721EE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、其他账户的开立和管理</w:t>
      </w:r>
    </w:p>
    <w:p w14:paraId="03186C8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）因业务发展需要而开立的其他账户，可以根据法律法规和基金合同的规定，在基金管理人和基金托管人商议后由基金托管人负责开立。新账户按有关规则使用并管理。</w:t>
      </w:r>
    </w:p>
    <w:p w14:paraId="5B07F3A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14:paraId="5B1BE0A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、基金财产投资的有关有价凭证等的保管</w:t>
      </w:r>
    </w:p>
    <w:p w14:paraId="57866F5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B6A1C1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14:paraId="10C3B2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14:paraId="3EA7DCD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（五）基金资产净值计算和会计复核</w:t>
      </w:r>
    </w:p>
    <w:p w14:paraId="48D1147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、基金资产净值的计算及复核程序</w:t>
      </w:r>
    </w:p>
    <w:p w14:paraId="180A7DE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14:paraId="658C157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基金资产净值是指基金资产总值减去负债后的金额。</w:t>
      </w:r>
    </w:p>
    <w:p w14:paraId="4A20C3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基金份额净值是指基金资产净值除以基金份额总数。基金份额净值的计算，精确到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14:paraId="65E60D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每工作日计算基金资产净值及基金份额净值，并按规定公告。</w:t>
      </w:r>
    </w:p>
    <w:p w14:paraId="45AD394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14:paraId="217B72F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基金管理人每工作日对基金资产进行估值后，将基金份额净值结果发送基金托管人，经基金托管人复核无误后，由基金管理人依据基金合同和有关法律法规的规定对外公布。</w:t>
      </w:r>
    </w:p>
    <w:p w14:paraId="17F7736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14:paraId="0B14382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21BAE6F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基金依法拥有的目标</w:t>
      </w:r>
      <w:r>
        <w:rPr>
          <w:rFonts w:ascii="Times New Roman" w:hAnsi="Times New Roman"/>
          <w:sz w:val="24"/>
        </w:rPr>
        <w:t>ETF</w:t>
      </w:r>
      <w:r>
        <w:rPr>
          <w:rFonts w:ascii="Times New Roman" w:hAnsi="Times New Roman"/>
          <w:sz w:val="24"/>
        </w:rPr>
        <w:t>份额、股票、债券、权证及其他基金资产和负债。</w:t>
      </w:r>
    </w:p>
    <w:p w14:paraId="1A3A7C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14:paraId="50D74D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）目标</w:t>
      </w:r>
      <w:r>
        <w:rPr>
          <w:rFonts w:ascii="Times New Roman" w:hAnsi="Times New Roman"/>
          <w:sz w:val="24"/>
        </w:rPr>
        <w:t>ETF</w:t>
      </w:r>
      <w:r>
        <w:rPr>
          <w:rFonts w:ascii="Times New Roman" w:hAnsi="Times New Roman"/>
          <w:sz w:val="24"/>
        </w:rPr>
        <w:t>估值方法：</w:t>
      </w:r>
    </w:p>
    <w:p w14:paraId="6EC95EB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目标</w:t>
      </w:r>
      <w:r>
        <w:rPr>
          <w:rFonts w:ascii="Times New Roman" w:hAnsi="Times New Roman"/>
          <w:sz w:val="24"/>
        </w:rPr>
        <w:t>ETF</w:t>
      </w:r>
      <w:r>
        <w:rPr>
          <w:rFonts w:ascii="Times New Roman" w:hAnsi="Times New Roman"/>
          <w:sz w:val="24"/>
        </w:rPr>
        <w:t>以该</w:t>
      </w:r>
      <w:r>
        <w:rPr>
          <w:rFonts w:ascii="Times New Roman" w:hAnsi="Times New Roman"/>
          <w:sz w:val="24"/>
        </w:rPr>
        <w:t>ETF</w:t>
      </w:r>
      <w:r>
        <w:rPr>
          <w:rFonts w:ascii="Times New Roman" w:hAnsi="Times New Roman"/>
          <w:sz w:val="24"/>
        </w:rPr>
        <w:t>份额当日净值估值；若估值日非证券交易所的营业日，以该基金最近工作日的基金份额净值估值。</w:t>
      </w:r>
    </w:p>
    <w:p w14:paraId="3E448FA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）股票估值方法：</w:t>
      </w:r>
    </w:p>
    <w:p w14:paraId="674760B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上市股票的估值：</w:t>
      </w:r>
    </w:p>
    <w:p w14:paraId="38563A0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5EFCE77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未上市股票的估值：</w:t>
      </w:r>
    </w:p>
    <w:p w14:paraId="2747F68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首次发行未上市的股票，采用估值技术确定公允价值，在估值技术难以可靠计量公允价值的情况下，按成本价估值；</w:t>
      </w:r>
    </w:p>
    <w:p w14:paraId="0EC8708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送股、转增股、配股和公开增发新股等发行未上市的股票，按估值日在证券交易所上市的同一股票的市价进行估值；</w:t>
      </w:r>
    </w:p>
    <w:p w14:paraId="3A91D7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首次公开发行有明确锁定期的股票，同一股票在交易所上市后，按估值日在证券交易所上市的同一股票的市价进行估值；</w:t>
      </w:r>
    </w:p>
    <w:p w14:paraId="080C635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非公开发行的且在发行时明确一定期限锁定期的股票，按监管机构或行业协会有关规定确定公允价值。</w:t>
      </w:r>
    </w:p>
    <w:p w14:paraId="5E4ACEE0" w14:textId="77777777" w:rsidR="00583CCA" w:rsidRDefault="00E47C6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C.</w:t>
      </w:r>
      <w:r w:rsidR="0075223E" w:rsidRPr="0075223E">
        <w:rPr>
          <w:rFonts w:hint="eastAsia"/>
        </w:rPr>
        <w:t xml:space="preserve"> </w:t>
      </w:r>
      <w:r w:rsidR="0075223E" w:rsidRPr="0075223E">
        <w:rPr>
          <w:rFonts w:ascii="Times New Roman" w:hAnsi="Times New Roman" w:hint="eastAsia"/>
          <w:sz w:val="24"/>
        </w:rPr>
        <w:t>本基金投资存托凭证的估值核算依照境内上市交易的股票执行。</w:t>
      </w:r>
    </w:p>
    <w:p w14:paraId="76EF46E8" w14:textId="77777777" w:rsidR="00A77DF8" w:rsidRDefault="00583CC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sidR="00E47C67">
        <w:rPr>
          <w:rFonts w:ascii="Times New Roman" w:hAnsi="Times New Roman"/>
          <w:sz w:val="24"/>
        </w:rPr>
        <w:t>在任何情况下，基金管理人如采用本项第</w:t>
      </w:r>
      <w:r w:rsidR="00E47C67">
        <w:rPr>
          <w:rFonts w:ascii="Times New Roman" w:hAnsi="Times New Roman"/>
          <w:sz w:val="24"/>
        </w:rPr>
        <w:t>A</w:t>
      </w:r>
      <w:r w:rsidR="00E47C67">
        <w:rPr>
          <w:rFonts w:ascii="Times New Roman" w:hAnsi="Times New Roman"/>
          <w:sz w:val="24"/>
        </w:rPr>
        <w:t>－</w:t>
      </w:r>
      <w:r w:rsidR="0075223E">
        <w:rPr>
          <w:rFonts w:ascii="Times New Roman" w:hAnsi="Times New Roman"/>
          <w:sz w:val="24"/>
        </w:rPr>
        <w:t>C</w:t>
      </w:r>
      <w:r w:rsidR="00E47C67">
        <w:rPr>
          <w:rFonts w:ascii="Times New Roman" w:hAnsi="Times New Roman"/>
          <w:sz w:val="24"/>
        </w:rPr>
        <w:t>小项规定的方法对基金资产进行估值，均应被认为采用了适当的估值方法。但是，如果基金管理人认为按本项第</w:t>
      </w:r>
      <w:r w:rsidR="00E47C67">
        <w:rPr>
          <w:rFonts w:ascii="Times New Roman" w:hAnsi="Times New Roman"/>
          <w:sz w:val="24"/>
        </w:rPr>
        <w:t>A</w:t>
      </w:r>
      <w:r w:rsidR="00E47C67">
        <w:rPr>
          <w:rFonts w:ascii="Times New Roman" w:hAnsi="Times New Roman"/>
          <w:sz w:val="24"/>
        </w:rPr>
        <w:t>－</w:t>
      </w:r>
      <w:r w:rsidR="0075223E">
        <w:rPr>
          <w:rFonts w:ascii="Times New Roman" w:hAnsi="Times New Roman"/>
          <w:sz w:val="24"/>
        </w:rPr>
        <w:t>C</w:t>
      </w:r>
      <w:r w:rsidR="00E47C67">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548022D3" w14:textId="77777777" w:rsidR="00A77DF8" w:rsidRDefault="00583CC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E</w:t>
      </w:r>
      <w:r w:rsidR="00E47C67">
        <w:rPr>
          <w:rFonts w:ascii="Times New Roman" w:hAnsi="Times New Roman"/>
          <w:sz w:val="24"/>
        </w:rPr>
        <w:t>.</w:t>
      </w:r>
      <w:r w:rsidR="00E47C67">
        <w:rPr>
          <w:rFonts w:ascii="Times New Roman" w:hAnsi="Times New Roman"/>
          <w:sz w:val="24"/>
        </w:rPr>
        <w:t>国家有最新规定的，按其规定进行估值。</w:t>
      </w:r>
    </w:p>
    <w:p w14:paraId="52C4CB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）债券估值方法：</w:t>
      </w:r>
    </w:p>
    <w:p w14:paraId="62CF08D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交易所市场上市交易或挂牌转让的固定收益品种（另有规定的除外），选取第三方估值机构提供的相应品种当日的估值净价进行估值。</w:t>
      </w:r>
    </w:p>
    <w:p w14:paraId="3B92716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C16363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首次发行未上市债券采用估值技术确定的公允价值进行估值，在估值技术难以可靠计量公允价值的情况下，按成本估值。</w:t>
      </w:r>
    </w:p>
    <w:p w14:paraId="7B2AD11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34A45BF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在全国银行间债券市场交易的债券、资产支持证券等固定收益品种，采用估值技术确定公允价值。</w:t>
      </w:r>
    </w:p>
    <w:p w14:paraId="2068C8E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⑥</w:t>
      </w:r>
      <w:r>
        <w:rPr>
          <w:rFonts w:ascii="Times New Roman" w:hAnsi="Times New Roman"/>
          <w:sz w:val="24"/>
        </w:rPr>
        <w:t>同一债券同时在两个或两个以上市场交易的，按债券所处的市场分别估值。</w:t>
      </w:r>
    </w:p>
    <w:p w14:paraId="6EF02C4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⑦</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EDF318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⑧</w:t>
      </w:r>
      <w:r>
        <w:rPr>
          <w:rFonts w:ascii="Times New Roman" w:hAnsi="Times New Roman"/>
          <w:sz w:val="24"/>
        </w:rPr>
        <w:t>国家有最新规定的，按其规定进行估值。</w:t>
      </w:r>
    </w:p>
    <w:p w14:paraId="237CCA0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）权证估值方法：</w:t>
      </w:r>
    </w:p>
    <w:p w14:paraId="055E9C2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998329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②</w:t>
      </w:r>
      <w:r>
        <w:rPr>
          <w:rFonts w:ascii="Times New Roman" w:hAnsi="Times New Roman"/>
          <w:sz w:val="24"/>
        </w:rPr>
        <w:t>首次发行未上市的权证，采用估值技术确定公允价值，在估值技术难以可靠计量公允价值的情况下，按成本估值。</w:t>
      </w:r>
    </w:p>
    <w:p w14:paraId="7ED9C92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因持有股票而享有的配股权，以及停止交易、但未行权的权证，采用估值技术确定公允价值进行估值。</w:t>
      </w:r>
    </w:p>
    <w:p w14:paraId="0407F35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400FB77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国家有最新规定的，按其规定进行估值。</w:t>
      </w:r>
    </w:p>
    <w:p w14:paraId="35FDF5B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）衍生品及其他有价证券等资产按国家有关规定进行估值。</w:t>
      </w:r>
    </w:p>
    <w:p w14:paraId="6AC780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29DBD7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7879205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14:paraId="59DB963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）基金管理人、基金托管人按股票估值方法的第</w:t>
      </w:r>
      <w:r w:rsidR="00123850">
        <w:rPr>
          <w:rFonts w:ascii="Times New Roman" w:hAnsi="Times New Roman"/>
          <w:sz w:val="24"/>
        </w:rPr>
        <w:t>D</w:t>
      </w:r>
      <w:r>
        <w:rPr>
          <w:rFonts w:ascii="Times New Roman" w:hAnsi="Times New Roman"/>
          <w:sz w:val="24"/>
        </w:rPr>
        <w:t>项、债券估值方法的第</w:t>
      </w:r>
      <w:r>
        <w:rPr>
          <w:rFonts w:ascii="Times New Roman" w:hAnsi="Times New Roman"/>
          <w:sz w:val="24"/>
        </w:rPr>
        <w:t>⑦</w:t>
      </w:r>
      <w:r>
        <w:rPr>
          <w:rFonts w:ascii="Times New Roman" w:hAnsi="Times New Roman"/>
          <w:sz w:val="24"/>
        </w:rPr>
        <w:t>项、权证估值方法的第</w:t>
      </w:r>
      <w:r>
        <w:rPr>
          <w:rFonts w:ascii="Times New Roman" w:hAnsi="Times New Roman"/>
          <w:sz w:val="24"/>
        </w:rPr>
        <w:t>④</w:t>
      </w:r>
      <w:r>
        <w:rPr>
          <w:rFonts w:ascii="Times New Roman" w:hAnsi="Times New Roman"/>
          <w:sz w:val="24"/>
        </w:rPr>
        <w:t>项进行估值时，所造成的误差不作为基金份额净值错误处理。</w:t>
      </w:r>
    </w:p>
    <w:p w14:paraId="581E5AE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F93109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14:paraId="67F11A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位）发生差错时，视为基金份额净值错误；基金份额净值出现错误时，基金管理人应当立即予以纠正，通报基金托管人，并采取合理的措施防止损失进一步扩大；错误偏差达到或超过基金资产净值的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w:t>
      </w:r>
      <w:r>
        <w:rPr>
          <w:rFonts w:ascii="Times New Roman" w:hAnsi="Times New Roman"/>
          <w:sz w:val="24"/>
        </w:rPr>
        <w:lastRenderedPageBreak/>
        <w:t>到基金资产净值的</w:t>
      </w:r>
      <w:r>
        <w:rPr>
          <w:rFonts w:ascii="Times New Roman" w:hAnsi="Times New Roman"/>
          <w:sz w:val="24"/>
        </w:rPr>
        <w:t>0.50%</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2799F9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58FEDD1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47573F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68EE505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98D581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E78A0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14:paraId="54AE5E8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）前述内容如法律法规或监管机关另有规定的，从其规定处理。如果行业有通行做法，双方当事人应本着平等和保护基金份额持有人利益的原则进行协商。</w:t>
      </w:r>
    </w:p>
    <w:p w14:paraId="406DCD2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14:paraId="4F63C55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）基金投资所涉及的证券交易所遇法定节假日或因其他原因暂停营业时；</w:t>
      </w:r>
    </w:p>
    <w:p w14:paraId="41960CE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）基金所投资之目标</w:t>
      </w:r>
      <w:r>
        <w:rPr>
          <w:rFonts w:ascii="Times New Roman" w:hAnsi="Times New Roman"/>
          <w:sz w:val="24"/>
        </w:rPr>
        <w:t>ETF</w:t>
      </w:r>
      <w:r>
        <w:rPr>
          <w:rFonts w:ascii="Times New Roman" w:hAnsi="Times New Roman"/>
          <w:sz w:val="24"/>
        </w:rPr>
        <w:t>发生暂停估值，暂停公告基金份额净值的情形；</w:t>
      </w:r>
    </w:p>
    <w:p w14:paraId="34797DD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）因不可抗力或其他情形致使基金管理人、基金托管人无法准确评估基金资产价值时；</w:t>
      </w:r>
    </w:p>
    <w:p w14:paraId="33DC7F7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）占基金相当比例的投资品种的估值出现重大转变，而基金管理人为保障基金份额持有人的利益，决定延迟估值时；</w:t>
      </w:r>
    </w:p>
    <w:p w14:paraId="2D13999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14:paraId="63F895D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）中国证监会和基金合同认定的其他情形。</w:t>
      </w:r>
    </w:p>
    <w:p w14:paraId="529849D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14:paraId="3755B1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14:paraId="6D97650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、基金账册的建立</w:t>
      </w:r>
    </w:p>
    <w:p w14:paraId="640BA38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2D8D076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、基金财务报表与报告的编制和复核</w:t>
      </w:r>
    </w:p>
    <w:p w14:paraId="1661A4F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14:paraId="3B02EB4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基金管理人应当及时编制并对外提供真实、完整的基金财务会计报告。月度报表的编制，基金管理人应于每月终了后</w:t>
      </w:r>
      <w:r>
        <w:rPr>
          <w:rFonts w:ascii="Times New Roman" w:hAnsi="Times New Roman"/>
          <w:sz w:val="24"/>
        </w:rPr>
        <w:t>5</w:t>
      </w:r>
      <w:r>
        <w:rPr>
          <w:rFonts w:ascii="Times New Roman" w:hAnsi="Times New Roman"/>
          <w:sz w:val="24"/>
        </w:rPr>
        <w:t>个工作日内完成；季度报告应在季度结束之日起</w:t>
      </w:r>
      <w:r>
        <w:rPr>
          <w:rFonts w:ascii="Times New Roman" w:hAnsi="Times New Roman"/>
          <w:sz w:val="24"/>
        </w:rPr>
        <w:t>15</w:t>
      </w:r>
      <w:r>
        <w:rPr>
          <w:rFonts w:ascii="Times New Roman" w:hAnsi="Times New Roman"/>
          <w:sz w:val="24"/>
        </w:rPr>
        <w:t>个工作日内编制完毕并予以公告；中期报告在会计年度半年终了后两个月内编制完毕并予以公告；年度报告在会计年度结束后三个月内编制完毕并予以公告。基金合同生效不足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7A07EDA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14:paraId="1D3640F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w:t>
      </w:r>
    </w:p>
    <w:p w14:paraId="45664CD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基金管理人在月度报表完成当日，将报表盖章后提供给基金托管人复核；基金托管人在收到后应在</w:t>
      </w:r>
      <w:r>
        <w:rPr>
          <w:rFonts w:ascii="Times New Roman" w:hAnsi="Times New Roman"/>
          <w:sz w:val="24"/>
        </w:rPr>
        <w:t>3</w:t>
      </w:r>
      <w:r>
        <w:rPr>
          <w:rFonts w:ascii="Times New Roman" w:hAnsi="Times New Roman"/>
          <w:sz w:val="24"/>
        </w:rPr>
        <w:t>日内进行复核，并将复核结果书面通知基金管理人。基金管理人在季度报告完成当日，将有关报告提供给基金托管人复核，基金托管人应在收到后</w:t>
      </w:r>
      <w:r>
        <w:rPr>
          <w:rFonts w:ascii="Times New Roman" w:hAnsi="Times New Roman"/>
          <w:sz w:val="24"/>
        </w:rPr>
        <w:t>7</w:t>
      </w:r>
      <w:r>
        <w:rPr>
          <w:rFonts w:ascii="Times New Roman" w:hAnsi="Times New Roman"/>
          <w:sz w:val="24"/>
        </w:rPr>
        <w:t>个工作日内完成复核，并将复核结果书面通知基金管理人。基金管理人在中期报告完成当日，将有关报告提供给基金托管人复核，基金托管人应在收到后</w:t>
      </w:r>
      <w:r>
        <w:rPr>
          <w:rFonts w:ascii="Times New Roman" w:hAnsi="Times New Roman"/>
          <w:sz w:val="24"/>
        </w:rPr>
        <w:t>30</w:t>
      </w:r>
      <w:r>
        <w:rPr>
          <w:rFonts w:ascii="Times New Roman" w:hAnsi="Times New Roman"/>
          <w:sz w:val="24"/>
        </w:rPr>
        <w:t>日</w:t>
      </w:r>
      <w:r>
        <w:rPr>
          <w:rFonts w:ascii="Times New Roman" w:hAnsi="Times New Roman"/>
          <w:sz w:val="24"/>
        </w:rPr>
        <w:lastRenderedPageBreak/>
        <w:t>内完成复核，并将复核结果书面通知基金管理人。基金管理人在年度报告完成当日，将有关报告提供基金托管人复核，基金托管人应在收到后</w:t>
      </w:r>
      <w:r>
        <w:rPr>
          <w:rFonts w:ascii="Times New Roman" w:hAnsi="Times New Roman"/>
          <w:sz w:val="24"/>
        </w:rPr>
        <w:t>45</w:t>
      </w:r>
      <w:r>
        <w:rPr>
          <w:rFonts w:ascii="Times New Roman" w:hAnsi="Times New Roman"/>
          <w:sz w:val="24"/>
        </w:rPr>
        <w:t>日内完成复核，并将复核结果书面通知基金管理人。基金管理人和基金托管人之间的上述文件往来均以加密传真的方式或双方商定的其他方式进行。</w:t>
      </w:r>
    </w:p>
    <w:p w14:paraId="009DE40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44412B1F"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（六）基金份额持有人名册的保管</w:t>
      </w:r>
    </w:p>
    <w:p w14:paraId="13200A8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14:paraId="4F416A5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1B99380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007A675"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2089B3A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BD6BF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w:t>
      </w:r>
      <w:r>
        <w:rPr>
          <w:rFonts w:ascii="Times New Roman" w:hAnsi="Times New Roman"/>
          <w:sz w:val="24"/>
        </w:rPr>
        <w:lastRenderedPageBreak/>
        <w:t>实、勤勉、尽责地履行基金合同和本托管协议规定的义务，维护基金份额持有人的合法权益。</w:t>
      </w:r>
    </w:p>
    <w:p w14:paraId="46E32D28"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14:paraId="1448363E"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3155B2C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14:paraId="3FB8565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14:paraId="1DD5C7A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2D58853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37FC6AE0"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14:paraId="699CD48F"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14:paraId="409373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73B75207"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D2C2F7" w14:textId="77777777" w:rsidR="00A77DF8" w:rsidRDefault="00E47C67">
      <w:pPr>
        <w:pStyle w:val="1"/>
        <w:snapToGrid w:val="0"/>
        <w:spacing w:beforeLines="0" w:before="240" w:after="240"/>
        <w:rPr>
          <w:rFonts w:ascii="宋体" w:hAnsi="宋体"/>
          <w:szCs w:val="30"/>
        </w:rPr>
      </w:pPr>
      <w:bookmarkStart w:id="24" w:name="_Toc54104426"/>
      <w:r>
        <w:rPr>
          <w:rFonts w:ascii="Times New Roman" w:hAnsi="Times New Roman"/>
          <w:sz w:val="30"/>
        </w:rPr>
        <w:lastRenderedPageBreak/>
        <w:t>二十二、对基金份额持有人的服务</w:t>
      </w:r>
      <w:bookmarkEnd w:id="24"/>
    </w:p>
    <w:p w14:paraId="628E514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本基金管理人承诺为基金份额持有人提供一系列的服务。本基金管理人根据基金份额持有人的需要和市场的变化，有权增加或变更服务项目。主要服务内容如下：</w:t>
      </w:r>
    </w:p>
    <w:p w14:paraId="08D0D894"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14:paraId="4F1159B1"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67AAB06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1A3EDFE6"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14:paraId="79204B0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业务，个人投资人可以直接通过本基金管理人网站的网上直销交易平台办理开户和本基金前端基金份额的申购、赎回、定期定额投资和转换等业务。本公司暂不开展网上直销本基金后端基金份额的认</w:t>
      </w:r>
      <w:r>
        <w:rPr>
          <w:rFonts w:ascii="Times New Roman" w:hAnsi="Times New Roman"/>
          <w:sz w:val="24"/>
        </w:rPr>
        <w:t>/</w:t>
      </w:r>
      <w:r>
        <w:rPr>
          <w:rFonts w:ascii="Times New Roman" w:hAnsi="Times New Roman"/>
          <w:sz w:val="24"/>
        </w:rPr>
        <w:t>申购业务，通过转托管转入网上直销账户的本基金后端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6EB288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667EACE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在条件成熟的时候，本基金管理人将根据基金网上直销业务的发展状况，适时调整可用于基金网上直销交易平台的银行卡种类，敬请投资者留意相关公告。</w:t>
      </w:r>
    </w:p>
    <w:p w14:paraId="24BC801A"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14:paraId="6E8B18E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投资者如果想查询申购、赎回等交易情况、分红方式状态、基金账户余额、基金产品与服务等信息，请拨打本基金管理人客户服务电话（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6947E767"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本基金管理人为投资者预设基金查询密码，预设的基金查询密码为投资者开户证件号码的后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补足。基金查询密码用于投资者通过客户服务电话查询基金账户下的账户和交易信息。投资者请在其知晓基金账号后，及时拨打本基金管理人客户服务电话修改基金查询密码。</w:t>
      </w:r>
    </w:p>
    <w:p w14:paraId="06855A5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投资者可以拨打本基金管理人客户服务电话投诉直销机构的人员和服务。</w:t>
      </w:r>
    </w:p>
    <w:p w14:paraId="44E6D7F3"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（四）基金红利再投资</w:t>
      </w:r>
    </w:p>
    <w:p w14:paraId="66F76F2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本基金收益分配时，投资人可以选择将当期分配所得的红利再投资于本基金，再投资红利按红利再投日（即除息日）除息后的基金份额净值自动转为基金份额，并免收申购费用。</w:t>
      </w:r>
    </w:p>
    <w:p w14:paraId="3D6FF7E5" w14:textId="77777777" w:rsidR="00A77DF8" w:rsidRDefault="00E47C6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14:paraId="0B85E60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本基金已开通定期定额投资计划，具体实施方法请参见相关公告。</w:t>
      </w:r>
    </w:p>
    <w:p w14:paraId="2AD69294"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04C2112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基金管理人的互联网地址及电子信箱</w:t>
      </w:r>
    </w:p>
    <w:p w14:paraId="2418F9C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6D32533A"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3EAFCA69"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14:paraId="78F4FF2C"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EE43CD" w14:textId="77777777" w:rsidR="00A77DF8" w:rsidRDefault="00E47C67">
      <w:pPr>
        <w:pStyle w:val="1"/>
        <w:snapToGrid w:val="0"/>
        <w:spacing w:beforeLines="0" w:before="240" w:after="240"/>
        <w:rPr>
          <w:rFonts w:ascii="宋体" w:hAnsi="宋体"/>
          <w:szCs w:val="30"/>
        </w:rPr>
      </w:pPr>
      <w:bookmarkStart w:id="25" w:name="_Toc54104427"/>
      <w:r>
        <w:rPr>
          <w:rFonts w:ascii="Times New Roman" w:hAnsi="Times New Roman"/>
          <w:sz w:val="30"/>
        </w:rPr>
        <w:lastRenderedPageBreak/>
        <w:t>二十三、其他应披露事项</w:t>
      </w:r>
      <w:bookmarkEnd w:id="25"/>
    </w:p>
    <w:p w14:paraId="74AC036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060AC6BC"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77DF8" w14:paraId="123795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76BEC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482107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3CBE913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75D547F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A77DF8" w14:paraId="563A3335"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96C01E9"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F9231E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交银施罗德基金管理有限公司关于暂停北京增财基金销售有限公司办理相关销售业务的公告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6690E78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600FB90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2019-12-19</w:t>
            </w:r>
          </w:p>
        </w:tc>
      </w:tr>
      <w:tr w:rsidR="00A77DF8" w14:paraId="4AE662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CB672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340F00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D45F4FF"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D49F0B"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rsidR="00A77DF8" w14:paraId="6471FB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7005F0"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BA077F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562820C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7DE2C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A77DF8" w14:paraId="7BB6BE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D7DB4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B04CB2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1F34BA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DA9F206"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A77DF8" w14:paraId="555305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B3306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1541E0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430FF69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74AE64"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A77DF8" w14:paraId="5CDA8A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06CAC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89F095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48372E6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FBAAF7"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A77DF8" w14:paraId="05EE27EE"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6F25AB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5A8E53C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2130CF7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6893B75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A77DF8" w14:paraId="4918E3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7E915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E9A2260"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A25951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D47EFF"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rsidR="00A77DF8" w14:paraId="6FAF32B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AEE40B6"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013578F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B6F207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713DECB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A77DF8" w14:paraId="69CB50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39C1F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5D3FE9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0DA03F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D6641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A77DF8" w14:paraId="711D40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CAE04F"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14:paraId="7D0C0B8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222B878"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0BB4A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A77DF8" w14:paraId="54A0871D"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A436189"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56016A4F"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0F58329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459A89AD"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A77DF8" w14:paraId="7DD495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C5880"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08BEEB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35259AC"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946D7E1"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A77DF8" w14:paraId="047C0D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7DFA0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EECDAE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F96578F"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A9F72C"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A77DF8" w14:paraId="72AC78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2D41B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13FB0B3"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736A8FF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225890"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A77DF8" w14:paraId="5DF49C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8998CD"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02B7D268"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10FA2C4"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E421E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A77DF8" w14:paraId="55F7AF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13FE2A"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760A376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0FC08FE"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F1AFF2"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A77DF8" w14:paraId="03638E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085BF8"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4DBCEDE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64002C6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B38789"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A77DF8" w14:paraId="6A0293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4F54B0"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0770A43B"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价值交易型开放式指数证券投资基金联接基金基金产品资料概要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07591912"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0236C68"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A77DF8" w14:paraId="43057E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DB6E55"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2024B987"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BEE3341" w14:textId="77777777" w:rsidR="00A77DF8" w:rsidRDefault="00E47C6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311BD5" w14:textId="77777777" w:rsidR="00A77DF8" w:rsidRDefault="00E47C6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bl>
    <w:p w14:paraId="44CC9FC7"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1A7CC4" w14:textId="77777777" w:rsidR="00A77DF8" w:rsidRDefault="00E47C67">
      <w:pPr>
        <w:pStyle w:val="1"/>
        <w:snapToGrid w:val="0"/>
        <w:spacing w:beforeLines="0" w:before="240" w:after="240"/>
        <w:rPr>
          <w:rFonts w:ascii="宋体" w:hAnsi="宋体"/>
          <w:szCs w:val="30"/>
        </w:rPr>
      </w:pPr>
      <w:bookmarkStart w:id="26" w:name="_Toc54104428"/>
      <w:r>
        <w:rPr>
          <w:rFonts w:ascii="Times New Roman" w:hAnsi="Times New Roman"/>
          <w:sz w:val="30"/>
        </w:rPr>
        <w:lastRenderedPageBreak/>
        <w:t>二十四、招募说明书的存放及查阅方式</w:t>
      </w:r>
      <w:bookmarkEnd w:id="26"/>
    </w:p>
    <w:p w14:paraId="0831657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6A0F30AB"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14:paraId="63CAFC2A" w14:textId="77777777" w:rsidR="00593636" w:rsidRDefault="00E47C67" w:rsidP="00593636">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38D49C" w14:textId="77777777" w:rsidR="00A77DF8" w:rsidRDefault="00E47C67">
      <w:pPr>
        <w:pStyle w:val="1"/>
        <w:snapToGrid w:val="0"/>
        <w:spacing w:beforeLines="0" w:before="240" w:after="240"/>
        <w:rPr>
          <w:rFonts w:ascii="宋体" w:hAnsi="宋体"/>
          <w:szCs w:val="30"/>
        </w:rPr>
      </w:pPr>
      <w:bookmarkStart w:id="27" w:name="_Toc54104429"/>
      <w:r>
        <w:rPr>
          <w:rFonts w:ascii="Times New Roman" w:hAnsi="Times New Roman"/>
          <w:sz w:val="30"/>
        </w:rPr>
        <w:lastRenderedPageBreak/>
        <w:t>二十五、备查文件</w:t>
      </w:r>
      <w:bookmarkEnd w:id="27"/>
    </w:p>
    <w:p w14:paraId="08416075"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4F1E1EAD"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（一）中国证监会核准交银施罗德深证</w:t>
      </w:r>
      <w:r>
        <w:rPr>
          <w:rFonts w:ascii="Times New Roman" w:hAnsi="Times New Roman"/>
          <w:sz w:val="24"/>
        </w:rPr>
        <w:t>300</w:t>
      </w:r>
      <w:r>
        <w:rPr>
          <w:rFonts w:ascii="Times New Roman" w:hAnsi="Times New Roman"/>
          <w:sz w:val="24"/>
        </w:rPr>
        <w:t>价值交易型开放式指数证券投资基金联接基金募集的文件</w:t>
      </w:r>
    </w:p>
    <w:p w14:paraId="518BB933"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（二）《交银施罗德深证</w:t>
      </w:r>
      <w:r>
        <w:rPr>
          <w:rFonts w:ascii="Times New Roman" w:hAnsi="Times New Roman"/>
          <w:sz w:val="24"/>
        </w:rPr>
        <w:t>300</w:t>
      </w:r>
      <w:r>
        <w:rPr>
          <w:rFonts w:ascii="Times New Roman" w:hAnsi="Times New Roman"/>
          <w:sz w:val="24"/>
        </w:rPr>
        <w:t>价值交易型开放式指数证券投资基金联接基金基金合同》</w:t>
      </w:r>
    </w:p>
    <w:p w14:paraId="784CB8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（三）《交银施罗德深证</w:t>
      </w:r>
      <w:r>
        <w:rPr>
          <w:rFonts w:ascii="Times New Roman" w:hAnsi="Times New Roman"/>
          <w:sz w:val="24"/>
        </w:rPr>
        <w:t>300</w:t>
      </w:r>
      <w:r>
        <w:rPr>
          <w:rFonts w:ascii="Times New Roman" w:hAnsi="Times New Roman"/>
          <w:sz w:val="24"/>
        </w:rPr>
        <w:t>价值交易型开放式指数证券投资基金联接基金托管协议》</w:t>
      </w:r>
    </w:p>
    <w:p w14:paraId="323C26CE"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48A96CE6"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26C39902" w14:textId="77777777" w:rsidR="00A77DF8" w:rsidRDefault="00E47C6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（六）关于申请募集交银施罗德深证</w:t>
      </w:r>
      <w:r>
        <w:rPr>
          <w:rFonts w:ascii="Times New Roman" w:hAnsi="Times New Roman"/>
          <w:sz w:val="24"/>
        </w:rPr>
        <w:t>300</w:t>
      </w:r>
      <w:r>
        <w:rPr>
          <w:rFonts w:ascii="Times New Roman" w:hAnsi="Times New Roman"/>
          <w:sz w:val="24"/>
        </w:rPr>
        <w:t>价值交易型开放式指数证券投资基金联接基金之法律意见书</w:t>
      </w:r>
    </w:p>
    <w:sectPr w:rsidR="00A77DF8">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A8DBC" w14:textId="77777777" w:rsidR="002E0962" w:rsidRDefault="002E0962">
      <w:r>
        <w:separator/>
      </w:r>
    </w:p>
  </w:endnote>
  <w:endnote w:type="continuationSeparator" w:id="0">
    <w:p w14:paraId="24710603" w14:textId="77777777" w:rsidR="002E0962" w:rsidRDefault="002E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3718" w14:textId="77777777" w:rsidR="00F47629" w:rsidRDefault="00F4762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77CAC89" wp14:editId="74F3DB6F">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42B57" w14:textId="77777777" w:rsidR="00F47629" w:rsidRDefault="00F476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1261C">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AC89"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14:paraId="44F42B57" w14:textId="77777777" w:rsidR="00F47629" w:rsidRDefault="00F476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1261C">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9C0F2" w14:textId="77777777" w:rsidR="00F47629" w:rsidRDefault="00F4762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59D6A58" wp14:editId="43057F5F">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3ACFC" w14:textId="77777777" w:rsidR="00F47629" w:rsidRDefault="00F476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1261C">
                            <w:rPr>
                              <w:rFonts w:ascii="Times New Roman" w:hAnsi="Times New Roman"/>
                              <w:noProof/>
                              <w:kern w:val="0"/>
                              <w:sz w:val="18"/>
                              <w:szCs w:val="18"/>
                            </w:rPr>
                            <w:t>114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D6A58"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14:paraId="46A3ACFC" w14:textId="77777777" w:rsidR="00F47629" w:rsidRDefault="00F4762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1261C">
                      <w:rPr>
                        <w:rFonts w:ascii="Times New Roman" w:hAnsi="Times New Roman"/>
                        <w:noProof/>
                        <w:kern w:val="0"/>
                        <w:sz w:val="18"/>
                        <w:szCs w:val="18"/>
                      </w:rPr>
                      <w:t>114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3ADBA" w14:textId="77777777" w:rsidR="002E0962" w:rsidRDefault="002E0962">
      <w:r>
        <w:separator/>
      </w:r>
    </w:p>
  </w:footnote>
  <w:footnote w:type="continuationSeparator" w:id="0">
    <w:p w14:paraId="6AC04C10" w14:textId="77777777" w:rsidR="002E0962" w:rsidRDefault="002E0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9AE01" w14:textId="77777777" w:rsidR="00F47629" w:rsidRDefault="00F47629">
    <w:pPr>
      <w:pStyle w:val="a3"/>
      <w:jc w:val="right"/>
    </w:pPr>
    <w:r>
      <w:rPr>
        <w:noProof/>
      </w:rPr>
      <w:drawing>
        <wp:anchor distT="0" distB="0" distL="114300" distR="114300" simplePos="0" relativeHeight="251655680" behindDoc="0" locked="0" layoutInCell="1" allowOverlap="1" wp14:anchorId="2CD06313" wp14:editId="51759908">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28549AF" w14:textId="77777777" w:rsidR="00F47629" w:rsidRDefault="00F47629">
    <w:pPr>
      <w:pStyle w:val="a3"/>
      <w:jc w:val="right"/>
      <w:rPr>
        <w:rFonts w:ascii="宋体" w:hAnsi="宋体"/>
      </w:rPr>
    </w:pPr>
    <w:r>
      <w:rPr>
        <w:rFonts w:ascii="宋体" w:hAnsi="宋体" w:hint="eastAsia"/>
      </w:rPr>
      <w:t>交银施罗德深证300价值交易型开放式指数证券投资基金联接基金(更新)招募说明书(2020年第1号)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9B5B" w14:textId="77777777" w:rsidR="00F47629" w:rsidRDefault="00F47629">
    <w:pPr>
      <w:pStyle w:val="TOC1"/>
      <w:jc w:val="right"/>
    </w:pPr>
  </w:p>
  <w:p w14:paraId="52C9B591" w14:textId="77777777" w:rsidR="00F47629" w:rsidRDefault="00F47629">
    <w:pPr>
      <w:pStyle w:val="TOC1"/>
      <w:jc w:val="right"/>
    </w:pPr>
  </w:p>
  <w:p w14:paraId="1F476EC5" w14:textId="77777777" w:rsidR="00F47629" w:rsidRDefault="00F47629">
    <w:pPr>
      <w:pStyle w:val="a3"/>
      <w:jc w:val="right"/>
    </w:pPr>
  </w:p>
  <w:p w14:paraId="12712F0C" w14:textId="77777777" w:rsidR="00F47629" w:rsidRDefault="00F47629">
    <w:pPr>
      <w:pStyle w:val="a3"/>
      <w:jc w:val="right"/>
    </w:pPr>
    <w:r>
      <w:rPr>
        <w:noProof/>
      </w:rPr>
      <w:drawing>
        <wp:anchor distT="0" distB="0" distL="114300" distR="114300" simplePos="0" relativeHeight="251656704" behindDoc="0" locked="0" layoutInCell="1" allowOverlap="1" wp14:anchorId="4A361F18" wp14:editId="1953B99B">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B268AAC" w14:textId="2FCE8B25" w:rsidR="00F47629" w:rsidRDefault="00F47629">
    <w:pPr>
      <w:pStyle w:val="a3"/>
      <w:jc w:val="right"/>
      <w:rPr>
        <w:rFonts w:ascii="宋体" w:hAnsi="宋体"/>
      </w:rPr>
    </w:pPr>
    <w:r>
      <w:rPr>
        <w:rFonts w:ascii="宋体" w:hAnsi="宋体" w:hint="eastAsia"/>
      </w:rPr>
      <w:t>交银施罗德深证300价值交易型开放式指数证券投资基金联接基金(更新)招募说明书(202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A9630" w14:textId="77777777" w:rsidR="00F47629" w:rsidRDefault="00F47629">
    <w:pPr>
      <w:pStyle w:val="a3"/>
      <w:jc w:val="right"/>
    </w:pPr>
  </w:p>
  <w:p w14:paraId="23D09052" w14:textId="77777777" w:rsidR="00F47629" w:rsidRDefault="00F47629">
    <w:pPr>
      <w:pStyle w:val="a3"/>
      <w:jc w:val="right"/>
    </w:pPr>
  </w:p>
  <w:p w14:paraId="133D6E50" w14:textId="77777777" w:rsidR="00F47629" w:rsidRDefault="00F47629">
    <w:pPr>
      <w:pStyle w:val="a3"/>
      <w:jc w:val="right"/>
    </w:pPr>
  </w:p>
  <w:p w14:paraId="36BDA258" w14:textId="77777777" w:rsidR="00F47629" w:rsidRDefault="00F47629">
    <w:pPr>
      <w:pStyle w:val="a3"/>
      <w:jc w:val="right"/>
    </w:pPr>
    <w:r>
      <w:rPr>
        <w:noProof/>
      </w:rPr>
      <w:drawing>
        <wp:anchor distT="0" distB="0" distL="114300" distR="114300" simplePos="0" relativeHeight="251657728" behindDoc="0" locked="0" layoutInCell="1" allowOverlap="1" wp14:anchorId="3C0439A3" wp14:editId="09240340">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409D50D" w14:textId="62B75C0E" w:rsidR="00F47629" w:rsidRDefault="00F47629">
    <w:pPr>
      <w:pStyle w:val="a3"/>
      <w:jc w:val="right"/>
      <w:rPr>
        <w:rFonts w:ascii="宋体" w:hAnsi="宋体"/>
      </w:rPr>
    </w:pPr>
    <w:r>
      <w:rPr>
        <w:rFonts w:ascii="宋体" w:hAnsi="宋体" w:hint="eastAsia"/>
      </w:rPr>
      <w:t>交银施罗德深证300价值交易型开放式指数证券投资基金联接基金(更新)招募说明书(202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C9"/>
    <w:rsid w:val="000002A2"/>
    <w:rsid w:val="00001EEA"/>
    <w:rsid w:val="00003EC9"/>
    <w:rsid w:val="0000560A"/>
    <w:rsid w:val="0001266E"/>
    <w:rsid w:val="0001359A"/>
    <w:rsid w:val="00013825"/>
    <w:rsid w:val="0001593F"/>
    <w:rsid w:val="00026A29"/>
    <w:rsid w:val="00026D00"/>
    <w:rsid w:val="00027C73"/>
    <w:rsid w:val="00030964"/>
    <w:rsid w:val="00030F3E"/>
    <w:rsid w:val="000368A2"/>
    <w:rsid w:val="000377C8"/>
    <w:rsid w:val="00044AFD"/>
    <w:rsid w:val="00044E2C"/>
    <w:rsid w:val="00045029"/>
    <w:rsid w:val="000457B7"/>
    <w:rsid w:val="0004614E"/>
    <w:rsid w:val="00046212"/>
    <w:rsid w:val="000500B8"/>
    <w:rsid w:val="000506ED"/>
    <w:rsid w:val="000543D5"/>
    <w:rsid w:val="00055792"/>
    <w:rsid w:val="00055F52"/>
    <w:rsid w:val="00061C0D"/>
    <w:rsid w:val="0006212F"/>
    <w:rsid w:val="0006220F"/>
    <w:rsid w:val="000634B1"/>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3850"/>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A4D66"/>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26ED3"/>
    <w:rsid w:val="0023578C"/>
    <w:rsid w:val="00235AC5"/>
    <w:rsid w:val="002377E0"/>
    <w:rsid w:val="00240BB6"/>
    <w:rsid w:val="002432CA"/>
    <w:rsid w:val="00243D40"/>
    <w:rsid w:val="00245250"/>
    <w:rsid w:val="002477CB"/>
    <w:rsid w:val="00247BF6"/>
    <w:rsid w:val="00250A33"/>
    <w:rsid w:val="00251126"/>
    <w:rsid w:val="002524D2"/>
    <w:rsid w:val="00252802"/>
    <w:rsid w:val="00254E91"/>
    <w:rsid w:val="00261A50"/>
    <w:rsid w:val="002634C3"/>
    <w:rsid w:val="00265B3A"/>
    <w:rsid w:val="0027052E"/>
    <w:rsid w:val="00271E9D"/>
    <w:rsid w:val="00271F7D"/>
    <w:rsid w:val="00274E85"/>
    <w:rsid w:val="0027557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C601A"/>
    <w:rsid w:val="002D15BB"/>
    <w:rsid w:val="002D1C13"/>
    <w:rsid w:val="002D3109"/>
    <w:rsid w:val="002D378C"/>
    <w:rsid w:val="002D6413"/>
    <w:rsid w:val="002D6F14"/>
    <w:rsid w:val="002D74D5"/>
    <w:rsid w:val="002E0962"/>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11F8"/>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06E20"/>
    <w:rsid w:val="0041100B"/>
    <w:rsid w:val="004114F3"/>
    <w:rsid w:val="00412894"/>
    <w:rsid w:val="004130C3"/>
    <w:rsid w:val="00413E71"/>
    <w:rsid w:val="004205BF"/>
    <w:rsid w:val="00421363"/>
    <w:rsid w:val="00421921"/>
    <w:rsid w:val="00422100"/>
    <w:rsid w:val="004254D3"/>
    <w:rsid w:val="0042746B"/>
    <w:rsid w:val="00433B69"/>
    <w:rsid w:val="004369AD"/>
    <w:rsid w:val="00436DD6"/>
    <w:rsid w:val="00441115"/>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92869"/>
    <w:rsid w:val="004A084F"/>
    <w:rsid w:val="004A1FA1"/>
    <w:rsid w:val="004A3225"/>
    <w:rsid w:val="004A3F90"/>
    <w:rsid w:val="004A5F59"/>
    <w:rsid w:val="004A6F1F"/>
    <w:rsid w:val="004A7361"/>
    <w:rsid w:val="004B17D8"/>
    <w:rsid w:val="004B2323"/>
    <w:rsid w:val="004B62C3"/>
    <w:rsid w:val="004C0BC8"/>
    <w:rsid w:val="004C461A"/>
    <w:rsid w:val="004C5D4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4F7EA8"/>
    <w:rsid w:val="00502A45"/>
    <w:rsid w:val="0050542C"/>
    <w:rsid w:val="005068C8"/>
    <w:rsid w:val="00512DC1"/>
    <w:rsid w:val="00514C6B"/>
    <w:rsid w:val="005161EC"/>
    <w:rsid w:val="0051709F"/>
    <w:rsid w:val="005175EB"/>
    <w:rsid w:val="00521A18"/>
    <w:rsid w:val="00522079"/>
    <w:rsid w:val="00522622"/>
    <w:rsid w:val="0052450E"/>
    <w:rsid w:val="00525410"/>
    <w:rsid w:val="00530703"/>
    <w:rsid w:val="00530763"/>
    <w:rsid w:val="0053309A"/>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CA"/>
    <w:rsid w:val="00583CE7"/>
    <w:rsid w:val="005856E9"/>
    <w:rsid w:val="005867BB"/>
    <w:rsid w:val="00587452"/>
    <w:rsid w:val="00591C2A"/>
    <w:rsid w:val="00592461"/>
    <w:rsid w:val="00592466"/>
    <w:rsid w:val="00592539"/>
    <w:rsid w:val="00593636"/>
    <w:rsid w:val="00596A05"/>
    <w:rsid w:val="00596D6D"/>
    <w:rsid w:val="00597284"/>
    <w:rsid w:val="00597F8F"/>
    <w:rsid w:val="005A1EA2"/>
    <w:rsid w:val="005A2467"/>
    <w:rsid w:val="005A5858"/>
    <w:rsid w:val="005A6E51"/>
    <w:rsid w:val="005A7C7F"/>
    <w:rsid w:val="005A7D88"/>
    <w:rsid w:val="005B130C"/>
    <w:rsid w:val="005B14FF"/>
    <w:rsid w:val="005B3584"/>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081"/>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129"/>
    <w:rsid w:val="00617824"/>
    <w:rsid w:val="00624214"/>
    <w:rsid w:val="00625419"/>
    <w:rsid w:val="00626D1A"/>
    <w:rsid w:val="00627429"/>
    <w:rsid w:val="00627E10"/>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1A06"/>
    <w:rsid w:val="00692124"/>
    <w:rsid w:val="00692815"/>
    <w:rsid w:val="00692D96"/>
    <w:rsid w:val="00693C96"/>
    <w:rsid w:val="00696339"/>
    <w:rsid w:val="00696982"/>
    <w:rsid w:val="006A3F85"/>
    <w:rsid w:val="006A48FA"/>
    <w:rsid w:val="006A56F1"/>
    <w:rsid w:val="006A6E5C"/>
    <w:rsid w:val="006B0972"/>
    <w:rsid w:val="006B3153"/>
    <w:rsid w:val="006B5871"/>
    <w:rsid w:val="006B6BB1"/>
    <w:rsid w:val="006B7212"/>
    <w:rsid w:val="006C0709"/>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2EA0"/>
    <w:rsid w:val="0071340A"/>
    <w:rsid w:val="00713FC7"/>
    <w:rsid w:val="00716FD1"/>
    <w:rsid w:val="00720D0F"/>
    <w:rsid w:val="007218A9"/>
    <w:rsid w:val="0072241C"/>
    <w:rsid w:val="007233FF"/>
    <w:rsid w:val="007245A5"/>
    <w:rsid w:val="00731628"/>
    <w:rsid w:val="00734108"/>
    <w:rsid w:val="007343AD"/>
    <w:rsid w:val="0073448D"/>
    <w:rsid w:val="00735087"/>
    <w:rsid w:val="00736FA0"/>
    <w:rsid w:val="0074053E"/>
    <w:rsid w:val="0075000E"/>
    <w:rsid w:val="00752156"/>
    <w:rsid w:val="0075223E"/>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5A91"/>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6FB"/>
    <w:rsid w:val="00951FC3"/>
    <w:rsid w:val="009520BD"/>
    <w:rsid w:val="00952B29"/>
    <w:rsid w:val="00953DBA"/>
    <w:rsid w:val="00954137"/>
    <w:rsid w:val="009553B5"/>
    <w:rsid w:val="00955882"/>
    <w:rsid w:val="00955ABF"/>
    <w:rsid w:val="00956F74"/>
    <w:rsid w:val="00956F84"/>
    <w:rsid w:val="009575A0"/>
    <w:rsid w:val="00957C6C"/>
    <w:rsid w:val="00960AA2"/>
    <w:rsid w:val="009649DC"/>
    <w:rsid w:val="00965E7B"/>
    <w:rsid w:val="00966EB2"/>
    <w:rsid w:val="0096769B"/>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2BE"/>
    <w:rsid w:val="009B6DD1"/>
    <w:rsid w:val="009C0D1A"/>
    <w:rsid w:val="009C1284"/>
    <w:rsid w:val="009C1332"/>
    <w:rsid w:val="009C4A4F"/>
    <w:rsid w:val="009C6D34"/>
    <w:rsid w:val="009C73AB"/>
    <w:rsid w:val="009D2E97"/>
    <w:rsid w:val="009D328E"/>
    <w:rsid w:val="009D3438"/>
    <w:rsid w:val="009D3B88"/>
    <w:rsid w:val="009D40B6"/>
    <w:rsid w:val="009D4D3A"/>
    <w:rsid w:val="009D784F"/>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77DF8"/>
    <w:rsid w:val="00A8209D"/>
    <w:rsid w:val="00A82740"/>
    <w:rsid w:val="00A860C9"/>
    <w:rsid w:val="00A9137F"/>
    <w:rsid w:val="00A9483B"/>
    <w:rsid w:val="00A94F2C"/>
    <w:rsid w:val="00A972E1"/>
    <w:rsid w:val="00AA12EB"/>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439"/>
    <w:rsid w:val="00AE7A40"/>
    <w:rsid w:val="00AE7EF9"/>
    <w:rsid w:val="00AF4A88"/>
    <w:rsid w:val="00AF60FC"/>
    <w:rsid w:val="00AF619D"/>
    <w:rsid w:val="00B01A75"/>
    <w:rsid w:val="00B02D39"/>
    <w:rsid w:val="00B03711"/>
    <w:rsid w:val="00B03B6B"/>
    <w:rsid w:val="00B04CC3"/>
    <w:rsid w:val="00B11CB0"/>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57385"/>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5CAF"/>
    <w:rsid w:val="00B97B35"/>
    <w:rsid w:val="00BA3196"/>
    <w:rsid w:val="00BA3509"/>
    <w:rsid w:val="00BA5877"/>
    <w:rsid w:val="00BB124C"/>
    <w:rsid w:val="00BB17E3"/>
    <w:rsid w:val="00BB1CDB"/>
    <w:rsid w:val="00BB2110"/>
    <w:rsid w:val="00BB3645"/>
    <w:rsid w:val="00BB4F7D"/>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2D5A"/>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426C"/>
    <w:rsid w:val="00C367FB"/>
    <w:rsid w:val="00C41389"/>
    <w:rsid w:val="00C41BB7"/>
    <w:rsid w:val="00C42379"/>
    <w:rsid w:val="00C44004"/>
    <w:rsid w:val="00C445F4"/>
    <w:rsid w:val="00C5117E"/>
    <w:rsid w:val="00C54DF3"/>
    <w:rsid w:val="00C610B6"/>
    <w:rsid w:val="00C6257F"/>
    <w:rsid w:val="00C627E7"/>
    <w:rsid w:val="00C63117"/>
    <w:rsid w:val="00C640C7"/>
    <w:rsid w:val="00C65784"/>
    <w:rsid w:val="00C67BDD"/>
    <w:rsid w:val="00C70F24"/>
    <w:rsid w:val="00C717F6"/>
    <w:rsid w:val="00C72FD7"/>
    <w:rsid w:val="00C8155C"/>
    <w:rsid w:val="00C907F0"/>
    <w:rsid w:val="00C93A91"/>
    <w:rsid w:val="00C9445A"/>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2A75"/>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604C"/>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17BF7"/>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47C67"/>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1AC0"/>
    <w:rsid w:val="00EC5ACF"/>
    <w:rsid w:val="00ED1722"/>
    <w:rsid w:val="00ED22A8"/>
    <w:rsid w:val="00ED2479"/>
    <w:rsid w:val="00ED4EB4"/>
    <w:rsid w:val="00ED5D09"/>
    <w:rsid w:val="00ED7107"/>
    <w:rsid w:val="00EE2221"/>
    <w:rsid w:val="00EE276F"/>
    <w:rsid w:val="00EE2982"/>
    <w:rsid w:val="00EE634F"/>
    <w:rsid w:val="00EF369D"/>
    <w:rsid w:val="00EF38A7"/>
    <w:rsid w:val="00EF6A39"/>
    <w:rsid w:val="00F00673"/>
    <w:rsid w:val="00F00B38"/>
    <w:rsid w:val="00F0376E"/>
    <w:rsid w:val="00F0414A"/>
    <w:rsid w:val="00F044B3"/>
    <w:rsid w:val="00F05E83"/>
    <w:rsid w:val="00F07DC4"/>
    <w:rsid w:val="00F07E05"/>
    <w:rsid w:val="00F10842"/>
    <w:rsid w:val="00F1261C"/>
    <w:rsid w:val="00F13C42"/>
    <w:rsid w:val="00F161F7"/>
    <w:rsid w:val="00F206E8"/>
    <w:rsid w:val="00F21755"/>
    <w:rsid w:val="00F21F2E"/>
    <w:rsid w:val="00F23947"/>
    <w:rsid w:val="00F23B61"/>
    <w:rsid w:val="00F276F1"/>
    <w:rsid w:val="00F30423"/>
    <w:rsid w:val="00F32680"/>
    <w:rsid w:val="00F33A66"/>
    <w:rsid w:val="00F34368"/>
    <w:rsid w:val="00F34E5A"/>
    <w:rsid w:val="00F35452"/>
    <w:rsid w:val="00F45532"/>
    <w:rsid w:val="00F45ED2"/>
    <w:rsid w:val="00F47629"/>
    <w:rsid w:val="00F53C4F"/>
    <w:rsid w:val="00F56A51"/>
    <w:rsid w:val="00F61899"/>
    <w:rsid w:val="00F66CD4"/>
    <w:rsid w:val="00F66E01"/>
    <w:rsid w:val="00F7129A"/>
    <w:rsid w:val="00F7180D"/>
    <w:rsid w:val="00F727A7"/>
    <w:rsid w:val="00F729D7"/>
    <w:rsid w:val="00F774CD"/>
    <w:rsid w:val="00F80C67"/>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B3E33"/>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F6526"/>
  <w15:docId w15:val="{1CACC4C1-982C-4584-B2C3-D912813B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TOC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71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146</Pages>
  <Words>15495</Words>
  <Characters>88327</Characters>
  <Application>Microsoft Office Word</Application>
  <DocSecurity>0</DocSecurity>
  <Lines>736</Lines>
  <Paragraphs>207</Paragraphs>
  <ScaleCrop>false</ScaleCrop>
  <Company>Microsoft</Company>
  <LinksUpToDate>false</LinksUpToDate>
  <CharactersWithSpaces>103615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5</cp:revision>
  <cp:lastPrinted>2013-02-18T03:10:00Z</cp:lastPrinted>
  <dcterms:created xsi:type="dcterms:W3CDTF">2021-03-25T08:32:00Z</dcterms:created>
  <dcterms:modified xsi:type="dcterms:W3CDTF">2021-03-26T07:34:00Z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