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交银施罗德深证300价值交易型开放式指数证券投资基金联接基金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
      </w:r>
      <w:proofErr w:type="spellStart"/>
      <w:r w:rsidRPr="006C615F">
        <w:rPr>
          <w:b/>
          <w:sz w:val="36"/>
          <w:szCs w:val="36"/>
        </w:rPr>
        <w:t/>
      </w:r>
      <w:proofErr w:type="spellEnd"/>
      <w:r w:rsidRPr="006C615F">
        <w:rPr>
          <w:b/>
          <w:sz w:val="36"/>
          <w:szCs w:val="36"/>
        </w:rPr>
        <w:t>2020年第4季度报告</w:t>
      </w:r>
    </w:p>
    <w:p w:rsidP="00B04217" w:rsidR="00943748" w:rsidRDefault="003251EE"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2020年12月31日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bookmarkStart w:id="0" w:name="_GoBack"/>
      <w:bookmarkEnd w:id="0"/>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proofErr w:type="spellStart"/>
      <w:proofErr w:type="gramStart"/>
      <w:r w:rsidR="00AB5C7D" w:rsidRPr="006C615F">
        <w:rPr>
          <w:b/>
          <w:color w:val="000000"/>
          <w:sz w:val="24"/>
        </w:rPr>
        <w:t/>
      </w:r>
      <w:r w:rsidR="003251EE" w:rsidRPr="006C615F">
        <w:rPr>
          <w:b/>
          <w:color w:val="000000"/>
          <w:sz w:val="24"/>
        </w:rPr>
        <w:t/>
      </w:r>
      <w:proofErr w:type="spellEnd"/>
      <w:proofErr w:type="gramEnd"/>
      <w:r w:rsidR="00AB5C7D" w:rsidRPr="006C615F">
        <w:rPr>
          <w:b/>
          <w:color w:val="000000"/>
          <w:sz w:val="24"/>
        </w:rPr>
        <w:t>二〇二一年一月二十一日</w:t>
      </w:r>
    </w:p>
    <w:p w:rsidP="0048293C" w:rsidR="00220542" w:rsidRDefault="00220542" w:rsidRPr="00324C76">
      <w:pPr>
        <w:pStyle w:val="1"/>
        <w:spacing w:after="312" w:afterLines="100" w:before="312"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
      </w:r>
      <w:proofErr w:type="spellStart"/>
      <w:proofErr w:type="gramStart"/>
      <w:r w:rsidRPr="00324C76">
        <w:rPr>
          <w:color w:val="000000"/>
          <w:sz w:val="24"/>
        </w:rPr>
        <w:t/>
      </w:r>
      <w:proofErr w:type="spellEnd"/>
      <w:proofErr w:type="gramEnd"/>
      <w:r w:rsidRPr="00324C76">
        <w:rPr>
          <w:color w:val="000000"/>
          <w:sz w:val="24"/>
        </w:rPr>
        <w:t>本报告期自2020年10月1日起至12月31日止。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1" w:name="_Toc245193810"/>
      <w:r w:rsidRPr="00324C76">
        <w:rPr>
          <w:rFonts w:ascii="Times New Roman" w:cs="Times New Roman" w:hAnsi="Times New Roman"/>
          <w:szCs w:val="24"/>
        </w:rPr>
        <w:t>2.1</w:t>
      </w:r>
      <w:bookmarkEnd w:id="1"/>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交银深证300价值ETF联接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519706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2011年9月28日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31,913,096.11</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深证300价值价格指数收益率×95%＋银行活期存款税后收益率×5%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属ETF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firstColumn="0" w:firstRow="0" w:lastColumn="0" w:lastRow="0" w:noHBand="0" w:noVBand="0"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深证300价值交易型开放式指数证券投资基金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159913</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3D1893" w:rsidRPr="00324C76">
              <w:rPr>
                <w:sz w:val="24"/>
              </w:rPr>
              <w:t/>
            </w:r>
            <w:proofErr w:type="spellStart"/>
            <w:r w:rsidR="003D1893" w:rsidRPr="00324C76">
              <w:rPr>
                <w:sz w:val="24"/>
              </w:rPr>
              <w:t/>
            </w:r>
            <w:proofErr w:type="spellEnd"/>
            <w:r w:rsidR="003D1893" w:rsidRPr="00324C76">
              <w:rPr>
                <w:sz w:val="24"/>
              </w:rPr>
              <w:t/>
            </w:r>
            <w:r w:rsidRPr="00324C76">
              <w:rPr>
                <w:sz w:val="24"/>
              </w:rPr>
              <w:t>2011年9月22日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proofErr w:type="spellStart"/>
            <w:r w:rsidRPr="00324C76">
              <w:rPr>
                <w:sz w:val="24"/>
              </w:rPr>
              <w:t/>
            </w:r>
            <w:r w:rsidRPr="00324C76">
              <w:rPr>
                <w:sz w:val="24"/>
              </w:rPr>
              <w:lastRenderedPageBreak/>
              <w:t/>
            </w:r>
            <w:proofErr w:type="spellEnd"/>
            <w:r w:rsidRPr="00324C76">
              <w:rPr>
                <w:sz w:val="24"/>
              </w:rPr>
              <w:t>深圳证券交易所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F840F0" w:rsidRPr="00324C76">
              <w:rPr>
                <w:sz w:val="24"/>
              </w:rPr>
              <w:t/>
            </w:r>
            <w:proofErr w:type="spellStart"/>
            <w:r w:rsidR="00F840F0" w:rsidRPr="00324C76">
              <w:rPr>
                <w:sz w:val="24"/>
              </w:rPr>
              <w:t/>
            </w:r>
            <w:proofErr w:type="spellEnd"/>
            <w:r w:rsidR="00F840F0" w:rsidRPr="00324C76">
              <w:rPr>
                <w:sz w:val="24"/>
              </w:rPr>
              <w:t/>
            </w:r>
            <w:r w:rsidRPr="00324C76">
              <w:rPr>
                <w:sz w:val="24"/>
              </w:rPr>
              <w:t>2011年10月25日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中国农业银行股份有限公司</w:t>
            </w:r>
          </w:p>
        </w:tc>
      </w:tr>
    </w:tbl>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Year" w:val="1899"/>
          <w:attr w:name="Month" w:val="12"/>
          <w:attr w:name="Day" w:val="30"/>
          <w:attr w:name="IsLunarDate" w:val="False"/>
          <w:attr w:name="IsROCDate" w:val="False"/>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firstColumn="0" w:firstRow="0" w:lastColumn="0" w:lastRow="0" w:noHBand="0" w:noVBand="0"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紧密跟踪标的指数，追求跟踪偏离度和跟踪误差最小化。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绝大部分资产采用完全复制法，跟踪深证300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深证300价值价格指数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roofErr w:type="spellStart"/>
            <w:r w:rsidR="00076821" w:rsidRPr="00324C76">
              <w:rPr>
                <w:kern w:val="0"/>
                <w:sz w:val="24"/>
              </w:rPr>
              <w:t/>
            </w:r>
            <w:proofErr w:type="spellEnd"/>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
            </w:r>
            <w:proofErr w:type="spellStart"/>
            <w:r w:rsidRPr="00324C76">
              <w:rPr>
                <w:color w:val="000000"/>
                <w:sz w:val="24"/>
              </w:rPr>
              <w:t/>
            </w:r>
            <w:proofErr w:type="spellEnd"/>
            <w:r w:rsidRPr="00324C76">
              <w:rPr>
                <w:color w:val="000000"/>
                <w:sz w:val="24"/>
              </w:rPr>
              <w:t>2020年10月1日-</w:t>
            </w:r>
            <w:proofErr w:type="spellStart"/>
            <w:r w:rsidRPr="00324C76">
              <w:rPr>
                <w:color w:val="000000"/>
                <w:sz w:val="24"/>
              </w:rPr>
              <w:t/>
            </w:r>
            <w:proofErr w:type="spellEnd"/>
            <w:r w:rsidRPr="00324C76">
              <w:rPr>
                <w:color w:val="000000"/>
                <w:sz w:val="24"/>
              </w:rPr>
              <w:t>2020年12月31日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roofErr w:type="spellStart"/>
            <w:r w:rsidR="00A7041B" w:rsidRPr="00324C76">
              <w:rPr>
                <w:color w:val="000000"/>
                <w:sz w:val="24"/>
              </w:rPr>
              <w:t/>
            </w:r>
            <w:proofErr w:type="spellEnd"/>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99,990.24</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8,232,909.04</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0.2589</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73,409,283.51</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2.300</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roofErr w:type="spellStart"/>
            <w:r w:rsidR="00756731" w:rsidRPr="00324C76">
              <w:rPr>
                <w:color w:val="000000"/>
                <w:sz w:val="24"/>
              </w:rPr>
              <w:t/>
            </w:r>
            <w:proofErr w:type="spellEnd"/>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12.69%</w:t>
            </w:r>
          </w:p>
        </w:tc>
        <w:tc>
          <w:tcPr>
            <w:vAlign w:val="center"/>
          </w:tcPr>
          <w:p>
            <w:pPr>
              <w:jc w:val="center"/>
            </w:pPr>
            <w:r>
              <w:rPr>
                <w:color w:val="000000"/>
                <w:sz w:val="24"/>
              </w:rPr>
              <w:t>0.94%</w:t>
            </w:r>
          </w:p>
        </w:tc>
        <w:tc>
          <w:tcPr>
            <w:vAlign w:val="center"/>
          </w:tcPr>
          <w:p>
            <w:pPr>
              <w:jc w:val="center"/>
            </w:pPr>
            <w:r>
              <w:rPr>
                <w:color w:val="000000"/>
                <w:sz w:val="24"/>
              </w:rPr>
              <w:t>12.22%</w:t>
            </w:r>
          </w:p>
        </w:tc>
        <w:tc>
          <w:tcPr>
            <w:vAlign w:val="center"/>
          </w:tcPr>
          <w:p>
            <w:pPr>
              <w:jc w:val="center"/>
            </w:pPr>
            <w:r>
              <w:rPr>
                <w:color w:val="000000"/>
                <w:sz w:val="24"/>
              </w:rPr>
              <w:t>0.98%</w:t>
            </w:r>
          </w:p>
        </w:tc>
        <w:tc>
          <w:tcPr>
            <w:vAlign w:val="center"/>
          </w:tcPr>
          <w:p>
            <w:pPr>
              <w:jc w:val="center"/>
            </w:pPr>
            <w:r>
              <w:rPr>
                <w:color w:val="000000"/>
                <w:sz w:val="24"/>
              </w:rPr>
              <w:t>0.47%</w:t>
            </w:r>
          </w:p>
        </w:tc>
        <w:tc>
          <w:tcPr>
            <w:vAlign w:val="center"/>
          </w:tcPr>
          <w:p>
            <w:pPr>
              <w:jc w:val="center"/>
            </w:pPr>
            <w:r>
              <w:rPr>
                <w:color w:val="000000"/>
                <w:sz w:val="24"/>
              </w:rPr>
              <w:t>-0.04%</w:t>
            </w:r>
          </w:p>
        </w:tc>
      </w:tr>
      <w:tr>
        <w:tc>
          <w:tcPr>
            <w:vAlign w:val="center"/>
          </w:tcPr>
          <w:p>
            <w:pPr>
              <w:jc w:val="left"/>
            </w:pPr>
            <w:r>
              <w:rPr>
                <w:color w:val="000000"/>
                <w:sz w:val="24"/>
              </w:rPr>
              <w:t>过去六个月</w:t>
            </w:r>
          </w:p>
        </w:tc>
        <w:tc>
          <w:tcPr>
            <w:vAlign w:val="center"/>
          </w:tcPr>
          <w:p>
            <w:pPr>
              <w:jc w:val="center"/>
            </w:pPr>
            <w:r>
              <w:rPr>
                <w:color w:val="000000"/>
                <w:sz w:val="24"/>
              </w:rPr>
              <w:t>22.34%</w:t>
            </w:r>
          </w:p>
        </w:tc>
        <w:tc>
          <w:tcPr>
            <w:vAlign w:val="center"/>
          </w:tcPr>
          <w:p>
            <w:pPr>
              <w:jc w:val="center"/>
            </w:pPr>
            <w:r>
              <w:rPr>
                <w:color w:val="000000"/>
                <w:sz w:val="24"/>
              </w:rPr>
              <w:t>1.30%</w:t>
            </w:r>
          </w:p>
        </w:tc>
        <w:tc>
          <w:tcPr>
            <w:vAlign w:val="center"/>
          </w:tcPr>
          <w:p>
            <w:pPr>
              <w:jc w:val="center"/>
            </w:pPr>
            <w:r>
              <w:rPr>
                <w:color w:val="000000"/>
                <w:sz w:val="24"/>
              </w:rPr>
              <w:t>20.55%</w:t>
            </w:r>
          </w:p>
        </w:tc>
        <w:tc>
          <w:tcPr>
            <w:vAlign w:val="center"/>
          </w:tcPr>
          <w:p>
            <w:pPr>
              <w:jc w:val="center"/>
            </w:pPr>
            <w:r>
              <w:rPr>
                <w:color w:val="000000"/>
                <w:sz w:val="24"/>
              </w:rPr>
              <w:t>1.34%</w:t>
            </w:r>
          </w:p>
        </w:tc>
        <w:tc>
          <w:tcPr>
            <w:vAlign w:val="center"/>
          </w:tcPr>
          <w:p>
            <w:pPr>
              <w:jc w:val="center"/>
            </w:pPr>
            <w:r>
              <w:rPr>
                <w:color w:val="000000"/>
                <w:sz w:val="24"/>
              </w:rPr>
              <w:t>1.79%</w:t>
            </w:r>
          </w:p>
        </w:tc>
        <w:tc>
          <w:tcPr>
            <w:vAlign w:val="center"/>
          </w:tcPr>
          <w:p>
            <w:pPr>
              <w:jc w:val="center"/>
            </w:pPr>
            <w:r>
              <w:rPr>
                <w:color w:val="000000"/>
                <w:sz w:val="24"/>
              </w:rPr>
              <w:t>-0.04%</w:t>
            </w:r>
          </w:p>
        </w:tc>
      </w:tr>
      <w:tr>
        <w:tc>
          <w:tcPr>
            <w:vAlign w:val="center"/>
          </w:tcPr>
          <w:p>
            <w:pPr>
              <w:jc w:val="left"/>
            </w:pPr>
            <w:r>
              <w:rPr>
                <w:color w:val="000000"/>
                <w:sz w:val="24"/>
              </w:rPr>
              <w:t>过去一年</w:t>
            </w:r>
          </w:p>
        </w:tc>
        <w:tc>
          <w:tcPr>
            <w:vAlign w:val="center"/>
          </w:tcPr>
          <w:p>
            <w:pPr>
              <w:jc w:val="center"/>
            </w:pPr>
            <w:r>
              <w:rPr>
                <w:color w:val="000000"/>
                <w:sz w:val="24"/>
              </w:rPr>
              <w:t>19.67%</w:t>
            </w:r>
          </w:p>
        </w:tc>
        <w:tc>
          <w:tcPr>
            <w:vAlign w:val="center"/>
          </w:tcPr>
          <w:p>
            <w:pPr>
              <w:jc w:val="center"/>
            </w:pPr>
            <w:r>
              <w:rPr>
                <w:color w:val="000000"/>
                <w:sz w:val="24"/>
              </w:rPr>
              <w:t>1.44%</w:t>
            </w:r>
          </w:p>
        </w:tc>
        <w:tc>
          <w:tcPr>
            <w:vAlign w:val="center"/>
          </w:tcPr>
          <w:p>
            <w:pPr>
              <w:jc w:val="center"/>
            </w:pPr>
            <w:r>
              <w:rPr>
                <w:color w:val="000000"/>
                <w:sz w:val="24"/>
              </w:rPr>
              <w:t>16.32%</w:t>
            </w:r>
          </w:p>
        </w:tc>
        <w:tc>
          <w:tcPr>
            <w:vAlign w:val="center"/>
          </w:tcPr>
          <w:p>
            <w:pPr>
              <w:jc w:val="center"/>
            </w:pPr>
            <w:r>
              <w:rPr>
                <w:color w:val="000000"/>
                <w:sz w:val="24"/>
              </w:rPr>
              <w:t>1.49%</w:t>
            </w:r>
          </w:p>
        </w:tc>
        <w:tc>
          <w:tcPr>
            <w:vAlign w:val="center"/>
          </w:tcPr>
          <w:p>
            <w:pPr>
              <w:jc w:val="center"/>
            </w:pPr>
            <w:r>
              <w:rPr>
                <w:color w:val="000000"/>
                <w:sz w:val="24"/>
              </w:rPr>
              <w:t>3.35%</w:t>
            </w:r>
          </w:p>
        </w:tc>
        <w:tc>
          <w:tcPr>
            <w:vAlign w:val="center"/>
          </w:tcPr>
          <w:p>
            <w:pPr>
              <w:jc w:val="center"/>
            </w:pPr>
            <w:r>
              <w:rPr>
                <w:color w:val="000000"/>
                <w:sz w:val="24"/>
              </w:rPr>
              <w:t>-0.05%</w:t>
            </w:r>
          </w:p>
        </w:tc>
      </w:tr>
      <w:tr>
        <w:tc>
          <w:tcPr>
            <w:vAlign w:val="center"/>
          </w:tcPr>
          <w:p>
            <w:pPr>
              <w:jc w:val="left"/>
            </w:pPr>
            <w:r>
              <w:rPr>
                <w:color w:val="000000"/>
                <w:sz w:val="24"/>
              </w:rPr>
              <w:t>过去三年</w:t>
            </w:r>
          </w:p>
        </w:tc>
        <w:tc>
          <w:tcPr>
            <w:vAlign w:val="center"/>
          </w:tcPr>
          <w:p>
            <w:pPr>
              <w:jc w:val="center"/>
            </w:pPr>
            <w:r>
              <w:rPr>
                <w:color w:val="000000"/>
                <w:sz w:val="24"/>
              </w:rPr>
              <w:t>29.58%</w:t>
            </w:r>
          </w:p>
        </w:tc>
        <w:tc>
          <w:tcPr>
            <w:vAlign w:val="center"/>
          </w:tcPr>
          <w:p>
            <w:pPr>
              <w:jc w:val="center"/>
            </w:pPr>
            <w:r>
              <w:rPr>
                <w:color w:val="000000"/>
                <w:sz w:val="24"/>
              </w:rPr>
              <w:t>1.39%</w:t>
            </w:r>
          </w:p>
        </w:tc>
        <w:tc>
          <w:tcPr>
            <w:vAlign w:val="center"/>
          </w:tcPr>
          <w:p>
            <w:pPr>
              <w:jc w:val="center"/>
            </w:pPr>
            <w:r>
              <w:rPr>
                <w:color w:val="000000"/>
                <w:sz w:val="24"/>
              </w:rPr>
              <w:t>24.52%</w:t>
            </w:r>
          </w:p>
        </w:tc>
        <w:tc>
          <w:tcPr>
            <w:vAlign w:val="center"/>
          </w:tcPr>
          <w:p>
            <w:pPr>
              <w:jc w:val="center"/>
            </w:pPr>
            <w:r>
              <w:rPr>
                <w:color w:val="000000"/>
                <w:sz w:val="24"/>
              </w:rPr>
              <w:t>1.44%</w:t>
            </w:r>
          </w:p>
        </w:tc>
        <w:tc>
          <w:tcPr>
            <w:vAlign w:val="center"/>
          </w:tcPr>
          <w:p>
            <w:pPr>
              <w:jc w:val="center"/>
            </w:pPr>
            <w:r>
              <w:rPr>
                <w:color w:val="000000"/>
                <w:sz w:val="24"/>
              </w:rPr>
              <w:t>5.06%</w:t>
            </w:r>
          </w:p>
        </w:tc>
        <w:tc>
          <w:tcPr>
            <w:vAlign w:val="center"/>
          </w:tcPr>
          <w:p>
            <w:pPr>
              <w:jc w:val="center"/>
            </w:pPr>
            <w:r>
              <w:rPr>
                <w:color w:val="000000"/>
                <w:sz w:val="24"/>
              </w:rPr>
              <w:t>-0.05%</w:t>
            </w:r>
          </w:p>
        </w:tc>
      </w:tr>
      <w:tr>
        <w:tc>
          <w:tcPr>
            <w:vAlign w:val="center"/>
          </w:tcPr>
          <w:p>
            <w:pPr>
              <w:jc w:val="left"/>
            </w:pPr>
            <w:r>
              <w:rPr>
                <w:color w:val="000000"/>
                <w:sz w:val="24"/>
              </w:rPr>
              <w:t>过去五年</w:t>
            </w:r>
          </w:p>
        </w:tc>
        <w:tc>
          <w:tcPr>
            <w:vAlign w:val="center"/>
          </w:tcPr>
          <w:p>
            <w:pPr>
              <w:jc w:val="center"/>
            </w:pPr>
            <w:r>
              <w:rPr>
                <w:color w:val="000000"/>
                <w:sz w:val="24"/>
              </w:rPr>
              <w:t>54.67%</w:t>
            </w:r>
          </w:p>
        </w:tc>
        <w:tc>
          <w:tcPr>
            <w:vAlign w:val="center"/>
          </w:tcPr>
          <w:p>
            <w:pPr>
              <w:jc w:val="center"/>
            </w:pPr>
            <w:r>
              <w:rPr>
                <w:color w:val="000000"/>
                <w:sz w:val="24"/>
              </w:rPr>
              <w:t>1.30%</w:t>
            </w:r>
          </w:p>
        </w:tc>
        <w:tc>
          <w:tcPr>
            <w:vAlign w:val="center"/>
          </w:tcPr>
          <w:p>
            <w:pPr>
              <w:jc w:val="center"/>
            </w:pPr>
            <w:r>
              <w:rPr>
                <w:color w:val="000000"/>
                <w:sz w:val="24"/>
              </w:rPr>
              <w:t>48.23%</w:t>
            </w:r>
          </w:p>
        </w:tc>
        <w:tc>
          <w:tcPr>
            <w:vAlign w:val="center"/>
          </w:tcPr>
          <w:p>
            <w:pPr>
              <w:jc w:val="center"/>
            </w:pPr>
            <w:r>
              <w:rPr>
                <w:color w:val="000000"/>
                <w:sz w:val="24"/>
              </w:rPr>
              <w:t>1.35%</w:t>
            </w:r>
          </w:p>
        </w:tc>
        <w:tc>
          <w:tcPr>
            <w:vAlign w:val="center"/>
          </w:tcPr>
          <w:p>
            <w:pPr>
              <w:jc w:val="center"/>
            </w:pPr>
            <w:r>
              <w:rPr>
                <w:color w:val="000000"/>
                <w:sz w:val="24"/>
              </w:rPr>
              <w:t>6.44%</w:t>
            </w:r>
          </w:p>
        </w:tc>
        <w:tc>
          <w:tcPr>
            <w:vAlign w:val="center"/>
          </w:tcPr>
          <w:p>
            <w:pPr>
              <w:jc w:val="center"/>
            </w:pPr>
            <w:r>
              <w:rPr>
                <w:color w:val="000000"/>
                <w:sz w:val="24"/>
              </w:rPr>
              <w:t>-0.05%</w:t>
            </w:r>
          </w:p>
        </w:tc>
      </w:tr>
      <w:tr>
        <w:tc>
          <w:tcPr>
            <w:vAlign w:val="center"/>
          </w:tcPr>
          <w:p>
            <w:pPr>
              <w:jc w:val="left"/>
            </w:pPr>
            <w:r>
              <w:rPr>
                <w:color w:val="000000"/>
                <w:sz w:val="24"/>
              </w:rPr>
              <w:t>自基金合同生效至今</w:t>
            </w:r>
          </w:p>
        </w:tc>
        <w:tc>
          <w:tcPr>
            <w:vAlign w:val="center"/>
          </w:tcPr>
          <w:p>
            <w:pPr>
              <w:jc w:val="center"/>
            </w:pPr>
            <w:r>
              <w:rPr>
                <w:color w:val="000000"/>
                <w:sz w:val="24"/>
              </w:rPr>
              <w:t>130.00%</w:t>
            </w:r>
          </w:p>
        </w:tc>
        <w:tc>
          <w:tcPr>
            <w:vAlign w:val="center"/>
          </w:tcPr>
          <w:p>
            <w:pPr>
              <w:jc w:val="center"/>
            </w:pPr>
            <w:r>
              <w:rPr>
                <w:color w:val="000000"/>
                <w:sz w:val="24"/>
              </w:rPr>
              <w:t>1.45%</w:t>
            </w:r>
          </w:p>
        </w:tc>
        <w:tc>
          <w:tcPr>
            <w:vAlign w:val="center"/>
          </w:tcPr>
          <w:p>
            <w:pPr>
              <w:jc w:val="center"/>
            </w:pPr>
            <w:r>
              <w:rPr>
                <w:color w:val="000000"/>
                <w:sz w:val="24"/>
              </w:rPr>
              <w:t>111.47%</w:t>
            </w:r>
          </w:p>
        </w:tc>
        <w:tc>
          <w:tcPr>
            <w:vAlign w:val="center"/>
          </w:tcPr>
          <w:p>
            <w:pPr>
              <w:jc w:val="center"/>
            </w:pPr>
            <w:r>
              <w:rPr>
                <w:color w:val="000000"/>
                <w:sz w:val="24"/>
              </w:rPr>
              <w:t>1.50%</w:t>
            </w:r>
          </w:p>
        </w:tc>
        <w:tc>
          <w:tcPr>
            <w:vAlign w:val="center"/>
          </w:tcPr>
          <w:p>
            <w:pPr>
              <w:jc w:val="center"/>
            </w:pPr>
            <w:r>
              <w:rPr>
                <w:color w:val="000000"/>
                <w:sz w:val="24"/>
              </w:rPr>
              <w:t>18.53%</w:t>
            </w:r>
          </w:p>
        </w:tc>
        <w:tc>
          <w:tcPr>
            <w:vAlign w:val="center"/>
          </w:tcPr>
          <w:p>
            <w:pPr>
              <w:jc w:val="center"/>
            </w:pPr>
            <w:r>
              <w:rPr>
                <w:color w:val="000000"/>
                <w:sz w:val="24"/>
              </w:rPr>
              <w:t>-0.05%</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
      </w:r>
      <w:proofErr w:type="spellStart"/>
      <w:r w:rsidR="00491158" w:rsidRPr="004739A8">
        <w:rPr>
          <w:rFonts w:hint="eastAsia"/>
          <w:b/>
          <w:kern w:val="0"/>
          <w:sz w:val="24"/>
        </w:rPr>
        <w:t/>
      </w:r>
      <w:proofErr w:type="spellEnd"/>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
      </w:r>
      <w:proofErr w:type="spellStart"/>
      <w:r w:rsidRPr="00324C76">
        <w:rPr>
          <w:sz w:val="24"/>
        </w:rPr>
        <w:t/>
      </w:r>
      <w:proofErr w:type="spellEnd"/>
      <w:r w:rsidRPr="00324C76">
        <w:rPr>
          <w:sz w:val="24"/>
        </w:rPr>
        <w:t>交银施罗德深证300价值交易型开放式指数证券投资基金联接基金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
      </w:r>
      <w:proofErr w:type="spellStart"/>
      <w:r w:rsidR="003251EE" w:rsidRPr="00324C76">
        <w:rPr>
          <w:color w:val="000000"/>
          <w:kern w:val="0"/>
          <w:sz w:val="24"/>
        </w:rPr>
        <w:t/>
      </w:r>
      <w:proofErr w:type="spellEnd"/>
      <w:r w:rsidR="003251EE" w:rsidRPr="00324C76">
        <w:rPr>
          <w:color w:val="000000"/>
          <w:kern w:val="0"/>
          <w:sz w:val="24"/>
        </w:rPr>
        <w:t>2011年9月28日</w:t>
      </w:r>
      <w:r w:rsidRPr="00324C76">
        <w:rPr>
          <w:color w:val="000000"/>
          <w:kern w:val="0"/>
          <w:sz w:val="24"/>
        </w:rPr>
        <w:t>至</w:t>
      </w: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2020年12月31日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r w:rsidR="00C26024"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注：本基金建仓期为自基金合同生效日起的6个月。截至建仓期结束，本基金各项资产配置比例符合基金合同及招募说明书有关投资比例的约定。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中证海外中国互联网指数（QDII-LOF)、交银中证环境治理指数（LOF）、交银创业板50指数、交银国证新能源指数(LOF)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2018年5月18日至2020年7月17日担任交银施罗德致远量化智投策略定期开放混合型证券投资基金的基金经理。2015年6月26日至2020年11月25日担任交银施罗德中证互联网金融指数分级证券投资基金的基金经理。2015年3月26日至2020年11月29日担任交银施罗德国证新能源指数分级证券投资基金的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第四季度，经过前两个季度的稳步修复，国内经济加速势头进一步显现。需求端，社会消费品零售总额、固定资产投资与出口增速持续提升；生产端，规模以上工业增加值及服务业生产指数也均呈现同比加速增长趋势。国内就业保持总体稳定，市场发展活力增强，中国预计将成为2020年全球唯一实现正增长的主要经济体。在国内经济稳步向好的背景下，投资者风险偏好显著提升，四季度A股市场震荡上行，作为跟踪基准指数的指数基金，四季度基金总体呈现上行态势。</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展望2021年一季度，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A股市场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本基金（各类）份额净值及业绩表现请见“3.1主要财务指标” 及“3.2.1 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p w:rsidP="005F16FA" w:rsidR="005F16FA" w:rsidRDefault="005F16FA" w:rsidRPr="005F16FA">
      <w:pPr>
        <w:autoSpaceDE w:val="0"/>
        <w:autoSpaceDN w:val="0"/>
        <w:adjustRightInd w:val="0"/>
        <w:spacing w:line="360" w:lineRule="auto"/>
        <w:jc w:val="right"/>
        <w:rPr>
          <w:rFonts w:eastAsiaTheme="minorEastAsia"/>
          <w:color w:themeColor="text1" w:val="000000"/>
          <w:kern w:val="0"/>
          <w:sz w:val="24"/>
        </w:rPr>
      </w:pPr>
      <w:r w:rsidRPr="005F16FA">
        <w:rPr>
          <w:rFonts w:eastAsiaTheme="minorEastAsia" w:hint="eastAsia"/>
          <w:color w:themeColor="text1" w:val="000000"/>
          <w:kern w:val="0"/>
          <w:sz w:val="24"/>
        </w:rPr>
        <w:t/>
      </w:r>
      <w:proofErr w:type="spellStart"/>
      <w:r w:rsidRPr="005F16FA">
        <w:rPr>
          <w:rFonts w:eastAsiaTheme="minorEastAsia" w:hint="eastAsia"/>
          <w:color w:themeColor="text1" w:val="000000"/>
          <w:kern w:val="0"/>
          <w:sz w:val="24"/>
        </w:rPr>
        <w:t/>
      </w:r>
      <w:proofErr w:type="spellEnd"/>
      <w:r w:rsidRPr="005F16FA">
        <w:rPr>
          <w:rFonts w:eastAsiaTheme="minorEastAsia" w:hint="eastAsia"/>
          <w:color w:themeColor="text1" w:val="000000"/>
          <w:kern w:val="0"/>
          <w:sz w:val="24"/>
        </w:rPr>
        <w:t/>
      </w:r>
      <w:r w:rsidRPr="005F16FA">
        <w:rPr>
          <w:rFonts w:eastAsiaTheme="minorEastAsia" w:hint="eastAsia"/>
          <w:color w:themeColor="text1" w:val="000000"/>
          <w:kern w:val="0"/>
          <w:sz w:val="24"/>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p>
        </w:tc>
        <w:tc>
          <w:tcPr>
            <w:tcW w:type="dxa" w:w="2801"/>
            <w:vAlign w:val="center"/>
          </w:tcPr>
          <w:p w:rsidP="002D2971" w:rsidR="00BA170A" w:rsidRDefault="00644EC3"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1,449,206.40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1.97</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1,449,206.40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1.97</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66,979,447.50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90.93</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r w:rsidRPr="00AE0465">
              <w:rPr>
                <w:rFonts w:eastAsiaTheme="minorEastAsia"/>
                <w:color w:themeColor="text1" w:val="000000"/>
                <w:sz w:val="24"/>
              </w:rPr>
              <w:lastRenderedPageBreak/>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5,196,479.24</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7.05</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32,749.06</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0.04</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73,657,882.20</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w:t>
            </w:r>
            <w:r w:rsidRPr="00324C76">
              <w:rPr>
                <w:kern w:val="0"/>
                <w:sz w:val="24"/>
              </w:rPr>
              <w:lastRenderedPageBreak/>
              <w:t>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深证300价值交易型开放式指数证券投资基金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66,979,447.50</w:t>
            </w:r>
          </w:p>
        </w:tc>
        <w:tc>
          <w:tcPr>
            <w:vAlign w:val="center"/>
          </w:tcPr>
          <w:p>
            <w:pPr>
              <w:jc w:val="right"/>
            </w:pPr>
            <w:r>
              <w:rPr>
                <w:sz w:val="24"/>
              </w:rPr>
              <w:t>91.24</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p w:rsidP="00D17C3D" w:rsidR="00D17C3D" w:rsidRDefault="00D17C3D" w:rsidRPr="005312D8">
      <w:pPr>
        <w:autoSpaceDE w:val="0"/>
        <w:autoSpaceDN w:val="0"/>
        <w:adjustRightInd w:val="0"/>
        <w:spacing w:before="29" w:line="288" w:lineRule="auto"/>
        <w:ind w:left="15"/>
        <w:jc w:val="right"/>
        <w:rPr>
          <w:color w:val="000000"/>
          <w:kern w:val="0"/>
          <w:sz w:val="24"/>
        </w:rPr>
      </w:pPr>
      <w:r w:rsidRPr="005312D8">
        <w:rPr>
          <w:color w:val="000000"/>
          <w:sz w:val="24"/>
        </w:rPr>
        <w:t/>
      </w:r>
      <w:proofErr w:type="spellStart"/>
      <w:r w:rsidRPr="005312D8">
        <w:rPr>
          <w:color w:val="000000"/>
          <w:sz w:val="24"/>
        </w:rPr>
        <w:t/>
      </w:r>
      <w:proofErr w:type="spellEnd"/>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firstColumn="0" w:firstRow="0" w:lastColumn="0" w:lastRow="0" w:noHBand="0" w:noVBand="0"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roofErr w:type="spellStart"/>
            <w:r w:rsidR="000E0611" w:rsidRPr="00324C76">
              <w:rPr>
                <w:sz w:val="24"/>
              </w:rPr>
              <w:t/>
            </w:r>
            <w:proofErr w:type="spellEnd"/>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C78B5" w:rsidR="003634D5" w:rsidRDefault="003634D5" w:rsidRPr="00324C76">
            <w:pPr>
              <w:adjustRightInd w:val="0"/>
              <w:snapToGrid w:val="0"/>
              <w:spacing w:before="29" w:line="288" w:lineRule="auto"/>
              <w:jc w:val="center"/>
              <w:rPr>
                <w:sz w:val="24"/>
              </w:rPr>
            </w:pPr>
            <w:r w:rsidRPr="00324C76">
              <w:rPr>
                <w:sz w:val="24"/>
              </w:rPr>
              <w:t>公允价值</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47,237.00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0.06</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8,301.60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908,117.80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1.24</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16,170.00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0.02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5,634.00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20,304.00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4,646.00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5,424.00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253,604.00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0.35</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164,872.00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0.22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4,755.00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10,141.00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1,449,206.40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1.97</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
      </w:r>
      <w:proofErr w:type="spellStart"/>
      <w:r w:rsidRPr="00FF0BBF">
        <w:rPr>
          <w:color w:val="000000"/>
          <w:sz w:val="24"/>
        </w:rPr>
        <w:t/>
      </w:r>
      <w:proofErr w:type="spellEnd"/>
      <w:r w:rsidRPr="00FF0BBF">
        <w:rPr>
          <w:color w:val="000000"/>
          <w:sz w:val="24"/>
        </w:rPr>
        <w:t/>
      </w:r>
      <w:proofErr w:type="spellStart"/>
      <w:r w:rsidRPr="00FF0BBF">
        <w:rPr>
          <w:color w:val="000000"/>
          <w:sz w:val="24"/>
        </w:rPr>
        <w:t/>
      </w:r>
      <w:proofErr w:type="spellEnd"/>
      <w:r w:rsidRPr="00FF0BBF">
        <w:rPr>
          <w:color w:val="000000"/>
          <w:sz w:val="24"/>
        </w:rPr>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2,330</w:t>
            </w:r>
          </w:p>
        </w:tc>
        <w:tc>
          <w:tcPr>
            <w:vAlign w:val="center"/>
          </w:tcPr>
          <w:p>
            <w:pPr>
              <w:jc w:val="right"/>
            </w:pPr>
            <w:r>
              <w:rPr>
                <w:color w:val="000000"/>
                <w:sz w:val="24"/>
              </w:rPr>
              <w:t>229,365.20</w:t>
            </w:r>
          </w:p>
        </w:tc>
        <w:tc>
          <w:tcPr>
            <w:vAlign w:val="center"/>
          </w:tcPr>
          <w:p>
            <w:pPr>
              <w:jc w:val="right"/>
            </w:pPr>
            <w:r>
              <w:rPr>
                <w:color w:val="000000"/>
                <w:sz w:val="24"/>
              </w:rPr>
              <w:t>0.31</w:t>
            </w:r>
          </w:p>
        </w:tc>
      </w:tr>
      <w:tr>
        <w:tc>
          <w:tcPr>
            <w:vAlign w:val="center"/>
          </w:tcPr>
          <w:p>
            <w:pPr>
              <w:jc w:val="center"/>
            </w:pPr>
            <w:r>
              <w:rPr>
                <w:color w:val="000000"/>
                <w:sz w:val="24"/>
              </w:rPr>
              <w:t>2</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2,300</w:t>
            </w:r>
          </w:p>
        </w:tc>
        <w:tc>
          <w:tcPr>
            <w:vAlign w:val="center"/>
          </w:tcPr>
          <w:p>
            <w:pPr>
              <w:jc w:val="right"/>
            </w:pPr>
            <w:r>
              <w:rPr>
                <w:color w:val="000000"/>
                <w:sz w:val="24"/>
              </w:rPr>
              <w:t>142,462.00</w:t>
            </w:r>
          </w:p>
        </w:tc>
        <w:tc>
          <w:tcPr>
            <w:vAlign w:val="center"/>
          </w:tcPr>
          <w:p>
            <w:pPr>
              <w:jc w:val="right"/>
            </w:pPr>
            <w:r>
              <w:rPr>
                <w:color w:val="000000"/>
                <w:sz w:val="24"/>
              </w:rPr>
              <w:t>0.19</w:t>
            </w:r>
          </w:p>
        </w:tc>
      </w:tr>
      <w:tr>
        <w:tc>
          <w:tcPr>
            <w:vAlign w:val="center"/>
          </w:tcPr>
          <w:p>
            <w:pPr>
              <w:jc w:val="center"/>
            </w:pPr>
            <w:r>
              <w:rPr>
                <w:color w:val="000000"/>
                <w:sz w:val="24"/>
              </w:rPr>
              <w:t>3</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3,300</w:t>
            </w:r>
          </w:p>
        </w:tc>
        <w:tc>
          <w:tcPr>
            <w:vAlign w:val="center"/>
          </w:tcPr>
          <w:p>
            <w:pPr>
              <w:jc w:val="right"/>
            </w:pPr>
            <w:r>
              <w:rPr>
                <w:color w:val="000000"/>
                <w:sz w:val="24"/>
              </w:rPr>
              <w:t>94,710.00</w:t>
            </w:r>
          </w:p>
        </w:tc>
        <w:tc>
          <w:tcPr>
            <w:vAlign w:val="center"/>
          </w:tcPr>
          <w:p>
            <w:pPr>
              <w:jc w:val="right"/>
            </w:pPr>
            <w:r>
              <w:rPr>
                <w:color w:val="000000"/>
                <w:sz w:val="24"/>
              </w:rPr>
              <w:t>0.13</w:t>
            </w:r>
          </w:p>
        </w:tc>
      </w:tr>
      <w:tr>
        <w:tc>
          <w:tcPr>
            <w:vAlign w:val="center"/>
          </w:tcPr>
          <w:p>
            <w:pPr>
              <w:jc w:val="center"/>
            </w:pPr>
            <w:r>
              <w:rPr>
                <w:color w:val="000000"/>
                <w:sz w:val="24"/>
              </w:rPr>
              <w:t>4</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13,700</w:t>
            </w:r>
          </w:p>
        </w:tc>
        <w:tc>
          <w:tcPr>
            <w:vAlign w:val="center"/>
          </w:tcPr>
          <w:p>
            <w:pPr>
              <w:jc w:val="right"/>
            </w:pPr>
            <w:r>
              <w:rPr>
                <w:color w:val="000000"/>
                <w:sz w:val="24"/>
              </w:rPr>
              <w:t>82,200.00</w:t>
            </w:r>
          </w:p>
        </w:tc>
        <w:tc>
          <w:tcPr>
            <w:vAlign w:val="center"/>
          </w:tcPr>
          <w:p>
            <w:pPr>
              <w:jc w:val="right"/>
            </w:pPr>
            <w:r>
              <w:rPr>
                <w:color w:val="000000"/>
                <w:sz w:val="24"/>
              </w:rPr>
              <w:t>0.11</w:t>
            </w:r>
          </w:p>
        </w:tc>
      </w:tr>
      <w:tr>
        <w:tc>
          <w:tcPr>
            <w:vAlign w:val="center"/>
          </w:tcPr>
          <w:p>
            <w:pPr>
              <w:jc w:val="center"/>
            </w:pPr>
            <w:r>
              <w:rPr>
                <w:color w:val="000000"/>
                <w:sz w:val="24"/>
              </w:rPr>
              <w:t>5</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4,100</w:t>
            </w:r>
          </w:p>
        </w:tc>
        <w:tc>
          <w:tcPr>
            <w:vAlign w:val="center"/>
          </w:tcPr>
          <w:p>
            <w:pPr>
              <w:jc w:val="right"/>
            </w:pPr>
            <w:r>
              <w:rPr>
                <w:color w:val="000000"/>
                <w:sz w:val="24"/>
              </w:rPr>
              <w:t>79,294.00</w:t>
            </w:r>
          </w:p>
        </w:tc>
        <w:tc>
          <w:tcPr>
            <w:vAlign w:val="center"/>
          </w:tcPr>
          <w:p>
            <w:pPr>
              <w:jc w:val="right"/>
            </w:pPr>
            <w:r>
              <w:rPr>
                <w:color w:val="000000"/>
                <w:sz w:val="24"/>
              </w:rPr>
              <w:t>0.11</w:t>
            </w:r>
          </w:p>
        </w:tc>
      </w:tr>
      <w:tr>
        <w:tc>
          <w:tcPr>
            <w:vAlign w:val="center"/>
          </w:tcPr>
          <w:p>
            <w:pPr>
              <w:jc w:val="center"/>
            </w:pPr>
            <w:r>
              <w:rPr>
                <w:color w:val="000000"/>
                <w:sz w:val="24"/>
              </w:rPr>
              <w:t>6</w:t>
            </w:r>
          </w:p>
        </w:tc>
        <w:tc>
          <w:tcPr>
            <w:vAlign w:val="center"/>
          </w:tcPr>
          <w:p>
            <w:pPr>
              <w:jc w:val="center"/>
            </w:pPr>
            <w:r>
              <w:rPr>
                <w:color w:val="000000"/>
                <w:sz w:val="24"/>
              </w:rPr>
              <w:t>002142</w:t>
            </w:r>
          </w:p>
        </w:tc>
        <w:tc>
          <w:tcPr>
            <w:vAlign w:val="center"/>
          </w:tcPr>
          <w:p>
            <w:pPr>
              <w:jc w:val="center"/>
            </w:pPr>
            <w:r>
              <w:rPr>
                <w:color w:val="000000"/>
                <w:sz w:val="24"/>
              </w:rPr>
              <w:t>宁波银行</w:t>
            </w:r>
          </w:p>
        </w:tc>
        <w:tc>
          <w:tcPr>
            <w:vAlign w:val="center"/>
          </w:tcPr>
          <w:p>
            <w:pPr>
              <w:jc w:val="right"/>
            </w:pPr>
            <w:r>
              <w:rPr>
                <w:color w:val="000000"/>
                <w:sz w:val="24"/>
              </w:rPr>
              <w:t>1,600</w:t>
            </w:r>
          </w:p>
        </w:tc>
        <w:tc>
          <w:tcPr>
            <w:vAlign w:val="center"/>
          </w:tcPr>
          <w:p>
            <w:pPr>
              <w:jc w:val="right"/>
            </w:pPr>
            <w:r>
              <w:rPr>
                <w:color w:val="000000"/>
                <w:sz w:val="24"/>
              </w:rPr>
              <w:t>56,544.00</w:t>
            </w:r>
          </w:p>
        </w:tc>
        <w:tc>
          <w:tcPr>
            <w:vAlign w:val="center"/>
          </w:tcPr>
          <w:p>
            <w:pPr>
              <w:jc w:val="right"/>
            </w:pPr>
            <w:r>
              <w:rPr>
                <w:color w:val="000000"/>
                <w:sz w:val="24"/>
              </w:rPr>
              <w:t>0.08</w:t>
            </w:r>
          </w:p>
        </w:tc>
      </w:tr>
      <w:tr>
        <w:tc>
          <w:tcPr>
            <w:vAlign w:val="center"/>
          </w:tcPr>
          <w:p>
            <w:pPr>
              <w:jc w:val="center"/>
            </w:pPr>
            <w:r>
              <w:rPr>
                <w:color w:val="000000"/>
                <w:sz w:val="24"/>
              </w:rPr>
              <w:t>7</w:t>
            </w:r>
          </w:p>
        </w:tc>
        <w:tc>
          <w:tcPr>
            <w:vAlign w:val="center"/>
          </w:tcPr>
          <w:p>
            <w:pPr>
              <w:jc w:val="center"/>
            </w:pPr>
            <w:r>
              <w:rPr>
                <w:color w:val="000000"/>
                <w:sz w:val="24"/>
              </w:rPr>
              <w:t>002304</w:t>
            </w:r>
          </w:p>
        </w:tc>
        <w:tc>
          <w:tcPr>
            <w:vAlign w:val="center"/>
          </w:tcPr>
          <w:p>
            <w:pPr>
              <w:jc w:val="center"/>
            </w:pPr>
            <w:r>
              <w:rPr>
                <w:color w:val="000000"/>
                <w:sz w:val="24"/>
              </w:rPr>
              <w:t>洋河股份</w:t>
            </w:r>
          </w:p>
        </w:tc>
        <w:tc>
          <w:tcPr>
            <w:vAlign w:val="center"/>
          </w:tcPr>
          <w:p>
            <w:pPr>
              <w:jc w:val="right"/>
            </w:pPr>
            <w:r>
              <w:rPr>
                <w:color w:val="000000"/>
                <w:sz w:val="24"/>
              </w:rPr>
              <w:t>200</w:t>
            </w:r>
          </w:p>
        </w:tc>
        <w:tc>
          <w:tcPr>
            <w:vAlign w:val="center"/>
          </w:tcPr>
          <w:p>
            <w:pPr>
              <w:jc w:val="right"/>
            </w:pPr>
            <w:r>
              <w:rPr>
                <w:color w:val="000000"/>
                <w:sz w:val="24"/>
              </w:rPr>
              <w:t>47,198.00</w:t>
            </w:r>
          </w:p>
        </w:tc>
        <w:tc>
          <w:tcPr>
            <w:vAlign w:val="center"/>
          </w:tcPr>
          <w:p>
            <w:pPr>
              <w:jc w:val="right"/>
            </w:pPr>
            <w:r>
              <w:rPr>
                <w:color w:val="000000"/>
                <w:sz w:val="24"/>
              </w:rPr>
              <w:t>0.06</w:t>
            </w:r>
          </w:p>
        </w:tc>
      </w:tr>
      <w:tr>
        <w:tc>
          <w:tcPr>
            <w:vAlign w:val="center"/>
          </w:tcPr>
          <w:p>
            <w:pPr>
              <w:jc w:val="center"/>
            </w:pPr>
            <w:r>
              <w:rPr>
                <w:color w:val="000000"/>
                <w:sz w:val="24"/>
              </w:rPr>
              <w:t>8</w:t>
            </w:r>
          </w:p>
        </w:tc>
        <w:tc>
          <w:tcPr>
            <w:vAlign w:val="center"/>
          </w:tcPr>
          <w:p>
            <w:pPr>
              <w:jc w:val="center"/>
            </w:pPr>
            <w:r>
              <w:rPr>
                <w:color w:val="000000"/>
                <w:sz w:val="24"/>
              </w:rPr>
              <w:t>300498</w:t>
            </w:r>
          </w:p>
        </w:tc>
        <w:tc>
          <w:tcPr>
            <w:vAlign w:val="center"/>
          </w:tcPr>
          <w:p>
            <w:pPr>
              <w:jc w:val="center"/>
            </w:pPr>
            <w:r>
              <w:rPr>
                <w:color w:val="000000"/>
                <w:sz w:val="24"/>
              </w:rPr>
              <w:t>温氏股份</w:t>
            </w:r>
          </w:p>
        </w:tc>
        <w:tc>
          <w:tcPr>
            <w:vAlign w:val="center"/>
          </w:tcPr>
          <w:p>
            <w:pPr>
              <w:jc w:val="right"/>
            </w:pPr>
            <w:r>
              <w:rPr>
                <w:color w:val="000000"/>
                <w:sz w:val="24"/>
              </w:rPr>
              <w:t>2,300</w:t>
            </w:r>
          </w:p>
        </w:tc>
        <w:tc>
          <w:tcPr>
            <w:vAlign w:val="center"/>
          </w:tcPr>
          <w:p>
            <w:pPr>
              <w:jc w:val="right"/>
            </w:pPr>
            <w:r>
              <w:rPr>
                <w:color w:val="000000"/>
                <w:sz w:val="24"/>
              </w:rPr>
              <w:t>41,929.00</w:t>
            </w:r>
          </w:p>
        </w:tc>
        <w:tc>
          <w:tcPr>
            <w:vAlign w:val="center"/>
          </w:tcPr>
          <w:p>
            <w:pPr>
              <w:jc w:val="right"/>
            </w:pPr>
            <w:r>
              <w:rPr>
                <w:color w:val="000000"/>
                <w:sz w:val="24"/>
              </w:rPr>
              <w:t>0.06</w:t>
            </w:r>
          </w:p>
        </w:tc>
      </w:tr>
      <w:tr>
        <w:tc>
          <w:tcPr>
            <w:vAlign w:val="center"/>
          </w:tcPr>
          <w:p>
            <w:pPr>
              <w:jc w:val="center"/>
            </w:pPr>
            <w:r>
              <w:rPr>
                <w:color w:val="000000"/>
                <w:sz w:val="24"/>
              </w:rPr>
              <w:t>9</w:t>
            </w:r>
          </w:p>
        </w:tc>
        <w:tc>
          <w:tcPr>
            <w:vAlign w:val="center"/>
          </w:tcPr>
          <w:p>
            <w:pPr>
              <w:jc w:val="center"/>
            </w:pPr>
            <w:r>
              <w:rPr>
                <w:color w:val="000000"/>
                <w:sz w:val="24"/>
              </w:rPr>
              <w:t>000100</w:t>
            </w:r>
          </w:p>
        </w:tc>
        <w:tc>
          <w:tcPr>
            <w:vAlign w:val="center"/>
          </w:tcPr>
          <w:p>
            <w:pPr>
              <w:jc w:val="center"/>
            </w:pPr>
            <w:r>
              <w:rPr>
                <w:color w:val="000000"/>
                <w:sz w:val="24"/>
              </w:rPr>
              <w:t>TCL科技</w:t>
            </w:r>
          </w:p>
        </w:tc>
        <w:tc>
          <w:tcPr>
            <w:vAlign w:val="center"/>
          </w:tcPr>
          <w:p>
            <w:pPr>
              <w:jc w:val="right"/>
            </w:pPr>
            <w:r>
              <w:rPr>
                <w:color w:val="000000"/>
                <w:sz w:val="24"/>
              </w:rPr>
              <w:t>5,800</w:t>
            </w:r>
          </w:p>
        </w:tc>
        <w:tc>
          <w:tcPr>
            <w:vAlign w:val="center"/>
          </w:tcPr>
          <w:p>
            <w:pPr>
              <w:jc w:val="right"/>
            </w:pPr>
            <w:r>
              <w:rPr>
                <w:color w:val="000000"/>
                <w:sz w:val="24"/>
              </w:rPr>
              <w:t>41,064.00</w:t>
            </w:r>
          </w:p>
        </w:tc>
        <w:tc>
          <w:tcPr>
            <w:vAlign w:val="center"/>
          </w:tcPr>
          <w:p>
            <w:pPr>
              <w:jc w:val="right"/>
            </w:pPr>
            <w:r>
              <w:rPr>
                <w:color w:val="000000"/>
                <w:sz w:val="24"/>
              </w:rPr>
              <w:t>0.06</w:t>
            </w:r>
          </w:p>
        </w:tc>
      </w:tr>
      <w:tr>
        <w:tc>
          <w:tcPr>
            <w:vAlign w:val="center"/>
          </w:tcPr>
          <w:p>
            <w:pPr>
              <w:jc w:val="center"/>
            </w:pPr>
            <w:r>
              <w:rPr>
                <w:color w:val="000000"/>
                <w:sz w:val="24"/>
              </w:rPr>
              <w:t>10</w:t>
            </w:r>
          </w:p>
        </w:tc>
        <w:tc>
          <w:tcPr>
            <w:vAlign w:val="center"/>
          </w:tcPr>
          <w:p>
            <w:pPr>
              <w:jc w:val="center"/>
            </w:pPr>
            <w:r>
              <w:rPr>
                <w:color w:val="000000"/>
                <w:sz w:val="24"/>
              </w:rPr>
              <w:t>000338</w:t>
            </w:r>
          </w:p>
        </w:tc>
        <w:tc>
          <w:tcPr>
            <w:vAlign w:val="center"/>
          </w:tcPr>
          <w:p>
            <w:pPr>
              <w:jc w:val="center"/>
            </w:pPr>
            <w:r>
              <w:rPr>
                <w:color w:val="000000"/>
                <w:sz w:val="24"/>
              </w:rPr>
              <w:t>潍柴动力</w:t>
            </w:r>
          </w:p>
        </w:tc>
        <w:tc>
          <w:tcPr>
            <w:vAlign w:val="center"/>
          </w:tcPr>
          <w:p>
            <w:pPr>
              <w:jc w:val="right"/>
            </w:pPr>
            <w:r>
              <w:rPr>
                <w:color w:val="000000"/>
                <w:sz w:val="24"/>
              </w:rPr>
              <w:t>2,100</w:t>
            </w:r>
          </w:p>
        </w:tc>
        <w:tc>
          <w:tcPr>
            <w:vAlign w:val="center"/>
          </w:tcPr>
          <w:p>
            <w:pPr>
              <w:jc w:val="right"/>
            </w:pPr>
            <w:r>
              <w:rPr>
                <w:color w:val="000000"/>
                <w:sz w:val="24"/>
              </w:rPr>
              <w:t>33,159.00</w:t>
            </w:r>
          </w:p>
        </w:tc>
        <w:tc>
          <w:tcPr>
            <w:vAlign w:val="center"/>
          </w:tcPr>
          <w:p>
            <w:pPr>
              <w:jc w:val="right"/>
            </w:pPr>
            <w:r>
              <w:rPr>
                <w:color w:val="000000"/>
                <w:sz w:val="24"/>
              </w:rPr>
              <w:t>0.05</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本基金本报告期末未持有债券。</w:t>
      </w: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lastRenderedPageBreak/>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本基金本报告期末未持有债券。</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
      </w:r>
      <w:proofErr w:type="spellStart"/>
      <w:r w:rsidRPr="002124AD">
        <w:rPr>
          <w:sz w:val="24"/>
        </w:rPr>
        <w:t/>
      </w:r>
      <w:proofErr w:type="spellEnd"/>
      <w:r w:rsidRPr="002124AD">
        <w:rPr>
          <w:sz w:val="24"/>
        </w:rPr>
        <w:t/>
      </w:r>
      <w:proofErr w:type="spellStart"/>
      <w:r w:rsidRPr="002124AD">
        <w:rPr>
          <w:sz w:val="24"/>
        </w:rPr>
        <w:t/>
      </w:r>
      <w:proofErr w:type="spellEnd"/>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970A7F">
        <w:rPr>
          <w:b/>
          <w:kern w:val="0"/>
          <w:sz w:val="24"/>
        </w:rPr>
        <w:t/>
      </w:r>
      <w:proofErr w:type="gramStart"/>
      <w:r w:rsidRPr="00970A7F">
        <w:rPr>
          <w:b/>
          <w:kern w:val="0"/>
          <w:sz w:val="24"/>
        </w:rPr>
        <w:t/>
      </w:r>
      <w:proofErr w:type="gramEnd"/>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r w:rsidRPr="00970A7F">
        <w:rPr>
          <w:b/>
          <w:kern w:val="0"/>
          <w:sz w:val="24"/>
        </w:rPr>
        <w:t/>
      </w:r>
      <w:proofErr w:type="gramStart"/>
      <w:r w:rsidRPr="00970A7F">
        <w:rPr>
          <w:b/>
          <w:kern w:val="0"/>
          <w:sz w:val="24"/>
        </w:rPr>
        <w:t/>
      </w:r>
      <w:proofErr w:type="gramEnd"/>
      <w:r w:rsidRPr="00970A7F">
        <w:rPr>
          <w:b/>
          <w:kern w:val="0"/>
          <w:sz w:val="24"/>
        </w:rPr>
        <w:t>5.12.2</w:t>
      </w:r>
      <w:r w:rsidRPr="00120EC8">
        <w:rPr>
          <w:kern w:val="0"/>
          <w:sz w:val="24"/>
        </w:rPr>
        <w:t>本基金投资的前十名股票中，没有超出基金合同规定的备选股票库之外的股票。</w:t>
      </w:r>
    </w:p>
    <w:p w:rsidP="00B04217" w:rsidR="00220542" w:rsidRDefault="007D10B0" w:rsidRPr="00390F9A">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P="000A02AE" w:rsidR="000A02AE" w:rsidRDefault="000A02AE" w:rsidRPr="00120EC8">
      <w:pPr>
        <w:autoSpaceDE w:val="0"/>
        <w:autoSpaceDN w:val="0"/>
        <w:adjustRightInd w:val="0"/>
        <w:spacing w:before="29" w:line="288" w:lineRule="auto"/>
        <w:jc w:val="right"/>
        <w:rPr>
          <w:kern w:val="0"/>
          <w:sz w:val="24"/>
        </w:rPr>
      </w:pPr>
      <w:r w:rsidRPr="000A02AE">
        <w:rPr>
          <w:rFonts w:hint="eastAsia"/>
          <w:kern w:val="0"/>
          <w:sz w:val="24"/>
        </w:rPr>
        <w:t/>
      </w:r>
      <w:proofErr w:type="spellStart"/>
      <w:r w:rsidRPr="000A02AE">
        <w:rPr>
          <w:rFonts w:hint="eastAsia"/>
          <w:kern w:val="0"/>
          <w:sz w:val="24"/>
        </w:rPr>
        <w:t/>
      </w:r>
      <w:proofErr w:type="spellEnd"/>
      <w:r w:rsidRPr="000A02AE">
        <w:rPr>
          <w:rFonts w:hint="eastAsia"/>
          <w:kern w:val="0"/>
          <w:sz w:val="24"/>
        </w:rPr>
        <w:t/>
      </w:r>
      <w:r w:rsidRPr="000A02AE">
        <w:rPr>
          <w:rFonts w:hint="eastAsia"/>
          <w:kern w:val="0"/>
          <w:sz w:val="24"/>
        </w:rPr>
        <w:t>金额单位：人民币元</w:t>
      </w:r>
    </w:p>
    <w:tbl>
      <w:tblPr>
        <w:tblStyle w:val="af7"/>
        <w:tblW w:type="dxa" w:w="8868"/>
        <w:jc w:val="center"/>
        <w:tblLook w:firstColumn="1" w:firstRow="1" w:lastColumn="0" w:lastRow="0" w:noHBand="0" w:noVBand="1"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6,051.13</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1,188.24</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25,509.69</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32,749.06</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A40C1C" w:rsidRDefault="00B31ADE" w:rsidRPr="00390F9A">
      <w:pPr>
        <w:spacing w:before="29" w:line="288" w:lineRule="auto"/>
        <w:rPr>
          <w:b/>
          <w:color w:val="000000"/>
          <w:kern w:val="0"/>
          <w:sz w:val="24"/>
        </w:rPr>
      </w:pPr>
      <w:r w:rsidRPr="00390F9A">
        <w:rPr>
          <w:b/>
          <w:color w:val="000000"/>
          <w:kern w:val="0"/>
          <w:sz w:val="24"/>
        </w:rPr>
        <w:t/>
      </w:r>
      <w:proofErr w:type="spellStart"/>
      <w:r w:rsidRPr="00390F9A">
        <w:rPr>
          <w:b/>
          <w:color w:val="000000"/>
          <w:kern w:val="0"/>
          <w:sz w:val="24"/>
        </w:rPr>
        <w:t/>
      </w:r>
      <w:proofErr w:type="spellEnd"/>
      <w:r w:rsidRPr="00390F9A">
        <w:rPr>
          <w:b/>
          <w:color w:val="000000"/>
          <w:kern w:val="0"/>
          <w:sz w:val="24"/>
        </w:rPr>
        <w:t/>
      </w:r>
      <w:r w:rsidR="007D10B0" w:rsidRPr="00390F9A">
        <w:rPr>
          <w:b/>
          <w:kern w:val="0"/>
          <w:sz w:val="24"/>
        </w:rPr>
        <w:t>5.12.6</w:t>
      </w:r>
      <w:r w:rsidR="00A40C1C" w:rsidRPr="00390F9A">
        <w:rPr>
          <w:b/>
          <w:color w:val="000000"/>
          <w:kern w:val="0"/>
          <w:sz w:val="24"/>
        </w:rPr>
        <w:t>投资组合报告附注的其他文字描述部分</w:t>
      </w:r>
    </w:p>
    <w:p w:rsidP="00B04217" w:rsidR="002620C9" w:rsidRDefault="00A40C1C" w:rsidRPr="00324C76">
      <w:pPr>
        <w:spacing w:before="29" w:line="288" w:lineRule="auto"/>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312" w:afterLines="100" w:before="312" w:beforeLines="100" w:line="288" w:lineRule="auto"/>
        <w:jc w:val="center"/>
        <w:rPr>
          <w:kern w:val="0"/>
          <w:sz w:val="24"/>
          <w:szCs w:val="24"/>
        </w:rPr>
      </w:pPr>
      <w:r w:rsidRPr="00C51B4E">
        <w:rPr>
          <w:rFonts w:eastAsiaTheme="minorEastAsia"/>
          <w:color w:themeColor="text1" w:val="000000"/>
          <w:kern w:val="0"/>
          <w:sz w:val="21"/>
          <w:szCs w:val="21"/>
        </w:rPr>
        <w:lastRenderedPageBreak/>
        <w:t/>
      </w:r>
      <w:proofErr w:type="spellStart"/>
      <w:r w:rsidRPr="00C51B4E">
        <w:rPr>
          <w:rFonts w:eastAsiaTheme="minorEastAsia"/>
          <w:color w:themeColor="text1" w:val="000000"/>
          <w:kern w:val="0"/>
          <w:sz w:val="21"/>
          <w:szCs w:val="21"/>
        </w:rPr>
        <w:t/>
      </w:r>
      <w:proofErr w:type="spellEnd"/>
      <w:r w:rsidRPr="00C51B4E">
        <w:rPr>
          <w:rFonts w:eastAsiaTheme="minorEastAsia"/>
          <w:color w:themeColor="text1" w:val="000000"/>
          <w:kern w:val="0"/>
          <w:sz w:val="21"/>
          <w:szCs w:val="21"/>
        </w:rPr>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firstColumn="0" w:firstRow="0" w:lastColumn="0" w:lastRow="0" w:noHBand="0" w:noVBand="0"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r w:rsidR="00A40C1C" w:rsidRPr="00324C76">
              <w:rPr>
                <w:color w:val="000000"/>
                <w:sz w:val="24"/>
              </w:rPr>
              <w:t>31,520,480.74</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2,758,176.90</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
            </w:r>
            <w:proofErr w:type="spellStart"/>
            <w:r w:rsidR="006973EC" w:rsidRPr="00324C76">
              <w:rPr>
                <w:color w:val="000000"/>
                <w:kern w:val="0"/>
                <w:sz w:val="24"/>
              </w:rPr>
              <w:t/>
            </w:r>
            <w:proofErr w:type="spellEnd"/>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2,365,561.53</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31,913,096.11</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
      </w:r>
      <w:proofErr w:type="spellStart"/>
      <w:r>
        <w:rPr>
          <w:rFonts w:eastAsiaTheme="minorEastAsia"/>
          <w:color w:val="000000"/>
          <w:kern w:val="0"/>
          <w:sz w:val="24"/>
          <w:szCs w:val="24"/>
        </w:rPr>
        <w:t/>
      </w:r>
      <w:proofErr w:type="spellEnd"/>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w:r>
      <w:proofErr w:type="spellStart"/>
      <w:r w:rsidRPr="00F229B7">
        <w:rPr>
          <w:b/>
          <w:sz w:val="24"/>
        </w:rPr>
        <w:t/>
      </w:r>
      <w:proofErr w:type="spellEnd"/>
      <w:r w:rsidRPr="00F229B7">
        <w:rPr>
          <w:b/>
          <w:sz w:val="24"/>
        </w:rPr>
        <w:t xml:space="preserve">7.1 </w:t>
      </w:r>
      <w:r w:rsidRPr="00F229B7">
        <w:rPr>
          <w:b/>
          <w:sz w:val="24"/>
        </w:rPr>
        <w:t>基金管理人持有本基金份额变动情况</w:t>
      </w:r>
    </w:p>
    <w:p w:rsidP="00B04217" w:rsidR="00F229B7" w:rsidRDefault="00F229B7" w:rsidRPr="00F229B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sz w:val="24"/>
        </w:rPr>
        <w:t/>
      </w:r>
      <w:proofErr w:type="spellStart"/>
      <w:r w:rsidRPr="00F229B7">
        <w:rPr>
          <w:rFonts w:eastAsiaTheme="minorEastAsia"/>
          <w:sz w:val="24"/>
        </w:rPr>
        <w:t/>
      </w:r>
      <w:proofErr w:type="spellEnd"/>
      <w:r w:rsidRPr="00F229B7">
        <w:rPr>
          <w:rFonts w:eastAsiaTheme="minorEastAsia"/>
          <w:sz w:val="24"/>
        </w:rPr>
        <w:t/>
      </w:r>
      <w:r w:rsidRPr="00F229B7">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r w:rsidRPr="00F229B7">
              <w:rPr>
                <w:rFonts w:eastAsiaTheme="minorEastAsia"/>
                <w:szCs w:val="24"/>
              </w:rPr>
              <w:t/>
            </w:r>
            <w:proofErr w:type="spellStart"/>
            <w:r w:rsidRPr="00F229B7">
              <w:rPr>
                <w:rFonts w:eastAsiaTheme="minorEastAsia"/>
                <w:szCs w:val="24"/>
              </w:rPr>
              <w:t/>
            </w:r>
            <w:proofErr w:type="spellEnd"/>
            <w:r w:rsidRPr="00F229B7">
              <w:rPr>
                <w:rFonts w:eastAsiaTheme="minorEastAsia"/>
                <w:szCs w:val="24"/>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
            </w:r>
            <w:proofErr w:type="spellStart"/>
            <w:r w:rsidRPr="00F229B7">
              <w:rPr>
                <w:rFonts w:eastAsiaTheme="minorEastAsia"/>
                <w:color w:val="000000"/>
                <w:kern w:val="0"/>
                <w:sz w:val="24"/>
              </w:rPr>
              <w:t/>
            </w:r>
            <w:proofErr w:type="spellEnd"/>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
            </w:r>
            <w:proofErr w:type="spellStart"/>
            <w:r w:rsidRPr="00F229B7">
              <w:rPr>
                <w:rFonts w:eastAsiaTheme="minorEastAsia"/>
                <w:color w:val="000000"/>
                <w:kern w:val="0"/>
                <w:sz w:val="24"/>
              </w:rPr>
              <w:t/>
            </w:r>
            <w:proofErr w:type="spellEnd"/>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41.12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
      </w:r>
      <w:r w:rsidR="00784955">
        <w:rPr>
          <w:rFonts w:eastAsiaTheme="minorEastAsia" w:hint="eastAsia"/>
          <w:color w:val="000000"/>
          <w:sz w:val="24"/>
        </w:rPr>
        <w:t/>
      </w: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2、如果本报告期间发生转换出业务，则总赎回份额中包含该业务。</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t/>
      </w:r>
      <w:proofErr w:type="spellStart"/>
      <w:r w:rsidRPr="00F20F7C">
        <w:rPr>
          <w:b/>
          <w:sz w:val="24"/>
        </w:rPr>
        <w:t/>
      </w:r>
      <w:proofErr w:type="spellEnd"/>
      <w:r w:rsidRPr="00F20F7C">
        <w:rPr>
          <w:b/>
          <w:sz w:val="24"/>
        </w:rPr>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96A7B" w:rsidRDefault="00C500CD">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w:t>
      </w:r>
      <w:r w:rsidR="00696A7B">
        <w:rPr>
          <w:rFonts w:asciiTheme="minorEastAsia" w:cs="Arial" w:eastAsiaTheme="minorEastAsia" w:hAnsiTheme="minorEastAsia" w:hint="eastAsia"/>
          <w:color w:themeColor="text1" w:val="000000"/>
          <w:kern w:val="0"/>
          <w:sz w:val="24"/>
          <w:szCs w:val="24"/>
        </w:rPr>
        <w:t/>
      </w:r>
      <w:proofErr w:type="spellStart"/>
      <w:r w:rsidR="00696A7B">
        <w:rPr>
          <w:rFonts w:asciiTheme="minorEastAsia" w:cs="Arial" w:eastAsiaTheme="minorEastAsia" w:hAnsiTheme="minorEastAsia" w:hint="eastAsia"/>
          <w:color w:themeColor="text1" w:val="000000"/>
          <w:kern w:val="0"/>
          <w:sz w:val="24"/>
          <w:szCs w:val="24"/>
        </w:rPr>
        <w:t/>
      </w:r>
      <w:proofErr w:type="spellEnd"/>
      <w:r w:rsidR="00696A7B">
        <w:rPr>
          <w:rFonts w:asciiTheme="minorEastAsia" w:cs="Arial" w:eastAsiaTheme="minorEastAsia" w:hAnsiTheme="minorEastAsia" w:hint="eastAsia"/>
          <w:color w:themeColor="text1" w:val="000000"/>
          <w:kern w:val="0"/>
          <w:sz w:val="24"/>
          <w:szCs w:val="24"/>
        </w:rPr>
        <w:t>8</w:t>
      </w:r>
      <w:r w:rsidR="00C66A9E">
        <w:rPr>
          <w:rFonts w:asciiTheme="minorEastAsia" w:cs="Arial" w:eastAsiaTheme="minorEastAsia" w:hAnsiTheme="minorEastAsia"/>
          <w:color w:themeColor="text1" w:val="000000"/>
          <w:kern w:val="0"/>
          <w:sz w:val="24"/>
          <w:szCs w:val="24"/>
        </w:rPr>
        <w:t xml:space="preserve">  </w:t>
      </w:r>
      <w:r w:rsidR="00696A7B">
        <w:rPr>
          <w:rFonts w:asciiTheme="minorEastAsia" w:cs="Arial" w:eastAsiaTheme="minorEastAsia" w:hAnsiTheme="minorEastAsia" w:hint="eastAsia"/>
          <w:color w:themeColor="text1" w:val="000000"/>
          <w:kern w:val="0"/>
          <w:sz w:val="24"/>
          <w:szCs w:val="24"/>
        </w:rPr>
        <w:t>影响投资者决策的其他重要信息</w:t>
      </w:r>
    </w:p>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696A7B" w:rsidTr="00696A7B">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投资者类别</w:t>
            </w:r>
            <w:proofErr w:type="spellStart"/>
            <w:r>
              <w:rPr>
                <w:rFonts w:ascii="宋体" w:hAnsi="宋体" w:hint="eastAsia"/>
                <w:color w:val="000000"/>
                <w:kern w:val="0"/>
                <w:sz w:val="24"/>
              </w:rPr>
              <w:t/>
            </w:r>
            <w:proofErr w:type="spellEnd"/>
            <w:r>
              <w:rPr>
                <w:rFonts w:ascii="宋体" w:hAnsi="宋体" w:hint="eastAsia"/>
                <w:color w:val="000000"/>
                <w:kern w:val="0"/>
                <w:sz w:val="24"/>
              </w:rPr>
              <w:t/>
            </w:r>
            <w:proofErr w:type="spellStart"/>
            <w:r>
              <w:rPr>
                <w:rFonts w:ascii="宋体" w:hAnsi="宋体" w:hint="eastAsia"/>
                <w:color w:val="000000"/>
                <w:kern w:val="0"/>
                <w:sz w:val="24"/>
              </w:rPr>
              <w:t/>
            </w:r>
            <w:proofErr w:type="spellEnd"/>
            <w:r>
              <w:rPr>
                <w:rFonts w:ascii="宋体" w:hAnsi="宋体" w:hint="eastAsia"/>
                <w:color w:val="000000"/>
                <w:kern w:val="0"/>
                <w:sz w:val="24"/>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type="dxa" w:w="993"/>
            <w:vMerge/>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left"/>
              <w:rPr>
                <w:rFonts w:ascii="宋体" w:hAnsi="宋体"/>
                <w:b/>
                <w:bCs/>
                <w:color w:val="000000"/>
                <w:kern w:val="0"/>
                <w:sz w:val="24"/>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tc>
          <w:tcPr>
            <w:vMerge w:val="restart"/>
          </w:tcPr>
          <w:p/>
          <w:p>
            <w:r>
              <w:rPr>
                <w:rFonts w:ascii="宋体" w:hAnsi="宋体" w:hint="eastAsia"/>
                <w:bCs/>
                <w:color w:val="000000"/>
                <w:kern w:val="0"/>
                <w:sz w:val="24"/>
              </w:rPr>
              <w:t>机构</w:t>
            </w:r>
          </w:p>
        </w:tc>
        <w:tc>
          <w:tcPr>
            <w:vAlign w:val="center"/>
          </w:tcPr>
          <w:p>
            <w:pPr>
              <w:jc w:val="center"/>
            </w:pPr>
            <w:r>
              <w:rPr>
                <w:rFonts w:ascii="宋体" w:hAnsi="宋体" w:hint="eastAsia"/>
                <w:color w:val="000000"/>
                <w:kern w:val="0"/>
                <w:sz w:val="24"/>
              </w:rPr>
              <w:t>1</w:t>
            </w:r>
          </w:p>
        </w:tc>
        <w:tc>
          <w:tcPr>
            <w:vAlign w:val="center"/>
          </w:tcPr>
          <w:p>
            <w:pPr>
              <w:jc w:val="center"/>
            </w:pPr>
            <w:r>
              <w:rPr>
                <w:rFonts w:ascii="宋体" w:hAnsi="宋体" w:hint="eastAsia"/>
                <w:color w:val="000000"/>
                <w:kern w:val="0"/>
                <w:sz w:val="24"/>
              </w:rPr>
              <w:t>2020/10/1-2020/12/31</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41.12%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r>
              <w:rPr>
                <w:rFonts w:ascii="宋体" w:hAnsi="宋体" w:hint="eastAsia"/>
                <w:kern w:val="0"/>
                <w:sz w:val="24"/>
              </w:rPr>
              <w:t/>
            </w:r>
            <w:proofErr w:type="spellStart"/>
            <w:r>
              <w:rPr>
                <w:rFonts w:ascii="宋体" w:hAnsi="宋体" w:hint="eastAsia"/>
                <w:kern w:val="0"/>
                <w:sz w:val="24"/>
              </w:rPr>
              <w:t/>
            </w:r>
            <w:proofErr w:type="spellEnd"/>
            <w:r>
              <w:rPr>
                <w:rFonts w:ascii="宋体" w:hAnsi="宋体" w:hint="eastAsia"/>
                <w:kern w:val="0"/>
                <w:sz w:val="24"/>
              </w:rPr>
              <w:t/>
            </w:r>
          </w:p>
        </w:tc>
      </w:tr>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lastRenderedPageBreak/>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8.2 影响投资者决策的其他重要信息</w:t>
      </w:r>
    </w:p>
    <w:p w:rsidP="00696A7B" w:rsidR="00696A7B" w:rsidRDefault="00696A7B">
      <w:pPr>
        <w:spacing w:line="360" w:lineRule="auto"/>
        <w:ind w:firstLine="480" w:firstLineChars="200"/>
        <w:rPr>
          <w:rFonts w:ascii="宋体" w:hAnsi="宋体"/>
          <w:color w:val="000000"/>
          <w:sz w:val="24"/>
        </w:rPr>
      </w:pPr>
      <w:r>
        <w:rPr>
          <w:rFonts w:ascii="宋体" w:hAnsi="宋体" w:hint="eastAsia"/>
          <w:color w:val="000000"/>
          <w:sz w:val="24"/>
        </w:rPr>
        <w:t/>
      </w:r>
      <w:proofErr w:type="spellStart"/>
      <w:r>
        <w:rPr>
          <w:rFonts w:ascii="宋体" w:hAnsi="宋体" w:hint="eastAsia"/>
          <w:color w:val="000000"/>
          <w:sz w:val="24"/>
        </w:rPr>
        <w:t/>
      </w:r>
      <w:proofErr w:type="spellEnd"/>
      <w:r>
        <w:rPr>
          <w:rFonts w:ascii="宋体" w:hAnsi="宋体" w:hint="eastAsia"/>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B04217" w:rsidR="00E42623" w:rsidRDefault="00E42623" w:rsidRPr="00324C76">
      <w:pPr>
        <w:spacing w:before="29" w:line="288" w:lineRule="auto"/>
        <w:ind w:firstLine="480" w:firstLineChars="200"/>
        <w:rPr>
          <w:color w:val="000000"/>
          <w:sz w:val="24"/>
        </w:rPr>
      </w:pPr>
    </w:p>
    <w:p w:rsidP="0048293C" w:rsidR="006A0A24" w:rsidRDefault="00220542" w:rsidRPr="00495FAB">
      <w:pPr>
        <w:pStyle w:val="1"/>
        <w:spacing w:after="312" w:afterLines="100" w:before="312"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1、中国证监会核准交银施罗德深证300价值交易型开放式指数证券投资基金联接基金募集的文件；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2、《交银施罗德深证300价值交易型开放式指数证券投资基金联接基金基金合同》； </w:t>
      </w:r>
    </w:p>
    <w:p>
      <w:pPr>
        <w:spacing w:before="29" w:line="288" w:lineRule="auto"/>
        <w:ind w:firstLine="480" w:firstLineChars="200"/>
        <w:rPr>
          <w:color w:val="000000"/>
          <w:sz w:val="24"/>
        </w:rPr>
      </w:pPr>
      <w:r>
        <w:rPr>
          <w:color w:val="000000"/>
          <w:sz w:val="24"/>
        </w:rPr>
        <w:t>3、《交银施罗德深证300价值交易型开放式指数证券投资基金联接基金招募说明书》；</w:t>
      </w:r>
    </w:p>
    <w:p>
      <w:pPr>
        <w:spacing w:before="29" w:line="288" w:lineRule="auto"/>
        <w:ind w:firstLine="480" w:firstLineChars="200"/>
        <w:rPr>
          <w:color w:val="000000"/>
          <w:sz w:val="24"/>
        </w:rPr>
      </w:pPr>
      <w:r>
        <w:rPr>
          <w:color w:val="000000"/>
          <w:sz w:val="24"/>
        </w:rPr>
        <w:t>4、《交银施罗德深证300价值交易型开放式指数证券投资基金联接基金托管协议》；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5、关于申请募集交银施罗德深证300价值交易型开放式指数证券投资基金联接基金之法律意见书；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8、报告期内交银施罗德深证300价值交易型开放式指数证券投资基金联接基金在指定报刊上各项公告的原稿。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
      </w:r>
      <w:proofErr w:type="spellStart"/>
      <w:r w:rsidRPr="00324C76">
        <w:rPr>
          <w:color w:val="000000"/>
          <w:sz w:val="24"/>
        </w:rPr>
        <w:t/>
      </w:r>
      <w:proofErr w:type="spellEnd"/>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41" w:rsidRDefault="006C7741">
      <w:r>
        <w:separator/>
      </w:r>
    </w:p>
  </w:endnote>
  <w:endnote w:type="continuationSeparator" w:id="0">
    <w:p w:rsidR="006C7741" w:rsidRDefault="006C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4D4B49">
      <w:rPr>
        <w:noProof/>
        <w:kern w:val="0"/>
        <w:szCs w:val="21"/>
      </w:rPr>
      <w:t>21</w:t>
    </w:r>
    <w:r w:rsidR="007823C0">
      <w:rPr>
        <w:kern w:val="0"/>
        <w:szCs w:val="21"/>
      </w:rPr>
      <w:fldChar w:fldCharType="end"/>
    </w:r>
    <w:proofErr w:type="gramStart"/>
    <w:r>
      <w:rPr>
        <w:rFonts w:hint="eastAsia"/>
        <w:kern w:val="0"/>
        <w:szCs w:val="21"/>
      </w:rPr>
      <w:t>页共</w:t>
    </w:r>
    <w:proofErr w:type="gramEnd"/>
    <w:r w:rsidR="007823C0">
      <w:rPr>
        <w:kern w:val="0"/>
        <w:szCs w:val="21"/>
      </w:rPr>
      <w:fldChar w:fldCharType="begin"/>
    </w:r>
    <w:r>
      <w:rPr>
        <w:kern w:val="0"/>
        <w:szCs w:val="21"/>
      </w:rPr>
      <w:instrText xml:space="preserve"> NUMPAGES </w:instrText>
    </w:r>
    <w:r w:rsidR="007823C0">
      <w:rPr>
        <w:kern w:val="0"/>
        <w:szCs w:val="21"/>
      </w:rPr>
      <w:fldChar w:fldCharType="separate"/>
    </w:r>
    <w:r w:rsidR="004D4B49">
      <w:rPr>
        <w:noProof/>
        <w:kern w:val="0"/>
        <w:szCs w:val="21"/>
      </w:rPr>
      <w:t>26</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C7741" w:rsidRDefault="006C7741">
      <w:r>
        <w:separator/>
      </w:r>
    </w:p>
  </w:footnote>
  <w:footnote w:id="0" w:type="continuationSeparator">
    <w:p w:rsidR="006C7741" w:rsidRDefault="006C774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E74491" w:rsidR="00FC3631" w:rsidRDefault="00E74491" w:rsidRPr="00E74491">
    <w:pPr>
      <w:pStyle w:val="a9"/>
      <w:pBdr>
        <w:bottom w:color="auto" w:space="0" w:sz="6" w:val="single"/>
      </w:pBdr>
      <w:ind w:firstLine="480"/>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交银施罗德深证300价值交易型开放式指数证券投资基金联接基金</w:t>
    </w:r>
    <w:proofErr w:type="spellStart"/>
    <w:r w:rsidRPr="003E676C">
      <w:rPr>
        <w:sz w:val="24"/>
        <w:szCs w:val="24"/>
      </w:rPr>
      <w:t/>
    </w:r>
    <w:proofErr w:type="spellEnd"/>
    <w:r w:rsidRPr="003E676C">
      <w:rPr>
        <w:sz w:val="24"/>
        <w:szCs w:val="24"/>
      </w:rPr>
      <w:t>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347B"/>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4B49"/>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C7741"/>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0072"/>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13F"/>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CA48-731E-4570-AA71-0EF792D4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364</TotalTime>
  <Pages>26</Pages>
  <Words>3997</Words>
  <Characters>22784</Characters>
  <Application>Microsoft Office Word</Application>
  <DocSecurity>0</DocSecurity>
  <Lines>189</Lines>
  <Paragraphs>53</Paragraphs>
  <ScaleCrop>false</ScaleCrop>
  <Company>TRT. Ltd. Co.</Company>
  <LinksUpToDate>false</LinksUpToDate>
  <CharactersWithSpaces>26728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业务系统</cp:lastModifiedBy>
  <cp:lastPrinted>2007-07-19T00:46:00Z</cp:lastPrinted>
  <dcterms:modified xsi:type="dcterms:W3CDTF">2020-08-12T12:57:00Z</dcterms:modified>
  <cp:revision>435</cp:revision>
</cp:coreProperties>
</file>