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1286B" w:rsidRDefault="002279D3" w:rsidP="00C15CAC">
      <w:pPr>
        <w:spacing w:before="29" w:line="288" w:lineRule="auto"/>
        <w:jc w:val="center"/>
        <w:rPr>
          <w:b/>
          <w:sz w:val="36"/>
          <w:szCs w:val="36"/>
        </w:rPr>
      </w:pPr>
      <w:r w:rsidRPr="0081286B">
        <w:rPr>
          <w:b/>
          <w:sz w:val="36"/>
          <w:szCs w:val="36"/>
        </w:rPr>
        <w:t>交银施罗德持续成长主题混合型证券投资基金</w:t>
      </w:r>
    </w:p>
    <w:p w:rsidR="002279D3" w:rsidRPr="0081286B" w:rsidRDefault="002279D3" w:rsidP="00C15CAC">
      <w:pPr>
        <w:spacing w:before="29" w:line="288" w:lineRule="auto"/>
        <w:jc w:val="center"/>
        <w:rPr>
          <w:b/>
          <w:sz w:val="36"/>
          <w:szCs w:val="36"/>
        </w:rPr>
      </w:pPr>
      <w:r w:rsidRPr="0081286B">
        <w:rPr>
          <w:b/>
          <w:sz w:val="36"/>
          <w:szCs w:val="36"/>
        </w:rPr>
        <w:t>2020</w:t>
      </w:r>
      <w:r w:rsidRPr="0081286B">
        <w:rPr>
          <w:b/>
          <w:sz w:val="36"/>
          <w:szCs w:val="36"/>
        </w:rPr>
        <w:t>年第</w:t>
      </w:r>
      <w:r w:rsidRPr="0081286B">
        <w:rPr>
          <w:b/>
          <w:sz w:val="36"/>
          <w:szCs w:val="36"/>
        </w:rPr>
        <w:t>4</w:t>
      </w:r>
      <w:r w:rsidRPr="0081286B">
        <w:rPr>
          <w:b/>
          <w:sz w:val="36"/>
          <w:szCs w:val="36"/>
        </w:rPr>
        <w:t>季度报告</w:t>
      </w:r>
    </w:p>
    <w:p w:rsidR="004061AC" w:rsidRPr="0081286B" w:rsidRDefault="00655CD8" w:rsidP="00C15CAC">
      <w:pPr>
        <w:spacing w:before="29" w:line="288" w:lineRule="auto"/>
        <w:jc w:val="center"/>
        <w:rPr>
          <w:b/>
          <w:sz w:val="36"/>
          <w:szCs w:val="36"/>
        </w:rPr>
      </w:pPr>
      <w:r w:rsidRPr="0081286B">
        <w:rPr>
          <w:b/>
          <w:sz w:val="36"/>
          <w:szCs w:val="36"/>
        </w:rPr>
        <w:t>2020</w:t>
      </w:r>
      <w:r w:rsidRPr="0081286B">
        <w:rPr>
          <w:b/>
          <w:sz w:val="36"/>
          <w:szCs w:val="36"/>
        </w:rPr>
        <w:t>年</w:t>
      </w:r>
      <w:r w:rsidRPr="0081286B">
        <w:rPr>
          <w:b/>
          <w:sz w:val="36"/>
          <w:szCs w:val="36"/>
        </w:rPr>
        <w:t>12</w:t>
      </w:r>
      <w:r w:rsidRPr="0081286B">
        <w:rPr>
          <w:b/>
          <w:sz w:val="36"/>
          <w:szCs w:val="36"/>
        </w:rPr>
        <w:t>月</w:t>
      </w:r>
      <w:r w:rsidRPr="0081286B">
        <w:rPr>
          <w:b/>
          <w:sz w:val="36"/>
          <w:szCs w:val="36"/>
        </w:rPr>
        <w:t>31</w:t>
      </w:r>
      <w:r w:rsidRPr="0081286B">
        <w:rPr>
          <w:b/>
          <w:sz w:val="36"/>
          <w:szCs w:val="36"/>
        </w:rPr>
        <w:t>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基金管理人：交银施罗德基金管理有限公司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基金托管人：中国工商银行股份有限公司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DC456F">
          <w:headerReference w:type="even" r:id="rId8"/>
          <w:headerReference w:type="default" r:id="rId9"/>
          <w:footerReference w:type="even" r:id="rId10"/>
          <w:footerReference w:type="default" r:id="rId11"/>
          <w:headerReference w:type="first" r:id="rId12"/>
          <w:footerReference w:type="first" r:id="rId13"/>
          <w:pgSz w:w="11926" w:h="15840"/>
          <w:pgMar w:top="1418" w:right="1440" w:bottom="851" w:left="1440" w:header="851" w:footer="992" w:gutter="0"/>
          <w:cols w:space="720"/>
          <w:noEndnote/>
          <w:titlePg/>
          <w:docGrid w:linePitch="286"/>
        </w:sectPr>
      </w:pPr>
      <w:r w:rsidRPr="0081286B">
        <w:rPr>
          <w:b/>
          <w:color w:val="000000"/>
          <w:sz w:val="24"/>
          <w:szCs w:val="24"/>
        </w:rPr>
        <w:t>报告送出日期：</w:t>
      </w:r>
      <w:r w:rsidR="00F16E3F" w:rsidRPr="0081286B">
        <w:rPr>
          <w:b/>
          <w:color w:val="000000"/>
          <w:sz w:val="24"/>
          <w:szCs w:val="24"/>
        </w:rPr>
        <w:t>二〇二一年一月二十一日</w:t>
      </w:r>
    </w:p>
    <w:p w:rsidR="004061AC" w:rsidRPr="00414345" w:rsidRDefault="004061AC" w:rsidP="0011537B">
      <w:pPr>
        <w:pStyle w:val="1"/>
        <w:spacing w:beforeLines="100" w:before="312" w:afterLines="100" w:after="312"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C92E6B" w:rsidRDefault="005A7B4D">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C92E6B" w:rsidRDefault="005A7B4D">
      <w:pPr>
        <w:spacing w:before="29" w:line="288" w:lineRule="auto"/>
        <w:ind w:firstLineChars="200" w:firstLine="480"/>
        <w:rPr>
          <w:color w:val="000000"/>
          <w:sz w:val="24"/>
          <w:szCs w:val="24"/>
        </w:rPr>
      </w:pPr>
      <w:r>
        <w:rPr>
          <w:color w:val="000000"/>
          <w:sz w:val="24"/>
          <w:szCs w:val="24"/>
        </w:rPr>
        <w:t>基金托管人中国工商银行股份有限公司根据本基金合同规定，于</w:t>
      </w:r>
      <w:r>
        <w:rPr>
          <w:color w:val="000000"/>
          <w:sz w:val="24"/>
          <w:szCs w:val="24"/>
        </w:rPr>
        <w:t>2021</w:t>
      </w:r>
      <w:r>
        <w:rPr>
          <w:color w:val="000000"/>
          <w:sz w:val="24"/>
          <w:szCs w:val="24"/>
        </w:rPr>
        <w:t>年</w:t>
      </w:r>
      <w:r>
        <w:rPr>
          <w:color w:val="000000"/>
          <w:sz w:val="24"/>
          <w:szCs w:val="24"/>
        </w:rPr>
        <w:t>1</w:t>
      </w:r>
      <w:r>
        <w:rPr>
          <w:color w:val="000000"/>
          <w:sz w:val="24"/>
          <w:szCs w:val="24"/>
        </w:rPr>
        <w:t>月</w:t>
      </w:r>
      <w:r>
        <w:rPr>
          <w:color w:val="000000"/>
          <w:sz w:val="24"/>
          <w:szCs w:val="24"/>
        </w:rPr>
        <w:t>20</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C92E6B" w:rsidRDefault="005A7B4D">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rsidR="00C92E6B" w:rsidRDefault="005A7B4D">
      <w:pPr>
        <w:spacing w:before="29" w:line="288" w:lineRule="auto"/>
        <w:ind w:firstLineChars="200" w:firstLine="480"/>
        <w:rPr>
          <w:color w:val="000000"/>
          <w:sz w:val="24"/>
          <w:szCs w:val="24"/>
        </w:rPr>
      </w:pPr>
      <w:r>
        <w:rPr>
          <w:color w:val="000000"/>
          <w:sz w:val="24"/>
          <w:szCs w:val="24"/>
        </w:rPr>
        <w:t>基金的过往业绩并不代表其未来表现。投资有风险，投资者在</w:t>
      </w:r>
      <w:proofErr w:type="gramStart"/>
      <w:r>
        <w:rPr>
          <w:color w:val="000000"/>
          <w:sz w:val="24"/>
          <w:szCs w:val="24"/>
        </w:rPr>
        <w:t>作出</w:t>
      </w:r>
      <w:proofErr w:type="gramEnd"/>
      <w:r>
        <w:rPr>
          <w:color w:val="000000"/>
          <w:sz w:val="24"/>
          <w:szCs w:val="24"/>
        </w:rPr>
        <w:t>投资决策前应仔细阅读本基金的招募说明书。</w:t>
      </w:r>
      <w:r>
        <w:rPr>
          <w:color w:val="000000"/>
          <w:sz w:val="24"/>
          <w:szCs w:val="24"/>
        </w:rPr>
        <w:t xml:space="preserve"> </w:t>
      </w:r>
    </w:p>
    <w:p w:rsidR="00C92E6B" w:rsidRDefault="005A7B4D">
      <w:pPr>
        <w:spacing w:before="29" w:line="288" w:lineRule="auto"/>
        <w:ind w:firstLineChars="200" w:firstLine="480"/>
        <w:rPr>
          <w:color w:val="000000"/>
          <w:sz w:val="24"/>
          <w:szCs w:val="24"/>
        </w:rPr>
      </w:pPr>
      <w:r>
        <w:rPr>
          <w:color w:val="000000"/>
          <w:sz w:val="24"/>
          <w:szCs w:val="24"/>
        </w:rPr>
        <w:t>本报告中财务资料未经审计。</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2020</w:t>
      </w:r>
      <w:r w:rsidRPr="00414345">
        <w:rPr>
          <w:color w:val="000000"/>
          <w:sz w:val="24"/>
          <w:szCs w:val="24"/>
        </w:rPr>
        <w:t>年</w:t>
      </w:r>
      <w:r w:rsidRPr="00414345">
        <w:rPr>
          <w:color w:val="000000"/>
          <w:sz w:val="24"/>
          <w:szCs w:val="24"/>
        </w:rPr>
        <w:t>10</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12</w:t>
      </w:r>
      <w:r w:rsidRPr="00414345">
        <w:rPr>
          <w:color w:val="000000"/>
          <w:sz w:val="24"/>
          <w:szCs w:val="24"/>
        </w:rPr>
        <w:t>月</w:t>
      </w:r>
      <w:r w:rsidRPr="00414345">
        <w:rPr>
          <w:color w:val="000000"/>
          <w:sz w:val="24"/>
          <w:szCs w:val="24"/>
        </w:rPr>
        <w:t>31</w:t>
      </w:r>
      <w:r w:rsidRPr="00414345">
        <w:rPr>
          <w:color w:val="000000"/>
          <w:sz w:val="24"/>
          <w:szCs w:val="24"/>
        </w:rPr>
        <w:t>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5845"/>
      </w:tblGrid>
      <w:tr w:rsidR="004061AC" w:rsidRPr="00414345" w:rsidTr="006E6726">
        <w:trPr>
          <w:jc w:val="center"/>
        </w:trPr>
        <w:tc>
          <w:tcPr>
            <w:tcW w:w="3023"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845" w:type="dxa"/>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交</w:t>
            </w:r>
            <w:proofErr w:type="gramStart"/>
            <w:r w:rsidRPr="00414345">
              <w:rPr>
                <w:color w:val="000000"/>
                <w:kern w:val="0"/>
                <w:sz w:val="24"/>
                <w:szCs w:val="24"/>
              </w:rPr>
              <w:t>银持续</w:t>
            </w:r>
            <w:proofErr w:type="gramEnd"/>
            <w:r w:rsidRPr="00414345">
              <w:rPr>
                <w:color w:val="000000"/>
                <w:kern w:val="0"/>
                <w:sz w:val="24"/>
                <w:szCs w:val="24"/>
              </w:rPr>
              <w:t>成长主题混合</w:t>
            </w:r>
          </w:p>
        </w:tc>
      </w:tr>
      <w:tr w:rsidR="00D94B8D"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845"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005001</w:t>
            </w:r>
          </w:p>
        </w:tc>
      </w:tr>
      <w:tr w:rsidR="001B2F35"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5845" w:type="dxa"/>
            <w:tcBorders>
              <w:top w:val="single" w:sz="4" w:space="0" w:color="auto"/>
              <w:left w:val="single" w:sz="4" w:space="0" w:color="auto"/>
              <w:bottom w:val="single" w:sz="4" w:space="0" w:color="auto"/>
              <w:right w:val="single" w:sz="4" w:space="0" w:color="auto"/>
            </w:tcBorders>
            <w:vAlign w:val="center"/>
          </w:tcPr>
          <w:p w:rsidR="001B2F35" w:rsidRPr="00414345" w:rsidRDefault="00C5218C" w:rsidP="00C15CAC">
            <w:pPr>
              <w:adjustRightInd w:val="0"/>
              <w:spacing w:before="29" w:line="288" w:lineRule="auto"/>
              <w:ind w:left="17"/>
              <w:jc w:val="left"/>
              <w:rPr>
                <w:color w:val="000000"/>
                <w:kern w:val="0"/>
                <w:sz w:val="24"/>
                <w:szCs w:val="24"/>
              </w:rPr>
            </w:pPr>
            <w:r w:rsidRPr="00414345">
              <w:rPr>
                <w:kern w:val="0"/>
                <w:sz w:val="24"/>
              </w:rPr>
              <w:t>005001</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2018</w:t>
            </w:r>
            <w:r w:rsidRPr="00414345">
              <w:rPr>
                <w:color w:val="000000"/>
                <w:kern w:val="0"/>
                <w:sz w:val="24"/>
                <w:szCs w:val="24"/>
              </w:rPr>
              <w:t>年</w:t>
            </w:r>
            <w:r w:rsidRPr="00414345">
              <w:rPr>
                <w:color w:val="000000"/>
                <w:kern w:val="0"/>
                <w:sz w:val="24"/>
                <w:szCs w:val="24"/>
              </w:rPr>
              <w:t>1</w:t>
            </w:r>
            <w:r w:rsidRPr="00414345">
              <w:rPr>
                <w:color w:val="000000"/>
                <w:kern w:val="0"/>
                <w:sz w:val="24"/>
                <w:szCs w:val="24"/>
              </w:rPr>
              <w:t>月</w:t>
            </w:r>
            <w:r w:rsidRPr="00414345">
              <w:rPr>
                <w:color w:val="000000"/>
                <w:kern w:val="0"/>
                <w:sz w:val="24"/>
                <w:szCs w:val="24"/>
              </w:rPr>
              <w:t>12</w:t>
            </w:r>
            <w:r w:rsidRPr="00414345">
              <w:rPr>
                <w:color w:val="000000"/>
                <w:kern w:val="0"/>
                <w:sz w:val="24"/>
                <w:szCs w:val="24"/>
              </w:rPr>
              <w:t>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1,499,526,579.36</w:t>
            </w:r>
            <w:r w:rsidRPr="00414345">
              <w:rPr>
                <w:color w:val="000000"/>
                <w:kern w:val="0"/>
                <w:sz w:val="24"/>
                <w:szCs w:val="24"/>
              </w:rPr>
              <w:t>份</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本基金在有效控制组合风险并保持良好流动性的前提下，把握市场发展趋势，通过专业化研究分析，重点投资具备充分成长空间和拥有持续成长性的上市公司，力争实现基金资产的长期稳定增值。</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本基金通过定量与定性相结合的评价方法，评估其行业的持续成长性。通过对消费者需求变化趋势、产业结构变迁、全球技术创新和商业模式演化等多因素的分析和预测，得出各行业的相对投资价值与投资时机。</w:t>
            </w:r>
            <w:proofErr w:type="gramStart"/>
            <w:r w:rsidRPr="00414345">
              <w:rPr>
                <w:color w:val="000000"/>
                <w:kern w:val="0"/>
                <w:sz w:val="24"/>
                <w:szCs w:val="24"/>
              </w:rPr>
              <w:t>除行业</w:t>
            </w:r>
            <w:proofErr w:type="gramEnd"/>
            <w:r w:rsidRPr="00414345">
              <w:rPr>
                <w:color w:val="000000"/>
                <w:kern w:val="0"/>
                <w:sz w:val="24"/>
                <w:szCs w:val="24"/>
              </w:rPr>
              <w:t>的持续成长性评估之外，本基金将基于对相关个股深入的基本面研究和细致的实地调研，结合</w:t>
            </w:r>
            <w:proofErr w:type="gramStart"/>
            <w:r w:rsidRPr="00414345">
              <w:rPr>
                <w:color w:val="000000"/>
                <w:kern w:val="0"/>
                <w:sz w:val="24"/>
                <w:szCs w:val="24"/>
              </w:rPr>
              <w:t>交银施罗</w:t>
            </w:r>
            <w:proofErr w:type="gramEnd"/>
            <w:r w:rsidRPr="00414345">
              <w:rPr>
                <w:color w:val="000000"/>
                <w:kern w:val="0"/>
                <w:sz w:val="24"/>
                <w:szCs w:val="24"/>
              </w:rPr>
              <w:t>德企业成长性评价体系从行业前景、公司质量和成长性质量等方面对上市公司的持续成长性进行综合</w:t>
            </w:r>
            <w:r w:rsidRPr="00414345">
              <w:rPr>
                <w:color w:val="000000"/>
                <w:kern w:val="0"/>
                <w:sz w:val="24"/>
                <w:szCs w:val="24"/>
              </w:rPr>
              <w:lastRenderedPageBreak/>
              <w:t>评价，精选个股，力争实现基金资产的长期稳定增值。</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lastRenderedPageBreak/>
              <w:t>业绩比较基准</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75%×</w:t>
            </w:r>
            <w:r w:rsidRPr="00414345">
              <w:rPr>
                <w:color w:val="000000"/>
                <w:kern w:val="0"/>
                <w:sz w:val="24"/>
                <w:szCs w:val="24"/>
              </w:rPr>
              <w:t>沪深</w:t>
            </w:r>
            <w:r w:rsidRPr="00414345">
              <w:rPr>
                <w:color w:val="000000"/>
                <w:kern w:val="0"/>
                <w:sz w:val="24"/>
                <w:szCs w:val="24"/>
              </w:rPr>
              <w:t>300</w:t>
            </w:r>
            <w:r w:rsidRPr="00414345">
              <w:rPr>
                <w:color w:val="000000"/>
                <w:kern w:val="0"/>
                <w:sz w:val="24"/>
                <w:szCs w:val="24"/>
              </w:rPr>
              <w:t>指数收益率</w:t>
            </w:r>
            <w:r w:rsidRPr="00414345">
              <w:rPr>
                <w:color w:val="000000"/>
                <w:kern w:val="0"/>
                <w:sz w:val="24"/>
                <w:szCs w:val="24"/>
              </w:rPr>
              <w:t>+25%×</w:t>
            </w:r>
            <w:r w:rsidRPr="00414345">
              <w:rPr>
                <w:color w:val="000000"/>
                <w:kern w:val="0"/>
                <w:sz w:val="24"/>
                <w:szCs w:val="24"/>
              </w:rPr>
              <w:t>中证综合债券指数收益率</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风险收益特征</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本基金是一只混合型基金，其风险和预期收益高于债券型基金和货币市场基金，低于股票型基金，属于承担较高风险、预期收益较高的证券投资基金品种。</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基金管理人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基金托管人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中国工商银行股份有限公司</w:t>
            </w:r>
          </w:p>
        </w:tc>
      </w:tr>
    </w:tbl>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CD3555" w:rsidRPr="00414345" w:rsidTr="00CD3555">
        <w:trPr>
          <w:jc w:val="center"/>
        </w:trPr>
        <w:tc>
          <w:tcPr>
            <w:tcW w:w="3402"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(2020</w:t>
            </w:r>
            <w:r w:rsidRPr="00414345">
              <w:rPr>
                <w:color w:val="000000"/>
                <w:sz w:val="24"/>
                <w:szCs w:val="24"/>
              </w:rPr>
              <w:t>年</w:t>
            </w:r>
            <w:r w:rsidRPr="00414345">
              <w:rPr>
                <w:color w:val="000000"/>
                <w:sz w:val="24"/>
                <w:szCs w:val="24"/>
              </w:rPr>
              <w:t>10</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-2020</w:t>
            </w:r>
            <w:r w:rsidRPr="00414345">
              <w:rPr>
                <w:color w:val="000000"/>
                <w:sz w:val="24"/>
                <w:szCs w:val="24"/>
              </w:rPr>
              <w:t>年</w:t>
            </w:r>
            <w:r w:rsidRPr="00414345">
              <w:rPr>
                <w:color w:val="000000"/>
                <w:sz w:val="24"/>
                <w:szCs w:val="24"/>
              </w:rPr>
              <w:t>12</w:t>
            </w:r>
            <w:r w:rsidRPr="00414345">
              <w:rPr>
                <w:color w:val="000000"/>
                <w:sz w:val="24"/>
                <w:szCs w:val="24"/>
              </w:rPr>
              <w:t>月</w:t>
            </w:r>
            <w:r w:rsidRPr="00414345">
              <w:rPr>
                <w:color w:val="000000"/>
                <w:sz w:val="24"/>
                <w:szCs w:val="24"/>
              </w:rPr>
              <w:t>31</w:t>
            </w:r>
            <w:r w:rsidRPr="00414345">
              <w:rPr>
                <w:color w:val="000000"/>
                <w:sz w:val="24"/>
                <w:szCs w:val="24"/>
              </w:rPr>
              <w:t>日</w:t>
            </w:r>
            <w:r w:rsidRPr="00414345">
              <w:rPr>
                <w:color w:val="000000"/>
                <w:sz w:val="24"/>
                <w:szCs w:val="24"/>
              </w:rPr>
              <w:t>)</w:t>
            </w:r>
          </w:p>
        </w:tc>
      </w:tr>
      <w:tr w:rsidR="00CD3555" w:rsidRPr="00414345" w:rsidTr="00CD3555">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153,940,201.60</w:t>
            </w:r>
          </w:p>
        </w:tc>
      </w:tr>
      <w:tr w:rsidR="00CD3555" w:rsidRPr="00414345" w:rsidTr="00CD3555">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245,140,676.53</w:t>
            </w:r>
          </w:p>
        </w:tc>
      </w:tr>
      <w:tr w:rsidR="00CD3555" w:rsidRPr="00414345" w:rsidTr="00CD3555">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0.1722</w:t>
            </w:r>
          </w:p>
        </w:tc>
      </w:tr>
      <w:tr w:rsidR="00CD3555" w:rsidRPr="00414345" w:rsidTr="00CD3555">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2,819,289,726.13</w:t>
            </w:r>
          </w:p>
        </w:tc>
      </w:tr>
      <w:tr w:rsidR="00CD3555" w:rsidRPr="00414345" w:rsidTr="00CD3555">
        <w:trPr>
          <w:trHeight w:val="158"/>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1.8801</w:t>
            </w:r>
          </w:p>
        </w:tc>
      </w:tr>
    </w:tbl>
    <w:p w:rsidR="00C92E6B" w:rsidRDefault="005A7B4D">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、上述基金业绩指标不包括持有人认购或交易基金的各项费用，计入费用后的实际收益水平要低于所列数字；</w:t>
      </w:r>
    </w:p>
    <w:p w:rsidR="00C92E6B" w:rsidRDefault="005A7B4D">
      <w:pPr>
        <w:autoSpaceDE w:val="0"/>
        <w:autoSpaceDN w:val="0"/>
        <w:adjustRightInd w:val="0"/>
        <w:spacing w:before="29" w:line="288" w:lineRule="auto"/>
        <w:jc w:val="left"/>
        <w:rPr>
          <w:color w:val="000000"/>
          <w:sz w:val="24"/>
          <w:szCs w:val="24"/>
        </w:rPr>
      </w:pPr>
      <w:r>
        <w:rPr>
          <w:color w:val="000000"/>
          <w:sz w:val="24"/>
          <w:szCs w:val="24"/>
        </w:rPr>
        <w:t xml:space="preserve">    2</w:t>
      </w:r>
      <w:r>
        <w:rPr>
          <w:color w:val="000000"/>
          <w:sz w:val="24"/>
          <w:szCs w:val="24"/>
        </w:rPr>
        <w:t>、本期已实现收益指基金本期利息收入、投资收益、其他收入（不含公允价值变动收益）扣除相关费用后的余额，本期利润为本期已实现收益加上本期公允价值变动收益；</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w:t>
      </w:r>
      <w:proofErr w:type="gramStart"/>
      <w:r w:rsidRPr="00414345">
        <w:rPr>
          <w:b/>
          <w:bCs/>
          <w:color w:val="000000"/>
          <w:kern w:val="0"/>
          <w:sz w:val="24"/>
          <w:szCs w:val="24"/>
        </w:rPr>
        <w:t>期基金</w:t>
      </w:r>
      <w:proofErr w:type="gramEnd"/>
      <w:r w:rsidRPr="00414345">
        <w:rPr>
          <w:b/>
          <w:bCs/>
          <w:color w:val="000000"/>
          <w:kern w:val="0"/>
          <w:sz w:val="24"/>
          <w:szCs w:val="24"/>
        </w:rPr>
        <w:t>份额净值增长率及其与同期业绩比较基准收益率的比较</w:t>
      </w:r>
    </w:p>
    <w:tbl>
      <w:tblPr>
        <w:tblStyle w:val="aff2"/>
        <w:tblW w:w="8868"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898"/>
      </w:tblGrid>
      <w:tr w:rsidR="00EF6FA5" w:rsidRPr="00414345" w:rsidTr="00A324F4">
        <w:trPr>
          <w:jc w:val="center"/>
        </w:trPr>
        <w:tc>
          <w:tcPr>
            <w:tcW w:w="161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992"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276"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17"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53"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C92E6B">
        <w:trPr>
          <w:jc w:val="center"/>
        </w:trPr>
        <w:tc>
          <w:tcPr>
            <w:tcW w:w="1701" w:type="dxa"/>
            <w:vAlign w:val="center"/>
          </w:tcPr>
          <w:p w:rsidR="00C92E6B" w:rsidRDefault="005A7B4D">
            <w:pPr>
              <w:jc w:val="left"/>
            </w:pPr>
            <w:r>
              <w:rPr>
                <w:color w:val="000000"/>
                <w:sz w:val="24"/>
                <w:szCs w:val="24"/>
              </w:rPr>
              <w:t>过去三个月</w:t>
            </w:r>
          </w:p>
        </w:tc>
        <w:tc>
          <w:tcPr>
            <w:tcW w:w="1045" w:type="dxa"/>
            <w:vAlign w:val="center"/>
          </w:tcPr>
          <w:p w:rsidR="00C92E6B" w:rsidRDefault="005A7B4D">
            <w:pPr>
              <w:jc w:val="center"/>
            </w:pPr>
            <w:r>
              <w:rPr>
                <w:color w:val="000000"/>
                <w:sz w:val="24"/>
                <w:szCs w:val="24"/>
              </w:rPr>
              <w:t>9.84%</w:t>
            </w:r>
          </w:p>
        </w:tc>
        <w:tc>
          <w:tcPr>
            <w:tcW w:w="1344" w:type="dxa"/>
            <w:vAlign w:val="center"/>
          </w:tcPr>
          <w:p w:rsidR="00C92E6B" w:rsidRDefault="005A7B4D">
            <w:pPr>
              <w:jc w:val="center"/>
            </w:pPr>
            <w:r>
              <w:rPr>
                <w:color w:val="000000"/>
                <w:sz w:val="24"/>
                <w:szCs w:val="24"/>
              </w:rPr>
              <w:t>0.99%</w:t>
            </w:r>
          </w:p>
        </w:tc>
        <w:tc>
          <w:tcPr>
            <w:tcW w:w="1194" w:type="dxa"/>
            <w:vAlign w:val="center"/>
          </w:tcPr>
          <w:p w:rsidR="00C92E6B" w:rsidRDefault="005A7B4D">
            <w:pPr>
              <w:jc w:val="center"/>
            </w:pPr>
            <w:r>
              <w:rPr>
                <w:color w:val="000000"/>
                <w:sz w:val="24"/>
                <w:szCs w:val="24"/>
              </w:rPr>
              <w:t>10.43%</w:t>
            </w:r>
          </w:p>
        </w:tc>
        <w:tc>
          <w:tcPr>
            <w:tcW w:w="1492" w:type="dxa"/>
            <w:vAlign w:val="center"/>
          </w:tcPr>
          <w:p w:rsidR="00C92E6B" w:rsidRDefault="005A7B4D">
            <w:pPr>
              <w:jc w:val="center"/>
            </w:pPr>
            <w:r>
              <w:rPr>
                <w:color w:val="000000"/>
                <w:sz w:val="24"/>
                <w:szCs w:val="24"/>
              </w:rPr>
              <w:t>0.74%</w:t>
            </w:r>
          </w:p>
        </w:tc>
        <w:tc>
          <w:tcPr>
            <w:tcW w:w="1194" w:type="dxa"/>
            <w:vAlign w:val="center"/>
          </w:tcPr>
          <w:p w:rsidR="00C92E6B" w:rsidRDefault="005A7B4D">
            <w:pPr>
              <w:jc w:val="center"/>
            </w:pPr>
            <w:r>
              <w:rPr>
                <w:color w:val="000000"/>
                <w:sz w:val="24"/>
                <w:szCs w:val="24"/>
              </w:rPr>
              <w:t>-0.59%</w:t>
            </w:r>
          </w:p>
        </w:tc>
        <w:tc>
          <w:tcPr>
            <w:tcW w:w="898" w:type="dxa"/>
            <w:vAlign w:val="center"/>
          </w:tcPr>
          <w:p w:rsidR="00C92E6B" w:rsidRDefault="005A7B4D">
            <w:pPr>
              <w:jc w:val="center"/>
            </w:pPr>
            <w:r>
              <w:rPr>
                <w:color w:val="000000"/>
                <w:sz w:val="24"/>
                <w:szCs w:val="24"/>
              </w:rPr>
              <w:t>0.25%</w:t>
            </w:r>
          </w:p>
        </w:tc>
      </w:tr>
      <w:tr w:rsidR="00C92E6B">
        <w:trPr>
          <w:jc w:val="center"/>
        </w:trPr>
        <w:tc>
          <w:tcPr>
            <w:tcW w:w="1701" w:type="dxa"/>
            <w:vAlign w:val="center"/>
          </w:tcPr>
          <w:p w:rsidR="00C92E6B" w:rsidRDefault="005A7B4D">
            <w:pPr>
              <w:jc w:val="left"/>
            </w:pPr>
            <w:r>
              <w:rPr>
                <w:color w:val="000000"/>
                <w:sz w:val="24"/>
                <w:szCs w:val="24"/>
              </w:rPr>
              <w:t>过去六个月</w:t>
            </w:r>
          </w:p>
        </w:tc>
        <w:tc>
          <w:tcPr>
            <w:tcW w:w="1045" w:type="dxa"/>
            <w:vAlign w:val="center"/>
          </w:tcPr>
          <w:p w:rsidR="00C92E6B" w:rsidRDefault="005A7B4D">
            <w:pPr>
              <w:jc w:val="center"/>
            </w:pPr>
            <w:r>
              <w:rPr>
                <w:color w:val="000000"/>
                <w:sz w:val="24"/>
                <w:szCs w:val="24"/>
              </w:rPr>
              <w:t>22.40%</w:t>
            </w:r>
          </w:p>
        </w:tc>
        <w:tc>
          <w:tcPr>
            <w:tcW w:w="1344" w:type="dxa"/>
            <w:vAlign w:val="center"/>
          </w:tcPr>
          <w:p w:rsidR="00C92E6B" w:rsidRDefault="005A7B4D">
            <w:pPr>
              <w:jc w:val="center"/>
            </w:pPr>
            <w:r>
              <w:rPr>
                <w:color w:val="000000"/>
                <w:sz w:val="24"/>
                <w:szCs w:val="24"/>
              </w:rPr>
              <w:t>1.24%</w:t>
            </w:r>
          </w:p>
        </w:tc>
        <w:tc>
          <w:tcPr>
            <w:tcW w:w="1194" w:type="dxa"/>
            <w:vAlign w:val="center"/>
          </w:tcPr>
          <w:p w:rsidR="00C92E6B" w:rsidRDefault="005A7B4D">
            <w:pPr>
              <w:jc w:val="center"/>
            </w:pPr>
            <w:r>
              <w:rPr>
                <w:color w:val="000000"/>
                <w:sz w:val="24"/>
                <w:szCs w:val="24"/>
              </w:rPr>
              <w:t>18.77%</w:t>
            </w:r>
          </w:p>
        </w:tc>
        <w:tc>
          <w:tcPr>
            <w:tcW w:w="1492" w:type="dxa"/>
            <w:vAlign w:val="center"/>
          </w:tcPr>
          <w:p w:rsidR="00C92E6B" w:rsidRDefault="005A7B4D">
            <w:pPr>
              <w:jc w:val="center"/>
            </w:pPr>
            <w:r>
              <w:rPr>
                <w:color w:val="000000"/>
                <w:sz w:val="24"/>
                <w:szCs w:val="24"/>
              </w:rPr>
              <w:t>1.01%</w:t>
            </w:r>
          </w:p>
        </w:tc>
        <w:tc>
          <w:tcPr>
            <w:tcW w:w="1194" w:type="dxa"/>
            <w:vAlign w:val="center"/>
          </w:tcPr>
          <w:p w:rsidR="00C92E6B" w:rsidRDefault="005A7B4D">
            <w:pPr>
              <w:jc w:val="center"/>
            </w:pPr>
            <w:r>
              <w:rPr>
                <w:color w:val="000000"/>
                <w:sz w:val="24"/>
                <w:szCs w:val="24"/>
              </w:rPr>
              <w:t>3.63%</w:t>
            </w:r>
          </w:p>
        </w:tc>
        <w:tc>
          <w:tcPr>
            <w:tcW w:w="898" w:type="dxa"/>
            <w:vAlign w:val="center"/>
          </w:tcPr>
          <w:p w:rsidR="00C92E6B" w:rsidRDefault="005A7B4D">
            <w:pPr>
              <w:jc w:val="center"/>
            </w:pPr>
            <w:r>
              <w:rPr>
                <w:color w:val="000000"/>
                <w:sz w:val="24"/>
                <w:szCs w:val="24"/>
              </w:rPr>
              <w:t>0.23%</w:t>
            </w:r>
          </w:p>
        </w:tc>
      </w:tr>
      <w:tr w:rsidR="00C92E6B">
        <w:trPr>
          <w:jc w:val="center"/>
        </w:trPr>
        <w:tc>
          <w:tcPr>
            <w:tcW w:w="1701" w:type="dxa"/>
            <w:vAlign w:val="center"/>
          </w:tcPr>
          <w:p w:rsidR="00C92E6B" w:rsidRDefault="005A7B4D">
            <w:pPr>
              <w:jc w:val="left"/>
            </w:pPr>
            <w:r>
              <w:rPr>
                <w:color w:val="000000"/>
                <w:sz w:val="24"/>
                <w:szCs w:val="24"/>
              </w:rPr>
              <w:lastRenderedPageBreak/>
              <w:t>过去一年</w:t>
            </w:r>
          </w:p>
        </w:tc>
        <w:tc>
          <w:tcPr>
            <w:tcW w:w="1045" w:type="dxa"/>
            <w:vAlign w:val="center"/>
          </w:tcPr>
          <w:p w:rsidR="00C92E6B" w:rsidRDefault="005A7B4D">
            <w:pPr>
              <w:jc w:val="center"/>
            </w:pPr>
            <w:r>
              <w:rPr>
                <w:color w:val="000000"/>
                <w:sz w:val="24"/>
                <w:szCs w:val="24"/>
              </w:rPr>
              <w:t>40.43%</w:t>
            </w:r>
          </w:p>
        </w:tc>
        <w:tc>
          <w:tcPr>
            <w:tcW w:w="1344" w:type="dxa"/>
            <w:vAlign w:val="center"/>
          </w:tcPr>
          <w:p w:rsidR="00C92E6B" w:rsidRDefault="005A7B4D">
            <w:pPr>
              <w:jc w:val="center"/>
            </w:pPr>
            <w:r>
              <w:rPr>
                <w:color w:val="000000"/>
                <w:sz w:val="24"/>
                <w:szCs w:val="24"/>
              </w:rPr>
              <w:t>1.28%</w:t>
            </w:r>
          </w:p>
        </w:tc>
        <w:tc>
          <w:tcPr>
            <w:tcW w:w="1194" w:type="dxa"/>
            <w:vAlign w:val="center"/>
          </w:tcPr>
          <w:p w:rsidR="00C92E6B" w:rsidRDefault="005A7B4D">
            <w:pPr>
              <w:jc w:val="center"/>
            </w:pPr>
            <w:r>
              <w:rPr>
                <w:color w:val="000000"/>
                <w:sz w:val="24"/>
                <w:szCs w:val="24"/>
              </w:rPr>
              <w:t>21.26%</w:t>
            </w:r>
          </w:p>
        </w:tc>
        <w:tc>
          <w:tcPr>
            <w:tcW w:w="1492" w:type="dxa"/>
            <w:vAlign w:val="center"/>
          </w:tcPr>
          <w:p w:rsidR="00C92E6B" w:rsidRDefault="005A7B4D">
            <w:pPr>
              <w:jc w:val="center"/>
            </w:pPr>
            <w:r>
              <w:rPr>
                <w:color w:val="000000"/>
                <w:sz w:val="24"/>
                <w:szCs w:val="24"/>
              </w:rPr>
              <w:t>1.07%</w:t>
            </w:r>
          </w:p>
        </w:tc>
        <w:tc>
          <w:tcPr>
            <w:tcW w:w="1194" w:type="dxa"/>
            <w:vAlign w:val="center"/>
          </w:tcPr>
          <w:p w:rsidR="00C92E6B" w:rsidRDefault="005A7B4D">
            <w:pPr>
              <w:jc w:val="center"/>
            </w:pPr>
            <w:r>
              <w:rPr>
                <w:color w:val="000000"/>
                <w:sz w:val="24"/>
                <w:szCs w:val="24"/>
              </w:rPr>
              <w:t>19.17%</w:t>
            </w:r>
          </w:p>
        </w:tc>
        <w:tc>
          <w:tcPr>
            <w:tcW w:w="898" w:type="dxa"/>
            <w:vAlign w:val="center"/>
          </w:tcPr>
          <w:p w:rsidR="00C92E6B" w:rsidRDefault="005A7B4D">
            <w:pPr>
              <w:jc w:val="center"/>
            </w:pPr>
            <w:r>
              <w:rPr>
                <w:color w:val="000000"/>
                <w:sz w:val="24"/>
                <w:szCs w:val="24"/>
              </w:rPr>
              <w:t>0.21%</w:t>
            </w:r>
          </w:p>
        </w:tc>
      </w:tr>
      <w:tr w:rsidR="00C92E6B">
        <w:trPr>
          <w:jc w:val="center"/>
        </w:trPr>
        <w:tc>
          <w:tcPr>
            <w:tcW w:w="1701" w:type="dxa"/>
            <w:vAlign w:val="center"/>
          </w:tcPr>
          <w:p w:rsidR="00C92E6B" w:rsidRDefault="005A7B4D">
            <w:pPr>
              <w:jc w:val="left"/>
            </w:pPr>
            <w:r>
              <w:rPr>
                <w:color w:val="000000"/>
                <w:sz w:val="24"/>
                <w:szCs w:val="24"/>
              </w:rPr>
              <w:t>自基金合同生效至今</w:t>
            </w:r>
          </w:p>
        </w:tc>
        <w:tc>
          <w:tcPr>
            <w:tcW w:w="1045" w:type="dxa"/>
            <w:vAlign w:val="center"/>
          </w:tcPr>
          <w:p w:rsidR="00C92E6B" w:rsidRDefault="005A7B4D">
            <w:pPr>
              <w:jc w:val="center"/>
            </w:pPr>
            <w:r>
              <w:rPr>
                <w:color w:val="000000"/>
                <w:sz w:val="24"/>
                <w:szCs w:val="24"/>
              </w:rPr>
              <w:t>104.12%</w:t>
            </w:r>
          </w:p>
        </w:tc>
        <w:tc>
          <w:tcPr>
            <w:tcW w:w="1344" w:type="dxa"/>
            <w:vAlign w:val="center"/>
          </w:tcPr>
          <w:p w:rsidR="00C92E6B" w:rsidRDefault="005A7B4D">
            <w:pPr>
              <w:jc w:val="center"/>
            </w:pPr>
            <w:r>
              <w:rPr>
                <w:color w:val="000000"/>
                <w:sz w:val="24"/>
                <w:szCs w:val="24"/>
              </w:rPr>
              <w:t>1.30%</w:t>
            </w:r>
          </w:p>
        </w:tc>
        <w:tc>
          <w:tcPr>
            <w:tcW w:w="1194" w:type="dxa"/>
            <w:vAlign w:val="center"/>
          </w:tcPr>
          <w:p w:rsidR="00C92E6B" w:rsidRDefault="005A7B4D">
            <w:pPr>
              <w:jc w:val="center"/>
            </w:pPr>
            <w:r>
              <w:rPr>
                <w:color w:val="000000"/>
                <w:sz w:val="24"/>
                <w:szCs w:val="24"/>
              </w:rPr>
              <w:t>23.57%</w:t>
            </w:r>
          </w:p>
        </w:tc>
        <w:tc>
          <w:tcPr>
            <w:tcW w:w="1492" w:type="dxa"/>
            <w:vAlign w:val="center"/>
          </w:tcPr>
          <w:p w:rsidR="00C92E6B" w:rsidRDefault="005A7B4D">
            <w:pPr>
              <w:jc w:val="center"/>
            </w:pPr>
            <w:r>
              <w:rPr>
                <w:color w:val="000000"/>
                <w:sz w:val="24"/>
                <w:szCs w:val="24"/>
              </w:rPr>
              <w:t>1.01%</w:t>
            </w:r>
          </w:p>
        </w:tc>
        <w:tc>
          <w:tcPr>
            <w:tcW w:w="1194" w:type="dxa"/>
            <w:vAlign w:val="center"/>
          </w:tcPr>
          <w:p w:rsidR="00C92E6B" w:rsidRDefault="005A7B4D">
            <w:pPr>
              <w:jc w:val="center"/>
            </w:pPr>
            <w:r>
              <w:rPr>
                <w:color w:val="000000"/>
                <w:sz w:val="24"/>
                <w:szCs w:val="24"/>
              </w:rPr>
              <w:t>80.55%</w:t>
            </w:r>
          </w:p>
        </w:tc>
        <w:tc>
          <w:tcPr>
            <w:tcW w:w="898" w:type="dxa"/>
            <w:vAlign w:val="center"/>
          </w:tcPr>
          <w:p w:rsidR="00C92E6B" w:rsidRDefault="005A7B4D">
            <w:pPr>
              <w:jc w:val="center"/>
            </w:pPr>
            <w:r>
              <w:rPr>
                <w:color w:val="000000"/>
                <w:sz w:val="24"/>
                <w:szCs w:val="24"/>
              </w:rPr>
              <w:t>0.29%</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t>交银施罗德持续成长主题混合型证券投资基金</w:t>
      </w:r>
    </w:p>
    <w:p w:rsidR="004061AC" w:rsidRPr="00414345" w:rsidRDefault="00B56F53" w:rsidP="00C15CAC">
      <w:pPr>
        <w:pStyle w:val="a6"/>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rsidR="00AE7962" w:rsidRPr="00414345" w:rsidRDefault="00DE4B43" w:rsidP="00C15CAC">
      <w:pPr>
        <w:pStyle w:val="a6"/>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t>（</w:t>
      </w:r>
      <w:r w:rsidR="0042009D" w:rsidRPr="00414345">
        <w:rPr>
          <w:rFonts w:ascii="Times New Roman" w:hAnsi="Times New Roman" w:cs="Times New Roman"/>
          <w:sz w:val="24"/>
          <w:szCs w:val="24"/>
        </w:rPr>
        <w:t>2018</w:t>
      </w:r>
      <w:r w:rsidR="0042009D" w:rsidRPr="00414345">
        <w:rPr>
          <w:rFonts w:ascii="Times New Roman" w:hAnsi="Times New Roman" w:cs="Times New Roman"/>
          <w:sz w:val="24"/>
          <w:szCs w:val="24"/>
        </w:rPr>
        <w:t>年</w:t>
      </w:r>
      <w:r w:rsidR="0042009D" w:rsidRPr="00414345">
        <w:rPr>
          <w:rFonts w:ascii="Times New Roman" w:hAnsi="Times New Roman" w:cs="Times New Roman"/>
          <w:sz w:val="24"/>
          <w:szCs w:val="24"/>
        </w:rPr>
        <w:t>1</w:t>
      </w:r>
      <w:r w:rsidR="0042009D" w:rsidRPr="00414345">
        <w:rPr>
          <w:rFonts w:ascii="Times New Roman" w:hAnsi="Times New Roman" w:cs="Times New Roman"/>
          <w:sz w:val="24"/>
          <w:szCs w:val="24"/>
        </w:rPr>
        <w:t>月</w:t>
      </w:r>
      <w:r w:rsidR="0042009D" w:rsidRPr="00414345">
        <w:rPr>
          <w:rFonts w:ascii="Times New Roman" w:hAnsi="Times New Roman" w:cs="Times New Roman"/>
          <w:sz w:val="24"/>
          <w:szCs w:val="24"/>
        </w:rPr>
        <w:t>12</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2020</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12</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31</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B816A7" w:rsidP="00C15CAC">
      <w:pPr>
        <w:pStyle w:val="a6"/>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4" cstate="print"/>
                    <a:stretch>
                      <a:fillRect/>
                    </a:stretch>
                  </pic:blipFill>
                  <pic:spPr>
                    <a:xfrm>
                      <a:off x="0" y="0"/>
                      <a:ext cx="5731510" cy="3356610"/>
                    </a:xfrm>
                    <a:prstGeom prst="rect">
                      <a:avLst/>
                    </a:prstGeom>
                  </pic:spPr>
                </pic:pic>
              </a:graphicData>
            </a:graphic>
          </wp:inline>
        </w:drawing>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注：本基金建仓期为自基金合同生效日起的</w:t>
      </w:r>
      <w:r w:rsidRPr="00414345">
        <w:rPr>
          <w:color w:val="000000"/>
          <w:sz w:val="24"/>
          <w:szCs w:val="24"/>
        </w:rPr>
        <w:t>6</w:t>
      </w:r>
      <w:r w:rsidRPr="00414345">
        <w:rPr>
          <w:color w:val="000000"/>
          <w:sz w:val="24"/>
          <w:szCs w:val="24"/>
        </w:rPr>
        <w:t>个月。截至建仓期结束，本基金各项资产配置比例符合基金合同及招募说明书有关投资比例的约定。</w:t>
      </w:r>
    </w:p>
    <w:p w:rsidR="00957594" w:rsidRPr="00414345" w:rsidRDefault="00957594" w:rsidP="00C15CAC">
      <w:pPr>
        <w:tabs>
          <w:tab w:val="left" w:pos="1800"/>
        </w:tabs>
        <w:spacing w:before="29" w:line="288" w:lineRule="auto"/>
        <w:rPr>
          <w:color w:val="000000"/>
          <w:sz w:val="24"/>
          <w:szCs w:val="24"/>
        </w:rPr>
      </w:pPr>
    </w:p>
    <w:p w:rsidR="00693843" w:rsidRPr="00414345" w:rsidRDefault="00693843" w:rsidP="00C15CAC">
      <w:pPr>
        <w:tabs>
          <w:tab w:val="left" w:pos="1800"/>
        </w:tabs>
        <w:spacing w:before="29" w:line="288" w:lineRule="auto"/>
        <w:rPr>
          <w:color w:val="00000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proofErr w:type="gramStart"/>
            <w:r w:rsidRPr="00414345">
              <w:rPr>
                <w:color w:val="000000"/>
                <w:kern w:val="0"/>
                <w:sz w:val="24"/>
                <w:szCs w:val="24"/>
              </w:rPr>
              <w:t>任本基金</w:t>
            </w:r>
            <w:proofErr w:type="gramEnd"/>
            <w:r w:rsidRPr="00414345">
              <w:rPr>
                <w:color w:val="000000"/>
                <w:kern w:val="0"/>
                <w:sz w:val="24"/>
                <w:szCs w:val="24"/>
              </w:rPr>
              <w:t>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rsidTr="006A10AB">
        <w:trPr>
          <w:jc w:val="center"/>
        </w:trPr>
        <w:tc>
          <w:tcPr>
            <w:tcW w:w="851"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C15CAC">
            <w:pPr>
              <w:widowControl/>
              <w:spacing w:before="29" w:line="288" w:lineRule="auto"/>
              <w:jc w:val="left"/>
              <w:rPr>
                <w:color w:val="000000"/>
                <w:kern w:val="0"/>
                <w:sz w:val="24"/>
                <w:szCs w:val="24"/>
              </w:rPr>
            </w:pPr>
          </w:p>
        </w:tc>
      </w:tr>
      <w:tr w:rsidR="00C92E6B">
        <w:trPr>
          <w:jc w:val="center"/>
        </w:trPr>
        <w:tc>
          <w:tcPr>
            <w:tcW w:w="846" w:type="dxa"/>
            <w:vAlign w:val="center"/>
          </w:tcPr>
          <w:p w:rsidR="00C92E6B" w:rsidRDefault="005A7B4D">
            <w:pPr>
              <w:jc w:val="center"/>
            </w:pPr>
            <w:proofErr w:type="gramStart"/>
            <w:r>
              <w:rPr>
                <w:color w:val="000000"/>
                <w:sz w:val="24"/>
                <w:szCs w:val="24"/>
              </w:rPr>
              <w:t>何帅</w:t>
            </w:r>
            <w:proofErr w:type="gramEnd"/>
          </w:p>
        </w:tc>
        <w:tc>
          <w:tcPr>
            <w:tcW w:w="845" w:type="dxa"/>
            <w:vAlign w:val="center"/>
          </w:tcPr>
          <w:p w:rsidR="00C92E6B" w:rsidRDefault="005A7B4D">
            <w:pPr>
              <w:jc w:val="center"/>
            </w:pPr>
            <w:r>
              <w:rPr>
                <w:color w:val="000000"/>
                <w:sz w:val="24"/>
                <w:szCs w:val="24"/>
              </w:rPr>
              <w:t>交</w:t>
            </w:r>
            <w:proofErr w:type="gramStart"/>
            <w:r>
              <w:rPr>
                <w:color w:val="000000"/>
                <w:sz w:val="24"/>
                <w:szCs w:val="24"/>
              </w:rPr>
              <w:t>银优势</w:t>
            </w:r>
            <w:proofErr w:type="gramEnd"/>
            <w:r>
              <w:rPr>
                <w:color w:val="000000"/>
                <w:sz w:val="24"/>
                <w:szCs w:val="24"/>
              </w:rPr>
              <w:t>行业</w:t>
            </w:r>
            <w:r>
              <w:rPr>
                <w:color w:val="000000"/>
                <w:sz w:val="24"/>
                <w:szCs w:val="24"/>
              </w:rPr>
              <w:lastRenderedPageBreak/>
              <w:t>混合、交</w:t>
            </w:r>
            <w:proofErr w:type="gramStart"/>
            <w:r>
              <w:rPr>
                <w:color w:val="000000"/>
                <w:sz w:val="24"/>
                <w:szCs w:val="24"/>
              </w:rPr>
              <w:t>银阿尔法核心混合</w:t>
            </w:r>
            <w:proofErr w:type="gramEnd"/>
            <w:r>
              <w:rPr>
                <w:color w:val="000000"/>
                <w:sz w:val="24"/>
                <w:szCs w:val="24"/>
              </w:rPr>
              <w:t>、交</w:t>
            </w:r>
            <w:proofErr w:type="gramStart"/>
            <w:r>
              <w:rPr>
                <w:color w:val="000000"/>
                <w:sz w:val="24"/>
                <w:szCs w:val="24"/>
              </w:rPr>
              <w:t>银持续</w:t>
            </w:r>
            <w:proofErr w:type="gramEnd"/>
            <w:r>
              <w:rPr>
                <w:color w:val="000000"/>
                <w:sz w:val="24"/>
                <w:szCs w:val="24"/>
              </w:rPr>
              <w:t>成长主题混合的基金经理</w:t>
            </w:r>
          </w:p>
        </w:tc>
        <w:tc>
          <w:tcPr>
            <w:tcW w:w="1549" w:type="dxa"/>
            <w:vAlign w:val="center"/>
          </w:tcPr>
          <w:p w:rsidR="00C92E6B" w:rsidRDefault="005A7B4D">
            <w:pPr>
              <w:jc w:val="center"/>
            </w:pPr>
            <w:r>
              <w:rPr>
                <w:color w:val="000000"/>
                <w:sz w:val="24"/>
                <w:szCs w:val="24"/>
              </w:rPr>
              <w:lastRenderedPageBreak/>
              <w:t>2018-01-12</w:t>
            </w:r>
          </w:p>
        </w:tc>
        <w:tc>
          <w:tcPr>
            <w:tcW w:w="1548" w:type="dxa"/>
            <w:vAlign w:val="center"/>
          </w:tcPr>
          <w:p w:rsidR="00C92E6B" w:rsidRDefault="005A7B4D">
            <w:pPr>
              <w:jc w:val="center"/>
            </w:pPr>
            <w:r>
              <w:rPr>
                <w:color w:val="000000"/>
                <w:sz w:val="24"/>
                <w:szCs w:val="24"/>
              </w:rPr>
              <w:t>-</w:t>
            </w:r>
          </w:p>
        </w:tc>
        <w:tc>
          <w:tcPr>
            <w:tcW w:w="1407" w:type="dxa"/>
            <w:vAlign w:val="center"/>
          </w:tcPr>
          <w:p w:rsidR="00C92E6B" w:rsidRDefault="005A7B4D">
            <w:pPr>
              <w:jc w:val="center"/>
            </w:pPr>
            <w:r>
              <w:rPr>
                <w:color w:val="000000"/>
                <w:sz w:val="24"/>
                <w:szCs w:val="24"/>
              </w:rPr>
              <w:t>10</w:t>
            </w:r>
            <w:r>
              <w:rPr>
                <w:color w:val="000000"/>
                <w:sz w:val="24"/>
                <w:szCs w:val="24"/>
              </w:rPr>
              <w:t>年</w:t>
            </w:r>
          </w:p>
        </w:tc>
        <w:tc>
          <w:tcPr>
            <w:tcW w:w="2673" w:type="dxa"/>
            <w:vAlign w:val="center"/>
          </w:tcPr>
          <w:p w:rsidR="00C92E6B" w:rsidRDefault="005A7B4D">
            <w:r>
              <w:rPr>
                <w:color w:val="000000"/>
                <w:sz w:val="24"/>
                <w:szCs w:val="24"/>
              </w:rPr>
              <w:t>何帅先生，上海财经大学硕士。历任国联安基金管理有限公司研究</w:t>
            </w:r>
            <w:r>
              <w:rPr>
                <w:color w:val="000000"/>
                <w:sz w:val="24"/>
                <w:szCs w:val="24"/>
              </w:rPr>
              <w:lastRenderedPageBreak/>
              <w:t>员。</w:t>
            </w:r>
            <w:r>
              <w:rPr>
                <w:color w:val="000000"/>
                <w:sz w:val="24"/>
                <w:szCs w:val="24"/>
              </w:rPr>
              <w:t>2012</w:t>
            </w:r>
            <w:r>
              <w:rPr>
                <w:color w:val="000000"/>
                <w:sz w:val="24"/>
                <w:szCs w:val="24"/>
              </w:rPr>
              <w:t>年加入交银施罗德基金管理有限公司，历任行业分析师。</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lastRenderedPageBreak/>
        <w:t>注：基金经理（或基金经理小组）期后变动（如有）敬请关注基金管理人发布的相关公告。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C92E6B" w:rsidRDefault="005A7B4D">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本公司制定了严格的投资控制制度和公平交易监控制度来保证旗下基金运作的公平，旗下所管理的所有资产组合，包括证券投资基金和私募资产管理计划均严格遵循制度进行公平交易。</w:t>
      </w:r>
    </w:p>
    <w:p w:rsidR="00C92E6B" w:rsidRDefault="005A7B4D">
      <w:pPr>
        <w:spacing w:before="29" w:line="288" w:lineRule="auto"/>
        <w:ind w:firstLineChars="200" w:firstLine="480"/>
        <w:rPr>
          <w:color w:val="000000"/>
          <w:sz w:val="24"/>
          <w:szCs w:val="24"/>
        </w:rPr>
      </w:pPr>
      <w:r>
        <w:rPr>
          <w:color w:val="000000"/>
          <w:sz w:val="24"/>
          <w:szCs w:val="24"/>
        </w:rPr>
        <w:t>公司建立资源共享的投资研究信息平台，确保各投资组合在获得投</w:t>
      </w:r>
      <w:r>
        <w:rPr>
          <w:color w:val="000000"/>
          <w:sz w:val="24"/>
          <w:szCs w:val="24"/>
        </w:rPr>
        <w:t>资信息、投资建议和实施投资决策方面享有公平的机会。公司在交易执行环节实行集中交易制度，建立公平的交易分配制度。对于交易所公开竞价交易，遵循</w:t>
      </w:r>
      <w:r>
        <w:rPr>
          <w:color w:val="000000"/>
          <w:sz w:val="24"/>
          <w:szCs w:val="24"/>
        </w:rPr>
        <w:t>“</w:t>
      </w:r>
      <w:r>
        <w:rPr>
          <w:color w:val="000000"/>
          <w:sz w:val="24"/>
          <w:szCs w:val="24"/>
        </w:rPr>
        <w:t>价格优先、时间优先</w:t>
      </w:r>
      <w:r>
        <w:rPr>
          <w:color w:val="000000"/>
          <w:sz w:val="24"/>
          <w:szCs w:val="24"/>
        </w:rPr>
        <w:t>”</w:t>
      </w:r>
      <w:r>
        <w:rPr>
          <w:color w:val="000000"/>
          <w:sz w:val="24"/>
          <w:szCs w:val="24"/>
        </w:rPr>
        <w:t>的原则，全部通过交易系统进行比例分配；对于非集中竞价交易、以公司名义进行的场外交易，遵循公平交易分配原则对交易结果进行分配。</w:t>
      </w:r>
    </w:p>
    <w:p w:rsidR="00C92E6B" w:rsidRDefault="005A7B4D">
      <w:pPr>
        <w:spacing w:before="29" w:line="288" w:lineRule="auto"/>
        <w:ind w:firstLineChars="200" w:firstLine="48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w:t>
      </w:r>
      <w:r>
        <w:rPr>
          <w:color w:val="000000"/>
          <w:sz w:val="24"/>
          <w:szCs w:val="24"/>
        </w:rPr>
        <w:t>过分析评估和信息披露来加强对公平交易过程和结果的监督。</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报告期内本公司严格执行公平交易制度，公平对待旗下各投资组合，未发现任何违反公平交易的行为。</w:t>
      </w:r>
    </w:p>
    <w:p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4061AC" w:rsidRPr="00414345" w:rsidRDefault="00957594" w:rsidP="00C15CAC">
      <w:pPr>
        <w:spacing w:before="29" w:line="288" w:lineRule="auto"/>
        <w:ind w:firstLineChars="200" w:firstLine="480"/>
        <w:rPr>
          <w:color w:val="000000"/>
          <w:sz w:val="24"/>
          <w:szCs w:val="24"/>
        </w:rPr>
      </w:pPr>
      <w:r w:rsidRPr="00414345">
        <w:rPr>
          <w:color w:val="000000"/>
          <w:sz w:val="24"/>
          <w:szCs w:val="24"/>
        </w:rPr>
        <w:lastRenderedPageBreak/>
        <w:t>本基金于本报告期内不存在异常交易行为。本报告期内，本公司管理的所有投资组合参与的交易所公开竞价同日反向交易成交较少的单边交易量没有超过该证券当日总成交量</w:t>
      </w:r>
      <w:r w:rsidRPr="00414345">
        <w:rPr>
          <w:color w:val="000000"/>
          <w:sz w:val="24"/>
          <w:szCs w:val="24"/>
        </w:rPr>
        <w:t>5%</w:t>
      </w:r>
      <w:r w:rsidRPr="00414345">
        <w:rPr>
          <w:color w:val="000000"/>
          <w:sz w:val="24"/>
          <w:szCs w:val="24"/>
        </w:rPr>
        <w:t>的情形，本基金与本公司管理的其他投资组合在不同时间窗下（如日内、</w:t>
      </w:r>
      <w:r w:rsidRPr="00414345">
        <w:rPr>
          <w:color w:val="000000"/>
          <w:sz w:val="24"/>
          <w:szCs w:val="24"/>
        </w:rPr>
        <w:t>3</w:t>
      </w:r>
      <w:r w:rsidRPr="00414345">
        <w:rPr>
          <w:color w:val="000000"/>
          <w:sz w:val="24"/>
          <w:szCs w:val="24"/>
        </w:rPr>
        <w:t>日内、</w:t>
      </w:r>
      <w:r w:rsidRPr="00414345">
        <w:rPr>
          <w:color w:val="000000"/>
          <w:sz w:val="24"/>
          <w:szCs w:val="24"/>
        </w:rPr>
        <w:t>5</w:t>
      </w:r>
      <w:r w:rsidRPr="00414345">
        <w:rPr>
          <w:color w:val="000000"/>
          <w:sz w:val="24"/>
          <w:szCs w:val="24"/>
        </w:rPr>
        <w:t>日内）同向交易的交易价差未出现异常。</w:t>
      </w: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rsidR="00C92E6B" w:rsidRDefault="005A7B4D">
      <w:pPr>
        <w:spacing w:before="29" w:line="288" w:lineRule="auto"/>
        <w:ind w:firstLineChars="200" w:firstLine="480"/>
        <w:rPr>
          <w:color w:val="000000"/>
          <w:sz w:val="24"/>
          <w:szCs w:val="24"/>
        </w:rPr>
      </w:pPr>
      <w:r>
        <w:rPr>
          <w:color w:val="000000"/>
          <w:sz w:val="24"/>
          <w:szCs w:val="24"/>
        </w:rPr>
        <w:t>2020</w:t>
      </w:r>
      <w:r>
        <w:rPr>
          <w:color w:val="000000"/>
          <w:sz w:val="24"/>
          <w:szCs w:val="24"/>
        </w:rPr>
        <w:t>年四季度市场分化明显，景气度较高的行业如军工、新能源车以及白酒等</w:t>
      </w:r>
      <w:proofErr w:type="gramStart"/>
      <w:r>
        <w:rPr>
          <w:color w:val="000000"/>
          <w:sz w:val="24"/>
          <w:szCs w:val="24"/>
        </w:rPr>
        <w:t>行业涨幅</w:t>
      </w:r>
      <w:proofErr w:type="gramEnd"/>
      <w:r>
        <w:rPr>
          <w:color w:val="000000"/>
          <w:sz w:val="24"/>
          <w:szCs w:val="24"/>
        </w:rPr>
        <w:t>明显，而低估值板块依然表现不佳，如地产、银行等。</w:t>
      </w:r>
    </w:p>
    <w:p w:rsidR="00C92E6B" w:rsidRDefault="005A7B4D">
      <w:pPr>
        <w:spacing w:before="29" w:line="288" w:lineRule="auto"/>
        <w:ind w:firstLineChars="200" w:firstLine="480"/>
        <w:rPr>
          <w:color w:val="000000"/>
          <w:sz w:val="24"/>
          <w:szCs w:val="24"/>
        </w:rPr>
      </w:pPr>
      <w:r>
        <w:rPr>
          <w:color w:val="000000"/>
          <w:sz w:val="24"/>
          <w:szCs w:val="24"/>
        </w:rPr>
        <w:t>国内经济在四季度继续回暖，货币政策从相对宽裕转向相对稳定。市场中不少中小型公司估值回落明显，资金向更少数的行业和公司集中。本基金整体持仓变化不大，适当增加了新能源行业以及如精细化工类的制造业配置。</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展望</w:t>
      </w:r>
      <w:r w:rsidRPr="00414345">
        <w:rPr>
          <w:color w:val="000000"/>
          <w:sz w:val="24"/>
          <w:szCs w:val="24"/>
        </w:rPr>
        <w:t>2021</w:t>
      </w:r>
      <w:r w:rsidRPr="00414345">
        <w:rPr>
          <w:color w:val="000000"/>
          <w:sz w:val="24"/>
          <w:szCs w:val="24"/>
        </w:rPr>
        <w:t>年一季度，我们计划围绕两个方向展开，首先是基本面非常强劲的新兴行业，并且我们希望公司的估值没有透支未来</w:t>
      </w:r>
      <w:r w:rsidRPr="00414345">
        <w:rPr>
          <w:color w:val="000000"/>
          <w:sz w:val="24"/>
          <w:szCs w:val="24"/>
        </w:rPr>
        <w:t>3</w:t>
      </w:r>
      <w:r w:rsidRPr="00414345">
        <w:rPr>
          <w:color w:val="000000"/>
          <w:sz w:val="24"/>
          <w:szCs w:val="24"/>
        </w:rPr>
        <w:t>到</w:t>
      </w:r>
      <w:r w:rsidRPr="00414345">
        <w:rPr>
          <w:color w:val="000000"/>
          <w:sz w:val="24"/>
          <w:szCs w:val="24"/>
        </w:rPr>
        <w:t>5</w:t>
      </w:r>
      <w:r w:rsidRPr="00414345">
        <w:rPr>
          <w:color w:val="000000"/>
          <w:sz w:val="24"/>
          <w:szCs w:val="24"/>
        </w:rPr>
        <w:t>年的增长预期；然后，我们依然坚持要回到资产本身，挖掘市场</w:t>
      </w:r>
      <w:r w:rsidRPr="00414345">
        <w:rPr>
          <w:color w:val="000000"/>
          <w:sz w:val="24"/>
          <w:szCs w:val="24"/>
        </w:rPr>
        <w:t>“</w:t>
      </w:r>
      <w:r w:rsidRPr="00414345">
        <w:rPr>
          <w:color w:val="000000"/>
          <w:sz w:val="24"/>
          <w:szCs w:val="24"/>
        </w:rPr>
        <w:t>抛弃</w:t>
      </w:r>
      <w:r w:rsidRPr="00414345">
        <w:rPr>
          <w:color w:val="000000"/>
          <w:sz w:val="24"/>
          <w:szCs w:val="24"/>
        </w:rPr>
        <w:t>”</w:t>
      </w:r>
      <w:r w:rsidRPr="00414345">
        <w:rPr>
          <w:color w:val="000000"/>
          <w:sz w:val="24"/>
          <w:szCs w:val="24"/>
        </w:rPr>
        <w:t>的公司中，是否存在未来预期收益率较高并且安全边际很足的资产。</w:t>
      </w:r>
    </w:p>
    <w:p w:rsidR="00627E2D" w:rsidRPr="00414345" w:rsidRDefault="00627E2D"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本基金（各类）份额净值及业绩表现请见</w:t>
      </w:r>
      <w:r w:rsidRPr="00414345">
        <w:rPr>
          <w:color w:val="000000"/>
          <w:sz w:val="24"/>
          <w:szCs w:val="24"/>
        </w:rPr>
        <w:t>“3.1</w:t>
      </w:r>
      <w:r w:rsidRPr="00414345">
        <w:rPr>
          <w:color w:val="000000"/>
          <w:sz w:val="24"/>
          <w:szCs w:val="24"/>
        </w:rPr>
        <w:t>主要财务指标</w:t>
      </w:r>
      <w:r w:rsidRPr="00414345">
        <w:rPr>
          <w:color w:val="000000"/>
          <w:sz w:val="24"/>
          <w:szCs w:val="24"/>
        </w:rPr>
        <w:t xml:space="preserve">” </w:t>
      </w:r>
      <w:r w:rsidRPr="00414345">
        <w:rPr>
          <w:color w:val="000000"/>
          <w:sz w:val="24"/>
          <w:szCs w:val="24"/>
        </w:rPr>
        <w:t>及</w:t>
      </w:r>
      <w:r w:rsidRPr="00414345">
        <w:rPr>
          <w:color w:val="000000"/>
          <w:sz w:val="24"/>
          <w:szCs w:val="24"/>
        </w:rPr>
        <w:t xml:space="preserve">“3.2.1 </w:t>
      </w:r>
      <w:r w:rsidRPr="00414345">
        <w:rPr>
          <w:color w:val="000000"/>
          <w:sz w:val="24"/>
          <w:szCs w:val="24"/>
        </w:rPr>
        <w:t>本报告期基金份额净值增长率及其与同期业绩比较基准收益率的比较</w:t>
      </w:r>
      <w:r w:rsidRPr="00414345">
        <w:rPr>
          <w:color w:val="000000"/>
          <w:sz w:val="24"/>
          <w:szCs w:val="24"/>
        </w:rPr>
        <w:t>”</w:t>
      </w:r>
      <w:r w:rsidRPr="00414345">
        <w:rPr>
          <w:color w:val="000000"/>
          <w:sz w:val="24"/>
          <w:szCs w:val="24"/>
        </w:rPr>
        <w:t>部分披露。</w:t>
      </w:r>
    </w:p>
    <w:p w:rsidR="009C5186" w:rsidRPr="00414345" w:rsidRDefault="009C5186" w:rsidP="00C15CAC">
      <w:pPr>
        <w:spacing w:before="29" w:line="288" w:lineRule="auto"/>
        <w:ind w:firstLineChars="200" w:firstLine="480"/>
        <w:rPr>
          <w:color w:val="000000"/>
          <w:sz w:val="24"/>
          <w:szCs w:val="24"/>
        </w:rPr>
      </w:pPr>
    </w:p>
    <w:p w:rsidR="00421CD2" w:rsidRPr="002070B4" w:rsidRDefault="00421CD2" w:rsidP="00421CD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421CD2" w:rsidRDefault="00421CD2" w:rsidP="00421CD2">
      <w:pPr>
        <w:spacing w:before="29" w:line="288" w:lineRule="auto"/>
        <w:ind w:firstLineChars="200" w:firstLine="480"/>
        <w:rPr>
          <w:color w:val="000000"/>
          <w:sz w:val="24"/>
        </w:rPr>
      </w:pPr>
      <w:r w:rsidRPr="002070B4">
        <w:rPr>
          <w:color w:val="000000"/>
          <w:sz w:val="24"/>
        </w:rPr>
        <w:t>本基金本报告期内无需预警说明。</w:t>
      </w: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00834E74">
        <w:rPr>
          <w:color w:val="000000"/>
          <w:kern w:val="0"/>
          <w:sz w:val="24"/>
          <w:szCs w:val="24"/>
        </w:rPr>
        <w:t xml:space="preserve">  </w:t>
      </w:r>
      <w:r w:rsidRPr="00414345">
        <w:rPr>
          <w:color w:val="000000"/>
          <w:kern w:val="0"/>
          <w:sz w:val="24"/>
          <w:szCs w:val="24"/>
        </w:rPr>
        <w:t>投资组合报告</w:t>
      </w:r>
    </w:p>
    <w:p w:rsidR="00BF0019" w:rsidRDefault="00BF0019" w:rsidP="00BF0019">
      <w:pPr>
        <w:autoSpaceDE w:val="0"/>
        <w:autoSpaceDN w:val="0"/>
        <w:adjustRightInd w:val="0"/>
        <w:spacing w:line="360" w:lineRule="auto"/>
        <w:jc w:val="left"/>
        <w:rPr>
          <w:rFonts w:eastAsiaTheme="minorEastAsia"/>
          <w:b/>
          <w:color w:val="000000" w:themeColor="text1"/>
          <w:kern w:val="0"/>
          <w:sz w:val="24"/>
          <w:szCs w:val="24"/>
        </w:rPr>
      </w:pPr>
      <w:r w:rsidRPr="007B5F21">
        <w:rPr>
          <w:rFonts w:eastAsiaTheme="minorEastAsia"/>
          <w:b/>
          <w:color w:val="000000" w:themeColor="text1"/>
          <w:kern w:val="0"/>
          <w:sz w:val="24"/>
          <w:szCs w:val="24"/>
        </w:rPr>
        <w:t xml:space="preserve">5.1 </w:t>
      </w:r>
      <w:r w:rsidRPr="007B5F21">
        <w:rPr>
          <w:rFonts w:eastAsiaTheme="minorEastAsia"/>
          <w:b/>
          <w:color w:val="000000" w:themeColor="text1"/>
          <w:kern w:val="0"/>
          <w:sz w:val="24"/>
          <w:szCs w:val="24"/>
        </w:rPr>
        <w:t>报告期末基金资产组合情况</w:t>
      </w:r>
    </w:p>
    <w:p w:rsidR="006B5F69" w:rsidRPr="007B5F21" w:rsidRDefault="009C1009" w:rsidP="009C1009">
      <w:pPr>
        <w:autoSpaceDE w:val="0"/>
        <w:autoSpaceDN w:val="0"/>
        <w:adjustRightInd w:val="0"/>
        <w:spacing w:line="360" w:lineRule="auto"/>
        <w:jc w:val="right"/>
        <w:rPr>
          <w:rFonts w:eastAsiaTheme="minorEastAsia"/>
          <w:b/>
          <w:color w:val="000000" w:themeColor="text1"/>
          <w:kern w:val="0"/>
          <w:sz w:val="24"/>
          <w:szCs w:val="24"/>
        </w:rPr>
      </w:pPr>
      <w:r w:rsidRPr="009C1009">
        <w:rPr>
          <w:rFonts w:hint="eastAsia"/>
          <w:color w:val="000000"/>
          <w:kern w:val="0"/>
        </w:rPr>
        <w:t>金额单位：人民币元</w:t>
      </w:r>
    </w:p>
    <w:tbl>
      <w:tblPr>
        <w:tblStyle w:val="aff2"/>
        <w:tblW w:w="8897" w:type="dxa"/>
        <w:tblInd w:w="108" w:type="dxa"/>
        <w:tblLayout w:type="fixed"/>
        <w:tblLook w:val="04A0" w:firstRow="1" w:lastRow="0" w:firstColumn="1" w:lastColumn="0" w:noHBand="0" w:noVBand="1"/>
      </w:tblPr>
      <w:tblGrid>
        <w:gridCol w:w="720"/>
        <w:gridCol w:w="2682"/>
        <w:gridCol w:w="2552"/>
        <w:gridCol w:w="2943"/>
      </w:tblGrid>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序号</w:t>
            </w:r>
          </w:p>
        </w:tc>
        <w:tc>
          <w:tcPr>
            <w:tcW w:w="2682"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项目</w:t>
            </w:r>
          </w:p>
        </w:tc>
        <w:tc>
          <w:tcPr>
            <w:tcW w:w="2552"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金额</w:t>
            </w:r>
          </w:p>
        </w:tc>
        <w:tc>
          <w:tcPr>
            <w:tcW w:w="2943"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占基金总资产的比例</w:t>
            </w:r>
            <w:r w:rsidR="0018138B">
              <w:rPr>
                <w:rFonts w:eastAsiaTheme="minorEastAsia" w:hint="eastAsia"/>
                <w:color w:val="000000" w:themeColor="text1"/>
                <w:sz w:val="24"/>
                <w:szCs w:val="24"/>
              </w:rPr>
              <w:t>(</w:t>
            </w:r>
            <w:r w:rsidR="0018138B">
              <w:rPr>
                <w:rFonts w:eastAsiaTheme="minorEastAsia"/>
                <w:color w:val="000000" w:themeColor="text1"/>
                <w:sz w:val="24"/>
                <w:szCs w:val="24"/>
              </w:rPr>
              <w:t>%</w:t>
            </w:r>
            <w:r w:rsidR="0018138B">
              <w:rPr>
                <w:rFonts w:eastAsiaTheme="minorEastAsia" w:hint="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1</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权益投资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2,391,795,085.52</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83.79</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其中：股票</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2,391,795,085.52</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83.79</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2</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ascii="宋体" w:hAnsi="宋体" w:hint="eastAsia"/>
                <w:sz w:val="24"/>
                <w:szCs w:val="24"/>
              </w:rPr>
              <w:t>基金投资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3</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固定收益投资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139,718,000.00</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4.89</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其中：债券</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139,718,000.00</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4.89</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682" w:type="dxa"/>
            <w:vAlign w:val="center"/>
          </w:tcPr>
          <w:p w:rsidR="00BF0019" w:rsidRPr="007B5F21" w:rsidRDefault="00BF0019" w:rsidP="007B5F21">
            <w:pPr>
              <w:autoSpaceDE w:val="0"/>
              <w:autoSpaceDN w:val="0"/>
              <w:adjustRightInd w:val="0"/>
              <w:spacing w:before="29" w:line="360" w:lineRule="auto"/>
              <w:ind w:left="17" w:firstLineChars="300" w:firstLine="720"/>
              <w:jc w:val="left"/>
              <w:rPr>
                <w:rFonts w:eastAsiaTheme="minorEastAsia"/>
                <w:color w:val="000000" w:themeColor="text1"/>
                <w:sz w:val="24"/>
                <w:szCs w:val="24"/>
              </w:rPr>
            </w:pPr>
            <w:r w:rsidRPr="007B5F21">
              <w:rPr>
                <w:rFonts w:eastAsiaTheme="minorEastAsia"/>
                <w:color w:val="000000" w:themeColor="text1"/>
                <w:sz w:val="24"/>
                <w:szCs w:val="24"/>
              </w:rPr>
              <w:t>资产支持证券</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4</w:t>
            </w:r>
          </w:p>
        </w:tc>
        <w:tc>
          <w:tcPr>
            <w:tcW w:w="2682" w:type="dxa"/>
            <w:vAlign w:val="center"/>
          </w:tcPr>
          <w:p w:rsidR="00BF0019" w:rsidRPr="007B5F21" w:rsidRDefault="00BF0019" w:rsidP="002D2971">
            <w:pPr>
              <w:spacing w:before="29" w:line="360" w:lineRule="auto"/>
              <w:ind w:leftChars="50" w:left="105"/>
              <w:rPr>
                <w:rFonts w:eastAsiaTheme="minorEastAsia"/>
                <w:color w:val="000000" w:themeColor="text1"/>
                <w:sz w:val="24"/>
                <w:szCs w:val="24"/>
              </w:rPr>
            </w:pPr>
            <w:r w:rsidRPr="007B5F21">
              <w:rPr>
                <w:rFonts w:eastAsiaTheme="minorEastAsia"/>
                <w:color w:val="000000" w:themeColor="text1"/>
                <w:sz w:val="24"/>
                <w:szCs w:val="24"/>
              </w:rPr>
              <w:t>贵金属投资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5</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金融衍生</w:t>
            </w:r>
            <w:proofErr w:type="gramStart"/>
            <w:r w:rsidRPr="007B5F21">
              <w:rPr>
                <w:rFonts w:eastAsiaTheme="minorEastAsia"/>
                <w:color w:val="000000" w:themeColor="text1"/>
                <w:sz w:val="24"/>
                <w:szCs w:val="24"/>
              </w:rPr>
              <w:t>品投资</w:t>
            </w:r>
            <w:proofErr w:type="gramEnd"/>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6</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买入返售金融资产</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其中：买断式回购的买入返售金融资产</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7</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银行存款和结算备付金合计</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302,181,138.12</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10.59</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8</w:t>
            </w:r>
          </w:p>
        </w:tc>
        <w:tc>
          <w:tcPr>
            <w:tcW w:w="2682" w:type="dxa"/>
            <w:vAlign w:val="center"/>
          </w:tcPr>
          <w:p w:rsidR="00BF0019" w:rsidRPr="007B5F21" w:rsidRDefault="00BF0019" w:rsidP="002D2971">
            <w:pPr>
              <w:spacing w:line="360" w:lineRule="auto"/>
              <w:rPr>
                <w:rFonts w:eastAsiaTheme="minorEastAsia"/>
                <w:color w:val="000000" w:themeColor="text1"/>
                <w:sz w:val="24"/>
                <w:szCs w:val="24"/>
              </w:rPr>
            </w:pPr>
            <w:r w:rsidRPr="007B5F21">
              <w:rPr>
                <w:rFonts w:eastAsiaTheme="minorEastAsia"/>
                <w:color w:val="000000" w:themeColor="text1"/>
                <w:sz w:val="24"/>
                <w:szCs w:val="24"/>
              </w:rPr>
              <w:t>其他各项资产</w:t>
            </w:r>
          </w:p>
        </w:tc>
        <w:tc>
          <w:tcPr>
            <w:tcW w:w="2552"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20,966,400.51</w:t>
            </w:r>
          </w:p>
        </w:tc>
        <w:tc>
          <w:tcPr>
            <w:tcW w:w="2943"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0.73</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9</w:t>
            </w:r>
          </w:p>
        </w:tc>
        <w:tc>
          <w:tcPr>
            <w:tcW w:w="2682" w:type="dxa"/>
            <w:vAlign w:val="center"/>
          </w:tcPr>
          <w:p w:rsidR="00BF0019" w:rsidRPr="007B5F21" w:rsidRDefault="00BF0019" w:rsidP="002D2971">
            <w:pPr>
              <w:spacing w:line="360" w:lineRule="auto"/>
              <w:rPr>
                <w:rFonts w:eastAsiaTheme="minorEastAsia"/>
                <w:color w:val="000000" w:themeColor="text1"/>
                <w:sz w:val="24"/>
                <w:szCs w:val="24"/>
              </w:rPr>
            </w:pPr>
            <w:r w:rsidRPr="007B5F21">
              <w:rPr>
                <w:rFonts w:eastAsiaTheme="minorEastAsia"/>
                <w:color w:val="000000" w:themeColor="text1"/>
                <w:sz w:val="24"/>
                <w:szCs w:val="24"/>
              </w:rPr>
              <w:t>合计</w:t>
            </w:r>
          </w:p>
        </w:tc>
        <w:tc>
          <w:tcPr>
            <w:tcW w:w="2552"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2,854,660,624.15</w:t>
            </w:r>
          </w:p>
        </w:tc>
        <w:tc>
          <w:tcPr>
            <w:tcW w:w="2943"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100.00</w:t>
            </w:r>
          </w:p>
        </w:tc>
      </w:tr>
    </w:tbl>
    <w:p w:rsidR="004061AC" w:rsidRPr="00414345" w:rsidRDefault="004061AC" w:rsidP="00C15CAC">
      <w:pPr>
        <w:autoSpaceDE w:val="0"/>
        <w:autoSpaceDN w:val="0"/>
        <w:adjustRightInd w:val="0"/>
        <w:spacing w:before="29" w:line="288" w:lineRule="auto"/>
        <w:jc w:val="left"/>
        <w:rPr>
          <w:color w:val="00000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R="00F51C4E" w:rsidRDefault="00F51C4E" w:rsidP="00F51C4E">
      <w:pPr>
        <w:rPr>
          <w:rFonts w:eastAsiaTheme="minorEastAsia"/>
          <w:b/>
          <w:color w:val="000000" w:themeColor="text1"/>
          <w:kern w:val="0"/>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p w:rsidR="007B2639" w:rsidRPr="007B2639" w:rsidRDefault="009C1009" w:rsidP="009C1009">
      <w:pPr>
        <w:jc w:val="right"/>
        <w:rPr>
          <w:sz w:val="24"/>
        </w:rPr>
      </w:pPr>
      <w:r w:rsidRPr="009C1009">
        <w:rPr>
          <w:rFonts w:eastAsiaTheme="minorEastAsia" w:hint="eastAsia"/>
          <w:color w:val="000000" w:themeColor="text1"/>
          <w:kern w:val="0"/>
          <w:sz w:val="24"/>
        </w:rPr>
        <w:t>金额单位：人民币元</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531F10" w:rsidRPr="00414345" w:rsidTr="006C2C1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B11F31" w:rsidP="00C15CAC">
            <w:pPr>
              <w:adjustRightInd w:val="0"/>
              <w:snapToGrid w:val="0"/>
              <w:spacing w:before="29" w:line="288" w:lineRule="auto"/>
              <w:jc w:val="center"/>
              <w:rPr>
                <w:sz w:val="24"/>
                <w:szCs w:val="24"/>
              </w:rPr>
            </w:pPr>
            <w:r>
              <w:rPr>
                <w:sz w:val="24"/>
                <w:szCs w:val="24"/>
              </w:rPr>
              <w:t>公允价值</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1,296,078,489.85</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45.97</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12,797,456.72</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0.45</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123,521,593.99</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4.38</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DC28F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C28F1">
            <w:pPr>
              <w:adjustRightInd w:val="0"/>
              <w:snapToGrid w:val="0"/>
              <w:spacing w:before="29" w:line="288" w:lineRule="auto"/>
              <w:rPr>
                <w:sz w:val="24"/>
                <w:szCs w:val="24"/>
              </w:rPr>
            </w:pPr>
            <w:r w:rsidRPr="00414345">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250,299,292.10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8.88</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63,938,679.75</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2.27</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623,371,603.35</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22.11</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15,649.20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lastRenderedPageBreak/>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160,864.43</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0.01</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21,611,456.13</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0.77</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2,391,795,085.52</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84.84</w:t>
            </w:r>
          </w:p>
        </w:tc>
      </w:tr>
    </w:tbl>
    <w:p w:rsidR="00CD3555" w:rsidRDefault="00CD3555" w:rsidP="00F51C4E">
      <w:pPr>
        <w:jc w:val="left"/>
        <w:rPr>
          <w:rFonts w:asciiTheme="minorEastAsia" w:eastAsiaTheme="minorEastAsia" w:hAnsiTheme="minorEastAsia"/>
          <w:b/>
          <w:bCs/>
          <w:color w:val="000000" w:themeColor="text1"/>
          <w:kern w:val="0"/>
          <w:sz w:val="24"/>
        </w:rPr>
      </w:pPr>
    </w:p>
    <w:p w:rsidR="00F51C4E" w:rsidRPr="008A409E" w:rsidRDefault="00F51C4E" w:rsidP="00F51C4E">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w:t>
      </w:r>
      <w:r w:rsidR="00EE49FE">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F51C4E" w:rsidRDefault="00F51C4E" w:rsidP="00F51C4E">
      <w:pPr>
        <w:spacing w:before="29" w:line="360" w:lineRule="auto"/>
        <w:ind w:left="17"/>
        <w:rPr>
          <w:color w:val="000000"/>
          <w:sz w:val="24"/>
        </w:rPr>
      </w:pPr>
      <w:r w:rsidRPr="00FF0BBF">
        <w:rPr>
          <w:color w:val="000000"/>
          <w:sz w:val="24"/>
        </w:rPr>
        <w:t>本基金本报告期末未持有通过港股通投资的股票。</w:t>
      </w:r>
    </w:p>
    <w:p w:rsidR="004061AC" w:rsidRPr="00F51C4E"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f2"/>
        <w:tblW w:w="8868" w:type="dxa"/>
        <w:jc w:val="center"/>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AC592E" w:rsidRPr="00414345" w:rsidTr="00A324F4">
        <w:trPr>
          <w:jc w:val="center"/>
        </w:trPr>
        <w:tc>
          <w:tcPr>
            <w:tcW w:w="869"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股票代码</w:t>
            </w:r>
          </w:p>
        </w:tc>
        <w:tc>
          <w:tcPr>
            <w:tcW w:w="1810"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股票名称</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w="1960" w:type="dxa"/>
            <w:vAlign w:val="center"/>
          </w:tcPr>
          <w:p w:rsidR="00853140" w:rsidRPr="00414345" w:rsidRDefault="00853140"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74"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rsidR="00C92E6B">
        <w:trPr>
          <w:jc w:val="center"/>
        </w:trPr>
        <w:tc>
          <w:tcPr>
            <w:tcW w:w="855" w:type="dxa"/>
            <w:vAlign w:val="center"/>
          </w:tcPr>
          <w:p w:rsidR="00C92E6B" w:rsidRDefault="005A7B4D">
            <w:pPr>
              <w:jc w:val="center"/>
            </w:pPr>
            <w:r>
              <w:rPr>
                <w:color w:val="000000"/>
                <w:sz w:val="24"/>
                <w:szCs w:val="24"/>
              </w:rPr>
              <w:t>1</w:t>
            </w:r>
          </w:p>
        </w:tc>
        <w:tc>
          <w:tcPr>
            <w:tcW w:w="1334" w:type="dxa"/>
            <w:vAlign w:val="center"/>
          </w:tcPr>
          <w:p w:rsidR="00C92E6B" w:rsidRDefault="005A7B4D">
            <w:pPr>
              <w:jc w:val="center"/>
            </w:pPr>
            <w:r>
              <w:rPr>
                <w:color w:val="000000"/>
                <w:sz w:val="24"/>
                <w:szCs w:val="24"/>
              </w:rPr>
              <w:t>002050</w:t>
            </w:r>
          </w:p>
        </w:tc>
        <w:tc>
          <w:tcPr>
            <w:tcW w:w="1777" w:type="dxa"/>
            <w:vAlign w:val="center"/>
          </w:tcPr>
          <w:p w:rsidR="00C92E6B" w:rsidRDefault="005A7B4D">
            <w:pPr>
              <w:jc w:val="center"/>
            </w:pPr>
            <w:r>
              <w:rPr>
                <w:color w:val="000000"/>
                <w:sz w:val="24"/>
                <w:szCs w:val="24"/>
              </w:rPr>
              <w:t>三</w:t>
            </w:r>
            <w:proofErr w:type="gramStart"/>
            <w:r>
              <w:rPr>
                <w:color w:val="000000"/>
                <w:sz w:val="24"/>
                <w:szCs w:val="24"/>
              </w:rPr>
              <w:t>花智控</w:t>
            </w:r>
            <w:proofErr w:type="gramEnd"/>
          </w:p>
        </w:tc>
        <w:tc>
          <w:tcPr>
            <w:tcW w:w="1334" w:type="dxa"/>
            <w:vAlign w:val="center"/>
          </w:tcPr>
          <w:p w:rsidR="00C92E6B" w:rsidRDefault="005A7B4D">
            <w:pPr>
              <w:jc w:val="right"/>
            </w:pPr>
            <w:r>
              <w:rPr>
                <w:color w:val="000000"/>
                <w:sz w:val="24"/>
                <w:szCs w:val="24"/>
              </w:rPr>
              <w:t>9,784,971</w:t>
            </w:r>
          </w:p>
        </w:tc>
        <w:tc>
          <w:tcPr>
            <w:tcW w:w="1924" w:type="dxa"/>
            <w:vAlign w:val="center"/>
          </w:tcPr>
          <w:p w:rsidR="00C92E6B" w:rsidRDefault="005A7B4D">
            <w:pPr>
              <w:jc w:val="right"/>
            </w:pPr>
            <w:r>
              <w:rPr>
                <w:color w:val="000000"/>
                <w:sz w:val="24"/>
                <w:szCs w:val="24"/>
              </w:rPr>
              <w:t>241,199,535.15</w:t>
            </w:r>
          </w:p>
        </w:tc>
        <w:tc>
          <w:tcPr>
            <w:tcW w:w="1644" w:type="dxa"/>
            <w:vAlign w:val="center"/>
          </w:tcPr>
          <w:p w:rsidR="00C92E6B" w:rsidRDefault="005A7B4D">
            <w:pPr>
              <w:jc w:val="right"/>
            </w:pPr>
            <w:r>
              <w:rPr>
                <w:color w:val="000000"/>
                <w:sz w:val="24"/>
                <w:szCs w:val="24"/>
              </w:rPr>
              <w:t>8.56</w:t>
            </w:r>
          </w:p>
        </w:tc>
      </w:tr>
      <w:tr w:rsidR="00C92E6B">
        <w:trPr>
          <w:jc w:val="center"/>
        </w:trPr>
        <w:tc>
          <w:tcPr>
            <w:tcW w:w="855" w:type="dxa"/>
            <w:vAlign w:val="center"/>
          </w:tcPr>
          <w:p w:rsidR="00C92E6B" w:rsidRDefault="005A7B4D">
            <w:pPr>
              <w:jc w:val="center"/>
            </w:pPr>
            <w:r>
              <w:rPr>
                <w:color w:val="000000"/>
                <w:sz w:val="24"/>
                <w:szCs w:val="24"/>
              </w:rPr>
              <w:t>2</w:t>
            </w:r>
          </w:p>
        </w:tc>
        <w:tc>
          <w:tcPr>
            <w:tcW w:w="1334" w:type="dxa"/>
            <w:vAlign w:val="center"/>
          </w:tcPr>
          <w:p w:rsidR="00C92E6B" w:rsidRDefault="005A7B4D">
            <w:pPr>
              <w:jc w:val="center"/>
            </w:pPr>
            <w:r>
              <w:rPr>
                <w:color w:val="000000"/>
                <w:sz w:val="24"/>
                <w:szCs w:val="24"/>
              </w:rPr>
              <w:t>000002</w:t>
            </w:r>
          </w:p>
        </w:tc>
        <w:tc>
          <w:tcPr>
            <w:tcW w:w="1777" w:type="dxa"/>
            <w:vAlign w:val="center"/>
          </w:tcPr>
          <w:p w:rsidR="00C92E6B" w:rsidRDefault="005A7B4D">
            <w:pPr>
              <w:jc w:val="center"/>
            </w:pPr>
            <w:r>
              <w:rPr>
                <w:color w:val="000000"/>
                <w:sz w:val="24"/>
                <w:szCs w:val="24"/>
              </w:rPr>
              <w:t>万科</w:t>
            </w:r>
            <w:r>
              <w:rPr>
                <w:color w:val="000000"/>
                <w:sz w:val="24"/>
                <w:szCs w:val="24"/>
              </w:rPr>
              <w:t>A</w:t>
            </w:r>
          </w:p>
        </w:tc>
        <w:tc>
          <w:tcPr>
            <w:tcW w:w="1334" w:type="dxa"/>
            <w:vAlign w:val="center"/>
          </w:tcPr>
          <w:p w:rsidR="00C92E6B" w:rsidRDefault="005A7B4D">
            <w:pPr>
              <w:jc w:val="right"/>
            </w:pPr>
            <w:r>
              <w:rPr>
                <w:color w:val="000000"/>
                <w:sz w:val="24"/>
                <w:szCs w:val="24"/>
              </w:rPr>
              <w:t>8,209,943</w:t>
            </w:r>
          </w:p>
        </w:tc>
        <w:tc>
          <w:tcPr>
            <w:tcW w:w="1924" w:type="dxa"/>
            <w:vAlign w:val="center"/>
          </w:tcPr>
          <w:p w:rsidR="00C92E6B" w:rsidRDefault="005A7B4D">
            <w:pPr>
              <w:jc w:val="right"/>
            </w:pPr>
            <w:r>
              <w:rPr>
                <w:color w:val="000000"/>
                <w:sz w:val="24"/>
                <w:szCs w:val="24"/>
              </w:rPr>
              <w:t>235,625,364.10</w:t>
            </w:r>
          </w:p>
        </w:tc>
        <w:tc>
          <w:tcPr>
            <w:tcW w:w="1644" w:type="dxa"/>
            <w:vAlign w:val="center"/>
          </w:tcPr>
          <w:p w:rsidR="00C92E6B" w:rsidRDefault="005A7B4D">
            <w:pPr>
              <w:jc w:val="right"/>
            </w:pPr>
            <w:r>
              <w:rPr>
                <w:color w:val="000000"/>
                <w:sz w:val="24"/>
                <w:szCs w:val="24"/>
              </w:rPr>
              <w:t>8.36</w:t>
            </w:r>
          </w:p>
        </w:tc>
      </w:tr>
      <w:tr w:rsidR="00C92E6B">
        <w:trPr>
          <w:jc w:val="center"/>
        </w:trPr>
        <w:tc>
          <w:tcPr>
            <w:tcW w:w="855" w:type="dxa"/>
            <w:vAlign w:val="center"/>
          </w:tcPr>
          <w:p w:rsidR="00C92E6B" w:rsidRDefault="005A7B4D">
            <w:pPr>
              <w:jc w:val="center"/>
            </w:pPr>
            <w:r>
              <w:rPr>
                <w:color w:val="000000"/>
                <w:sz w:val="24"/>
                <w:szCs w:val="24"/>
              </w:rPr>
              <w:t>3</w:t>
            </w:r>
          </w:p>
        </w:tc>
        <w:tc>
          <w:tcPr>
            <w:tcW w:w="1334" w:type="dxa"/>
            <w:vAlign w:val="center"/>
          </w:tcPr>
          <w:p w:rsidR="00C92E6B" w:rsidRDefault="005A7B4D">
            <w:pPr>
              <w:jc w:val="center"/>
            </w:pPr>
            <w:r>
              <w:rPr>
                <w:color w:val="000000"/>
                <w:sz w:val="24"/>
                <w:szCs w:val="24"/>
              </w:rPr>
              <w:t>600048</w:t>
            </w:r>
          </w:p>
        </w:tc>
        <w:tc>
          <w:tcPr>
            <w:tcW w:w="1777" w:type="dxa"/>
            <w:vAlign w:val="center"/>
          </w:tcPr>
          <w:p w:rsidR="00C92E6B" w:rsidRDefault="005A7B4D">
            <w:pPr>
              <w:jc w:val="center"/>
            </w:pPr>
            <w:r>
              <w:rPr>
                <w:color w:val="000000"/>
                <w:sz w:val="24"/>
                <w:szCs w:val="24"/>
              </w:rPr>
              <w:t>保利地产</w:t>
            </w:r>
          </w:p>
        </w:tc>
        <w:tc>
          <w:tcPr>
            <w:tcW w:w="1334" w:type="dxa"/>
            <w:vAlign w:val="center"/>
          </w:tcPr>
          <w:p w:rsidR="00C92E6B" w:rsidRDefault="005A7B4D">
            <w:pPr>
              <w:jc w:val="right"/>
            </w:pPr>
            <w:r>
              <w:rPr>
                <w:color w:val="000000"/>
                <w:sz w:val="24"/>
                <w:szCs w:val="24"/>
              </w:rPr>
              <w:t>10,072,332</w:t>
            </w:r>
          </w:p>
        </w:tc>
        <w:tc>
          <w:tcPr>
            <w:tcW w:w="1924" w:type="dxa"/>
            <w:vAlign w:val="center"/>
          </w:tcPr>
          <w:p w:rsidR="00C92E6B" w:rsidRDefault="005A7B4D">
            <w:pPr>
              <w:jc w:val="right"/>
            </w:pPr>
            <w:r>
              <w:rPr>
                <w:color w:val="000000"/>
                <w:sz w:val="24"/>
                <w:szCs w:val="24"/>
              </w:rPr>
              <w:t>159,344,292.24</w:t>
            </w:r>
          </w:p>
        </w:tc>
        <w:tc>
          <w:tcPr>
            <w:tcW w:w="1644" w:type="dxa"/>
            <w:vAlign w:val="center"/>
          </w:tcPr>
          <w:p w:rsidR="00C92E6B" w:rsidRDefault="005A7B4D">
            <w:pPr>
              <w:jc w:val="right"/>
            </w:pPr>
            <w:r>
              <w:rPr>
                <w:color w:val="000000"/>
                <w:sz w:val="24"/>
                <w:szCs w:val="24"/>
              </w:rPr>
              <w:t>5.65</w:t>
            </w:r>
          </w:p>
        </w:tc>
      </w:tr>
      <w:tr w:rsidR="00C92E6B">
        <w:trPr>
          <w:jc w:val="center"/>
        </w:trPr>
        <w:tc>
          <w:tcPr>
            <w:tcW w:w="855" w:type="dxa"/>
            <w:vAlign w:val="center"/>
          </w:tcPr>
          <w:p w:rsidR="00C92E6B" w:rsidRDefault="005A7B4D">
            <w:pPr>
              <w:jc w:val="center"/>
            </w:pPr>
            <w:r>
              <w:rPr>
                <w:color w:val="000000"/>
                <w:sz w:val="24"/>
                <w:szCs w:val="24"/>
              </w:rPr>
              <w:t>4</w:t>
            </w:r>
          </w:p>
        </w:tc>
        <w:tc>
          <w:tcPr>
            <w:tcW w:w="1334" w:type="dxa"/>
            <w:vAlign w:val="center"/>
          </w:tcPr>
          <w:p w:rsidR="00C92E6B" w:rsidRDefault="005A7B4D">
            <w:pPr>
              <w:jc w:val="center"/>
            </w:pPr>
            <w:r>
              <w:rPr>
                <w:color w:val="000000"/>
                <w:sz w:val="24"/>
                <w:szCs w:val="24"/>
              </w:rPr>
              <w:t>002049</w:t>
            </w:r>
          </w:p>
        </w:tc>
        <w:tc>
          <w:tcPr>
            <w:tcW w:w="1777" w:type="dxa"/>
            <w:vAlign w:val="center"/>
          </w:tcPr>
          <w:p w:rsidR="00C92E6B" w:rsidRDefault="005A7B4D">
            <w:pPr>
              <w:jc w:val="center"/>
            </w:pPr>
            <w:proofErr w:type="gramStart"/>
            <w:r>
              <w:rPr>
                <w:color w:val="000000"/>
                <w:sz w:val="24"/>
                <w:szCs w:val="24"/>
              </w:rPr>
              <w:t>紫光国微</w:t>
            </w:r>
            <w:proofErr w:type="gramEnd"/>
          </w:p>
        </w:tc>
        <w:tc>
          <w:tcPr>
            <w:tcW w:w="1334" w:type="dxa"/>
            <w:vAlign w:val="center"/>
          </w:tcPr>
          <w:p w:rsidR="00C92E6B" w:rsidRDefault="005A7B4D">
            <w:pPr>
              <w:jc w:val="right"/>
            </w:pPr>
            <w:r>
              <w:rPr>
                <w:color w:val="000000"/>
                <w:sz w:val="24"/>
                <w:szCs w:val="24"/>
              </w:rPr>
              <w:t>1,135,850</w:t>
            </w:r>
          </w:p>
        </w:tc>
        <w:tc>
          <w:tcPr>
            <w:tcW w:w="1924" w:type="dxa"/>
            <w:vAlign w:val="center"/>
          </w:tcPr>
          <w:p w:rsidR="00C92E6B" w:rsidRDefault="005A7B4D">
            <w:pPr>
              <w:jc w:val="right"/>
            </w:pPr>
            <w:r>
              <w:rPr>
                <w:color w:val="000000"/>
                <w:sz w:val="24"/>
                <w:szCs w:val="24"/>
              </w:rPr>
              <w:t>151,988,088.50</w:t>
            </w:r>
          </w:p>
        </w:tc>
        <w:tc>
          <w:tcPr>
            <w:tcW w:w="1644" w:type="dxa"/>
            <w:vAlign w:val="center"/>
          </w:tcPr>
          <w:p w:rsidR="00C92E6B" w:rsidRDefault="005A7B4D">
            <w:pPr>
              <w:jc w:val="right"/>
            </w:pPr>
            <w:r>
              <w:rPr>
                <w:color w:val="000000"/>
                <w:sz w:val="24"/>
                <w:szCs w:val="24"/>
              </w:rPr>
              <w:t>5.39</w:t>
            </w:r>
          </w:p>
        </w:tc>
      </w:tr>
      <w:tr w:rsidR="00C92E6B">
        <w:trPr>
          <w:jc w:val="center"/>
        </w:trPr>
        <w:tc>
          <w:tcPr>
            <w:tcW w:w="855" w:type="dxa"/>
            <w:vAlign w:val="center"/>
          </w:tcPr>
          <w:p w:rsidR="00C92E6B" w:rsidRDefault="005A7B4D">
            <w:pPr>
              <w:jc w:val="center"/>
            </w:pPr>
            <w:r>
              <w:rPr>
                <w:color w:val="000000"/>
                <w:sz w:val="24"/>
                <w:szCs w:val="24"/>
              </w:rPr>
              <w:t>5</w:t>
            </w:r>
          </w:p>
        </w:tc>
        <w:tc>
          <w:tcPr>
            <w:tcW w:w="1334" w:type="dxa"/>
            <w:vAlign w:val="center"/>
          </w:tcPr>
          <w:p w:rsidR="00C92E6B" w:rsidRDefault="005A7B4D">
            <w:pPr>
              <w:jc w:val="center"/>
            </w:pPr>
            <w:r>
              <w:rPr>
                <w:color w:val="000000"/>
                <w:sz w:val="24"/>
                <w:szCs w:val="24"/>
              </w:rPr>
              <w:t>000961</w:t>
            </w:r>
          </w:p>
        </w:tc>
        <w:tc>
          <w:tcPr>
            <w:tcW w:w="1777" w:type="dxa"/>
            <w:vAlign w:val="center"/>
          </w:tcPr>
          <w:p w:rsidR="00C92E6B" w:rsidRDefault="005A7B4D">
            <w:pPr>
              <w:jc w:val="center"/>
            </w:pPr>
            <w:r>
              <w:rPr>
                <w:color w:val="000000"/>
                <w:sz w:val="24"/>
                <w:szCs w:val="24"/>
              </w:rPr>
              <w:t>中南建设</w:t>
            </w:r>
          </w:p>
        </w:tc>
        <w:tc>
          <w:tcPr>
            <w:tcW w:w="1334" w:type="dxa"/>
            <w:vAlign w:val="center"/>
          </w:tcPr>
          <w:p w:rsidR="00C92E6B" w:rsidRDefault="005A7B4D">
            <w:pPr>
              <w:jc w:val="right"/>
            </w:pPr>
            <w:r>
              <w:rPr>
                <w:color w:val="000000"/>
                <w:sz w:val="24"/>
                <w:szCs w:val="24"/>
              </w:rPr>
              <w:t>15,904,489</w:t>
            </w:r>
          </w:p>
        </w:tc>
        <w:tc>
          <w:tcPr>
            <w:tcW w:w="1924" w:type="dxa"/>
            <w:vAlign w:val="center"/>
          </w:tcPr>
          <w:p w:rsidR="00C92E6B" w:rsidRDefault="005A7B4D">
            <w:pPr>
              <w:jc w:val="right"/>
            </w:pPr>
            <w:r>
              <w:rPr>
                <w:color w:val="000000"/>
                <w:sz w:val="24"/>
                <w:szCs w:val="24"/>
              </w:rPr>
              <w:t>140,436,637.87</w:t>
            </w:r>
          </w:p>
        </w:tc>
        <w:tc>
          <w:tcPr>
            <w:tcW w:w="1644" w:type="dxa"/>
            <w:vAlign w:val="center"/>
          </w:tcPr>
          <w:p w:rsidR="00C92E6B" w:rsidRDefault="005A7B4D">
            <w:pPr>
              <w:jc w:val="right"/>
            </w:pPr>
            <w:r>
              <w:rPr>
                <w:color w:val="000000"/>
                <w:sz w:val="24"/>
                <w:szCs w:val="24"/>
              </w:rPr>
              <w:t>4.98</w:t>
            </w:r>
          </w:p>
        </w:tc>
      </w:tr>
      <w:tr w:rsidR="00C92E6B">
        <w:trPr>
          <w:jc w:val="center"/>
        </w:trPr>
        <w:tc>
          <w:tcPr>
            <w:tcW w:w="855" w:type="dxa"/>
            <w:vAlign w:val="center"/>
          </w:tcPr>
          <w:p w:rsidR="00C92E6B" w:rsidRDefault="005A7B4D">
            <w:pPr>
              <w:jc w:val="center"/>
            </w:pPr>
            <w:r>
              <w:rPr>
                <w:color w:val="000000"/>
                <w:sz w:val="24"/>
                <w:szCs w:val="24"/>
              </w:rPr>
              <w:t>6</w:t>
            </w:r>
          </w:p>
        </w:tc>
        <w:tc>
          <w:tcPr>
            <w:tcW w:w="1334" w:type="dxa"/>
            <w:vAlign w:val="center"/>
          </w:tcPr>
          <w:p w:rsidR="00C92E6B" w:rsidRDefault="005A7B4D">
            <w:pPr>
              <w:jc w:val="center"/>
            </w:pPr>
            <w:r>
              <w:rPr>
                <w:color w:val="000000"/>
                <w:sz w:val="24"/>
                <w:szCs w:val="24"/>
              </w:rPr>
              <w:t>300271</w:t>
            </w:r>
          </w:p>
        </w:tc>
        <w:tc>
          <w:tcPr>
            <w:tcW w:w="1777" w:type="dxa"/>
            <w:vAlign w:val="center"/>
          </w:tcPr>
          <w:p w:rsidR="00C92E6B" w:rsidRDefault="005A7B4D">
            <w:pPr>
              <w:jc w:val="center"/>
            </w:pPr>
            <w:r>
              <w:rPr>
                <w:color w:val="000000"/>
                <w:sz w:val="24"/>
                <w:szCs w:val="24"/>
              </w:rPr>
              <w:t>华</w:t>
            </w:r>
            <w:proofErr w:type="gramStart"/>
            <w:r>
              <w:rPr>
                <w:color w:val="000000"/>
                <w:sz w:val="24"/>
                <w:szCs w:val="24"/>
              </w:rPr>
              <w:t>宇软件</w:t>
            </w:r>
            <w:proofErr w:type="gramEnd"/>
          </w:p>
        </w:tc>
        <w:tc>
          <w:tcPr>
            <w:tcW w:w="1334" w:type="dxa"/>
            <w:vAlign w:val="center"/>
          </w:tcPr>
          <w:p w:rsidR="00C92E6B" w:rsidRDefault="005A7B4D">
            <w:pPr>
              <w:jc w:val="right"/>
            </w:pPr>
            <w:r>
              <w:rPr>
                <w:color w:val="000000"/>
                <w:sz w:val="24"/>
                <w:szCs w:val="24"/>
              </w:rPr>
              <w:t>5,866,636</w:t>
            </w:r>
          </w:p>
        </w:tc>
        <w:tc>
          <w:tcPr>
            <w:tcW w:w="1924" w:type="dxa"/>
            <w:vAlign w:val="center"/>
          </w:tcPr>
          <w:p w:rsidR="00C92E6B" w:rsidRDefault="005A7B4D">
            <w:pPr>
              <w:jc w:val="right"/>
            </w:pPr>
            <w:r>
              <w:rPr>
                <w:color w:val="000000"/>
                <w:sz w:val="24"/>
                <w:szCs w:val="24"/>
              </w:rPr>
              <w:t>140,036,601.32</w:t>
            </w:r>
          </w:p>
        </w:tc>
        <w:tc>
          <w:tcPr>
            <w:tcW w:w="1644" w:type="dxa"/>
            <w:vAlign w:val="center"/>
          </w:tcPr>
          <w:p w:rsidR="00C92E6B" w:rsidRDefault="005A7B4D">
            <w:pPr>
              <w:jc w:val="right"/>
            </w:pPr>
            <w:r>
              <w:rPr>
                <w:color w:val="000000"/>
                <w:sz w:val="24"/>
                <w:szCs w:val="24"/>
              </w:rPr>
              <w:t>4.97</w:t>
            </w:r>
          </w:p>
        </w:tc>
      </w:tr>
      <w:tr w:rsidR="00C92E6B">
        <w:trPr>
          <w:jc w:val="center"/>
        </w:trPr>
        <w:tc>
          <w:tcPr>
            <w:tcW w:w="855" w:type="dxa"/>
            <w:vAlign w:val="center"/>
          </w:tcPr>
          <w:p w:rsidR="00C92E6B" w:rsidRDefault="005A7B4D">
            <w:pPr>
              <w:jc w:val="center"/>
            </w:pPr>
            <w:r>
              <w:rPr>
                <w:color w:val="000000"/>
                <w:sz w:val="24"/>
                <w:szCs w:val="24"/>
              </w:rPr>
              <w:t>7</w:t>
            </w:r>
          </w:p>
        </w:tc>
        <w:tc>
          <w:tcPr>
            <w:tcW w:w="1334" w:type="dxa"/>
            <w:vAlign w:val="center"/>
          </w:tcPr>
          <w:p w:rsidR="00C92E6B" w:rsidRDefault="005A7B4D">
            <w:pPr>
              <w:jc w:val="center"/>
            </w:pPr>
            <w:r>
              <w:rPr>
                <w:color w:val="000000"/>
                <w:sz w:val="24"/>
                <w:szCs w:val="24"/>
              </w:rPr>
              <w:t>002352</w:t>
            </w:r>
          </w:p>
        </w:tc>
        <w:tc>
          <w:tcPr>
            <w:tcW w:w="1777" w:type="dxa"/>
            <w:vAlign w:val="center"/>
          </w:tcPr>
          <w:p w:rsidR="00C92E6B" w:rsidRDefault="005A7B4D">
            <w:pPr>
              <w:jc w:val="center"/>
            </w:pPr>
            <w:r>
              <w:rPr>
                <w:color w:val="000000"/>
                <w:sz w:val="24"/>
                <w:szCs w:val="24"/>
              </w:rPr>
              <w:t>顺丰控股</w:t>
            </w:r>
          </w:p>
        </w:tc>
        <w:tc>
          <w:tcPr>
            <w:tcW w:w="1334" w:type="dxa"/>
            <w:vAlign w:val="center"/>
          </w:tcPr>
          <w:p w:rsidR="00C92E6B" w:rsidRDefault="005A7B4D">
            <w:pPr>
              <w:jc w:val="right"/>
            </w:pPr>
            <w:r>
              <w:rPr>
                <w:color w:val="000000"/>
                <w:sz w:val="24"/>
                <w:szCs w:val="24"/>
              </w:rPr>
              <w:t>1,404,257</w:t>
            </w:r>
          </w:p>
        </w:tc>
        <w:tc>
          <w:tcPr>
            <w:tcW w:w="1924" w:type="dxa"/>
            <w:vAlign w:val="center"/>
          </w:tcPr>
          <w:p w:rsidR="00C92E6B" w:rsidRDefault="005A7B4D">
            <w:pPr>
              <w:jc w:val="right"/>
            </w:pPr>
            <w:r>
              <w:rPr>
                <w:color w:val="000000"/>
                <w:sz w:val="24"/>
                <w:szCs w:val="24"/>
              </w:rPr>
              <w:t>123,501,595.11</w:t>
            </w:r>
          </w:p>
        </w:tc>
        <w:tc>
          <w:tcPr>
            <w:tcW w:w="1644" w:type="dxa"/>
            <w:vAlign w:val="center"/>
          </w:tcPr>
          <w:p w:rsidR="00C92E6B" w:rsidRDefault="005A7B4D">
            <w:pPr>
              <w:jc w:val="right"/>
            </w:pPr>
            <w:r>
              <w:rPr>
                <w:color w:val="000000"/>
                <w:sz w:val="24"/>
                <w:szCs w:val="24"/>
              </w:rPr>
              <w:t>4.38</w:t>
            </w:r>
          </w:p>
        </w:tc>
      </w:tr>
      <w:tr w:rsidR="00C92E6B">
        <w:trPr>
          <w:jc w:val="center"/>
        </w:trPr>
        <w:tc>
          <w:tcPr>
            <w:tcW w:w="855" w:type="dxa"/>
            <w:vAlign w:val="center"/>
          </w:tcPr>
          <w:p w:rsidR="00C92E6B" w:rsidRDefault="005A7B4D">
            <w:pPr>
              <w:jc w:val="center"/>
            </w:pPr>
            <w:r>
              <w:rPr>
                <w:color w:val="000000"/>
                <w:sz w:val="24"/>
                <w:szCs w:val="24"/>
              </w:rPr>
              <w:t>8</w:t>
            </w:r>
          </w:p>
        </w:tc>
        <w:tc>
          <w:tcPr>
            <w:tcW w:w="1334" w:type="dxa"/>
            <w:vAlign w:val="center"/>
          </w:tcPr>
          <w:p w:rsidR="00C92E6B" w:rsidRDefault="005A7B4D">
            <w:pPr>
              <w:jc w:val="center"/>
            </w:pPr>
            <w:r>
              <w:rPr>
                <w:color w:val="000000"/>
                <w:sz w:val="24"/>
                <w:szCs w:val="24"/>
              </w:rPr>
              <w:t>002831</w:t>
            </w:r>
          </w:p>
        </w:tc>
        <w:tc>
          <w:tcPr>
            <w:tcW w:w="1777" w:type="dxa"/>
            <w:vAlign w:val="center"/>
          </w:tcPr>
          <w:p w:rsidR="00C92E6B" w:rsidRDefault="005A7B4D">
            <w:pPr>
              <w:jc w:val="center"/>
            </w:pPr>
            <w:r>
              <w:rPr>
                <w:color w:val="000000"/>
                <w:sz w:val="24"/>
                <w:szCs w:val="24"/>
              </w:rPr>
              <w:t>裕同科技</w:t>
            </w:r>
          </w:p>
        </w:tc>
        <w:tc>
          <w:tcPr>
            <w:tcW w:w="1334" w:type="dxa"/>
            <w:vAlign w:val="center"/>
          </w:tcPr>
          <w:p w:rsidR="00C92E6B" w:rsidRDefault="005A7B4D">
            <w:pPr>
              <w:jc w:val="right"/>
            </w:pPr>
            <w:r>
              <w:rPr>
                <w:color w:val="000000"/>
                <w:sz w:val="24"/>
                <w:szCs w:val="24"/>
              </w:rPr>
              <w:t>3,480,452</w:t>
            </w:r>
          </w:p>
        </w:tc>
        <w:tc>
          <w:tcPr>
            <w:tcW w:w="1924" w:type="dxa"/>
            <w:vAlign w:val="center"/>
          </w:tcPr>
          <w:p w:rsidR="00C92E6B" w:rsidRDefault="005A7B4D">
            <w:pPr>
              <w:jc w:val="right"/>
            </w:pPr>
            <w:r>
              <w:rPr>
                <w:color w:val="000000"/>
                <w:sz w:val="24"/>
                <w:szCs w:val="24"/>
              </w:rPr>
              <w:t>106,571,440.24</w:t>
            </w:r>
          </w:p>
        </w:tc>
        <w:tc>
          <w:tcPr>
            <w:tcW w:w="1644" w:type="dxa"/>
            <w:vAlign w:val="center"/>
          </w:tcPr>
          <w:p w:rsidR="00C92E6B" w:rsidRDefault="005A7B4D">
            <w:pPr>
              <w:jc w:val="right"/>
            </w:pPr>
            <w:r>
              <w:rPr>
                <w:color w:val="000000"/>
                <w:sz w:val="24"/>
                <w:szCs w:val="24"/>
              </w:rPr>
              <w:t>3.78</w:t>
            </w:r>
          </w:p>
        </w:tc>
      </w:tr>
      <w:tr w:rsidR="00C92E6B">
        <w:trPr>
          <w:jc w:val="center"/>
        </w:trPr>
        <w:tc>
          <w:tcPr>
            <w:tcW w:w="855" w:type="dxa"/>
            <w:vAlign w:val="center"/>
          </w:tcPr>
          <w:p w:rsidR="00C92E6B" w:rsidRDefault="005A7B4D">
            <w:pPr>
              <w:jc w:val="center"/>
            </w:pPr>
            <w:r>
              <w:rPr>
                <w:color w:val="000000"/>
                <w:sz w:val="24"/>
                <w:szCs w:val="24"/>
              </w:rPr>
              <w:t>9</w:t>
            </w:r>
          </w:p>
        </w:tc>
        <w:tc>
          <w:tcPr>
            <w:tcW w:w="1334" w:type="dxa"/>
            <w:vAlign w:val="center"/>
          </w:tcPr>
          <w:p w:rsidR="00C92E6B" w:rsidRDefault="005A7B4D">
            <w:pPr>
              <w:jc w:val="center"/>
            </w:pPr>
            <w:r>
              <w:rPr>
                <w:color w:val="000000"/>
                <w:sz w:val="24"/>
                <w:szCs w:val="24"/>
              </w:rPr>
              <w:t>600383</w:t>
            </w:r>
          </w:p>
        </w:tc>
        <w:tc>
          <w:tcPr>
            <w:tcW w:w="1777" w:type="dxa"/>
            <w:vAlign w:val="center"/>
          </w:tcPr>
          <w:p w:rsidR="00C92E6B" w:rsidRDefault="005A7B4D">
            <w:pPr>
              <w:jc w:val="center"/>
            </w:pPr>
            <w:r>
              <w:rPr>
                <w:color w:val="000000"/>
                <w:sz w:val="24"/>
                <w:szCs w:val="24"/>
              </w:rPr>
              <w:t>金地集团</w:t>
            </w:r>
          </w:p>
        </w:tc>
        <w:tc>
          <w:tcPr>
            <w:tcW w:w="1334" w:type="dxa"/>
            <w:vAlign w:val="center"/>
          </w:tcPr>
          <w:p w:rsidR="00C92E6B" w:rsidRDefault="005A7B4D">
            <w:pPr>
              <w:jc w:val="right"/>
            </w:pPr>
            <w:r>
              <w:rPr>
                <w:color w:val="000000"/>
                <w:sz w:val="24"/>
                <w:szCs w:val="24"/>
              </w:rPr>
              <w:t>6,515,284</w:t>
            </w:r>
          </w:p>
        </w:tc>
        <w:tc>
          <w:tcPr>
            <w:tcW w:w="1924" w:type="dxa"/>
            <w:vAlign w:val="center"/>
          </w:tcPr>
          <w:p w:rsidR="00C92E6B" w:rsidRDefault="005A7B4D">
            <w:pPr>
              <w:jc w:val="right"/>
            </w:pPr>
            <w:r>
              <w:rPr>
                <w:color w:val="000000"/>
                <w:sz w:val="24"/>
                <w:szCs w:val="24"/>
              </w:rPr>
              <w:t>87,956,334.00</w:t>
            </w:r>
          </w:p>
        </w:tc>
        <w:tc>
          <w:tcPr>
            <w:tcW w:w="1644" w:type="dxa"/>
            <w:vAlign w:val="center"/>
          </w:tcPr>
          <w:p w:rsidR="00C92E6B" w:rsidRDefault="005A7B4D">
            <w:pPr>
              <w:jc w:val="right"/>
            </w:pPr>
            <w:r>
              <w:rPr>
                <w:color w:val="000000"/>
                <w:sz w:val="24"/>
                <w:szCs w:val="24"/>
              </w:rPr>
              <w:t>3.12</w:t>
            </w:r>
          </w:p>
        </w:tc>
      </w:tr>
      <w:tr w:rsidR="00C92E6B">
        <w:trPr>
          <w:jc w:val="center"/>
        </w:trPr>
        <w:tc>
          <w:tcPr>
            <w:tcW w:w="855" w:type="dxa"/>
            <w:vAlign w:val="center"/>
          </w:tcPr>
          <w:p w:rsidR="00C92E6B" w:rsidRDefault="005A7B4D">
            <w:pPr>
              <w:jc w:val="center"/>
            </w:pPr>
            <w:r>
              <w:rPr>
                <w:color w:val="000000"/>
                <w:sz w:val="24"/>
                <w:szCs w:val="24"/>
              </w:rPr>
              <w:t>10</w:t>
            </w:r>
          </w:p>
        </w:tc>
        <w:tc>
          <w:tcPr>
            <w:tcW w:w="1334" w:type="dxa"/>
            <w:vAlign w:val="center"/>
          </w:tcPr>
          <w:p w:rsidR="00C92E6B" w:rsidRDefault="005A7B4D">
            <w:pPr>
              <w:jc w:val="center"/>
            </w:pPr>
            <w:r>
              <w:rPr>
                <w:color w:val="000000"/>
                <w:sz w:val="24"/>
                <w:szCs w:val="24"/>
              </w:rPr>
              <w:t>002555</w:t>
            </w:r>
          </w:p>
        </w:tc>
        <w:tc>
          <w:tcPr>
            <w:tcW w:w="1777" w:type="dxa"/>
            <w:vAlign w:val="center"/>
          </w:tcPr>
          <w:p w:rsidR="00C92E6B" w:rsidRDefault="005A7B4D">
            <w:pPr>
              <w:jc w:val="center"/>
            </w:pPr>
            <w:proofErr w:type="gramStart"/>
            <w:r>
              <w:rPr>
                <w:color w:val="000000"/>
                <w:sz w:val="24"/>
                <w:szCs w:val="24"/>
              </w:rPr>
              <w:t>三七互娱</w:t>
            </w:r>
            <w:proofErr w:type="gramEnd"/>
          </w:p>
        </w:tc>
        <w:tc>
          <w:tcPr>
            <w:tcW w:w="1334" w:type="dxa"/>
            <w:vAlign w:val="center"/>
          </w:tcPr>
          <w:p w:rsidR="00C92E6B" w:rsidRDefault="005A7B4D">
            <w:pPr>
              <w:jc w:val="right"/>
            </w:pPr>
            <w:r>
              <w:rPr>
                <w:color w:val="000000"/>
                <w:sz w:val="24"/>
                <w:szCs w:val="24"/>
              </w:rPr>
              <w:t>2,765,829</w:t>
            </w:r>
          </w:p>
        </w:tc>
        <w:tc>
          <w:tcPr>
            <w:tcW w:w="1924" w:type="dxa"/>
            <w:vAlign w:val="center"/>
          </w:tcPr>
          <w:p w:rsidR="00C92E6B" w:rsidRDefault="005A7B4D">
            <w:pPr>
              <w:jc w:val="right"/>
            </w:pPr>
            <w:r>
              <w:rPr>
                <w:color w:val="000000"/>
                <w:sz w:val="24"/>
                <w:szCs w:val="24"/>
              </w:rPr>
              <w:t>86,376,839.67</w:t>
            </w:r>
          </w:p>
        </w:tc>
        <w:tc>
          <w:tcPr>
            <w:tcW w:w="1644" w:type="dxa"/>
            <w:vAlign w:val="center"/>
          </w:tcPr>
          <w:p w:rsidR="00C92E6B" w:rsidRDefault="005A7B4D">
            <w:pPr>
              <w:jc w:val="right"/>
            </w:pPr>
            <w:r>
              <w:rPr>
                <w:color w:val="000000"/>
                <w:sz w:val="24"/>
                <w:szCs w:val="24"/>
              </w:rPr>
              <w:t>3.06</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p w:rsidR="00CE7169" w:rsidRPr="00CE7169" w:rsidRDefault="009C1009" w:rsidP="009C1009">
      <w:pPr>
        <w:autoSpaceDE w:val="0"/>
        <w:autoSpaceDN w:val="0"/>
        <w:adjustRightInd w:val="0"/>
        <w:spacing w:before="29" w:line="288" w:lineRule="auto"/>
        <w:jc w:val="right"/>
        <w:rPr>
          <w:bCs/>
          <w:color w:val="000000"/>
          <w:kern w:val="0"/>
          <w:sz w:val="24"/>
          <w:szCs w:val="24"/>
        </w:rPr>
      </w:pPr>
      <w:r w:rsidRPr="009C1009">
        <w:rPr>
          <w:rFonts w:hint="eastAsia"/>
          <w:bCs/>
          <w:color w:val="000000"/>
          <w:kern w:val="0"/>
          <w:sz w:val="24"/>
          <w:szCs w:val="24"/>
        </w:rPr>
        <w:t>金额单位：人民币元</w:t>
      </w:r>
    </w:p>
    <w:tbl>
      <w:tblPr>
        <w:tblStyle w:val="aff2"/>
        <w:tblW w:w="8868" w:type="dxa"/>
        <w:jc w:val="center"/>
        <w:tblLayout w:type="fixed"/>
        <w:tblLook w:val="04A0" w:firstRow="1" w:lastRow="0" w:firstColumn="1" w:lastColumn="0" w:noHBand="0" w:noVBand="1"/>
      </w:tblPr>
      <w:tblGrid>
        <w:gridCol w:w="828"/>
        <w:gridCol w:w="3302"/>
        <w:gridCol w:w="2987"/>
        <w:gridCol w:w="1751"/>
      </w:tblGrid>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序号</w:t>
            </w:r>
          </w:p>
        </w:tc>
        <w:tc>
          <w:tcPr>
            <w:tcW w:w="3302"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债券品种</w:t>
            </w:r>
          </w:p>
        </w:tc>
        <w:tc>
          <w:tcPr>
            <w:tcW w:w="298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公允价值</w:t>
            </w:r>
          </w:p>
        </w:tc>
        <w:tc>
          <w:tcPr>
            <w:tcW w:w="1751"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占基金资产净值比例</w:t>
            </w:r>
            <w:r w:rsidR="003F0956">
              <w:rPr>
                <w:rFonts w:hint="eastAsia"/>
                <w:color w:val="000000"/>
                <w:sz w:val="24"/>
              </w:rPr>
              <w:t>(</w:t>
            </w:r>
            <w:r w:rsidR="003F0956">
              <w:rPr>
                <w:color w:val="000000"/>
                <w:sz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1</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国家债券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2</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央行票据</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3</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金融债券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139,718,000.00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4.96</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其中：政策性金融债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139,718,000.00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4.96</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4</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5</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企业短期融资</w:t>
            </w:r>
            <w:proofErr w:type="gramStart"/>
            <w:r w:rsidR="00963F40" w:rsidRPr="00414345">
              <w:rPr>
                <w:color w:val="000000"/>
                <w:sz w:val="24"/>
                <w:szCs w:val="24"/>
              </w:rPr>
              <w:t>券</w:t>
            </w:r>
            <w:proofErr w:type="gramEnd"/>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FB41D3" w:rsidRPr="00414345" w:rsidTr="00F323FF">
        <w:trPr>
          <w:jc w:val="center"/>
        </w:trPr>
        <w:tc>
          <w:tcPr>
            <w:tcW w:w="828" w:type="dxa"/>
            <w:vAlign w:val="center"/>
          </w:tcPr>
          <w:p w:rsidR="00FB41D3" w:rsidRPr="00414345" w:rsidRDefault="00FB41D3" w:rsidP="00C15CAC">
            <w:pPr>
              <w:spacing w:before="29" w:line="288" w:lineRule="auto"/>
              <w:ind w:left="17"/>
              <w:jc w:val="center"/>
              <w:rPr>
                <w:color w:val="000000"/>
                <w:sz w:val="24"/>
                <w:szCs w:val="24"/>
              </w:rPr>
            </w:pPr>
            <w:r w:rsidRPr="00414345">
              <w:rPr>
                <w:color w:val="000000"/>
                <w:sz w:val="24"/>
                <w:szCs w:val="24"/>
              </w:rPr>
              <w:t>6</w:t>
            </w:r>
          </w:p>
        </w:tc>
        <w:tc>
          <w:tcPr>
            <w:tcW w:w="3302" w:type="dxa"/>
            <w:vAlign w:val="center"/>
          </w:tcPr>
          <w:p w:rsidR="00FB41D3" w:rsidRPr="00414345" w:rsidRDefault="00FB41D3" w:rsidP="00C15CAC">
            <w:pPr>
              <w:spacing w:before="29" w:line="288" w:lineRule="auto"/>
              <w:ind w:left="17"/>
              <w:jc w:val="left"/>
              <w:rPr>
                <w:color w:val="000000"/>
                <w:sz w:val="24"/>
                <w:szCs w:val="24"/>
              </w:rPr>
            </w:pPr>
            <w:r w:rsidRPr="00414345">
              <w:rPr>
                <w:color w:val="000000"/>
                <w:sz w:val="24"/>
                <w:szCs w:val="24"/>
              </w:rPr>
              <w:t>中期票据</w:t>
            </w:r>
          </w:p>
        </w:tc>
        <w:tc>
          <w:tcPr>
            <w:tcW w:w="2987"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FB41D3" w:rsidP="00C15CAC">
            <w:pPr>
              <w:spacing w:before="29" w:line="288" w:lineRule="auto"/>
              <w:ind w:left="17"/>
              <w:jc w:val="center"/>
              <w:rPr>
                <w:color w:val="000000"/>
                <w:sz w:val="24"/>
                <w:szCs w:val="24"/>
              </w:rPr>
            </w:pPr>
            <w:r w:rsidRPr="00414345">
              <w:rPr>
                <w:color w:val="000000"/>
                <w:sz w:val="24"/>
                <w:szCs w:val="24"/>
              </w:rPr>
              <w:t>7</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可转债</w:t>
            </w:r>
            <w:r w:rsidR="00AB6E79">
              <w:rPr>
                <w:rFonts w:hint="eastAsia"/>
                <w:sz w:val="24"/>
              </w:rPr>
              <w:t>（可交换债）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F323FF" w:rsidRPr="00414345" w:rsidTr="0006711A">
        <w:trPr>
          <w:jc w:val="center"/>
        </w:trPr>
        <w:tc>
          <w:tcPr>
            <w:tcW w:w="828" w:type="dxa"/>
            <w:vAlign w:val="center"/>
          </w:tcPr>
          <w:p w:rsidR="00F323FF" w:rsidRPr="007A70C2" w:rsidRDefault="00F323FF" w:rsidP="0006711A">
            <w:pPr>
              <w:spacing w:before="29" w:line="288" w:lineRule="auto"/>
              <w:ind w:left="17"/>
              <w:jc w:val="center"/>
              <w:rPr>
                <w:color w:val="000000"/>
                <w:sz w:val="24"/>
                <w:szCs w:val="24"/>
              </w:rPr>
            </w:pPr>
            <w:r w:rsidRPr="007A70C2">
              <w:rPr>
                <w:rFonts w:hint="eastAsia"/>
                <w:color w:val="000000"/>
                <w:sz w:val="24"/>
                <w:szCs w:val="24"/>
              </w:rPr>
              <w:t>8</w:t>
            </w:r>
          </w:p>
        </w:tc>
        <w:tc>
          <w:tcPr>
            <w:tcW w:w="3302" w:type="dxa"/>
            <w:vAlign w:val="center"/>
          </w:tcPr>
          <w:p w:rsidR="00F323FF" w:rsidRPr="007A70C2" w:rsidRDefault="00F323FF" w:rsidP="0006711A">
            <w:pPr>
              <w:spacing w:before="29" w:line="288" w:lineRule="auto"/>
              <w:ind w:left="17"/>
              <w:jc w:val="left"/>
              <w:rPr>
                <w:color w:val="000000"/>
                <w:sz w:val="24"/>
                <w:szCs w:val="24"/>
              </w:rPr>
            </w:pPr>
            <w:r w:rsidRPr="007A70C2">
              <w:rPr>
                <w:rFonts w:hint="eastAsia"/>
                <w:color w:val="000000"/>
                <w:sz w:val="24"/>
                <w:szCs w:val="24"/>
              </w:rPr>
              <w:t>同业存单</w:t>
            </w:r>
          </w:p>
        </w:tc>
        <w:tc>
          <w:tcPr>
            <w:tcW w:w="2987"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w:t>
            </w:r>
          </w:p>
        </w:tc>
        <w:tc>
          <w:tcPr>
            <w:tcW w:w="1751"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9</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其他</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10</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合计</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139,718,000.00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4.96</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p w:rsidR="005B4C8F" w:rsidRPr="005B4C8F" w:rsidRDefault="009C1009" w:rsidP="009C1009">
      <w:pPr>
        <w:autoSpaceDE w:val="0"/>
        <w:autoSpaceDN w:val="0"/>
        <w:adjustRightInd w:val="0"/>
        <w:spacing w:before="29" w:line="288" w:lineRule="auto"/>
        <w:jc w:val="right"/>
        <w:rPr>
          <w:bCs/>
          <w:color w:val="000000"/>
          <w:kern w:val="0"/>
          <w:sz w:val="24"/>
          <w:szCs w:val="24"/>
        </w:rPr>
      </w:pPr>
      <w:r w:rsidRPr="009C1009">
        <w:rPr>
          <w:rFonts w:hint="eastAsia"/>
          <w:bCs/>
          <w:color w:val="000000"/>
          <w:kern w:val="0"/>
          <w:sz w:val="24"/>
          <w:szCs w:val="24"/>
        </w:rPr>
        <w:t>金额单位：人民币元</w:t>
      </w:r>
    </w:p>
    <w:tbl>
      <w:tblPr>
        <w:tblStyle w:val="aff2"/>
        <w:tblW w:w="8868" w:type="dxa"/>
        <w:jc w:val="center"/>
        <w:tblLayout w:type="fixed"/>
        <w:tblCellMar>
          <w:top w:w="57" w:type="dxa"/>
          <w:bottom w:w="57" w:type="dxa"/>
        </w:tblCellMar>
        <w:tblLook w:val="04A0" w:firstRow="1" w:lastRow="0" w:firstColumn="1" w:lastColumn="0" w:noHBand="0" w:noVBand="1"/>
      </w:tblPr>
      <w:tblGrid>
        <w:gridCol w:w="850"/>
        <w:gridCol w:w="1475"/>
        <w:gridCol w:w="1769"/>
        <w:gridCol w:w="1387"/>
        <w:gridCol w:w="2150"/>
        <w:gridCol w:w="1237"/>
      </w:tblGrid>
      <w:tr w:rsidR="00D57B7C" w:rsidRPr="00414345" w:rsidTr="00A324F4">
        <w:trPr>
          <w:jc w:val="center"/>
        </w:trPr>
        <w:tc>
          <w:tcPr>
            <w:tcW w:w="81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41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债券代码</w:t>
            </w:r>
          </w:p>
        </w:tc>
        <w:tc>
          <w:tcPr>
            <w:tcW w:w="17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债券名称</w:t>
            </w:r>
          </w:p>
        </w:tc>
        <w:tc>
          <w:tcPr>
            <w:tcW w:w="1334"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数量</w:t>
            </w:r>
            <w:r w:rsidR="009D1BD9">
              <w:rPr>
                <w:rFonts w:hint="eastAsia"/>
                <w:color w:val="000000"/>
                <w:sz w:val="24"/>
              </w:rPr>
              <w:t>(</w:t>
            </w:r>
            <w:r w:rsidR="009D1BD9">
              <w:rPr>
                <w:rFonts w:hint="eastAsia"/>
                <w:color w:val="000000"/>
                <w:sz w:val="24"/>
              </w:rPr>
              <w:t>张</w:t>
            </w:r>
            <w:r w:rsidR="009D1BD9">
              <w:rPr>
                <w:color w:val="000000"/>
                <w:sz w:val="24"/>
              </w:rPr>
              <w:t>)</w:t>
            </w:r>
          </w:p>
        </w:tc>
        <w:tc>
          <w:tcPr>
            <w:tcW w:w="206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公允价值</w:t>
            </w:r>
          </w:p>
        </w:tc>
        <w:tc>
          <w:tcPr>
            <w:tcW w:w="1190"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3B3494" w:rsidRPr="00414345">
              <w:rPr>
                <w:color w:val="000000"/>
                <w:sz w:val="24"/>
              </w:rPr>
              <w:t>（％）</w:t>
            </w:r>
          </w:p>
        </w:tc>
      </w:tr>
      <w:tr w:rsidR="00C92E6B">
        <w:trPr>
          <w:jc w:val="center"/>
        </w:trPr>
        <w:tc>
          <w:tcPr>
            <w:tcW w:w="850" w:type="dxa"/>
            <w:vAlign w:val="center"/>
          </w:tcPr>
          <w:p w:rsidR="00C92E6B" w:rsidRDefault="005A7B4D">
            <w:pPr>
              <w:jc w:val="center"/>
            </w:pPr>
            <w:r>
              <w:rPr>
                <w:color w:val="000000"/>
                <w:sz w:val="24"/>
                <w:szCs w:val="24"/>
              </w:rPr>
              <w:t>1</w:t>
            </w:r>
          </w:p>
        </w:tc>
        <w:tc>
          <w:tcPr>
            <w:tcW w:w="1475" w:type="dxa"/>
            <w:vAlign w:val="center"/>
          </w:tcPr>
          <w:p w:rsidR="00C92E6B" w:rsidRDefault="005A7B4D">
            <w:pPr>
              <w:jc w:val="center"/>
            </w:pPr>
            <w:r>
              <w:rPr>
                <w:color w:val="000000"/>
                <w:sz w:val="24"/>
                <w:szCs w:val="24"/>
              </w:rPr>
              <w:t>200211</w:t>
            </w:r>
          </w:p>
        </w:tc>
        <w:tc>
          <w:tcPr>
            <w:tcW w:w="1769" w:type="dxa"/>
            <w:vAlign w:val="center"/>
          </w:tcPr>
          <w:p w:rsidR="00C92E6B" w:rsidRDefault="005A7B4D">
            <w:pPr>
              <w:jc w:val="center"/>
            </w:pPr>
            <w:r>
              <w:rPr>
                <w:color w:val="000000"/>
                <w:sz w:val="24"/>
                <w:szCs w:val="24"/>
              </w:rPr>
              <w:t>20</w:t>
            </w:r>
            <w:r>
              <w:rPr>
                <w:color w:val="000000"/>
                <w:sz w:val="24"/>
                <w:szCs w:val="24"/>
              </w:rPr>
              <w:t>国开</w:t>
            </w:r>
            <w:r>
              <w:rPr>
                <w:color w:val="000000"/>
                <w:sz w:val="24"/>
                <w:szCs w:val="24"/>
              </w:rPr>
              <w:t>11</w:t>
            </w:r>
          </w:p>
        </w:tc>
        <w:tc>
          <w:tcPr>
            <w:tcW w:w="1387" w:type="dxa"/>
            <w:vAlign w:val="center"/>
          </w:tcPr>
          <w:p w:rsidR="00C92E6B" w:rsidRDefault="005A7B4D">
            <w:pPr>
              <w:jc w:val="right"/>
            </w:pPr>
            <w:r>
              <w:rPr>
                <w:color w:val="000000"/>
                <w:sz w:val="24"/>
                <w:szCs w:val="24"/>
              </w:rPr>
              <w:t>800,000</w:t>
            </w:r>
          </w:p>
        </w:tc>
        <w:tc>
          <w:tcPr>
            <w:tcW w:w="2150" w:type="dxa"/>
            <w:vAlign w:val="center"/>
          </w:tcPr>
          <w:p w:rsidR="00C92E6B" w:rsidRDefault="005A7B4D">
            <w:pPr>
              <w:jc w:val="right"/>
            </w:pPr>
            <w:r>
              <w:rPr>
                <w:color w:val="000000"/>
                <w:sz w:val="24"/>
                <w:szCs w:val="24"/>
              </w:rPr>
              <w:t>79,680,000.00</w:t>
            </w:r>
          </w:p>
        </w:tc>
        <w:tc>
          <w:tcPr>
            <w:tcW w:w="1237" w:type="dxa"/>
            <w:vAlign w:val="center"/>
          </w:tcPr>
          <w:p w:rsidR="00C92E6B" w:rsidRDefault="005A7B4D">
            <w:pPr>
              <w:jc w:val="right"/>
            </w:pPr>
            <w:r>
              <w:rPr>
                <w:color w:val="000000"/>
                <w:sz w:val="24"/>
                <w:szCs w:val="24"/>
              </w:rPr>
              <w:t>2.83</w:t>
            </w:r>
          </w:p>
        </w:tc>
      </w:tr>
      <w:tr w:rsidR="00C92E6B">
        <w:trPr>
          <w:jc w:val="center"/>
        </w:trPr>
        <w:tc>
          <w:tcPr>
            <w:tcW w:w="850" w:type="dxa"/>
            <w:vAlign w:val="center"/>
          </w:tcPr>
          <w:p w:rsidR="00C92E6B" w:rsidRDefault="005A7B4D">
            <w:pPr>
              <w:jc w:val="center"/>
            </w:pPr>
            <w:r>
              <w:rPr>
                <w:color w:val="000000"/>
                <w:sz w:val="24"/>
                <w:szCs w:val="24"/>
              </w:rPr>
              <w:t>2</w:t>
            </w:r>
          </w:p>
        </w:tc>
        <w:tc>
          <w:tcPr>
            <w:tcW w:w="1475" w:type="dxa"/>
            <w:vAlign w:val="center"/>
          </w:tcPr>
          <w:p w:rsidR="00C92E6B" w:rsidRDefault="005A7B4D">
            <w:pPr>
              <w:jc w:val="center"/>
            </w:pPr>
            <w:r>
              <w:rPr>
                <w:color w:val="000000"/>
                <w:sz w:val="24"/>
                <w:szCs w:val="24"/>
              </w:rPr>
              <w:t>200409</w:t>
            </w:r>
          </w:p>
        </w:tc>
        <w:tc>
          <w:tcPr>
            <w:tcW w:w="1769" w:type="dxa"/>
            <w:vAlign w:val="center"/>
          </w:tcPr>
          <w:p w:rsidR="00C92E6B" w:rsidRDefault="005A7B4D">
            <w:pPr>
              <w:jc w:val="center"/>
            </w:pPr>
            <w:r>
              <w:rPr>
                <w:color w:val="000000"/>
                <w:sz w:val="24"/>
                <w:szCs w:val="24"/>
              </w:rPr>
              <w:t>20</w:t>
            </w:r>
            <w:r>
              <w:rPr>
                <w:color w:val="000000"/>
                <w:sz w:val="24"/>
                <w:szCs w:val="24"/>
              </w:rPr>
              <w:t>农发</w:t>
            </w:r>
            <w:r>
              <w:rPr>
                <w:color w:val="000000"/>
                <w:sz w:val="24"/>
                <w:szCs w:val="24"/>
              </w:rPr>
              <w:t>09</w:t>
            </w:r>
          </w:p>
        </w:tc>
        <w:tc>
          <w:tcPr>
            <w:tcW w:w="1387" w:type="dxa"/>
            <w:vAlign w:val="center"/>
          </w:tcPr>
          <w:p w:rsidR="00C92E6B" w:rsidRDefault="005A7B4D">
            <w:pPr>
              <w:jc w:val="right"/>
            </w:pPr>
            <w:r>
              <w:rPr>
                <w:color w:val="000000"/>
                <w:sz w:val="24"/>
                <w:szCs w:val="24"/>
              </w:rPr>
              <w:t>400,000</w:t>
            </w:r>
          </w:p>
        </w:tc>
        <w:tc>
          <w:tcPr>
            <w:tcW w:w="2150" w:type="dxa"/>
            <w:vAlign w:val="center"/>
          </w:tcPr>
          <w:p w:rsidR="00C92E6B" w:rsidRDefault="005A7B4D">
            <w:pPr>
              <w:jc w:val="right"/>
            </w:pPr>
            <w:r>
              <w:rPr>
                <w:color w:val="000000"/>
                <w:sz w:val="24"/>
                <w:szCs w:val="24"/>
              </w:rPr>
              <w:t>40,016,000.00</w:t>
            </w:r>
          </w:p>
        </w:tc>
        <w:tc>
          <w:tcPr>
            <w:tcW w:w="1237" w:type="dxa"/>
            <w:vAlign w:val="center"/>
          </w:tcPr>
          <w:p w:rsidR="00C92E6B" w:rsidRDefault="005A7B4D">
            <w:pPr>
              <w:jc w:val="right"/>
            </w:pPr>
            <w:r>
              <w:rPr>
                <w:color w:val="000000"/>
                <w:sz w:val="24"/>
                <w:szCs w:val="24"/>
              </w:rPr>
              <w:t>1.42</w:t>
            </w:r>
          </w:p>
        </w:tc>
      </w:tr>
      <w:tr w:rsidR="00C92E6B">
        <w:trPr>
          <w:jc w:val="center"/>
        </w:trPr>
        <w:tc>
          <w:tcPr>
            <w:tcW w:w="850" w:type="dxa"/>
            <w:vAlign w:val="center"/>
          </w:tcPr>
          <w:p w:rsidR="00C92E6B" w:rsidRDefault="005A7B4D">
            <w:pPr>
              <w:jc w:val="center"/>
            </w:pPr>
            <w:r>
              <w:rPr>
                <w:color w:val="000000"/>
                <w:sz w:val="24"/>
                <w:szCs w:val="24"/>
              </w:rPr>
              <w:t>3</w:t>
            </w:r>
          </w:p>
        </w:tc>
        <w:tc>
          <w:tcPr>
            <w:tcW w:w="1475" w:type="dxa"/>
            <w:vAlign w:val="center"/>
          </w:tcPr>
          <w:p w:rsidR="00C92E6B" w:rsidRDefault="005A7B4D">
            <w:pPr>
              <w:jc w:val="center"/>
            </w:pPr>
            <w:r>
              <w:rPr>
                <w:color w:val="000000"/>
                <w:sz w:val="24"/>
                <w:szCs w:val="24"/>
              </w:rPr>
              <w:t>200314</w:t>
            </w:r>
          </w:p>
        </w:tc>
        <w:tc>
          <w:tcPr>
            <w:tcW w:w="1769" w:type="dxa"/>
            <w:vAlign w:val="center"/>
          </w:tcPr>
          <w:p w:rsidR="00C92E6B" w:rsidRDefault="005A7B4D">
            <w:pPr>
              <w:jc w:val="center"/>
            </w:pPr>
            <w:r>
              <w:rPr>
                <w:color w:val="000000"/>
                <w:sz w:val="24"/>
                <w:szCs w:val="24"/>
              </w:rPr>
              <w:t>20</w:t>
            </w:r>
            <w:r>
              <w:rPr>
                <w:color w:val="000000"/>
                <w:sz w:val="24"/>
                <w:szCs w:val="24"/>
              </w:rPr>
              <w:t>进出</w:t>
            </w:r>
            <w:r>
              <w:rPr>
                <w:color w:val="000000"/>
                <w:sz w:val="24"/>
                <w:szCs w:val="24"/>
              </w:rPr>
              <w:t>14</w:t>
            </w:r>
          </w:p>
        </w:tc>
        <w:tc>
          <w:tcPr>
            <w:tcW w:w="1387" w:type="dxa"/>
            <w:vAlign w:val="center"/>
          </w:tcPr>
          <w:p w:rsidR="00C92E6B" w:rsidRDefault="005A7B4D">
            <w:pPr>
              <w:jc w:val="right"/>
            </w:pPr>
            <w:r>
              <w:rPr>
                <w:color w:val="000000"/>
                <w:sz w:val="24"/>
                <w:szCs w:val="24"/>
              </w:rPr>
              <w:t>200,000</w:t>
            </w:r>
          </w:p>
        </w:tc>
        <w:tc>
          <w:tcPr>
            <w:tcW w:w="2150" w:type="dxa"/>
            <w:vAlign w:val="center"/>
          </w:tcPr>
          <w:p w:rsidR="00C92E6B" w:rsidRDefault="005A7B4D">
            <w:pPr>
              <w:jc w:val="right"/>
            </w:pPr>
            <w:r>
              <w:rPr>
                <w:color w:val="000000"/>
                <w:sz w:val="24"/>
                <w:szCs w:val="24"/>
              </w:rPr>
              <w:t>20,022,000.00</w:t>
            </w:r>
          </w:p>
        </w:tc>
        <w:tc>
          <w:tcPr>
            <w:tcW w:w="1237" w:type="dxa"/>
            <w:vAlign w:val="center"/>
          </w:tcPr>
          <w:p w:rsidR="00C92E6B" w:rsidRDefault="005A7B4D">
            <w:pPr>
              <w:jc w:val="right"/>
            </w:pPr>
            <w:r>
              <w:rPr>
                <w:color w:val="000000"/>
                <w:sz w:val="24"/>
                <w:szCs w:val="24"/>
              </w:rPr>
              <w:t>0.71</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p>
    <w:p w:rsidR="00CD3555" w:rsidRDefault="00CD3555" w:rsidP="00C15CAC">
      <w:pPr>
        <w:autoSpaceDE w:val="0"/>
        <w:autoSpaceDN w:val="0"/>
        <w:adjustRightInd w:val="0"/>
        <w:spacing w:before="29" w:line="288" w:lineRule="auto"/>
        <w:jc w:val="left"/>
        <w:rPr>
          <w:b/>
          <w:bCs/>
          <w:color w:val="000000"/>
          <w:kern w:val="0"/>
          <w:sz w:val="24"/>
          <w:szCs w:val="24"/>
        </w:rPr>
      </w:pPr>
    </w:p>
    <w:p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C15CAC">
      <w:pPr>
        <w:widowControl/>
        <w:spacing w:line="288" w:lineRule="auto"/>
        <w:jc w:val="left"/>
        <w:rPr>
          <w:sz w:val="24"/>
          <w:szCs w:val="24"/>
        </w:rPr>
      </w:pPr>
      <w:r w:rsidRPr="00414345">
        <w:rPr>
          <w:sz w:val="24"/>
          <w:szCs w:val="24"/>
        </w:rPr>
        <w:t>本基金本报告期末未持有贵金属。</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275745" w:rsidRPr="00414345">
        <w:rPr>
          <w:b/>
          <w:bCs/>
          <w:color w:val="000000"/>
          <w:kern w:val="0"/>
          <w:sz w:val="24"/>
          <w:szCs w:val="24"/>
        </w:rPr>
        <w:t>报告期末本基金投资的股指期货交易情况说明</w:t>
      </w:r>
    </w:p>
    <w:p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R="00AA3A38" w:rsidRPr="00414345" w:rsidRDefault="00AA3A38" w:rsidP="00C15CAC">
      <w:pPr>
        <w:adjustRightInd w:val="0"/>
        <w:snapToGrid w:val="0"/>
        <w:spacing w:before="29" w:line="288" w:lineRule="auto"/>
        <w:rPr>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lastRenderedPageBreak/>
        <w:t>5</w:t>
      </w:r>
      <w:r w:rsidR="00275745" w:rsidRPr="00414345">
        <w:rPr>
          <w:b/>
          <w:bCs/>
          <w:color w:val="000000"/>
          <w:kern w:val="0"/>
          <w:sz w:val="24"/>
          <w:szCs w:val="24"/>
        </w:rPr>
        <w:t>.</w:t>
      </w:r>
      <w:r w:rsidR="0059076B" w:rsidRPr="00414345">
        <w:rPr>
          <w:b/>
          <w:bCs/>
          <w:color w:val="000000"/>
          <w:kern w:val="0"/>
          <w:sz w:val="24"/>
          <w:szCs w:val="24"/>
        </w:rPr>
        <w:t>11</w:t>
      </w:r>
      <w:r w:rsidR="004061AC" w:rsidRPr="00414345">
        <w:rPr>
          <w:b/>
          <w:bCs/>
          <w:color w:val="000000"/>
          <w:kern w:val="0"/>
          <w:sz w:val="24"/>
          <w:szCs w:val="24"/>
        </w:rPr>
        <w:t>投资组合报告附注</w:t>
      </w:r>
    </w:p>
    <w:p w:rsidR="00BE5388" w:rsidRPr="00B34FB5" w:rsidRDefault="00BE5388" w:rsidP="00E40D31">
      <w:pPr>
        <w:autoSpaceDE w:val="0"/>
        <w:autoSpaceDN w:val="0"/>
        <w:adjustRightInd w:val="0"/>
        <w:spacing w:before="29" w:line="288" w:lineRule="auto"/>
        <w:jc w:val="left"/>
        <w:rPr>
          <w:b/>
          <w:bCs/>
          <w:color w:val="000000"/>
          <w:kern w:val="0"/>
          <w:sz w:val="24"/>
          <w:szCs w:val="24"/>
        </w:rPr>
      </w:pPr>
      <w:r w:rsidRPr="00B34FB5">
        <w:rPr>
          <w:b/>
          <w:bCs/>
          <w:color w:val="000000"/>
          <w:kern w:val="0"/>
          <w:sz w:val="24"/>
          <w:szCs w:val="24"/>
        </w:rPr>
        <w:t>5.11.1</w:t>
      </w:r>
      <w:r w:rsidRPr="00AA3969">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rsidR="00BE5388" w:rsidRPr="00AA3969" w:rsidRDefault="00BE5388" w:rsidP="00E40D31">
      <w:pPr>
        <w:autoSpaceDE w:val="0"/>
        <w:autoSpaceDN w:val="0"/>
        <w:adjustRightInd w:val="0"/>
        <w:spacing w:before="29" w:line="288" w:lineRule="auto"/>
        <w:jc w:val="left"/>
        <w:rPr>
          <w:bCs/>
          <w:color w:val="000000"/>
          <w:kern w:val="0"/>
          <w:sz w:val="24"/>
          <w:szCs w:val="24"/>
        </w:rPr>
      </w:pPr>
      <w:r w:rsidRPr="00B34FB5">
        <w:rPr>
          <w:b/>
          <w:bCs/>
          <w:color w:val="000000"/>
          <w:kern w:val="0"/>
          <w:sz w:val="24"/>
          <w:szCs w:val="24"/>
        </w:rPr>
        <w:t>5.11.2</w:t>
      </w:r>
      <w:r w:rsidRPr="00AA3969">
        <w:rPr>
          <w:bCs/>
          <w:color w:val="000000"/>
          <w:kern w:val="0"/>
          <w:sz w:val="24"/>
          <w:szCs w:val="24"/>
        </w:rPr>
        <w:t>本基金投资的前十名股票中，没有超出基金合同规定的备选股票库之外的股票。</w:t>
      </w:r>
    </w:p>
    <w:p w:rsidR="004061AC" w:rsidRPr="006B0D08" w:rsidRDefault="003259C8" w:rsidP="00C15CAC">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275745" w:rsidRPr="006B0D08">
        <w:rPr>
          <w:b/>
          <w:bCs/>
          <w:color w:val="000000"/>
          <w:kern w:val="0"/>
          <w:sz w:val="24"/>
          <w:szCs w:val="24"/>
        </w:rPr>
        <w:t>.</w:t>
      </w:r>
      <w:r w:rsidR="0059076B" w:rsidRPr="006B0D08">
        <w:rPr>
          <w:b/>
          <w:bCs/>
          <w:color w:val="000000"/>
          <w:kern w:val="0"/>
          <w:sz w:val="24"/>
          <w:szCs w:val="24"/>
        </w:rPr>
        <w:t>11.3</w:t>
      </w:r>
      <w:r w:rsidR="0035383E" w:rsidRPr="006B0D08">
        <w:rPr>
          <w:b/>
          <w:bCs/>
          <w:color w:val="000000"/>
          <w:kern w:val="0"/>
          <w:sz w:val="24"/>
          <w:szCs w:val="24"/>
        </w:rPr>
        <w:t>其他</w:t>
      </w:r>
      <w:r w:rsidR="004061AC" w:rsidRPr="006B0D08">
        <w:rPr>
          <w:b/>
          <w:bCs/>
          <w:color w:val="000000"/>
          <w:kern w:val="0"/>
          <w:sz w:val="24"/>
          <w:szCs w:val="24"/>
        </w:rPr>
        <w:t>资产构成</w:t>
      </w:r>
    </w:p>
    <w:p w:rsidR="00DD7A00" w:rsidRPr="00414345" w:rsidRDefault="004A0AA9" w:rsidP="00DD7A00">
      <w:pPr>
        <w:autoSpaceDE w:val="0"/>
        <w:autoSpaceDN w:val="0"/>
        <w:adjustRightInd w:val="0"/>
        <w:spacing w:before="29" w:line="288" w:lineRule="auto"/>
        <w:jc w:val="right"/>
        <w:rPr>
          <w:bCs/>
          <w:color w:val="000000"/>
          <w:kern w:val="0"/>
          <w:sz w:val="24"/>
          <w:szCs w:val="24"/>
        </w:rPr>
      </w:pPr>
      <w:r w:rsidRPr="004A0AA9">
        <w:rPr>
          <w:rFonts w:hint="eastAsia"/>
          <w:bCs/>
          <w:color w:val="000000"/>
          <w:kern w:val="0"/>
          <w:sz w:val="24"/>
          <w:szCs w:val="24"/>
        </w:rPr>
        <w:t>金额单位：人民币元</w:t>
      </w:r>
    </w:p>
    <w:tbl>
      <w:tblPr>
        <w:tblStyle w:val="aff2"/>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539,392.74</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3,844,495.36</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976,641.58</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15,605,870.83</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20,966,400.51</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6B0D08" w:rsidRDefault="003259C8" w:rsidP="00C15CAC">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275745" w:rsidRPr="006B0D08">
        <w:rPr>
          <w:b/>
          <w:bCs/>
          <w:color w:val="000000"/>
          <w:kern w:val="0"/>
          <w:sz w:val="24"/>
          <w:szCs w:val="24"/>
        </w:rPr>
        <w:t>.</w:t>
      </w:r>
      <w:r w:rsidR="0059076B" w:rsidRPr="006B0D08">
        <w:rPr>
          <w:b/>
          <w:bCs/>
          <w:color w:val="000000"/>
          <w:kern w:val="0"/>
          <w:sz w:val="24"/>
          <w:szCs w:val="24"/>
        </w:rPr>
        <w:t>11.4</w:t>
      </w:r>
      <w:r w:rsidR="004061AC" w:rsidRPr="006B0D08">
        <w:rPr>
          <w:b/>
          <w:bCs/>
          <w:color w:val="000000"/>
          <w:kern w:val="0"/>
          <w:sz w:val="24"/>
          <w:szCs w:val="24"/>
        </w:rPr>
        <w:t>报告期末持有的处于转股期的可转换债券明细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本基金本报告期末未持有处于转股期的可转换债券。</w:t>
      </w:r>
    </w:p>
    <w:p w:rsidR="00CD3555" w:rsidRDefault="00CD3555" w:rsidP="00C15CAC">
      <w:pPr>
        <w:autoSpaceDE w:val="0"/>
        <w:autoSpaceDN w:val="0"/>
        <w:adjustRightInd w:val="0"/>
        <w:spacing w:before="29" w:line="288" w:lineRule="auto"/>
        <w:jc w:val="left"/>
        <w:rPr>
          <w:b/>
          <w:bCs/>
          <w:color w:val="000000"/>
          <w:kern w:val="0"/>
          <w:sz w:val="24"/>
          <w:szCs w:val="24"/>
        </w:rPr>
      </w:pPr>
    </w:p>
    <w:p w:rsidR="004061AC" w:rsidRPr="006B0D08" w:rsidRDefault="003259C8" w:rsidP="00C15CAC">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4061AC" w:rsidRPr="006B0D08">
        <w:rPr>
          <w:b/>
          <w:bCs/>
          <w:color w:val="000000"/>
          <w:kern w:val="0"/>
          <w:sz w:val="24"/>
          <w:szCs w:val="24"/>
        </w:rPr>
        <w:t>.</w:t>
      </w:r>
      <w:r w:rsidR="0059076B" w:rsidRPr="006B0D08">
        <w:rPr>
          <w:b/>
          <w:bCs/>
          <w:color w:val="000000"/>
          <w:kern w:val="0"/>
          <w:sz w:val="24"/>
          <w:szCs w:val="24"/>
        </w:rPr>
        <w:t>11.5</w:t>
      </w:r>
      <w:r w:rsidR="004061AC" w:rsidRPr="006B0D08">
        <w:rPr>
          <w:b/>
          <w:bCs/>
          <w:color w:val="000000"/>
          <w:kern w:val="0"/>
          <w:sz w:val="24"/>
          <w:szCs w:val="24"/>
        </w:rPr>
        <w:t>报告</w:t>
      </w:r>
      <w:proofErr w:type="gramStart"/>
      <w:r w:rsidR="004061AC" w:rsidRPr="006B0D08">
        <w:rPr>
          <w:b/>
          <w:bCs/>
          <w:color w:val="000000"/>
          <w:kern w:val="0"/>
          <w:sz w:val="24"/>
          <w:szCs w:val="24"/>
        </w:rPr>
        <w:t>期末前</w:t>
      </w:r>
      <w:proofErr w:type="gramEnd"/>
      <w:r w:rsidR="004061AC" w:rsidRPr="006B0D08">
        <w:rPr>
          <w:b/>
          <w:bCs/>
          <w:color w:val="000000"/>
          <w:kern w:val="0"/>
          <w:sz w:val="24"/>
          <w:szCs w:val="24"/>
        </w:rPr>
        <w:t>十名股票中存在流通受限情况的说明</w:t>
      </w:r>
    </w:p>
    <w:p w:rsidR="00066A97" w:rsidRPr="00414345" w:rsidRDefault="00066A97" w:rsidP="00066A97">
      <w:pPr>
        <w:autoSpaceDE w:val="0"/>
        <w:autoSpaceDN w:val="0"/>
        <w:adjustRightInd w:val="0"/>
        <w:spacing w:before="29" w:line="288" w:lineRule="auto"/>
        <w:jc w:val="right"/>
        <w:rPr>
          <w:bCs/>
          <w:color w:val="000000"/>
          <w:kern w:val="0"/>
          <w:sz w:val="24"/>
          <w:szCs w:val="24"/>
        </w:rPr>
      </w:pPr>
      <w:r w:rsidRPr="00173B44">
        <w:rPr>
          <w:rFonts w:hint="eastAsia"/>
          <w:bCs/>
          <w:color w:val="000000"/>
          <w:kern w:val="0"/>
          <w:sz w:val="24"/>
          <w:szCs w:val="24"/>
        </w:rPr>
        <w:t>金额单位：人民币元</w:t>
      </w:r>
    </w:p>
    <w:tbl>
      <w:tblPr>
        <w:tblStyle w:val="aff2"/>
        <w:tblW w:w="8868" w:type="dxa"/>
        <w:jc w:val="center"/>
        <w:tblLayout w:type="fixed"/>
        <w:tblCellMar>
          <w:top w:w="57" w:type="dxa"/>
          <w:bottom w:w="57" w:type="dxa"/>
        </w:tblCellMar>
        <w:tblLook w:val="04A0" w:firstRow="1" w:lastRow="0" w:firstColumn="1" w:lastColumn="0" w:noHBand="0" w:noVBand="1"/>
      </w:tblPr>
      <w:tblGrid>
        <w:gridCol w:w="1129"/>
        <w:gridCol w:w="1356"/>
        <w:gridCol w:w="1355"/>
        <w:gridCol w:w="1880"/>
        <w:gridCol w:w="1724"/>
        <w:gridCol w:w="1424"/>
      </w:tblGrid>
      <w:tr w:rsidR="003E62FB" w:rsidRPr="00414345" w:rsidTr="00BC216C">
        <w:trPr>
          <w:jc w:val="center"/>
        </w:trPr>
        <w:tc>
          <w:tcPr>
            <w:tcW w:w="1083"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302"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股票代码</w:t>
            </w:r>
          </w:p>
        </w:tc>
        <w:tc>
          <w:tcPr>
            <w:tcW w:w="13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股票名称</w:t>
            </w:r>
          </w:p>
        </w:tc>
        <w:tc>
          <w:tcPr>
            <w:tcW w:w="1805" w:type="dxa"/>
            <w:vAlign w:val="center"/>
          </w:tcPr>
          <w:p w:rsidR="003E62FB" w:rsidRPr="005F1F22" w:rsidRDefault="003E62FB" w:rsidP="00C15CAC">
            <w:pPr>
              <w:spacing w:before="29" w:line="288" w:lineRule="auto"/>
              <w:ind w:left="17"/>
              <w:jc w:val="center"/>
              <w:rPr>
                <w:color w:val="000000"/>
                <w:sz w:val="24"/>
                <w:szCs w:val="24"/>
              </w:rPr>
            </w:pPr>
            <w:r w:rsidRPr="00414345">
              <w:rPr>
                <w:color w:val="000000"/>
                <w:sz w:val="24"/>
                <w:szCs w:val="24"/>
              </w:rPr>
              <w:t>流通受限部分的公允价值</w:t>
            </w:r>
          </w:p>
        </w:tc>
        <w:tc>
          <w:tcPr>
            <w:tcW w:w="1655"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5F1F22">
              <w:rPr>
                <w:color w:val="000000"/>
                <w:sz w:val="24"/>
                <w:szCs w:val="24"/>
              </w:rPr>
              <w:t>(%)</w:t>
            </w:r>
          </w:p>
        </w:tc>
        <w:tc>
          <w:tcPr>
            <w:tcW w:w="136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流通受限情况说明</w:t>
            </w:r>
          </w:p>
        </w:tc>
      </w:tr>
      <w:tr w:rsidR="00C92E6B">
        <w:trPr>
          <w:jc w:val="center"/>
        </w:trPr>
        <w:tc>
          <w:tcPr>
            <w:tcW w:w="1129" w:type="dxa"/>
            <w:vAlign w:val="center"/>
          </w:tcPr>
          <w:p w:rsidR="00C92E6B" w:rsidRDefault="005A7B4D">
            <w:pPr>
              <w:jc w:val="center"/>
            </w:pPr>
            <w:r>
              <w:rPr>
                <w:color w:val="000000"/>
                <w:sz w:val="24"/>
                <w:szCs w:val="24"/>
              </w:rPr>
              <w:t>1</w:t>
            </w:r>
          </w:p>
        </w:tc>
        <w:tc>
          <w:tcPr>
            <w:tcW w:w="1356" w:type="dxa"/>
            <w:vAlign w:val="center"/>
          </w:tcPr>
          <w:p w:rsidR="00C92E6B" w:rsidRDefault="005A7B4D">
            <w:pPr>
              <w:jc w:val="center"/>
            </w:pPr>
            <w:r>
              <w:rPr>
                <w:color w:val="000000"/>
                <w:sz w:val="24"/>
                <w:szCs w:val="24"/>
              </w:rPr>
              <w:t>002352</w:t>
            </w:r>
          </w:p>
        </w:tc>
        <w:tc>
          <w:tcPr>
            <w:tcW w:w="1355" w:type="dxa"/>
            <w:vAlign w:val="center"/>
          </w:tcPr>
          <w:p w:rsidR="00C92E6B" w:rsidRDefault="005A7B4D">
            <w:pPr>
              <w:jc w:val="center"/>
            </w:pPr>
            <w:r>
              <w:rPr>
                <w:color w:val="000000"/>
                <w:sz w:val="24"/>
                <w:szCs w:val="24"/>
              </w:rPr>
              <w:t>顺丰控股</w:t>
            </w:r>
          </w:p>
        </w:tc>
        <w:tc>
          <w:tcPr>
            <w:tcW w:w="1880" w:type="dxa"/>
            <w:vAlign w:val="center"/>
          </w:tcPr>
          <w:p w:rsidR="00C92E6B" w:rsidRDefault="005A7B4D">
            <w:pPr>
              <w:jc w:val="right"/>
            </w:pPr>
            <w:r>
              <w:rPr>
                <w:color w:val="000000"/>
                <w:sz w:val="24"/>
                <w:szCs w:val="24"/>
              </w:rPr>
              <w:t>26,073,000.00</w:t>
            </w:r>
          </w:p>
        </w:tc>
        <w:tc>
          <w:tcPr>
            <w:tcW w:w="1724" w:type="dxa"/>
            <w:vAlign w:val="center"/>
          </w:tcPr>
          <w:p w:rsidR="00C92E6B" w:rsidRDefault="005A7B4D">
            <w:pPr>
              <w:jc w:val="right"/>
            </w:pPr>
            <w:r>
              <w:rPr>
                <w:color w:val="000000"/>
                <w:sz w:val="24"/>
                <w:szCs w:val="24"/>
              </w:rPr>
              <w:t>0.92</w:t>
            </w:r>
          </w:p>
        </w:tc>
        <w:tc>
          <w:tcPr>
            <w:tcW w:w="1424" w:type="dxa"/>
            <w:vAlign w:val="center"/>
          </w:tcPr>
          <w:p w:rsidR="00C92E6B" w:rsidRDefault="005A7B4D">
            <w:pPr>
              <w:jc w:val="right"/>
            </w:pPr>
            <w:r>
              <w:rPr>
                <w:color w:val="000000"/>
                <w:sz w:val="24"/>
                <w:szCs w:val="24"/>
              </w:rPr>
              <w:t>限售股</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6B0D08" w:rsidRDefault="003259C8" w:rsidP="00C15CAC">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4061AC" w:rsidRPr="006B0D08">
        <w:rPr>
          <w:b/>
          <w:bCs/>
          <w:color w:val="000000"/>
          <w:kern w:val="0"/>
          <w:sz w:val="24"/>
          <w:szCs w:val="24"/>
        </w:rPr>
        <w:t>.</w:t>
      </w:r>
      <w:r w:rsidR="0059076B" w:rsidRPr="006B0D08">
        <w:rPr>
          <w:b/>
          <w:bCs/>
          <w:color w:val="000000"/>
          <w:kern w:val="0"/>
          <w:sz w:val="24"/>
          <w:szCs w:val="24"/>
        </w:rPr>
        <w:t>11.6</w:t>
      </w:r>
      <w:r w:rsidR="001675CD" w:rsidRPr="006B0D08">
        <w:rPr>
          <w:b/>
          <w:bCs/>
          <w:color w:val="000000"/>
          <w:kern w:val="0"/>
          <w:sz w:val="24"/>
          <w:szCs w:val="24"/>
        </w:rPr>
        <w:t>投资组合报告附注的其他文字描述部分</w:t>
      </w:r>
    </w:p>
    <w:p w:rsidR="006B2FF6" w:rsidRPr="00414345" w:rsidRDefault="004061AC" w:rsidP="00E40D31">
      <w:pPr>
        <w:spacing w:before="29" w:line="288" w:lineRule="auto"/>
        <w:rPr>
          <w:color w:val="000000"/>
          <w:sz w:val="24"/>
          <w:szCs w:val="24"/>
        </w:rPr>
      </w:pPr>
      <w:r w:rsidRPr="00414345">
        <w:rPr>
          <w:color w:val="000000"/>
          <w:sz w:val="24"/>
          <w:szCs w:val="24"/>
        </w:rPr>
        <w:t>由于四舍五入的原因，分项之和与合计项之间可能存在尾差。</w:t>
      </w:r>
    </w:p>
    <w:p w:rsidR="001F3E2A" w:rsidRPr="00414345" w:rsidRDefault="001F3E2A" w:rsidP="00C15CAC">
      <w:pPr>
        <w:spacing w:before="29" w:line="288" w:lineRule="auto"/>
        <w:ind w:firstLineChars="200" w:firstLine="480"/>
        <w:rPr>
          <w:color w:val="000000"/>
          <w:sz w:val="24"/>
          <w:szCs w:val="24"/>
        </w:rPr>
      </w:pPr>
    </w:p>
    <w:p w:rsidR="004061AC" w:rsidRPr="005A3D62" w:rsidRDefault="004061AC" w:rsidP="0011537B">
      <w:pPr>
        <w:pStyle w:val="1"/>
        <w:spacing w:beforeLines="100" w:before="312" w:afterLines="100" w:after="312" w:line="360" w:lineRule="auto"/>
        <w:jc w:val="center"/>
        <w:rPr>
          <w:rFonts w:eastAsiaTheme="minorEastAsia"/>
          <w:color w:val="000000" w:themeColor="text1"/>
          <w:kern w:val="0"/>
          <w:sz w:val="24"/>
          <w:szCs w:val="24"/>
        </w:rPr>
      </w:pPr>
      <w:r w:rsidRPr="005A3D62">
        <w:rPr>
          <w:rFonts w:eastAsiaTheme="minorEastAsia"/>
          <w:color w:val="000000" w:themeColor="text1"/>
          <w:kern w:val="0"/>
          <w:sz w:val="24"/>
          <w:szCs w:val="24"/>
        </w:rPr>
        <w:t>§</w:t>
      </w:r>
      <w:r w:rsidR="0072794E" w:rsidRPr="005A3D62">
        <w:rPr>
          <w:rFonts w:eastAsiaTheme="minorEastAsia"/>
          <w:color w:val="000000" w:themeColor="text1"/>
          <w:kern w:val="0"/>
          <w:sz w:val="24"/>
          <w:szCs w:val="24"/>
        </w:rPr>
        <w:t>6</w:t>
      </w:r>
      <w:r w:rsidRPr="005A3D62">
        <w:rPr>
          <w:rFonts w:eastAsiaTheme="minorEastAsia"/>
          <w:color w:val="000000" w:themeColor="text1"/>
          <w:kern w:val="0"/>
          <w:sz w:val="24"/>
          <w:szCs w:val="24"/>
        </w:rPr>
        <w:t xml:space="preserve">  </w:t>
      </w:r>
      <w:r w:rsidRPr="005A3D62">
        <w:rPr>
          <w:rFonts w:eastAsiaTheme="minorEastAsia"/>
          <w:color w:val="000000" w:themeColor="text1"/>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firstRow="0" w:lastRow="0" w:firstColumn="0" w:lastColumn="0" w:noHBand="0" w:noVBand="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lastRenderedPageBreak/>
              <w:t>报告期期</w:t>
            </w:r>
            <w:proofErr w:type="gramStart"/>
            <w:r w:rsidRPr="00414345">
              <w:rPr>
                <w:color w:val="000000"/>
                <w:kern w:val="0"/>
                <w:sz w:val="24"/>
                <w:szCs w:val="24"/>
              </w:rPr>
              <w:t>初基金</w:t>
            </w:r>
            <w:proofErr w:type="gramEnd"/>
            <w:r w:rsidRPr="00414345">
              <w:rPr>
                <w:color w:val="000000"/>
                <w:kern w:val="0"/>
                <w:sz w:val="24"/>
                <w:szCs w:val="24"/>
              </w:rPr>
              <w:t>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1,500,976,706.61</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344,414,808.68</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345,864,935.93</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35076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1,499,526,579.36</w:t>
            </w:r>
          </w:p>
        </w:tc>
      </w:tr>
    </w:tbl>
    <w:p w:rsidR="00C92E6B" w:rsidRDefault="005A7B4D">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、如果本报告期间发生转换入、红利再投业务，则总申购份额中包含该业务；</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、如果本报告期间发生转换出业务，则总赎回份额中包含该业务。</w:t>
      </w:r>
    </w:p>
    <w:p w:rsidR="00320E90" w:rsidRDefault="00320E90" w:rsidP="00C15CAC">
      <w:pPr>
        <w:autoSpaceDE w:val="0"/>
        <w:autoSpaceDN w:val="0"/>
        <w:adjustRightInd w:val="0"/>
        <w:spacing w:before="29" w:line="288" w:lineRule="auto"/>
        <w:jc w:val="left"/>
        <w:rPr>
          <w:color w:val="000000"/>
          <w:sz w:val="24"/>
          <w:szCs w:val="24"/>
        </w:rPr>
      </w:pPr>
    </w:p>
    <w:p w:rsidR="00ED2620" w:rsidRPr="00ED2620" w:rsidRDefault="000A2FC0" w:rsidP="0011537B">
      <w:pPr>
        <w:pStyle w:val="1"/>
        <w:tabs>
          <w:tab w:val="center" w:pos="4156"/>
          <w:tab w:val="right" w:pos="8312"/>
        </w:tabs>
        <w:spacing w:beforeLines="100" w:before="312" w:afterLines="100" w:after="312" w:line="288" w:lineRule="auto"/>
        <w:jc w:val="center"/>
        <w:rPr>
          <w:sz w:val="24"/>
          <w:szCs w:val="24"/>
        </w:rPr>
      </w:pPr>
      <w:r w:rsidRPr="00414345">
        <w:rPr>
          <w:color w:val="000000"/>
          <w:kern w:val="0"/>
          <w:sz w:val="24"/>
          <w:szCs w:val="24"/>
        </w:rPr>
        <w:t>§</w:t>
      </w:r>
      <w:r w:rsidR="00ED2620" w:rsidRPr="00ED2620">
        <w:rPr>
          <w:rFonts w:eastAsiaTheme="minorEastAsia"/>
          <w:color w:val="000000"/>
          <w:kern w:val="0"/>
          <w:sz w:val="24"/>
          <w:szCs w:val="24"/>
        </w:rPr>
        <w:t xml:space="preserve">7  </w:t>
      </w:r>
      <w:r w:rsidR="00ED2620" w:rsidRPr="00ED2620">
        <w:rPr>
          <w:sz w:val="24"/>
          <w:szCs w:val="24"/>
        </w:rPr>
        <w:t>基金管理人运用</w:t>
      </w:r>
      <w:proofErr w:type="gramStart"/>
      <w:r w:rsidR="00ED2620" w:rsidRPr="00ED2620">
        <w:rPr>
          <w:sz w:val="24"/>
          <w:szCs w:val="24"/>
        </w:rPr>
        <w:t>固有资金</w:t>
      </w:r>
      <w:proofErr w:type="gramEnd"/>
      <w:r w:rsidR="00ED2620" w:rsidRPr="00ED2620">
        <w:rPr>
          <w:sz w:val="24"/>
          <w:szCs w:val="24"/>
        </w:rPr>
        <w:t>投资本基金情况</w:t>
      </w:r>
    </w:p>
    <w:p w:rsidR="00ED2620" w:rsidRPr="00ED2620" w:rsidRDefault="00ED2620" w:rsidP="00C15CAC">
      <w:pPr>
        <w:spacing w:line="288" w:lineRule="auto"/>
        <w:jc w:val="left"/>
        <w:rPr>
          <w:sz w:val="24"/>
          <w:szCs w:val="24"/>
        </w:rPr>
      </w:pPr>
      <w:r w:rsidRPr="00ED2620">
        <w:rPr>
          <w:b/>
          <w:sz w:val="24"/>
        </w:rPr>
        <w:t xml:space="preserve">7.1 </w:t>
      </w:r>
      <w:r w:rsidRPr="00ED2620">
        <w:rPr>
          <w:b/>
          <w:sz w:val="24"/>
        </w:rPr>
        <w:t>基金管理人持有本基金份额变动情况</w:t>
      </w:r>
    </w:p>
    <w:p w:rsidR="00410630" w:rsidRDefault="00ED2620" w:rsidP="00C15CAC">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本报告期内未发生基金管理人运用</w:t>
      </w:r>
      <w:proofErr w:type="gramStart"/>
      <w:r w:rsidRPr="00ED2620">
        <w:rPr>
          <w:rFonts w:eastAsiaTheme="minorEastAsia"/>
          <w:color w:val="000000"/>
          <w:sz w:val="24"/>
        </w:rPr>
        <w:t>固有资金</w:t>
      </w:r>
      <w:proofErr w:type="gramEnd"/>
      <w:r w:rsidRPr="00ED2620">
        <w:rPr>
          <w:rFonts w:eastAsiaTheme="minorEastAsia"/>
          <w:color w:val="000000"/>
          <w:sz w:val="24"/>
        </w:rPr>
        <w:t>投资本基金的情况。</w:t>
      </w:r>
    </w:p>
    <w:p w:rsidR="00410630" w:rsidRDefault="00410630" w:rsidP="00C15CAC">
      <w:pPr>
        <w:autoSpaceDE w:val="0"/>
        <w:autoSpaceDN w:val="0"/>
        <w:adjustRightInd w:val="0"/>
        <w:spacing w:before="29" w:line="288" w:lineRule="auto"/>
        <w:jc w:val="left"/>
        <w:rPr>
          <w:rFonts w:eastAsiaTheme="minorEastAsia"/>
          <w:color w:val="000000"/>
          <w:sz w:val="24"/>
        </w:rPr>
      </w:pPr>
    </w:p>
    <w:p w:rsidR="00410630" w:rsidRPr="00BB5E0E" w:rsidRDefault="00410630" w:rsidP="00BB5E0E">
      <w:pPr>
        <w:spacing w:line="288" w:lineRule="auto"/>
        <w:jc w:val="left"/>
        <w:rPr>
          <w:b/>
          <w:sz w:val="24"/>
        </w:rPr>
      </w:pPr>
      <w:r w:rsidRPr="00410630">
        <w:rPr>
          <w:b/>
          <w:sz w:val="24"/>
        </w:rPr>
        <w:t>7.2</w:t>
      </w:r>
      <w:r w:rsidRPr="00410630">
        <w:rPr>
          <w:rFonts w:hint="eastAsia"/>
          <w:b/>
          <w:sz w:val="24"/>
        </w:rPr>
        <w:t>基金管理人运用</w:t>
      </w:r>
      <w:proofErr w:type="gramStart"/>
      <w:r w:rsidRPr="00410630">
        <w:rPr>
          <w:rFonts w:hint="eastAsia"/>
          <w:b/>
          <w:sz w:val="24"/>
        </w:rPr>
        <w:t>固有资金</w:t>
      </w:r>
      <w:proofErr w:type="gramEnd"/>
      <w:r w:rsidRPr="00410630">
        <w:rPr>
          <w:rFonts w:hint="eastAsia"/>
          <w:b/>
          <w:sz w:val="24"/>
        </w:rPr>
        <w:t>投资本基金交易明细</w:t>
      </w:r>
    </w:p>
    <w:p w:rsidR="00320300" w:rsidRPr="00414345" w:rsidRDefault="00320300" w:rsidP="00C15CAC">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R="00480B35" w:rsidRPr="00414345" w:rsidRDefault="00480B35" w:rsidP="00C15CAC">
      <w:pPr>
        <w:autoSpaceDE w:val="0"/>
        <w:autoSpaceDN w:val="0"/>
        <w:adjustRightInd w:val="0"/>
        <w:spacing w:before="29" w:line="288" w:lineRule="auto"/>
        <w:jc w:val="left"/>
        <w:rPr>
          <w:color w:val="000000"/>
          <w:sz w:val="24"/>
        </w:rPr>
      </w:pPr>
    </w:p>
    <w:p w:rsidR="003C50AD" w:rsidRPr="00220C32" w:rsidRDefault="003C50AD" w:rsidP="0011537B">
      <w:pPr>
        <w:pStyle w:val="1"/>
        <w:spacing w:beforeLines="100" w:before="312" w:afterLines="100" w:after="312" w:line="360" w:lineRule="auto"/>
        <w:jc w:val="center"/>
        <w:rPr>
          <w:rFonts w:asciiTheme="minorEastAsia" w:eastAsiaTheme="minorEastAsia" w:hAnsiTheme="minorEastAsia"/>
          <w:color w:val="000000" w:themeColor="text1"/>
          <w:kern w:val="0"/>
          <w:sz w:val="24"/>
          <w:szCs w:val="24"/>
        </w:rPr>
      </w:pPr>
      <w:r w:rsidRPr="00220C32">
        <w:rPr>
          <w:rFonts w:asciiTheme="minorEastAsia" w:eastAsiaTheme="minorEastAsia" w:hAnsiTheme="minorEastAsia" w:hint="eastAsia"/>
          <w:color w:val="000000" w:themeColor="text1"/>
          <w:kern w:val="0"/>
          <w:sz w:val="24"/>
          <w:szCs w:val="24"/>
        </w:rPr>
        <w:t>§8</w:t>
      </w:r>
      <w:r w:rsidRPr="00220C32">
        <w:rPr>
          <w:rFonts w:asciiTheme="minorEastAsia" w:eastAsiaTheme="minorEastAsia" w:hAnsiTheme="minorEastAsia"/>
          <w:color w:val="000000" w:themeColor="text1"/>
          <w:kern w:val="0"/>
          <w:sz w:val="24"/>
          <w:szCs w:val="24"/>
        </w:rPr>
        <w:t xml:space="preserve">  </w:t>
      </w:r>
      <w:r w:rsidRPr="00220C32">
        <w:rPr>
          <w:rFonts w:asciiTheme="minorEastAsia" w:eastAsiaTheme="minorEastAsia" w:hAnsiTheme="minorEastAsia" w:hint="eastAsia"/>
          <w:color w:val="000000" w:themeColor="text1"/>
          <w:kern w:val="0"/>
          <w:sz w:val="24"/>
          <w:szCs w:val="24"/>
        </w:rPr>
        <w:t>影响投资者决策的其他重要信息</w:t>
      </w:r>
    </w:p>
    <w:p w:rsidR="003C50AD" w:rsidRPr="009A5C99" w:rsidRDefault="003C50AD" w:rsidP="003C50AD">
      <w:pPr>
        <w:autoSpaceDE w:val="0"/>
        <w:autoSpaceDN w:val="0"/>
        <w:adjustRightInd w:val="0"/>
        <w:spacing w:line="360" w:lineRule="auto"/>
        <w:jc w:val="left"/>
        <w:rPr>
          <w:rFonts w:ascii="宋体" w:hAnsi="宋体"/>
          <w:b/>
          <w:bCs/>
          <w:color w:val="000000"/>
          <w:kern w:val="0"/>
          <w:sz w:val="24"/>
          <w:szCs w:val="24"/>
        </w:rPr>
      </w:pPr>
      <w:r w:rsidRPr="009A5C99">
        <w:rPr>
          <w:rFonts w:ascii="宋体" w:hAnsi="宋体"/>
          <w:b/>
          <w:bCs/>
          <w:color w:val="000000"/>
          <w:kern w:val="0"/>
          <w:sz w:val="24"/>
          <w:szCs w:val="24"/>
        </w:rPr>
        <w:t>8.</w:t>
      </w:r>
      <w:r w:rsidRPr="009A5C99">
        <w:rPr>
          <w:rFonts w:ascii="宋体" w:hAnsi="宋体" w:hint="eastAsia"/>
          <w:b/>
          <w:bCs/>
          <w:color w:val="000000"/>
          <w:kern w:val="0"/>
          <w:sz w:val="24"/>
          <w:szCs w:val="24"/>
        </w:rPr>
        <w:t>1 报告期内单一投资者持有基金份额比例达到或超过20%的情况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3C50AD" w:rsidRPr="004F4D27" w:rsidTr="00424D30">
        <w:tc>
          <w:tcPr>
            <w:tcW w:w="993" w:type="dxa"/>
            <w:vMerge w:val="restart"/>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投资者类别</w:t>
            </w:r>
            <w:r w:rsidRPr="004F4D27">
              <w:rPr>
                <w:rFonts w:ascii="宋体" w:hAnsi="宋体"/>
                <w:color w:val="000000"/>
                <w:kern w:val="0"/>
              </w:rPr>
              <w:t xml:space="preserve">  </w:t>
            </w:r>
          </w:p>
        </w:tc>
        <w:tc>
          <w:tcPr>
            <w:tcW w:w="5670" w:type="dxa"/>
            <w:gridSpan w:val="5"/>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报告期内持有基金份额变化情况</w:t>
            </w:r>
          </w:p>
        </w:tc>
        <w:tc>
          <w:tcPr>
            <w:tcW w:w="2549" w:type="dxa"/>
            <w:gridSpan w:val="2"/>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报告期末持有基金情况</w:t>
            </w:r>
          </w:p>
        </w:tc>
      </w:tr>
      <w:tr w:rsidR="003C50AD" w:rsidRPr="004F4D27" w:rsidTr="00424D30">
        <w:tc>
          <w:tcPr>
            <w:tcW w:w="993" w:type="dxa"/>
            <w:vMerge/>
            <w:vAlign w:val="center"/>
          </w:tcPr>
          <w:p w:rsidR="003C50AD" w:rsidRPr="004F4D27" w:rsidRDefault="003C50AD" w:rsidP="00424D30">
            <w:pPr>
              <w:autoSpaceDE w:val="0"/>
              <w:autoSpaceDN w:val="0"/>
              <w:adjustRightInd w:val="0"/>
              <w:jc w:val="center"/>
              <w:rPr>
                <w:rFonts w:ascii="宋体" w:hAnsi="宋体"/>
                <w:b/>
                <w:bCs/>
                <w:color w:val="000000"/>
                <w:kern w:val="0"/>
              </w:rPr>
            </w:pPr>
          </w:p>
        </w:tc>
        <w:tc>
          <w:tcPr>
            <w:tcW w:w="992" w:type="dxa"/>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序号</w:t>
            </w:r>
          </w:p>
        </w:tc>
        <w:tc>
          <w:tcPr>
            <w:tcW w:w="1843" w:type="dxa"/>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持有基金份额比例达到或者超过20%的时间区间</w:t>
            </w:r>
          </w:p>
        </w:tc>
        <w:tc>
          <w:tcPr>
            <w:tcW w:w="851" w:type="dxa"/>
            <w:vAlign w:val="center"/>
          </w:tcPr>
          <w:p w:rsidR="003C50AD" w:rsidRPr="004F4D27" w:rsidRDefault="003C50AD" w:rsidP="00424D30">
            <w:pPr>
              <w:widowControl/>
              <w:jc w:val="center"/>
              <w:rPr>
                <w:rFonts w:ascii="宋体" w:hAnsi="宋体"/>
                <w:b/>
                <w:bCs/>
                <w:color w:val="000000"/>
                <w:kern w:val="0"/>
              </w:rPr>
            </w:pPr>
            <w:r w:rsidRPr="004F4D27">
              <w:rPr>
                <w:rFonts w:ascii="宋体" w:hAnsi="宋体" w:hint="eastAsia"/>
                <w:color w:val="000000"/>
                <w:kern w:val="0"/>
              </w:rPr>
              <w:t>期初份额</w:t>
            </w:r>
          </w:p>
        </w:tc>
        <w:tc>
          <w:tcPr>
            <w:tcW w:w="850" w:type="dxa"/>
            <w:vAlign w:val="center"/>
          </w:tcPr>
          <w:p w:rsidR="003C50AD" w:rsidRPr="004F4D27" w:rsidRDefault="003C50AD" w:rsidP="00424D30">
            <w:pPr>
              <w:widowControl/>
              <w:jc w:val="center"/>
              <w:rPr>
                <w:rFonts w:ascii="宋体" w:hAnsi="宋体"/>
                <w:b/>
                <w:bCs/>
                <w:color w:val="000000"/>
                <w:kern w:val="0"/>
              </w:rPr>
            </w:pPr>
            <w:r w:rsidRPr="004F4D27">
              <w:rPr>
                <w:rFonts w:ascii="宋体" w:hAnsi="宋体" w:hint="eastAsia"/>
                <w:color w:val="000000"/>
                <w:kern w:val="0"/>
              </w:rPr>
              <w:t>申购份额</w:t>
            </w:r>
          </w:p>
        </w:tc>
        <w:tc>
          <w:tcPr>
            <w:tcW w:w="1134" w:type="dxa"/>
            <w:vAlign w:val="center"/>
          </w:tcPr>
          <w:p w:rsidR="003C50AD" w:rsidRPr="004F4D27" w:rsidRDefault="003C50AD" w:rsidP="00424D30">
            <w:pPr>
              <w:widowControl/>
              <w:jc w:val="center"/>
              <w:rPr>
                <w:rFonts w:ascii="宋体" w:hAnsi="宋体"/>
                <w:b/>
                <w:bCs/>
                <w:color w:val="000000"/>
                <w:kern w:val="0"/>
              </w:rPr>
            </w:pPr>
            <w:r w:rsidRPr="004F4D27">
              <w:rPr>
                <w:rFonts w:ascii="宋体" w:hAnsi="宋体" w:hint="eastAsia"/>
                <w:color w:val="000000"/>
                <w:kern w:val="0"/>
              </w:rPr>
              <w:t>赎回份额</w:t>
            </w:r>
          </w:p>
        </w:tc>
        <w:tc>
          <w:tcPr>
            <w:tcW w:w="1419" w:type="dxa"/>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持有份额</w:t>
            </w:r>
          </w:p>
        </w:tc>
        <w:tc>
          <w:tcPr>
            <w:tcW w:w="1130" w:type="dxa"/>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份额占比</w:t>
            </w:r>
          </w:p>
        </w:tc>
      </w:tr>
      <w:tr w:rsidR="00C92E6B">
        <w:tc>
          <w:tcPr>
            <w:tcW w:w="993" w:type="dxa"/>
            <w:vMerge w:val="restart"/>
          </w:tcPr>
          <w:p w:rsidR="00C92E6B" w:rsidRDefault="00C92E6B"/>
          <w:p w:rsidR="00C92E6B" w:rsidRDefault="005A7B4D">
            <w:r>
              <w:rPr>
                <w:rFonts w:ascii="宋体" w:hAnsi="宋体" w:hint="eastAsia"/>
                <w:bCs/>
                <w:color w:val="000000"/>
                <w:kern w:val="0"/>
              </w:rPr>
              <w:t>机构</w:t>
            </w:r>
          </w:p>
        </w:tc>
        <w:tc>
          <w:tcPr>
            <w:tcW w:w="992" w:type="dxa"/>
            <w:vAlign w:val="center"/>
          </w:tcPr>
          <w:p w:rsidR="00C92E6B" w:rsidRDefault="005A7B4D">
            <w:pPr>
              <w:jc w:val="center"/>
            </w:pPr>
            <w:r>
              <w:rPr>
                <w:rFonts w:ascii="宋体" w:hAnsi="宋体"/>
                <w:color w:val="000000"/>
                <w:kern w:val="0"/>
              </w:rPr>
              <w:t>1</w:t>
            </w:r>
          </w:p>
        </w:tc>
        <w:tc>
          <w:tcPr>
            <w:tcW w:w="1843" w:type="dxa"/>
            <w:vAlign w:val="center"/>
          </w:tcPr>
          <w:p w:rsidR="00C92E6B" w:rsidRDefault="005A7B4D">
            <w:pPr>
              <w:jc w:val="center"/>
            </w:pPr>
            <w:r>
              <w:rPr>
                <w:rFonts w:ascii="宋体" w:hAnsi="宋体"/>
                <w:color w:val="000000"/>
                <w:kern w:val="0"/>
              </w:rPr>
              <w:t>2020/10/1-2020/12/31</w:t>
            </w:r>
          </w:p>
        </w:tc>
        <w:tc>
          <w:tcPr>
            <w:tcW w:w="851" w:type="dxa"/>
            <w:vAlign w:val="center"/>
          </w:tcPr>
          <w:p w:rsidR="00C92E6B" w:rsidRDefault="005A7B4D">
            <w:pPr>
              <w:jc w:val="center"/>
            </w:pPr>
            <w:r>
              <w:rPr>
                <w:rFonts w:ascii="宋体" w:hAnsi="宋体"/>
                <w:color w:val="000000"/>
                <w:kern w:val="0"/>
              </w:rPr>
              <w:t>433,301,255.01</w:t>
            </w:r>
          </w:p>
        </w:tc>
        <w:tc>
          <w:tcPr>
            <w:tcW w:w="850" w:type="dxa"/>
            <w:vAlign w:val="center"/>
          </w:tcPr>
          <w:p w:rsidR="00C92E6B" w:rsidRDefault="005A7B4D">
            <w:pPr>
              <w:jc w:val="center"/>
            </w:pPr>
            <w:r>
              <w:rPr>
                <w:rFonts w:ascii="宋体" w:hAnsi="宋体"/>
                <w:color w:val="000000"/>
                <w:kern w:val="0"/>
              </w:rPr>
              <w:t>-</w:t>
            </w:r>
          </w:p>
        </w:tc>
        <w:tc>
          <w:tcPr>
            <w:tcW w:w="1134" w:type="dxa"/>
            <w:vAlign w:val="center"/>
          </w:tcPr>
          <w:p w:rsidR="00C92E6B" w:rsidRDefault="005A7B4D">
            <w:pPr>
              <w:jc w:val="center"/>
            </w:pPr>
            <w:r>
              <w:rPr>
                <w:rFonts w:ascii="宋体" w:hAnsi="宋体"/>
                <w:color w:val="000000"/>
                <w:kern w:val="0"/>
              </w:rPr>
              <w:t>140,000,000.00</w:t>
            </w:r>
          </w:p>
        </w:tc>
        <w:tc>
          <w:tcPr>
            <w:tcW w:w="1419" w:type="dxa"/>
            <w:vAlign w:val="center"/>
          </w:tcPr>
          <w:p w:rsidR="00C92E6B" w:rsidRDefault="005A7B4D">
            <w:pPr>
              <w:jc w:val="center"/>
            </w:pPr>
            <w:r>
              <w:rPr>
                <w:rFonts w:ascii="宋体" w:hAnsi="宋体"/>
                <w:color w:val="000000"/>
                <w:kern w:val="0"/>
              </w:rPr>
              <w:t>293,301,255.01</w:t>
            </w:r>
          </w:p>
        </w:tc>
        <w:tc>
          <w:tcPr>
            <w:tcW w:w="1130" w:type="dxa"/>
            <w:vAlign w:val="center"/>
          </w:tcPr>
          <w:p w:rsidR="00C92E6B" w:rsidRDefault="005A7B4D">
            <w:pPr>
              <w:jc w:val="center"/>
            </w:pPr>
            <w:r>
              <w:rPr>
                <w:rFonts w:ascii="宋体" w:hAnsi="宋体"/>
                <w:color w:val="000000"/>
                <w:kern w:val="0"/>
              </w:rPr>
              <w:t>19.56%</w:t>
            </w:r>
          </w:p>
        </w:tc>
      </w:tr>
      <w:tr w:rsidR="003C50AD" w:rsidRPr="004F4D27" w:rsidTr="00424D30">
        <w:tc>
          <w:tcPr>
            <w:tcW w:w="9212" w:type="dxa"/>
            <w:gridSpan w:val="8"/>
            <w:vAlign w:val="center"/>
          </w:tcPr>
          <w:p w:rsidR="003C50AD" w:rsidRPr="004F4D27" w:rsidRDefault="003C50AD" w:rsidP="00424D30">
            <w:pPr>
              <w:autoSpaceDE w:val="0"/>
              <w:autoSpaceDN w:val="0"/>
              <w:adjustRightInd w:val="0"/>
              <w:jc w:val="center"/>
              <w:rPr>
                <w:rFonts w:ascii="宋体" w:hAnsi="宋体"/>
                <w:kern w:val="0"/>
              </w:rPr>
            </w:pPr>
            <w:r w:rsidRPr="004F4D27">
              <w:rPr>
                <w:rFonts w:ascii="宋体" w:hAnsi="宋体"/>
                <w:color w:val="000000"/>
                <w:kern w:val="0"/>
              </w:rPr>
              <w:t>产品特有风险</w:t>
            </w:r>
          </w:p>
        </w:tc>
      </w:tr>
      <w:tr w:rsidR="003C50AD" w:rsidRPr="004F4D27" w:rsidTr="00424D30">
        <w:tc>
          <w:tcPr>
            <w:tcW w:w="9212" w:type="dxa"/>
            <w:gridSpan w:val="8"/>
            <w:vAlign w:val="center"/>
          </w:tcPr>
          <w:p w:rsidR="003C50AD" w:rsidRPr="004F4D27" w:rsidRDefault="003C50AD" w:rsidP="00424D30">
            <w:pPr>
              <w:autoSpaceDE w:val="0"/>
              <w:autoSpaceDN w:val="0"/>
              <w:adjustRightInd w:val="0"/>
              <w:jc w:val="left"/>
              <w:rPr>
                <w:rFonts w:ascii="宋体" w:hAnsi="宋体"/>
                <w:kern w:val="0"/>
              </w:rPr>
            </w:pPr>
            <w:r w:rsidRPr="004F4D27">
              <w:rPr>
                <w:rFonts w:ascii="宋体" w:hAnsi="宋体" w:hint="eastAsia"/>
                <w:kern w:val="0"/>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CD3555" w:rsidRDefault="00CD3555" w:rsidP="003C50AD">
      <w:pPr>
        <w:autoSpaceDE w:val="0"/>
        <w:autoSpaceDN w:val="0"/>
        <w:adjustRightInd w:val="0"/>
        <w:spacing w:line="360" w:lineRule="auto"/>
        <w:jc w:val="left"/>
        <w:rPr>
          <w:rFonts w:ascii="宋体" w:hAnsi="宋体"/>
          <w:b/>
          <w:bCs/>
          <w:color w:val="000000"/>
          <w:kern w:val="0"/>
          <w:sz w:val="24"/>
          <w:szCs w:val="24"/>
        </w:rPr>
      </w:pPr>
    </w:p>
    <w:p w:rsidR="003C50AD" w:rsidRPr="009A5C99" w:rsidRDefault="003C50AD" w:rsidP="003C50AD">
      <w:pPr>
        <w:autoSpaceDE w:val="0"/>
        <w:autoSpaceDN w:val="0"/>
        <w:adjustRightInd w:val="0"/>
        <w:spacing w:line="360" w:lineRule="auto"/>
        <w:jc w:val="left"/>
        <w:rPr>
          <w:rFonts w:ascii="宋体" w:hAnsi="宋体"/>
          <w:b/>
          <w:bCs/>
          <w:color w:val="000000"/>
          <w:kern w:val="0"/>
          <w:sz w:val="24"/>
          <w:szCs w:val="24"/>
        </w:rPr>
      </w:pPr>
      <w:r w:rsidRPr="009A5C99">
        <w:rPr>
          <w:rFonts w:ascii="宋体" w:hAnsi="宋体" w:hint="eastAsia"/>
          <w:b/>
          <w:bCs/>
          <w:color w:val="000000"/>
          <w:kern w:val="0"/>
          <w:sz w:val="24"/>
          <w:szCs w:val="24"/>
        </w:rPr>
        <w:t>8.2 影响投资者决策的其他重要信息</w:t>
      </w:r>
    </w:p>
    <w:p w:rsidR="003C50AD" w:rsidRPr="00CD3555" w:rsidRDefault="003C50AD" w:rsidP="003C50AD">
      <w:pPr>
        <w:spacing w:line="360" w:lineRule="auto"/>
        <w:ind w:firstLineChars="200" w:firstLine="480"/>
        <w:rPr>
          <w:rFonts w:ascii="宋体" w:hAnsi="宋体"/>
          <w:color w:val="000000"/>
          <w:sz w:val="24"/>
          <w:szCs w:val="24"/>
        </w:rPr>
      </w:pPr>
      <w:r w:rsidRPr="00CD3555">
        <w:rPr>
          <w:rFonts w:ascii="宋体" w:hAnsi="宋体"/>
          <w:color w:val="000000"/>
          <w:sz w:val="24"/>
          <w:szCs w:val="24"/>
        </w:rPr>
        <w:t>根据《中华人民共和国证券投资基金法》、《公开募集证券投资基金运作管理办法》、《存托凭证发行</w:t>
      </w:r>
      <w:bookmarkStart w:id="0" w:name="_GoBack"/>
      <w:bookmarkEnd w:id="0"/>
      <w:r w:rsidRPr="00CD3555">
        <w:rPr>
          <w:rFonts w:ascii="宋体" w:hAnsi="宋体"/>
          <w:color w:val="000000"/>
          <w:sz w:val="24"/>
          <w:szCs w:val="24"/>
        </w:rPr>
        <w:t>与交易管理办法（试行）》等法律法规及本</w:t>
      </w:r>
      <w:proofErr w:type="gramStart"/>
      <w:r w:rsidRPr="00CD3555">
        <w:rPr>
          <w:rFonts w:ascii="宋体" w:hAnsi="宋体"/>
          <w:color w:val="000000"/>
          <w:sz w:val="24"/>
          <w:szCs w:val="24"/>
        </w:rPr>
        <w:t>基金基金</w:t>
      </w:r>
      <w:proofErr w:type="gramEnd"/>
      <w:r w:rsidRPr="00CD3555">
        <w:rPr>
          <w:rFonts w:ascii="宋体" w:hAnsi="宋体"/>
          <w:color w:val="000000"/>
          <w:sz w:val="24"/>
          <w:szCs w:val="24"/>
        </w:rPr>
        <w:t>合同、招募说明书</w:t>
      </w:r>
      <w:r w:rsidRPr="00CD3555">
        <w:rPr>
          <w:rFonts w:ascii="宋体" w:hAnsi="宋体"/>
          <w:color w:val="000000"/>
          <w:sz w:val="24"/>
          <w:szCs w:val="24"/>
        </w:rPr>
        <w:lastRenderedPageBreak/>
        <w:t>及其更新等规定，经与基金托管人协商一致，本基金管理人对本基金参与存托凭证投资修订了基金合同等法律文件，欲知详情请查阅本基金管理人发布的最新法律文件。</w:t>
      </w:r>
    </w:p>
    <w:p w:rsidR="00ED6E80" w:rsidRPr="00414345" w:rsidRDefault="00ED6E80" w:rsidP="00C15CAC">
      <w:pPr>
        <w:spacing w:before="29" w:line="288" w:lineRule="auto"/>
        <w:ind w:firstLineChars="200" w:firstLine="480"/>
        <w:rPr>
          <w:color w:val="000000"/>
          <w:sz w:val="24"/>
          <w:szCs w:val="24"/>
        </w:rPr>
      </w:pPr>
    </w:p>
    <w:p w:rsidR="00B22DEE" w:rsidRPr="00E02660"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9</w:t>
      </w:r>
      <w:r w:rsidR="00834E74">
        <w:rPr>
          <w:color w:val="000000"/>
          <w:kern w:val="0"/>
          <w:sz w:val="24"/>
          <w:szCs w:val="24"/>
        </w:rPr>
        <w:t xml:space="preserve">  </w:t>
      </w:r>
      <w:r w:rsidRPr="00414345">
        <w:rPr>
          <w:color w:val="000000"/>
          <w:kern w:val="0"/>
          <w:sz w:val="24"/>
          <w:szCs w:val="24"/>
        </w:rPr>
        <w:t>备查文件目录</w:t>
      </w: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1</w:t>
      </w:r>
      <w:r w:rsidR="004061AC" w:rsidRPr="00414345">
        <w:rPr>
          <w:b/>
          <w:bCs/>
          <w:color w:val="000000"/>
          <w:kern w:val="0"/>
          <w:sz w:val="24"/>
          <w:szCs w:val="24"/>
        </w:rPr>
        <w:t>备查文件目录</w:t>
      </w:r>
    </w:p>
    <w:p w:rsidR="00C92E6B" w:rsidRDefault="005A7B4D">
      <w:pPr>
        <w:spacing w:before="29" w:line="288" w:lineRule="auto"/>
        <w:ind w:firstLineChars="200" w:firstLine="480"/>
        <w:rPr>
          <w:color w:val="000000"/>
          <w:sz w:val="24"/>
          <w:szCs w:val="24"/>
        </w:rPr>
      </w:pPr>
      <w:r>
        <w:rPr>
          <w:color w:val="000000"/>
          <w:sz w:val="24"/>
          <w:szCs w:val="24"/>
        </w:rPr>
        <w:t>1</w:t>
      </w:r>
      <w:r>
        <w:rPr>
          <w:color w:val="000000"/>
          <w:sz w:val="24"/>
          <w:szCs w:val="24"/>
        </w:rPr>
        <w:t>、中国证监会准予交银施罗德持续成长主题混合型证券投资基金募集注册的文件；</w:t>
      </w:r>
      <w:r>
        <w:rPr>
          <w:color w:val="000000"/>
          <w:sz w:val="24"/>
          <w:szCs w:val="24"/>
        </w:rPr>
        <w:t xml:space="preserve"> </w:t>
      </w:r>
    </w:p>
    <w:p w:rsidR="00C92E6B" w:rsidRDefault="005A7B4D">
      <w:pPr>
        <w:spacing w:before="29" w:line="288" w:lineRule="auto"/>
        <w:ind w:firstLineChars="200" w:firstLine="480"/>
        <w:rPr>
          <w:color w:val="000000"/>
          <w:sz w:val="24"/>
          <w:szCs w:val="24"/>
        </w:rPr>
      </w:pPr>
      <w:r>
        <w:rPr>
          <w:color w:val="000000"/>
          <w:sz w:val="24"/>
          <w:szCs w:val="24"/>
        </w:rPr>
        <w:t>2</w:t>
      </w:r>
      <w:r>
        <w:rPr>
          <w:color w:val="000000"/>
          <w:sz w:val="24"/>
          <w:szCs w:val="24"/>
        </w:rPr>
        <w:t>、《交银施罗德持续成长主题混合型证券投资基金基金合同》；</w:t>
      </w:r>
      <w:r>
        <w:rPr>
          <w:color w:val="000000"/>
          <w:sz w:val="24"/>
          <w:szCs w:val="24"/>
        </w:rPr>
        <w:t xml:space="preserve"> </w:t>
      </w:r>
    </w:p>
    <w:p w:rsidR="00C92E6B" w:rsidRDefault="005A7B4D">
      <w:pPr>
        <w:spacing w:before="29" w:line="288" w:lineRule="auto"/>
        <w:ind w:firstLineChars="200" w:firstLine="480"/>
        <w:rPr>
          <w:color w:val="000000"/>
          <w:sz w:val="24"/>
          <w:szCs w:val="24"/>
        </w:rPr>
      </w:pPr>
      <w:r>
        <w:rPr>
          <w:color w:val="000000"/>
          <w:sz w:val="24"/>
          <w:szCs w:val="24"/>
        </w:rPr>
        <w:t>3</w:t>
      </w:r>
      <w:r>
        <w:rPr>
          <w:color w:val="000000"/>
          <w:sz w:val="24"/>
          <w:szCs w:val="24"/>
        </w:rPr>
        <w:t>、《交银施罗德持续成长主题混合型证券投资基金招募说明书》；</w:t>
      </w:r>
      <w:r>
        <w:rPr>
          <w:color w:val="000000"/>
          <w:sz w:val="24"/>
          <w:szCs w:val="24"/>
        </w:rPr>
        <w:t xml:space="preserve"> </w:t>
      </w:r>
    </w:p>
    <w:p w:rsidR="00C92E6B" w:rsidRDefault="005A7B4D">
      <w:pPr>
        <w:spacing w:before="29" w:line="288" w:lineRule="auto"/>
        <w:ind w:firstLineChars="200" w:firstLine="480"/>
        <w:rPr>
          <w:color w:val="000000"/>
          <w:sz w:val="24"/>
          <w:szCs w:val="24"/>
        </w:rPr>
      </w:pPr>
      <w:r>
        <w:rPr>
          <w:color w:val="000000"/>
          <w:sz w:val="24"/>
          <w:szCs w:val="24"/>
        </w:rPr>
        <w:t>4</w:t>
      </w:r>
      <w:r>
        <w:rPr>
          <w:color w:val="000000"/>
          <w:sz w:val="24"/>
          <w:szCs w:val="24"/>
        </w:rPr>
        <w:t>、《交银施罗德持续成长主题混合型证券投资基金托管协议》；</w:t>
      </w:r>
      <w:r>
        <w:rPr>
          <w:color w:val="000000"/>
          <w:sz w:val="24"/>
          <w:szCs w:val="24"/>
        </w:rPr>
        <w:t xml:space="preserve"> </w:t>
      </w:r>
    </w:p>
    <w:p w:rsidR="00C92E6B" w:rsidRDefault="005A7B4D">
      <w:pPr>
        <w:spacing w:before="29" w:line="288" w:lineRule="auto"/>
        <w:ind w:firstLineChars="200" w:firstLine="480"/>
        <w:rPr>
          <w:color w:val="000000"/>
          <w:sz w:val="24"/>
          <w:szCs w:val="24"/>
        </w:rPr>
      </w:pPr>
      <w:r>
        <w:rPr>
          <w:color w:val="000000"/>
          <w:sz w:val="24"/>
          <w:szCs w:val="24"/>
        </w:rPr>
        <w:t>5</w:t>
      </w:r>
      <w:r>
        <w:rPr>
          <w:color w:val="000000"/>
          <w:sz w:val="24"/>
          <w:szCs w:val="24"/>
        </w:rPr>
        <w:t>、关于申请募集注册交银施罗德持续成长主题混合型证券投资基金的法律意见书；</w:t>
      </w:r>
      <w:r>
        <w:rPr>
          <w:color w:val="000000"/>
          <w:sz w:val="24"/>
          <w:szCs w:val="24"/>
        </w:rPr>
        <w:t xml:space="preserve"> </w:t>
      </w:r>
    </w:p>
    <w:p w:rsidR="00C92E6B" w:rsidRDefault="005A7B4D">
      <w:pPr>
        <w:spacing w:before="29" w:line="288" w:lineRule="auto"/>
        <w:ind w:firstLineChars="200" w:firstLine="480"/>
        <w:rPr>
          <w:color w:val="000000"/>
          <w:sz w:val="24"/>
          <w:szCs w:val="24"/>
        </w:rPr>
      </w:pPr>
      <w:r>
        <w:rPr>
          <w:color w:val="000000"/>
          <w:sz w:val="24"/>
          <w:szCs w:val="24"/>
        </w:rPr>
        <w:t>6</w:t>
      </w:r>
      <w:r>
        <w:rPr>
          <w:color w:val="000000"/>
          <w:sz w:val="24"/>
          <w:szCs w:val="24"/>
        </w:rPr>
        <w:t>、基金管理人业务资格批件、营业执照；</w:t>
      </w:r>
      <w:r>
        <w:rPr>
          <w:color w:val="000000"/>
          <w:sz w:val="24"/>
          <w:szCs w:val="24"/>
        </w:rPr>
        <w:t xml:space="preserve"> </w:t>
      </w:r>
    </w:p>
    <w:p w:rsidR="00C92E6B" w:rsidRDefault="005A7B4D">
      <w:pPr>
        <w:spacing w:before="29" w:line="288" w:lineRule="auto"/>
        <w:ind w:firstLineChars="200" w:firstLine="480"/>
        <w:rPr>
          <w:color w:val="000000"/>
          <w:sz w:val="24"/>
          <w:szCs w:val="24"/>
        </w:rPr>
      </w:pPr>
      <w:r>
        <w:rPr>
          <w:color w:val="000000"/>
          <w:sz w:val="24"/>
          <w:szCs w:val="24"/>
        </w:rPr>
        <w:t>7</w:t>
      </w:r>
      <w:r>
        <w:rPr>
          <w:color w:val="000000"/>
          <w:sz w:val="24"/>
          <w:szCs w:val="24"/>
        </w:rPr>
        <w:t>、基金托管人业务资格批件、营业执照；</w:t>
      </w:r>
      <w:r>
        <w:rPr>
          <w:color w:val="000000"/>
          <w:sz w:val="24"/>
          <w:szCs w:val="24"/>
        </w:rPr>
        <w:t xml:space="preserve"> </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8</w:t>
      </w:r>
      <w:r w:rsidRPr="00414345">
        <w:rPr>
          <w:color w:val="000000"/>
          <w:sz w:val="24"/>
          <w:szCs w:val="24"/>
        </w:rPr>
        <w:t>、报告期内交银施罗德持续成长主题混合型证券投资基金在指定报刊上各项公告的原稿。</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2</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3</w:t>
      </w:r>
      <w:r w:rsidR="004061AC" w:rsidRPr="00414345">
        <w:rPr>
          <w:b/>
          <w:bCs/>
          <w:color w:val="000000"/>
          <w:kern w:val="0"/>
          <w:sz w:val="24"/>
          <w:szCs w:val="24"/>
        </w:rPr>
        <w:t>查阅方式</w:t>
      </w:r>
    </w:p>
    <w:p w:rsidR="00C92E6B" w:rsidRDefault="005A7B4D">
      <w:pPr>
        <w:spacing w:before="29" w:line="288" w:lineRule="auto"/>
        <w:ind w:firstLineChars="200" w:firstLine="480"/>
        <w:rPr>
          <w:color w:val="000000"/>
          <w:sz w:val="24"/>
          <w:szCs w:val="24"/>
        </w:rPr>
      </w:pPr>
      <w:r>
        <w:rPr>
          <w:color w:val="000000"/>
          <w:sz w:val="24"/>
          <w:szCs w:val="24"/>
        </w:rPr>
        <w:t>投资者可在办公时间内至基金管理人的办公场所免费查阅备查文件，或者登录基金管理人的网站</w:t>
      </w:r>
      <w:r>
        <w:rPr>
          <w:color w:val="000000"/>
          <w:sz w:val="24"/>
          <w:szCs w:val="24"/>
        </w:rPr>
        <w:t>(www.fund001.com)</w:t>
      </w:r>
      <w:r>
        <w:rPr>
          <w:color w:val="000000"/>
          <w:sz w:val="24"/>
          <w:szCs w:val="24"/>
        </w:rPr>
        <w:t>查阅。在支付工本费后，投资者可在合理时间内取得上述文件的复制件或复印件。</w:t>
      </w:r>
      <w:r>
        <w:rPr>
          <w:color w:val="000000"/>
          <w:sz w:val="24"/>
          <w:szCs w:val="24"/>
        </w:rPr>
        <w:t xml:space="preserve"> </w:t>
      </w:r>
    </w:p>
    <w:p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t>投资者对本报告书如有疑问，可咨询本基金管理人交银施罗德基金管理有限公司。本公司客户服务中心电话：</w:t>
      </w:r>
      <w:r w:rsidRPr="00414345">
        <w:rPr>
          <w:color w:val="000000"/>
          <w:sz w:val="24"/>
          <w:szCs w:val="24"/>
        </w:rPr>
        <w:t>400-700-5000</w:t>
      </w:r>
      <w:r w:rsidRPr="00414345">
        <w:rPr>
          <w:color w:val="000000"/>
          <w:sz w:val="24"/>
          <w:szCs w:val="24"/>
        </w:rPr>
        <w:t>（免长途话费），</w:t>
      </w:r>
      <w:r w:rsidRPr="00414345">
        <w:rPr>
          <w:color w:val="000000"/>
          <w:sz w:val="24"/>
          <w:szCs w:val="24"/>
        </w:rPr>
        <w:t>021-61055000</w:t>
      </w:r>
      <w:r w:rsidRPr="00414345">
        <w:rPr>
          <w:color w:val="000000"/>
          <w:sz w:val="24"/>
          <w:szCs w:val="24"/>
        </w:rPr>
        <w:t>，电子邮件：</w:t>
      </w:r>
      <w:r w:rsidRPr="00414345">
        <w:rPr>
          <w:color w:val="000000"/>
          <w:sz w:val="24"/>
          <w:szCs w:val="24"/>
        </w:rPr>
        <w:t>services@jysld.com</w:t>
      </w:r>
      <w:r w:rsidRPr="00414345">
        <w:rPr>
          <w:color w:val="000000"/>
          <w:sz w:val="24"/>
          <w:szCs w:val="24"/>
        </w:rPr>
        <w:t>。</w:t>
      </w:r>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A7B4D" w:rsidRDefault="005A7B4D" w:rsidP="00876D65">
      <w:r>
        <w:separator/>
      </w:r>
    </w:p>
  </w:endnote>
  <w:endnote w:type="continuationSeparator" w:id="0">
    <w:p w:rsidR="005A7B4D" w:rsidRDefault="005A7B4D"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FangSong">
    <w:altName w:val="黑体"/>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393A" w:rsidRDefault="00D9393A">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340C" w:rsidRPr="001D0DB0" w:rsidRDefault="004D340C" w:rsidP="004D340C">
    <w:pPr>
      <w:pStyle w:val="a8"/>
      <w:jc w:val="center"/>
    </w:pPr>
    <w:r>
      <w:rPr>
        <w:rFonts w:hint="eastAsia"/>
        <w:kern w:val="0"/>
        <w:szCs w:val="21"/>
      </w:rPr>
      <w:t>第</w:t>
    </w:r>
    <w:r w:rsidR="00381EE8">
      <w:rPr>
        <w:kern w:val="0"/>
        <w:szCs w:val="21"/>
      </w:rPr>
      <w:fldChar w:fldCharType="begin"/>
    </w:r>
    <w:r>
      <w:rPr>
        <w:kern w:val="0"/>
        <w:szCs w:val="21"/>
      </w:rPr>
      <w:instrText xml:space="preserve"> PAGE </w:instrText>
    </w:r>
    <w:r w:rsidR="00381EE8">
      <w:rPr>
        <w:kern w:val="0"/>
        <w:szCs w:val="21"/>
      </w:rPr>
      <w:fldChar w:fldCharType="separate"/>
    </w:r>
    <w:r w:rsidR="00AA3969">
      <w:rPr>
        <w:noProof/>
        <w:kern w:val="0"/>
        <w:szCs w:val="21"/>
      </w:rPr>
      <w:t>17</w:t>
    </w:r>
    <w:r w:rsidR="00381EE8">
      <w:rPr>
        <w:kern w:val="0"/>
        <w:szCs w:val="21"/>
      </w:rPr>
      <w:fldChar w:fldCharType="end"/>
    </w:r>
    <w:proofErr w:type="gramStart"/>
    <w:r>
      <w:rPr>
        <w:rFonts w:hint="eastAsia"/>
        <w:kern w:val="0"/>
        <w:szCs w:val="21"/>
      </w:rPr>
      <w:t>页共</w:t>
    </w:r>
    <w:proofErr w:type="gramEnd"/>
    <w:r w:rsidR="00381EE8">
      <w:rPr>
        <w:kern w:val="0"/>
        <w:szCs w:val="21"/>
      </w:rPr>
      <w:fldChar w:fldCharType="begin"/>
    </w:r>
    <w:r>
      <w:rPr>
        <w:kern w:val="0"/>
        <w:szCs w:val="21"/>
      </w:rPr>
      <w:instrText xml:space="preserve"> NUMPAGES </w:instrText>
    </w:r>
    <w:r w:rsidR="00381EE8">
      <w:rPr>
        <w:kern w:val="0"/>
        <w:szCs w:val="21"/>
      </w:rPr>
      <w:fldChar w:fldCharType="separate"/>
    </w:r>
    <w:r w:rsidR="00AA3969">
      <w:rPr>
        <w:noProof/>
        <w:kern w:val="0"/>
        <w:szCs w:val="21"/>
      </w:rPr>
      <w:t>24</w:t>
    </w:r>
    <w:r w:rsidR="00381EE8">
      <w:rPr>
        <w:kern w:val="0"/>
        <w:szCs w:val="21"/>
      </w:rPr>
      <w:fldChar w:fldCharType="end"/>
    </w:r>
    <w:r>
      <w:rPr>
        <w:rFonts w:hint="eastAsia"/>
        <w:kern w:val="0"/>
        <w:szCs w:val="21"/>
      </w:rPr>
      <w:t>页</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393A" w:rsidRDefault="00D9393A">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A7B4D" w:rsidRDefault="005A7B4D" w:rsidP="00876D65">
      <w:r>
        <w:separator/>
      </w:r>
    </w:p>
  </w:footnote>
  <w:footnote w:type="continuationSeparator" w:id="0">
    <w:p w:rsidR="005A7B4D" w:rsidRDefault="005A7B4D" w:rsidP="00876D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393A" w:rsidRDefault="00D9393A">
    <w:pPr>
      <w:pStyle w:val="a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1EF0" w:rsidRPr="00DC456F" w:rsidRDefault="00DC456F" w:rsidP="00090A26">
    <w:pPr>
      <w:pStyle w:val="ac"/>
      <w:pBdr>
        <w:bottom w:val="single" w:sz="6" w:space="0" w:color="auto"/>
      </w:pBdr>
      <w:jc w:val="right"/>
      <w:rPr>
        <w:sz w:val="24"/>
        <w:szCs w:val="24"/>
      </w:rPr>
    </w:pPr>
    <w:r w:rsidRPr="003E676C">
      <w:rPr>
        <w:sz w:val="24"/>
        <w:szCs w:val="24"/>
      </w:rPr>
      <w:t>交银施罗德持续成长主题混合型证券投资基金</w:t>
    </w:r>
    <w:r w:rsidRPr="003E676C">
      <w:rPr>
        <w:sz w:val="24"/>
        <w:szCs w:val="24"/>
      </w:rPr>
      <w:t>2020</w:t>
    </w:r>
    <w:r w:rsidRPr="003E676C">
      <w:rPr>
        <w:sz w:val="24"/>
        <w:szCs w:val="24"/>
      </w:rPr>
      <w:t>年第</w:t>
    </w:r>
    <w:r w:rsidRPr="003E676C">
      <w:rPr>
        <w:sz w:val="24"/>
        <w:szCs w:val="24"/>
      </w:rPr>
      <w:t>4</w:t>
    </w:r>
    <w:r w:rsidRPr="003E676C">
      <w:rPr>
        <w:sz w:val="24"/>
        <w:szCs w:val="24"/>
      </w:rPr>
      <w:t>季度报告</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393A" w:rsidRDefault="00D9393A">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4061AC"/>
    <w:rsid w:val="00000678"/>
    <w:rsid w:val="00006A2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66A97"/>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5DA5"/>
    <w:rsid w:val="000E7E5E"/>
    <w:rsid w:val="000F6CC8"/>
    <w:rsid w:val="00111261"/>
    <w:rsid w:val="0011537B"/>
    <w:rsid w:val="00133015"/>
    <w:rsid w:val="00137452"/>
    <w:rsid w:val="00137B31"/>
    <w:rsid w:val="00144F93"/>
    <w:rsid w:val="00147376"/>
    <w:rsid w:val="0015450B"/>
    <w:rsid w:val="00154BE1"/>
    <w:rsid w:val="0015710B"/>
    <w:rsid w:val="00160EDC"/>
    <w:rsid w:val="00162D61"/>
    <w:rsid w:val="001675CD"/>
    <w:rsid w:val="0017126E"/>
    <w:rsid w:val="001717D5"/>
    <w:rsid w:val="00171EF0"/>
    <w:rsid w:val="00173B44"/>
    <w:rsid w:val="001761D2"/>
    <w:rsid w:val="00176C21"/>
    <w:rsid w:val="0018138B"/>
    <w:rsid w:val="001830D7"/>
    <w:rsid w:val="00185A34"/>
    <w:rsid w:val="001934F6"/>
    <w:rsid w:val="00196E6C"/>
    <w:rsid w:val="001A280A"/>
    <w:rsid w:val="001A73E8"/>
    <w:rsid w:val="001B0A62"/>
    <w:rsid w:val="001B2F35"/>
    <w:rsid w:val="001B4DD6"/>
    <w:rsid w:val="001B5607"/>
    <w:rsid w:val="001C0993"/>
    <w:rsid w:val="001C79F2"/>
    <w:rsid w:val="001D6A4B"/>
    <w:rsid w:val="001E4630"/>
    <w:rsid w:val="001F0964"/>
    <w:rsid w:val="001F30DA"/>
    <w:rsid w:val="001F3E2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48DF"/>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5A47"/>
    <w:rsid w:val="003470E2"/>
    <w:rsid w:val="0035076C"/>
    <w:rsid w:val="00352719"/>
    <w:rsid w:val="0035383E"/>
    <w:rsid w:val="00355364"/>
    <w:rsid w:val="00364CCB"/>
    <w:rsid w:val="00365798"/>
    <w:rsid w:val="00372F16"/>
    <w:rsid w:val="00381EE8"/>
    <w:rsid w:val="0039085F"/>
    <w:rsid w:val="00394069"/>
    <w:rsid w:val="00396809"/>
    <w:rsid w:val="003A58DC"/>
    <w:rsid w:val="003A6061"/>
    <w:rsid w:val="003B3494"/>
    <w:rsid w:val="003B5E08"/>
    <w:rsid w:val="003B6FBC"/>
    <w:rsid w:val="003C32C0"/>
    <w:rsid w:val="003C50AD"/>
    <w:rsid w:val="003D2269"/>
    <w:rsid w:val="003D742E"/>
    <w:rsid w:val="003E62FB"/>
    <w:rsid w:val="003E6867"/>
    <w:rsid w:val="003F0956"/>
    <w:rsid w:val="003F09B5"/>
    <w:rsid w:val="003F1ECB"/>
    <w:rsid w:val="003F39DF"/>
    <w:rsid w:val="003F63BE"/>
    <w:rsid w:val="004003F8"/>
    <w:rsid w:val="004033ED"/>
    <w:rsid w:val="004061AC"/>
    <w:rsid w:val="00406DA6"/>
    <w:rsid w:val="00410630"/>
    <w:rsid w:val="00414345"/>
    <w:rsid w:val="004149AC"/>
    <w:rsid w:val="0042009D"/>
    <w:rsid w:val="004216D2"/>
    <w:rsid w:val="00421CD2"/>
    <w:rsid w:val="00426096"/>
    <w:rsid w:val="00426A8F"/>
    <w:rsid w:val="00427F58"/>
    <w:rsid w:val="00433805"/>
    <w:rsid w:val="00442F8D"/>
    <w:rsid w:val="00443869"/>
    <w:rsid w:val="00443ABF"/>
    <w:rsid w:val="00460575"/>
    <w:rsid w:val="00463EC0"/>
    <w:rsid w:val="00464787"/>
    <w:rsid w:val="00471408"/>
    <w:rsid w:val="00480B35"/>
    <w:rsid w:val="004858E0"/>
    <w:rsid w:val="00487A40"/>
    <w:rsid w:val="004917C3"/>
    <w:rsid w:val="00491C81"/>
    <w:rsid w:val="004934E9"/>
    <w:rsid w:val="004943C2"/>
    <w:rsid w:val="004949F3"/>
    <w:rsid w:val="004A0AA9"/>
    <w:rsid w:val="004A11A7"/>
    <w:rsid w:val="004A459C"/>
    <w:rsid w:val="004A6731"/>
    <w:rsid w:val="004A7B1D"/>
    <w:rsid w:val="004B2AF4"/>
    <w:rsid w:val="004C0914"/>
    <w:rsid w:val="004C20CA"/>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79B"/>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5270"/>
    <w:rsid w:val="005761EE"/>
    <w:rsid w:val="00582D99"/>
    <w:rsid w:val="00585263"/>
    <w:rsid w:val="005866D3"/>
    <w:rsid w:val="0059076B"/>
    <w:rsid w:val="005910BF"/>
    <w:rsid w:val="005A0A33"/>
    <w:rsid w:val="005A0F1F"/>
    <w:rsid w:val="005A3D62"/>
    <w:rsid w:val="005A6675"/>
    <w:rsid w:val="005A7B4D"/>
    <w:rsid w:val="005B04A5"/>
    <w:rsid w:val="005B09FA"/>
    <w:rsid w:val="005B2E9C"/>
    <w:rsid w:val="005B3CC0"/>
    <w:rsid w:val="005B4C8F"/>
    <w:rsid w:val="005B4F93"/>
    <w:rsid w:val="005B73D2"/>
    <w:rsid w:val="005D2B36"/>
    <w:rsid w:val="005E475E"/>
    <w:rsid w:val="005F118D"/>
    <w:rsid w:val="005F1F22"/>
    <w:rsid w:val="005F3996"/>
    <w:rsid w:val="005F3B8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0D08"/>
    <w:rsid w:val="006B11BB"/>
    <w:rsid w:val="006B2FF6"/>
    <w:rsid w:val="006B5457"/>
    <w:rsid w:val="006B5F69"/>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94E"/>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2639"/>
    <w:rsid w:val="007B4C04"/>
    <w:rsid w:val="007B5AFB"/>
    <w:rsid w:val="007B5F21"/>
    <w:rsid w:val="007C395A"/>
    <w:rsid w:val="007C5862"/>
    <w:rsid w:val="007D0922"/>
    <w:rsid w:val="007D100C"/>
    <w:rsid w:val="007E2686"/>
    <w:rsid w:val="007E57C0"/>
    <w:rsid w:val="007F29B1"/>
    <w:rsid w:val="007F6DD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4E74"/>
    <w:rsid w:val="00837845"/>
    <w:rsid w:val="00843513"/>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868F3"/>
    <w:rsid w:val="00891261"/>
    <w:rsid w:val="008A21B2"/>
    <w:rsid w:val="008A3DAA"/>
    <w:rsid w:val="008A5B20"/>
    <w:rsid w:val="008B2FDD"/>
    <w:rsid w:val="008B3C7E"/>
    <w:rsid w:val="008B4A75"/>
    <w:rsid w:val="008C15BF"/>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00F6"/>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1009"/>
    <w:rsid w:val="009C5186"/>
    <w:rsid w:val="009C60F7"/>
    <w:rsid w:val="009D0952"/>
    <w:rsid w:val="009D1BD9"/>
    <w:rsid w:val="009E19A9"/>
    <w:rsid w:val="009E31DA"/>
    <w:rsid w:val="009E402C"/>
    <w:rsid w:val="009E7C6A"/>
    <w:rsid w:val="009F27F9"/>
    <w:rsid w:val="009F3659"/>
    <w:rsid w:val="009F4861"/>
    <w:rsid w:val="009F61BE"/>
    <w:rsid w:val="009F7643"/>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969"/>
    <w:rsid w:val="00AA3A38"/>
    <w:rsid w:val="00AA4F94"/>
    <w:rsid w:val="00AA6513"/>
    <w:rsid w:val="00AB047E"/>
    <w:rsid w:val="00AB4DB6"/>
    <w:rsid w:val="00AB6E79"/>
    <w:rsid w:val="00AC063D"/>
    <w:rsid w:val="00AC592E"/>
    <w:rsid w:val="00AC6C10"/>
    <w:rsid w:val="00AC7BC6"/>
    <w:rsid w:val="00AD24AA"/>
    <w:rsid w:val="00AE7962"/>
    <w:rsid w:val="00AF0A7F"/>
    <w:rsid w:val="00AF1BA1"/>
    <w:rsid w:val="00AF3AB2"/>
    <w:rsid w:val="00AF6FFB"/>
    <w:rsid w:val="00B11A78"/>
    <w:rsid w:val="00B11BE5"/>
    <w:rsid w:val="00B11F31"/>
    <w:rsid w:val="00B12B7D"/>
    <w:rsid w:val="00B16985"/>
    <w:rsid w:val="00B22DEE"/>
    <w:rsid w:val="00B27479"/>
    <w:rsid w:val="00B32AA7"/>
    <w:rsid w:val="00B34678"/>
    <w:rsid w:val="00B34FB5"/>
    <w:rsid w:val="00B35024"/>
    <w:rsid w:val="00B371B4"/>
    <w:rsid w:val="00B40CF0"/>
    <w:rsid w:val="00B40F64"/>
    <w:rsid w:val="00B42A76"/>
    <w:rsid w:val="00B47982"/>
    <w:rsid w:val="00B56F53"/>
    <w:rsid w:val="00B61C8A"/>
    <w:rsid w:val="00B62AC1"/>
    <w:rsid w:val="00B64723"/>
    <w:rsid w:val="00B7378D"/>
    <w:rsid w:val="00B7444D"/>
    <w:rsid w:val="00B816A7"/>
    <w:rsid w:val="00B82413"/>
    <w:rsid w:val="00B83A00"/>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05E0"/>
    <w:rsid w:val="00BD70E0"/>
    <w:rsid w:val="00BD7473"/>
    <w:rsid w:val="00BD7703"/>
    <w:rsid w:val="00BE14ED"/>
    <w:rsid w:val="00BE420D"/>
    <w:rsid w:val="00BE5388"/>
    <w:rsid w:val="00BF0019"/>
    <w:rsid w:val="00C012F9"/>
    <w:rsid w:val="00C102E6"/>
    <w:rsid w:val="00C11AA1"/>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2E6B"/>
    <w:rsid w:val="00C9613D"/>
    <w:rsid w:val="00C9690F"/>
    <w:rsid w:val="00CA574C"/>
    <w:rsid w:val="00CA5FD5"/>
    <w:rsid w:val="00CA7703"/>
    <w:rsid w:val="00CB0F92"/>
    <w:rsid w:val="00CD3555"/>
    <w:rsid w:val="00CD4E6D"/>
    <w:rsid w:val="00CD4F19"/>
    <w:rsid w:val="00CD5707"/>
    <w:rsid w:val="00CD7702"/>
    <w:rsid w:val="00CE29EA"/>
    <w:rsid w:val="00CE39AB"/>
    <w:rsid w:val="00CE473F"/>
    <w:rsid w:val="00CE7169"/>
    <w:rsid w:val="00CF04CF"/>
    <w:rsid w:val="00CF2D3E"/>
    <w:rsid w:val="00CF6572"/>
    <w:rsid w:val="00D01FE6"/>
    <w:rsid w:val="00D02347"/>
    <w:rsid w:val="00D03EB3"/>
    <w:rsid w:val="00D046DB"/>
    <w:rsid w:val="00D04755"/>
    <w:rsid w:val="00D1076E"/>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393A"/>
    <w:rsid w:val="00D94B8D"/>
    <w:rsid w:val="00D96C8D"/>
    <w:rsid w:val="00D974EF"/>
    <w:rsid w:val="00DA0C61"/>
    <w:rsid w:val="00DA14B0"/>
    <w:rsid w:val="00DA2876"/>
    <w:rsid w:val="00DA66D0"/>
    <w:rsid w:val="00DC0B51"/>
    <w:rsid w:val="00DC141F"/>
    <w:rsid w:val="00DC28F1"/>
    <w:rsid w:val="00DC456F"/>
    <w:rsid w:val="00DC6B55"/>
    <w:rsid w:val="00DD7A00"/>
    <w:rsid w:val="00DE27F7"/>
    <w:rsid w:val="00DE4B43"/>
    <w:rsid w:val="00E02660"/>
    <w:rsid w:val="00E04BE1"/>
    <w:rsid w:val="00E12DBF"/>
    <w:rsid w:val="00E20C3C"/>
    <w:rsid w:val="00E215BA"/>
    <w:rsid w:val="00E36549"/>
    <w:rsid w:val="00E40D31"/>
    <w:rsid w:val="00E41260"/>
    <w:rsid w:val="00E44E18"/>
    <w:rsid w:val="00E45584"/>
    <w:rsid w:val="00E52DBC"/>
    <w:rsid w:val="00E54301"/>
    <w:rsid w:val="00E54BF5"/>
    <w:rsid w:val="00E554A1"/>
    <w:rsid w:val="00E55ABD"/>
    <w:rsid w:val="00E60817"/>
    <w:rsid w:val="00E609C6"/>
    <w:rsid w:val="00E62DE5"/>
    <w:rsid w:val="00E705CC"/>
    <w:rsid w:val="00E84C7E"/>
    <w:rsid w:val="00E85E4B"/>
    <w:rsid w:val="00E8670B"/>
    <w:rsid w:val="00EA1826"/>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E49FE"/>
    <w:rsid w:val="00EF17AB"/>
    <w:rsid w:val="00EF6FA5"/>
    <w:rsid w:val="00F04FC3"/>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34A2"/>
    <w:rsid w:val="00F53B0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81D0C6"/>
  <w15:docId w15:val="{FB5B536B-9DA6-4920-8EA4-43C10A5F3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0"/>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0"/>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0"/>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basedOn w:val="a1"/>
    <w:link w:val="1"/>
    <w:uiPriority w:val="99"/>
    <w:rsid w:val="004061AC"/>
    <w:rPr>
      <w:rFonts w:ascii="Times New Roman" w:eastAsia="宋体" w:hAnsi="Times New Roman" w:cs="Times New Roman"/>
      <w:b/>
      <w:bCs/>
      <w:kern w:val="44"/>
      <w:sz w:val="44"/>
      <w:szCs w:val="44"/>
    </w:rPr>
  </w:style>
  <w:style w:type="character" w:customStyle="1" w:styleId="20">
    <w:name w:val="标题 2 字符"/>
    <w:basedOn w:val="a1"/>
    <w:link w:val="2"/>
    <w:uiPriority w:val="99"/>
    <w:rsid w:val="004061AC"/>
    <w:rPr>
      <w:rFonts w:ascii="Arial" w:eastAsia="宋体" w:hAnsi="Arial" w:cs="Arial"/>
      <w:b/>
      <w:bCs/>
      <w:sz w:val="24"/>
      <w:szCs w:val="24"/>
    </w:rPr>
  </w:style>
  <w:style w:type="character" w:customStyle="1" w:styleId="30">
    <w:name w:val="标题 3 字符"/>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a5"/>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a5">
    <w:name w:val="正文文本缩进 字符"/>
    <w:basedOn w:val="a1"/>
    <w:link w:val="a4"/>
    <w:uiPriority w:val="99"/>
    <w:rsid w:val="004061AC"/>
    <w:rPr>
      <w:rFonts w:ascii="Arial Unicode MS" w:eastAsia="Arial Unicode MS" w:hAnsi="Arial Unicode MS" w:cs="Arial Unicode MS"/>
      <w:kern w:val="0"/>
      <w:sz w:val="24"/>
      <w:szCs w:val="24"/>
    </w:rPr>
  </w:style>
  <w:style w:type="paragraph" w:styleId="a6">
    <w:name w:val="Plain Text"/>
    <w:basedOn w:val="a"/>
    <w:link w:val="a7"/>
    <w:uiPriority w:val="99"/>
    <w:rsid w:val="004061AC"/>
    <w:rPr>
      <w:rFonts w:ascii="宋体" w:hAnsi="Courier New" w:cs="宋体"/>
    </w:rPr>
  </w:style>
  <w:style w:type="character" w:customStyle="1" w:styleId="a7">
    <w:name w:val="纯文本 字符"/>
    <w:basedOn w:val="a1"/>
    <w:link w:val="a6"/>
    <w:uiPriority w:val="99"/>
    <w:rsid w:val="004061AC"/>
    <w:rPr>
      <w:rFonts w:ascii="宋体" w:eastAsia="宋体" w:hAnsi="Courier New" w:cs="宋体"/>
      <w:szCs w:val="21"/>
    </w:rPr>
  </w:style>
  <w:style w:type="paragraph" w:styleId="21">
    <w:name w:val="Body Text Indent 2"/>
    <w:basedOn w:val="a"/>
    <w:link w:val="22"/>
    <w:uiPriority w:val="99"/>
    <w:rsid w:val="004061AC"/>
    <w:pPr>
      <w:spacing w:line="560" w:lineRule="exact"/>
      <w:ind w:firstLineChars="200" w:firstLine="480"/>
    </w:pPr>
    <w:rPr>
      <w:rFonts w:ascii="宋体" w:hAnsi="宋体" w:cs="宋体"/>
      <w:color w:val="FF0000"/>
      <w:sz w:val="24"/>
      <w:szCs w:val="24"/>
    </w:rPr>
  </w:style>
  <w:style w:type="character" w:customStyle="1" w:styleId="22">
    <w:name w:val="正文文本缩进 2 字符"/>
    <w:basedOn w:val="a1"/>
    <w:link w:val="21"/>
    <w:uiPriority w:val="99"/>
    <w:rsid w:val="004061AC"/>
    <w:rPr>
      <w:rFonts w:ascii="宋体" w:eastAsia="宋体" w:hAnsi="宋体" w:cs="宋体"/>
      <w:color w:val="FF0000"/>
      <w:sz w:val="24"/>
      <w:szCs w:val="24"/>
    </w:rPr>
  </w:style>
  <w:style w:type="paragraph" w:styleId="a8">
    <w:name w:val="footer"/>
    <w:basedOn w:val="a"/>
    <w:link w:val="a9"/>
    <w:rsid w:val="004061AC"/>
    <w:pPr>
      <w:tabs>
        <w:tab w:val="center" w:pos="4153"/>
        <w:tab w:val="right" w:pos="8306"/>
      </w:tabs>
      <w:snapToGrid w:val="0"/>
      <w:jc w:val="left"/>
    </w:pPr>
    <w:rPr>
      <w:sz w:val="18"/>
      <w:szCs w:val="18"/>
    </w:rPr>
  </w:style>
  <w:style w:type="character" w:customStyle="1" w:styleId="a9">
    <w:name w:val="页脚 字符"/>
    <w:basedOn w:val="a1"/>
    <w:link w:val="a8"/>
    <w:uiPriority w:val="99"/>
    <w:rsid w:val="004061AC"/>
    <w:rPr>
      <w:rFonts w:ascii="Times New Roman" w:eastAsia="宋体" w:hAnsi="Times New Roman" w:cs="Times New Roman"/>
      <w:sz w:val="18"/>
      <w:szCs w:val="18"/>
    </w:rPr>
  </w:style>
  <w:style w:type="character" w:styleId="aa">
    <w:name w:val="page number"/>
    <w:basedOn w:val="a1"/>
    <w:uiPriority w:val="99"/>
    <w:rsid w:val="004061AC"/>
  </w:style>
  <w:style w:type="character" w:styleId="ab">
    <w:name w:val="Hyperlink"/>
    <w:basedOn w:val="a1"/>
    <w:uiPriority w:val="99"/>
    <w:rsid w:val="004061AC"/>
    <w:rPr>
      <w:color w:val="0000FF"/>
      <w:u w:val="single"/>
    </w:rPr>
  </w:style>
  <w:style w:type="paragraph" w:styleId="31">
    <w:name w:val="Body Text Indent 3"/>
    <w:basedOn w:val="a"/>
    <w:link w:val="32"/>
    <w:uiPriority w:val="99"/>
    <w:rsid w:val="004061AC"/>
    <w:pPr>
      <w:spacing w:line="560" w:lineRule="exact"/>
      <w:ind w:firstLineChars="200" w:firstLine="420"/>
    </w:pPr>
    <w:rPr>
      <w:rFonts w:ascii="Arial" w:hAnsi="Arial" w:cs="Arial"/>
      <w:color w:val="FF0000"/>
    </w:rPr>
  </w:style>
  <w:style w:type="character" w:customStyle="1" w:styleId="32">
    <w:name w:val="正文文本缩进 3 字符"/>
    <w:basedOn w:val="a1"/>
    <w:link w:val="31"/>
    <w:uiPriority w:val="99"/>
    <w:rsid w:val="004061AC"/>
    <w:rPr>
      <w:rFonts w:ascii="Arial" w:eastAsia="宋体" w:hAnsi="Arial" w:cs="Arial"/>
      <w:color w:val="FF0000"/>
      <w:szCs w:val="21"/>
    </w:rPr>
  </w:style>
  <w:style w:type="paragraph" w:styleId="ac">
    <w:name w:val="header"/>
    <w:basedOn w:val="a"/>
    <w:link w:val="ad"/>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ad">
    <w:name w:val="页眉 字符"/>
    <w:basedOn w:val="a1"/>
    <w:link w:val="ac"/>
    <w:uiPriority w:val="99"/>
    <w:rsid w:val="004061AC"/>
    <w:rPr>
      <w:rFonts w:ascii="Times New Roman" w:eastAsia="宋体" w:hAnsi="Times New Roman" w:cs="Times New Roman"/>
      <w:sz w:val="18"/>
      <w:szCs w:val="18"/>
    </w:rPr>
  </w:style>
  <w:style w:type="character" w:styleId="ae">
    <w:name w:val="FollowedHyperlink"/>
    <w:basedOn w:val="a1"/>
    <w:uiPriority w:val="99"/>
    <w:rsid w:val="004061AC"/>
    <w:rPr>
      <w:color w:val="800080"/>
      <w:u w:val="single"/>
    </w:rPr>
  </w:style>
  <w:style w:type="paragraph" w:styleId="af">
    <w:name w:val="List"/>
    <w:basedOn w:val="af0"/>
    <w:uiPriority w:val="99"/>
    <w:rsid w:val="004061AC"/>
    <w:pPr>
      <w:spacing w:after="220" w:line="220" w:lineRule="atLeast"/>
      <w:ind w:left="1440" w:hanging="360"/>
    </w:pPr>
  </w:style>
  <w:style w:type="paragraph" w:styleId="af0">
    <w:name w:val="Body Text"/>
    <w:basedOn w:val="a"/>
    <w:link w:val="af1"/>
    <w:uiPriority w:val="99"/>
    <w:rsid w:val="004061AC"/>
    <w:pPr>
      <w:spacing w:after="120"/>
    </w:pPr>
  </w:style>
  <w:style w:type="character" w:customStyle="1" w:styleId="af1">
    <w:name w:val="正文文本 字符"/>
    <w:basedOn w:val="a1"/>
    <w:link w:val="af0"/>
    <w:uiPriority w:val="99"/>
    <w:rsid w:val="004061AC"/>
    <w:rPr>
      <w:rFonts w:ascii="Times New Roman" w:eastAsia="宋体" w:hAnsi="Times New Roman" w:cs="Times New Roman"/>
      <w:szCs w:val="21"/>
    </w:rPr>
  </w:style>
  <w:style w:type="paragraph" w:styleId="af2">
    <w:name w:val="Date"/>
    <w:basedOn w:val="a"/>
    <w:next w:val="a"/>
    <w:link w:val="af3"/>
    <w:rsid w:val="004061AC"/>
    <w:rPr>
      <w:sz w:val="24"/>
      <w:szCs w:val="24"/>
    </w:rPr>
  </w:style>
  <w:style w:type="character" w:customStyle="1" w:styleId="af3">
    <w:name w:val="日期 字符"/>
    <w:basedOn w:val="a1"/>
    <w:link w:val="af2"/>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1">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f4">
    <w:name w:val="Balloon Text"/>
    <w:basedOn w:val="a"/>
    <w:link w:val="af5"/>
    <w:uiPriority w:val="99"/>
    <w:semiHidden/>
    <w:rsid w:val="004061AC"/>
    <w:rPr>
      <w:sz w:val="18"/>
      <w:szCs w:val="18"/>
    </w:rPr>
  </w:style>
  <w:style w:type="character" w:customStyle="1" w:styleId="af5">
    <w:name w:val="批注框文本 字符"/>
    <w:basedOn w:val="a1"/>
    <w:link w:val="af4"/>
    <w:uiPriority w:val="99"/>
    <w:semiHidden/>
    <w:rsid w:val="004061AC"/>
    <w:rPr>
      <w:rFonts w:ascii="Times New Roman" w:eastAsia="宋体" w:hAnsi="Times New Roman" w:cs="Times New Roman"/>
      <w:sz w:val="18"/>
      <w:szCs w:val="18"/>
    </w:rPr>
  </w:style>
  <w:style w:type="character" w:styleId="af6">
    <w:name w:val="annotation reference"/>
    <w:basedOn w:val="a1"/>
    <w:uiPriority w:val="99"/>
    <w:semiHidden/>
    <w:rsid w:val="004061AC"/>
    <w:rPr>
      <w:sz w:val="21"/>
      <w:szCs w:val="21"/>
    </w:rPr>
  </w:style>
  <w:style w:type="paragraph" w:styleId="af7">
    <w:name w:val="annotation text"/>
    <w:basedOn w:val="a"/>
    <w:link w:val="af8"/>
    <w:uiPriority w:val="99"/>
    <w:semiHidden/>
    <w:rsid w:val="004061AC"/>
    <w:pPr>
      <w:jc w:val="left"/>
    </w:pPr>
  </w:style>
  <w:style w:type="character" w:customStyle="1" w:styleId="af8">
    <w:name w:val="批注文字 字符"/>
    <w:basedOn w:val="a1"/>
    <w:link w:val="af7"/>
    <w:uiPriority w:val="99"/>
    <w:semiHidden/>
    <w:rsid w:val="004061AC"/>
    <w:rPr>
      <w:rFonts w:ascii="Times New Roman" w:eastAsia="宋体" w:hAnsi="Times New Roman" w:cs="Times New Roman"/>
      <w:szCs w:val="21"/>
    </w:rPr>
  </w:style>
  <w:style w:type="paragraph" w:styleId="af9">
    <w:name w:val="annotation subject"/>
    <w:basedOn w:val="af7"/>
    <w:next w:val="af7"/>
    <w:link w:val="afa"/>
    <w:uiPriority w:val="99"/>
    <w:semiHidden/>
    <w:rsid w:val="004061AC"/>
    <w:rPr>
      <w:b/>
      <w:bCs/>
    </w:rPr>
  </w:style>
  <w:style w:type="character" w:customStyle="1" w:styleId="afa">
    <w:name w:val="批注主题 字符"/>
    <w:basedOn w:val="af8"/>
    <w:link w:val="af9"/>
    <w:uiPriority w:val="99"/>
    <w:semiHidden/>
    <w:rsid w:val="004061AC"/>
    <w:rPr>
      <w:rFonts w:ascii="Times New Roman" w:eastAsia="宋体" w:hAnsi="Times New Roman" w:cs="Times New Roman"/>
      <w:b/>
      <w:bCs/>
      <w:szCs w:val="21"/>
    </w:rPr>
  </w:style>
  <w:style w:type="paragraph" w:customStyle="1" w:styleId="Char">
    <w:name w:val="Char"/>
    <w:basedOn w:val="a"/>
    <w:uiPriority w:val="99"/>
    <w:rsid w:val="004061AC"/>
  </w:style>
  <w:style w:type="paragraph" w:styleId="afb">
    <w:name w:val="Document Map"/>
    <w:basedOn w:val="a"/>
    <w:link w:val="afc"/>
    <w:uiPriority w:val="99"/>
    <w:semiHidden/>
    <w:rsid w:val="004061AC"/>
    <w:pPr>
      <w:shd w:val="clear" w:color="auto" w:fill="000080"/>
    </w:pPr>
  </w:style>
  <w:style w:type="character" w:customStyle="1" w:styleId="afc">
    <w:name w:val="文档结构图 字符"/>
    <w:basedOn w:val="a1"/>
    <w:link w:val="afb"/>
    <w:uiPriority w:val="99"/>
    <w:semiHidden/>
    <w:rsid w:val="004061AC"/>
    <w:rPr>
      <w:rFonts w:ascii="Times New Roman" w:eastAsia="宋体" w:hAnsi="Times New Roman" w:cs="Times New Roman"/>
      <w:szCs w:val="21"/>
      <w:shd w:val="clear" w:color="auto" w:fill="000080"/>
    </w:rPr>
  </w:style>
  <w:style w:type="paragraph" w:customStyle="1" w:styleId="afd">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e">
    <w:name w:val="footnote text"/>
    <w:basedOn w:val="a"/>
    <w:link w:val="aff"/>
    <w:rsid w:val="004061AC"/>
    <w:pPr>
      <w:snapToGrid w:val="0"/>
      <w:jc w:val="left"/>
    </w:pPr>
    <w:rPr>
      <w:sz w:val="18"/>
      <w:szCs w:val="18"/>
    </w:rPr>
  </w:style>
  <w:style w:type="character" w:customStyle="1" w:styleId="aff">
    <w:name w:val="脚注文本 字符"/>
    <w:basedOn w:val="a1"/>
    <w:link w:val="afe"/>
    <w:rsid w:val="004061AC"/>
    <w:rPr>
      <w:rFonts w:ascii="Times New Roman" w:eastAsia="宋体" w:hAnsi="Times New Roman" w:cs="Times New Roman"/>
      <w:sz w:val="18"/>
      <w:szCs w:val="18"/>
    </w:rPr>
  </w:style>
  <w:style w:type="character" w:styleId="aff0">
    <w:name w:val="footnote reference"/>
    <w:basedOn w:val="a1"/>
    <w:rsid w:val="004061AC"/>
    <w:rPr>
      <w:vertAlign w:val="superscript"/>
    </w:rPr>
  </w:style>
  <w:style w:type="paragraph" w:styleId="aff1">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f2">
    <w:name w:val="Table Grid"/>
    <w:basedOn w:val="a2"/>
    <w:qFormat/>
    <w:rsid w:val="004061A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f3">
    <w:name w:val="Title"/>
    <w:basedOn w:val="a"/>
    <w:next w:val="a"/>
    <w:link w:val="aff4"/>
    <w:uiPriority w:val="99"/>
    <w:qFormat/>
    <w:rsid w:val="004061AC"/>
    <w:pPr>
      <w:spacing w:before="240" w:after="60"/>
      <w:jc w:val="center"/>
      <w:outlineLvl w:val="0"/>
    </w:pPr>
    <w:rPr>
      <w:rFonts w:ascii="Cambria" w:hAnsi="Cambria" w:cs="Cambria"/>
      <w:b/>
      <w:bCs/>
      <w:sz w:val="32"/>
      <w:szCs w:val="32"/>
    </w:rPr>
  </w:style>
  <w:style w:type="character" w:customStyle="1" w:styleId="aff4">
    <w:name w:val="标题 字符"/>
    <w:basedOn w:val="a1"/>
    <w:link w:val="aff3"/>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f5">
    <w:name w:val="No Spacing"/>
    <w:link w:val="aff6"/>
    <w:uiPriority w:val="1"/>
    <w:qFormat/>
    <w:rsid w:val="004061AC"/>
    <w:rPr>
      <w:rFonts w:ascii="Calibri" w:eastAsia="宋体" w:hAnsi="Calibri" w:cs="Calibri"/>
      <w:kern w:val="0"/>
      <w:sz w:val="22"/>
    </w:rPr>
  </w:style>
  <w:style w:type="character" w:customStyle="1" w:styleId="aff6">
    <w:name w:val="无间隔 字符"/>
    <w:basedOn w:val="a1"/>
    <w:link w:val="aff5"/>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f7">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f8">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37441F-682D-4827-A9B5-A6C6DE2648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1831</TotalTime>
  <Pages>1</Pages>
  <Words>1108</Words>
  <Characters>6318</Characters>
  <Application>Microsoft Office Word</Application>
  <DocSecurity>0</DocSecurity>
  <Lines>52</Lines>
  <Paragraphs>14</Paragraphs>
  <ScaleCrop>false</ScaleCrop>
  <Company/>
  <LinksUpToDate>false</LinksUpToDate>
  <CharactersWithSpaces>7412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孙文婷</cp:lastModifiedBy>
  <cp:revision>602</cp:revision>
  <dcterms:created xsi:type="dcterms:W3CDTF">2012-10-16T06:07:00Z</dcterms:created>
  <dcterms:modified xsi:type="dcterms:W3CDTF">2021-01-18T09:58:00Z</dcterms:modified>
</cp:coreProperties>
</file>