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交银施罗德安心收益债券型证券投资基金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212C0" w:rsidRDefault="00232A4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交银安心收益债券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76,288,110.71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w:t>
            </w:r>
            <w:r w:rsidRPr="00414345">
              <w:rPr>
                <w:color w:val="000000"/>
                <w:kern w:val="0"/>
                <w:sz w:val="24"/>
                <w:szCs w:val="24"/>
              </w:rPr>
              <w:lastRenderedPageBreak/>
              <w:t>前提下，本基金适度关注股票、权证市场的运行状况与相应风险收益特征，有效把握投资机会，适时增强组合收益。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中债综合全价指数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D48F2" w:rsidRPr="00414345" w:rsidTr="004D48F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D48F2" w:rsidRPr="00414345" w:rsidTr="004D48F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267,014.95</w:t>
            </w:r>
          </w:p>
        </w:tc>
      </w:tr>
      <w:tr w:rsidR="004D48F2" w:rsidRPr="00414345" w:rsidTr="004D48F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2,034,824.19</w:t>
            </w:r>
          </w:p>
        </w:tc>
      </w:tr>
      <w:tr w:rsidR="004D48F2" w:rsidRPr="00414345" w:rsidTr="004D48F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0.0262</w:t>
            </w:r>
          </w:p>
        </w:tc>
      </w:tr>
      <w:tr w:rsidR="004D48F2" w:rsidRPr="00414345" w:rsidTr="004D48F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84,337,251.39</w:t>
            </w:r>
          </w:p>
        </w:tc>
      </w:tr>
      <w:tr w:rsidR="004D48F2" w:rsidRPr="00414345" w:rsidTr="004D48F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1.1055</w:t>
            </w:r>
          </w:p>
        </w:tc>
      </w:tr>
    </w:tbl>
    <w:p w:rsidR="006212C0" w:rsidRDefault="00232A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212C0">
        <w:trPr>
          <w:jc w:val="center"/>
        </w:trPr>
        <w:tc>
          <w:tcPr>
            <w:tcW w:w="1701" w:type="dxa"/>
            <w:vAlign w:val="center"/>
          </w:tcPr>
          <w:p w:rsidR="006212C0" w:rsidRDefault="00232A43">
            <w:pPr>
              <w:jc w:val="left"/>
            </w:pPr>
            <w:r>
              <w:rPr>
                <w:color w:val="000000"/>
                <w:sz w:val="24"/>
                <w:szCs w:val="24"/>
              </w:rPr>
              <w:t>过去三个月</w:t>
            </w:r>
          </w:p>
        </w:tc>
        <w:tc>
          <w:tcPr>
            <w:tcW w:w="1045" w:type="dxa"/>
            <w:vAlign w:val="center"/>
          </w:tcPr>
          <w:p w:rsidR="006212C0" w:rsidRDefault="00232A43">
            <w:pPr>
              <w:jc w:val="center"/>
            </w:pPr>
            <w:r>
              <w:rPr>
                <w:color w:val="000000"/>
                <w:sz w:val="24"/>
                <w:szCs w:val="24"/>
              </w:rPr>
              <w:t>2.45%</w:t>
            </w:r>
          </w:p>
        </w:tc>
        <w:tc>
          <w:tcPr>
            <w:tcW w:w="1344" w:type="dxa"/>
            <w:vAlign w:val="center"/>
          </w:tcPr>
          <w:p w:rsidR="006212C0" w:rsidRDefault="00232A43">
            <w:pPr>
              <w:jc w:val="center"/>
            </w:pPr>
            <w:r>
              <w:rPr>
                <w:color w:val="000000"/>
                <w:sz w:val="24"/>
                <w:szCs w:val="24"/>
              </w:rPr>
              <w:t>0.24%</w:t>
            </w:r>
          </w:p>
        </w:tc>
        <w:tc>
          <w:tcPr>
            <w:tcW w:w="1194" w:type="dxa"/>
            <w:vAlign w:val="center"/>
          </w:tcPr>
          <w:p w:rsidR="006212C0" w:rsidRDefault="00232A43">
            <w:pPr>
              <w:jc w:val="center"/>
            </w:pPr>
            <w:r>
              <w:rPr>
                <w:color w:val="000000"/>
                <w:sz w:val="24"/>
                <w:szCs w:val="24"/>
              </w:rPr>
              <w:t>0.64%</w:t>
            </w:r>
          </w:p>
        </w:tc>
        <w:tc>
          <w:tcPr>
            <w:tcW w:w="1492" w:type="dxa"/>
            <w:vAlign w:val="center"/>
          </w:tcPr>
          <w:p w:rsidR="006212C0" w:rsidRDefault="00232A43">
            <w:pPr>
              <w:jc w:val="center"/>
            </w:pPr>
            <w:r>
              <w:rPr>
                <w:color w:val="000000"/>
                <w:sz w:val="24"/>
                <w:szCs w:val="24"/>
              </w:rPr>
              <w:t>0.04%</w:t>
            </w:r>
          </w:p>
        </w:tc>
        <w:tc>
          <w:tcPr>
            <w:tcW w:w="1194" w:type="dxa"/>
            <w:vAlign w:val="center"/>
          </w:tcPr>
          <w:p w:rsidR="006212C0" w:rsidRDefault="00232A43">
            <w:pPr>
              <w:jc w:val="center"/>
            </w:pPr>
            <w:r>
              <w:rPr>
                <w:color w:val="000000"/>
                <w:sz w:val="24"/>
                <w:szCs w:val="24"/>
              </w:rPr>
              <w:t>1.81%</w:t>
            </w:r>
          </w:p>
        </w:tc>
        <w:tc>
          <w:tcPr>
            <w:tcW w:w="898" w:type="dxa"/>
            <w:vAlign w:val="center"/>
          </w:tcPr>
          <w:p w:rsidR="006212C0" w:rsidRDefault="00232A43">
            <w:pPr>
              <w:jc w:val="center"/>
            </w:pPr>
            <w:r>
              <w:rPr>
                <w:color w:val="000000"/>
                <w:sz w:val="24"/>
                <w:szCs w:val="24"/>
              </w:rPr>
              <w:t>0.20%</w:t>
            </w:r>
          </w:p>
        </w:tc>
      </w:tr>
      <w:tr w:rsidR="006212C0">
        <w:trPr>
          <w:jc w:val="center"/>
        </w:trPr>
        <w:tc>
          <w:tcPr>
            <w:tcW w:w="1701" w:type="dxa"/>
            <w:vAlign w:val="center"/>
          </w:tcPr>
          <w:p w:rsidR="006212C0" w:rsidRDefault="00232A43">
            <w:pPr>
              <w:jc w:val="left"/>
            </w:pPr>
            <w:r>
              <w:rPr>
                <w:color w:val="000000"/>
                <w:sz w:val="24"/>
                <w:szCs w:val="24"/>
              </w:rPr>
              <w:t>过去六个月</w:t>
            </w:r>
          </w:p>
        </w:tc>
        <w:tc>
          <w:tcPr>
            <w:tcW w:w="1045" w:type="dxa"/>
            <w:vAlign w:val="center"/>
          </w:tcPr>
          <w:p w:rsidR="006212C0" w:rsidRDefault="00232A43">
            <w:pPr>
              <w:jc w:val="center"/>
            </w:pPr>
            <w:r>
              <w:rPr>
                <w:color w:val="000000"/>
                <w:sz w:val="24"/>
                <w:szCs w:val="24"/>
              </w:rPr>
              <w:t>4.19%</w:t>
            </w:r>
          </w:p>
        </w:tc>
        <w:tc>
          <w:tcPr>
            <w:tcW w:w="1344" w:type="dxa"/>
            <w:vAlign w:val="center"/>
          </w:tcPr>
          <w:p w:rsidR="006212C0" w:rsidRDefault="00232A43">
            <w:pPr>
              <w:jc w:val="center"/>
            </w:pPr>
            <w:r>
              <w:rPr>
                <w:color w:val="000000"/>
                <w:sz w:val="24"/>
                <w:szCs w:val="24"/>
              </w:rPr>
              <w:t>0.29%</w:t>
            </w:r>
          </w:p>
        </w:tc>
        <w:tc>
          <w:tcPr>
            <w:tcW w:w="1194" w:type="dxa"/>
            <w:vAlign w:val="center"/>
          </w:tcPr>
          <w:p w:rsidR="006212C0" w:rsidRDefault="00232A43">
            <w:pPr>
              <w:jc w:val="center"/>
            </w:pPr>
            <w:r>
              <w:rPr>
                <w:color w:val="000000"/>
                <w:sz w:val="24"/>
                <w:szCs w:val="24"/>
              </w:rPr>
              <w:t>-0.85%</w:t>
            </w:r>
          </w:p>
        </w:tc>
        <w:tc>
          <w:tcPr>
            <w:tcW w:w="1492" w:type="dxa"/>
            <w:vAlign w:val="center"/>
          </w:tcPr>
          <w:p w:rsidR="006212C0" w:rsidRDefault="00232A43">
            <w:pPr>
              <w:jc w:val="center"/>
            </w:pPr>
            <w:r>
              <w:rPr>
                <w:color w:val="000000"/>
                <w:sz w:val="24"/>
                <w:szCs w:val="24"/>
              </w:rPr>
              <w:t>0.07%</w:t>
            </w:r>
          </w:p>
        </w:tc>
        <w:tc>
          <w:tcPr>
            <w:tcW w:w="1194" w:type="dxa"/>
            <w:vAlign w:val="center"/>
          </w:tcPr>
          <w:p w:rsidR="006212C0" w:rsidRDefault="00232A43">
            <w:pPr>
              <w:jc w:val="center"/>
            </w:pPr>
            <w:r>
              <w:rPr>
                <w:color w:val="000000"/>
                <w:sz w:val="24"/>
                <w:szCs w:val="24"/>
              </w:rPr>
              <w:t>5.04%</w:t>
            </w:r>
          </w:p>
        </w:tc>
        <w:tc>
          <w:tcPr>
            <w:tcW w:w="898" w:type="dxa"/>
            <w:vAlign w:val="center"/>
          </w:tcPr>
          <w:p w:rsidR="006212C0" w:rsidRDefault="00232A43">
            <w:pPr>
              <w:jc w:val="center"/>
            </w:pPr>
            <w:r>
              <w:rPr>
                <w:color w:val="000000"/>
                <w:sz w:val="24"/>
                <w:szCs w:val="24"/>
              </w:rPr>
              <w:t>0.22%</w:t>
            </w:r>
          </w:p>
        </w:tc>
      </w:tr>
      <w:tr w:rsidR="006212C0">
        <w:trPr>
          <w:jc w:val="center"/>
        </w:trPr>
        <w:tc>
          <w:tcPr>
            <w:tcW w:w="1701" w:type="dxa"/>
            <w:vAlign w:val="center"/>
          </w:tcPr>
          <w:p w:rsidR="006212C0" w:rsidRDefault="00232A43">
            <w:pPr>
              <w:jc w:val="left"/>
            </w:pPr>
            <w:r>
              <w:rPr>
                <w:color w:val="000000"/>
                <w:sz w:val="24"/>
                <w:szCs w:val="24"/>
              </w:rPr>
              <w:lastRenderedPageBreak/>
              <w:t>过去一年</w:t>
            </w:r>
          </w:p>
        </w:tc>
        <w:tc>
          <w:tcPr>
            <w:tcW w:w="1045" w:type="dxa"/>
            <w:vAlign w:val="center"/>
          </w:tcPr>
          <w:p w:rsidR="006212C0" w:rsidRDefault="00232A43">
            <w:pPr>
              <w:jc w:val="center"/>
            </w:pPr>
            <w:r>
              <w:rPr>
                <w:color w:val="000000"/>
                <w:sz w:val="24"/>
                <w:szCs w:val="24"/>
              </w:rPr>
              <w:t>4.79%</w:t>
            </w:r>
          </w:p>
        </w:tc>
        <w:tc>
          <w:tcPr>
            <w:tcW w:w="1344" w:type="dxa"/>
            <w:vAlign w:val="center"/>
          </w:tcPr>
          <w:p w:rsidR="006212C0" w:rsidRDefault="00232A43">
            <w:pPr>
              <w:jc w:val="center"/>
            </w:pPr>
            <w:r>
              <w:rPr>
                <w:color w:val="000000"/>
                <w:sz w:val="24"/>
                <w:szCs w:val="24"/>
              </w:rPr>
              <w:t>0.25%</w:t>
            </w:r>
          </w:p>
        </w:tc>
        <w:tc>
          <w:tcPr>
            <w:tcW w:w="1194" w:type="dxa"/>
            <w:vAlign w:val="center"/>
          </w:tcPr>
          <w:p w:rsidR="006212C0" w:rsidRDefault="00232A43">
            <w:pPr>
              <w:jc w:val="center"/>
            </w:pPr>
            <w:r>
              <w:rPr>
                <w:color w:val="000000"/>
                <w:sz w:val="24"/>
                <w:szCs w:val="24"/>
              </w:rPr>
              <w:t>-0.07%</w:t>
            </w:r>
          </w:p>
        </w:tc>
        <w:tc>
          <w:tcPr>
            <w:tcW w:w="1492" w:type="dxa"/>
            <w:vAlign w:val="center"/>
          </w:tcPr>
          <w:p w:rsidR="006212C0" w:rsidRDefault="00232A43">
            <w:pPr>
              <w:jc w:val="center"/>
            </w:pPr>
            <w:r>
              <w:rPr>
                <w:color w:val="000000"/>
                <w:sz w:val="24"/>
                <w:szCs w:val="24"/>
              </w:rPr>
              <w:t>0.09%</w:t>
            </w:r>
          </w:p>
        </w:tc>
        <w:tc>
          <w:tcPr>
            <w:tcW w:w="1194" w:type="dxa"/>
            <w:vAlign w:val="center"/>
          </w:tcPr>
          <w:p w:rsidR="006212C0" w:rsidRDefault="00232A43">
            <w:pPr>
              <w:jc w:val="center"/>
            </w:pPr>
            <w:r>
              <w:rPr>
                <w:color w:val="000000"/>
                <w:sz w:val="24"/>
                <w:szCs w:val="24"/>
              </w:rPr>
              <w:t>4.86%</w:t>
            </w:r>
          </w:p>
        </w:tc>
        <w:tc>
          <w:tcPr>
            <w:tcW w:w="898" w:type="dxa"/>
            <w:vAlign w:val="center"/>
          </w:tcPr>
          <w:p w:rsidR="006212C0" w:rsidRDefault="00232A43">
            <w:pPr>
              <w:jc w:val="center"/>
            </w:pPr>
            <w:r>
              <w:rPr>
                <w:color w:val="000000"/>
                <w:sz w:val="24"/>
                <w:szCs w:val="24"/>
              </w:rPr>
              <w:t>0.16%</w:t>
            </w:r>
          </w:p>
        </w:tc>
      </w:tr>
      <w:tr w:rsidR="006212C0">
        <w:trPr>
          <w:jc w:val="center"/>
        </w:trPr>
        <w:tc>
          <w:tcPr>
            <w:tcW w:w="1701" w:type="dxa"/>
            <w:vAlign w:val="center"/>
          </w:tcPr>
          <w:p w:rsidR="006212C0" w:rsidRDefault="00232A43">
            <w:pPr>
              <w:jc w:val="left"/>
            </w:pPr>
            <w:r>
              <w:rPr>
                <w:color w:val="000000"/>
                <w:sz w:val="24"/>
                <w:szCs w:val="24"/>
              </w:rPr>
              <w:t>自基金合同生效至今</w:t>
            </w:r>
          </w:p>
        </w:tc>
        <w:tc>
          <w:tcPr>
            <w:tcW w:w="1045" w:type="dxa"/>
            <w:vAlign w:val="center"/>
          </w:tcPr>
          <w:p w:rsidR="006212C0" w:rsidRDefault="00232A43">
            <w:pPr>
              <w:jc w:val="center"/>
            </w:pPr>
            <w:r>
              <w:rPr>
                <w:color w:val="000000"/>
                <w:sz w:val="24"/>
                <w:szCs w:val="24"/>
              </w:rPr>
              <w:t>8.70%</w:t>
            </w:r>
          </w:p>
        </w:tc>
        <w:tc>
          <w:tcPr>
            <w:tcW w:w="1344" w:type="dxa"/>
            <w:vAlign w:val="center"/>
          </w:tcPr>
          <w:p w:rsidR="006212C0" w:rsidRDefault="00232A43">
            <w:pPr>
              <w:jc w:val="center"/>
            </w:pPr>
            <w:r>
              <w:rPr>
                <w:color w:val="000000"/>
                <w:sz w:val="24"/>
                <w:szCs w:val="24"/>
              </w:rPr>
              <w:t>0.20%</w:t>
            </w:r>
          </w:p>
        </w:tc>
        <w:tc>
          <w:tcPr>
            <w:tcW w:w="1194" w:type="dxa"/>
            <w:vAlign w:val="center"/>
          </w:tcPr>
          <w:p w:rsidR="006212C0" w:rsidRDefault="00232A43">
            <w:pPr>
              <w:jc w:val="center"/>
            </w:pPr>
            <w:r>
              <w:rPr>
                <w:color w:val="000000"/>
                <w:sz w:val="24"/>
                <w:szCs w:val="24"/>
              </w:rPr>
              <w:t>4.24%</w:t>
            </w:r>
          </w:p>
        </w:tc>
        <w:tc>
          <w:tcPr>
            <w:tcW w:w="1492" w:type="dxa"/>
            <w:vAlign w:val="center"/>
          </w:tcPr>
          <w:p w:rsidR="006212C0" w:rsidRDefault="00232A43">
            <w:pPr>
              <w:jc w:val="center"/>
            </w:pPr>
            <w:r>
              <w:rPr>
                <w:color w:val="000000"/>
                <w:sz w:val="24"/>
                <w:szCs w:val="24"/>
              </w:rPr>
              <w:t>0.07%</w:t>
            </w:r>
          </w:p>
        </w:tc>
        <w:tc>
          <w:tcPr>
            <w:tcW w:w="1194" w:type="dxa"/>
            <w:vAlign w:val="center"/>
          </w:tcPr>
          <w:p w:rsidR="006212C0" w:rsidRDefault="00232A43">
            <w:pPr>
              <w:jc w:val="center"/>
            </w:pPr>
            <w:r>
              <w:rPr>
                <w:color w:val="000000"/>
                <w:sz w:val="24"/>
                <w:szCs w:val="24"/>
              </w:rPr>
              <w:t>4.46%</w:t>
            </w:r>
          </w:p>
        </w:tc>
        <w:tc>
          <w:tcPr>
            <w:tcW w:w="898" w:type="dxa"/>
            <w:vAlign w:val="center"/>
          </w:tcPr>
          <w:p w:rsidR="006212C0" w:rsidRDefault="00232A43">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交银施罗德安心收益债券型证券投资基金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注：本基金由交银施罗德荣和保本混合型证券投资基金转型而来。本基金转型日为</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w:t>
      </w:r>
      <w:r w:rsidRPr="00414345">
        <w:rPr>
          <w:color w:val="000000"/>
          <w:sz w:val="24"/>
          <w:szCs w:val="24"/>
        </w:rPr>
        <w:t>日。本基金的投资转型期为交银施罗德荣和保本混合型证券投资基金保本周期到期期间截止日的次日（即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212C0">
        <w:trPr>
          <w:jc w:val="center"/>
        </w:trPr>
        <w:tc>
          <w:tcPr>
            <w:tcW w:w="846" w:type="dxa"/>
            <w:vAlign w:val="center"/>
          </w:tcPr>
          <w:p w:rsidR="006212C0" w:rsidRDefault="00232A43">
            <w:pPr>
              <w:jc w:val="center"/>
            </w:pPr>
            <w:r>
              <w:rPr>
                <w:color w:val="000000"/>
                <w:sz w:val="24"/>
                <w:szCs w:val="24"/>
              </w:rPr>
              <w:t>王艺</w:t>
            </w:r>
            <w:r>
              <w:rPr>
                <w:color w:val="000000"/>
                <w:sz w:val="24"/>
                <w:szCs w:val="24"/>
              </w:rPr>
              <w:lastRenderedPageBreak/>
              <w:t>伟</w:t>
            </w:r>
          </w:p>
        </w:tc>
        <w:tc>
          <w:tcPr>
            <w:tcW w:w="845" w:type="dxa"/>
            <w:vAlign w:val="center"/>
          </w:tcPr>
          <w:p w:rsidR="006212C0" w:rsidRDefault="00232A43">
            <w:pPr>
              <w:jc w:val="center"/>
            </w:pPr>
            <w:r>
              <w:rPr>
                <w:color w:val="000000"/>
                <w:sz w:val="24"/>
                <w:szCs w:val="24"/>
              </w:rPr>
              <w:lastRenderedPageBreak/>
              <w:t>交银</w:t>
            </w:r>
            <w:r>
              <w:rPr>
                <w:color w:val="000000"/>
                <w:sz w:val="24"/>
                <w:szCs w:val="24"/>
              </w:rPr>
              <w:lastRenderedPageBreak/>
              <w:t>周期回报灵活配置混合、交银新回报灵活配置混合、交银多策略回报灵活配置混合、交银荣鑫灵活配置混合、交银优选回报灵活配置混合、交银优择回报灵活配置混合、交银瑞鑫定期开放灵活配置混合、交银恒益灵活</w:t>
            </w:r>
            <w:r>
              <w:rPr>
                <w:color w:val="000000"/>
                <w:sz w:val="24"/>
                <w:szCs w:val="24"/>
              </w:rPr>
              <w:lastRenderedPageBreak/>
              <w:t>配置混合、交银安心收益债券、交银</w:t>
            </w:r>
            <w:r w:rsidR="004D48F2">
              <w:rPr>
                <w:rFonts w:ascii="宋体" w:hAnsi="宋体" w:hint="eastAsia"/>
                <w:sz w:val="24"/>
                <w:szCs w:val="24"/>
              </w:rPr>
              <w:t>臻选</w:t>
            </w:r>
            <w:bookmarkStart w:id="0" w:name="_GoBack"/>
            <w:bookmarkEnd w:id="0"/>
            <w:r>
              <w:rPr>
                <w:color w:val="000000"/>
                <w:sz w:val="24"/>
                <w:szCs w:val="24"/>
              </w:rPr>
              <w:t>回报混合的基金经理</w:t>
            </w:r>
          </w:p>
        </w:tc>
        <w:tc>
          <w:tcPr>
            <w:tcW w:w="1549" w:type="dxa"/>
            <w:vAlign w:val="center"/>
          </w:tcPr>
          <w:p w:rsidR="006212C0" w:rsidRDefault="00232A43">
            <w:pPr>
              <w:jc w:val="center"/>
            </w:pPr>
            <w:r>
              <w:rPr>
                <w:color w:val="000000"/>
                <w:sz w:val="24"/>
                <w:szCs w:val="24"/>
              </w:rPr>
              <w:lastRenderedPageBreak/>
              <w:t>2019-11-28</w:t>
            </w:r>
          </w:p>
        </w:tc>
        <w:tc>
          <w:tcPr>
            <w:tcW w:w="1548" w:type="dxa"/>
            <w:vAlign w:val="center"/>
          </w:tcPr>
          <w:p w:rsidR="006212C0" w:rsidRDefault="00232A43">
            <w:pPr>
              <w:jc w:val="center"/>
            </w:pPr>
            <w:r>
              <w:rPr>
                <w:color w:val="000000"/>
                <w:sz w:val="24"/>
                <w:szCs w:val="24"/>
              </w:rPr>
              <w:t>-</w:t>
            </w:r>
          </w:p>
        </w:tc>
        <w:tc>
          <w:tcPr>
            <w:tcW w:w="1407" w:type="dxa"/>
            <w:vAlign w:val="center"/>
          </w:tcPr>
          <w:p w:rsidR="006212C0" w:rsidRDefault="00232A43">
            <w:pPr>
              <w:jc w:val="center"/>
            </w:pPr>
            <w:r>
              <w:rPr>
                <w:color w:val="000000"/>
                <w:sz w:val="24"/>
                <w:szCs w:val="24"/>
              </w:rPr>
              <w:t>8</w:t>
            </w:r>
            <w:r>
              <w:rPr>
                <w:color w:val="000000"/>
                <w:sz w:val="24"/>
                <w:szCs w:val="24"/>
              </w:rPr>
              <w:t>年</w:t>
            </w:r>
          </w:p>
        </w:tc>
        <w:tc>
          <w:tcPr>
            <w:tcW w:w="2673" w:type="dxa"/>
            <w:vAlign w:val="center"/>
          </w:tcPr>
          <w:p w:rsidR="006212C0" w:rsidRDefault="00232A43">
            <w:r>
              <w:rPr>
                <w:color w:val="000000"/>
                <w:sz w:val="24"/>
                <w:szCs w:val="24"/>
              </w:rPr>
              <w:t>王艺伟女士，北京大学</w:t>
            </w:r>
            <w:r>
              <w:rPr>
                <w:color w:val="000000"/>
                <w:sz w:val="24"/>
                <w:szCs w:val="24"/>
              </w:rPr>
              <w:lastRenderedPageBreak/>
              <w:t>经济学硕士，吉林大学经济学学士、理学学士。</w:t>
            </w:r>
            <w:r>
              <w:rPr>
                <w:color w:val="000000"/>
                <w:sz w:val="24"/>
                <w:szCs w:val="24"/>
              </w:rPr>
              <w:t>2012</w:t>
            </w:r>
            <w:r>
              <w:rPr>
                <w:color w:val="000000"/>
                <w:sz w:val="24"/>
                <w:szCs w:val="24"/>
              </w:rPr>
              <w:t>年</w:t>
            </w:r>
            <w:r>
              <w:rPr>
                <w:color w:val="000000"/>
                <w:sz w:val="24"/>
                <w:szCs w:val="24"/>
              </w:rPr>
              <w:t>-2014</w:t>
            </w:r>
            <w:r>
              <w:rPr>
                <w:color w:val="000000"/>
                <w:sz w:val="24"/>
                <w:szCs w:val="24"/>
              </w:rPr>
              <w:t>年任光大证券研究所宏观分析师。</w:t>
            </w:r>
            <w:r>
              <w:rPr>
                <w:color w:val="000000"/>
                <w:sz w:val="24"/>
                <w:szCs w:val="24"/>
              </w:rPr>
              <w:t>2014</w:t>
            </w:r>
            <w:r>
              <w:rPr>
                <w:color w:val="000000"/>
                <w:sz w:val="24"/>
                <w:szCs w:val="24"/>
              </w:rPr>
              <w:t>年</w:t>
            </w:r>
            <w:r>
              <w:rPr>
                <w:color w:val="000000"/>
                <w:sz w:val="24"/>
                <w:szCs w:val="24"/>
              </w:rPr>
              <w:t>9</w:t>
            </w:r>
            <w:r>
              <w:rPr>
                <w:color w:val="000000"/>
                <w:sz w:val="24"/>
                <w:szCs w:val="24"/>
              </w:rPr>
              <w:t>月加入交银施罗德基金管理有限公司，历任研究员、研究部助理总经理、基金经理助理。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212C0" w:rsidRDefault="00232A4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w:t>
      </w:r>
      <w:r>
        <w:rPr>
          <w:color w:val="000000"/>
          <w:sz w:val="24"/>
          <w:szCs w:val="24"/>
        </w:rPr>
        <w:t>的所有资产组合，包括证券投资基金和私募资产管理计划均严格遵循制度进行公平交易。</w:t>
      </w:r>
    </w:p>
    <w:p w:rsidR="006212C0" w:rsidRDefault="00232A4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6212C0" w:rsidRDefault="00232A4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w:t>
      </w:r>
      <w:r>
        <w:rPr>
          <w:color w:val="000000"/>
          <w:sz w:val="24"/>
          <w:szCs w:val="24"/>
        </w:rPr>
        <w:t>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212C0" w:rsidRDefault="00232A43">
      <w:pPr>
        <w:spacing w:before="29" w:line="288" w:lineRule="auto"/>
        <w:ind w:firstLineChars="200" w:firstLine="480"/>
        <w:rPr>
          <w:color w:val="000000"/>
          <w:sz w:val="24"/>
          <w:szCs w:val="24"/>
        </w:rPr>
      </w:pPr>
      <w:r>
        <w:rPr>
          <w:color w:val="000000"/>
          <w:sz w:val="24"/>
          <w:szCs w:val="24"/>
        </w:rPr>
        <w:t>本报告期内，资金面、信用事件以及经济预期波动对于债市影响较大，债市收益率呈现先上后下的走势。十月，债市收益率震荡微幅向下，市场所担忧的诸如债券供给压力逐步得到缓解，资金面也略微趋宽，但是基本面和资金面均没有看到明确的利多拐点</w:t>
      </w:r>
      <w:r>
        <w:rPr>
          <w:color w:val="000000"/>
          <w:sz w:val="24"/>
          <w:szCs w:val="24"/>
        </w:rPr>
        <w:t>.</w:t>
      </w:r>
      <w:r>
        <w:rPr>
          <w:color w:val="000000"/>
          <w:sz w:val="24"/>
          <w:szCs w:val="24"/>
        </w:rPr>
        <w:t>十一月，受部分信用债违约事件冲击，债市收益率明显上行，下旬货币政策方向趋宽，利率债收益率下行，信用分化则持续。十二月，货币政策依然友好，叠加市场担心二次疫情冲击，债市收益率进一步下行。</w:t>
      </w:r>
    </w:p>
    <w:p w:rsidR="006212C0" w:rsidRDefault="00232A43">
      <w:pPr>
        <w:spacing w:before="29" w:line="288" w:lineRule="auto"/>
        <w:ind w:firstLineChars="200" w:firstLine="480"/>
        <w:rPr>
          <w:color w:val="000000"/>
          <w:sz w:val="24"/>
          <w:szCs w:val="24"/>
        </w:rPr>
      </w:pPr>
      <w:r>
        <w:rPr>
          <w:color w:val="000000"/>
          <w:sz w:val="24"/>
          <w:szCs w:val="24"/>
        </w:rPr>
        <w:t>四季度，十二月市场一度演绎二次疫情逻辑，除此之外更聚焦在疫情后相关需求改善带来的投资机会。可选消费品</w:t>
      </w:r>
      <w:r>
        <w:rPr>
          <w:color w:val="000000"/>
          <w:sz w:val="24"/>
          <w:szCs w:val="24"/>
        </w:rPr>
        <w:t>、顺周期、军工以及新能源赛道表现相对较优，而逆周期赛道表现相对弱势。</w:t>
      </w:r>
    </w:p>
    <w:p w:rsidR="006212C0" w:rsidRDefault="00232A43">
      <w:pPr>
        <w:spacing w:before="29" w:line="288" w:lineRule="auto"/>
        <w:ind w:firstLineChars="200" w:firstLine="480"/>
        <w:rPr>
          <w:color w:val="000000"/>
          <w:sz w:val="24"/>
          <w:szCs w:val="24"/>
        </w:rPr>
      </w:pPr>
      <w:r>
        <w:rPr>
          <w:color w:val="000000"/>
          <w:sz w:val="24"/>
          <w:szCs w:val="24"/>
        </w:rPr>
        <w:t>在基金操作中，组合债券部分以中短久期利率债品种为主，并辅以部分长端利率的波段操作。权益方面，我们卖出了部分小市值个股，同时增配了业绩有改善公司资质相对较好的顺周期品种，并适当加大了金融板块的配置比例。</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维持经济基本面磨底改善的判断，并且在信用风险事件冲击下，货币政策中性偏温和的概率更大。本基金将维持底仓中短久期高等级信用债品种配置，谨慎把握债券供给、避险情绪带来的长债交易性机会。权益方面，我们预计</w:t>
      </w:r>
      <w:r w:rsidRPr="00414345">
        <w:rPr>
          <w:color w:val="000000"/>
          <w:sz w:val="24"/>
          <w:szCs w:val="24"/>
        </w:rPr>
        <w:t>2021</w:t>
      </w:r>
      <w:r w:rsidRPr="00414345">
        <w:rPr>
          <w:color w:val="000000"/>
          <w:sz w:val="24"/>
          <w:szCs w:val="24"/>
        </w:rPr>
        <w:t>年市场整体估值提升空间不大，因此我们将更注重对持仓个股业绩持续性以及性价比的研究。在赛道选择上，我们更为关注顺周期和部分成长赛道中的龙头品种，努力为投资者增厚组合收益。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15,953,373.88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18.50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15,953,373.88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18.50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67,730,293.60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78.53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67,730,293.60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78.53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1,273,600.69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1,293,348.62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86,250,616.79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204,375.00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8,517,770.50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690,643.00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1,703,461.78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4,837,123.60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15,953,373.88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212C0">
        <w:trPr>
          <w:jc w:val="center"/>
        </w:trPr>
        <w:tc>
          <w:tcPr>
            <w:tcW w:w="855" w:type="dxa"/>
            <w:vAlign w:val="center"/>
          </w:tcPr>
          <w:p w:rsidR="006212C0" w:rsidRDefault="00232A43">
            <w:pPr>
              <w:jc w:val="center"/>
            </w:pPr>
            <w:r>
              <w:rPr>
                <w:color w:val="000000"/>
                <w:sz w:val="24"/>
                <w:szCs w:val="24"/>
              </w:rPr>
              <w:t>1</w:t>
            </w:r>
          </w:p>
        </w:tc>
        <w:tc>
          <w:tcPr>
            <w:tcW w:w="1334" w:type="dxa"/>
            <w:vAlign w:val="center"/>
          </w:tcPr>
          <w:p w:rsidR="006212C0" w:rsidRDefault="00232A43">
            <w:pPr>
              <w:jc w:val="center"/>
            </w:pPr>
            <w:r>
              <w:rPr>
                <w:color w:val="000000"/>
                <w:sz w:val="24"/>
                <w:szCs w:val="24"/>
              </w:rPr>
              <w:t>601601</w:t>
            </w:r>
          </w:p>
        </w:tc>
        <w:tc>
          <w:tcPr>
            <w:tcW w:w="1777" w:type="dxa"/>
            <w:vAlign w:val="center"/>
          </w:tcPr>
          <w:p w:rsidR="006212C0" w:rsidRDefault="00232A43">
            <w:pPr>
              <w:jc w:val="center"/>
            </w:pPr>
            <w:r>
              <w:rPr>
                <w:color w:val="000000"/>
                <w:sz w:val="24"/>
                <w:szCs w:val="24"/>
              </w:rPr>
              <w:t>中国太保</w:t>
            </w:r>
          </w:p>
        </w:tc>
        <w:tc>
          <w:tcPr>
            <w:tcW w:w="1334" w:type="dxa"/>
            <w:vAlign w:val="center"/>
          </w:tcPr>
          <w:p w:rsidR="006212C0" w:rsidRDefault="00232A43">
            <w:pPr>
              <w:jc w:val="right"/>
            </w:pPr>
            <w:r>
              <w:rPr>
                <w:color w:val="000000"/>
                <w:sz w:val="24"/>
                <w:szCs w:val="24"/>
              </w:rPr>
              <w:t>57,794</w:t>
            </w:r>
          </w:p>
        </w:tc>
        <w:tc>
          <w:tcPr>
            <w:tcW w:w="1924" w:type="dxa"/>
            <w:vAlign w:val="center"/>
          </w:tcPr>
          <w:p w:rsidR="006212C0" w:rsidRDefault="00232A43">
            <w:pPr>
              <w:jc w:val="right"/>
            </w:pPr>
            <w:r>
              <w:rPr>
                <w:color w:val="000000"/>
                <w:sz w:val="24"/>
                <w:szCs w:val="24"/>
              </w:rPr>
              <w:t>2,219,289.60</w:t>
            </w:r>
          </w:p>
        </w:tc>
        <w:tc>
          <w:tcPr>
            <w:tcW w:w="1644" w:type="dxa"/>
            <w:vAlign w:val="center"/>
          </w:tcPr>
          <w:p w:rsidR="006212C0" w:rsidRDefault="00232A43">
            <w:pPr>
              <w:jc w:val="right"/>
            </w:pPr>
            <w:r>
              <w:rPr>
                <w:color w:val="000000"/>
                <w:sz w:val="24"/>
                <w:szCs w:val="24"/>
              </w:rPr>
              <w:t>2.63</w:t>
            </w:r>
          </w:p>
        </w:tc>
      </w:tr>
      <w:tr w:rsidR="006212C0">
        <w:trPr>
          <w:jc w:val="center"/>
        </w:trPr>
        <w:tc>
          <w:tcPr>
            <w:tcW w:w="855" w:type="dxa"/>
            <w:vAlign w:val="center"/>
          </w:tcPr>
          <w:p w:rsidR="006212C0" w:rsidRDefault="00232A43">
            <w:pPr>
              <w:jc w:val="center"/>
            </w:pPr>
            <w:r>
              <w:rPr>
                <w:color w:val="000000"/>
                <w:sz w:val="24"/>
                <w:szCs w:val="24"/>
              </w:rPr>
              <w:t>2</w:t>
            </w:r>
          </w:p>
        </w:tc>
        <w:tc>
          <w:tcPr>
            <w:tcW w:w="1334" w:type="dxa"/>
            <w:vAlign w:val="center"/>
          </w:tcPr>
          <w:p w:rsidR="006212C0" w:rsidRDefault="00232A43">
            <w:pPr>
              <w:jc w:val="center"/>
            </w:pPr>
            <w:r>
              <w:rPr>
                <w:color w:val="000000"/>
                <w:sz w:val="24"/>
                <w:szCs w:val="24"/>
              </w:rPr>
              <w:t>002831</w:t>
            </w:r>
          </w:p>
        </w:tc>
        <w:tc>
          <w:tcPr>
            <w:tcW w:w="1777" w:type="dxa"/>
            <w:vAlign w:val="center"/>
          </w:tcPr>
          <w:p w:rsidR="006212C0" w:rsidRDefault="00232A43">
            <w:pPr>
              <w:jc w:val="center"/>
            </w:pPr>
            <w:r>
              <w:rPr>
                <w:color w:val="000000"/>
                <w:sz w:val="24"/>
                <w:szCs w:val="24"/>
              </w:rPr>
              <w:t>裕同科技</w:t>
            </w:r>
          </w:p>
        </w:tc>
        <w:tc>
          <w:tcPr>
            <w:tcW w:w="1334" w:type="dxa"/>
            <w:vAlign w:val="center"/>
          </w:tcPr>
          <w:p w:rsidR="006212C0" w:rsidRDefault="00232A43">
            <w:pPr>
              <w:jc w:val="right"/>
            </w:pPr>
            <w:r>
              <w:rPr>
                <w:color w:val="000000"/>
                <w:sz w:val="24"/>
                <w:szCs w:val="24"/>
              </w:rPr>
              <w:t>48,645</w:t>
            </w:r>
          </w:p>
        </w:tc>
        <w:tc>
          <w:tcPr>
            <w:tcW w:w="1924" w:type="dxa"/>
            <w:vAlign w:val="center"/>
          </w:tcPr>
          <w:p w:rsidR="006212C0" w:rsidRDefault="00232A43">
            <w:pPr>
              <w:jc w:val="right"/>
            </w:pPr>
            <w:r>
              <w:rPr>
                <w:color w:val="000000"/>
                <w:sz w:val="24"/>
                <w:szCs w:val="24"/>
              </w:rPr>
              <w:t>1,489,509.90</w:t>
            </w:r>
          </w:p>
        </w:tc>
        <w:tc>
          <w:tcPr>
            <w:tcW w:w="1644" w:type="dxa"/>
            <w:vAlign w:val="center"/>
          </w:tcPr>
          <w:p w:rsidR="006212C0" w:rsidRDefault="00232A43">
            <w:pPr>
              <w:jc w:val="right"/>
            </w:pPr>
            <w:r>
              <w:rPr>
                <w:color w:val="000000"/>
                <w:sz w:val="24"/>
                <w:szCs w:val="24"/>
              </w:rPr>
              <w:t>1.77</w:t>
            </w:r>
          </w:p>
        </w:tc>
      </w:tr>
      <w:tr w:rsidR="006212C0">
        <w:trPr>
          <w:jc w:val="center"/>
        </w:trPr>
        <w:tc>
          <w:tcPr>
            <w:tcW w:w="855" w:type="dxa"/>
            <w:vAlign w:val="center"/>
          </w:tcPr>
          <w:p w:rsidR="006212C0" w:rsidRDefault="00232A43">
            <w:pPr>
              <w:jc w:val="center"/>
            </w:pPr>
            <w:r>
              <w:rPr>
                <w:color w:val="000000"/>
                <w:sz w:val="24"/>
                <w:szCs w:val="24"/>
              </w:rPr>
              <w:t>3</w:t>
            </w:r>
          </w:p>
        </w:tc>
        <w:tc>
          <w:tcPr>
            <w:tcW w:w="1334" w:type="dxa"/>
            <w:vAlign w:val="center"/>
          </w:tcPr>
          <w:p w:rsidR="006212C0" w:rsidRDefault="00232A43">
            <w:pPr>
              <w:jc w:val="center"/>
            </w:pPr>
            <w:r>
              <w:rPr>
                <w:color w:val="000000"/>
                <w:sz w:val="24"/>
                <w:szCs w:val="24"/>
              </w:rPr>
              <w:t>002064</w:t>
            </w:r>
          </w:p>
        </w:tc>
        <w:tc>
          <w:tcPr>
            <w:tcW w:w="1777" w:type="dxa"/>
            <w:vAlign w:val="center"/>
          </w:tcPr>
          <w:p w:rsidR="006212C0" w:rsidRDefault="00232A43">
            <w:pPr>
              <w:jc w:val="center"/>
            </w:pPr>
            <w:r>
              <w:rPr>
                <w:color w:val="000000"/>
                <w:sz w:val="24"/>
                <w:szCs w:val="24"/>
              </w:rPr>
              <w:t>华峰化学</w:t>
            </w:r>
          </w:p>
        </w:tc>
        <w:tc>
          <w:tcPr>
            <w:tcW w:w="1334" w:type="dxa"/>
            <w:vAlign w:val="center"/>
          </w:tcPr>
          <w:p w:rsidR="006212C0" w:rsidRDefault="00232A43">
            <w:pPr>
              <w:jc w:val="right"/>
            </w:pPr>
            <w:r>
              <w:rPr>
                <w:color w:val="000000"/>
                <w:sz w:val="24"/>
                <w:szCs w:val="24"/>
              </w:rPr>
              <w:t>130,300</w:t>
            </w:r>
          </w:p>
        </w:tc>
        <w:tc>
          <w:tcPr>
            <w:tcW w:w="1924" w:type="dxa"/>
            <w:vAlign w:val="center"/>
          </w:tcPr>
          <w:p w:rsidR="006212C0" w:rsidRDefault="00232A43">
            <w:pPr>
              <w:jc w:val="right"/>
            </w:pPr>
            <w:r>
              <w:rPr>
                <w:color w:val="000000"/>
                <w:sz w:val="24"/>
                <w:szCs w:val="24"/>
              </w:rPr>
              <w:t>1,314,727.00</w:t>
            </w:r>
          </w:p>
        </w:tc>
        <w:tc>
          <w:tcPr>
            <w:tcW w:w="1644" w:type="dxa"/>
            <w:vAlign w:val="center"/>
          </w:tcPr>
          <w:p w:rsidR="006212C0" w:rsidRDefault="00232A43">
            <w:pPr>
              <w:jc w:val="right"/>
            </w:pPr>
            <w:r>
              <w:rPr>
                <w:color w:val="000000"/>
                <w:sz w:val="24"/>
                <w:szCs w:val="24"/>
              </w:rPr>
              <w:t>1.56</w:t>
            </w:r>
          </w:p>
        </w:tc>
      </w:tr>
      <w:tr w:rsidR="006212C0">
        <w:trPr>
          <w:jc w:val="center"/>
        </w:trPr>
        <w:tc>
          <w:tcPr>
            <w:tcW w:w="855" w:type="dxa"/>
            <w:vAlign w:val="center"/>
          </w:tcPr>
          <w:p w:rsidR="006212C0" w:rsidRDefault="00232A43">
            <w:pPr>
              <w:jc w:val="center"/>
            </w:pPr>
            <w:r>
              <w:rPr>
                <w:color w:val="000000"/>
                <w:sz w:val="24"/>
                <w:szCs w:val="24"/>
              </w:rPr>
              <w:t>4</w:t>
            </w:r>
          </w:p>
        </w:tc>
        <w:tc>
          <w:tcPr>
            <w:tcW w:w="1334" w:type="dxa"/>
            <w:vAlign w:val="center"/>
          </w:tcPr>
          <w:p w:rsidR="006212C0" w:rsidRDefault="00232A43">
            <w:pPr>
              <w:jc w:val="center"/>
            </w:pPr>
            <w:r>
              <w:rPr>
                <w:color w:val="000000"/>
                <w:sz w:val="24"/>
                <w:szCs w:val="24"/>
              </w:rPr>
              <w:t>601838</w:t>
            </w:r>
          </w:p>
        </w:tc>
        <w:tc>
          <w:tcPr>
            <w:tcW w:w="1777" w:type="dxa"/>
            <w:vAlign w:val="center"/>
          </w:tcPr>
          <w:p w:rsidR="006212C0" w:rsidRDefault="00232A43">
            <w:pPr>
              <w:jc w:val="center"/>
            </w:pPr>
            <w:r>
              <w:rPr>
                <w:color w:val="000000"/>
                <w:sz w:val="24"/>
                <w:szCs w:val="24"/>
              </w:rPr>
              <w:t>成都银行</w:t>
            </w:r>
          </w:p>
        </w:tc>
        <w:tc>
          <w:tcPr>
            <w:tcW w:w="1334" w:type="dxa"/>
            <w:vAlign w:val="center"/>
          </w:tcPr>
          <w:p w:rsidR="006212C0" w:rsidRDefault="00232A43">
            <w:pPr>
              <w:jc w:val="right"/>
            </w:pPr>
            <w:r>
              <w:rPr>
                <w:color w:val="000000"/>
                <w:sz w:val="24"/>
                <w:szCs w:val="24"/>
              </w:rPr>
              <w:t>114,200</w:t>
            </w:r>
          </w:p>
        </w:tc>
        <w:tc>
          <w:tcPr>
            <w:tcW w:w="1924" w:type="dxa"/>
            <w:vAlign w:val="center"/>
          </w:tcPr>
          <w:p w:rsidR="006212C0" w:rsidRDefault="00232A43">
            <w:pPr>
              <w:jc w:val="right"/>
            </w:pPr>
            <w:r>
              <w:rPr>
                <w:color w:val="000000"/>
                <w:sz w:val="24"/>
                <w:szCs w:val="24"/>
              </w:rPr>
              <w:t>1,218,514.00</w:t>
            </w:r>
          </w:p>
        </w:tc>
        <w:tc>
          <w:tcPr>
            <w:tcW w:w="1644" w:type="dxa"/>
            <w:vAlign w:val="center"/>
          </w:tcPr>
          <w:p w:rsidR="006212C0" w:rsidRDefault="00232A43">
            <w:pPr>
              <w:jc w:val="right"/>
            </w:pPr>
            <w:r>
              <w:rPr>
                <w:color w:val="000000"/>
                <w:sz w:val="24"/>
                <w:szCs w:val="24"/>
              </w:rPr>
              <w:t>1.44</w:t>
            </w:r>
          </w:p>
        </w:tc>
      </w:tr>
      <w:tr w:rsidR="006212C0">
        <w:trPr>
          <w:jc w:val="center"/>
        </w:trPr>
        <w:tc>
          <w:tcPr>
            <w:tcW w:w="855" w:type="dxa"/>
            <w:vAlign w:val="center"/>
          </w:tcPr>
          <w:p w:rsidR="006212C0" w:rsidRDefault="00232A43">
            <w:pPr>
              <w:jc w:val="center"/>
            </w:pPr>
            <w:r>
              <w:rPr>
                <w:color w:val="000000"/>
                <w:sz w:val="24"/>
                <w:szCs w:val="24"/>
              </w:rPr>
              <w:t>5</w:t>
            </w:r>
          </w:p>
        </w:tc>
        <w:tc>
          <w:tcPr>
            <w:tcW w:w="1334" w:type="dxa"/>
            <w:vAlign w:val="center"/>
          </w:tcPr>
          <w:p w:rsidR="006212C0" w:rsidRDefault="00232A43">
            <w:pPr>
              <w:jc w:val="center"/>
            </w:pPr>
            <w:r>
              <w:rPr>
                <w:color w:val="000000"/>
                <w:sz w:val="24"/>
                <w:szCs w:val="24"/>
              </w:rPr>
              <w:t>002493</w:t>
            </w:r>
          </w:p>
        </w:tc>
        <w:tc>
          <w:tcPr>
            <w:tcW w:w="1777" w:type="dxa"/>
            <w:vAlign w:val="center"/>
          </w:tcPr>
          <w:p w:rsidR="006212C0" w:rsidRDefault="00232A43">
            <w:pPr>
              <w:jc w:val="center"/>
            </w:pPr>
            <w:r>
              <w:rPr>
                <w:color w:val="000000"/>
                <w:sz w:val="24"/>
                <w:szCs w:val="24"/>
              </w:rPr>
              <w:t>荣盛石化</w:t>
            </w:r>
          </w:p>
        </w:tc>
        <w:tc>
          <w:tcPr>
            <w:tcW w:w="1334" w:type="dxa"/>
            <w:vAlign w:val="center"/>
          </w:tcPr>
          <w:p w:rsidR="006212C0" w:rsidRDefault="00232A43">
            <w:pPr>
              <w:jc w:val="right"/>
            </w:pPr>
            <w:r>
              <w:rPr>
                <w:color w:val="000000"/>
                <w:sz w:val="24"/>
                <w:szCs w:val="24"/>
              </w:rPr>
              <w:t>42,000</w:t>
            </w:r>
          </w:p>
        </w:tc>
        <w:tc>
          <w:tcPr>
            <w:tcW w:w="1924" w:type="dxa"/>
            <w:vAlign w:val="center"/>
          </w:tcPr>
          <w:p w:rsidR="006212C0" w:rsidRDefault="00232A43">
            <w:pPr>
              <w:jc w:val="right"/>
            </w:pPr>
            <w:r>
              <w:rPr>
                <w:color w:val="000000"/>
                <w:sz w:val="24"/>
                <w:szCs w:val="24"/>
              </w:rPr>
              <w:t>1,159,620.00</w:t>
            </w:r>
          </w:p>
        </w:tc>
        <w:tc>
          <w:tcPr>
            <w:tcW w:w="1644" w:type="dxa"/>
            <w:vAlign w:val="center"/>
          </w:tcPr>
          <w:p w:rsidR="006212C0" w:rsidRDefault="00232A43">
            <w:pPr>
              <w:jc w:val="right"/>
            </w:pPr>
            <w:r>
              <w:rPr>
                <w:color w:val="000000"/>
                <w:sz w:val="24"/>
                <w:szCs w:val="24"/>
              </w:rPr>
              <w:t>1.37</w:t>
            </w:r>
          </w:p>
        </w:tc>
      </w:tr>
      <w:tr w:rsidR="006212C0">
        <w:trPr>
          <w:jc w:val="center"/>
        </w:trPr>
        <w:tc>
          <w:tcPr>
            <w:tcW w:w="855" w:type="dxa"/>
            <w:vAlign w:val="center"/>
          </w:tcPr>
          <w:p w:rsidR="006212C0" w:rsidRDefault="00232A43">
            <w:pPr>
              <w:jc w:val="center"/>
            </w:pPr>
            <w:r>
              <w:rPr>
                <w:color w:val="000000"/>
                <w:sz w:val="24"/>
                <w:szCs w:val="24"/>
              </w:rPr>
              <w:t>6</w:t>
            </w:r>
          </w:p>
        </w:tc>
        <w:tc>
          <w:tcPr>
            <w:tcW w:w="1334" w:type="dxa"/>
            <w:vAlign w:val="center"/>
          </w:tcPr>
          <w:p w:rsidR="006212C0" w:rsidRDefault="00232A43">
            <w:pPr>
              <w:jc w:val="center"/>
            </w:pPr>
            <w:r>
              <w:rPr>
                <w:color w:val="000000"/>
                <w:sz w:val="24"/>
                <w:szCs w:val="24"/>
              </w:rPr>
              <w:t>002475</w:t>
            </w:r>
          </w:p>
        </w:tc>
        <w:tc>
          <w:tcPr>
            <w:tcW w:w="1777" w:type="dxa"/>
            <w:vAlign w:val="center"/>
          </w:tcPr>
          <w:p w:rsidR="006212C0" w:rsidRDefault="00232A43">
            <w:pPr>
              <w:jc w:val="center"/>
            </w:pPr>
            <w:r>
              <w:rPr>
                <w:color w:val="000000"/>
                <w:sz w:val="24"/>
                <w:szCs w:val="24"/>
              </w:rPr>
              <w:t>立讯精密</w:t>
            </w:r>
          </w:p>
        </w:tc>
        <w:tc>
          <w:tcPr>
            <w:tcW w:w="1334" w:type="dxa"/>
            <w:vAlign w:val="center"/>
          </w:tcPr>
          <w:p w:rsidR="006212C0" w:rsidRDefault="00232A43">
            <w:pPr>
              <w:jc w:val="right"/>
            </w:pPr>
            <w:r>
              <w:rPr>
                <w:color w:val="000000"/>
                <w:sz w:val="24"/>
                <w:szCs w:val="24"/>
              </w:rPr>
              <w:t>18,069</w:t>
            </w:r>
          </w:p>
        </w:tc>
        <w:tc>
          <w:tcPr>
            <w:tcW w:w="1924" w:type="dxa"/>
            <w:vAlign w:val="center"/>
          </w:tcPr>
          <w:p w:rsidR="006212C0" w:rsidRDefault="00232A43">
            <w:pPr>
              <w:jc w:val="right"/>
            </w:pPr>
            <w:r>
              <w:rPr>
                <w:color w:val="000000"/>
                <w:sz w:val="24"/>
                <w:szCs w:val="24"/>
              </w:rPr>
              <w:t>1,014,032.28</w:t>
            </w:r>
          </w:p>
        </w:tc>
        <w:tc>
          <w:tcPr>
            <w:tcW w:w="1644" w:type="dxa"/>
            <w:vAlign w:val="center"/>
          </w:tcPr>
          <w:p w:rsidR="006212C0" w:rsidRDefault="00232A43">
            <w:pPr>
              <w:jc w:val="right"/>
            </w:pPr>
            <w:r>
              <w:rPr>
                <w:color w:val="000000"/>
                <w:sz w:val="24"/>
                <w:szCs w:val="24"/>
              </w:rPr>
              <w:t>1.20</w:t>
            </w:r>
          </w:p>
        </w:tc>
      </w:tr>
      <w:tr w:rsidR="006212C0">
        <w:trPr>
          <w:jc w:val="center"/>
        </w:trPr>
        <w:tc>
          <w:tcPr>
            <w:tcW w:w="855" w:type="dxa"/>
            <w:vAlign w:val="center"/>
          </w:tcPr>
          <w:p w:rsidR="006212C0" w:rsidRDefault="00232A43">
            <w:pPr>
              <w:jc w:val="center"/>
            </w:pPr>
            <w:r>
              <w:rPr>
                <w:color w:val="000000"/>
                <w:sz w:val="24"/>
                <w:szCs w:val="24"/>
              </w:rPr>
              <w:t>7</w:t>
            </w:r>
          </w:p>
        </w:tc>
        <w:tc>
          <w:tcPr>
            <w:tcW w:w="1334" w:type="dxa"/>
            <w:vAlign w:val="center"/>
          </w:tcPr>
          <w:p w:rsidR="006212C0" w:rsidRDefault="00232A43">
            <w:pPr>
              <w:jc w:val="center"/>
            </w:pPr>
            <w:r>
              <w:rPr>
                <w:color w:val="000000"/>
                <w:sz w:val="24"/>
                <w:szCs w:val="24"/>
              </w:rPr>
              <w:t>600036</w:t>
            </w:r>
          </w:p>
        </w:tc>
        <w:tc>
          <w:tcPr>
            <w:tcW w:w="1777" w:type="dxa"/>
            <w:vAlign w:val="center"/>
          </w:tcPr>
          <w:p w:rsidR="006212C0" w:rsidRDefault="00232A43">
            <w:pPr>
              <w:jc w:val="center"/>
            </w:pPr>
            <w:r>
              <w:rPr>
                <w:color w:val="000000"/>
                <w:sz w:val="24"/>
                <w:szCs w:val="24"/>
              </w:rPr>
              <w:t>招商银行</w:t>
            </w:r>
          </w:p>
        </w:tc>
        <w:tc>
          <w:tcPr>
            <w:tcW w:w="1334" w:type="dxa"/>
            <w:vAlign w:val="center"/>
          </w:tcPr>
          <w:p w:rsidR="006212C0" w:rsidRDefault="00232A43">
            <w:pPr>
              <w:jc w:val="right"/>
            </w:pPr>
            <w:r>
              <w:rPr>
                <w:color w:val="000000"/>
                <w:sz w:val="24"/>
                <w:szCs w:val="24"/>
              </w:rPr>
              <w:t>20,400</w:t>
            </w:r>
          </w:p>
        </w:tc>
        <w:tc>
          <w:tcPr>
            <w:tcW w:w="1924" w:type="dxa"/>
            <w:vAlign w:val="center"/>
          </w:tcPr>
          <w:p w:rsidR="006212C0" w:rsidRDefault="00232A43">
            <w:pPr>
              <w:jc w:val="right"/>
            </w:pPr>
            <w:r>
              <w:rPr>
                <w:color w:val="000000"/>
                <w:sz w:val="24"/>
                <w:szCs w:val="24"/>
              </w:rPr>
              <w:t>896,580.00</w:t>
            </w:r>
          </w:p>
        </w:tc>
        <w:tc>
          <w:tcPr>
            <w:tcW w:w="1644" w:type="dxa"/>
            <w:vAlign w:val="center"/>
          </w:tcPr>
          <w:p w:rsidR="006212C0" w:rsidRDefault="00232A43">
            <w:pPr>
              <w:jc w:val="right"/>
            </w:pPr>
            <w:r>
              <w:rPr>
                <w:color w:val="000000"/>
                <w:sz w:val="24"/>
                <w:szCs w:val="24"/>
              </w:rPr>
              <w:t>1.06</w:t>
            </w:r>
          </w:p>
        </w:tc>
      </w:tr>
      <w:tr w:rsidR="006212C0">
        <w:trPr>
          <w:jc w:val="center"/>
        </w:trPr>
        <w:tc>
          <w:tcPr>
            <w:tcW w:w="855" w:type="dxa"/>
            <w:vAlign w:val="center"/>
          </w:tcPr>
          <w:p w:rsidR="006212C0" w:rsidRDefault="00232A43">
            <w:pPr>
              <w:jc w:val="center"/>
            </w:pPr>
            <w:r>
              <w:rPr>
                <w:color w:val="000000"/>
                <w:sz w:val="24"/>
                <w:szCs w:val="24"/>
              </w:rPr>
              <w:t>8</w:t>
            </w:r>
          </w:p>
        </w:tc>
        <w:tc>
          <w:tcPr>
            <w:tcW w:w="1334" w:type="dxa"/>
            <w:vAlign w:val="center"/>
          </w:tcPr>
          <w:p w:rsidR="006212C0" w:rsidRDefault="00232A43">
            <w:pPr>
              <w:jc w:val="center"/>
            </w:pPr>
            <w:r>
              <w:rPr>
                <w:color w:val="000000"/>
                <w:sz w:val="24"/>
                <w:szCs w:val="24"/>
              </w:rPr>
              <w:t>002120</w:t>
            </w:r>
          </w:p>
        </w:tc>
        <w:tc>
          <w:tcPr>
            <w:tcW w:w="1777" w:type="dxa"/>
            <w:vAlign w:val="center"/>
          </w:tcPr>
          <w:p w:rsidR="006212C0" w:rsidRDefault="00232A43">
            <w:pPr>
              <w:jc w:val="center"/>
            </w:pPr>
            <w:r>
              <w:rPr>
                <w:color w:val="000000"/>
                <w:sz w:val="24"/>
                <w:szCs w:val="24"/>
              </w:rPr>
              <w:t>韵达股份</w:t>
            </w:r>
          </w:p>
        </w:tc>
        <w:tc>
          <w:tcPr>
            <w:tcW w:w="1334" w:type="dxa"/>
            <w:vAlign w:val="center"/>
          </w:tcPr>
          <w:p w:rsidR="006212C0" w:rsidRDefault="00232A43">
            <w:pPr>
              <w:jc w:val="right"/>
            </w:pPr>
            <w:r>
              <w:rPr>
                <w:color w:val="000000"/>
                <w:sz w:val="24"/>
                <w:szCs w:val="24"/>
              </w:rPr>
              <w:t>43,990</w:t>
            </w:r>
          </w:p>
        </w:tc>
        <w:tc>
          <w:tcPr>
            <w:tcW w:w="1924" w:type="dxa"/>
            <w:vAlign w:val="center"/>
          </w:tcPr>
          <w:p w:rsidR="006212C0" w:rsidRDefault="00232A43">
            <w:pPr>
              <w:jc w:val="right"/>
            </w:pPr>
            <w:r>
              <w:rPr>
                <w:color w:val="000000"/>
                <w:sz w:val="24"/>
                <w:szCs w:val="24"/>
              </w:rPr>
              <w:t>690,643.00</w:t>
            </w:r>
          </w:p>
        </w:tc>
        <w:tc>
          <w:tcPr>
            <w:tcW w:w="1644" w:type="dxa"/>
            <w:vAlign w:val="center"/>
          </w:tcPr>
          <w:p w:rsidR="006212C0" w:rsidRDefault="00232A43">
            <w:pPr>
              <w:jc w:val="right"/>
            </w:pPr>
            <w:r>
              <w:rPr>
                <w:color w:val="000000"/>
                <w:sz w:val="24"/>
                <w:szCs w:val="24"/>
              </w:rPr>
              <w:t>0.82</w:t>
            </w:r>
          </w:p>
        </w:tc>
      </w:tr>
      <w:tr w:rsidR="006212C0">
        <w:trPr>
          <w:jc w:val="center"/>
        </w:trPr>
        <w:tc>
          <w:tcPr>
            <w:tcW w:w="855" w:type="dxa"/>
            <w:vAlign w:val="center"/>
          </w:tcPr>
          <w:p w:rsidR="006212C0" w:rsidRDefault="00232A43">
            <w:pPr>
              <w:jc w:val="center"/>
            </w:pPr>
            <w:r>
              <w:rPr>
                <w:color w:val="000000"/>
                <w:sz w:val="24"/>
                <w:szCs w:val="24"/>
              </w:rPr>
              <w:t>9</w:t>
            </w:r>
          </w:p>
        </w:tc>
        <w:tc>
          <w:tcPr>
            <w:tcW w:w="1334" w:type="dxa"/>
            <w:vAlign w:val="center"/>
          </w:tcPr>
          <w:p w:rsidR="006212C0" w:rsidRDefault="00232A43">
            <w:pPr>
              <w:jc w:val="center"/>
            </w:pPr>
            <w:r>
              <w:rPr>
                <w:color w:val="000000"/>
                <w:sz w:val="24"/>
                <w:szCs w:val="24"/>
              </w:rPr>
              <w:t>688188</w:t>
            </w:r>
          </w:p>
        </w:tc>
        <w:tc>
          <w:tcPr>
            <w:tcW w:w="1777" w:type="dxa"/>
            <w:vAlign w:val="center"/>
          </w:tcPr>
          <w:p w:rsidR="006212C0" w:rsidRDefault="00232A43">
            <w:pPr>
              <w:jc w:val="center"/>
            </w:pPr>
            <w:r>
              <w:rPr>
                <w:color w:val="000000"/>
                <w:sz w:val="24"/>
                <w:szCs w:val="24"/>
              </w:rPr>
              <w:t>柏楚电子</w:t>
            </w:r>
          </w:p>
        </w:tc>
        <w:tc>
          <w:tcPr>
            <w:tcW w:w="1334" w:type="dxa"/>
            <w:vAlign w:val="center"/>
          </w:tcPr>
          <w:p w:rsidR="006212C0" w:rsidRDefault="00232A43">
            <w:pPr>
              <w:jc w:val="right"/>
            </w:pPr>
            <w:r>
              <w:rPr>
                <w:color w:val="000000"/>
                <w:sz w:val="24"/>
                <w:szCs w:val="24"/>
              </w:rPr>
              <w:t>2,469</w:t>
            </w:r>
          </w:p>
        </w:tc>
        <w:tc>
          <w:tcPr>
            <w:tcW w:w="1924" w:type="dxa"/>
            <w:vAlign w:val="center"/>
          </w:tcPr>
          <w:p w:rsidR="006212C0" w:rsidRDefault="00232A43">
            <w:pPr>
              <w:jc w:val="right"/>
            </w:pPr>
            <w:r>
              <w:rPr>
                <w:color w:val="000000"/>
                <w:sz w:val="24"/>
                <w:szCs w:val="24"/>
              </w:rPr>
              <w:t>650,877.78</w:t>
            </w:r>
          </w:p>
        </w:tc>
        <w:tc>
          <w:tcPr>
            <w:tcW w:w="1644" w:type="dxa"/>
            <w:vAlign w:val="center"/>
          </w:tcPr>
          <w:p w:rsidR="006212C0" w:rsidRDefault="00232A43">
            <w:pPr>
              <w:jc w:val="right"/>
            </w:pPr>
            <w:r>
              <w:rPr>
                <w:color w:val="000000"/>
                <w:sz w:val="24"/>
                <w:szCs w:val="24"/>
              </w:rPr>
              <w:t>0.77</w:t>
            </w:r>
          </w:p>
        </w:tc>
      </w:tr>
      <w:tr w:rsidR="006212C0">
        <w:trPr>
          <w:jc w:val="center"/>
        </w:trPr>
        <w:tc>
          <w:tcPr>
            <w:tcW w:w="855" w:type="dxa"/>
            <w:vAlign w:val="center"/>
          </w:tcPr>
          <w:p w:rsidR="006212C0" w:rsidRDefault="00232A43">
            <w:pPr>
              <w:jc w:val="center"/>
            </w:pPr>
            <w:r>
              <w:rPr>
                <w:color w:val="000000"/>
                <w:sz w:val="24"/>
                <w:szCs w:val="24"/>
              </w:rPr>
              <w:t>10</w:t>
            </w:r>
          </w:p>
        </w:tc>
        <w:tc>
          <w:tcPr>
            <w:tcW w:w="1334" w:type="dxa"/>
            <w:vAlign w:val="center"/>
          </w:tcPr>
          <w:p w:rsidR="006212C0" w:rsidRDefault="00232A43">
            <w:pPr>
              <w:jc w:val="center"/>
            </w:pPr>
            <w:r>
              <w:rPr>
                <w:color w:val="000000"/>
                <w:sz w:val="24"/>
                <w:szCs w:val="24"/>
              </w:rPr>
              <w:t>002230</w:t>
            </w:r>
          </w:p>
        </w:tc>
        <w:tc>
          <w:tcPr>
            <w:tcW w:w="1777" w:type="dxa"/>
            <w:vAlign w:val="center"/>
          </w:tcPr>
          <w:p w:rsidR="006212C0" w:rsidRDefault="00232A43">
            <w:pPr>
              <w:jc w:val="center"/>
            </w:pPr>
            <w:r>
              <w:rPr>
                <w:color w:val="000000"/>
                <w:sz w:val="24"/>
                <w:szCs w:val="24"/>
              </w:rPr>
              <w:t>科大讯飞</w:t>
            </w:r>
          </w:p>
        </w:tc>
        <w:tc>
          <w:tcPr>
            <w:tcW w:w="1334" w:type="dxa"/>
            <w:vAlign w:val="center"/>
          </w:tcPr>
          <w:p w:rsidR="006212C0" w:rsidRDefault="00232A43">
            <w:pPr>
              <w:jc w:val="right"/>
            </w:pPr>
            <w:r>
              <w:rPr>
                <w:color w:val="000000"/>
                <w:sz w:val="24"/>
                <w:szCs w:val="24"/>
              </w:rPr>
              <w:t>15,300</w:t>
            </w:r>
          </w:p>
        </w:tc>
        <w:tc>
          <w:tcPr>
            <w:tcW w:w="1924" w:type="dxa"/>
            <w:vAlign w:val="center"/>
          </w:tcPr>
          <w:p w:rsidR="006212C0" w:rsidRDefault="00232A43">
            <w:pPr>
              <w:jc w:val="right"/>
            </w:pPr>
            <w:r>
              <w:rPr>
                <w:color w:val="000000"/>
                <w:sz w:val="24"/>
                <w:szCs w:val="24"/>
              </w:rPr>
              <w:t>625,311.00</w:t>
            </w:r>
          </w:p>
        </w:tc>
        <w:tc>
          <w:tcPr>
            <w:tcW w:w="1644" w:type="dxa"/>
            <w:vAlign w:val="center"/>
          </w:tcPr>
          <w:p w:rsidR="006212C0" w:rsidRDefault="00232A43">
            <w:pPr>
              <w:jc w:val="right"/>
            </w:pPr>
            <w:r>
              <w:rPr>
                <w:color w:val="000000"/>
                <w:sz w:val="24"/>
                <w:szCs w:val="24"/>
              </w:rPr>
              <w:t>0.74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15,896,670.00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50,237,802.00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59.57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50,237,802.00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59.57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1,595,821.60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1.89</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67,730,293.60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80.31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212C0">
        <w:trPr>
          <w:jc w:val="center"/>
        </w:trPr>
        <w:tc>
          <w:tcPr>
            <w:tcW w:w="850" w:type="dxa"/>
            <w:vAlign w:val="center"/>
          </w:tcPr>
          <w:p w:rsidR="006212C0" w:rsidRDefault="00232A43">
            <w:pPr>
              <w:jc w:val="center"/>
            </w:pPr>
            <w:r>
              <w:rPr>
                <w:color w:val="000000"/>
                <w:sz w:val="24"/>
                <w:szCs w:val="24"/>
              </w:rPr>
              <w:t>1</w:t>
            </w:r>
          </w:p>
        </w:tc>
        <w:tc>
          <w:tcPr>
            <w:tcW w:w="1475" w:type="dxa"/>
            <w:vAlign w:val="center"/>
          </w:tcPr>
          <w:p w:rsidR="006212C0" w:rsidRDefault="00232A43">
            <w:pPr>
              <w:jc w:val="center"/>
            </w:pPr>
            <w:r>
              <w:rPr>
                <w:color w:val="000000"/>
                <w:sz w:val="24"/>
                <w:szCs w:val="24"/>
              </w:rPr>
              <w:t>108604</w:t>
            </w:r>
          </w:p>
        </w:tc>
        <w:tc>
          <w:tcPr>
            <w:tcW w:w="1769" w:type="dxa"/>
            <w:vAlign w:val="center"/>
          </w:tcPr>
          <w:p w:rsidR="006212C0" w:rsidRDefault="00232A43">
            <w:pPr>
              <w:jc w:val="center"/>
            </w:pPr>
            <w:r>
              <w:rPr>
                <w:color w:val="000000"/>
                <w:sz w:val="24"/>
                <w:szCs w:val="24"/>
              </w:rPr>
              <w:t>国开</w:t>
            </w:r>
            <w:r>
              <w:rPr>
                <w:color w:val="000000"/>
                <w:sz w:val="24"/>
                <w:szCs w:val="24"/>
              </w:rPr>
              <w:t>1805</w:t>
            </w:r>
          </w:p>
        </w:tc>
        <w:tc>
          <w:tcPr>
            <w:tcW w:w="1387" w:type="dxa"/>
            <w:vAlign w:val="center"/>
          </w:tcPr>
          <w:p w:rsidR="006212C0" w:rsidRDefault="00232A43">
            <w:pPr>
              <w:jc w:val="right"/>
            </w:pPr>
            <w:r>
              <w:rPr>
                <w:color w:val="000000"/>
                <w:sz w:val="24"/>
                <w:szCs w:val="24"/>
              </w:rPr>
              <w:t>264,760</w:t>
            </w:r>
          </w:p>
        </w:tc>
        <w:tc>
          <w:tcPr>
            <w:tcW w:w="2150" w:type="dxa"/>
            <w:vAlign w:val="center"/>
          </w:tcPr>
          <w:p w:rsidR="006212C0" w:rsidRDefault="00232A43">
            <w:pPr>
              <w:jc w:val="right"/>
            </w:pPr>
            <w:r>
              <w:rPr>
                <w:color w:val="000000"/>
                <w:sz w:val="24"/>
                <w:szCs w:val="24"/>
              </w:rPr>
              <w:t>26,695,750.80</w:t>
            </w:r>
          </w:p>
        </w:tc>
        <w:tc>
          <w:tcPr>
            <w:tcW w:w="1237" w:type="dxa"/>
            <w:vAlign w:val="center"/>
          </w:tcPr>
          <w:p w:rsidR="006212C0" w:rsidRDefault="00232A43">
            <w:pPr>
              <w:jc w:val="right"/>
            </w:pPr>
            <w:r>
              <w:rPr>
                <w:color w:val="000000"/>
                <w:sz w:val="24"/>
                <w:szCs w:val="24"/>
              </w:rPr>
              <w:t>31.65</w:t>
            </w:r>
          </w:p>
        </w:tc>
      </w:tr>
      <w:tr w:rsidR="006212C0">
        <w:trPr>
          <w:jc w:val="center"/>
        </w:trPr>
        <w:tc>
          <w:tcPr>
            <w:tcW w:w="850" w:type="dxa"/>
            <w:vAlign w:val="center"/>
          </w:tcPr>
          <w:p w:rsidR="006212C0" w:rsidRDefault="00232A43">
            <w:pPr>
              <w:jc w:val="center"/>
            </w:pPr>
            <w:r>
              <w:rPr>
                <w:color w:val="000000"/>
                <w:sz w:val="24"/>
                <w:szCs w:val="24"/>
              </w:rPr>
              <w:t>2</w:t>
            </w:r>
          </w:p>
        </w:tc>
        <w:tc>
          <w:tcPr>
            <w:tcW w:w="1475" w:type="dxa"/>
            <w:vAlign w:val="center"/>
          </w:tcPr>
          <w:p w:rsidR="006212C0" w:rsidRDefault="00232A43">
            <w:pPr>
              <w:jc w:val="center"/>
            </w:pPr>
            <w:r>
              <w:rPr>
                <w:color w:val="000000"/>
                <w:sz w:val="24"/>
                <w:szCs w:val="24"/>
              </w:rPr>
              <w:t>018006</w:t>
            </w:r>
          </w:p>
        </w:tc>
        <w:tc>
          <w:tcPr>
            <w:tcW w:w="1769" w:type="dxa"/>
            <w:vAlign w:val="center"/>
          </w:tcPr>
          <w:p w:rsidR="006212C0" w:rsidRDefault="00232A43">
            <w:pPr>
              <w:jc w:val="center"/>
            </w:pPr>
            <w:r>
              <w:rPr>
                <w:color w:val="000000"/>
                <w:sz w:val="24"/>
                <w:szCs w:val="24"/>
              </w:rPr>
              <w:t>国开</w:t>
            </w:r>
            <w:r>
              <w:rPr>
                <w:color w:val="000000"/>
                <w:sz w:val="24"/>
                <w:szCs w:val="24"/>
              </w:rPr>
              <w:t>1702</w:t>
            </w:r>
          </w:p>
        </w:tc>
        <w:tc>
          <w:tcPr>
            <w:tcW w:w="1387" w:type="dxa"/>
            <w:vAlign w:val="center"/>
          </w:tcPr>
          <w:p w:rsidR="006212C0" w:rsidRDefault="00232A43">
            <w:pPr>
              <w:jc w:val="right"/>
            </w:pPr>
            <w:r>
              <w:rPr>
                <w:color w:val="000000"/>
                <w:sz w:val="24"/>
                <w:szCs w:val="24"/>
              </w:rPr>
              <w:t>132,300</w:t>
            </w:r>
          </w:p>
        </w:tc>
        <w:tc>
          <w:tcPr>
            <w:tcW w:w="2150" w:type="dxa"/>
            <w:vAlign w:val="center"/>
          </w:tcPr>
          <w:p w:rsidR="006212C0" w:rsidRDefault="00232A43">
            <w:pPr>
              <w:jc w:val="right"/>
            </w:pPr>
            <w:r>
              <w:rPr>
                <w:color w:val="000000"/>
                <w:sz w:val="24"/>
                <w:szCs w:val="24"/>
              </w:rPr>
              <w:t>13,453,587.00</w:t>
            </w:r>
          </w:p>
        </w:tc>
        <w:tc>
          <w:tcPr>
            <w:tcW w:w="1237" w:type="dxa"/>
            <w:vAlign w:val="center"/>
          </w:tcPr>
          <w:p w:rsidR="006212C0" w:rsidRDefault="00232A43">
            <w:pPr>
              <w:jc w:val="right"/>
            </w:pPr>
            <w:r>
              <w:rPr>
                <w:color w:val="000000"/>
                <w:sz w:val="24"/>
                <w:szCs w:val="24"/>
              </w:rPr>
              <w:t>15.95</w:t>
            </w:r>
          </w:p>
        </w:tc>
      </w:tr>
      <w:tr w:rsidR="006212C0">
        <w:trPr>
          <w:jc w:val="center"/>
        </w:trPr>
        <w:tc>
          <w:tcPr>
            <w:tcW w:w="850" w:type="dxa"/>
            <w:vAlign w:val="center"/>
          </w:tcPr>
          <w:p w:rsidR="006212C0" w:rsidRDefault="00232A43">
            <w:pPr>
              <w:jc w:val="center"/>
            </w:pPr>
            <w:r>
              <w:rPr>
                <w:color w:val="000000"/>
                <w:sz w:val="24"/>
                <w:szCs w:val="24"/>
              </w:rPr>
              <w:t>3</w:t>
            </w:r>
          </w:p>
        </w:tc>
        <w:tc>
          <w:tcPr>
            <w:tcW w:w="1475" w:type="dxa"/>
            <w:vAlign w:val="center"/>
          </w:tcPr>
          <w:p w:rsidR="006212C0" w:rsidRDefault="00232A43">
            <w:pPr>
              <w:jc w:val="center"/>
            </w:pPr>
            <w:r>
              <w:rPr>
                <w:color w:val="000000"/>
                <w:sz w:val="24"/>
                <w:szCs w:val="24"/>
              </w:rPr>
              <w:t>019640</w:t>
            </w:r>
          </w:p>
        </w:tc>
        <w:tc>
          <w:tcPr>
            <w:tcW w:w="1769" w:type="dxa"/>
            <w:vAlign w:val="center"/>
          </w:tcPr>
          <w:p w:rsidR="006212C0" w:rsidRDefault="00232A43">
            <w:pPr>
              <w:jc w:val="center"/>
            </w:pPr>
            <w:r>
              <w:rPr>
                <w:color w:val="000000"/>
                <w:sz w:val="24"/>
                <w:szCs w:val="24"/>
              </w:rPr>
              <w:t>20</w:t>
            </w:r>
            <w:r>
              <w:rPr>
                <w:color w:val="000000"/>
                <w:sz w:val="24"/>
                <w:szCs w:val="24"/>
              </w:rPr>
              <w:t>国债</w:t>
            </w:r>
            <w:r>
              <w:rPr>
                <w:color w:val="000000"/>
                <w:sz w:val="24"/>
                <w:szCs w:val="24"/>
              </w:rPr>
              <w:t>10</w:t>
            </w:r>
          </w:p>
        </w:tc>
        <w:tc>
          <w:tcPr>
            <w:tcW w:w="1387" w:type="dxa"/>
            <w:vAlign w:val="center"/>
          </w:tcPr>
          <w:p w:rsidR="006212C0" w:rsidRDefault="00232A43">
            <w:pPr>
              <w:jc w:val="right"/>
            </w:pPr>
            <w:r>
              <w:rPr>
                <w:color w:val="000000"/>
                <w:sz w:val="24"/>
                <w:szCs w:val="24"/>
              </w:rPr>
              <w:t>130,650</w:t>
            </w:r>
          </w:p>
        </w:tc>
        <w:tc>
          <w:tcPr>
            <w:tcW w:w="2150" w:type="dxa"/>
            <w:vAlign w:val="center"/>
          </w:tcPr>
          <w:p w:rsidR="006212C0" w:rsidRDefault="00232A43">
            <w:pPr>
              <w:jc w:val="right"/>
            </w:pPr>
            <w:r>
              <w:rPr>
                <w:color w:val="000000"/>
                <w:sz w:val="24"/>
                <w:szCs w:val="24"/>
              </w:rPr>
              <w:t>13,048,015.50</w:t>
            </w:r>
          </w:p>
        </w:tc>
        <w:tc>
          <w:tcPr>
            <w:tcW w:w="1237" w:type="dxa"/>
            <w:vAlign w:val="center"/>
          </w:tcPr>
          <w:p w:rsidR="006212C0" w:rsidRDefault="00232A43">
            <w:pPr>
              <w:jc w:val="right"/>
            </w:pPr>
            <w:r>
              <w:rPr>
                <w:color w:val="000000"/>
                <w:sz w:val="24"/>
                <w:szCs w:val="24"/>
              </w:rPr>
              <w:t>15.47</w:t>
            </w:r>
          </w:p>
        </w:tc>
      </w:tr>
      <w:tr w:rsidR="006212C0">
        <w:trPr>
          <w:jc w:val="center"/>
        </w:trPr>
        <w:tc>
          <w:tcPr>
            <w:tcW w:w="850" w:type="dxa"/>
            <w:vAlign w:val="center"/>
          </w:tcPr>
          <w:p w:rsidR="006212C0" w:rsidRDefault="00232A43">
            <w:pPr>
              <w:jc w:val="center"/>
            </w:pPr>
            <w:r>
              <w:rPr>
                <w:color w:val="000000"/>
                <w:sz w:val="24"/>
                <w:szCs w:val="24"/>
              </w:rPr>
              <w:t>4</w:t>
            </w:r>
          </w:p>
        </w:tc>
        <w:tc>
          <w:tcPr>
            <w:tcW w:w="1475" w:type="dxa"/>
            <w:vAlign w:val="center"/>
          </w:tcPr>
          <w:p w:rsidR="006212C0" w:rsidRDefault="00232A43">
            <w:pPr>
              <w:jc w:val="center"/>
            </w:pPr>
            <w:r>
              <w:rPr>
                <w:color w:val="000000"/>
                <w:sz w:val="24"/>
                <w:szCs w:val="24"/>
              </w:rPr>
              <w:t>180203</w:t>
            </w:r>
          </w:p>
        </w:tc>
        <w:tc>
          <w:tcPr>
            <w:tcW w:w="1769" w:type="dxa"/>
            <w:vAlign w:val="center"/>
          </w:tcPr>
          <w:p w:rsidR="006212C0" w:rsidRDefault="00232A43">
            <w:pPr>
              <w:jc w:val="center"/>
            </w:pPr>
            <w:r>
              <w:rPr>
                <w:color w:val="000000"/>
                <w:sz w:val="24"/>
                <w:szCs w:val="24"/>
              </w:rPr>
              <w:t>18</w:t>
            </w:r>
            <w:r>
              <w:rPr>
                <w:color w:val="000000"/>
                <w:sz w:val="24"/>
                <w:szCs w:val="24"/>
              </w:rPr>
              <w:t>国开</w:t>
            </w:r>
            <w:r>
              <w:rPr>
                <w:color w:val="000000"/>
                <w:sz w:val="24"/>
                <w:szCs w:val="24"/>
              </w:rPr>
              <w:t>03</w:t>
            </w:r>
          </w:p>
        </w:tc>
        <w:tc>
          <w:tcPr>
            <w:tcW w:w="1387" w:type="dxa"/>
            <w:vAlign w:val="center"/>
          </w:tcPr>
          <w:p w:rsidR="006212C0" w:rsidRDefault="00232A43">
            <w:pPr>
              <w:jc w:val="right"/>
            </w:pPr>
            <w:r>
              <w:rPr>
                <w:color w:val="000000"/>
                <w:sz w:val="24"/>
                <w:szCs w:val="24"/>
              </w:rPr>
              <w:t>100,000</w:t>
            </w:r>
          </w:p>
        </w:tc>
        <w:tc>
          <w:tcPr>
            <w:tcW w:w="2150" w:type="dxa"/>
            <w:vAlign w:val="center"/>
          </w:tcPr>
          <w:p w:rsidR="006212C0" w:rsidRDefault="00232A43">
            <w:pPr>
              <w:jc w:val="right"/>
            </w:pPr>
            <w:r>
              <w:rPr>
                <w:color w:val="000000"/>
                <w:sz w:val="24"/>
                <w:szCs w:val="24"/>
              </w:rPr>
              <w:t>10,042,000.00</w:t>
            </w:r>
          </w:p>
        </w:tc>
        <w:tc>
          <w:tcPr>
            <w:tcW w:w="1237" w:type="dxa"/>
            <w:vAlign w:val="center"/>
          </w:tcPr>
          <w:p w:rsidR="006212C0" w:rsidRDefault="00232A43">
            <w:pPr>
              <w:jc w:val="right"/>
            </w:pPr>
            <w:r>
              <w:rPr>
                <w:color w:val="000000"/>
                <w:sz w:val="24"/>
                <w:szCs w:val="24"/>
              </w:rPr>
              <w:t>11.91</w:t>
            </w:r>
          </w:p>
        </w:tc>
      </w:tr>
      <w:tr w:rsidR="006212C0">
        <w:trPr>
          <w:jc w:val="center"/>
        </w:trPr>
        <w:tc>
          <w:tcPr>
            <w:tcW w:w="850" w:type="dxa"/>
            <w:vAlign w:val="center"/>
          </w:tcPr>
          <w:p w:rsidR="006212C0" w:rsidRDefault="00232A43">
            <w:pPr>
              <w:jc w:val="center"/>
            </w:pPr>
            <w:r>
              <w:rPr>
                <w:color w:val="000000"/>
                <w:sz w:val="24"/>
                <w:szCs w:val="24"/>
              </w:rPr>
              <w:t>5</w:t>
            </w:r>
          </w:p>
        </w:tc>
        <w:tc>
          <w:tcPr>
            <w:tcW w:w="1475" w:type="dxa"/>
            <w:vAlign w:val="center"/>
          </w:tcPr>
          <w:p w:rsidR="006212C0" w:rsidRDefault="00232A43">
            <w:pPr>
              <w:jc w:val="center"/>
            </w:pPr>
            <w:r>
              <w:rPr>
                <w:color w:val="000000"/>
                <w:sz w:val="24"/>
                <w:szCs w:val="24"/>
              </w:rPr>
              <w:t>019547</w:t>
            </w:r>
          </w:p>
        </w:tc>
        <w:tc>
          <w:tcPr>
            <w:tcW w:w="1769" w:type="dxa"/>
            <w:vAlign w:val="center"/>
          </w:tcPr>
          <w:p w:rsidR="006212C0" w:rsidRDefault="00232A43">
            <w:pPr>
              <w:jc w:val="center"/>
            </w:pPr>
            <w:r>
              <w:rPr>
                <w:color w:val="000000"/>
                <w:sz w:val="24"/>
                <w:szCs w:val="24"/>
              </w:rPr>
              <w:t>16</w:t>
            </w:r>
            <w:r>
              <w:rPr>
                <w:color w:val="000000"/>
                <w:sz w:val="24"/>
                <w:szCs w:val="24"/>
              </w:rPr>
              <w:t>国债</w:t>
            </w:r>
            <w:r>
              <w:rPr>
                <w:color w:val="000000"/>
                <w:sz w:val="24"/>
                <w:szCs w:val="24"/>
              </w:rPr>
              <w:t>19</w:t>
            </w:r>
          </w:p>
        </w:tc>
        <w:tc>
          <w:tcPr>
            <w:tcW w:w="1387" w:type="dxa"/>
            <w:vAlign w:val="center"/>
          </w:tcPr>
          <w:p w:rsidR="006212C0" w:rsidRDefault="00232A43">
            <w:pPr>
              <w:jc w:val="right"/>
            </w:pPr>
            <w:r>
              <w:rPr>
                <w:color w:val="000000"/>
                <w:sz w:val="24"/>
                <w:szCs w:val="24"/>
              </w:rPr>
              <w:t>17,170</w:t>
            </w:r>
          </w:p>
        </w:tc>
        <w:tc>
          <w:tcPr>
            <w:tcW w:w="2150" w:type="dxa"/>
            <w:vAlign w:val="center"/>
          </w:tcPr>
          <w:p w:rsidR="006212C0" w:rsidRDefault="00232A43">
            <w:pPr>
              <w:jc w:val="right"/>
            </w:pPr>
            <w:r>
              <w:rPr>
                <w:color w:val="000000"/>
                <w:sz w:val="24"/>
                <w:szCs w:val="24"/>
              </w:rPr>
              <w:t>1,595,779.80</w:t>
            </w:r>
          </w:p>
        </w:tc>
        <w:tc>
          <w:tcPr>
            <w:tcW w:w="1237" w:type="dxa"/>
            <w:vAlign w:val="center"/>
          </w:tcPr>
          <w:p w:rsidR="006212C0" w:rsidRDefault="00232A43">
            <w:pPr>
              <w:jc w:val="right"/>
            </w:pPr>
            <w:r>
              <w:rPr>
                <w:color w:val="000000"/>
                <w:sz w:val="24"/>
                <w:szCs w:val="24"/>
              </w:rPr>
              <w:t>1.89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25,508.60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1,267,820.04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1,293,348.62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6212C0">
        <w:trPr>
          <w:jc w:val="center"/>
        </w:trPr>
        <w:tc>
          <w:tcPr>
            <w:tcW w:w="1883" w:type="dxa"/>
            <w:vAlign w:val="center"/>
          </w:tcPr>
          <w:p w:rsidR="006212C0" w:rsidRDefault="00232A43">
            <w:pPr>
              <w:jc w:val="center"/>
            </w:pPr>
            <w:r>
              <w:rPr>
                <w:color w:val="000000"/>
                <w:sz w:val="24"/>
                <w:szCs w:val="24"/>
              </w:rPr>
              <w:t>1</w:t>
            </w:r>
          </w:p>
        </w:tc>
        <w:tc>
          <w:tcPr>
            <w:tcW w:w="1801" w:type="dxa"/>
            <w:vAlign w:val="center"/>
          </w:tcPr>
          <w:p w:rsidR="006212C0" w:rsidRDefault="00232A43">
            <w:pPr>
              <w:jc w:val="center"/>
            </w:pPr>
            <w:r>
              <w:rPr>
                <w:color w:val="000000"/>
                <w:sz w:val="24"/>
                <w:szCs w:val="24"/>
              </w:rPr>
              <w:t>110059</w:t>
            </w:r>
          </w:p>
        </w:tc>
        <w:tc>
          <w:tcPr>
            <w:tcW w:w="1727" w:type="dxa"/>
            <w:vAlign w:val="center"/>
          </w:tcPr>
          <w:p w:rsidR="006212C0" w:rsidRDefault="00232A43">
            <w:pPr>
              <w:jc w:val="center"/>
            </w:pPr>
            <w:r>
              <w:rPr>
                <w:color w:val="000000"/>
                <w:sz w:val="24"/>
                <w:szCs w:val="24"/>
              </w:rPr>
              <w:t>浦发转债</w:t>
            </w:r>
          </w:p>
        </w:tc>
        <w:tc>
          <w:tcPr>
            <w:tcW w:w="1768" w:type="dxa"/>
            <w:vAlign w:val="center"/>
          </w:tcPr>
          <w:p w:rsidR="006212C0" w:rsidRDefault="00232A43">
            <w:pPr>
              <w:jc w:val="right"/>
            </w:pPr>
            <w:r>
              <w:rPr>
                <w:color w:val="000000"/>
                <w:sz w:val="24"/>
                <w:szCs w:val="24"/>
              </w:rPr>
              <w:t>1,000,694.00</w:t>
            </w:r>
          </w:p>
        </w:tc>
        <w:tc>
          <w:tcPr>
            <w:tcW w:w="1689" w:type="dxa"/>
            <w:vAlign w:val="center"/>
          </w:tcPr>
          <w:p w:rsidR="006212C0" w:rsidRDefault="00232A43">
            <w:pPr>
              <w:jc w:val="right"/>
            </w:pPr>
            <w:r>
              <w:rPr>
                <w:color w:val="000000"/>
                <w:sz w:val="24"/>
                <w:szCs w:val="24"/>
              </w:rPr>
              <w:t>1.19</w:t>
            </w:r>
          </w:p>
        </w:tc>
      </w:tr>
      <w:tr w:rsidR="006212C0">
        <w:trPr>
          <w:jc w:val="center"/>
        </w:trPr>
        <w:tc>
          <w:tcPr>
            <w:tcW w:w="1883" w:type="dxa"/>
            <w:vAlign w:val="center"/>
          </w:tcPr>
          <w:p w:rsidR="006212C0" w:rsidRDefault="00232A43">
            <w:pPr>
              <w:jc w:val="center"/>
            </w:pPr>
            <w:r>
              <w:rPr>
                <w:color w:val="000000"/>
                <w:sz w:val="24"/>
                <w:szCs w:val="24"/>
              </w:rPr>
              <w:t>2</w:t>
            </w:r>
          </w:p>
        </w:tc>
        <w:tc>
          <w:tcPr>
            <w:tcW w:w="1801" w:type="dxa"/>
            <w:vAlign w:val="center"/>
          </w:tcPr>
          <w:p w:rsidR="006212C0" w:rsidRDefault="00232A43">
            <w:pPr>
              <w:jc w:val="center"/>
            </w:pPr>
            <w:r>
              <w:rPr>
                <w:color w:val="000000"/>
                <w:sz w:val="24"/>
                <w:szCs w:val="24"/>
              </w:rPr>
              <w:t>110051</w:t>
            </w:r>
          </w:p>
        </w:tc>
        <w:tc>
          <w:tcPr>
            <w:tcW w:w="1727" w:type="dxa"/>
            <w:vAlign w:val="center"/>
          </w:tcPr>
          <w:p w:rsidR="006212C0" w:rsidRDefault="00232A43">
            <w:pPr>
              <w:jc w:val="center"/>
            </w:pPr>
            <w:r>
              <w:rPr>
                <w:color w:val="000000"/>
                <w:sz w:val="24"/>
                <w:szCs w:val="24"/>
              </w:rPr>
              <w:t>中天转债</w:t>
            </w:r>
          </w:p>
        </w:tc>
        <w:tc>
          <w:tcPr>
            <w:tcW w:w="1768" w:type="dxa"/>
            <w:vAlign w:val="center"/>
          </w:tcPr>
          <w:p w:rsidR="006212C0" w:rsidRDefault="00232A43">
            <w:pPr>
              <w:jc w:val="right"/>
            </w:pPr>
            <w:r>
              <w:rPr>
                <w:color w:val="000000"/>
                <w:sz w:val="24"/>
                <w:szCs w:val="24"/>
              </w:rPr>
              <w:t>417,340.00</w:t>
            </w:r>
          </w:p>
        </w:tc>
        <w:tc>
          <w:tcPr>
            <w:tcW w:w="1689" w:type="dxa"/>
            <w:vAlign w:val="center"/>
          </w:tcPr>
          <w:p w:rsidR="006212C0" w:rsidRDefault="00232A43">
            <w:pPr>
              <w:jc w:val="right"/>
            </w:pPr>
            <w:r>
              <w:rPr>
                <w:color w:val="000000"/>
                <w:sz w:val="24"/>
                <w:szCs w:val="24"/>
              </w:rPr>
              <w:t>0.49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78,119,721.82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21,225.60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1,852,836.71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76,288,110.71</w:t>
            </w:r>
          </w:p>
        </w:tc>
      </w:tr>
    </w:tbl>
    <w:p w:rsidR="006212C0" w:rsidRDefault="00232A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w:t>
            </w:r>
            <w:r w:rsidRPr="004F4D27">
              <w:rPr>
                <w:rFonts w:ascii="宋体" w:hAnsi="宋体" w:hint="eastAsia"/>
                <w:color w:val="000000"/>
                <w:kern w:val="0"/>
              </w:rPr>
              <w:lastRenderedPageBreak/>
              <w:t>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lastRenderedPageBreak/>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6212C0">
        <w:tc>
          <w:tcPr>
            <w:tcW w:w="993" w:type="dxa"/>
            <w:vMerge w:val="restart"/>
          </w:tcPr>
          <w:p w:rsidR="006212C0" w:rsidRDefault="006212C0"/>
          <w:p w:rsidR="006212C0" w:rsidRDefault="00232A43">
            <w:r>
              <w:rPr>
                <w:rFonts w:ascii="宋体" w:hAnsi="宋体" w:hint="eastAsia"/>
                <w:bCs/>
                <w:color w:val="000000"/>
                <w:kern w:val="0"/>
              </w:rPr>
              <w:t>机构</w:t>
            </w:r>
          </w:p>
        </w:tc>
        <w:tc>
          <w:tcPr>
            <w:tcW w:w="992" w:type="dxa"/>
            <w:vAlign w:val="center"/>
          </w:tcPr>
          <w:p w:rsidR="006212C0" w:rsidRDefault="00232A43">
            <w:pPr>
              <w:jc w:val="center"/>
            </w:pPr>
            <w:r>
              <w:rPr>
                <w:rFonts w:ascii="宋体" w:hAnsi="宋体"/>
                <w:color w:val="000000"/>
                <w:kern w:val="0"/>
              </w:rPr>
              <w:t>1</w:t>
            </w:r>
          </w:p>
        </w:tc>
        <w:tc>
          <w:tcPr>
            <w:tcW w:w="1843" w:type="dxa"/>
            <w:vAlign w:val="center"/>
          </w:tcPr>
          <w:p w:rsidR="006212C0" w:rsidRDefault="00232A43">
            <w:pPr>
              <w:jc w:val="center"/>
            </w:pPr>
            <w:r>
              <w:rPr>
                <w:rFonts w:ascii="宋体" w:hAnsi="宋体"/>
                <w:color w:val="000000"/>
                <w:kern w:val="0"/>
              </w:rPr>
              <w:t>2020/10/1-2020/12/31</w:t>
            </w:r>
          </w:p>
        </w:tc>
        <w:tc>
          <w:tcPr>
            <w:tcW w:w="851" w:type="dxa"/>
            <w:vAlign w:val="center"/>
          </w:tcPr>
          <w:p w:rsidR="006212C0" w:rsidRDefault="00232A43">
            <w:pPr>
              <w:jc w:val="center"/>
            </w:pPr>
            <w:r>
              <w:rPr>
                <w:rFonts w:ascii="宋体" w:hAnsi="宋体"/>
                <w:color w:val="000000"/>
                <w:kern w:val="0"/>
              </w:rPr>
              <w:t>47,258,034.03</w:t>
            </w:r>
          </w:p>
        </w:tc>
        <w:tc>
          <w:tcPr>
            <w:tcW w:w="850" w:type="dxa"/>
            <w:vAlign w:val="center"/>
          </w:tcPr>
          <w:p w:rsidR="006212C0" w:rsidRDefault="00232A43">
            <w:pPr>
              <w:jc w:val="center"/>
            </w:pPr>
            <w:r>
              <w:rPr>
                <w:rFonts w:ascii="宋体" w:hAnsi="宋体"/>
                <w:color w:val="000000"/>
                <w:kern w:val="0"/>
              </w:rPr>
              <w:t>-</w:t>
            </w:r>
          </w:p>
        </w:tc>
        <w:tc>
          <w:tcPr>
            <w:tcW w:w="1134" w:type="dxa"/>
            <w:vAlign w:val="center"/>
          </w:tcPr>
          <w:p w:rsidR="006212C0" w:rsidRDefault="00232A43">
            <w:pPr>
              <w:jc w:val="center"/>
            </w:pPr>
            <w:r>
              <w:rPr>
                <w:rFonts w:ascii="宋体" w:hAnsi="宋体"/>
                <w:color w:val="000000"/>
                <w:kern w:val="0"/>
              </w:rPr>
              <w:t>-</w:t>
            </w:r>
          </w:p>
        </w:tc>
        <w:tc>
          <w:tcPr>
            <w:tcW w:w="1419" w:type="dxa"/>
            <w:vAlign w:val="center"/>
          </w:tcPr>
          <w:p w:rsidR="006212C0" w:rsidRDefault="00232A43">
            <w:pPr>
              <w:jc w:val="center"/>
            </w:pPr>
            <w:r>
              <w:rPr>
                <w:rFonts w:ascii="宋体" w:hAnsi="宋体"/>
                <w:color w:val="000000"/>
                <w:kern w:val="0"/>
              </w:rPr>
              <w:t>47,258,034.03</w:t>
            </w:r>
          </w:p>
        </w:tc>
        <w:tc>
          <w:tcPr>
            <w:tcW w:w="1130" w:type="dxa"/>
            <w:vAlign w:val="center"/>
          </w:tcPr>
          <w:p w:rsidR="006212C0" w:rsidRDefault="00232A43">
            <w:pPr>
              <w:jc w:val="center"/>
            </w:pPr>
            <w:r>
              <w:rPr>
                <w:rFonts w:ascii="宋体" w:hAnsi="宋体"/>
                <w:color w:val="000000"/>
                <w:kern w:val="0"/>
              </w:rPr>
              <w:t>61.95%</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212C0" w:rsidRDefault="00232A4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、中国证监会准予交银施罗德荣和保本混合型证券投资基金募集注册的文件；</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、《交银施罗德安心收益债券型证券投资基金基金合同》；</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、《交银施罗德安心收益债券型证券投资基金招募说明书》；</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、《交银施罗德安心收益债券型证券投资基金托管协议》；</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、《交银施罗德荣和保本混合型证券投资基金基金合同》；</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、《交银施罗德荣和保本混合型证券投资基金招募说明书》；</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、《交银施罗德荣和保本混合型证券投资基金托管协议》；</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、《交银施罗德荣和保本混合型证券投资基金保证合同》；</w:t>
      </w:r>
    </w:p>
    <w:p w:rsidR="006212C0" w:rsidRDefault="00232A43">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、关于申请募集注册交银施罗德荣和保本混合型证券投资基金的法律意见书；</w:t>
      </w:r>
      <w:r>
        <w:rPr>
          <w:color w:val="000000"/>
          <w:sz w:val="24"/>
          <w:szCs w:val="24"/>
        </w:rPr>
        <w:t xml:space="preserve"> </w:t>
      </w:r>
    </w:p>
    <w:p w:rsidR="006212C0" w:rsidRDefault="00232A43">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、关于修改《交银施罗德荣和保本混合型证券投资基金基金合同</w:t>
      </w:r>
      <w:r>
        <w:rPr>
          <w:color w:val="000000"/>
          <w:sz w:val="24"/>
          <w:szCs w:val="24"/>
        </w:rPr>
        <w:t>》的法律意见书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、报告期内交银施罗德荣和保本混合型证券投资基金、交银施罗德安心收益债券型证券投资基金在指定报刊上各项公告的原稿。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212C0" w:rsidRDefault="00232A4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A43" w:rsidRDefault="00232A43" w:rsidP="00876D65">
      <w:r>
        <w:separator/>
      </w:r>
    </w:p>
  </w:endnote>
  <w:endnote w:type="continuationSeparator" w:id="0">
    <w:p w:rsidR="00232A43" w:rsidRDefault="00232A4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D48F2">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4D48F2">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A43" w:rsidRDefault="00232A43" w:rsidP="00876D65">
      <w:r>
        <w:separator/>
      </w:r>
    </w:p>
  </w:footnote>
  <w:footnote w:type="continuationSeparator" w:id="0">
    <w:p w:rsidR="00232A43" w:rsidRDefault="00232A4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交银施罗德安心收益债券型证券投资基金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32A4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8F2"/>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12C0"/>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9A42-4AAC-4F04-A7DC-09362AC5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14</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601</cp:revision>
  <dcterms:created xsi:type="dcterms:W3CDTF">2012-10-16T06:07:00Z</dcterms:created>
  <dcterms:modified xsi:type="dcterms:W3CDTF">2021-01-19T02:48:00Z</dcterms:modified>
</cp:coreProperties>
</file>