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交银施罗德先进制造混合型证券投资基金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2020年第4季度报告</w:t>
      </w:r>
    </w:p>
    <w:p w:rsidP="00C15CAC" w:rsidR="004061AC" w:rsidRDefault="00655CD8" w:rsidRPr="0081286B">
      <w:pPr>
        <w:spacing w:before="29" w:line="288" w:lineRule="auto"/>
        <w:jc w:val="center"/>
        <w:rPr>
          <w:b/>
          <w:sz w:val="36"/>
          <w:szCs w:val="36"/>
        </w:rPr>
      </w:pPr>
      <w:r w:rsidRPr="0081286B">
        <w:rPr>
          <w:b/>
          <w:sz w:val="36"/>
          <w:szCs w:val="36"/>
        </w:rPr>
        <w:t>2020年12月31日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二〇二一年一月二十一日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交银先进制造混合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519704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2011年6月22日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1,546,079,827.04</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本基金通过重点投资于与先进制造主题相关的优质企业，把握中国产业结构升级的投资机会，在控制风险并保持基金资产良好的流动性的前提下，力争实现基金资产的长期稳定增值。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自下而上挖掘与先进制造主题相关的上市公司投资机会，以谋求良好收益。其中，本基金所指的先进制造，是指在中国经济和制造行业转型升级的大背景下，立足我国国情和科技、产业基础，通过信息化与工业化的深度融合，运用先进的科技技术、材料工艺以及生产方式，推进制造行业生产过程智能化、自动化和制造领域的互联网化，全面提升企业研发、生产、管理和服务水平等。</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本基金是一只混合型基金，其预期风险和预期收益高于债券型基金和货币市场基金，低于股票型基金。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(2020年10月1日-2020年12月31日)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398,787,475.15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929,475,635.62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0.6561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6,506,697,428.06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4.2085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18.00%</w:t>
            </w:r>
          </w:p>
        </w:tc>
        <w:tc>
          <w:tcPr>
            <w:vAlign w:val="center"/>
          </w:tcPr>
          <w:p>
            <w:pPr>
              <w:jc w:val="center"/>
            </w:pPr>
            <w:r>
              <w:rPr>
                <w:color w:val="000000"/>
                <w:sz w:val="24"/>
                <w:szCs w:val="24"/>
              </w:rPr>
              <w:t>1.21%</w:t>
            </w:r>
          </w:p>
        </w:tc>
        <w:tc>
          <w:tcPr>
            <w:vAlign w:val="center"/>
          </w:tcPr>
          <w:p>
            <w:pPr>
              <w:jc w:val="center"/>
            </w:pPr>
            <w:r>
              <w:rPr>
                <w:color w:val="000000"/>
                <w:sz w:val="24"/>
                <w:szCs w:val="24"/>
              </w:rPr>
              <w:t>8.55%</w:t>
            </w:r>
          </w:p>
        </w:tc>
        <w:tc>
          <w:tcPr>
            <w:vAlign w:val="center"/>
          </w:tcPr>
          <w:p>
            <w:pPr>
              <w:jc w:val="center"/>
            </w:pPr>
            <w:r>
              <w:rPr>
                <w:color w:val="000000"/>
                <w:sz w:val="24"/>
                <w:szCs w:val="24"/>
              </w:rPr>
              <w:t>0.59%</w:t>
            </w:r>
          </w:p>
        </w:tc>
        <w:tc>
          <w:tcPr>
            <w:vAlign w:val="center"/>
          </w:tcPr>
          <w:p>
            <w:pPr>
              <w:jc w:val="center"/>
            </w:pPr>
            <w:r>
              <w:rPr>
                <w:color w:val="000000"/>
                <w:sz w:val="24"/>
                <w:szCs w:val="24"/>
              </w:rPr>
              <w:t>9.45%</w:t>
            </w:r>
          </w:p>
        </w:tc>
        <w:tc>
          <w:tcPr>
            <w:vAlign w:val="center"/>
          </w:tcPr>
          <w:p>
            <w:pPr>
              <w:jc w:val="center"/>
            </w:pPr>
            <w:r>
              <w:rPr>
                <w:color w:val="000000"/>
                <w:sz w:val="24"/>
                <w:szCs w:val="24"/>
              </w:rPr>
              <w:t>0.62%</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45.27%</w:t>
            </w:r>
          </w:p>
        </w:tc>
        <w:tc>
          <w:tcPr>
            <w:vAlign w:val="center"/>
          </w:tcPr>
          <w:p>
            <w:pPr>
              <w:jc w:val="center"/>
            </w:pPr>
            <w:r>
              <w:rPr>
                <w:color w:val="000000"/>
                <w:sz w:val="24"/>
                <w:szCs w:val="24"/>
              </w:rPr>
              <w:t>1.46%</w:t>
            </w:r>
          </w:p>
        </w:tc>
        <w:tc>
          <w:tcPr>
            <w:vAlign w:val="center"/>
          </w:tcPr>
          <w:p>
            <w:pPr>
              <w:jc w:val="center"/>
            </w:pPr>
            <w:r>
              <w:rPr>
                <w:color w:val="000000"/>
                <w:sz w:val="24"/>
                <w:szCs w:val="24"/>
              </w:rPr>
              <w:t>15.02%</w:t>
            </w:r>
          </w:p>
        </w:tc>
        <w:tc>
          <w:tcPr>
            <w:vAlign w:val="center"/>
          </w:tcPr>
          <w:p>
            <w:pPr>
              <w:jc w:val="center"/>
            </w:pPr>
            <w:r>
              <w:rPr>
                <w:color w:val="000000"/>
                <w:sz w:val="24"/>
                <w:szCs w:val="24"/>
              </w:rPr>
              <w:t>0.80%</w:t>
            </w:r>
          </w:p>
        </w:tc>
        <w:tc>
          <w:tcPr>
            <w:vAlign w:val="center"/>
          </w:tcPr>
          <w:p>
            <w:pPr>
              <w:jc w:val="center"/>
            </w:pPr>
            <w:r>
              <w:rPr>
                <w:color w:val="000000"/>
                <w:sz w:val="24"/>
                <w:szCs w:val="24"/>
              </w:rPr>
              <w:t>30.25%</w:t>
            </w:r>
          </w:p>
        </w:tc>
        <w:tc>
          <w:tcPr>
            <w:vAlign w:val="center"/>
          </w:tcPr>
          <w:p>
            <w:pPr>
              <w:jc w:val="center"/>
            </w:pPr>
            <w:r>
              <w:rPr>
                <w:color w:val="000000"/>
                <w:sz w:val="24"/>
                <w:szCs w:val="24"/>
              </w:rPr>
              <w:t>0.66%</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75.57%</w:t>
            </w:r>
          </w:p>
        </w:tc>
        <w:tc>
          <w:tcPr>
            <w:vAlign w:val="center"/>
          </w:tcPr>
          <w:p>
            <w:pPr>
              <w:jc w:val="center"/>
            </w:pPr>
            <w:r>
              <w:rPr>
                <w:color w:val="000000"/>
                <w:sz w:val="24"/>
                <w:szCs w:val="24"/>
              </w:rPr>
              <w:t>1.53%</w:t>
            </w:r>
          </w:p>
        </w:tc>
        <w:tc>
          <w:tcPr>
            <w:vAlign w:val="center"/>
          </w:tcPr>
          <w:p>
            <w:pPr>
              <w:jc w:val="center"/>
            </w:pPr>
            <w:r>
              <w:rPr>
                <w:color w:val="000000"/>
                <w:sz w:val="24"/>
                <w:szCs w:val="24"/>
              </w:rPr>
              <w:t>17.63%</w:t>
            </w:r>
          </w:p>
        </w:tc>
        <w:tc>
          <w:tcPr>
            <w:vAlign w:val="center"/>
          </w:tcPr>
          <w:p>
            <w:pPr>
              <w:jc w:val="center"/>
            </w:pPr>
            <w:r>
              <w:rPr>
                <w:color w:val="000000"/>
                <w:sz w:val="24"/>
                <w:szCs w:val="24"/>
              </w:rPr>
              <w:t>0.85%</w:t>
            </w:r>
          </w:p>
        </w:tc>
        <w:tc>
          <w:tcPr>
            <w:vAlign w:val="center"/>
          </w:tcPr>
          <w:p>
            <w:pPr>
              <w:jc w:val="center"/>
            </w:pPr>
            <w:r>
              <w:rPr>
                <w:color w:val="000000"/>
                <w:sz w:val="24"/>
                <w:szCs w:val="24"/>
              </w:rPr>
              <w:t>57.94%</w:t>
            </w:r>
          </w:p>
        </w:tc>
        <w:tc>
          <w:tcPr>
            <w:vAlign w:val="center"/>
          </w:tcPr>
          <w:p>
            <w:pPr>
              <w:jc w:val="center"/>
            </w:pPr>
            <w:r>
              <w:rPr>
                <w:color w:val="000000"/>
                <w:sz w:val="24"/>
                <w:szCs w:val="24"/>
              </w:rPr>
              <w:t>0.68%</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124.50%</w:t>
            </w:r>
          </w:p>
        </w:tc>
        <w:tc>
          <w:tcPr>
            <w:vAlign w:val="center"/>
          </w:tcPr>
          <w:p>
            <w:pPr>
              <w:jc w:val="center"/>
            </w:pPr>
            <w:r>
              <w:rPr>
                <w:color w:val="000000"/>
                <w:sz w:val="24"/>
                <w:szCs w:val="24"/>
              </w:rPr>
              <w:t>1.39%</w:t>
            </w:r>
          </w:p>
        </w:tc>
        <w:tc>
          <w:tcPr>
            <w:vAlign w:val="center"/>
          </w:tcPr>
          <w:p>
            <w:pPr>
              <w:jc w:val="center"/>
            </w:pPr>
            <w:r>
              <w:rPr>
                <w:color w:val="000000"/>
                <w:sz w:val="24"/>
                <w:szCs w:val="24"/>
              </w:rPr>
              <w:t>22.85%</w:t>
            </w:r>
          </w:p>
        </w:tc>
        <w:tc>
          <w:tcPr>
            <w:vAlign w:val="center"/>
          </w:tcPr>
          <w:p>
            <w:pPr>
              <w:jc w:val="center"/>
            </w:pPr>
            <w:r>
              <w:rPr>
                <w:color w:val="000000"/>
                <w:sz w:val="24"/>
                <w:szCs w:val="24"/>
              </w:rPr>
              <w:t>0.83%</w:t>
            </w:r>
          </w:p>
        </w:tc>
        <w:tc>
          <w:tcPr>
            <w:vAlign w:val="center"/>
          </w:tcPr>
          <w:p>
            <w:pPr>
              <w:jc w:val="center"/>
            </w:pPr>
            <w:r>
              <w:rPr>
                <w:color w:val="000000"/>
                <w:sz w:val="24"/>
                <w:szCs w:val="24"/>
              </w:rPr>
              <w:t>101.65%</w:t>
            </w:r>
          </w:p>
        </w:tc>
        <w:tc>
          <w:tcPr>
            <w:vAlign w:val="center"/>
          </w:tcPr>
          <w:p>
            <w:pPr>
              <w:jc w:val="center"/>
            </w:pPr>
            <w:r>
              <w:rPr>
                <w:color w:val="000000"/>
                <w:sz w:val="24"/>
                <w:szCs w:val="24"/>
              </w:rPr>
              <w:t>0.56%</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166.47%</w:t>
            </w:r>
          </w:p>
        </w:tc>
        <w:tc>
          <w:tcPr>
            <w:vAlign w:val="center"/>
          </w:tcPr>
          <w:p>
            <w:pPr>
              <w:jc w:val="center"/>
            </w:pPr>
            <w:r>
              <w:rPr>
                <w:color w:val="000000"/>
                <w:sz w:val="24"/>
                <w:szCs w:val="24"/>
              </w:rPr>
              <w:t>1.38%</w:t>
            </w:r>
          </w:p>
        </w:tc>
        <w:tc>
          <w:tcPr>
            <w:vAlign w:val="center"/>
          </w:tcPr>
          <w:p>
            <w:pPr>
              <w:jc w:val="center"/>
            </w:pPr>
            <w:r>
              <w:rPr>
                <w:color w:val="000000"/>
                <w:sz w:val="24"/>
                <w:szCs w:val="24"/>
              </w:rPr>
              <w:t>2.47%</w:t>
            </w:r>
          </w:p>
        </w:tc>
        <w:tc>
          <w:tcPr>
            <w:vAlign w:val="center"/>
          </w:tcPr>
          <w:p>
            <w:pPr>
              <w:jc w:val="center"/>
            </w:pPr>
            <w:r>
              <w:rPr>
                <w:color w:val="000000"/>
                <w:sz w:val="24"/>
                <w:szCs w:val="24"/>
              </w:rPr>
              <w:t>0.97%</w:t>
            </w:r>
          </w:p>
        </w:tc>
        <w:tc>
          <w:tcPr>
            <w:vAlign w:val="center"/>
          </w:tcPr>
          <w:p>
            <w:pPr>
              <w:jc w:val="center"/>
            </w:pPr>
            <w:r>
              <w:rPr>
                <w:color w:val="000000"/>
                <w:sz w:val="24"/>
                <w:szCs w:val="24"/>
              </w:rPr>
              <w:t>164.00%</w:t>
            </w:r>
          </w:p>
        </w:tc>
        <w:tc>
          <w:tcPr>
            <w:vAlign w:val="center"/>
          </w:tcPr>
          <w:p>
            <w:pPr>
              <w:jc w:val="center"/>
            </w:pPr>
            <w:r>
              <w:rPr>
                <w:color w:val="000000"/>
                <w:sz w:val="24"/>
                <w:szCs w:val="24"/>
              </w:rPr>
              <w:t>0.41%</w:t>
            </w:r>
          </w:p>
        </w:tc>
      </w:tr>
      <w:tr>
        <w:tc>
          <w:tcPr>
            <w:vAlign w:val="center"/>
          </w:tcPr>
          <w:p>
            <w:pPr>
              <w:jc w:val="left"/>
            </w:pPr>
            <w:r>
              <w:rPr>
                <w:color w:val="000000"/>
                <w:sz w:val="24"/>
                <w:szCs w:val="24"/>
              </w:rPr>
              <w:t>自基金合同生效至今</w:t>
            </w:r>
          </w:p>
        </w:tc>
        <w:tc>
          <w:tcPr>
            <w:vAlign w:val="center"/>
          </w:tcPr>
          <w:p>
            <w:pPr>
              <w:jc w:val="center"/>
            </w:pPr>
            <w:r>
              <w:rPr>
                <w:color w:val="000000"/>
                <w:sz w:val="24"/>
                <w:szCs w:val="24"/>
              </w:rPr>
              <w:t>603.21%</w:t>
            </w:r>
          </w:p>
        </w:tc>
        <w:tc>
          <w:tcPr>
            <w:vAlign w:val="center"/>
          </w:tcPr>
          <w:p>
            <w:pPr>
              <w:jc w:val="center"/>
            </w:pPr>
            <w:r>
              <w:rPr>
                <w:color w:val="000000"/>
                <w:sz w:val="24"/>
                <w:szCs w:val="24"/>
              </w:rPr>
              <w:t>1.50%</w:t>
            </w:r>
          </w:p>
        </w:tc>
        <w:tc>
          <w:tcPr>
            <w:vAlign w:val="center"/>
          </w:tcPr>
          <w:p>
            <w:pPr>
              <w:jc w:val="center"/>
            </w:pPr>
            <w:r>
              <w:rPr>
                <w:color w:val="000000"/>
                <w:sz w:val="24"/>
                <w:szCs w:val="24"/>
              </w:rPr>
              <w:t>88.78%</w:t>
            </w:r>
          </w:p>
        </w:tc>
        <w:tc>
          <w:tcPr>
            <w:vAlign w:val="center"/>
          </w:tcPr>
          <w:p>
            <w:pPr>
              <w:jc w:val="center"/>
            </w:pPr>
            <w:r>
              <w:rPr>
                <w:color w:val="000000"/>
                <w:sz w:val="24"/>
                <w:szCs w:val="24"/>
              </w:rPr>
              <w:t>1.19%</w:t>
            </w:r>
          </w:p>
        </w:tc>
        <w:tc>
          <w:tcPr>
            <w:vAlign w:val="center"/>
          </w:tcPr>
          <w:p>
            <w:pPr>
              <w:jc w:val="center"/>
            </w:pPr>
            <w:r>
              <w:rPr>
                <w:color w:val="000000"/>
                <w:sz w:val="24"/>
                <w:szCs w:val="24"/>
              </w:rPr>
              <w:t>514.43%</w:t>
            </w:r>
          </w:p>
        </w:tc>
        <w:tc>
          <w:tcPr>
            <w:vAlign w:val="center"/>
          </w:tcPr>
          <w:p>
            <w:pPr>
              <w:jc w:val="center"/>
            </w:pPr>
            <w:r>
              <w:rPr>
                <w:color w:val="000000"/>
                <w:sz w:val="24"/>
                <w:szCs w:val="24"/>
              </w:rPr>
              <w:t>0.31%</w:t>
            </w:r>
          </w:p>
        </w:tc>
      </w:tr>
    </w:tbl>
    <w:p>
      <w:pPr>
        <w:autoSpaceDE w:val="0"/>
        <w:autoSpaceDN w:val="0"/>
        <w:adjustRightInd w:val="0"/>
        <w:spacing w:before="29" w:line="288" w:lineRule="auto"/>
        <w:jc w:val="left"/>
        <w:rPr>
          <w:color w:val="000000"/>
          <w:sz w:val="24"/>
          <w:szCs w:val="24"/>
        </w:rPr>
      </w:pPr>
      <w:r>
        <w:rPr>
          <w:color w:val="000000"/>
          <w:sz w:val="24"/>
          <w:szCs w:val="24"/>
        </w:rPr>
        <w:t>注：1、本基金业绩比较基准自2015年10月1日起，由“75%×申银万国装备制造指数收益率+25%×中信标普全债指数收益率”变更为“75%×申银万国装备制造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本基金业绩比较基准自2018年3月21日起，由“75%×申银万国装备制造指数收益率+25%×中证综合债券指数收益率”变更为“60%×沪深300指数收益率+40%×中证综合债券指数收益率”，3.2.2同。详情见本基金管理人于2018年3月21日发布的《交银施罗德基金管理有限公司关于交银施罗德先进制造混合型证券投资基金基金份额持有人大会表决结果暨决议生效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交银施罗德先进制造混合型证券投资基金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2011年6月22日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刘鹏</w:t>
            </w:r>
          </w:p>
        </w:tc>
        <w:tc>
          <w:tcPr>
            <w:vAlign w:val="center"/>
          </w:tcPr>
          <w:p>
            <w:pPr>
              <w:jc w:val="center"/>
            </w:pPr>
            <w:r>
              <w:rPr>
                <w:color w:val="000000"/>
                <w:sz w:val="24"/>
                <w:szCs w:val="24"/>
              </w:rPr>
              <w:t>交银先进制造混合、交银启明混合的基金经理</w:t>
            </w:r>
          </w:p>
        </w:tc>
        <w:tc>
          <w:tcPr>
            <w:vAlign w:val="center"/>
          </w:tcPr>
          <w:p>
            <w:pPr>
              <w:jc w:val="center"/>
            </w:pPr>
            <w:r>
              <w:rPr>
                <w:color w:val="000000"/>
                <w:sz w:val="24"/>
                <w:szCs w:val="24"/>
              </w:rPr>
              <w:t>2018-05-29</w:t>
            </w:r>
          </w:p>
        </w:tc>
        <w:tc>
          <w:tcPr>
            <w:vAlign w:val="center"/>
          </w:tcPr>
          <w:p>
            <w:pPr>
              <w:jc w:val="center"/>
            </w:pPr>
            <w:r>
              <w:rPr>
                <w:color w:val="000000"/>
                <w:sz w:val="24"/>
                <w:szCs w:val="24"/>
              </w:rPr>
              <w:t>-</w:t>
            </w:r>
          </w:p>
        </w:tc>
        <w:tc>
          <w:tcPr>
            <w:vAlign w:val="center"/>
          </w:tcPr>
          <w:p>
            <w:pPr>
              <w:jc w:val="center"/>
            </w:pPr>
            <w:r>
              <w:rPr>
                <w:color w:val="000000"/>
                <w:sz w:val="24"/>
                <w:szCs w:val="24"/>
              </w:rPr>
              <w:t>6年</w:t>
            </w:r>
          </w:p>
        </w:tc>
        <w:tc>
          <w:tcPr>
            <w:vAlign w:val="center"/>
          </w:tcPr>
          <w:p>
            <w:pPr>
              <w:jc w:val="both"/>
            </w:pPr>
            <w:r>
              <w:rPr>
                <w:color w:val="000000"/>
                <w:sz w:val="24"/>
                <w:szCs w:val="24"/>
              </w:rPr>
              <w:t>刘鹏先生，中国人民大学金融学硕士，北京理工大学经济学学士。2014年6月加入交银施罗德基金管理有限公司，历任行业分析师。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四季度，大盘涨幅7.92%，创业板上涨15.21%，沪深300涨幅13.60%。四季度，海外疫情反弹明显，国内也有个别地区反复，经济复苏的节奏出现隐忧，但是我们认为随着疫苗的推进，人类终将战胜疫情，经济运行会回复常态，同时我们也认为市场中期会向常态化的估值体系回归。</w:t>
      </w:r>
    </w:p>
    <w:p>
      <w:pPr>
        <w:spacing w:before="29" w:line="288" w:lineRule="auto"/>
        <w:ind w:firstLine="480" w:firstLineChars="200"/>
        <w:rPr>
          <w:color w:val="000000"/>
          <w:sz w:val="24"/>
          <w:szCs w:val="24"/>
        </w:rPr>
      </w:pPr>
      <w:r>
        <w:rPr>
          <w:color w:val="000000"/>
          <w:sz w:val="24"/>
          <w:szCs w:val="24"/>
        </w:rPr>
        <w:t>分板块看，在海外流动性较好、利率水平较低的环境下，大盘成长股普遍在2020年第四季度第二次加速，很多公司的估值已经较高。我们不希望追逐资金趋势，并把更多的精力继续用于积累优质公司的研究，而且借助市场给予的机会在合理价格进行了部分配置。从风格上看，市场出现明显的两级分化，中小盘股明显被大盘成长板块分流，从而提供很多潜在机会，虽然主流资金会更加关注大市值公司，但是我们更加相信投资的初心，相信资本市场终将兑现每一个公司创造的价值，无论市值大小。</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自下而上看，很多制造和消费企业已经走出疫情的阴霾恢复行业本有的景气和增长，出口产业链迎来高景气，且仍有一些刚刚迈过景气拐点和疫情受损未完全恢复的企业还处在中期的低点，尤其是中小市值公司可能又因为市场风格原因被显著低估。我们将以更大的耐心在其中寻找配置机会，力求控制好业绩回撤，秉承在合适的价格配置创造社会价值和经济价值的公司的投资原则，力争为持有人创造稳健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5,277,222,543.13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80.03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5,277,222,543.13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80.03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289,975,000.00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4.40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289,975,000.00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4.40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882,814,541.50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13.39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144,217,922.68</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2.19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6,594,230,007.31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3,865,606,384.59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59.41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16,322.72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539,898,136.37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8.30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115,050,297.22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597,433,200.60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9.18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56,386,759.14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0.87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269,011.76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15,081.10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102,547,349.63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5,277,222,543.13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81.10</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603678</w:t>
            </w:r>
          </w:p>
        </w:tc>
        <w:tc>
          <w:tcPr>
            <w:vAlign w:val="center"/>
          </w:tcPr>
          <w:p>
            <w:pPr>
              <w:jc w:val="center"/>
            </w:pPr>
            <w:r>
              <w:rPr>
                <w:color w:val="000000"/>
                <w:sz w:val="24"/>
                <w:szCs w:val="24"/>
              </w:rPr>
              <w:t>火炬电子</w:t>
            </w:r>
          </w:p>
        </w:tc>
        <w:tc>
          <w:tcPr>
            <w:vAlign w:val="center"/>
          </w:tcPr>
          <w:p>
            <w:pPr>
              <w:jc w:val="right"/>
            </w:pPr>
            <w:r>
              <w:rPr>
                <w:color w:val="000000"/>
                <w:sz w:val="24"/>
                <w:szCs w:val="24"/>
              </w:rPr>
              <w:t>7,420,678</w:t>
            </w:r>
          </w:p>
        </w:tc>
        <w:tc>
          <w:tcPr>
            <w:vAlign w:val="center"/>
          </w:tcPr>
          <w:p>
            <w:pPr>
              <w:jc w:val="right"/>
            </w:pPr>
            <w:r>
              <w:rPr>
                <w:color w:val="000000"/>
                <w:sz w:val="24"/>
                <w:szCs w:val="24"/>
              </w:rPr>
              <w:t>536,515,019.40</w:t>
            </w:r>
          </w:p>
        </w:tc>
        <w:tc>
          <w:tcPr>
            <w:vAlign w:val="center"/>
          </w:tcPr>
          <w:p>
            <w:pPr>
              <w:jc w:val="right"/>
            </w:pPr>
            <w:r>
              <w:rPr>
                <w:color w:val="000000"/>
                <w:sz w:val="24"/>
                <w:szCs w:val="24"/>
              </w:rPr>
              <w:t>8.25</w:t>
            </w:r>
          </w:p>
        </w:tc>
      </w:tr>
      <w:tr>
        <w:tc>
          <w:tcPr>
            <w:vAlign w:val="center"/>
          </w:tcPr>
          <w:p>
            <w:pPr>
              <w:jc w:val="center"/>
            </w:pPr>
            <w:r>
              <w:rPr>
                <w:color w:val="000000"/>
                <w:sz w:val="24"/>
                <w:szCs w:val="24"/>
              </w:rPr>
              <w:t>2</w:t>
            </w:r>
          </w:p>
        </w:tc>
        <w:tc>
          <w:tcPr>
            <w:vAlign w:val="center"/>
          </w:tcPr>
          <w:p>
            <w:pPr>
              <w:jc w:val="center"/>
            </w:pPr>
            <w:r>
              <w:rPr>
                <w:color w:val="000000"/>
                <w:sz w:val="24"/>
                <w:szCs w:val="24"/>
              </w:rPr>
              <w:t>002049</w:t>
            </w:r>
          </w:p>
        </w:tc>
        <w:tc>
          <w:tcPr>
            <w:vAlign w:val="center"/>
          </w:tcPr>
          <w:p>
            <w:pPr>
              <w:jc w:val="center"/>
            </w:pPr>
            <w:r>
              <w:rPr>
                <w:color w:val="000000"/>
                <w:sz w:val="24"/>
                <w:szCs w:val="24"/>
              </w:rPr>
              <w:t>紫光国微</w:t>
            </w:r>
          </w:p>
        </w:tc>
        <w:tc>
          <w:tcPr>
            <w:vAlign w:val="center"/>
          </w:tcPr>
          <w:p>
            <w:pPr>
              <w:jc w:val="right"/>
            </w:pPr>
            <w:r>
              <w:rPr>
                <w:color w:val="000000"/>
                <w:sz w:val="24"/>
                <w:szCs w:val="24"/>
              </w:rPr>
              <w:t>3,361,791</w:t>
            </w:r>
          </w:p>
        </w:tc>
        <w:tc>
          <w:tcPr>
            <w:vAlign w:val="center"/>
          </w:tcPr>
          <w:p>
            <w:pPr>
              <w:jc w:val="right"/>
            </w:pPr>
            <w:r>
              <w:rPr>
                <w:color w:val="000000"/>
                <w:sz w:val="24"/>
                <w:szCs w:val="24"/>
              </w:rPr>
              <w:t>449,841,253.71</w:t>
            </w:r>
          </w:p>
        </w:tc>
        <w:tc>
          <w:tcPr>
            <w:vAlign w:val="center"/>
          </w:tcPr>
          <w:p>
            <w:pPr>
              <w:jc w:val="right"/>
            </w:pPr>
            <w:r>
              <w:rPr>
                <w:color w:val="000000"/>
                <w:sz w:val="24"/>
                <w:szCs w:val="24"/>
              </w:rPr>
              <w:t>6.91</w:t>
            </w:r>
          </w:p>
        </w:tc>
      </w:tr>
      <w:tr>
        <w:tc>
          <w:tcPr>
            <w:vAlign w:val="center"/>
          </w:tcPr>
          <w:p>
            <w:pPr>
              <w:jc w:val="center"/>
            </w:pPr>
            <w:r>
              <w:rPr>
                <w:color w:val="000000"/>
                <w:sz w:val="24"/>
                <w:szCs w:val="24"/>
              </w:rPr>
              <w:t>3</w:t>
            </w:r>
          </w:p>
        </w:tc>
        <w:tc>
          <w:tcPr>
            <w:vAlign w:val="center"/>
          </w:tcPr>
          <w:p>
            <w:pPr>
              <w:jc w:val="center"/>
            </w:pPr>
            <w:r>
              <w:rPr>
                <w:color w:val="000000"/>
                <w:sz w:val="24"/>
                <w:szCs w:val="24"/>
              </w:rPr>
              <w:t>601601</w:t>
            </w:r>
          </w:p>
        </w:tc>
        <w:tc>
          <w:tcPr>
            <w:vAlign w:val="center"/>
          </w:tcPr>
          <w:p>
            <w:pPr>
              <w:jc w:val="center"/>
            </w:pPr>
            <w:r>
              <w:rPr>
                <w:color w:val="000000"/>
                <w:sz w:val="24"/>
                <w:szCs w:val="24"/>
              </w:rPr>
              <w:t>中国太保</w:t>
            </w:r>
          </w:p>
        </w:tc>
        <w:tc>
          <w:tcPr>
            <w:vAlign w:val="center"/>
          </w:tcPr>
          <w:p>
            <w:pPr>
              <w:jc w:val="right"/>
            </w:pPr>
            <w:r>
              <w:rPr>
                <w:color w:val="000000"/>
                <w:sz w:val="24"/>
                <w:szCs w:val="24"/>
              </w:rPr>
              <w:t>8,661,303</w:t>
            </w:r>
          </w:p>
        </w:tc>
        <w:tc>
          <w:tcPr>
            <w:vAlign w:val="center"/>
          </w:tcPr>
          <w:p>
            <w:pPr>
              <w:jc w:val="right"/>
            </w:pPr>
            <w:r>
              <w:rPr>
                <w:color w:val="000000"/>
                <w:sz w:val="24"/>
                <w:szCs w:val="24"/>
              </w:rPr>
              <w:t>332,594,035.20</w:t>
            </w:r>
          </w:p>
        </w:tc>
        <w:tc>
          <w:tcPr>
            <w:vAlign w:val="center"/>
          </w:tcPr>
          <w:p>
            <w:pPr>
              <w:jc w:val="right"/>
            </w:pPr>
            <w:r>
              <w:rPr>
                <w:color w:val="000000"/>
                <w:sz w:val="24"/>
                <w:szCs w:val="24"/>
              </w:rPr>
              <w:t>5.11</w:t>
            </w:r>
          </w:p>
        </w:tc>
      </w:tr>
      <w:tr>
        <w:tc>
          <w:tcPr>
            <w:vAlign w:val="center"/>
          </w:tcPr>
          <w:p>
            <w:pPr>
              <w:jc w:val="center"/>
            </w:pPr>
            <w:r>
              <w:rPr>
                <w:color w:val="000000"/>
                <w:sz w:val="24"/>
                <w:szCs w:val="24"/>
              </w:rPr>
              <w:t>4</w:t>
            </w:r>
          </w:p>
        </w:tc>
        <w:tc>
          <w:tcPr>
            <w:vAlign w:val="center"/>
          </w:tcPr>
          <w:p>
            <w:pPr>
              <w:jc w:val="center"/>
            </w:pPr>
            <w:r>
              <w:rPr>
                <w:color w:val="000000"/>
                <w:sz w:val="24"/>
                <w:szCs w:val="24"/>
              </w:rPr>
              <w:t>002928</w:t>
            </w:r>
          </w:p>
        </w:tc>
        <w:tc>
          <w:tcPr>
            <w:vAlign w:val="center"/>
          </w:tcPr>
          <w:p>
            <w:pPr>
              <w:jc w:val="center"/>
            </w:pPr>
            <w:r>
              <w:rPr>
                <w:color w:val="000000"/>
                <w:sz w:val="24"/>
                <w:szCs w:val="24"/>
              </w:rPr>
              <w:t>华夏航空</w:t>
            </w:r>
          </w:p>
        </w:tc>
        <w:tc>
          <w:tcPr>
            <w:vAlign w:val="center"/>
          </w:tcPr>
          <w:p>
            <w:pPr>
              <w:jc w:val="right"/>
            </w:pPr>
            <w:r>
              <w:rPr>
                <w:color w:val="000000"/>
                <w:sz w:val="24"/>
                <w:szCs w:val="24"/>
              </w:rPr>
              <w:t>25,926,442</w:t>
            </w:r>
          </w:p>
        </w:tc>
        <w:tc>
          <w:tcPr>
            <w:vAlign w:val="center"/>
          </w:tcPr>
          <w:p>
            <w:pPr>
              <w:jc w:val="right"/>
            </w:pPr>
            <w:r>
              <w:rPr>
                <w:color w:val="000000"/>
                <w:sz w:val="24"/>
                <w:szCs w:val="24"/>
              </w:rPr>
              <w:t>327,969,491.30</w:t>
            </w:r>
          </w:p>
        </w:tc>
        <w:tc>
          <w:tcPr>
            <w:vAlign w:val="center"/>
          </w:tcPr>
          <w:p>
            <w:pPr>
              <w:jc w:val="right"/>
            </w:pPr>
            <w:r>
              <w:rPr>
                <w:color w:val="000000"/>
                <w:sz w:val="24"/>
                <w:szCs w:val="24"/>
              </w:rPr>
              <w:t>5.04</w:t>
            </w:r>
          </w:p>
        </w:tc>
      </w:tr>
      <w:tr>
        <w:tc>
          <w:tcPr>
            <w:vAlign w:val="center"/>
          </w:tcPr>
          <w:p>
            <w:pPr>
              <w:jc w:val="center"/>
            </w:pPr>
            <w:r>
              <w:rPr>
                <w:color w:val="000000"/>
                <w:sz w:val="24"/>
                <w:szCs w:val="24"/>
              </w:rPr>
              <w:t>5</w:t>
            </w:r>
          </w:p>
        </w:tc>
        <w:tc>
          <w:tcPr>
            <w:vAlign w:val="center"/>
          </w:tcPr>
          <w:p>
            <w:pPr>
              <w:jc w:val="center"/>
            </w:pPr>
            <w:r>
              <w:rPr>
                <w:color w:val="000000"/>
                <w:sz w:val="24"/>
                <w:szCs w:val="24"/>
              </w:rPr>
              <w:t>000733</w:t>
            </w:r>
          </w:p>
        </w:tc>
        <w:tc>
          <w:tcPr>
            <w:vAlign w:val="center"/>
          </w:tcPr>
          <w:p>
            <w:pPr>
              <w:jc w:val="center"/>
            </w:pPr>
            <w:r>
              <w:rPr>
                <w:color w:val="000000"/>
                <w:sz w:val="24"/>
                <w:szCs w:val="24"/>
              </w:rPr>
              <w:t>振华科技</w:t>
            </w:r>
          </w:p>
        </w:tc>
        <w:tc>
          <w:tcPr>
            <w:vAlign w:val="center"/>
          </w:tcPr>
          <w:p>
            <w:pPr>
              <w:jc w:val="right"/>
            </w:pPr>
            <w:r>
              <w:rPr>
                <w:color w:val="000000"/>
                <w:sz w:val="24"/>
                <w:szCs w:val="24"/>
              </w:rPr>
              <w:t>4,824,570</w:t>
            </w:r>
          </w:p>
        </w:tc>
        <w:tc>
          <w:tcPr>
            <w:vAlign w:val="center"/>
          </w:tcPr>
          <w:p>
            <w:pPr>
              <w:jc w:val="right"/>
            </w:pPr>
            <w:r>
              <w:rPr>
                <w:color w:val="000000"/>
                <w:sz w:val="24"/>
                <w:szCs w:val="24"/>
              </w:rPr>
              <w:t>283,925,944.50</w:t>
            </w:r>
          </w:p>
        </w:tc>
        <w:tc>
          <w:tcPr>
            <w:vAlign w:val="center"/>
          </w:tcPr>
          <w:p>
            <w:pPr>
              <w:jc w:val="right"/>
            </w:pPr>
            <w:r>
              <w:rPr>
                <w:color w:val="000000"/>
                <w:sz w:val="24"/>
                <w:szCs w:val="24"/>
              </w:rPr>
              <w:t>4.36</w:t>
            </w:r>
          </w:p>
        </w:tc>
      </w:tr>
      <w:tr>
        <w:tc>
          <w:tcPr>
            <w:vAlign w:val="center"/>
          </w:tcPr>
          <w:p>
            <w:pPr>
              <w:jc w:val="center"/>
            </w:pPr>
            <w:r>
              <w:rPr>
                <w:color w:val="000000"/>
                <w:sz w:val="24"/>
                <w:szCs w:val="24"/>
              </w:rPr>
              <w:t>6</w:t>
            </w:r>
          </w:p>
        </w:tc>
        <w:tc>
          <w:tcPr>
            <w:vAlign w:val="center"/>
          </w:tcPr>
          <w:p>
            <w:pPr>
              <w:jc w:val="center"/>
            </w:pPr>
            <w:r>
              <w:rPr>
                <w:color w:val="000000"/>
                <w:sz w:val="24"/>
                <w:szCs w:val="24"/>
              </w:rPr>
              <w:t>603267</w:t>
            </w:r>
          </w:p>
        </w:tc>
        <w:tc>
          <w:tcPr>
            <w:vAlign w:val="center"/>
          </w:tcPr>
          <w:p>
            <w:pPr>
              <w:jc w:val="center"/>
            </w:pPr>
            <w:r>
              <w:rPr>
                <w:color w:val="000000"/>
                <w:sz w:val="24"/>
                <w:szCs w:val="24"/>
              </w:rPr>
              <w:t>鸿远电子</w:t>
            </w:r>
          </w:p>
        </w:tc>
        <w:tc>
          <w:tcPr>
            <w:vAlign w:val="center"/>
          </w:tcPr>
          <w:p>
            <w:pPr>
              <w:jc w:val="right"/>
            </w:pPr>
            <w:r>
              <w:rPr>
                <w:color w:val="000000"/>
                <w:sz w:val="24"/>
                <w:szCs w:val="24"/>
              </w:rPr>
              <w:t>1,914,118</w:t>
            </w:r>
          </w:p>
        </w:tc>
        <w:tc>
          <w:tcPr>
            <w:vAlign w:val="center"/>
          </w:tcPr>
          <w:p>
            <w:pPr>
              <w:jc w:val="right"/>
            </w:pPr>
            <w:r>
              <w:rPr>
                <w:color w:val="000000"/>
                <w:sz w:val="24"/>
                <w:szCs w:val="24"/>
              </w:rPr>
              <w:t>246,461,833.68</w:t>
            </w:r>
          </w:p>
        </w:tc>
        <w:tc>
          <w:tcPr>
            <w:vAlign w:val="center"/>
          </w:tcPr>
          <w:p>
            <w:pPr>
              <w:jc w:val="right"/>
            </w:pPr>
            <w:r>
              <w:rPr>
                <w:color w:val="000000"/>
                <w:sz w:val="24"/>
                <w:szCs w:val="24"/>
              </w:rPr>
              <w:t>3.79</w:t>
            </w:r>
          </w:p>
        </w:tc>
      </w:tr>
      <w:tr>
        <w:tc>
          <w:tcPr>
            <w:vAlign w:val="center"/>
          </w:tcPr>
          <w:p>
            <w:pPr>
              <w:jc w:val="center"/>
            </w:pPr>
            <w:r>
              <w:rPr>
                <w:color w:val="000000"/>
                <w:sz w:val="24"/>
                <w:szCs w:val="24"/>
              </w:rPr>
              <w:t>7</w:t>
            </w:r>
          </w:p>
        </w:tc>
        <w:tc>
          <w:tcPr>
            <w:vAlign w:val="center"/>
          </w:tcPr>
          <w:p>
            <w:pPr>
              <w:jc w:val="center"/>
            </w:pPr>
            <w:r>
              <w:rPr>
                <w:color w:val="000000"/>
                <w:sz w:val="24"/>
                <w:szCs w:val="24"/>
              </w:rPr>
              <w:t>300014</w:t>
            </w:r>
          </w:p>
        </w:tc>
        <w:tc>
          <w:tcPr>
            <w:vAlign w:val="center"/>
          </w:tcPr>
          <w:p>
            <w:pPr>
              <w:jc w:val="center"/>
            </w:pPr>
            <w:r>
              <w:rPr>
                <w:color w:val="000000"/>
                <w:sz w:val="24"/>
                <w:szCs w:val="24"/>
              </w:rPr>
              <w:t>亿纬锂能</w:t>
            </w:r>
          </w:p>
        </w:tc>
        <w:tc>
          <w:tcPr>
            <w:vAlign w:val="center"/>
          </w:tcPr>
          <w:p>
            <w:pPr>
              <w:jc w:val="right"/>
            </w:pPr>
            <w:r>
              <w:rPr>
                <w:color w:val="000000"/>
                <w:sz w:val="24"/>
                <w:szCs w:val="24"/>
              </w:rPr>
              <w:t>2,845,140</w:t>
            </w:r>
          </w:p>
        </w:tc>
        <w:tc>
          <w:tcPr>
            <w:vAlign w:val="center"/>
          </w:tcPr>
          <w:p>
            <w:pPr>
              <w:jc w:val="right"/>
            </w:pPr>
            <w:r>
              <w:rPr>
                <w:color w:val="000000"/>
                <w:sz w:val="24"/>
                <w:szCs w:val="24"/>
              </w:rPr>
              <w:t>231,878,910.00</w:t>
            </w:r>
          </w:p>
        </w:tc>
        <w:tc>
          <w:tcPr>
            <w:vAlign w:val="center"/>
          </w:tcPr>
          <w:p>
            <w:pPr>
              <w:jc w:val="right"/>
            </w:pPr>
            <w:r>
              <w:rPr>
                <w:color w:val="000000"/>
                <w:sz w:val="24"/>
                <w:szCs w:val="24"/>
              </w:rPr>
              <w:t>3.56</w:t>
            </w:r>
          </w:p>
        </w:tc>
      </w:tr>
      <w:tr>
        <w:tc>
          <w:tcPr>
            <w:vAlign w:val="center"/>
          </w:tcPr>
          <w:p>
            <w:pPr>
              <w:jc w:val="center"/>
            </w:pPr>
            <w:r>
              <w:rPr>
                <w:color w:val="000000"/>
                <w:sz w:val="24"/>
                <w:szCs w:val="24"/>
              </w:rPr>
              <w:t>8</w:t>
            </w:r>
          </w:p>
        </w:tc>
        <w:tc>
          <w:tcPr>
            <w:vAlign w:val="center"/>
          </w:tcPr>
          <w:p>
            <w:pPr>
              <w:jc w:val="center"/>
            </w:pPr>
            <w:r>
              <w:rPr>
                <w:color w:val="000000"/>
                <w:sz w:val="24"/>
                <w:szCs w:val="24"/>
              </w:rPr>
              <w:t>300408</w:t>
            </w:r>
          </w:p>
        </w:tc>
        <w:tc>
          <w:tcPr>
            <w:vAlign w:val="center"/>
          </w:tcPr>
          <w:p>
            <w:pPr>
              <w:jc w:val="center"/>
            </w:pPr>
            <w:r>
              <w:rPr>
                <w:color w:val="000000"/>
                <w:sz w:val="24"/>
                <w:szCs w:val="24"/>
              </w:rPr>
              <w:t>三环集团</w:t>
            </w:r>
          </w:p>
        </w:tc>
        <w:tc>
          <w:tcPr>
            <w:vAlign w:val="center"/>
          </w:tcPr>
          <w:p>
            <w:pPr>
              <w:jc w:val="right"/>
            </w:pPr>
            <w:r>
              <w:rPr>
                <w:color w:val="000000"/>
                <w:sz w:val="24"/>
                <w:szCs w:val="24"/>
              </w:rPr>
              <w:t>5,955,058</w:t>
            </w:r>
          </w:p>
        </w:tc>
        <w:tc>
          <w:tcPr>
            <w:vAlign w:val="center"/>
          </w:tcPr>
          <w:p>
            <w:pPr>
              <w:jc w:val="right"/>
            </w:pPr>
            <w:r>
              <w:rPr>
                <w:color w:val="000000"/>
                <w:sz w:val="24"/>
                <w:szCs w:val="24"/>
              </w:rPr>
              <w:t>221,825,910.50</w:t>
            </w:r>
          </w:p>
        </w:tc>
        <w:tc>
          <w:tcPr>
            <w:vAlign w:val="center"/>
          </w:tcPr>
          <w:p>
            <w:pPr>
              <w:jc w:val="right"/>
            </w:pPr>
            <w:r>
              <w:rPr>
                <w:color w:val="000000"/>
                <w:sz w:val="24"/>
                <w:szCs w:val="24"/>
              </w:rPr>
              <w:t>3.41</w:t>
            </w:r>
          </w:p>
        </w:tc>
      </w:tr>
      <w:tr>
        <w:tc>
          <w:tcPr>
            <w:vAlign w:val="center"/>
          </w:tcPr>
          <w:p>
            <w:pPr>
              <w:jc w:val="center"/>
            </w:pPr>
            <w:r>
              <w:rPr>
                <w:color w:val="000000"/>
                <w:sz w:val="24"/>
                <w:szCs w:val="24"/>
              </w:rPr>
              <w:t>9</w:t>
            </w:r>
          </w:p>
        </w:tc>
        <w:tc>
          <w:tcPr>
            <w:vAlign w:val="center"/>
          </w:tcPr>
          <w:p>
            <w:pPr>
              <w:jc w:val="center"/>
            </w:pPr>
            <w:r>
              <w:rPr>
                <w:color w:val="000000"/>
                <w:sz w:val="24"/>
                <w:szCs w:val="24"/>
              </w:rPr>
              <w:t>601318</w:t>
            </w:r>
          </w:p>
        </w:tc>
        <w:tc>
          <w:tcPr>
            <w:vAlign w:val="center"/>
          </w:tcPr>
          <w:p>
            <w:pPr>
              <w:jc w:val="center"/>
            </w:pPr>
            <w:r>
              <w:rPr>
                <w:color w:val="000000"/>
                <w:sz w:val="24"/>
                <w:szCs w:val="24"/>
              </w:rPr>
              <w:t>中国平安</w:t>
            </w:r>
          </w:p>
        </w:tc>
        <w:tc>
          <w:tcPr>
            <w:vAlign w:val="center"/>
          </w:tcPr>
          <w:p>
            <w:pPr>
              <w:jc w:val="right"/>
            </w:pPr>
            <w:r>
              <w:rPr>
                <w:color w:val="000000"/>
                <w:sz w:val="24"/>
                <w:szCs w:val="24"/>
              </w:rPr>
              <w:t>2,180,900</w:t>
            </w:r>
          </w:p>
        </w:tc>
        <w:tc>
          <w:tcPr>
            <w:vAlign w:val="center"/>
          </w:tcPr>
          <w:p>
            <w:pPr>
              <w:jc w:val="right"/>
            </w:pPr>
            <w:r>
              <w:rPr>
                <w:color w:val="000000"/>
                <w:sz w:val="24"/>
                <w:szCs w:val="24"/>
              </w:rPr>
              <w:t>189,694,682.00</w:t>
            </w:r>
          </w:p>
        </w:tc>
        <w:tc>
          <w:tcPr>
            <w:vAlign w:val="center"/>
          </w:tcPr>
          <w:p>
            <w:pPr>
              <w:jc w:val="right"/>
            </w:pPr>
            <w:r>
              <w:rPr>
                <w:color w:val="000000"/>
                <w:sz w:val="24"/>
                <w:szCs w:val="24"/>
              </w:rPr>
              <w:t>2.92</w:t>
            </w:r>
          </w:p>
        </w:tc>
      </w:tr>
      <w:tr>
        <w:tc>
          <w:tcPr>
            <w:vAlign w:val="center"/>
          </w:tcPr>
          <w:p>
            <w:pPr>
              <w:jc w:val="center"/>
            </w:pPr>
            <w:r>
              <w:rPr>
                <w:color w:val="000000"/>
                <w:sz w:val="24"/>
                <w:szCs w:val="24"/>
              </w:rPr>
              <w:t>10</w:t>
            </w:r>
          </w:p>
        </w:tc>
        <w:tc>
          <w:tcPr>
            <w:vAlign w:val="center"/>
          </w:tcPr>
          <w:p>
            <w:pPr>
              <w:jc w:val="center"/>
            </w:pPr>
            <w:r>
              <w:rPr>
                <w:color w:val="000000"/>
                <w:sz w:val="24"/>
                <w:szCs w:val="24"/>
              </w:rPr>
              <w:t>601137</w:t>
            </w:r>
          </w:p>
        </w:tc>
        <w:tc>
          <w:tcPr>
            <w:vAlign w:val="center"/>
          </w:tcPr>
          <w:p>
            <w:pPr>
              <w:jc w:val="center"/>
            </w:pPr>
            <w:r>
              <w:rPr>
                <w:color w:val="000000"/>
                <w:sz w:val="24"/>
                <w:szCs w:val="24"/>
              </w:rPr>
              <w:t>博威合金</w:t>
            </w:r>
          </w:p>
        </w:tc>
        <w:tc>
          <w:tcPr>
            <w:vAlign w:val="center"/>
          </w:tcPr>
          <w:p>
            <w:pPr>
              <w:jc w:val="right"/>
            </w:pPr>
            <w:r>
              <w:rPr>
                <w:color w:val="000000"/>
                <w:sz w:val="24"/>
                <w:szCs w:val="24"/>
              </w:rPr>
              <w:t>13,978,422</w:t>
            </w:r>
          </w:p>
        </w:tc>
        <w:tc>
          <w:tcPr>
            <w:vAlign w:val="center"/>
          </w:tcPr>
          <w:p>
            <w:pPr>
              <w:jc w:val="right"/>
            </w:pPr>
            <w:r>
              <w:rPr>
                <w:color w:val="000000"/>
                <w:sz w:val="24"/>
                <w:szCs w:val="24"/>
              </w:rPr>
              <w:t>160,472,284.56</w:t>
            </w:r>
          </w:p>
        </w:tc>
        <w:tc>
          <w:tcPr>
            <w:vAlign w:val="center"/>
          </w:tcPr>
          <w:p>
            <w:pPr>
              <w:jc w:val="right"/>
            </w:pPr>
            <w:r>
              <w:rPr>
                <w:color w:val="000000"/>
                <w:sz w:val="24"/>
                <w:szCs w:val="24"/>
              </w:rPr>
              <w:t>2.47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289,854,000.00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4.45</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289,854,000.00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4.45</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121,000.00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289,975,000.00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4.46</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200314</w:t>
            </w:r>
          </w:p>
        </w:tc>
        <w:tc>
          <w:tcPr>
            <w:vAlign w:val="center"/>
          </w:tcPr>
          <w:p>
            <w:pPr>
              <w:jc w:val="center"/>
            </w:pPr>
            <w:r>
              <w:rPr>
                <w:color w:val="000000"/>
                <w:sz w:val="24"/>
                <w:szCs w:val="24"/>
              </w:rPr>
              <w:t>20进出14</w:t>
            </w:r>
          </w:p>
        </w:tc>
        <w:tc>
          <w:tcPr>
            <w:vAlign w:val="center"/>
          </w:tcPr>
          <w:p>
            <w:pPr>
              <w:jc w:val="right"/>
            </w:pPr>
            <w:r>
              <w:rPr>
                <w:color w:val="000000"/>
                <w:sz w:val="24"/>
                <w:szCs w:val="24"/>
              </w:rPr>
              <w:t>800,000</w:t>
            </w:r>
          </w:p>
        </w:tc>
        <w:tc>
          <w:tcPr>
            <w:vAlign w:val="center"/>
          </w:tcPr>
          <w:p>
            <w:pPr>
              <w:jc w:val="right"/>
            </w:pPr>
            <w:r>
              <w:rPr>
                <w:color w:val="000000"/>
                <w:sz w:val="24"/>
                <w:szCs w:val="24"/>
              </w:rPr>
              <w:t>80,088,000.00</w:t>
            </w:r>
          </w:p>
        </w:tc>
        <w:tc>
          <w:tcPr>
            <w:vAlign w:val="center"/>
          </w:tcPr>
          <w:p>
            <w:pPr>
              <w:jc w:val="right"/>
            </w:pPr>
            <w:r>
              <w:rPr>
                <w:color w:val="000000"/>
                <w:sz w:val="24"/>
                <w:szCs w:val="24"/>
              </w:rPr>
              <w:t>1.23</w:t>
            </w:r>
          </w:p>
        </w:tc>
      </w:tr>
      <w:tr>
        <w:tc>
          <w:tcPr>
            <w:vAlign w:val="center"/>
          </w:tcPr>
          <w:p>
            <w:pPr>
              <w:jc w:val="center"/>
            </w:pPr>
            <w:r>
              <w:rPr>
                <w:color w:val="000000"/>
                <w:sz w:val="24"/>
                <w:szCs w:val="24"/>
              </w:rPr>
              <w:t>2</w:t>
            </w:r>
          </w:p>
        </w:tc>
        <w:tc>
          <w:tcPr>
            <w:vAlign w:val="center"/>
          </w:tcPr>
          <w:p>
            <w:pPr>
              <w:jc w:val="center"/>
            </w:pPr>
            <w:r>
              <w:rPr>
                <w:color w:val="000000"/>
                <w:sz w:val="24"/>
                <w:szCs w:val="24"/>
              </w:rPr>
              <w:t>200409</w:t>
            </w:r>
          </w:p>
        </w:tc>
        <w:tc>
          <w:tcPr>
            <w:vAlign w:val="center"/>
          </w:tcPr>
          <w:p>
            <w:pPr>
              <w:jc w:val="center"/>
            </w:pPr>
            <w:r>
              <w:rPr>
                <w:color w:val="000000"/>
                <w:sz w:val="24"/>
                <w:szCs w:val="24"/>
              </w:rPr>
              <w:t>20农发09</w:t>
            </w:r>
          </w:p>
        </w:tc>
        <w:tc>
          <w:tcPr>
            <w:vAlign w:val="center"/>
          </w:tcPr>
          <w:p>
            <w:pPr>
              <w:jc w:val="right"/>
            </w:pPr>
            <w:r>
              <w:rPr>
                <w:color w:val="000000"/>
                <w:sz w:val="24"/>
                <w:szCs w:val="24"/>
              </w:rPr>
              <w:t>700,000</w:t>
            </w:r>
          </w:p>
        </w:tc>
        <w:tc>
          <w:tcPr>
            <w:vAlign w:val="center"/>
          </w:tcPr>
          <w:p>
            <w:pPr>
              <w:jc w:val="right"/>
            </w:pPr>
            <w:r>
              <w:rPr>
                <w:color w:val="000000"/>
                <w:sz w:val="24"/>
                <w:szCs w:val="24"/>
              </w:rPr>
              <w:t>70,028,000.00</w:t>
            </w:r>
          </w:p>
        </w:tc>
        <w:tc>
          <w:tcPr>
            <w:vAlign w:val="center"/>
          </w:tcPr>
          <w:p>
            <w:pPr>
              <w:jc w:val="right"/>
            </w:pPr>
            <w:r>
              <w:rPr>
                <w:color w:val="000000"/>
                <w:sz w:val="24"/>
                <w:szCs w:val="24"/>
              </w:rPr>
              <w:t>1.08</w:t>
            </w:r>
          </w:p>
        </w:tc>
      </w:tr>
      <w:tr>
        <w:tc>
          <w:tcPr>
            <w:vAlign w:val="center"/>
          </w:tcPr>
          <w:p>
            <w:pPr>
              <w:jc w:val="center"/>
            </w:pPr>
            <w:r>
              <w:rPr>
                <w:color w:val="000000"/>
                <w:sz w:val="24"/>
                <w:szCs w:val="24"/>
              </w:rPr>
              <w:t>3</w:t>
            </w:r>
          </w:p>
        </w:tc>
        <w:tc>
          <w:tcPr>
            <w:vAlign w:val="center"/>
          </w:tcPr>
          <w:p>
            <w:pPr>
              <w:jc w:val="center"/>
            </w:pPr>
            <w:r>
              <w:rPr>
                <w:color w:val="000000"/>
                <w:sz w:val="24"/>
                <w:szCs w:val="24"/>
              </w:rPr>
              <w:t>200406</w:t>
            </w:r>
          </w:p>
        </w:tc>
        <w:tc>
          <w:tcPr>
            <w:vAlign w:val="center"/>
          </w:tcPr>
          <w:p>
            <w:pPr>
              <w:jc w:val="center"/>
            </w:pPr>
            <w:r>
              <w:rPr>
                <w:color w:val="000000"/>
                <w:sz w:val="24"/>
                <w:szCs w:val="24"/>
              </w:rPr>
              <w:t>20农发06</w:t>
            </w:r>
          </w:p>
        </w:tc>
        <w:tc>
          <w:tcPr>
            <w:vAlign w:val="center"/>
          </w:tcPr>
          <w:p>
            <w:pPr>
              <w:jc w:val="right"/>
            </w:pPr>
            <w:r>
              <w:rPr>
                <w:color w:val="000000"/>
                <w:sz w:val="24"/>
                <w:szCs w:val="24"/>
              </w:rPr>
              <w:t>700,000</w:t>
            </w:r>
          </w:p>
        </w:tc>
        <w:tc>
          <w:tcPr>
            <w:vAlign w:val="center"/>
          </w:tcPr>
          <w:p>
            <w:pPr>
              <w:jc w:val="right"/>
            </w:pPr>
            <w:r>
              <w:rPr>
                <w:color w:val="000000"/>
                <w:sz w:val="24"/>
                <w:szCs w:val="24"/>
              </w:rPr>
              <w:t>69,832,000.00</w:t>
            </w:r>
          </w:p>
        </w:tc>
        <w:tc>
          <w:tcPr>
            <w:vAlign w:val="center"/>
          </w:tcPr>
          <w:p>
            <w:pPr>
              <w:jc w:val="right"/>
            </w:pPr>
            <w:r>
              <w:rPr>
                <w:color w:val="000000"/>
                <w:sz w:val="24"/>
                <w:szCs w:val="24"/>
              </w:rPr>
              <w:t>1.07</w:t>
            </w:r>
          </w:p>
        </w:tc>
      </w:tr>
      <w:tr>
        <w:tc>
          <w:tcPr>
            <w:vAlign w:val="center"/>
          </w:tcPr>
          <w:p>
            <w:pPr>
              <w:jc w:val="center"/>
            </w:pPr>
            <w:r>
              <w:rPr>
                <w:color w:val="000000"/>
                <w:sz w:val="24"/>
                <w:szCs w:val="24"/>
              </w:rPr>
              <w:t>4</w:t>
            </w:r>
          </w:p>
        </w:tc>
        <w:tc>
          <w:tcPr>
            <w:vAlign w:val="center"/>
          </w:tcPr>
          <w:p>
            <w:pPr>
              <w:jc w:val="center"/>
            </w:pPr>
            <w:r>
              <w:rPr>
                <w:color w:val="000000"/>
                <w:sz w:val="24"/>
                <w:szCs w:val="24"/>
              </w:rPr>
              <w:t>200211</w:t>
            </w:r>
          </w:p>
        </w:tc>
        <w:tc>
          <w:tcPr>
            <w:vAlign w:val="center"/>
          </w:tcPr>
          <w:p>
            <w:pPr>
              <w:jc w:val="center"/>
            </w:pPr>
            <w:r>
              <w:rPr>
                <w:color w:val="000000"/>
                <w:sz w:val="24"/>
                <w:szCs w:val="24"/>
              </w:rPr>
              <w:t>20国开11</w:t>
            </w:r>
          </w:p>
        </w:tc>
        <w:tc>
          <w:tcPr>
            <w:vAlign w:val="center"/>
          </w:tcPr>
          <w:p>
            <w:pPr>
              <w:jc w:val="right"/>
            </w:pPr>
            <w:r>
              <w:rPr>
                <w:color w:val="000000"/>
                <w:sz w:val="24"/>
                <w:szCs w:val="24"/>
              </w:rPr>
              <w:t>300,000</w:t>
            </w:r>
          </w:p>
        </w:tc>
        <w:tc>
          <w:tcPr>
            <w:vAlign w:val="center"/>
          </w:tcPr>
          <w:p>
            <w:pPr>
              <w:jc w:val="right"/>
            </w:pPr>
            <w:r>
              <w:rPr>
                <w:color w:val="000000"/>
                <w:sz w:val="24"/>
                <w:szCs w:val="24"/>
              </w:rPr>
              <w:t>29,880,000.00</w:t>
            </w:r>
          </w:p>
        </w:tc>
        <w:tc>
          <w:tcPr>
            <w:vAlign w:val="center"/>
          </w:tcPr>
          <w:p>
            <w:pPr>
              <w:jc w:val="right"/>
            </w:pPr>
            <w:r>
              <w:rPr>
                <w:color w:val="000000"/>
                <w:sz w:val="24"/>
                <w:szCs w:val="24"/>
              </w:rPr>
              <w:t>0.46</w:t>
            </w:r>
          </w:p>
        </w:tc>
      </w:tr>
      <w:tr>
        <w:tc>
          <w:tcPr>
            <w:vAlign w:val="center"/>
          </w:tcPr>
          <w:p>
            <w:pPr>
              <w:jc w:val="center"/>
            </w:pPr>
            <w:r>
              <w:rPr>
                <w:color w:val="000000"/>
                <w:sz w:val="24"/>
                <w:szCs w:val="24"/>
              </w:rPr>
              <w:t>5</w:t>
            </w:r>
          </w:p>
        </w:tc>
        <w:tc>
          <w:tcPr>
            <w:vAlign w:val="center"/>
          </w:tcPr>
          <w:p>
            <w:pPr>
              <w:jc w:val="center"/>
            </w:pPr>
            <w:r>
              <w:rPr>
                <w:color w:val="000000"/>
                <w:sz w:val="24"/>
                <w:szCs w:val="24"/>
              </w:rPr>
              <w:t>200216</w:t>
            </w:r>
          </w:p>
        </w:tc>
        <w:tc>
          <w:tcPr>
            <w:vAlign w:val="center"/>
          </w:tcPr>
          <w:p>
            <w:pPr>
              <w:jc w:val="center"/>
            </w:pPr>
            <w:r>
              <w:rPr>
                <w:color w:val="000000"/>
                <w:sz w:val="24"/>
                <w:szCs w:val="24"/>
              </w:rPr>
              <w:t>20国开16</w:t>
            </w:r>
          </w:p>
        </w:tc>
        <w:tc>
          <w:tcPr>
            <w:vAlign w:val="center"/>
          </w:tcPr>
          <w:p>
            <w:pPr>
              <w:jc w:val="right"/>
            </w:pPr>
            <w:r>
              <w:rPr>
                <w:color w:val="000000"/>
                <w:sz w:val="24"/>
                <w:szCs w:val="24"/>
              </w:rPr>
              <w:t>200,000</w:t>
            </w:r>
          </w:p>
        </w:tc>
        <w:tc>
          <w:tcPr>
            <w:vAlign w:val="center"/>
          </w:tcPr>
          <w:p>
            <w:pPr>
              <w:jc w:val="right"/>
            </w:pPr>
            <w:r>
              <w:rPr>
                <w:color w:val="000000"/>
                <w:sz w:val="24"/>
                <w:szCs w:val="24"/>
              </w:rPr>
              <w:t>20,034,000.00</w:t>
            </w:r>
          </w:p>
        </w:tc>
        <w:tc>
          <w:tcPr>
            <w:vAlign w:val="center"/>
          </w:tcPr>
          <w:p>
            <w:pPr>
              <w:jc w:val="right"/>
            </w:pPr>
            <w:r>
              <w:rPr>
                <w:color w:val="000000"/>
                <w:sz w:val="24"/>
                <w:szCs w:val="24"/>
              </w:rPr>
              <w:t>0.31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1,596,793.24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2,327,902.31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140,293,227.13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144,217,922.68</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1,349,781,156.55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389,640,685.12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193,342,014.63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1,546,079,827.04</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1、中国证监会核准交银施罗德先进制造股票证券投资基金募集的文件；</w:t>
      </w:r>
    </w:p>
    <w:p>
      <w:pPr>
        <w:spacing w:before="29" w:line="288" w:lineRule="auto"/>
        <w:ind w:firstLine="480" w:firstLineChars="200"/>
        <w:rPr>
          <w:color w:val="000000"/>
          <w:sz w:val="24"/>
          <w:szCs w:val="24"/>
        </w:rPr>
      </w:pPr>
      <w:r>
        <w:rPr>
          <w:color w:val="000000"/>
          <w:sz w:val="24"/>
          <w:szCs w:val="24"/>
        </w:rPr>
        <w:t>2、中国证监会准予交银施罗德先进制造混合型证券投资基金变更注册的文件；</w:t>
      </w:r>
    </w:p>
    <w:p>
      <w:pPr>
        <w:spacing w:before="29" w:line="288" w:lineRule="auto"/>
        <w:ind w:firstLine="480" w:firstLineChars="200"/>
        <w:rPr>
          <w:color w:val="000000"/>
          <w:sz w:val="24"/>
          <w:szCs w:val="24"/>
        </w:rPr>
      </w:pPr>
      <w:r>
        <w:rPr>
          <w:color w:val="000000"/>
          <w:sz w:val="24"/>
          <w:szCs w:val="24"/>
        </w:rPr>
        <w:t xml:space="preserve">3、《交银施罗德先进制造混合型证券投资基金基金合同》； </w:t>
      </w:r>
    </w:p>
    <w:p>
      <w:pPr>
        <w:spacing w:before="29" w:line="288" w:lineRule="auto"/>
        <w:ind w:firstLine="480" w:firstLineChars="200"/>
        <w:rPr>
          <w:color w:val="000000"/>
          <w:sz w:val="24"/>
          <w:szCs w:val="24"/>
        </w:rPr>
      </w:pPr>
      <w:r>
        <w:rPr>
          <w:color w:val="000000"/>
          <w:sz w:val="24"/>
          <w:szCs w:val="24"/>
        </w:rPr>
        <w:t>4、《交银施罗德先进制造混合型证券投资基金招募说明书》；</w:t>
      </w:r>
    </w:p>
    <w:p>
      <w:pPr>
        <w:spacing w:before="29" w:line="288" w:lineRule="auto"/>
        <w:ind w:firstLine="480" w:firstLineChars="200"/>
        <w:rPr>
          <w:color w:val="000000"/>
          <w:sz w:val="24"/>
          <w:szCs w:val="24"/>
        </w:rPr>
      </w:pPr>
      <w:r>
        <w:rPr>
          <w:color w:val="000000"/>
          <w:sz w:val="24"/>
          <w:szCs w:val="24"/>
        </w:rPr>
        <w:t xml:space="preserve">5、《交银施罗德先进制造混合型证券投资基金托管协议》； </w:t>
      </w:r>
    </w:p>
    <w:p>
      <w:pPr>
        <w:spacing w:before="29" w:line="288" w:lineRule="auto"/>
        <w:ind w:firstLine="480" w:firstLineChars="200"/>
        <w:rPr>
          <w:color w:val="000000"/>
          <w:sz w:val="24"/>
          <w:szCs w:val="24"/>
        </w:rPr>
      </w:pPr>
      <w:r>
        <w:rPr>
          <w:color w:val="000000"/>
          <w:sz w:val="24"/>
          <w:szCs w:val="24"/>
        </w:rPr>
        <w:t>6、关于申请募集交银施罗德先进制造股票证券投资基金之法律意见书；</w:t>
      </w:r>
    </w:p>
    <w:p>
      <w:pPr>
        <w:spacing w:before="29" w:line="288" w:lineRule="auto"/>
        <w:ind w:firstLine="480" w:firstLineChars="200"/>
        <w:rPr>
          <w:color w:val="000000"/>
          <w:sz w:val="24"/>
          <w:szCs w:val="24"/>
        </w:rPr>
      </w:pPr>
      <w:r>
        <w:rPr>
          <w:color w:val="000000"/>
          <w:sz w:val="24"/>
          <w:szCs w:val="24"/>
        </w:rPr>
        <w:t>7、关于申请变更注册交银施罗德先进制造混合型证券投资基金的法律意见书；</w:t>
      </w:r>
    </w:p>
    <w:p>
      <w:pPr>
        <w:spacing w:before="29" w:line="288" w:lineRule="auto"/>
        <w:ind w:firstLine="480" w:firstLineChars="200"/>
        <w:rPr>
          <w:color w:val="000000"/>
          <w:sz w:val="24"/>
          <w:szCs w:val="24"/>
        </w:rPr>
      </w:pPr>
      <w:r>
        <w:rPr>
          <w:color w:val="000000"/>
          <w:sz w:val="24"/>
          <w:szCs w:val="24"/>
        </w:rPr>
        <w:t>8、基金管理人业务资格批件、营业执照；</w:t>
      </w:r>
    </w:p>
    <w:p>
      <w:pPr>
        <w:spacing w:before="29" w:line="288" w:lineRule="auto"/>
        <w:ind w:firstLine="480" w:firstLineChars="200"/>
        <w:rPr>
          <w:color w:val="000000"/>
          <w:sz w:val="24"/>
          <w:szCs w:val="24"/>
        </w:rPr>
      </w:pPr>
      <w:r>
        <w:rPr>
          <w:color w:val="000000"/>
          <w:sz w:val="24"/>
          <w:szCs w:val="24"/>
        </w:rPr>
        <w:t>9、基金托管人业务资格批件、营业执照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10、报告期内交银施罗德先进制造混合型证券投资基金在指定报刊上各项公告的原稿。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交银施罗德先进制造混合型证券投资基金2020年第4季度报告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