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交银施罗德丰晟收益债券型证券投资基金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2020年第4季度报告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2020年12月31日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招商银行股份有限公司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二〇二一年一月二十一日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基金托管人招商银行股份有限公司根据本基金合同规定，于2021年1月20日复核了本报告中的财务指标、净值表现和投资组合报告等内容，保证复核内容不存在虚假记载、误导性陈述或者重大遗漏。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本报告期自2020年10月1日起至12月31日止。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交银丰晟收益债券</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005577</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契约型，本基金在基金合同生效之日起两年（含两年）的期间内封闭式运作，封闭期结束后转为开放式运作。</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2018年5月23日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277,179,543.00</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在严格控制风险的前提下,力求获得高于业绩基准的投资收益。</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pPr>
              <w:adjustRightInd w:val="0"/>
              <w:spacing w:before="29" w:line="288" w:lineRule="auto"/>
              <w:ind w:left="17"/>
              <w:jc w:val="left"/>
              <w:rPr>
                <w:color w:val="000000"/>
                <w:sz w:val="24"/>
              </w:rPr>
            </w:pPr>
            <w:r>
              <w:rPr>
                <w:color w:val="000000"/>
                <w:kern w:val="0"/>
                <w:sz w:val="24"/>
              </w:rPr>
              <w:t>封闭期内的投资策略：</w:t>
            </w:r>
          </w:p>
          <w:p>
            <w:pPr>
              <w:adjustRightInd w:val="0"/>
              <w:spacing w:before="29" w:line="288" w:lineRule="auto"/>
              <w:ind w:left="17"/>
              <w:jc w:val="left"/>
              <w:rPr>
                <w:color w:val="000000"/>
                <w:sz w:val="24"/>
              </w:rPr>
            </w:pPr>
            <w:r>
              <w:rPr>
                <w:color w:val="000000"/>
                <w:kern w:val="0"/>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w:t>
            </w:r>
          </w:p>
          <w:p>
            <w:pPr>
              <w:adjustRightInd w:val="0"/>
              <w:spacing w:before="29" w:line="288" w:lineRule="auto"/>
              <w:ind w:left="17"/>
              <w:jc w:val="left"/>
              <w:rPr>
                <w:color w:val="000000"/>
                <w:sz w:val="24"/>
              </w:rPr>
            </w:pPr>
            <w:r>
              <w:rPr>
                <w:color w:val="000000"/>
                <w:kern w:val="0"/>
                <w:sz w:val="24"/>
              </w:rPr>
              <w:t>转为开放式运作后的投资策略：</w:t>
            </w:r>
          </w:p>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中债综合全价指数收益率</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本基金是一只债券型基金，其预期风险与预期收益高于货币市场基金，低于混合型基金和股票型基金。</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招商银行股份有限公司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交银丰晟收益债券A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交银丰晟收益债券C</w:t>
            </w:r>
          </w:p>
        </w:tc>
      </w:tr>
      <w:tr w:rsidR="00C23B30" w:rsidRPr="007F52FA" w:rsidTr="009416C9">
        <w:trPr>
          <w:jc w:val="center"/>
        </w:trPr>
        <w:tc>
          <w:tcPr>
            <w:tcW w:type="dxa" w:w="3023"/>
            <w:vAlign w:val="center"/>
          </w:tcPr>
          <w:p w:rsidP="007C14DF" w:rsidR="00C23B30" w:rsidRDefault="007C3DC6">
            <w:pPr>
              <w:adjustRightInd w:val="0"/>
              <w:spacing w:before="29" w:line="288" w:lineRule="auto"/>
              <w:ind w:left="17"/>
              <w:jc w:val="left"/>
              <w:rPr>
                <w:color w:val="000000"/>
                <w:sz w:val="24"/>
              </w:rPr>
            </w:pPr>
            <w:r w:rsidRPr="007F52FA">
              <w:rPr>
                <w:color w:val="000000"/>
                <w:sz w:val="24"/>
              </w:rPr>
              <w:t>下属两级基金的交易代码</w:t>
            </w:r>
          </w:p>
          <w:p w:rsidP="00C01EF2" w:rsidR="00C01EF2" w:rsidRDefault="00C01EF2" w:rsidRPr="007F52FA">
            <w:pPr>
              <w:adjustRightInd w:val="0"/>
              <w:spacing w:before="29" w:line="288" w:lineRule="auto"/>
              <w:ind w:left="17"/>
              <w:jc w:val="left"/>
              <w:rPr>
                <w:color w:val="000000"/>
                <w:sz w:val="24"/>
              </w:rPr>
            </w:pPr>
            <w:r w:rsidRPr="007F52FA">
              <w:rPr>
                <w:color w:themeColor="text1" w:val="000000"/>
                <w:sz w:val="24"/>
              </w:rPr>
              <w:t/>
            </w:r>
            <w:r w:rsidRPr="000E4C40">
              <w:rPr>
                <w:color w:val="000000"/>
                <w:kern w:val="0"/>
                <w:sz w:val="24"/>
              </w:rPr>
              <w:t/>
            </w:r>
            <w:r>
              <w:rPr>
                <w:rFonts w:hint="eastAsia"/>
                <w:color w:val="000000"/>
                <w:kern w:val="0"/>
                <w:sz w:val="24"/>
              </w:rPr>
              <w:t/>
            </w:r>
            <w:r w:rsidRPr="000E4C40">
              <w:rPr>
                <w:sz w:val="24"/>
              </w:rPr>
              <w:t/>
            </w:r>
          </w:p>
        </w:tc>
        <w:tc>
          <w:tcPr>
            <w:tcW w:type="dxa" w:w="2922"/>
            <w:vAlign w:val="center"/>
          </w:tcPr>
          <w:p w:rsidP="007F50FB" w:rsidR="00C23B30" w:rsidRDefault="00C23B30" w:rsidRPr="000E4C40">
            <w:pPr>
              <w:spacing w:before="29" w:line="288" w:lineRule="auto"/>
              <w:jc w:val="left"/>
              <w:rPr>
                <w:sz w:val="24"/>
              </w:rPr>
            </w:pPr>
            <w:r w:rsidRPr="007F52FA">
              <w:rPr>
                <w:color w:themeColor="text1" w:val="000000"/>
                <w:sz w:val="24"/>
              </w:rPr>
              <w:t/>
            </w:r>
            <w:r w:rsidRPr="000E4C40">
              <w:rPr>
                <w:color w:val="000000"/>
                <w:kern w:val="0"/>
                <w:sz w:val="24"/>
              </w:rPr>
              <w:t/>
            </w:r>
            <w:r w:rsidRPr="000E4C40">
              <w:rPr>
                <w:sz w:val="24"/>
              </w:rPr>
              <w:t>005577</w:t>
            </w:r>
          </w:p>
        </w:tc>
        <w:tc>
          <w:tcPr>
            <w:tcW w:type="dxa" w:w="3048"/>
            <w:vAlign w:val="center"/>
          </w:tcPr>
          <w:p w:rsidP="00A52A9E" w:rsidR="00C23B30" w:rsidRDefault="00261F47" w:rsidRPr="000E4C40">
            <w:pPr>
              <w:spacing w:before="29" w:line="288" w:lineRule="auto"/>
              <w:jc w:val="left"/>
              <w:rPr>
                <w:sz w:val="24"/>
              </w:rPr>
            </w:pPr>
            <w:r w:rsidRPr="007F52FA">
              <w:rPr>
                <w:color w:themeColor="text1" w:val="000000"/>
                <w:sz w:val="24"/>
              </w:rPr>
              <w:t/>
            </w:r>
            <w:r w:rsidR="00C23B30" w:rsidRPr="000E4C40">
              <w:rPr>
                <w:color w:val="000000"/>
                <w:kern w:val="0"/>
                <w:sz w:val="24"/>
              </w:rPr>
              <w:t/>
            </w:r>
            <w:r w:rsidR="00C23B30" w:rsidRPr="000E4C40">
              <w:rPr>
                <w:sz w:val="24"/>
              </w:rPr>
              <w:t/>
            </w:r>
            <w:r w:rsidR="00A52A9E">
              <w:rPr>
                <w:sz w:val="24"/>
              </w:rPr>
              <w:t/>
            </w:r>
            <w:r w:rsidR="00C23B30" w:rsidRPr="000E4C40">
              <w:rPr>
                <w:sz w:val="24"/>
              </w:rPr>
              <w:t>005578</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w:t>
            </w:r>
            <w:r w:rsidRPr="007F52FA">
              <w:rPr>
                <w:color w:val="000000"/>
                <w:sz w:val="24"/>
              </w:rPr>
              <w:lastRenderedPageBreak/>
              <w:t>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277,061,205.72</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118,337.28</w:t>
            </w:r>
            <w:r w:rsidRPr="007F52FA">
              <w:rPr>
                <w:color w:val="000000"/>
                <w:kern w:val="0"/>
                <w:sz w:val="24"/>
              </w:rPr>
              <w:t>份</w:t>
            </w:r>
          </w:p>
        </w:tc>
      </w:tr>
    </w:tbl>
    <w:p w:rsidP="007C14DF" w:rsidR="009238DB" w:rsidRDefault="00A6200E"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注：本基金自2020年5月26日起转为开放式运作。</w:t>
      </w:r>
    </w:p>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(2020年10月1日-2020年12月31日)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交银丰晟收益债券A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交银丰晟收益债券C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2,054,313.51</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1,046.73</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1,497,908.08</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958.85</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0.0058</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0.0060</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294,857,414.95</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125,130.22</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1.0642</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1.0574</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注：1、上述基金业绩指标不包括持有人认购或交易基金的各项费用，计入费用后的实际收益水平要低于所列数字；</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交银丰晟收益债券A</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0.57%</w:t>
            </w:r>
          </w:p>
        </w:tc>
        <w:tc>
          <w:tcPr>
            <w:vAlign w:val="center"/>
          </w:tcPr>
          <w:p>
            <w:pPr>
              <w:jc w:val="center"/>
            </w:pPr>
            <w:r>
              <w:rPr>
                <w:color w:val="000000"/>
                <w:sz w:val="24"/>
              </w:rPr>
              <w:t>0.05%</w:t>
            </w:r>
          </w:p>
        </w:tc>
        <w:tc>
          <w:tcPr>
            <w:vAlign w:val="center"/>
          </w:tcPr>
          <w:p>
            <w:pPr>
              <w:jc w:val="center"/>
            </w:pPr>
            <w:r>
              <w:rPr>
                <w:color w:val="000000"/>
                <w:sz w:val="24"/>
              </w:rPr>
              <w:t>0.64%</w:t>
            </w:r>
          </w:p>
        </w:tc>
        <w:tc>
          <w:tcPr>
            <w:vAlign w:val="center"/>
          </w:tcPr>
          <w:p>
            <w:pPr>
              <w:jc w:val="center"/>
            </w:pPr>
            <w:r>
              <w:rPr>
                <w:color w:val="000000"/>
                <w:sz w:val="24"/>
              </w:rPr>
              <w:t>0.04%</w:t>
            </w:r>
          </w:p>
        </w:tc>
        <w:tc>
          <w:tcPr>
            <w:vAlign w:val="center"/>
          </w:tcPr>
          <w:p>
            <w:pPr>
              <w:jc w:val="center"/>
            </w:pPr>
            <w:r>
              <w:rPr>
                <w:color w:val="000000"/>
                <w:sz w:val="24"/>
              </w:rPr>
              <w:t>-0.07%</w:t>
            </w:r>
          </w:p>
        </w:tc>
        <w:tc>
          <w:tcPr>
            <w:vAlign w:val="center"/>
          </w:tcPr>
          <w:p>
            <w:pPr>
              <w:jc w:val="center"/>
            </w:pPr>
            <w:r>
              <w:rPr>
                <w:color w:val="000000"/>
                <w:sz w:val="24"/>
              </w:rPr>
              <w:t>0.01%</w:t>
            </w:r>
          </w:p>
        </w:tc>
      </w:tr>
      <w:tr>
        <w:tc>
          <w:tcPr>
            <w:vAlign w:val="center"/>
          </w:tcPr>
          <w:p>
            <w:pPr>
              <w:jc w:val="left"/>
            </w:pPr>
            <w:r>
              <w:rPr>
                <w:color w:val="000000"/>
                <w:sz w:val="24"/>
              </w:rPr>
              <w:t>过去六个月</w:t>
            </w:r>
          </w:p>
        </w:tc>
        <w:tc>
          <w:tcPr>
            <w:vAlign w:val="center"/>
          </w:tcPr>
          <w:p>
            <w:pPr>
              <w:jc w:val="center"/>
            </w:pPr>
            <w:r>
              <w:rPr>
                <w:color w:val="000000"/>
                <w:sz w:val="24"/>
              </w:rPr>
              <w:t>0.79%</w:t>
            </w:r>
          </w:p>
        </w:tc>
        <w:tc>
          <w:tcPr>
            <w:vAlign w:val="center"/>
          </w:tcPr>
          <w:p>
            <w:pPr>
              <w:jc w:val="center"/>
            </w:pPr>
            <w:r>
              <w:rPr>
                <w:color w:val="000000"/>
                <w:sz w:val="24"/>
              </w:rPr>
              <w:t>0.05%</w:t>
            </w:r>
          </w:p>
        </w:tc>
        <w:tc>
          <w:tcPr>
            <w:vAlign w:val="center"/>
          </w:tcPr>
          <w:p>
            <w:pPr>
              <w:jc w:val="center"/>
            </w:pPr>
            <w:r>
              <w:rPr>
                <w:color w:val="000000"/>
                <w:sz w:val="24"/>
              </w:rPr>
              <w:t>-0.85%</w:t>
            </w:r>
          </w:p>
        </w:tc>
        <w:tc>
          <w:tcPr>
            <w:vAlign w:val="center"/>
          </w:tcPr>
          <w:p>
            <w:pPr>
              <w:jc w:val="center"/>
            </w:pPr>
            <w:r>
              <w:rPr>
                <w:color w:val="000000"/>
                <w:sz w:val="24"/>
              </w:rPr>
              <w:t>0.07%</w:t>
            </w:r>
          </w:p>
        </w:tc>
        <w:tc>
          <w:tcPr>
            <w:vAlign w:val="center"/>
          </w:tcPr>
          <w:p>
            <w:pPr>
              <w:jc w:val="center"/>
            </w:pPr>
            <w:r>
              <w:rPr>
                <w:color w:val="000000"/>
                <w:sz w:val="24"/>
              </w:rPr>
              <w:t>1.64%</w:t>
            </w:r>
          </w:p>
        </w:tc>
        <w:tc>
          <w:tcPr>
            <w:vAlign w:val="center"/>
          </w:tcPr>
          <w:p>
            <w:pPr>
              <w:jc w:val="center"/>
            </w:pPr>
            <w:r>
              <w:rPr>
                <w:color w:val="000000"/>
                <w:sz w:val="24"/>
              </w:rPr>
              <w:t>-0.02%</w:t>
            </w:r>
          </w:p>
        </w:tc>
      </w:tr>
      <w:tr>
        <w:tc>
          <w:tcPr>
            <w:vAlign w:val="center"/>
          </w:tcPr>
          <w:p>
            <w:pPr>
              <w:jc w:val="left"/>
            </w:pPr>
            <w:r>
              <w:rPr>
                <w:color w:val="000000"/>
                <w:sz w:val="24"/>
              </w:rPr>
              <w:t>过去一年</w:t>
            </w:r>
          </w:p>
        </w:tc>
        <w:tc>
          <w:tcPr>
            <w:vAlign w:val="center"/>
          </w:tcPr>
          <w:p>
            <w:pPr>
              <w:jc w:val="center"/>
            </w:pPr>
            <w:r>
              <w:rPr>
                <w:color w:val="000000"/>
                <w:sz w:val="24"/>
              </w:rPr>
              <w:t>2.81%</w:t>
            </w:r>
          </w:p>
        </w:tc>
        <w:tc>
          <w:tcPr>
            <w:vAlign w:val="center"/>
          </w:tcPr>
          <w:p>
            <w:pPr>
              <w:jc w:val="center"/>
            </w:pPr>
            <w:r>
              <w:rPr>
                <w:color w:val="000000"/>
                <w:sz w:val="24"/>
              </w:rPr>
              <w:t>0.04%</w:t>
            </w:r>
          </w:p>
        </w:tc>
        <w:tc>
          <w:tcPr>
            <w:vAlign w:val="center"/>
          </w:tcPr>
          <w:p>
            <w:pPr>
              <w:jc w:val="center"/>
            </w:pPr>
            <w:r>
              <w:rPr>
                <w:color w:val="000000"/>
                <w:sz w:val="24"/>
              </w:rPr>
              <w:t>-0.07%</w:t>
            </w:r>
          </w:p>
        </w:tc>
        <w:tc>
          <w:tcPr>
            <w:vAlign w:val="center"/>
          </w:tcPr>
          <w:p>
            <w:pPr>
              <w:jc w:val="center"/>
            </w:pPr>
            <w:r>
              <w:rPr>
                <w:color w:val="000000"/>
                <w:sz w:val="24"/>
              </w:rPr>
              <w:t>0.09%</w:t>
            </w:r>
          </w:p>
        </w:tc>
        <w:tc>
          <w:tcPr>
            <w:vAlign w:val="center"/>
          </w:tcPr>
          <w:p>
            <w:pPr>
              <w:jc w:val="center"/>
            </w:pPr>
            <w:r>
              <w:rPr>
                <w:color w:val="000000"/>
                <w:sz w:val="24"/>
              </w:rPr>
              <w:t>2.88%</w:t>
            </w:r>
          </w:p>
        </w:tc>
        <w:tc>
          <w:tcPr>
            <w:vAlign w:val="center"/>
          </w:tcPr>
          <w:p>
            <w:pPr>
              <w:jc w:val="center"/>
            </w:pPr>
            <w:r>
              <w:rPr>
                <w:color w:val="000000"/>
                <w:sz w:val="24"/>
              </w:rPr>
              <w:t>-0.05%</w:t>
            </w:r>
          </w:p>
        </w:tc>
      </w:tr>
      <w:tr>
        <w:tc>
          <w:tcPr>
            <w:vAlign w:val="center"/>
          </w:tcPr>
          <w:p>
            <w:pPr>
              <w:jc w:val="left"/>
            </w:pPr>
            <w:r>
              <w:rPr>
                <w:color w:val="000000"/>
                <w:sz w:val="24"/>
              </w:rPr>
              <w:t>自基金合同生效至今</w:t>
            </w:r>
          </w:p>
        </w:tc>
        <w:tc>
          <w:tcPr>
            <w:vAlign w:val="center"/>
          </w:tcPr>
          <w:p>
            <w:pPr>
              <w:jc w:val="center"/>
            </w:pPr>
            <w:r>
              <w:rPr>
                <w:color w:val="000000"/>
                <w:sz w:val="24"/>
              </w:rPr>
              <w:t>15.80%</w:t>
            </w:r>
          </w:p>
        </w:tc>
        <w:tc>
          <w:tcPr>
            <w:vAlign w:val="center"/>
          </w:tcPr>
          <w:p>
            <w:pPr>
              <w:jc w:val="center"/>
            </w:pPr>
            <w:r>
              <w:rPr>
                <w:color w:val="000000"/>
                <w:sz w:val="24"/>
              </w:rPr>
              <w:t>0.07%</w:t>
            </w:r>
          </w:p>
        </w:tc>
        <w:tc>
          <w:tcPr>
            <w:vAlign w:val="center"/>
          </w:tcPr>
          <w:p>
            <w:pPr>
              <w:jc w:val="center"/>
            </w:pPr>
            <w:r>
              <w:rPr>
                <w:color w:val="000000"/>
                <w:sz w:val="24"/>
              </w:rPr>
              <w:t>4.32%</w:t>
            </w:r>
          </w:p>
        </w:tc>
        <w:tc>
          <w:tcPr>
            <w:vAlign w:val="center"/>
          </w:tcPr>
          <w:p>
            <w:pPr>
              <w:jc w:val="center"/>
            </w:pPr>
            <w:r>
              <w:rPr>
                <w:color w:val="000000"/>
                <w:sz w:val="24"/>
              </w:rPr>
              <w:t>0.07%</w:t>
            </w:r>
          </w:p>
        </w:tc>
        <w:tc>
          <w:tcPr>
            <w:vAlign w:val="center"/>
          </w:tcPr>
          <w:p>
            <w:pPr>
              <w:jc w:val="center"/>
            </w:pPr>
            <w:r>
              <w:rPr>
                <w:color w:val="000000"/>
                <w:sz w:val="24"/>
              </w:rPr>
              <w:t>11.48%</w:t>
            </w:r>
          </w:p>
        </w:tc>
        <w:tc>
          <w:tcPr>
            <w:vAlign w:val="center"/>
          </w:tcPr>
          <w:p>
            <w:pPr>
              <w:jc w:val="center"/>
            </w:pPr>
            <w:r>
              <w:rPr>
                <w:color w:val="000000"/>
                <w:sz w:val="24"/>
              </w:rPr>
              <w:t>0.00%</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交银丰晟收益债券C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0.42%</w:t>
            </w:r>
          </w:p>
        </w:tc>
        <w:tc>
          <w:tcPr>
            <w:vAlign w:val="center"/>
          </w:tcPr>
          <w:p>
            <w:pPr>
              <w:jc w:val="center"/>
            </w:pPr>
            <w:r>
              <w:rPr>
                <w:color w:val="000000"/>
                <w:sz w:val="24"/>
              </w:rPr>
              <w:t>0.05%</w:t>
            </w:r>
          </w:p>
        </w:tc>
        <w:tc>
          <w:tcPr>
            <w:vAlign w:val="center"/>
          </w:tcPr>
          <w:p>
            <w:pPr>
              <w:jc w:val="center"/>
            </w:pPr>
            <w:r>
              <w:rPr>
                <w:color w:val="000000"/>
                <w:sz w:val="24"/>
              </w:rPr>
              <w:t>0.64%</w:t>
            </w:r>
          </w:p>
        </w:tc>
        <w:tc>
          <w:tcPr>
            <w:vAlign w:val="center"/>
          </w:tcPr>
          <w:p>
            <w:pPr>
              <w:jc w:val="center"/>
            </w:pPr>
            <w:r>
              <w:rPr>
                <w:color w:val="000000"/>
                <w:sz w:val="24"/>
              </w:rPr>
              <w:t>0.04%</w:t>
            </w:r>
          </w:p>
        </w:tc>
        <w:tc>
          <w:tcPr>
            <w:vAlign w:val="center"/>
          </w:tcPr>
          <w:p>
            <w:pPr>
              <w:jc w:val="center"/>
            </w:pPr>
            <w:r>
              <w:rPr>
                <w:color w:val="000000"/>
                <w:sz w:val="24"/>
              </w:rPr>
              <w:t>-0.22%</w:t>
            </w:r>
          </w:p>
        </w:tc>
        <w:tc>
          <w:tcPr>
            <w:vAlign w:val="center"/>
          </w:tcPr>
          <w:p>
            <w:pPr>
              <w:jc w:val="center"/>
            </w:pPr>
            <w:r>
              <w:rPr>
                <w:color w:val="000000"/>
                <w:sz w:val="24"/>
              </w:rPr>
              <w:t>0.01%</w:t>
            </w:r>
          </w:p>
        </w:tc>
      </w:tr>
      <w:tr>
        <w:tc>
          <w:tcPr>
            <w:vAlign w:val="center"/>
          </w:tcPr>
          <w:p>
            <w:pPr>
              <w:jc w:val="left"/>
            </w:pPr>
            <w:r>
              <w:rPr>
                <w:color w:val="000000"/>
                <w:sz w:val="24"/>
              </w:rPr>
              <w:t>过去六个月</w:t>
            </w:r>
          </w:p>
        </w:tc>
        <w:tc>
          <w:tcPr>
            <w:vAlign w:val="center"/>
          </w:tcPr>
          <w:p>
            <w:pPr>
              <w:jc w:val="center"/>
            </w:pPr>
            <w:r>
              <w:rPr>
                <w:color w:val="000000"/>
                <w:sz w:val="24"/>
              </w:rPr>
              <w:t>0.48%</w:t>
            </w:r>
          </w:p>
        </w:tc>
        <w:tc>
          <w:tcPr>
            <w:vAlign w:val="center"/>
          </w:tcPr>
          <w:p>
            <w:pPr>
              <w:jc w:val="center"/>
            </w:pPr>
            <w:r>
              <w:rPr>
                <w:color w:val="000000"/>
                <w:sz w:val="24"/>
              </w:rPr>
              <w:t>0.05%</w:t>
            </w:r>
          </w:p>
        </w:tc>
        <w:tc>
          <w:tcPr>
            <w:vAlign w:val="center"/>
          </w:tcPr>
          <w:p>
            <w:pPr>
              <w:jc w:val="center"/>
            </w:pPr>
            <w:r>
              <w:rPr>
                <w:color w:val="000000"/>
                <w:sz w:val="24"/>
              </w:rPr>
              <w:t>-0.85%</w:t>
            </w:r>
          </w:p>
        </w:tc>
        <w:tc>
          <w:tcPr>
            <w:vAlign w:val="center"/>
          </w:tcPr>
          <w:p>
            <w:pPr>
              <w:jc w:val="center"/>
            </w:pPr>
            <w:r>
              <w:rPr>
                <w:color w:val="000000"/>
                <w:sz w:val="24"/>
              </w:rPr>
              <w:t>0.07%</w:t>
            </w:r>
          </w:p>
        </w:tc>
        <w:tc>
          <w:tcPr>
            <w:vAlign w:val="center"/>
          </w:tcPr>
          <w:p>
            <w:pPr>
              <w:jc w:val="center"/>
            </w:pPr>
            <w:r>
              <w:rPr>
                <w:color w:val="000000"/>
                <w:sz w:val="24"/>
              </w:rPr>
              <w:t>1.33%</w:t>
            </w:r>
          </w:p>
        </w:tc>
        <w:tc>
          <w:tcPr>
            <w:vAlign w:val="center"/>
          </w:tcPr>
          <w:p>
            <w:pPr>
              <w:jc w:val="center"/>
            </w:pPr>
            <w:r>
              <w:rPr>
                <w:color w:val="000000"/>
                <w:sz w:val="24"/>
              </w:rPr>
              <w:t>-0.02%</w:t>
            </w:r>
          </w:p>
        </w:tc>
      </w:tr>
      <w:tr>
        <w:tc>
          <w:tcPr>
            <w:vAlign w:val="center"/>
          </w:tcPr>
          <w:p>
            <w:pPr>
              <w:jc w:val="left"/>
            </w:pPr>
            <w:r>
              <w:rPr>
                <w:color w:val="000000"/>
                <w:sz w:val="24"/>
              </w:rPr>
              <w:t>过去一年</w:t>
            </w:r>
          </w:p>
        </w:tc>
        <w:tc>
          <w:tcPr>
            <w:vAlign w:val="center"/>
          </w:tcPr>
          <w:p>
            <w:pPr>
              <w:jc w:val="center"/>
            </w:pPr>
            <w:r>
              <w:rPr>
                <w:color w:val="000000"/>
                <w:sz w:val="24"/>
              </w:rPr>
              <w:t>2.20%</w:t>
            </w:r>
          </w:p>
        </w:tc>
        <w:tc>
          <w:tcPr>
            <w:vAlign w:val="center"/>
          </w:tcPr>
          <w:p>
            <w:pPr>
              <w:jc w:val="center"/>
            </w:pPr>
            <w:r>
              <w:rPr>
                <w:color w:val="000000"/>
                <w:sz w:val="24"/>
              </w:rPr>
              <w:t>0.04%</w:t>
            </w:r>
          </w:p>
        </w:tc>
        <w:tc>
          <w:tcPr>
            <w:vAlign w:val="center"/>
          </w:tcPr>
          <w:p>
            <w:pPr>
              <w:jc w:val="center"/>
            </w:pPr>
            <w:r>
              <w:rPr>
                <w:color w:val="000000"/>
                <w:sz w:val="24"/>
              </w:rPr>
              <w:t>-0.07%</w:t>
            </w:r>
          </w:p>
        </w:tc>
        <w:tc>
          <w:tcPr>
            <w:vAlign w:val="center"/>
          </w:tcPr>
          <w:p>
            <w:pPr>
              <w:jc w:val="center"/>
            </w:pPr>
            <w:r>
              <w:rPr>
                <w:color w:val="000000"/>
                <w:sz w:val="24"/>
              </w:rPr>
              <w:t>0.09%</w:t>
            </w:r>
          </w:p>
        </w:tc>
        <w:tc>
          <w:tcPr>
            <w:vAlign w:val="center"/>
          </w:tcPr>
          <w:p>
            <w:pPr>
              <w:jc w:val="center"/>
            </w:pPr>
            <w:r>
              <w:rPr>
                <w:color w:val="000000"/>
                <w:sz w:val="24"/>
              </w:rPr>
              <w:t>2.27%</w:t>
            </w:r>
          </w:p>
        </w:tc>
        <w:tc>
          <w:tcPr>
            <w:vAlign w:val="center"/>
          </w:tcPr>
          <w:p>
            <w:pPr>
              <w:jc w:val="center"/>
            </w:pPr>
            <w:r>
              <w:rPr>
                <w:color w:val="000000"/>
                <w:sz w:val="24"/>
              </w:rPr>
              <w:t>-0.05%</w:t>
            </w:r>
          </w:p>
        </w:tc>
      </w:tr>
      <w:tr>
        <w:tc>
          <w:tcPr>
            <w:vAlign w:val="center"/>
          </w:tcPr>
          <w:p>
            <w:pPr>
              <w:jc w:val="left"/>
            </w:pPr>
            <w:r>
              <w:rPr>
                <w:color w:val="000000"/>
                <w:sz w:val="24"/>
              </w:rPr>
              <w:t>自基金合同生效至今</w:t>
            </w:r>
          </w:p>
        </w:tc>
        <w:tc>
          <w:tcPr>
            <w:vAlign w:val="center"/>
          </w:tcPr>
          <w:p>
            <w:pPr>
              <w:jc w:val="center"/>
            </w:pPr>
            <w:r>
              <w:rPr>
                <w:color w:val="000000"/>
                <w:sz w:val="24"/>
              </w:rPr>
              <w:t>14.01%</w:t>
            </w:r>
          </w:p>
        </w:tc>
        <w:tc>
          <w:tcPr>
            <w:vAlign w:val="center"/>
          </w:tcPr>
          <w:p>
            <w:pPr>
              <w:jc w:val="center"/>
            </w:pPr>
            <w:r>
              <w:rPr>
                <w:color w:val="000000"/>
                <w:sz w:val="24"/>
              </w:rPr>
              <w:t>0.07%</w:t>
            </w:r>
          </w:p>
        </w:tc>
        <w:tc>
          <w:tcPr>
            <w:vAlign w:val="center"/>
          </w:tcPr>
          <w:p>
            <w:pPr>
              <w:jc w:val="center"/>
            </w:pPr>
            <w:r>
              <w:rPr>
                <w:color w:val="000000"/>
                <w:sz w:val="24"/>
              </w:rPr>
              <w:t>4.32%</w:t>
            </w:r>
          </w:p>
        </w:tc>
        <w:tc>
          <w:tcPr>
            <w:vAlign w:val="center"/>
          </w:tcPr>
          <w:p>
            <w:pPr>
              <w:jc w:val="center"/>
            </w:pPr>
            <w:r>
              <w:rPr>
                <w:color w:val="000000"/>
                <w:sz w:val="24"/>
              </w:rPr>
              <w:t>0.07%</w:t>
            </w:r>
          </w:p>
        </w:tc>
        <w:tc>
          <w:tcPr>
            <w:vAlign w:val="center"/>
          </w:tcPr>
          <w:p>
            <w:pPr>
              <w:jc w:val="center"/>
            </w:pPr>
            <w:r>
              <w:rPr>
                <w:color w:val="000000"/>
                <w:sz w:val="24"/>
              </w:rPr>
              <w:t>9.69%</w:t>
            </w:r>
          </w:p>
        </w:tc>
        <w:tc>
          <w:tcPr>
            <w:vAlign w:val="center"/>
          </w:tcPr>
          <w:p>
            <w:pPr>
              <w:jc w:val="center"/>
            </w:pPr>
            <w:r>
              <w:rPr>
                <w:color w:val="000000"/>
                <w:sz w:val="24"/>
              </w:rPr>
              <w:t>0.00%</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交银施罗德丰晟收益债券型证券投资基金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2018年5月23日</w:t>
      </w:r>
      <w:r w:rsidR="009A045B" w:rsidRPr="007F52FA">
        <w:rPr>
          <w:rFonts w:ascii="Times New Roman" w:hAnsi="Times New Roman"/>
          <w:sz w:val="24"/>
          <w:szCs w:val="24"/>
        </w:rPr>
        <w:t>至</w:t>
      </w:r>
      <w:r w:rsidRPr="007F52FA">
        <w:rPr>
          <w:rFonts w:ascii="Times New Roman" w:hAnsi="Times New Roman"/>
          <w:sz w:val="24"/>
          <w:szCs w:val="24"/>
        </w:rPr>
        <w:t>2020年12月31日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交银丰晟收益债券A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交银丰晟收益债券C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于海颖</w:t>
            </w:r>
          </w:p>
        </w:tc>
        <w:tc>
          <w:tcPr>
            <w:vAlign w:val="center"/>
          </w:tcPr>
          <w:p>
            <w:pPr>
              <w:jc w:val="center"/>
            </w:pPr>
            <w:r>
              <w:rPr>
                <w:color w:val="000000"/>
                <w:sz w:val="24"/>
              </w:rPr>
              <w:t>交银纯债债券发起、交银丰晟收益债券、交银裕如纯债债券、交银裕泰两年定期开放债券、交银裕坤纯债一年定期开放债券的基金经理，公司固定收益（公募）投资总监</w:t>
            </w:r>
          </w:p>
        </w:tc>
        <w:tc>
          <w:tcPr>
            <w:vAlign w:val="center"/>
          </w:tcPr>
          <w:p>
            <w:pPr>
              <w:jc w:val="center"/>
            </w:pPr>
            <w:r>
              <w:rPr>
                <w:color w:val="000000"/>
                <w:sz w:val="24"/>
              </w:rPr>
              <w:t>2018-05-23</w:t>
            </w:r>
          </w:p>
        </w:tc>
        <w:tc>
          <w:tcPr>
            <w:vAlign w:val="center"/>
          </w:tcPr>
          <w:p>
            <w:pPr>
              <w:jc w:val="center"/>
            </w:pPr>
            <w:r>
              <w:rPr>
                <w:color w:val="000000"/>
                <w:sz w:val="24"/>
              </w:rPr>
              <w:t>-</w:t>
            </w:r>
          </w:p>
        </w:tc>
        <w:tc>
          <w:tcPr>
            <w:vAlign w:val="center"/>
          </w:tcPr>
          <w:p>
            <w:pPr>
              <w:jc w:val="center"/>
            </w:pPr>
            <w:r>
              <w:rPr>
                <w:color w:val="000000"/>
                <w:sz w:val="24"/>
              </w:rPr>
              <w:t>14年</w:t>
            </w:r>
          </w:p>
        </w:tc>
        <w:tc>
          <w:tcPr>
            <w:vAlign w:val="center"/>
          </w:tcPr>
          <w:p>
            <w:pPr>
              <w:jc w:val="both"/>
            </w:pPr>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2007年11月9日至2010年8月30日任光大保德信货币市场基金基金经理，2008年10月29日至2010年8月30日任光大保德信增利收益债券型证券投资基金基金经理，2011年6月28日至2013年6月16日任银华永祥保本混合型证券投资基金基金经理，2011年8月2日至2014年4月24日任银华货币市场证券投资基金基金经理，2012年8月9日至2014年10月7日任银华纯债信用主题债券型证券投资基金（LOF）基金经理，2013年4月1日至2014年4月24日任银华交易型货币市场基金基金经理，2013年8月7日至2014年10月7日任银华信用四季红债券型证券投资基金基金经理，2013年9月18日至2014年10月7日任银华信用季季红债券型证券投资基金基金经理，2014年5月8日至2014年10月7日任银华信用债券型证券投资基金(LOF)基金经理。2016年加入交银施罗德基金管理有限公司。2017年6月10日至2018年7月18日担任交银施罗德丰硕收益债券型证券投资基金的基金经理。2017年6月10日至2019年3月14日担任交银施罗德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券投资基金的基金经理。2016年12月29日至2020年8月21日担任交银施罗德丰盈收益债券型证券投资基金的基金经理。2017年6月10日至2020年8月21日担任交银施罗德增利债券证券投资基金的基金经理。</w:t>
            </w:r>
          </w:p>
        </w:tc>
      </w:tr>
      <w:tr>
        <w:tc>
          <w:tcPr>
            <w:vAlign w:val="center"/>
          </w:tcPr>
          <w:p>
            <w:pPr>
              <w:jc w:val="center"/>
            </w:pPr>
            <w:r>
              <w:rPr>
                <w:color w:val="000000"/>
                <w:sz w:val="24"/>
              </w:rPr>
              <w:t>魏玉敏</w:t>
            </w:r>
          </w:p>
        </w:tc>
        <w:tc>
          <w:tcPr>
            <w:vAlign w:val="center"/>
          </w:tcPr>
          <w:p>
            <w:pPr>
              <w:jc w:val="center"/>
            </w:pPr>
            <w:r>
              <w:rPr>
                <w:color w:val="000000"/>
                <w:sz w:val="24"/>
              </w:rPr>
              <w:t>交银增利债券、交银纯债债券发起、交银丰润收益债券、交银增利增强债券、交银裕如纯债债券、交银中债1-3年农发债指数、交银可转债债券、交银裕泰两年定期开放债券的基金经理</w:t>
            </w:r>
          </w:p>
        </w:tc>
        <w:tc>
          <w:tcPr>
            <w:vAlign w:val="center"/>
          </w:tcPr>
          <w:p>
            <w:pPr>
              <w:jc w:val="center"/>
            </w:pPr>
            <w:r>
              <w:rPr>
                <w:color w:val="000000"/>
                <w:sz w:val="24"/>
              </w:rPr>
              <w:t>2018-08-29</w:t>
            </w:r>
          </w:p>
        </w:tc>
        <w:tc>
          <w:tcPr>
            <w:vAlign w:val="center"/>
          </w:tcPr>
          <w:p>
            <w:pPr>
              <w:jc w:val="center"/>
            </w:pPr>
            <w:r>
              <w:rPr>
                <w:color w:val="000000"/>
                <w:sz w:val="24"/>
              </w:rPr>
              <w:t>2020-10-17</w:t>
            </w:r>
          </w:p>
        </w:tc>
        <w:tc>
          <w:tcPr>
            <w:vAlign w:val="center"/>
          </w:tcPr>
          <w:p>
            <w:pPr>
              <w:jc w:val="center"/>
            </w:pPr>
            <w:r>
              <w:rPr>
                <w:color w:val="000000"/>
                <w:sz w:val="24"/>
              </w:rPr>
              <w:t>8年</w:t>
            </w:r>
          </w:p>
        </w:tc>
        <w:tc>
          <w:tcPr>
            <w:vAlign w:val="center"/>
          </w:tcPr>
          <w:p>
            <w:pPr>
              <w:jc w:val="both"/>
            </w:pPr>
            <w:r>
              <w:rPr>
                <w:color w:val="000000"/>
                <w:sz w:val="24"/>
              </w:rPr>
              <w:t>魏玉敏女士，厦门大学金融学硕士、学士。2012年至2013年任招商证券固定收益研究员，2013年至2016年任国信证券固定收益高级分析师。2016年加入交银施罗德基金管理有限公司，历任基金经理助理。2018年8月29日至2020年10月16日担任交银施罗德丰晟收益债券型证券投资基金的基金经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注：1、基金经理（或基金经理小组）期后变动（如有）敬请关注基金管理人发布的相关公告。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价格优先、时间优先”的原则，全部通过交易系统进行比例分配；对于非集中竞价交易、以公司名义进行的场外交易，遵循公平交易分配原则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回顾2020年四季度，债券市场先跌后涨，下跌原因一方面是资金面边际收紧的影响，另一方面宏观经济的表现和部分信用事件也对市场产生了较大影响，市场收益率水平上行明显，信用利差随后随着决策层的表态，市场情绪逐步恢复，且叠加资金面的边际好转，市场收益率企稳。临近年末，金稳会定调和央行超预期投放MLF，市场对于政策退出节奏的担忧进一步得到缓解，市场情绪较前期明显恢复，市场收益率下行明显，而资金利率回落也进一步进发了市场的交易热情，收益率曲线陡峭化下行。</w:t>
      </w:r>
    </w:p>
    <w:p>
      <w:pPr>
        <w:spacing w:before="29" w:line="288" w:lineRule="auto"/>
        <w:ind w:firstLine="480" w:firstLineChars="200"/>
        <w:rPr>
          <w:color w:val="000000"/>
          <w:sz w:val="24"/>
        </w:rPr>
      </w:pPr>
      <w:r>
        <w:rPr>
          <w:color w:val="000000"/>
          <w:sz w:val="24"/>
        </w:rPr>
        <w:t>报告期内，组合以中高等级信用债为主要配置，组合也经历了一波回调过程，基于对宏观经济和政策的判断，组合控制久期，把握票息机会，通过精选信用个券和保持较高的杠杆操作，以增强组合静态收益。</w:t>
      </w:r>
    </w:p>
    <w:p w:rsidP="007C14DF" w:rsidR="00952A72" w:rsidRDefault="00323F25" w:rsidRPr="007F52FA">
      <w:pPr>
        <w:spacing w:before="29" w:line="288" w:lineRule="auto"/>
        <w:ind w:firstLine="480" w:firstLineChars="200"/>
        <w:rPr>
          <w:color w:val="000000"/>
          <w:sz w:val="24"/>
        </w:rPr>
      </w:pPr>
      <w:r w:rsidRPr="007F52FA">
        <w:rPr>
          <w:color w:val="000000"/>
          <w:sz w:val="24"/>
        </w:rPr>
        <w:t>展望2021年一季度，流动性环境和基本面趋势将成为影响债市的主要因素。短期来看，由于基数效应一季度经济增长同比增速较高，国内外疫苗推进下基本面仍延续改善趋势，跨年之后资金面或边际收敛但仍将保持合理充裕状态，债市供需结构或将延续改善。操作策略方面，组合将整体上控制久期，根据市场情况变化和曲线形态，动态进行组合的个券调整，减持部分期限较短的信用品种，适时进行组合个券调仓。</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364,863,500.00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97.02</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364,863,500.00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97.02</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2,418,309.43</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0.64</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8,773,884.34</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2.33</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376,055,693.77</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14,986,500.00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5.08</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4,983,000.00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1.69</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344,894,000.00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116.92</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364,863,500.00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123.69</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101900509</w:t>
            </w:r>
          </w:p>
        </w:tc>
        <w:tc>
          <w:tcPr>
            <w:vAlign w:val="center"/>
          </w:tcPr>
          <w:p>
            <w:pPr>
              <w:jc w:val="center"/>
            </w:pPr>
            <w:r>
              <w:rPr>
                <w:color w:val="000000"/>
                <w:sz w:val="24"/>
              </w:rPr>
              <w:t>19泉国投MTN001</w:t>
            </w:r>
          </w:p>
        </w:tc>
        <w:tc>
          <w:tcPr>
            <w:vAlign w:val="center"/>
          </w:tcPr>
          <w:p>
            <w:pPr>
              <w:jc w:val="right"/>
            </w:pPr>
            <w:r>
              <w:rPr>
                <w:color w:val="000000"/>
                <w:sz w:val="24"/>
              </w:rPr>
              <w:t>200,000</w:t>
            </w:r>
          </w:p>
        </w:tc>
        <w:tc>
          <w:tcPr>
            <w:vAlign w:val="center"/>
          </w:tcPr>
          <w:p>
            <w:pPr>
              <w:jc w:val="right"/>
            </w:pPr>
            <w:r>
              <w:rPr>
                <w:color w:val="000000"/>
                <w:sz w:val="24"/>
              </w:rPr>
              <w:t>20,804,000.00</w:t>
            </w:r>
          </w:p>
        </w:tc>
        <w:tc>
          <w:tcPr>
            <w:vAlign w:val="center"/>
          </w:tcPr>
          <w:p>
            <w:pPr>
              <w:jc w:val="right"/>
            </w:pPr>
            <w:r>
              <w:rPr>
                <w:color w:val="000000"/>
                <w:sz w:val="24"/>
              </w:rPr>
              <w:t>7.05</w:t>
            </w:r>
          </w:p>
        </w:tc>
      </w:tr>
      <w:tr>
        <w:tc>
          <w:tcPr>
            <w:vAlign w:val="center"/>
          </w:tcPr>
          <w:p>
            <w:pPr>
              <w:jc w:val="center"/>
            </w:pPr>
            <w:r>
              <w:rPr>
                <w:color w:val="000000"/>
                <w:sz w:val="24"/>
              </w:rPr>
              <w:t>2</w:t>
            </w:r>
          </w:p>
        </w:tc>
        <w:tc>
          <w:tcPr>
            <w:vAlign w:val="center"/>
          </w:tcPr>
          <w:p>
            <w:pPr>
              <w:jc w:val="center"/>
            </w:pPr>
            <w:r>
              <w:rPr>
                <w:color w:val="000000"/>
                <w:sz w:val="24"/>
              </w:rPr>
              <w:t>101759057</w:t>
            </w:r>
          </w:p>
        </w:tc>
        <w:tc>
          <w:tcPr>
            <w:vAlign w:val="center"/>
          </w:tcPr>
          <w:p>
            <w:pPr>
              <w:jc w:val="center"/>
            </w:pPr>
            <w:r>
              <w:rPr>
                <w:color w:val="000000"/>
                <w:sz w:val="24"/>
              </w:rPr>
              <w:t>17郑州城建MTN002</w:t>
            </w:r>
          </w:p>
        </w:tc>
        <w:tc>
          <w:tcPr>
            <w:vAlign w:val="center"/>
          </w:tcPr>
          <w:p>
            <w:pPr>
              <w:jc w:val="right"/>
            </w:pPr>
            <w:r>
              <w:rPr>
                <w:color w:val="000000"/>
                <w:sz w:val="24"/>
              </w:rPr>
              <w:t>200,000</w:t>
            </w:r>
          </w:p>
        </w:tc>
        <w:tc>
          <w:tcPr>
            <w:vAlign w:val="center"/>
          </w:tcPr>
          <w:p>
            <w:pPr>
              <w:jc w:val="right"/>
            </w:pPr>
            <w:r>
              <w:rPr>
                <w:color w:val="000000"/>
                <w:sz w:val="24"/>
              </w:rPr>
              <w:t>20,626,000.00</w:t>
            </w:r>
          </w:p>
        </w:tc>
        <w:tc>
          <w:tcPr>
            <w:vAlign w:val="center"/>
          </w:tcPr>
          <w:p>
            <w:pPr>
              <w:jc w:val="right"/>
            </w:pPr>
            <w:r>
              <w:rPr>
                <w:color w:val="000000"/>
                <w:sz w:val="24"/>
              </w:rPr>
              <w:t>6.99</w:t>
            </w:r>
          </w:p>
        </w:tc>
      </w:tr>
      <w:tr>
        <w:tc>
          <w:tcPr>
            <w:vAlign w:val="center"/>
          </w:tcPr>
          <w:p>
            <w:pPr>
              <w:jc w:val="center"/>
            </w:pPr>
            <w:r>
              <w:rPr>
                <w:color w:val="000000"/>
                <w:sz w:val="24"/>
              </w:rPr>
              <w:t>3</w:t>
            </w:r>
          </w:p>
        </w:tc>
        <w:tc>
          <w:tcPr>
            <w:vAlign w:val="center"/>
          </w:tcPr>
          <w:p>
            <w:pPr>
              <w:jc w:val="center"/>
            </w:pPr>
            <w:r>
              <w:rPr>
                <w:color w:val="000000"/>
                <w:sz w:val="24"/>
              </w:rPr>
              <w:t>101755021</w:t>
            </w:r>
          </w:p>
        </w:tc>
        <w:tc>
          <w:tcPr>
            <w:vAlign w:val="center"/>
          </w:tcPr>
          <w:p>
            <w:pPr>
              <w:jc w:val="center"/>
            </w:pPr>
            <w:r>
              <w:rPr>
                <w:color w:val="000000"/>
                <w:sz w:val="24"/>
              </w:rPr>
              <w:t>17乐山国资MTN001</w:t>
            </w:r>
          </w:p>
        </w:tc>
        <w:tc>
          <w:tcPr>
            <w:vAlign w:val="center"/>
          </w:tcPr>
          <w:p>
            <w:pPr>
              <w:jc w:val="right"/>
            </w:pPr>
            <w:r>
              <w:rPr>
                <w:color w:val="000000"/>
                <w:sz w:val="24"/>
              </w:rPr>
              <w:t>200,000</w:t>
            </w:r>
          </w:p>
        </w:tc>
        <w:tc>
          <w:tcPr>
            <w:vAlign w:val="center"/>
          </w:tcPr>
          <w:p>
            <w:pPr>
              <w:jc w:val="right"/>
            </w:pPr>
            <w:r>
              <w:rPr>
                <w:color w:val="000000"/>
                <w:sz w:val="24"/>
              </w:rPr>
              <w:t>20,516,000.00</w:t>
            </w:r>
          </w:p>
        </w:tc>
        <w:tc>
          <w:tcPr>
            <w:vAlign w:val="center"/>
          </w:tcPr>
          <w:p>
            <w:pPr>
              <w:jc w:val="right"/>
            </w:pPr>
            <w:r>
              <w:rPr>
                <w:color w:val="000000"/>
                <w:sz w:val="24"/>
              </w:rPr>
              <w:t>6.95</w:t>
            </w:r>
          </w:p>
        </w:tc>
      </w:tr>
      <w:tr>
        <w:tc>
          <w:tcPr>
            <w:vAlign w:val="center"/>
          </w:tcPr>
          <w:p>
            <w:pPr>
              <w:jc w:val="center"/>
            </w:pPr>
            <w:r>
              <w:rPr>
                <w:color w:val="000000"/>
                <w:sz w:val="24"/>
              </w:rPr>
              <w:t>4</w:t>
            </w:r>
          </w:p>
        </w:tc>
        <w:tc>
          <w:tcPr>
            <w:vAlign w:val="center"/>
          </w:tcPr>
          <w:p>
            <w:pPr>
              <w:jc w:val="center"/>
            </w:pPr>
            <w:r>
              <w:rPr>
                <w:color w:val="000000"/>
                <w:sz w:val="24"/>
              </w:rPr>
              <w:t>101900405</w:t>
            </w:r>
          </w:p>
        </w:tc>
        <w:tc>
          <w:tcPr>
            <w:vAlign w:val="center"/>
          </w:tcPr>
          <w:p>
            <w:pPr>
              <w:jc w:val="center"/>
            </w:pPr>
            <w:r>
              <w:rPr>
                <w:color w:val="000000"/>
                <w:sz w:val="24"/>
              </w:rPr>
              <w:t>19常熟城投MTN001</w:t>
            </w:r>
          </w:p>
        </w:tc>
        <w:tc>
          <w:tcPr>
            <w:vAlign w:val="center"/>
          </w:tcPr>
          <w:p>
            <w:pPr>
              <w:jc w:val="right"/>
            </w:pPr>
            <w:r>
              <w:rPr>
                <w:color w:val="000000"/>
                <w:sz w:val="24"/>
              </w:rPr>
              <w:t>200,000</w:t>
            </w:r>
          </w:p>
        </w:tc>
        <w:tc>
          <w:tcPr>
            <w:vAlign w:val="center"/>
          </w:tcPr>
          <w:p>
            <w:pPr>
              <w:jc w:val="right"/>
            </w:pPr>
            <w:r>
              <w:rPr>
                <w:color w:val="000000"/>
                <w:sz w:val="24"/>
              </w:rPr>
              <w:t>20,422,000.00</w:t>
            </w:r>
          </w:p>
        </w:tc>
        <w:tc>
          <w:tcPr>
            <w:vAlign w:val="center"/>
          </w:tcPr>
          <w:p>
            <w:pPr>
              <w:jc w:val="right"/>
            </w:pPr>
            <w:r>
              <w:rPr>
                <w:color w:val="000000"/>
                <w:sz w:val="24"/>
              </w:rPr>
              <w:t>6.92</w:t>
            </w:r>
          </w:p>
        </w:tc>
      </w:tr>
      <w:tr>
        <w:tc>
          <w:tcPr>
            <w:vAlign w:val="center"/>
          </w:tcPr>
          <w:p>
            <w:pPr>
              <w:jc w:val="center"/>
            </w:pPr>
            <w:r>
              <w:rPr>
                <w:color w:val="000000"/>
                <w:sz w:val="24"/>
              </w:rPr>
              <w:t>5</w:t>
            </w:r>
          </w:p>
        </w:tc>
        <w:tc>
          <w:tcPr>
            <w:vAlign w:val="center"/>
          </w:tcPr>
          <w:p>
            <w:pPr>
              <w:jc w:val="center"/>
            </w:pPr>
            <w:r>
              <w:rPr>
                <w:color w:val="000000"/>
                <w:sz w:val="24"/>
              </w:rPr>
              <w:t>101900299</w:t>
            </w:r>
          </w:p>
        </w:tc>
        <w:tc>
          <w:tcPr>
            <w:vAlign w:val="center"/>
          </w:tcPr>
          <w:p>
            <w:pPr>
              <w:jc w:val="center"/>
            </w:pPr>
            <w:r>
              <w:rPr>
                <w:color w:val="000000"/>
                <w:sz w:val="24"/>
              </w:rPr>
              <w:t>19江北国资MTN001</w:t>
            </w:r>
          </w:p>
        </w:tc>
        <w:tc>
          <w:tcPr>
            <w:vAlign w:val="center"/>
          </w:tcPr>
          <w:p>
            <w:pPr>
              <w:jc w:val="right"/>
            </w:pPr>
            <w:r>
              <w:rPr>
                <w:color w:val="000000"/>
                <w:sz w:val="24"/>
              </w:rPr>
              <w:t>200,000</w:t>
            </w:r>
          </w:p>
        </w:tc>
        <w:tc>
          <w:tcPr>
            <w:vAlign w:val="center"/>
          </w:tcPr>
          <w:p>
            <w:pPr>
              <w:jc w:val="right"/>
            </w:pPr>
            <w:r>
              <w:rPr>
                <w:color w:val="000000"/>
                <w:sz w:val="24"/>
              </w:rPr>
              <w:t>20,402,000.00</w:t>
            </w:r>
          </w:p>
        </w:tc>
        <w:tc>
          <w:tcPr>
            <w:vAlign w:val="center"/>
          </w:tcPr>
          <w:p>
            <w:pPr>
              <w:jc w:val="right"/>
            </w:pPr>
            <w:r>
              <w:rPr>
                <w:color w:val="000000"/>
                <w:sz w:val="24"/>
              </w:rPr>
              <w:t>6.92</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bookmarkStart w:id="2" w:name="_GoBack"/>
      <w:r w:rsidRPr="00885AD9">
        <w:rPr>
          <w:b/>
          <w:kern w:val="0"/>
          <w:sz w:val="24"/>
        </w:rPr>
        <w:t>5.11.3</w:t>
      </w:r>
      <w:bookmarkEnd w:id="2"/>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2,458.65</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8,295,282.84</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476,142.85</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8,773,884.34</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本基金本报告期末未持有股票。</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交银丰晟收益债券A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交银丰晟收益债券C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232,264,884.18</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260,462.93</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57,252,777.90</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522.76</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12,456,456.36</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142,648.41</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277,061,205.72</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118,337.28</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注：1、如果本报告期间发生转换入、红利再投业务，则总申购份额中包含该业务；</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ED0E09" w:rsidRDefault="00ED0E09">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§8 </w:t>
      </w:r>
      <w:r w:rsidR="00F139D5">
        <w:rPr>
          <w:rFonts w:eastAsiaTheme="minorEastAsia"/>
          <w:color w:themeColor="text1" w:val="000000"/>
          <w:kern w:val="0"/>
          <w:sz w:val="21"/>
          <w:szCs w:val="21"/>
        </w:rPr>
        <w:t xml:space="preserve"> </w:t>
      </w:r>
      <w:r>
        <w:rPr>
          <w:rFonts w:eastAsiaTheme="minorEastAsia" w:hint="eastAsia"/>
          <w:color w:themeColor="text1" w:val="000000"/>
          <w:kern w:val="0"/>
          <w:sz w:val="21"/>
          <w:szCs w:val="21"/>
        </w:rPr>
        <w:t>影响投资者决策的其他重要信息</w:t>
      </w:r>
    </w:p>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ED0E09" w:rsidTr="00ED0E09">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type="dxa" w:w="993"/>
            <w:vMerge/>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2020/10/1-2020/12/31</w:t>
            </w:r>
          </w:p>
        </w:tc>
        <w:tc>
          <w:tcPr>
            <w:vAlign w:val="center"/>
          </w:tcPr>
          <w:p>
            <w:pPr>
              <w:jc w:val="center"/>
            </w:pPr>
            <w:r>
              <w:rPr>
                <w:rFonts w:ascii="宋体" w:hAnsi="宋体" w:hint="eastAsia"/>
                <w:color w:val="000000"/>
                <w:kern w:val="0"/>
                <w:szCs w:val="21"/>
              </w:rPr>
              <w:t>113,625,603.64</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113,625,603.64</w:t>
            </w:r>
          </w:p>
        </w:tc>
        <w:tc>
          <w:tcPr>
            <w:vAlign w:val="center"/>
          </w:tcPr>
          <w:p>
            <w:pPr>
              <w:jc w:val="center"/>
            </w:pPr>
            <w:r>
              <w:rPr>
                <w:rFonts w:ascii="宋体" w:hAnsi="宋体" w:hint="eastAsia"/>
                <w:color w:val="000000"/>
                <w:kern w:val="0"/>
                <w:szCs w:val="21"/>
              </w:rPr>
              <w:t>40.99%</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1、中国证监会准予交银施罗德丰晟收益债券型证券投资基金募集注册的文件；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2、《交银施罗德丰晟收益债券型证券投资基金基金合同》；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3、《交银施罗德丰晟收益债券型证券投资基金招募说明书》；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4、《交银施罗德丰晟收益债券型证券投资基金托管协议》；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5、关于申请募集注册交银施罗德丰晟收益债券型证券投资基金的法律意见书；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8、报告期内交银施罗德丰晟收益债券型证券投资基金在指定报刊上各项公告的原稿。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9.2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AD1" w:rsidRDefault="00685AD1">
      <w:r>
        <w:separator/>
      </w:r>
    </w:p>
  </w:endnote>
  <w:endnote w:type="continuationSeparator" w:id="0">
    <w:p w:rsidR="00685AD1" w:rsidRDefault="0068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885AD9">
      <w:rPr>
        <w:noProof/>
        <w:kern w:val="0"/>
        <w:szCs w:val="21"/>
      </w:rPr>
      <w:t>19</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885AD9">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685AD1" w:rsidRDefault="00685AD1">
      <w:r>
        <w:separator/>
      </w:r>
    </w:p>
  </w:footnote>
  <w:footnote w:id="0" w:type="continuationSeparator">
    <w:p w:rsidR="00685AD1" w:rsidRDefault="00685AD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交银施罗德丰晟收益债券型证券投资基金2020年第4季度报告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82FB8-C167-4963-8B27-9929FDC0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254</TotalTime>
  <Pages>27</Pages>
  <Words>4295</Words>
  <Characters>24488</Characters>
  <Application>Microsoft Office Word</Application>
  <DocSecurity>0</DocSecurity>
  <Lines>204</Lines>
  <Paragraphs>57</Paragraphs>
  <ScaleCrop>false</ScaleCrop>
  <Company>TRT. Ltd. Co.</Company>
  <LinksUpToDate>false</LinksUpToDate>
  <CharactersWithSpaces>28726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2020-03-05T08:23:00Z</dcterms:modified>
  <cp:revision>404</cp:revision>
</cp:coreProperties>
</file>