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572F7" w:rsidRDefault="00F759AF">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572F7" w:rsidRDefault="00F759AF">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572F7" w:rsidRDefault="00F759AF">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572F7" w:rsidRDefault="00F759AF">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8572F7" w:rsidRDefault="00F759AF">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356,985,396.42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945CB" w:rsidRPr="00414345" w:rsidTr="00F945C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F945CB" w:rsidRPr="00414345" w:rsidTr="00F94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36,438,164.55</w:t>
            </w:r>
          </w:p>
        </w:tc>
      </w:tr>
      <w:tr w:rsidR="00F945CB" w:rsidRPr="00414345" w:rsidTr="00F94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124,796,108.77</w:t>
            </w:r>
          </w:p>
        </w:tc>
      </w:tr>
      <w:tr w:rsidR="00F945CB" w:rsidRPr="00414345" w:rsidTr="00F94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0.3429</w:t>
            </w:r>
          </w:p>
        </w:tc>
      </w:tr>
      <w:tr w:rsidR="00F945CB" w:rsidRPr="00414345" w:rsidTr="00F945C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899,072,745.57</w:t>
            </w:r>
          </w:p>
        </w:tc>
      </w:tr>
      <w:tr w:rsidR="00F945CB" w:rsidRPr="00414345" w:rsidTr="00F945C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2.5185</w:t>
            </w:r>
          </w:p>
        </w:tc>
      </w:tr>
    </w:tbl>
    <w:p w:rsidR="008572F7" w:rsidRDefault="00F759A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572F7">
        <w:trPr>
          <w:jc w:val="center"/>
        </w:trPr>
        <w:tc>
          <w:tcPr>
            <w:tcW w:w="1701" w:type="dxa"/>
            <w:vAlign w:val="center"/>
          </w:tcPr>
          <w:p w:rsidR="008572F7" w:rsidRDefault="00F759AF">
            <w:pPr>
              <w:jc w:val="left"/>
            </w:pPr>
            <w:r>
              <w:rPr>
                <w:color w:val="000000"/>
                <w:sz w:val="24"/>
                <w:szCs w:val="24"/>
              </w:rPr>
              <w:t>过去三个月</w:t>
            </w:r>
          </w:p>
        </w:tc>
        <w:tc>
          <w:tcPr>
            <w:tcW w:w="1045" w:type="dxa"/>
            <w:vAlign w:val="center"/>
          </w:tcPr>
          <w:p w:rsidR="008572F7" w:rsidRDefault="00F759AF">
            <w:pPr>
              <w:jc w:val="center"/>
            </w:pPr>
            <w:r>
              <w:rPr>
                <w:color w:val="000000"/>
                <w:sz w:val="24"/>
                <w:szCs w:val="24"/>
              </w:rPr>
              <w:t>16.44%</w:t>
            </w:r>
          </w:p>
        </w:tc>
        <w:tc>
          <w:tcPr>
            <w:tcW w:w="1344" w:type="dxa"/>
            <w:vAlign w:val="center"/>
          </w:tcPr>
          <w:p w:rsidR="008572F7" w:rsidRDefault="00F759AF">
            <w:pPr>
              <w:jc w:val="center"/>
            </w:pPr>
            <w:r>
              <w:rPr>
                <w:color w:val="000000"/>
                <w:sz w:val="24"/>
                <w:szCs w:val="24"/>
              </w:rPr>
              <w:t>1.21%</w:t>
            </w:r>
          </w:p>
        </w:tc>
        <w:tc>
          <w:tcPr>
            <w:tcW w:w="1194" w:type="dxa"/>
            <w:vAlign w:val="center"/>
          </w:tcPr>
          <w:p w:rsidR="008572F7" w:rsidRDefault="00F759AF">
            <w:pPr>
              <w:jc w:val="center"/>
            </w:pPr>
            <w:r>
              <w:rPr>
                <w:color w:val="000000"/>
                <w:sz w:val="24"/>
                <w:szCs w:val="24"/>
              </w:rPr>
              <w:t>5.12%</w:t>
            </w:r>
          </w:p>
        </w:tc>
        <w:tc>
          <w:tcPr>
            <w:tcW w:w="1492" w:type="dxa"/>
            <w:vAlign w:val="center"/>
          </w:tcPr>
          <w:p w:rsidR="008572F7" w:rsidRDefault="00F759AF">
            <w:pPr>
              <w:jc w:val="center"/>
            </w:pPr>
            <w:r>
              <w:rPr>
                <w:color w:val="000000"/>
                <w:sz w:val="24"/>
                <w:szCs w:val="24"/>
              </w:rPr>
              <w:t>0.87%</w:t>
            </w:r>
          </w:p>
        </w:tc>
        <w:tc>
          <w:tcPr>
            <w:tcW w:w="1194" w:type="dxa"/>
            <w:vAlign w:val="center"/>
          </w:tcPr>
          <w:p w:rsidR="008572F7" w:rsidRDefault="00F759AF">
            <w:pPr>
              <w:jc w:val="center"/>
            </w:pPr>
            <w:r>
              <w:rPr>
                <w:color w:val="000000"/>
                <w:sz w:val="24"/>
                <w:szCs w:val="24"/>
              </w:rPr>
              <w:t>11.32%</w:t>
            </w:r>
          </w:p>
        </w:tc>
        <w:tc>
          <w:tcPr>
            <w:tcW w:w="898" w:type="dxa"/>
            <w:vAlign w:val="center"/>
          </w:tcPr>
          <w:p w:rsidR="008572F7" w:rsidRDefault="00F759AF">
            <w:pPr>
              <w:jc w:val="center"/>
            </w:pPr>
            <w:r>
              <w:rPr>
                <w:color w:val="000000"/>
                <w:sz w:val="24"/>
                <w:szCs w:val="24"/>
              </w:rPr>
              <w:t>0.34%</w:t>
            </w:r>
          </w:p>
        </w:tc>
      </w:tr>
      <w:tr w:rsidR="008572F7">
        <w:trPr>
          <w:jc w:val="center"/>
        </w:trPr>
        <w:tc>
          <w:tcPr>
            <w:tcW w:w="1701" w:type="dxa"/>
            <w:vAlign w:val="center"/>
          </w:tcPr>
          <w:p w:rsidR="008572F7" w:rsidRDefault="00F759AF">
            <w:pPr>
              <w:jc w:val="left"/>
            </w:pPr>
            <w:r>
              <w:rPr>
                <w:color w:val="000000"/>
                <w:sz w:val="24"/>
                <w:szCs w:val="24"/>
              </w:rPr>
              <w:t>过去六个月</w:t>
            </w:r>
          </w:p>
        </w:tc>
        <w:tc>
          <w:tcPr>
            <w:tcW w:w="1045" w:type="dxa"/>
            <w:vAlign w:val="center"/>
          </w:tcPr>
          <w:p w:rsidR="008572F7" w:rsidRDefault="00F759AF">
            <w:pPr>
              <w:jc w:val="center"/>
            </w:pPr>
            <w:r>
              <w:rPr>
                <w:color w:val="000000"/>
                <w:sz w:val="24"/>
                <w:szCs w:val="24"/>
              </w:rPr>
              <w:t>42.78%</w:t>
            </w:r>
          </w:p>
        </w:tc>
        <w:tc>
          <w:tcPr>
            <w:tcW w:w="1344" w:type="dxa"/>
            <w:vAlign w:val="center"/>
          </w:tcPr>
          <w:p w:rsidR="008572F7" w:rsidRDefault="00F759AF">
            <w:pPr>
              <w:jc w:val="center"/>
            </w:pPr>
            <w:r>
              <w:rPr>
                <w:color w:val="000000"/>
                <w:sz w:val="24"/>
                <w:szCs w:val="24"/>
              </w:rPr>
              <w:t>1.44%</w:t>
            </w:r>
          </w:p>
        </w:tc>
        <w:tc>
          <w:tcPr>
            <w:tcW w:w="1194" w:type="dxa"/>
            <w:vAlign w:val="center"/>
          </w:tcPr>
          <w:p w:rsidR="008572F7" w:rsidRDefault="00F759AF">
            <w:pPr>
              <w:jc w:val="center"/>
            </w:pPr>
            <w:r>
              <w:rPr>
                <w:color w:val="000000"/>
                <w:sz w:val="24"/>
                <w:szCs w:val="24"/>
              </w:rPr>
              <w:t>11.23%</w:t>
            </w:r>
          </w:p>
        </w:tc>
        <w:tc>
          <w:tcPr>
            <w:tcW w:w="1492" w:type="dxa"/>
            <w:vAlign w:val="center"/>
          </w:tcPr>
          <w:p w:rsidR="008572F7" w:rsidRDefault="00F759AF">
            <w:pPr>
              <w:jc w:val="center"/>
            </w:pPr>
            <w:r>
              <w:rPr>
                <w:color w:val="000000"/>
                <w:sz w:val="24"/>
                <w:szCs w:val="24"/>
              </w:rPr>
              <w:t>1.11%</w:t>
            </w:r>
          </w:p>
        </w:tc>
        <w:tc>
          <w:tcPr>
            <w:tcW w:w="1194" w:type="dxa"/>
            <w:vAlign w:val="center"/>
          </w:tcPr>
          <w:p w:rsidR="008572F7" w:rsidRDefault="00F759AF">
            <w:pPr>
              <w:jc w:val="center"/>
            </w:pPr>
            <w:r>
              <w:rPr>
                <w:color w:val="000000"/>
                <w:sz w:val="24"/>
                <w:szCs w:val="24"/>
              </w:rPr>
              <w:t>31.55%</w:t>
            </w:r>
          </w:p>
        </w:tc>
        <w:tc>
          <w:tcPr>
            <w:tcW w:w="898" w:type="dxa"/>
            <w:vAlign w:val="center"/>
          </w:tcPr>
          <w:p w:rsidR="008572F7" w:rsidRDefault="00F759AF">
            <w:pPr>
              <w:jc w:val="center"/>
            </w:pPr>
            <w:r>
              <w:rPr>
                <w:color w:val="000000"/>
                <w:sz w:val="24"/>
                <w:szCs w:val="24"/>
              </w:rPr>
              <w:t>0.33%</w:t>
            </w:r>
          </w:p>
        </w:tc>
      </w:tr>
      <w:tr w:rsidR="008572F7">
        <w:trPr>
          <w:jc w:val="center"/>
        </w:trPr>
        <w:tc>
          <w:tcPr>
            <w:tcW w:w="1701" w:type="dxa"/>
            <w:vAlign w:val="center"/>
          </w:tcPr>
          <w:p w:rsidR="008572F7" w:rsidRDefault="00F759AF">
            <w:pPr>
              <w:jc w:val="left"/>
            </w:pPr>
            <w:r>
              <w:rPr>
                <w:color w:val="000000"/>
                <w:sz w:val="24"/>
                <w:szCs w:val="24"/>
              </w:rPr>
              <w:t>过去一年</w:t>
            </w:r>
          </w:p>
        </w:tc>
        <w:tc>
          <w:tcPr>
            <w:tcW w:w="1045" w:type="dxa"/>
            <w:vAlign w:val="center"/>
          </w:tcPr>
          <w:p w:rsidR="008572F7" w:rsidRDefault="00F759AF">
            <w:pPr>
              <w:jc w:val="center"/>
            </w:pPr>
            <w:r>
              <w:rPr>
                <w:color w:val="000000"/>
                <w:sz w:val="24"/>
                <w:szCs w:val="24"/>
              </w:rPr>
              <w:t>73.94%</w:t>
            </w:r>
          </w:p>
        </w:tc>
        <w:tc>
          <w:tcPr>
            <w:tcW w:w="1344" w:type="dxa"/>
            <w:vAlign w:val="center"/>
          </w:tcPr>
          <w:p w:rsidR="008572F7" w:rsidRDefault="00F759AF">
            <w:pPr>
              <w:jc w:val="center"/>
            </w:pPr>
            <w:r>
              <w:rPr>
                <w:color w:val="000000"/>
                <w:sz w:val="24"/>
                <w:szCs w:val="24"/>
              </w:rPr>
              <w:t>1.69%</w:t>
            </w:r>
          </w:p>
        </w:tc>
        <w:tc>
          <w:tcPr>
            <w:tcW w:w="1194" w:type="dxa"/>
            <w:vAlign w:val="center"/>
          </w:tcPr>
          <w:p w:rsidR="008572F7" w:rsidRDefault="00F759AF">
            <w:pPr>
              <w:jc w:val="center"/>
            </w:pPr>
            <w:r>
              <w:rPr>
                <w:color w:val="000000"/>
                <w:sz w:val="24"/>
                <w:szCs w:val="24"/>
              </w:rPr>
              <w:t>21.84%</w:t>
            </w:r>
          </w:p>
        </w:tc>
        <w:tc>
          <w:tcPr>
            <w:tcW w:w="1492" w:type="dxa"/>
            <w:vAlign w:val="center"/>
          </w:tcPr>
          <w:p w:rsidR="008572F7" w:rsidRDefault="00F759AF">
            <w:pPr>
              <w:jc w:val="center"/>
            </w:pPr>
            <w:r>
              <w:rPr>
                <w:color w:val="000000"/>
                <w:sz w:val="24"/>
                <w:szCs w:val="24"/>
              </w:rPr>
              <w:t>1.20%</w:t>
            </w:r>
          </w:p>
        </w:tc>
        <w:tc>
          <w:tcPr>
            <w:tcW w:w="1194" w:type="dxa"/>
            <w:vAlign w:val="center"/>
          </w:tcPr>
          <w:p w:rsidR="008572F7" w:rsidRDefault="00F759AF">
            <w:pPr>
              <w:jc w:val="center"/>
            </w:pPr>
            <w:r>
              <w:rPr>
                <w:color w:val="000000"/>
                <w:sz w:val="24"/>
                <w:szCs w:val="24"/>
              </w:rPr>
              <w:t>52.10%</w:t>
            </w:r>
          </w:p>
        </w:tc>
        <w:tc>
          <w:tcPr>
            <w:tcW w:w="898" w:type="dxa"/>
            <w:vAlign w:val="center"/>
          </w:tcPr>
          <w:p w:rsidR="008572F7" w:rsidRDefault="00F759AF">
            <w:pPr>
              <w:jc w:val="center"/>
            </w:pPr>
            <w:r>
              <w:rPr>
                <w:color w:val="000000"/>
                <w:sz w:val="24"/>
                <w:szCs w:val="24"/>
              </w:rPr>
              <w:t>0.49%</w:t>
            </w:r>
          </w:p>
        </w:tc>
      </w:tr>
      <w:tr w:rsidR="008572F7">
        <w:trPr>
          <w:jc w:val="center"/>
        </w:trPr>
        <w:tc>
          <w:tcPr>
            <w:tcW w:w="1701" w:type="dxa"/>
            <w:vAlign w:val="center"/>
          </w:tcPr>
          <w:p w:rsidR="008572F7" w:rsidRDefault="00F759AF">
            <w:pPr>
              <w:jc w:val="left"/>
            </w:pPr>
            <w:r>
              <w:rPr>
                <w:color w:val="000000"/>
                <w:sz w:val="24"/>
                <w:szCs w:val="24"/>
              </w:rPr>
              <w:lastRenderedPageBreak/>
              <w:t>过去三年</w:t>
            </w:r>
          </w:p>
        </w:tc>
        <w:tc>
          <w:tcPr>
            <w:tcW w:w="1045" w:type="dxa"/>
            <w:vAlign w:val="center"/>
          </w:tcPr>
          <w:p w:rsidR="008572F7" w:rsidRDefault="00F759AF">
            <w:pPr>
              <w:jc w:val="center"/>
            </w:pPr>
            <w:r>
              <w:rPr>
                <w:color w:val="000000"/>
                <w:sz w:val="24"/>
                <w:szCs w:val="24"/>
              </w:rPr>
              <w:t>122.50%</w:t>
            </w:r>
          </w:p>
        </w:tc>
        <w:tc>
          <w:tcPr>
            <w:tcW w:w="1344" w:type="dxa"/>
            <w:vAlign w:val="center"/>
          </w:tcPr>
          <w:p w:rsidR="008572F7" w:rsidRDefault="00F759AF">
            <w:pPr>
              <w:jc w:val="center"/>
            </w:pPr>
            <w:r>
              <w:rPr>
                <w:color w:val="000000"/>
                <w:sz w:val="24"/>
                <w:szCs w:val="24"/>
              </w:rPr>
              <w:t>1.76%</w:t>
            </w:r>
          </w:p>
        </w:tc>
        <w:tc>
          <w:tcPr>
            <w:tcW w:w="1194" w:type="dxa"/>
            <w:vAlign w:val="center"/>
          </w:tcPr>
          <w:p w:rsidR="008572F7" w:rsidRDefault="00F759AF">
            <w:pPr>
              <w:jc w:val="center"/>
            </w:pPr>
            <w:r>
              <w:rPr>
                <w:color w:val="000000"/>
                <w:sz w:val="24"/>
                <w:szCs w:val="24"/>
              </w:rPr>
              <w:t>16.05%</w:t>
            </w:r>
          </w:p>
        </w:tc>
        <w:tc>
          <w:tcPr>
            <w:tcW w:w="1492" w:type="dxa"/>
            <w:vAlign w:val="center"/>
          </w:tcPr>
          <w:p w:rsidR="008572F7" w:rsidRDefault="00F759AF">
            <w:pPr>
              <w:jc w:val="center"/>
            </w:pPr>
            <w:r>
              <w:rPr>
                <w:color w:val="000000"/>
                <w:sz w:val="24"/>
                <w:szCs w:val="24"/>
              </w:rPr>
              <w:t>1.12%</w:t>
            </w:r>
          </w:p>
        </w:tc>
        <w:tc>
          <w:tcPr>
            <w:tcW w:w="1194" w:type="dxa"/>
            <w:vAlign w:val="center"/>
          </w:tcPr>
          <w:p w:rsidR="008572F7" w:rsidRDefault="00F759AF">
            <w:pPr>
              <w:jc w:val="center"/>
            </w:pPr>
            <w:r>
              <w:rPr>
                <w:color w:val="000000"/>
                <w:sz w:val="24"/>
                <w:szCs w:val="24"/>
              </w:rPr>
              <w:t>106.45%</w:t>
            </w:r>
          </w:p>
        </w:tc>
        <w:tc>
          <w:tcPr>
            <w:tcW w:w="898" w:type="dxa"/>
            <w:vAlign w:val="center"/>
          </w:tcPr>
          <w:p w:rsidR="008572F7" w:rsidRDefault="00F759AF">
            <w:pPr>
              <w:jc w:val="center"/>
            </w:pPr>
            <w:r>
              <w:rPr>
                <w:color w:val="000000"/>
                <w:sz w:val="24"/>
                <w:szCs w:val="24"/>
              </w:rPr>
              <w:t>0.64%</w:t>
            </w:r>
          </w:p>
        </w:tc>
      </w:tr>
      <w:tr w:rsidR="008572F7">
        <w:trPr>
          <w:jc w:val="center"/>
        </w:trPr>
        <w:tc>
          <w:tcPr>
            <w:tcW w:w="1701" w:type="dxa"/>
            <w:vAlign w:val="center"/>
          </w:tcPr>
          <w:p w:rsidR="008572F7" w:rsidRDefault="00F759AF">
            <w:pPr>
              <w:jc w:val="left"/>
            </w:pPr>
            <w:r>
              <w:rPr>
                <w:color w:val="000000"/>
                <w:sz w:val="24"/>
                <w:szCs w:val="24"/>
              </w:rPr>
              <w:t>过去五年</w:t>
            </w:r>
          </w:p>
        </w:tc>
        <w:tc>
          <w:tcPr>
            <w:tcW w:w="1045" w:type="dxa"/>
            <w:vAlign w:val="center"/>
          </w:tcPr>
          <w:p w:rsidR="008572F7" w:rsidRDefault="00F759AF">
            <w:pPr>
              <w:jc w:val="center"/>
            </w:pPr>
            <w:r>
              <w:rPr>
                <w:color w:val="000000"/>
                <w:sz w:val="24"/>
                <w:szCs w:val="24"/>
              </w:rPr>
              <w:t>43.47%</w:t>
            </w:r>
          </w:p>
        </w:tc>
        <w:tc>
          <w:tcPr>
            <w:tcW w:w="1344" w:type="dxa"/>
            <w:vAlign w:val="center"/>
          </w:tcPr>
          <w:p w:rsidR="008572F7" w:rsidRDefault="00F759AF">
            <w:pPr>
              <w:jc w:val="center"/>
            </w:pPr>
            <w:r>
              <w:rPr>
                <w:color w:val="000000"/>
                <w:sz w:val="24"/>
                <w:szCs w:val="24"/>
              </w:rPr>
              <w:t>1.79%</w:t>
            </w:r>
          </w:p>
        </w:tc>
        <w:tc>
          <w:tcPr>
            <w:tcW w:w="1194" w:type="dxa"/>
            <w:vAlign w:val="center"/>
          </w:tcPr>
          <w:p w:rsidR="008572F7" w:rsidRDefault="00F759AF">
            <w:pPr>
              <w:jc w:val="center"/>
            </w:pPr>
            <w:r>
              <w:rPr>
                <w:color w:val="000000"/>
                <w:sz w:val="24"/>
                <w:szCs w:val="24"/>
              </w:rPr>
              <w:t>4.34%</w:t>
            </w:r>
          </w:p>
        </w:tc>
        <w:tc>
          <w:tcPr>
            <w:tcW w:w="1492" w:type="dxa"/>
            <w:vAlign w:val="center"/>
          </w:tcPr>
          <w:p w:rsidR="008572F7" w:rsidRDefault="00F759AF">
            <w:pPr>
              <w:jc w:val="center"/>
            </w:pPr>
            <w:r>
              <w:rPr>
                <w:color w:val="000000"/>
                <w:sz w:val="24"/>
                <w:szCs w:val="24"/>
              </w:rPr>
              <w:t>1.10%</w:t>
            </w:r>
          </w:p>
        </w:tc>
        <w:tc>
          <w:tcPr>
            <w:tcW w:w="1194" w:type="dxa"/>
            <w:vAlign w:val="center"/>
          </w:tcPr>
          <w:p w:rsidR="008572F7" w:rsidRDefault="00F759AF">
            <w:pPr>
              <w:jc w:val="center"/>
            </w:pPr>
            <w:r>
              <w:rPr>
                <w:color w:val="000000"/>
                <w:sz w:val="24"/>
                <w:szCs w:val="24"/>
              </w:rPr>
              <w:t>39.13%</w:t>
            </w:r>
          </w:p>
        </w:tc>
        <w:tc>
          <w:tcPr>
            <w:tcW w:w="898" w:type="dxa"/>
            <w:vAlign w:val="center"/>
          </w:tcPr>
          <w:p w:rsidR="008572F7" w:rsidRDefault="00F759AF">
            <w:pPr>
              <w:jc w:val="center"/>
            </w:pPr>
            <w:r>
              <w:rPr>
                <w:color w:val="000000"/>
                <w:sz w:val="24"/>
                <w:szCs w:val="24"/>
              </w:rPr>
              <w:t>0.69%</w:t>
            </w:r>
          </w:p>
        </w:tc>
      </w:tr>
      <w:tr w:rsidR="008572F7">
        <w:trPr>
          <w:jc w:val="center"/>
        </w:trPr>
        <w:tc>
          <w:tcPr>
            <w:tcW w:w="1701" w:type="dxa"/>
            <w:vAlign w:val="center"/>
          </w:tcPr>
          <w:p w:rsidR="008572F7" w:rsidRDefault="00F759AF">
            <w:pPr>
              <w:jc w:val="left"/>
            </w:pPr>
            <w:r>
              <w:rPr>
                <w:color w:val="000000"/>
                <w:sz w:val="24"/>
                <w:szCs w:val="24"/>
              </w:rPr>
              <w:t>自基金合同生效至今</w:t>
            </w:r>
          </w:p>
        </w:tc>
        <w:tc>
          <w:tcPr>
            <w:tcW w:w="1045" w:type="dxa"/>
            <w:vAlign w:val="center"/>
          </w:tcPr>
          <w:p w:rsidR="008572F7" w:rsidRDefault="00F759AF">
            <w:pPr>
              <w:jc w:val="center"/>
            </w:pPr>
            <w:r>
              <w:rPr>
                <w:color w:val="000000"/>
                <w:sz w:val="24"/>
                <w:szCs w:val="24"/>
              </w:rPr>
              <w:t>236.66%</w:t>
            </w:r>
          </w:p>
        </w:tc>
        <w:tc>
          <w:tcPr>
            <w:tcW w:w="1344" w:type="dxa"/>
            <w:vAlign w:val="center"/>
          </w:tcPr>
          <w:p w:rsidR="008572F7" w:rsidRDefault="00F759AF">
            <w:pPr>
              <w:jc w:val="center"/>
            </w:pPr>
            <w:r>
              <w:rPr>
                <w:color w:val="000000"/>
                <w:sz w:val="24"/>
                <w:szCs w:val="24"/>
              </w:rPr>
              <w:t>1.81%</w:t>
            </w:r>
          </w:p>
        </w:tc>
        <w:tc>
          <w:tcPr>
            <w:tcW w:w="1194" w:type="dxa"/>
            <w:vAlign w:val="center"/>
          </w:tcPr>
          <w:p w:rsidR="008572F7" w:rsidRDefault="00F759AF">
            <w:pPr>
              <w:jc w:val="center"/>
            </w:pPr>
            <w:r>
              <w:rPr>
                <w:color w:val="000000"/>
                <w:sz w:val="24"/>
                <w:szCs w:val="24"/>
              </w:rPr>
              <w:t>109.33%</w:t>
            </w:r>
          </w:p>
        </w:tc>
        <w:tc>
          <w:tcPr>
            <w:tcW w:w="1492" w:type="dxa"/>
            <w:vAlign w:val="center"/>
          </w:tcPr>
          <w:p w:rsidR="008572F7" w:rsidRDefault="00F759AF">
            <w:pPr>
              <w:jc w:val="center"/>
            </w:pPr>
            <w:r>
              <w:rPr>
                <w:color w:val="000000"/>
                <w:sz w:val="24"/>
                <w:szCs w:val="24"/>
              </w:rPr>
              <w:t>1.25%</w:t>
            </w:r>
          </w:p>
        </w:tc>
        <w:tc>
          <w:tcPr>
            <w:tcW w:w="1194" w:type="dxa"/>
            <w:vAlign w:val="center"/>
          </w:tcPr>
          <w:p w:rsidR="008572F7" w:rsidRDefault="00F759AF">
            <w:pPr>
              <w:jc w:val="center"/>
            </w:pPr>
            <w:r>
              <w:rPr>
                <w:color w:val="000000"/>
                <w:sz w:val="24"/>
                <w:szCs w:val="24"/>
              </w:rPr>
              <w:t>127.33%</w:t>
            </w:r>
          </w:p>
        </w:tc>
        <w:tc>
          <w:tcPr>
            <w:tcW w:w="898" w:type="dxa"/>
            <w:vAlign w:val="center"/>
          </w:tcPr>
          <w:p w:rsidR="008572F7" w:rsidRDefault="00F759AF">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572F7">
        <w:trPr>
          <w:jc w:val="center"/>
        </w:trPr>
        <w:tc>
          <w:tcPr>
            <w:tcW w:w="846" w:type="dxa"/>
            <w:vAlign w:val="center"/>
          </w:tcPr>
          <w:p w:rsidR="008572F7" w:rsidRDefault="00F759AF">
            <w:pPr>
              <w:jc w:val="center"/>
            </w:pPr>
            <w:proofErr w:type="gramStart"/>
            <w:r>
              <w:rPr>
                <w:color w:val="000000"/>
                <w:sz w:val="24"/>
                <w:szCs w:val="24"/>
              </w:rPr>
              <w:t>封晴</w:t>
            </w:r>
            <w:proofErr w:type="gramEnd"/>
          </w:p>
        </w:tc>
        <w:tc>
          <w:tcPr>
            <w:tcW w:w="845" w:type="dxa"/>
            <w:vAlign w:val="center"/>
          </w:tcPr>
          <w:p w:rsidR="008572F7" w:rsidRDefault="00F759AF">
            <w:pPr>
              <w:jc w:val="center"/>
            </w:pPr>
            <w:r>
              <w:rPr>
                <w:color w:val="000000"/>
                <w:sz w:val="24"/>
                <w:szCs w:val="24"/>
              </w:rPr>
              <w:t>交银先锋混合的基金经理</w:t>
            </w:r>
          </w:p>
        </w:tc>
        <w:tc>
          <w:tcPr>
            <w:tcW w:w="1549" w:type="dxa"/>
            <w:vAlign w:val="center"/>
          </w:tcPr>
          <w:p w:rsidR="008572F7" w:rsidRDefault="00F759AF">
            <w:pPr>
              <w:jc w:val="center"/>
            </w:pPr>
            <w:r>
              <w:rPr>
                <w:color w:val="000000"/>
                <w:sz w:val="24"/>
                <w:szCs w:val="24"/>
              </w:rPr>
              <w:t>2020-07-03</w:t>
            </w:r>
          </w:p>
        </w:tc>
        <w:tc>
          <w:tcPr>
            <w:tcW w:w="1548" w:type="dxa"/>
            <w:vAlign w:val="center"/>
          </w:tcPr>
          <w:p w:rsidR="008572F7" w:rsidRDefault="00F759AF">
            <w:pPr>
              <w:jc w:val="center"/>
            </w:pPr>
            <w:r>
              <w:rPr>
                <w:color w:val="000000"/>
                <w:sz w:val="24"/>
                <w:szCs w:val="24"/>
              </w:rPr>
              <w:t>-</w:t>
            </w:r>
          </w:p>
        </w:tc>
        <w:tc>
          <w:tcPr>
            <w:tcW w:w="1407" w:type="dxa"/>
            <w:vAlign w:val="center"/>
          </w:tcPr>
          <w:p w:rsidR="008572F7" w:rsidRDefault="00F759AF">
            <w:pPr>
              <w:jc w:val="center"/>
            </w:pPr>
            <w:r>
              <w:rPr>
                <w:color w:val="000000"/>
                <w:sz w:val="24"/>
                <w:szCs w:val="24"/>
              </w:rPr>
              <w:t>9</w:t>
            </w:r>
            <w:r>
              <w:rPr>
                <w:color w:val="000000"/>
                <w:sz w:val="24"/>
                <w:szCs w:val="24"/>
              </w:rPr>
              <w:t>年</w:t>
            </w:r>
          </w:p>
        </w:tc>
        <w:tc>
          <w:tcPr>
            <w:tcW w:w="2673" w:type="dxa"/>
            <w:vAlign w:val="center"/>
          </w:tcPr>
          <w:p w:rsidR="008572F7" w:rsidRDefault="00F759AF">
            <w:r>
              <w:rPr>
                <w:color w:val="000000"/>
                <w:sz w:val="24"/>
                <w:szCs w:val="24"/>
              </w:rPr>
              <w:t>封晴先生，中山大学地产经营与管理硕士、中南</w:t>
            </w:r>
            <w:proofErr w:type="gramStart"/>
            <w:r>
              <w:rPr>
                <w:color w:val="000000"/>
                <w:sz w:val="24"/>
                <w:szCs w:val="24"/>
              </w:rPr>
              <w:t>财经政法</w:t>
            </w:r>
            <w:proofErr w:type="gramEnd"/>
            <w:r>
              <w:rPr>
                <w:color w:val="000000"/>
                <w:sz w:val="24"/>
                <w:szCs w:val="24"/>
              </w:rPr>
              <w:t>大学投资学学士、华中科技大学英语学士。</w:t>
            </w:r>
            <w:r>
              <w:rPr>
                <w:color w:val="000000"/>
                <w:sz w:val="24"/>
                <w:szCs w:val="24"/>
              </w:rPr>
              <w:t>2011</w:t>
            </w:r>
            <w:r>
              <w:rPr>
                <w:color w:val="000000"/>
                <w:sz w:val="24"/>
                <w:szCs w:val="24"/>
              </w:rPr>
              <w:t>年至</w:t>
            </w:r>
            <w:r>
              <w:rPr>
                <w:color w:val="000000"/>
                <w:sz w:val="24"/>
                <w:szCs w:val="24"/>
              </w:rPr>
              <w:t>2013</w:t>
            </w:r>
            <w:r>
              <w:rPr>
                <w:color w:val="000000"/>
                <w:sz w:val="24"/>
                <w:szCs w:val="24"/>
              </w:rPr>
              <w:t>年任金鹰基金研究员，</w:t>
            </w:r>
            <w:r>
              <w:rPr>
                <w:color w:val="000000"/>
                <w:sz w:val="24"/>
                <w:szCs w:val="24"/>
              </w:rPr>
              <w:t>2013</w:t>
            </w:r>
            <w:r>
              <w:rPr>
                <w:color w:val="000000"/>
                <w:sz w:val="24"/>
                <w:szCs w:val="24"/>
              </w:rPr>
              <w:t>至</w:t>
            </w:r>
            <w:r>
              <w:rPr>
                <w:color w:val="000000"/>
                <w:sz w:val="24"/>
                <w:szCs w:val="24"/>
              </w:rPr>
              <w:t>2014</w:t>
            </w:r>
            <w:r>
              <w:rPr>
                <w:color w:val="000000"/>
                <w:sz w:val="24"/>
                <w:szCs w:val="24"/>
              </w:rPr>
              <w:t>年任中</w:t>
            </w:r>
            <w:proofErr w:type="gramStart"/>
            <w:r>
              <w:rPr>
                <w:color w:val="000000"/>
                <w:sz w:val="24"/>
                <w:szCs w:val="24"/>
              </w:rPr>
              <w:t>海基金</w:t>
            </w:r>
            <w:proofErr w:type="gramEnd"/>
            <w:r>
              <w:rPr>
                <w:color w:val="000000"/>
                <w:sz w:val="24"/>
                <w:szCs w:val="24"/>
              </w:rPr>
              <w:t>研究员。</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572F7" w:rsidRDefault="00F759AF">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8572F7" w:rsidRDefault="00F759AF">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w:t>
      </w:r>
      <w:r>
        <w:rPr>
          <w:color w:val="000000"/>
          <w:sz w:val="24"/>
          <w:szCs w:val="24"/>
        </w:rPr>
        <w:t>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8572F7" w:rsidRDefault="00F759AF">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w:t>
      </w:r>
      <w:r>
        <w:rPr>
          <w:color w:val="000000"/>
          <w:sz w:val="24"/>
          <w:szCs w:val="24"/>
        </w:rPr>
        <w:t>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572F7" w:rsidRDefault="00F759AF">
      <w:pPr>
        <w:spacing w:before="29" w:line="288" w:lineRule="auto"/>
        <w:ind w:firstLineChars="200" w:firstLine="480"/>
        <w:rPr>
          <w:color w:val="000000"/>
          <w:sz w:val="24"/>
          <w:szCs w:val="24"/>
        </w:rPr>
      </w:pPr>
      <w:r>
        <w:rPr>
          <w:color w:val="000000"/>
          <w:sz w:val="24"/>
          <w:szCs w:val="24"/>
        </w:rPr>
        <w:t>2020</w:t>
      </w:r>
      <w:r>
        <w:rPr>
          <w:color w:val="000000"/>
          <w:sz w:val="24"/>
          <w:szCs w:val="24"/>
        </w:rPr>
        <w:t>年四季度，国内经济基本恢复正常，出口、消费以及投资均实现较快增长，工业增加值持续回升，企业盈利改善。随着全球疫苗不断接种，经济恢复预期逐渐明朗，海外需求叠加补库存背景下，出口依旧会表现强劲。投资</w:t>
      </w:r>
      <w:proofErr w:type="gramStart"/>
      <w:r>
        <w:rPr>
          <w:color w:val="000000"/>
          <w:sz w:val="24"/>
          <w:szCs w:val="24"/>
        </w:rPr>
        <w:t>端虽然</w:t>
      </w:r>
      <w:proofErr w:type="gramEnd"/>
      <w:r>
        <w:rPr>
          <w:color w:val="000000"/>
          <w:sz w:val="24"/>
          <w:szCs w:val="24"/>
        </w:rPr>
        <w:t>基建、地产受地方财政、专项债以及</w:t>
      </w:r>
      <w:r>
        <w:rPr>
          <w:color w:val="000000"/>
          <w:sz w:val="24"/>
          <w:szCs w:val="24"/>
        </w:rPr>
        <w:t>“</w:t>
      </w:r>
      <w:r>
        <w:rPr>
          <w:color w:val="000000"/>
          <w:sz w:val="24"/>
          <w:szCs w:val="24"/>
        </w:rPr>
        <w:t>三条红线</w:t>
      </w:r>
      <w:r>
        <w:rPr>
          <w:color w:val="000000"/>
          <w:sz w:val="24"/>
          <w:szCs w:val="24"/>
        </w:rPr>
        <w:t>”</w:t>
      </w:r>
      <w:r>
        <w:rPr>
          <w:color w:val="000000"/>
          <w:sz w:val="24"/>
          <w:szCs w:val="24"/>
        </w:rPr>
        <w:t>调控影响，地产、基建增速会放缓，但依旧可以实现个位数增长。制造业投资受益产业升级增速会进一步回升。消费预计稳定增长，</w:t>
      </w:r>
      <w:r>
        <w:rPr>
          <w:color w:val="000000"/>
          <w:sz w:val="24"/>
          <w:szCs w:val="24"/>
        </w:rPr>
        <w:t>2021</w:t>
      </w:r>
      <w:r>
        <w:rPr>
          <w:color w:val="000000"/>
          <w:sz w:val="24"/>
          <w:szCs w:val="24"/>
        </w:rPr>
        <w:t>年经济确定性复苏，受基数影响预计增速前高后低，企业盈利同步改善。货币政策恢复常态，流动性较</w:t>
      </w:r>
      <w:r>
        <w:rPr>
          <w:color w:val="000000"/>
          <w:sz w:val="24"/>
          <w:szCs w:val="24"/>
        </w:rPr>
        <w:t>2020</w:t>
      </w:r>
      <w:r>
        <w:rPr>
          <w:color w:val="000000"/>
          <w:sz w:val="24"/>
          <w:szCs w:val="24"/>
        </w:rPr>
        <w:t>年会</w:t>
      </w:r>
      <w:r>
        <w:rPr>
          <w:color w:val="000000"/>
          <w:sz w:val="24"/>
          <w:szCs w:val="24"/>
        </w:rPr>
        <w:t>收紧，但不会</w:t>
      </w:r>
      <w:r>
        <w:rPr>
          <w:color w:val="000000"/>
          <w:sz w:val="24"/>
          <w:szCs w:val="24"/>
        </w:rPr>
        <w:t>“</w:t>
      </w:r>
      <w:r>
        <w:rPr>
          <w:color w:val="000000"/>
          <w:sz w:val="24"/>
          <w:szCs w:val="24"/>
        </w:rPr>
        <w:t>急转</w:t>
      </w:r>
      <w:r>
        <w:rPr>
          <w:color w:val="000000"/>
          <w:sz w:val="24"/>
          <w:szCs w:val="24"/>
        </w:rPr>
        <w:t>”</w:t>
      </w:r>
      <w:r>
        <w:rPr>
          <w:color w:val="000000"/>
          <w:sz w:val="24"/>
          <w:szCs w:val="24"/>
        </w:rPr>
        <w:t>。在此背景下，权益市场或依旧有所作为。</w:t>
      </w:r>
    </w:p>
    <w:p w:rsidR="008572F7" w:rsidRDefault="00F759AF">
      <w:pPr>
        <w:spacing w:before="29" w:line="288" w:lineRule="auto"/>
        <w:ind w:firstLineChars="200" w:firstLine="480"/>
        <w:rPr>
          <w:color w:val="000000"/>
          <w:sz w:val="24"/>
          <w:szCs w:val="24"/>
        </w:rPr>
      </w:pPr>
      <w:r>
        <w:rPr>
          <w:color w:val="000000"/>
          <w:sz w:val="24"/>
          <w:szCs w:val="24"/>
        </w:rPr>
        <w:t>2020</w:t>
      </w:r>
      <w:r>
        <w:rPr>
          <w:color w:val="000000"/>
          <w:sz w:val="24"/>
          <w:szCs w:val="24"/>
        </w:rPr>
        <w:t>年四季度本基金跑</w:t>
      </w:r>
      <w:proofErr w:type="gramStart"/>
      <w:r>
        <w:rPr>
          <w:color w:val="000000"/>
          <w:sz w:val="24"/>
          <w:szCs w:val="24"/>
        </w:rPr>
        <w:t>赢业绩</w:t>
      </w:r>
      <w:proofErr w:type="gramEnd"/>
      <w:r>
        <w:rPr>
          <w:color w:val="000000"/>
          <w:sz w:val="24"/>
          <w:szCs w:val="24"/>
        </w:rPr>
        <w:t>比较基准，主要在军工、新能源车以及医药等领域配置了优质龙头公司，取得了一定的相对收益。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对市场保持相对乐观，经济确定性复苏，流动性不会急转，企业盈利改善，结构性机会依旧存在。配置方面，延续行业空间、产业周期位置、细分行业格局以及公司质地几个维度选择配置方向，重点关注产业生命周期处于快速成长期的新能源汽车及产业链、装备需求进入高景气扩张周期的军工板块、受益人口老龄化、医药创新发展推动下，行业需求可以持续保持较快增长的医疗服务等板块，以及受益房地产行业集中度提升、住宅精装</w:t>
      </w:r>
      <w:proofErr w:type="gramStart"/>
      <w:r w:rsidRPr="00414345">
        <w:rPr>
          <w:color w:val="000000"/>
          <w:sz w:val="24"/>
          <w:szCs w:val="24"/>
        </w:rPr>
        <w:t>修比例</w:t>
      </w:r>
      <w:proofErr w:type="gramEnd"/>
      <w:r w:rsidRPr="00414345">
        <w:rPr>
          <w:color w:val="000000"/>
          <w:sz w:val="24"/>
          <w:szCs w:val="24"/>
        </w:rPr>
        <w:t>提高，未来两三年自身行业集中度提升趋势可以持续的消费建材板块。通过不同行业、不同公司横向对比，优选性价比最好的公司，努力为持有人持续带来回报。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805,174,168.69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805,174,168.69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86.87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41,802,668.92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41,802,668.92</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77,136,209.74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2,761,729.43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0.30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926,874,776.78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634,420,067.76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47,951,394.88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1,113,181.17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49,495,598.72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8,975.14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65,675,777.20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6,460,676.92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32,174.18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805,174,168.69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89.56</w:t>
            </w:r>
          </w:p>
        </w:tc>
      </w:tr>
    </w:tbl>
    <w:p w:rsidR="00F945CB" w:rsidRDefault="00F945C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572F7">
        <w:trPr>
          <w:jc w:val="center"/>
        </w:trPr>
        <w:tc>
          <w:tcPr>
            <w:tcW w:w="855" w:type="dxa"/>
            <w:vAlign w:val="center"/>
          </w:tcPr>
          <w:p w:rsidR="008572F7" w:rsidRDefault="00F759AF">
            <w:pPr>
              <w:jc w:val="center"/>
            </w:pPr>
            <w:r>
              <w:rPr>
                <w:color w:val="000000"/>
                <w:sz w:val="24"/>
                <w:szCs w:val="24"/>
              </w:rPr>
              <w:t>1</w:t>
            </w:r>
          </w:p>
        </w:tc>
        <w:tc>
          <w:tcPr>
            <w:tcW w:w="1334" w:type="dxa"/>
            <w:vAlign w:val="center"/>
          </w:tcPr>
          <w:p w:rsidR="008572F7" w:rsidRDefault="00F759AF">
            <w:pPr>
              <w:jc w:val="center"/>
            </w:pPr>
            <w:r>
              <w:rPr>
                <w:color w:val="000000"/>
                <w:sz w:val="24"/>
                <w:szCs w:val="24"/>
              </w:rPr>
              <w:t>002271</w:t>
            </w:r>
          </w:p>
        </w:tc>
        <w:tc>
          <w:tcPr>
            <w:tcW w:w="1777" w:type="dxa"/>
            <w:vAlign w:val="center"/>
          </w:tcPr>
          <w:p w:rsidR="008572F7" w:rsidRDefault="00F759AF">
            <w:pPr>
              <w:jc w:val="center"/>
            </w:pPr>
            <w:r>
              <w:rPr>
                <w:color w:val="000000"/>
                <w:sz w:val="24"/>
                <w:szCs w:val="24"/>
              </w:rPr>
              <w:t>东方雨虹</w:t>
            </w:r>
          </w:p>
        </w:tc>
        <w:tc>
          <w:tcPr>
            <w:tcW w:w="1334" w:type="dxa"/>
            <w:vAlign w:val="center"/>
          </w:tcPr>
          <w:p w:rsidR="008572F7" w:rsidRDefault="00F759AF">
            <w:pPr>
              <w:jc w:val="right"/>
            </w:pPr>
            <w:r>
              <w:rPr>
                <w:color w:val="000000"/>
                <w:sz w:val="24"/>
                <w:szCs w:val="24"/>
              </w:rPr>
              <w:t>1,482,500</w:t>
            </w:r>
          </w:p>
        </w:tc>
        <w:tc>
          <w:tcPr>
            <w:tcW w:w="1924" w:type="dxa"/>
            <w:vAlign w:val="center"/>
          </w:tcPr>
          <w:p w:rsidR="008572F7" w:rsidRDefault="00F759AF">
            <w:pPr>
              <w:jc w:val="right"/>
            </w:pPr>
            <w:r>
              <w:rPr>
                <w:color w:val="000000"/>
                <w:sz w:val="24"/>
                <w:szCs w:val="24"/>
              </w:rPr>
              <w:t>57,521,000.00</w:t>
            </w:r>
          </w:p>
        </w:tc>
        <w:tc>
          <w:tcPr>
            <w:tcW w:w="1644" w:type="dxa"/>
            <w:vAlign w:val="center"/>
          </w:tcPr>
          <w:p w:rsidR="008572F7" w:rsidRDefault="00F759AF">
            <w:pPr>
              <w:jc w:val="right"/>
            </w:pPr>
            <w:r>
              <w:rPr>
                <w:color w:val="000000"/>
                <w:sz w:val="24"/>
                <w:szCs w:val="24"/>
              </w:rPr>
              <w:t>6.40</w:t>
            </w:r>
          </w:p>
        </w:tc>
      </w:tr>
      <w:tr w:rsidR="008572F7">
        <w:trPr>
          <w:jc w:val="center"/>
        </w:trPr>
        <w:tc>
          <w:tcPr>
            <w:tcW w:w="855" w:type="dxa"/>
            <w:vAlign w:val="center"/>
          </w:tcPr>
          <w:p w:rsidR="008572F7" w:rsidRDefault="00F759AF">
            <w:pPr>
              <w:jc w:val="center"/>
            </w:pPr>
            <w:r>
              <w:rPr>
                <w:color w:val="000000"/>
                <w:sz w:val="24"/>
                <w:szCs w:val="24"/>
              </w:rPr>
              <w:t>2</w:t>
            </w:r>
          </w:p>
        </w:tc>
        <w:tc>
          <w:tcPr>
            <w:tcW w:w="1334" w:type="dxa"/>
            <w:vAlign w:val="center"/>
          </w:tcPr>
          <w:p w:rsidR="008572F7" w:rsidRDefault="00F759AF">
            <w:pPr>
              <w:jc w:val="center"/>
            </w:pPr>
            <w:r>
              <w:rPr>
                <w:color w:val="000000"/>
                <w:sz w:val="24"/>
                <w:szCs w:val="24"/>
              </w:rPr>
              <w:t>002352</w:t>
            </w:r>
          </w:p>
        </w:tc>
        <w:tc>
          <w:tcPr>
            <w:tcW w:w="1777" w:type="dxa"/>
            <w:vAlign w:val="center"/>
          </w:tcPr>
          <w:p w:rsidR="008572F7" w:rsidRDefault="00F759AF">
            <w:pPr>
              <w:jc w:val="center"/>
            </w:pPr>
            <w:r>
              <w:rPr>
                <w:color w:val="000000"/>
                <w:sz w:val="24"/>
                <w:szCs w:val="24"/>
              </w:rPr>
              <w:t>顺丰控股</w:t>
            </w:r>
          </w:p>
        </w:tc>
        <w:tc>
          <w:tcPr>
            <w:tcW w:w="1334" w:type="dxa"/>
            <w:vAlign w:val="center"/>
          </w:tcPr>
          <w:p w:rsidR="008572F7" w:rsidRDefault="00F759AF">
            <w:pPr>
              <w:jc w:val="right"/>
            </w:pPr>
            <w:r>
              <w:rPr>
                <w:color w:val="000000"/>
                <w:sz w:val="24"/>
                <w:szCs w:val="24"/>
              </w:rPr>
              <w:t>545,200</w:t>
            </w:r>
          </w:p>
        </w:tc>
        <w:tc>
          <w:tcPr>
            <w:tcW w:w="1924" w:type="dxa"/>
            <w:vAlign w:val="center"/>
          </w:tcPr>
          <w:p w:rsidR="008572F7" w:rsidRDefault="00F759AF">
            <w:pPr>
              <w:jc w:val="right"/>
            </w:pPr>
            <w:r>
              <w:rPr>
                <w:color w:val="000000"/>
                <w:sz w:val="24"/>
                <w:szCs w:val="24"/>
              </w:rPr>
              <w:t>47,931,396.00</w:t>
            </w:r>
          </w:p>
        </w:tc>
        <w:tc>
          <w:tcPr>
            <w:tcW w:w="1644" w:type="dxa"/>
            <w:vAlign w:val="center"/>
          </w:tcPr>
          <w:p w:rsidR="008572F7" w:rsidRDefault="00F759AF">
            <w:pPr>
              <w:jc w:val="right"/>
            </w:pPr>
            <w:r>
              <w:rPr>
                <w:color w:val="000000"/>
                <w:sz w:val="24"/>
                <w:szCs w:val="24"/>
              </w:rPr>
              <w:t>5.33</w:t>
            </w:r>
          </w:p>
        </w:tc>
      </w:tr>
      <w:tr w:rsidR="008572F7">
        <w:trPr>
          <w:jc w:val="center"/>
        </w:trPr>
        <w:tc>
          <w:tcPr>
            <w:tcW w:w="855" w:type="dxa"/>
            <w:vAlign w:val="center"/>
          </w:tcPr>
          <w:p w:rsidR="008572F7" w:rsidRDefault="00F759AF">
            <w:pPr>
              <w:jc w:val="center"/>
            </w:pPr>
            <w:r>
              <w:rPr>
                <w:color w:val="000000"/>
                <w:sz w:val="24"/>
                <w:szCs w:val="24"/>
              </w:rPr>
              <w:t>3</w:t>
            </w:r>
          </w:p>
        </w:tc>
        <w:tc>
          <w:tcPr>
            <w:tcW w:w="1334" w:type="dxa"/>
            <w:vAlign w:val="center"/>
          </w:tcPr>
          <w:p w:rsidR="008572F7" w:rsidRDefault="00F759AF">
            <w:pPr>
              <w:jc w:val="center"/>
            </w:pPr>
            <w:r>
              <w:rPr>
                <w:color w:val="000000"/>
                <w:sz w:val="24"/>
                <w:szCs w:val="24"/>
              </w:rPr>
              <w:t>603259</w:t>
            </w:r>
          </w:p>
        </w:tc>
        <w:tc>
          <w:tcPr>
            <w:tcW w:w="1777" w:type="dxa"/>
            <w:vAlign w:val="center"/>
          </w:tcPr>
          <w:p w:rsidR="008572F7" w:rsidRDefault="00F759AF">
            <w:pPr>
              <w:jc w:val="center"/>
            </w:pPr>
            <w:proofErr w:type="gramStart"/>
            <w:r>
              <w:rPr>
                <w:color w:val="000000"/>
                <w:sz w:val="24"/>
                <w:szCs w:val="24"/>
              </w:rPr>
              <w:t>药明康德</w:t>
            </w:r>
            <w:proofErr w:type="gramEnd"/>
          </w:p>
        </w:tc>
        <w:tc>
          <w:tcPr>
            <w:tcW w:w="1334" w:type="dxa"/>
            <w:vAlign w:val="center"/>
          </w:tcPr>
          <w:p w:rsidR="008572F7" w:rsidRDefault="00F759AF">
            <w:pPr>
              <w:jc w:val="right"/>
            </w:pPr>
            <w:r>
              <w:rPr>
                <w:color w:val="000000"/>
                <w:sz w:val="24"/>
                <w:szCs w:val="24"/>
              </w:rPr>
              <w:t>355,650</w:t>
            </w:r>
          </w:p>
        </w:tc>
        <w:tc>
          <w:tcPr>
            <w:tcW w:w="1924" w:type="dxa"/>
            <w:vAlign w:val="center"/>
          </w:tcPr>
          <w:p w:rsidR="008572F7" w:rsidRDefault="00F759AF">
            <w:pPr>
              <w:jc w:val="right"/>
            </w:pPr>
            <w:r>
              <w:rPr>
                <w:color w:val="000000"/>
                <w:sz w:val="24"/>
                <w:szCs w:val="24"/>
              </w:rPr>
              <w:t>47,913,168.00</w:t>
            </w:r>
          </w:p>
        </w:tc>
        <w:tc>
          <w:tcPr>
            <w:tcW w:w="1644" w:type="dxa"/>
            <w:vAlign w:val="center"/>
          </w:tcPr>
          <w:p w:rsidR="008572F7" w:rsidRDefault="00F759AF">
            <w:pPr>
              <w:jc w:val="right"/>
            </w:pPr>
            <w:r>
              <w:rPr>
                <w:color w:val="000000"/>
                <w:sz w:val="24"/>
                <w:szCs w:val="24"/>
              </w:rPr>
              <w:t>5.33</w:t>
            </w:r>
          </w:p>
        </w:tc>
      </w:tr>
      <w:tr w:rsidR="008572F7">
        <w:trPr>
          <w:jc w:val="center"/>
        </w:trPr>
        <w:tc>
          <w:tcPr>
            <w:tcW w:w="855" w:type="dxa"/>
            <w:vAlign w:val="center"/>
          </w:tcPr>
          <w:p w:rsidR="008572F7" w:rsidRDefault="00F759AF">
            <w:pPr>
              <w:jc w:val="center"/>
            </w:pPr>
            <w:r>
              <w:rPr>
                <w:color w:val="000000"/>
                <w:sz w:val="24"/>
                <w:szCs w:val="24"/>
              </w:rPr>
              <w:t>4</w:t>
            </w:r>
          </w:p>
        </w:tc>
        <w:tc>
          <w:tcPr>
            <w:tcW w:w="1334" w:type="dxa"/>
            <w:vAlign w:val="center"/>
          </w:tcPr>
          <w:p w:rsidR="008572F7" w:rsidRDefault="00F759AF">
            <w:pPr>
              <w:jc w:val="center"/>
            </w:pPr>
            <w:r>
              <w:rPr>
                <w:color w:val="000000"/>
                <w:sz w:val="24"/>
                <w:szCs w:val="24"/>
              </w:rPr>
              <w:t>600519</w:t>
            </w:r>
          </w:p>
        </w:tc>
        <w:tc>
          <w:tcPr>
            <w:tcW w:w="1777" w:type="dxa"/>
            <w:vAlign w:val="center"/>
          </w:tcPr>
          <w:p w:rsidR="008572F7" w:rsidRDefault="00F759AF">
            <w:pPr>
              <w:jc w:val="center"/>
            </w:pPr>
            <w:r>
              <w:rPr>
                <w:color w:val="000000"/>
                <w:sz w:val="24"/>
                <w:szCs w:val="24"/>
              </w:rPr>
              <w:t>贵州茅台</w:t>
            </w:r>
          </w:p>
        </w:tc>
        <w:tc>
          <w:tcPr>
            <w:tcW w:w="1334" w:type="dxa"/>
            <w:vAlign w:val="center"/>
          </w:tcPr>
          <w:p w:rsidR="008572F7" w:rsidRDefault="00F759AF">
            <w:pPr>
              <w:jc w:val="right"/>
            </w:pPr>
            <w:r>
              <w:rPr>
                <w:color w:val="000000"/>
                <w:sz w:val="24"/>
                <w:szCs w:val="24"/>
              </w:rPr>
              <w:t>23,834</w:t>
            </w:r>
          </w:p>
        </w:tc>
        <w:tc>
          <w:tcPr>
            <w:tcW w:w="1924" w:type="dxa"/>
            <w:vAlign w:val="center"/>
          </w:tcPr>
          <w:p w:rsidR="008572F7" w:rsidRDefault="00F759AF">
            <w:pPr>
              <w:jc w:val="right"/>
            </w:pPr>
            <w:r>
              <w:rPr>
                <w:color w:val="000000"/>
                <w:sz w:val="24"/>
                <w:szCs w:val="24"/>
              </w:rPr>
              <w:t>47,620,332.00</w:t>
            </w:r>
          </w:p>
        </w:tc>
        <w:tc>
          <w:tcPr>
            <w:tcW w:w="1644" w:type="dxa"/>
            <w:vAlign w:val="center"/>
          </w:tcPr>
          <w:p w:rsidR="008572F7" w:rsidRDefault="00F759AF">
            <w:pPr>
              <w:jc w:val="right"/>
            </w:pPr>
            <w:r>
              <w:rPr>
                <w:color w:val="000000"/>
                <w:sz w:val="24"/>
                <w:szCs w:val="24"/>
              </w:rPr>
              <w:t>5.30</w:t>
            </w:r>
          </w:p>
        </w:tc>
      </w:tr>
      <w:tr w:rsidR="008572F7">
        <w:trPr>
          <w:jc w:val="center"/>
        </w:trPr>
        <w:tc>
          <w:tcPr>
            <w:tcW w:w="855" w:type="dxa"/>
            <w:vAlign w:val="center"/>
          </w:tcPr>
          <w:p w:rsidR="008572F7" w:rsidRDefault="00F759AF">
            <w:pPr>
              <w:jc w:val="center"/>
            </w:pPr>
            <w:r>
              <w:rPr>
                <w:color w:val="000000"/>
                <w:sz w:val="24"/>
                <w:szCs w:val="24"/>
              </w:rPr>
              <w:t>5</w:t>
            </w:r>
          </w:p>
        </w:tc>
        <w:tc>
          <w:tcPr>
            <w:tcW w:w="1334" w:type="dxa"/>
            <w:vAlign w:val="center"/>
          </w:tcPr>
          <w:p w:rsidR="008572F7" w:rsidRDefault="00F759AF">
            <w:pPr>
              <w:jc w:val="center"/>
            </w:pPr>
            <w:r>
              <w:rPr>
                <w:color w:val="000000"/>
                <w:sz w:val="24"/>
                <w:szCs w:val="24"/>
              </w:rPr>
              <w:t>002049</w:t>
            </w:r>
          </w:p>
        </w:tc>
        <w:tc>
          <w:tcPr>
            <w:tcW w:w="1777" w:type="dxa"/>
            <w:vAlign w:val="center"/>
          </w:tcPr>
          <w:p w:rsidR="008572F7" w:rsidRDefault="00F759AF">
            <w:pPr>
              <w:jc w:val="center"/>
            </w:pPr>
            <w:proofErr w:type="gramStart"/>
            <w:r>
              <w:rPr>
                <w:color w:val="000000"/>
                <w:sz w:val="24"/>
                <w:szCs w:val="24"/>
              </w:rPr>
              <w:t>紫光国微</w:t>
            </w:r>
            <w:proofErr w:type="gramEnd"/>
          </w:p>
        </w:tc>
        <w:tc>
          <w:tcPr>
            <w:tcW w:w="1334" w:type="dxa"/>
            <w:vAlign w:val="center"/>
          </w:tcPr>
          <w:p w:rsidR="008572F7" w:rsidRDefault="00F759AF">
            <w:pPr>
              <w:jc w:val="right"/>
            </w:pPr>
            <w:r>
              <w:rPr>
                <w:color w:val="000000"/>
                <w:sz w:val="24"/>
                <w:szCs w:val="24"/>
              </w:rPr>
              <w:t>338,395</w:t>
            </w:r>
          </w:p>
        </w:tc>
        <w:tc>
          <w:tcPr>
            <w:tcW w:w="1924" w:type="dxa"/>
            <w:vAlign w:val="center"/>
          </w:tcPr>
          <w:p w:rsidR="008572F7" w:rsidRDefault="00F759AF">
            <w:pPr>
              <w:jc w:val="right"/>
            </w:pPr>
            <w:r>
              <w:rPr>
                <w:color w:val="000000"/>
                <w:sz w:val="24"/>
                <w:szCs w:val="24"/>
              </w:rPr>
              <w:t>45,280,634.95</w:t>
            </w:r>
          </w:p>
        </w:tc>
        <w:tc>
          <w:tcPr>
            <w:tcW w:w="1644" w:type="dxa"/>
            <w:vAlign w:val="center"/>
          </w:tcPr>
          <w:p w:rsidR="008572F7" w:rsidRDefault="00F759AF">
            <w:pPr>
              <w:jc w:val="right"/>
            </w:pPr>
            <w:r>
              <w:rPr>
                <w:color w:val="000000"/>
                <w:sz w:val="24"/>
                <w:szCs w:val="24"/>
              </w:rPr>
              <w:t>5.04</w:t>
            </w:r>
          </w:p>
        </w:tc>
      </w:tr>
      <w:tr w:rsidR="008572F7">
        <w:trPr>
          <w:jc w:val="center"/>
        </w:trPr>
        <w:tc>
          <w:tcPr>
            <w:tcW w:w="855" w:type="dxa"/>
            <w:vAlign w:val="center"/>
          </w:tcPr>
          <w:p w:rsidR="008572F7" w:rsidRDefault="00F759AF">
            <w:pPr>
              <w:jc w:val="center"/>
            </w:pPr>
            <w:r>
              <w:rPr>
                <w:color w:val="000000"/>
                <w:sz w:val="24"/>
                <w:szCs w:val="24"/>
              </w:rPr>
              <w:t>6</w:t>
            </w:r>
          </w:p>
        </w:tc>
        <w:tc>
          <w:tcPr>
            <w:tcW w:w="1334" w:type="dxa"/>
            <w:vAlign w:val="center"/>
          </w:tcPr>
          <w:p w:rsidR="008572F7" w:rsidRDefault="00F759AF">
            <w:pPr>
              <w:jc w:val="center"/>
            </w:pPr>
            <w:r>
              <w:rPr>
                <w:color w:val="000000"/>
                <w:sz w:val="24"/>
                <w:szCs w:val="24"/>
              </w:rPr>
              <w:t>002475</w:t>
            </w:r>
          </w:p>
        </w:tc>
        <w:tc>
          <w:tcPr>
            <w:tcW w:w="1777" w:type="dxa"/>
            <w:vAlign w:val="center"/>
          </w:tcPr>
          <w:p w:rsidR="008572F7" w:rsidRDefault="00F759AF">
            <w:pPr>
              <w:jc w:val="center"/>
            </w:pPr>
            <w:r>
              <w:rPr>
                <w:color w:val="000000"/>
                <w:sz w:val="24"/>
                <w:szCs w:val="24"/>
              </w:rPr>
              <w:t>立讯精密</w:t>
            </w:r>
          </w:p>
        </w:tc>
        <w:tc>
          <w:tcPr>
            <w:tcW w:w="1334" w:type="dxa"/>
            <w:vAlign w:val="center"/>
          </w:tcPr>
          <w:p w:rsidR="008572F7" w:rsidRDefault="00F759AF">
            <w:pPr>
              <w:jc w:val="right"/>
            </w:pPr>
            <w:r>
              <w:rPr>
                <w:color w:val="000000"/>
                <w:sz w:val="24"/>
                <w:szCs w:val="24"/>
              </w:rPr>
              <w:t>779,157</w:t>
            </w:r>
          </w:p>
        </w:tc>
        <w:tc>
          <w:tcPr>
            <w:tcW w:w="1924" w:type="dxa"/>
            <w:vAlign w:val="center"/>
          </w:tcPr>
          <w:p w:rsidR="008572F7" w:rsidRDefault="00F759AF">
            <w:pPr>
              <w:jc w:val="right"/>
            </w:pPr>
            <w:r>
              <w:rPr>
                <w:color w:val="000000"/>
                <w:sz w:val="24"/>
                <w:szCs w:val="24"/>
              </w:rPr>
              <w:t>43,726,290.84</w:t>
            </w:r>
          </w:p>
        </w:tc>
        <w:tc>
          <w:tcPr>
            <w:tcW w:w="1644" w:type="dxa"/>
            <w:vAlign w:val="center"/>
          </w:tcPr>
          <w:p w:rsidR="008572F7" w:rsidRDefault="00F759AF">
            <w:pPr>
              <w:jc w:val="right"/>
            </w:pPr>
            <w:r>
              <w:rPr>
                <w:color w:val="000000"/>
                <w:sz w:val="24"/>
                <w:szCs w:val="24"/>
              </w:rPr>
              <w:t>4.86</w:t>
            </w:r>
          </w:p>
        </w:tc>
      </w:tr>
      <w:tr w:rsidR="008572F7">
        <w:trPr>
          <w:jc w:val="center"/>
        </w:trPr>
        <w:tc>
          <w:tcPr>
            <w:tcW w:w="855" w:type="dxa"/>
            <w:vAlign w:val="center"/>
          </w:tcPr>
          <w:p w:rsidR="008572F7" w:rsidRDefault="00F759AF">
            <w:pPr>
              <w:jc w:val="center"/>
            </w:pPr>
            <w:r>
              <w:rPr>
                <w:color w:val="000000"/>
                <w:sz w:val="24"/>
                <w:szCs w:val="24"/>
              </w:rPr>
              <w:lastRenderedPageBreak/>
              <w:t>7</w:t>
            </w:r>
          </w:p>
        </w:tc>
        <w:tc>
          <w:tcPr>
            <w:tcW w:w="1334" w:type="dxa"/>
            <w:vAlign w:val="center"/>
          </w:tcPr>
          <w:p w:rsidR="008572F7" w:rsidRDefault="00F759AF">
            <w:pPr>
              <w:jc w:val="center"/>
            </w:pPr>
            <w:r>
              <w:rPr>
                <w:color w:val="000000"/>
                <w:sz w:val="24"/>
                <w:szCs w:val="24"/>
              </w:rPr>
              <w:t>300750</w:t>
            </w:r>
          </w:p>
        </w:tc>
        <w:tc>
          <w:tcPr>
            <w:tcW w:w="1777" w:type="dxa"/>
            <w:vAlign w:val="center"/>
          </w:tcPr>
          <w:p w:rsidR="008572F7" w:rsidRDefault="00F759AF">
            <w:pPr>
              <w:jc w:val="center"/>
            </w:pPr>
            <w:r>
              <w:rPr>
                <w:color w:val="000000"/>
                <w:sz w:val="24"/>
                <w:szCs w:val="24"/>
              </w:rPr>
              <w:t>宁德时代</w:t>
            </w:r>
          </w:p>
        </w:tc>
        <w:tc>
          <w:tcPr>
            <w:tcW w:w="1334" w:type="dxa"/>
            <w:vAlign w:val="center"/>
          </w:tcPr>
          <w:p w:rsidR="008572F7" w:rsidRDefault="00F759AF">
            <w:pPr>
              <w:jc w:val="right"/>
            </w:pPr>
            <w:r>
              <w:rPr>
                <w:color w:val="000000"/>
                <w:sz w:val="24"/>
                <w:szCs w:val="24"/>
              </w:rPr>
              <w:t>99,000</w:t>
            </w:r>
          </w:p>
        </w:tc>
        <w:tc>
          <w:tcPr>
            <w:tcW w:w="1924" w:type="dxa"/>
            <w:vAlign w:val="center"/>
          </w:tcPr>
          <w:p w:rsidR="008572F7" w:rsidRDefault="00F759AF">
            <w:pPr>
              <w:jc w:val="right"/>
            </w:pPr>
            <w:r>
              <w:rPr>
                <w:color w:val="000000"/>
                <w:sz w:val="24"/>
                <w:szCs w:val="24"/>
              </w:rPr>
              <w:t>34,759,890.00</w:t>
            </w:r>
          </w:p>
        </w:tc>
        <w:tc>
          <w:tcPr>
            <w:tcW w:w="1644" w:type="dxa"/>
            <w:vAlign w:val="center"/>
          </w:tcPr>
          <w:p w:rsidR="008572F7" w:rsidRDefault="00F759AF">
            <w:pPr>
              <w:jc w:val="right"/>
            </w:pPr>
            <w:r>
              <w:rPr>
                <w:color w:val="000000"/>
                <w:sz w:val="24"/>
                <w:szCs w:val="24"/>
              </w:rPr>
              <w:t>3.87</w:t>
            </w:r>
          </w:p>
        </w:tc>
      </w:tr>
      <w:tr w:rsidR="008572F7">
        <w:trPr>
          <w:jc w:val="center"/>
        </w:trPr>
        <w:tc>
          <w:tcPr>
            <w:tcW w:w="855" w:type="dxa"/>
            <w:vAlign w:val="center"/>
          </w:tcPr>
          <w:p w:rsidR="008572F7" w:rsidRDefault="00F759AF">
            <w:pPr>
              <w:jc w:val="center"/>
            </w:pPr>
            <w:r>
              <w:rPr>
                <w:color w:val="000000"/>
                <w:sz w:val="24"/>
                <w:szCs w:val="24"/>
              </w:rPr>
              <w:t>8</w:t>
            </w:r>
          </w:p>
        </w:tc>
        <w:tc>
          <w:tcPr>
            <w:tcW w:w="1334" w:type="dxa"/>
            <w:vAlign w:val="center"/>
          </w:tcPr>
          <w:p w:rsidR="008572F7" w:rsidRDefault="00F759AF">
            <w:pPr>
              <w:jc w:val="center"/>
            </w:pPr>
            <w:r>
              <w:rPr>
                <w:color w:val="000000"/>
                <w:sz w:val="24"/>
                <w:szCs w:val="24"/>
              </w:rPr>
              <w:t>600346</w:t>
            </w:r>
          </w:p>
        </w:tc>
        <w:tc>
          <w:tcPr>
            <w:tcW w:w="1777" w:type="dxa"/>
            <w:vAlign w:val="center"/>
          </w:tcPr>
          <w:p w:rsidR="008572F7" w:rsidRDefault="00F759AF">
            <w:pPr>
              <w:jc w:val="center"/>
            </w:pPr>
            <w:r>
              <w:rPr>
                <w:color w:val="000000"/>
                <w:sz w:val="24"/>
                <w:szCs w:val="24"/>
              </w:rPr>
              <w:t>恒力石化</w:t>
            </w:r>
          </w:p>
        </w:tc>
        <w:tc>
          <w:tcPr>
            <w:tcW w:w="1334" w:type="dxa"/>
            <w:vAlign w:val="center"/>
          </w:tcPr>
          <w:p w:rsidR="008572F7" w:rsidRDefault="00F759AF">
            <w:pPr>
              <w:jc w:val="right"/>
            </w:pPr>
            <w:r>
              <w:rPr>
                <w:color w:val="000000"/>
                <w:sz w:val="24"/>
                <w:szCs w:val="24"/>
              </w:rPr>
              <w:t>1,188,100</w:t>
            </w:r>
          </w:p>
        </w:tc>
        <w:tc>
          <w:tcPr>
            <w:tcW w:w="1924" w:type="dxa"/>
            <w:vAlign w:val="center"/>
          </w:tcPr>
          <w:p w:rsidR="008572F7" w:rsidRDefault="00F759AF">
            <w:pPr>
              <w:jc w:val="right"/>
            </w:pPr>
            <w:r>
              <w:rPr>
                <w:color w:val="000000"/>
                <w:sz w:val="24"/>
                <w:szCs w:val="24"/>
              </w:rPr>
              <w:t>33,231,157.00</w:t>
            </w:r>
          </w:p>
        </w:tc>
        <w:tc>
          <w:tcPr>
            <w:tcW w:w="1644" w:type="dxa"/>
            <w:vAlign w:val="center"/>
          </w:tcPr>
          <w:p w:rsidR="008572F7" w:rsidRDefault="00F759AF">
            <w:pPr>
              <w:jc w:val="right"/>
            </w:pPr>
            <w:r>
              <w:rPr>
                <w:color w:val="000000"/>
                <w:sz w:val="24"/>
                <w:szCs w:val="24"/>
              </w:rPr>
              <w:t>3.70</w:t>
            </w:r>
          </w:p>
        </w:tc>
      </w:tr>
      <w:tr w:rsidR="008572F7">
        <w:trPr>
          <w:jc w:val="center"/>
        </w:trPr>
        <w:tc>
          <w:tcPr>
            <w:tcW w:w="855" w:type="dxa"/>
            <w:vAlign w:val="center"/>
          </w:tcPr>
          <w:p w:rsidR="008572F7" w:rsidRDefault="00F759AF">
            <w:pPr>
              <w:jc w:val="center"/>
            </w:pPr>
            <w:r>
              <w:rPr>
                <w:color w:val="000000"/>
                <w:sz w:val="24"/>
                <w:szCs w:val="24"/>
              </w:rPr>
              <w:t>9</w:t>
            </w:r>
          </w:p>
        </w:tc>
        <w:tc>
          <w:tcPr>
            <w:tcW w:w="1334" w:type="dxa"/>
            <w:vAlign w:val="center"/>
          </w:tcPr>
          <w:p w:rsidR="008572F7" w:rsidRDefault="00F759AF">
            <w:pPr>
              <w:jc w:val="center"/>
            </w:pPr>
            <w:r>
              <w:rPr>
                <w:color w:val="000000"/>
                <w:sz w:val="24"/>
                <w:szCs w:val="24"/>
              </w:rPr>
              <w:t>000733</w:t>
            </w:r>
          </w:p>
        </w:tc>
        <w:tc>
          <w:tcPr>
            <w:tcW w:w="1777" w:type="dxa"/>
            <w:vAlign w:val="center"/>
          </w:tcPr>
          <w:p w:rsidR="008572F7" w:rsidRDefault="00F759AF">
            <w:pPr>
              <w:jc w:val="center"/>
            </w:pPr>
            <w:r>
              <w:rPr>
                <w:color w:val="000000"/>
                <w:sz w:val="24"/>
                <w:szCs w:val="24"/>
              </w:rPr>
              <w:t>振华科技</w:t>
            </w:r>
          </w:p>
        </w:tc>
        <w:tc>
          <w:tcPr>
            <w:tcW w:w="1334" w:type="dxa"/>
            <w:vAlign w:val="center"/>
          </w:tcPr>
          <w:p w:rsidR="008572F7" w:rsidRDefault="00F759AF">
            <w:pPr>
              <w:jc w:val="right"/>
            </w:pPr>
            <w:r>
              <w:rPr>
                <w:color w:val="000000"/>
                <w:sz w:val="24"/>
                <w:szCs w:val="24"/>
              </w:rPr>
              <w:t>563,700</w:t>
            </w:r>
          </w:p>
        </w:tc>
        <w:tc>
          <w:tcPr>
            <w:tcW w:w="1924" w:type="dxa"/>
            <w:vAlign w:val="center"/>
          </w:tcPr>
          <w:p w:rsidR="008572F7" w:rsidRDefault="00F759AF">
            <w:pPr>
              <w:jc w:val="right"/>
            </w:pPr>
            <w:r>
              <w:rPr>
                <w:color w:val="000000"/>
                <w:sz w:val="24"/>
                <w:szCs w:val="24"/>
              </w:rPr>
              <w:t>33,173,745.00</w:t>
            </w:r>
          </w:p>
        </w:tc>
        <w:tc>
          <w:tcPr>
            <w:tcW w:w="1644" w:type="dxa"/>
            <w:vAlign w:val="center"/>
          </w:tcPr>
          <w:p w:rsidR="008572F7" w:rsidRDefault="00F759AF">
            <w:pPr>
              <w:jc w:val="right"/>
            </w:pPr>
            <w:r>
              <w:rPr>
                <w:color w:val="000000"/>
                <w:sz w:val="24"/>
                <w:szCs w:val="24"/>
              </w:rPr>
              <w:t>3.69</w:t>
            </w:r>
          </w:p>
        </w:tc>
      </w:tr>
      <w:tr w:rsidR="008572F7">
        <w:trPr>
          <w:jc w:val="center"/>
        </w:trPr>
        <w:tc>
          <w:tcPr>
            <w:tcW w:w="855" w:type="dxa"/>
            <w:vAlign w:val="center"/>
          </w:tcPr>
          <w:p w:rsidR="008572F7" w:rsidRDefault="00F759AF">
            <w:pPr>
              <w:jc w:val="center"/>
            </w:pPr>
            <w:r>
              <w:rPr>
                <w:color w:val="000000"/>
                <w:sz w:val="24"/>
                <w:szCs w:val="24"/>
              </w:rPr>
              <w:t>10</w:t>
            </w:r>
          </w:p>
        </w:tc>
        <w:tc>
          <w:tcPr>
            <w:tcW w:w="1334" w:type="dxa"/>
            <w:vAlign w:val="center"/>
          </w:tcPr>
          <w:p w:rsidR="008572F7" w:rsidRDefault="00F759AF">
            <w:pPr>
              <w:jc w:val="center"/>
            </w:pPr>
            <w:r>
              <w:rPr>
                <w:color w:val="000000"/>
                <w:sz w:val="24"/>
                <w:szCs w:val="24"/>
              </w:rPr>
              <w:t>603816</w:t>
            </w:r>
          </w:p>
        </w:tc>
        <w:tc>
          <w:tcPr>
            <w:tcW w:w="1777" w:type="dxa"/>
            <w:vAlign w:val="center"/>
          </w:tcPr>
          <w:p w:rsidR="008572F7" w:rsidRDefault="00F759AF">
            <w:pPr>
              <w:jc w:val="center"/>
            </w:pPr>
            <w:r>
              <w:rPr>
                <w:color w:val="000000"/>
                <w:sz w:val="24"/>
                <w:szCs w:val="24"/>
              </w:rPr>
              <w:t>顾家家居</w:t>
            </w:r>
          </w:p>
        </w:tc>
        <w:tc>
          <w:tcPr>
            <w:tcW w:w="1334" w:type="dxa"/>
            <w:vAlign w:val="center"/>
          </w:tcPr>
          <w:p w:rsidR="008572F7" w:rsidRDefault="00F759AF">
            <w:pPr>
              <w:jc w:val="right"/>
            </w:pPr>
            <w:r>
              <w:rPr>
                <w:color w:val="000000"/>
                <w:sz w:val="24"/>
                <w:szCs w:val="24"/>
              </w:rPr>
              <w:t>457,529</w:t>
            </w:r>
          </w:p>
        </w:tc>
        <w:tc>
          <w:tcPr>
            <w:tcW w:w="1924" w:type="dxa"/>
            <w:vAlign w:val="center"/>
          </w:tcPr>
          <w:p w:rsidR="008572F7" w:rsidRDefault="00F759AF">
            <w:pPr>
              <w:jc w:val="right"/>
            </w:pPr>
            <w:r>
              <w:rPr>
                <w:color w:val="000000"/>
                <w:sz w:val="24"/>
                <w:szCs w:val="24"/>
              </w:rPr>
              <w:t>32,260,369.79</w:t>
            </w:r>
          </w:p>
        </w:tc>
        <w:tc>
          <w:tcPr>
            <w:tcW w:w="1644" w:type="dxa"/>
            <w:vAlign w:val="center"/>
          </w:tcPr>
          <w:p w:rsidR="008572F7" w:rsidRDefault="00F759AF">
            <w:pPr>
              <w:jc w:val="right"/>
            </w:pPr>
            <w:r>
              <w:rPr>
                <w:color w:val="000000"/>
                <w:sz w:val="24"/>
                <w:szCs w:val="24"/>
              </w:rPr>
              <w:t>3.59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39,992,000.00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39,992,000.00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1,810,668.92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41,802,668.92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572F7">
        <w:trPr>
          <w:jc w:val="center"/>
        </w:trPr>
        <w:tc>
          <w:tcPr>
            <w:tcW w:w="850" w:type="dxa"/>
            <w:vAlign w:val="center"/>
          </w:tcPr>
          <w:p w:rsidR="008572F7" w:rsidRDefault="00F759AF">
            <w:pPr>
              <w:jc w:val="center"/>
            </w:pPr>
            <w:r>
              <w:rPr>
                <w:color w:val="000000"/>
                <w:sz w:val="24"/>
                <w:szCs w:val="24"/>
              </w:rPr>
              <w:t>1</w:t>
            </w:r>
          </w:p>
        </w:tc>
        <w:tc>
          <w:tcPr>
            <w:tcW w:w="1475" w:type="dxa"/>
            <w:vAlign w:val="center"/>
          </w:tcPr>
          <w:p w:rsidR="008572F7" w:rsidRDefault="00F759AF">
            <w:pPr>
              <w:jc w:val="center"/>
            </w:pPr>
            <w:r>
              <w:rPr>
                <w:color w:val="000000"/>
                <w:sz w:val="24"/>
                <w:szCs w:val="24"/>
              </w:rPr>
              <w:t>200309</w:t>
            </w:r>
          </w:p>
        </w:tc>
        <w:tc>
          <w:tcPr>
            <w:tcW w:w="1769" w:type="dxa"/>
            <w:vAlign w:val="center"/>
          </w:tcPr>
          <w:p w:rsidR="008572F7" w:rsidRDefault="00F759AF">
            <w:pPr>
              <w:jc w:val="center"/>
            </w:pPr>
            <w:r>
              <w:rPr>
                <w:color w:val="000000"/>
                <w:sz w:val="24"/>
                <w:szCs w:val="24"/>
              </w:rPr>
              <w:t>20</w:t>
            </w:r>
            <w:r>
              <w:rPr>
                <w:color w:val="000000"/>
                <w:sz w:val="24"/>
                <w:szCs w:val="24"/>
              </w:rPr>
              <w:t>进出</w:t>
            </w:r>
            <w:r>
              <w:rPr>
                <w:color w:val="000000"/>
                <w:sz w:val="24"/>
                <w:szCs w:val="24"/>
              </w:rPr>
              <w:t>09</w:t>
            </w:r>
          </w:p>
        </w:tc>
        <w:tc>
          <w:tcPr>
            <w:tcW w:w="1387" w:type="dxa"/>
            <w:vAlign w:val="center"/>
          </w:tcPr>
          <w:p w:rsidR="008572F7" w:rsidRDefault="00F759AF">
            <w:pPr>
              <w:jc w:val="right"/>
            </w:pPr>
            <w:r>
              <w:rPr>
                <w:color w:val="000000"/>
                <w:sz w:val="24"/>
                <w:szCs w:val="24"/>
              </w:rPr>
              <w:t>400,000</w:t>
            </w:r>
          </w:p>
        </w:tc>
        <w:tc>
          <w:tcPr>
            <w:tcW w:w="2150" w:type="dxa"/>
            <w:vAlign w:val="center"/>
          </w:tcPr>
          <w:p w:rsidR="008572F7" w:rsidRDefault="00F759AF">
            <w:pPr>
              <w:jc w:val="right"/>
            </w:pPr>
            <w:r>
              <w:rPr>
                <w:color w:val="000000"/>
                <w:sz w:val="24"/>
                <w:szCs w:val="24"/>
              </w:rPr>
              <w:t>39,992,000.00</w:t>
            </w:r>
          </w:p>
        </w:tc>
        <w:tc>
          <w:tcPr>
            <w:tcW w:w="1237" w:type="dxa"/>
            <w:vAlign w:val="center"/>
          </w:tcPr>
          <w:p w:rsidR="008572F7" w:rsidRDefault="00F759AF">
            <w:pPr>
              <w:jc w:val="right"/>
            </w:pPr>
            <w:r>
              <w:rPr>
                <w:color w:val="000000"/>
                <w:sz w:val="24"/>
                <w:szCs w:val="24"/>
              </w:rPr>
              <w:t>4.45</w:t>
            </w:r>
          </w:p>
        </w:tc>
      </w:tr>
      <w:tr w:rsidR="008572F7">
        <w:trPr>
          <w:jc w:val="center"/>
        </w:trPr>
        <w:tc>
          <w:tcPr>
            <w:tcW w:w="850" w:type="dxa"/>
            <w:vAlign w:val="center"/>
          </w:tcPr>
          <w:p w:rsidR="008572F7" w:rsidRDefault="00F759AF">
            <w:pPr>
              <w:jc w:val="center"/>
            </w:pPr>
            <w:r>
              <w:rPr>
                <w:color w:val="000000"/>
                <w:sz w:val="24"/>
                <w:szCs w:val="24"/>
              </w:rPr>
              <w:t>2</w:t>
            </w:r>
          </w:p>
        </w:tc>
        <w:tc>
          <w:tcPr>
            <w:tcW w:w="1475" w:type="dxa"/>
            <w:vAlign w:val="center"/>
          </w:tcPr>
          <w:p w:rsidR="008572F7" w:rsidRDefault="00F759AF">
            <w:pPr>
              <w:jc w:val="center"/>
            </w:pPr>
            <w:r>
              <w:rPr>
                <w:color w:val="000000"/>
                <w:sz w:val="24"/>
                <w:szCs w:val="24"/>
              </w:rPr>
              <w:t>113038</w:t>
            </w:r>
          </w:p>
        </w:tc>
        <w:tc>
          <w:tcPr>
            <w:tcW w:w="1769" w:type="dxa"/>
            <w:vAlign w:val="center"/>
          </w:tcPr>
          <w:p w:rsidR="008572F7" w:rsidRDefault="00F759AF">
            <w:pPr>
              <w:jc w:val="center"/>
            </w:pPr>
            <w:r>
              <w:rPr>
                <w:color w:val="000000"/>
                <w:sz w:val="24"/>
                <w:szCs w:val="24"/>
              </w:rPr>
              <w:t>隆</w:t>
            </w:r>
            <w:r>
              <w:rPr>
                <w:color w:val="000000"/>
                <w:sz w:val="24"/>
                <w:szCs w:val="24"/>
              </w:rPr>
              <w:t>20</w:t>
            </w:r>
            <w:r>
              <w:rPr>
                <w:color w:val="000000"/>
                <w:sz w:val="24"/>
                <w:szCs w:val="24"/>
              </w:rPr>
              <w:t>转债</w:t>
            </w:r>
          </w:p>
        </w:tc>
        <w:tc>
          <w:tcPr>
            <w:tcW w:w="1387" w:type="dxa"/>
            <w:vAlign w:val="center"/>
          </w:tcPr>
          <w:p w:rsidR="008572F7" w:rsidRDefault="00F759AF">
            <w:pPr>
              <w:jc w:val="right"/>
            </w:pPr>
            <w:r>
              <w:rPr>
                <w:color w:val="000000"/>
                <w:sz w:val="24"/>
                <w:szCs w:val="24"/>
              </w:rPr>
              <w:t>4,700</w:t>
            </w:r>
          </w:p>
        </w:tc>
        <w:tc>
          <w:tcPr>
            <w:tcW w:w="2150" w:type="dxa"/>
            <w:vAlign w:val="center"/>
          </w:tcPr>
          <w:p w:rsidR="008572F7" w:rsidRDefault="00F759AF">
            <w:pPr>
              <w:jc w:val="right"/>
            </w:pPr>
            <w:r>
              <w:rPr>
                <w:color w:val="000000"/>
                <w:sz w:val="24"/>
                <w:szCs w:val="24"/>
              </w:rPr>
              <w:t>828,563.00</w:t>
            </w:r>
          </w:p>
        </w:tc>
        <w:tc>
          <w:tcPr>
            <w:tcW w:w="1237" w:type="dxa"/>
            <w:vAlign w:val="center"/>
          </w:tcPr>
          <w:p w:rsidR="008572F7" w:rsidRDefault="00F759AF">
            <w:pPr>
              <w:jc w:val="right"/>
            </w:pPr>
            <w:r>
              <w:rPr>
                <w:color w:val="000000"/>
                <w:sz w:val="24"/>
                <w:szCs w:val="24"/>
              </w:rPr>
              <w:t>0.09</w:t>
            </w:r>
          </w:p>
        </w:tc>
      </w:tr>
      <w:tr w:rsidR="008572F7">
        <w:trPr>
          <w:jc w:val="center"/>
        </w:trPr>
        <w:tc>
          <w:tcPr>
            <w:tcW w:w="850" w:type="dxa"/>
            <w:vAlign w:val="center"/>
          </w:tcPr>
          <w:p w:rsidR="008572F7" w:rsidRDefault="00F759AF">
            <w:pPr>
              <w:jc w:val="center"/>
            </w:pPr>
            <w:r>
              <w:rPr>
                <w:color w:val="000000"/>
                <w:sz w:val="24"/>
                <w:szCs w:val="24"/>
              </w:rPr>
              <w:t>3</w:t>
            </w:r>
          </w:p>
        </w:tc>
        <w:tc>
          <w:tcPr>
            <w:tcW w:w="1475" w:type="dxa"/>
            <w:vAlign w:val="center"/>
          </w:tcPr>
          <w:p w:rsidR="008572F7" w:rsidRDefault="00F759AF">
            <w:pPr>
              <w:jc w:val="center"/>
            </w:pPr>
            <w:r>
              <w:rPr>
                <w:color w:val="000000"/>
                <w:sz w:val="24"/>
                <w:szCs w:val="24"/>
              </w:rPr>
              <w:t>128125</w:t>
            </w:r>
          </w:p>
        </w:tc>
        <w:tc>
          <w:tcPr>
            <w:tcW w:w="1769" w:type="dxa"/>
            <w:vAlign w:val="center"/>
          </w:tcPr>
          <w:p w:rsidR="008572F7" w:rsidRDefault="00F759AF">
            <w:pPr>
              <w:jc w:val="center"/>
            </w:pPr>
            <w:r>
              <w:rPr>
                <w:color w:val="000000"/>
                <w:sz w:val="24"/>
                <w:szCs w:val="24"/>
              </w:rPr>
              <w:t>华阳转债</w:t>
            </w:r>
          </w:p>
        </w:tc>
        <w:tc>
          <w:tcPr>
            <w:tcW w:w="1387" w:type="dxa"/>
            <w:vAlign w:val="center"/>
          </w:tcPr>
          <w:p w:rsidR="008572F7" w:rsidRDefault="00F759AF">
            <w:pPr>
              <w:jc w:val="right"/>
            </w:pPr>
            <w:r>
              <w:rPr>
                <w:color w:val="000000"/>
                <w:sz w:val="24"/>
                <w:szCs w:val="24"/>
              </w:rPr>
              <w:t>6,274</w:t>
            </w:r>
          </w:p>
        </w:tc>
        <w:tc>
          <w:tcPr>
            <w:tcW w:w="2150" w:type="dxa"/>
            <w:vAlign w:val="center"/>
          </w:tcPr>
          <w:p w:rsidR="008572F7" w:rsidRDefault="00F759AF">
            <w:pPr>
              <w:jc w:val="right"/>
            </w:pPr>
            <w:r>
              <w:rPr>
                <w:color w:val="000000"/>
                <w:sz w:val="24"/>
                <w:szCs w:val="24"/>
              </w:rPr>
              <w:t>650,802.02</w:t>
            </w:r>
          </w:p>
        </w:tc>
        <w:tc>
          <w:tcPr>
            <w:tcW w:w="1237" w:type="dxa"/>
            <w:vAlign w:val="center"/>
          </w:tcPr>
          <w:p w:rsidR="008572F7" w:rsidRDefault="00F759AF">
            <w:pPr>
              <w:jc w:val="right"/>
            </w:pPr>
            <w:r>
              <w:rPr>
                <w:color w:val="000000"/>
                <w:sz w:val="24"/>
                <w:szCs w:val="24"/>
              </w:rPr>
              <w:t>0.07</w:t>
            </w:r>
          </w:p>
        </w:tc>
      </w:tr>
      <w:tr w:rsidR="008572F7">
        <w:trPr>
          <w:jc w:val="center"/>
        </w:trPr>
        <w:tc>
          <w:tcPr>
            <w:tcW w:w="850" w:type="dxa"/>
            <w:vAlign w:val="center"/>
          </w:tcPr>
          <w:p w:rsidR="008572F7" w:rsidRDefault="00F759AF">
            <w:pPr>
              <w:jc w:val="center"/>
            </w:pPr>
            <w:r>
              <w:rPr>
                <w:color w:val="000000"/>
                <w:sz w:val="24"/>
                <w:szCs w:val="24"/>
              </w:rPr>
              <w:t>4</w:t>
            </w:r>
          </w:p>
        </w:tc>
        <w:tc>
          <w:tcPr>
            <w:tcW w:w="1475" w:type="dxa"/>
            <w:vAlign w:val="center"/>
          </w:tcPr>
          <w:p w:rsidR="008572F7" w:rsidRDefault="00F759AF">
            <w:pPr>
              <w:jc w:val="center"/>
            </w:pPr>
            <w:r>
              <w:rPr>
                <w:color w:val="000000"/>
                <w:sz w:val="24"/>
                <w:szCs w:val="24"/>
              </w:rPr>
              <w:t>128136</w:t>
            </w:r>
          </w:p>
        </w:tc>
        <w:tc>
          <w:tcPr>
            <w:tcW w:w="1769" w:type="dxa"/>
            <w:vAlign w:val="center"/>
          </w:tcPr>
          <w:p w:rsidR="008572F7" w:rsidRDefault="00F759AF">
            <w:pPr>
              <w:jc w:val="center"/>
            </w:pPr>
            <w:proofErr w:type="gramStart"/>
            <w:r>
              <w:rPr>
                <w:color w:val="000000"/>
                <w:sz w:val="24"/>
                <w:szCs w:val="24"/>
              </w:rPr>
              <w:t>立讯转债</w:t>
            </w:r>
            <w:proofErr w:type="gramEnd"/>
          </w:p>
        </w:tc>
        <w:tc>
          <w:tcPr>
            <w:tcW w:w="1387" w:type="dxa"/>
            <w:vAlign w:val="center"/>
          </w:tcPr>
          <w:p w:rsidR="008572F7" w:rsidRDefault="00F759AF">
            <w:pPr>
              <w:jc w:val="right"/>
            </w:pPr>
            <w:r>
              <w:rPr>
                <w:color w:val="000000"/>
                <w:sz w:val="24"/>
                <w:szCs w:val="24"/>
              </w:rPr>
              <w:t>2,605</w:t>
            </w:r>
          </w:p>
        </w:tc>
        <w:tc>
          <w:tcPr>
            <w:tcW w:w="2150" w:type="dxa"/>
            <w:vAlign w:val="center"/>
          </w:tcPr>
          <w:p w:rsidR="008572F7" w:rsidRDefault="00F759AF">
            <w:pPr>
              <w:jc w:val="right"/>
            </w:pPr>
            <w:r>
              <w:rPr>
                <w:color w:val="000000"/>
                <w:sz w:val="24"/>
                <w:szCs w:val="24"/>
              </w:rPr>
              <w:t>331,303.90</w:t>
            </w:r>
          </w:p>
        </w:tc>
        <w:tc>
          <w:tcPr>
            <w:tcW w:w="1237" w:type="dxa"/>
            <w:vAlign w:val="center"/>
          </w:tcPr>
          <w:p w:rsidR="008572F7" w:rsidRDefault="00F759AF">
            <w:pPr>
              <w:jc w:val="right"/>
            </w:pPr>
            <w:r>
              <w:rPr>
                <w:color w:val="000000"/>
                <w:sz w:val="24"/>
                <w:szCs w:val="24"/>
              </w:rPr>
              <w:t>0.04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本基金本报告期末未持有资产支持证券。</w:t>
      </w:r>
    </w:p>
    <w:p w:rsidR="00F945CB" w:rsidRDefault="00F945CB"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538,615.76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453,551.82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1,769,561.85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2,761,729.43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F945CB" w:rsidRDefault="00F945CB" w:rsidP="00C15CAC">
      <w:pPr>
        <w:autoSpaceDE w:val="0"/>
        <w:autoSpaceDN w:val="0"/>
        <w:adjustRightInd w:val="0"/>
        <w:spacing w:before="29" w:line="288" w:lineRule="auto"/>
        <w:jc w:val="left"/>
        <w:rPr>
          <w:b/>
          <w:bCs/>
          <w:color w:val="000000"/>
          <w:kern w:val="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lastRenderedPageBreak/>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w:t>
      </w:r>
      <w:proofErr w:type="gramStart"/>
      <w:r w:rsidR="004061AC" w:rsidRPr="006B0D08">
        <w:rPr>
          <w:b/>
          <w:bCs/>
          <w:color w:val="000000"/>
          <w:kern w:val="0"/>
          <w:sz w:val="24"/>
          <w:szCs w:val="24"/>
        </w:rPr>
        <w:t>期末前</w:t>
      </w:r>
      <w:proofErr w:type="gramEnd"/>
      <w:r w:rsidR="004061AC" w:rsidRPr="006B0D08">
        <w:rPr>
          <w:b/>
          <w:bCs/>
          <w:color w:val="000000"/>
          <w:kern w:val="0"/>
          <w:sz w:val="24"/>
          <w:szCs w:val="24"/>
        </w:rPr>
        <w:t>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8572F7">
        <w:trPr>
          <w:jc w:val="center"/>
        </w:trPr>
        <w:tc>
          <w:tcPr>
            <w:tcW w:w="1129" w:type="dxa"/>
            <w:vAlign w:val="center"/>
          </w:tcPr>
          <w:p w:rsidR="008572F7" w:rsidRDefault="00F759AF">
            <w:pPr>
              <w:jc w:val="center"/>
            </w:pPr>
            <w:r>
              <w:rPr>
                <w:color w:val="000000"/>
                <w:sz w:val="24"/>
                <w:szCs w:val="24"/>
              </w:rPr>
              <w:t>1</w:t>
            </w:r>
          </w:p>
        </w:tc>
        <w:tc>
          <w:tcPr>
            <w:tcW w:w="1356" w:type="dxa"/>
            <w:vAlign w:val="center"/>
          </w:tcPr>
          <w:p w:rsidR="008572F7" w:rsidRDefault="00F759AF">
            <w:pPr>
              <w:jc w:val="center"/>
            </w:pPr>
            <w:r>
              <w:rPr>
                <w:color w:val="000000"/>
                <w:sz w:val="24"/>
                <w:szCs w:val="24"/>
              </w:rPr>
              <w:t>002352</w:t>
            </w:r>
          </w:p>
        </w:tc>
        <w:tc>
          <w:tcPr>
            <w:tcW w:w="1355" w:type="dxa"/>
            <w:vAlign w:val="center"/>
          </w:tcPr>
          <w:p w:rsidR="008572F7" w:rsidRDefault="00F759AF">
            <w:pPr>
              <w:jc w:val="center"/>
            </w:pPr>
            <w:r>
              <w:rPr>
                <w:color w:val="000000"/>
                <w:sz w:val="24"/>
                <w:szCs w:val="24"/>
              </w:rPr>
              <w:t>顺丰控股</w:t>
            </w:r>
          </w:p>
        </w:tc>
        <w:tc>
          <w:tcPr>
            <w:tcW w:w="1880" w:type="dxa"/>
            <w:vAlign w:val="center"/>
          </w:tcPr>
          <w:p w:rsidR="008572F7" w:rsidRDefault="00F759AF">
            <w:pPr>
              <w:jc w:val="right"/>
            </w:pPr>
            <w:r>
              <w:rPr>
                <w:color w:val="000000"/>
                <w:sz w:val="24"/>
                <w:szCs w:val="24"/>
              </w:rPr>
              <w:t>11,298,300.00</w:t>
            </w:r>
          </w:p>
        </w:tc>
        <w:tc>
          <w:tcPr>
            <w:tcW w:w="1724" w:type="dxa"/>
            <w:vAlign w:val="center"/>
          </w:tcPr>
          <w:p w:rsidR="008572F7" w:rsidRDefault="00F759AF">
            <w:pPr>
              <w:jc w:val="right"/>
            </w:pPr>
            <w:r>
              <w:rPr>
                <w:color w:val="000000"/>
                <w:sz w:val="24"/>
                <w:szCs w:val="24"/>
              </w:rPr>
              <w:t>1.26</w:t>
            </w:r>
          </w:p>
        </w:tc>
        <w:tc>
          <w:tcPr>
            <w:tcW w:w="1424" w:type="dxa"/>
            <w:vAlign w:val="center"/>
          </w:tcPr>
          <w:p w:rsidR="008572F7" w:rsidRDefault="00F759AF">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339,433,415.20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84,212,764.20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66,660,782.98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356,985,396.42</w:t>
            </w:r>
          </w:p>
        </w:tc>
      </w:tr>
    </w:tbl>
    <w:p w:rsidR="008572F7" w:rsidRDefault="00F759AF">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F945CB" w:rsidRDefault="003C50AD" w:rsidP="003C50AD">
      <w:pPr>
        <w:spacing w:line="360" w:lineRule="auto"/>
        <w:ind w:firstLineChars="200" w:firstLine="480"/>
        <w:rPr>
          <w:rFonts w:ascii="宋体" w:hAnsi="宋体"/>
          <w:color w:val="000000"/>
          <w:sz w:val="24"/>
          <w:szCs w:val="24"/>
        </w:rPr>
      </w:pPr>
      <w:r w:rsidRPr="00F945CB">
        <w:rPr>
          <w:rFonts w:ascii="宋体" w:hAnsi="宋体"/>
          <w:color w:val="000000"/>
          <w:sz w:val="24"/>
          <w:szCs w:val="24"/>
        </w:rPr>
        <w:lastRenderedPageBreak/>
        <w:t>根据《中华人民共和国证券投资基金法》、《公开募集证券投资基金运作管理办法》、《存托凭证发行与交易管理办法（试行）》等法律法规及本</w:t>
      </w:r>
      <w:proofErr w:type="gramStart"/>
      <w:r w:rsidRPr="00F945CB">
        <w:rPr>
          <w:rFonts w:ascii="宋体" w:hAnsi="宋体"/>
          <w:color w:val="000000"/>
          <w:sz w:val="24"/>
          <w:szCs w:val="24"/>
        </w:rPr>
        <w:t>基金基金</w:t>
      </w:r>
      <w:proofErr w:type="gramEnd"/>
      <w:r w:rsidRPr="00F945CB">
        <w:rPr>
          <w:rFonts w:ascii="宋体" w:hAnsi="宋体"/>
          <w:color w:val="000000"/>
          <w:sz w:val="24"/>
          <w:szCs w:val="24"/>
        </w:rPr>
        <w:t>合同、招募说明书及其更新等规定，经与基金托管人协商一致，本</w:t>
      </w:r>
      <w:bookmarkStart w:id="0" w:name="_GoBack"/>
      <w:bookmarkEnd w:id="0"/>
      <w:r w:rsidRPr="00F945CB">
        <w:rPr>
          <w:rFonts w:ascii="宋体" w:hAnsi="宋体"/>
          <w:color w:val="000000"/>
          <w:sz w:val="24"/>
          <w:szCs w:val="24"/>
        </w:rPr>
        <w:t>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572F7" w:rsidRDefault="00F759AF">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8572F7" w:rsidRDefault="00F759AF">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8572F7" w:rsidRDefault="00F759AF">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8572F7" w:rsidRDefault="00F759AF">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8572F7" w:rsidRDefault="00F759AF">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8572F7" w:rsidRDefault="00F759AF">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8572F7" w:rsidRDefault="00F759AF">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572F7" w:rsidRDefault="00F759AF">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59AF" w:rsidRDefault="00F759AF" w:rsidP="00876D65">
      <w:r>
        <w:separator/>
      </w:r>
    </w:p>
  </w:endnote>
  <w:endnote w:type="continuationSeparator" w:id="0">
    <w:p w:rsidR="00F759AF" w:rsidRDefault="00F759A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59AF" w:rsidRDefault="00F759AF" w:rsidP="00876D65">
      <w:r>
        <w:separator/>
      </w:r>
    </w:p>
  </w:footnote>
  <w:footnote w:type="continuationSeparator" w:id="0">
    <w:p w:rsidR="00F759AF" w:rsidRDefault="00F759AF"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1EF0" w:rsidRPr="00DC456F" w:rsidRDefault="00DC456F" w:rsidP="00090A26">
    <w:pPr>
      <w:pStyle w:val="ac"/>
      <w:pBdr>
        <w:bottom w:val="single" w:sz="6" w:space="0" w:color="auto"/>
      </w:pBdr>
      <w:jc w:val="right"/>
      <w:rPr>
        <w:sz w:val="24"/>
        <w:szCs w:val="24"/>
      </w:rPr>
    </w:pPr>
    <w:r w:rsidRPr="003E676C">
      <w:rPr>
        <w:sz w:val="24"/>
        <w:szCs w:val="24"/>
      </w:rPr>
      <w:t>交银施罗德先锋混合型证券投资基金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572F7"/>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759AF"/>
    <w:rsid w:val="00F80AC3"/>
    <w:rsid w:val="00F81917"/>
    <w:rsid w:val="00F83B17"/>
    <w:rsid w:val="00F87EDA"/>
    <w:rsid w:val="00F945CB"/>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7DB60"/>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59D0B8-6974-49E2-9691-DE993DA6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12</Pages>
  <Words>1132</Words>
  <Characters>6459</Characters>
  <Application>Microsoft Office Word</Application>
  <DocSecurity>0</DocSecurity>
  <Lines>53</Lines>
  <Paragraphs>15</Paragraphs>
  <ScaleCrop>false</ScaleCrop>
  <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601</cp:revision>
  <dcterms:created xsi:type="dcterms:W3CDTF">2012-10-16T06:07:00Z</dcterms:created>
  <dcterms:modified xsi:type="dcterms:W3CDTF">2021-01-18T10:07:00Z</dcterms:modified>
</cp:coreProperties>
</file>