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交银施罗德裕盈纯债债券型证券投资基金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2020年第4季度报告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2020年12月31日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兴业银行股份有限公司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二〇二一年一月二十一日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基金托管人兴业银行股份有限公司根据本基金合同规定，于2021年1月20日复核了本报告中的财务指标、净值表现和投资组合报告等内容，保证复核内容不存在虚假记载、误导性陈述或者重大遗漏。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本报告期自2020年10月1日起至12月31日止。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交银裕盈纯债债券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519776</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2016年11月4日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508,779,908.52</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本基金在严格控制风险和保持资产流动性的基础上，通过积极主动的投资管理，追求基金资产的长期稳健增值，力争实现超越业绩比较基准的投资回报。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动态调整大类金融资产比例，自上而下决定债券组合久期、期限结构、债券类别配置策略，在严谨深入的分析基础上，综合考虑不同债券品种的收益率水平、供求关系、信用风险的大小和流动性的好坏等影响因素，深入挖掘价值被低估的标的券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兴业银行股份有限公司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交银裕盈纯债债券A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交银裕盈纯债债券C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519776</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519777</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508,410,715.03</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369,193.49</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(2020年10月1日-2020年12月31日)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交银裕盈纯债债券A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交银裕盈纯债债券C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5,797,890.70</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4,191.99</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6,571,249.99</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4,682.92</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0.0129</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0.0120</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565,376,698.03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428,928.05</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1.1120</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1.1618</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注：1、上述基金业绩指标不包括持有人认购或交易基金的各项费用，计入费用后的实际收益水平要低于所列数字； </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交银裕盈纯债债券A</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1.16%</w:t>
            </w:r>
          </w:p>
        </w:tc>
        <w:tc>
          <w:tcPr>
            <w:vAlign w:val="center"/>
          </w:tcPr>
          <w:p>
            <w:pPr>
              <w:jc w:val="center"/>
            </w:pPr>
            <w:r>
              <w:rPr>
                <w:color w:val="000000"/>
                <w:sz w:val="24"/>
              </w:rPr>
              <w:t>0.03%</w:t>
            </w:r>
          </w:p>
        </w:tc>
        <w:tc>
          <w:tcPr>
            <w:vAlign w:val="center"/>
          </w:tcPr>
          <w:p>
            <w:pPr>
              <w:jc w:val="center"/>
            </w:pPr>
            <w:r>
              <w:rPr>
                <w:color w:val="000000"/>
                <w:sz w:val="24"/>
              </w:rPr>
              <w:t>0.64%</w:t>
            </w:r>
          </w:p>
        </w:tc>
        <w:tc>
          <w:tcPr>
            <w:vAlign w:val="center"/>
          </w:tcPr>
          <w:p>
            <w:pPr>
              <w:jc w:val="center"/>
            </w:pPr>
            <w:r>
              <w:rPr>
                <w:color w:val="000000"/>
                <w:sz w:val="24"/>
              </w:rPr>
              <w:t>0.04%</w:t>
            </w:r>
          </w:p>
        </w:tc>
        <w:tc>
          <w:tcPr>
            <w:vAlign w:val="center"/>
          </w:tcPr>
          <w:p>
            <w:pPr>
              <w:jc w:val="center"/>
            </w:pPr>
            <w:r>
              <w:rPr>
                <w:color w:val="000000"/>
                <w:sz w:val="24"/>
              </w:rPr>
              <w:t>0.52%</w:t>
            </w:r>
          </w:p>
        </w:tc>
        <w:tc>
          <w:tcPr>
            <w:vAlign w:val="center"/>
          </w:tcPr>
          <w:p>
            <w:pPr>
              <w:jc w:val="center"/>
            </w:pPr>
            <w:r>
              <w:rPr>
                <w:color w:val="000000"/>
                <w:sz w:val="24"/>
              </w:rPr>
              <w:t>-0.01%</w:t>
            </w:r>
          </w:p>
        </w:tc>
      </w:tr>
      <w:tr>
        <w:tc>
          <w:tcPr>
            <w:vAlign w:val="center"/>
          </w:tcPr>
          <w:p>
            <w:pPr>
              <w:jc w:val="left"/>
            </w:pPr>
            <w:r>
              <w:rPr>
                <w:color w:val="000000"/>
                <w:sz w:val="24"/>
              </w:rPr>
              <w:t>过去六个月</w:t>
            </w:r>
          </w:p>
        </w:tc>
        <w:tc>
          <w:tcPr>
            <w:vAlign w:val="center"/>
          </w:tcPr>
          <w:p>
            <w:pPr>
              <w:jc w:val="center"/>
            </w:pPr>
            <w:r>
              <w:rPr>
                <w:color w:val="000000"/>
                <w:sz w:val="24"/>
              </w:rPr>
              <w:t>0.82%</w:t>
            </w:r>
          </w:p>
        </w:tc>
        <w:tc>
          <w:tcPr>
            <w:vAlign w:val="center"/>
          </w:tcPr>
          <w:p>
            <w:pPr>
              <w:jc w:val="center"/>
            </w:pPr>
            <w:r>
              <w:rPr>
                <w:color w:val="000000"/>
                <w:sz w:val="24"/>
              </w:rPr>
              <w:t>0.05%</w:t>
            </w:r>
          </w:p>
        </w:tc>
        <w:tc>
          <w:tcPr>
            <w:vAlign w:val="center"/>
          </w:tcPr>
          <w:p>
            <w:pPr>
              <w:jc w:val="center"/>
            </w:pPr>
            <w:r>
              <w:rPr>
                <w:color w:val="000000"/>
                <w:sz w:val="24"/>
              </w:rPr>
              <w:t>-0.85%</w:t>
            </w:r>
          </w:p>
        </w:tc>
        <w:tc>
          <w:tcPr>
            <w:vAlign w:val="center"/>
          </w:tcPr>
          <w:p>
            <w:pPr>
              <w:jc w:val="center"/>
            </w:pPr>
            <w:r>
              <w:rPr>
                <w:color w:val="000000"/>
                <w:sz w:val="24"/>
              </w:rPr>
              <w:t>0.07%</w:t>
            </w:r>
          </w:p>
        </w:tc>
        <w:tc>
          <w:tcPr>
            <w:vAlign w:val="center"/>
          </w:tcPr>
          <w:p>
            <w:pPr>
              <w:jc w:val="center"/>
            </w:pPr>
            <w:r>
              <w:rPr>
                <w:color w:val="000000"/>
                <w:sz w:val="24"/>
              </w:rPr>
              <w:t>1.67%</w:t>
            </w:r>
          </w:p>
        </w:tc>
        <w:tc>
          <w:tcPr>
            <w:vAlign w:val="center"/>
          </w:tcPr>
          <w:p>
            <w:pPr>
              <w:jc w:val="center"/>
            </w:pPr>
            <w:r>
              <w:rPr>
                <w:color w:val="000000"/>
                <w:sz w:val="24"/>
              </w:rPr>
              <w:t>-0.02%</w:t>
            </w:r>
          </w:p>
        </w:tc>
      </w:tr>
      <w:tr>
        <w:tc>
          <w:tcPr>
            <w:vAlign w:val="center"/>
          </w:tcPr>
          <w:p>
            <w:pPr>
              <w:jc w:val="left"/>
            </w:pPr>
            <w:r>
              <w:rPr>
                <w:color w:val="000000"/>
                <w:sz w:val="24"/>
              </w:rPr>
              <w:t>过去一年</w:t>
            </w:r>
          </w:p>
        </w:tc>
        <w:tc>
          <w:tcPr>
            <w:vAlign w:val="center"/>
          </w:tcPr>
          <w:p>
            <w:pPr>
              <w:jc w:val="center"/>
            </w:pPr>
            <w:r>
              <w:rPr>
                <w:color w:val="000000"/>
                <w:sz w:val="24"/>
              </w:rPr>
              <w:t>2.61%</w:t>
            </w:r>
          </w:p>
        </w:tc>
        <w:tc>
          <w:tcPr>
            <w:vAlign w:val="center"/>
          </w:tcPr>
          <w:p>
            <w:pPr>
              <w:jc w:val="center"/>
            </w:pPr>
            <w:r>
              <w:rPr>
                <w:color w:val="000000"/>
                <w:sz w:val="24"/>
              </w:rPr>
              <w:t>0.09%</w:t>
            </w:r>
          </w:p>
        </w:tc>
        <w:tc>
          <w:tcPr>
            <w:vAlign w:val="center"/>
          </w:tcPr>
          <w:p>
            <w:pPr>
              <w:jc w:val="center"/>
            </w:pPr>
            <w:r>
              <w:rPr>
                <w:color w:val="000000"/>
                <w:sz w:val="24"/>
              </w:rPr>
              <w:t>-0.07%</w:t>
            </w:r>
          </w:p>
        </w:tc>
        <w:tc>
          <w:tcPr>
            <w:vAlign w:val="center"/>
          </w:tcPr>
          <w:p>
            <w:pPr>
              <w:jc w:val="center"/>
            </w:pPr>
            <w:r>
              <w:rPr>
                <w:color w:val="000000"/>
                <w:sz w:val="24"/>
              </w:rPr>
              <w:t>0.09%</w:t>
            </w:r>
          </w:p>
        </w:tc>
        <w:tc>
          <w:tcPr>
            <w:vAlign w:val="center"/>
          </w:tcPr>
          <w:p>
            <w:pPr>
              <w:jc w:val="center"/>
            </w:pPr>
            <w:r>
              <w:rPr>
                <w:color w:val="000000"/>
                <w:sz w:val="24"/>
              </w:rPr>
              <w:t>2.68%</w:t>
            </w:r>
          </w:p>
        </w:tc>
        <w:tc>
          <w:tcPr>
            <w:vAlign w:val="center"/>
          </w:tcPr>
          <w:p>
            <w:pPr>
              <w:jc w:val="center"/>
            </w:pPr>
            <w:r>
              <w:rPr>
                <w:color w:val="000000"/>
                <w:sz w:val="24"/>
              </w:rPr>
              <w:t>0.00%</w:t>
            </w:r>
          </w:p>
        </w:tc>
      </w:tr>
      <w:tr>
        <w:tc>
          <w:tcPr>
            <w:vAlign w:val="center"/>
          </w:tcPr>
          <w:p>
            <w:pPr>
              <w:jc w:val="left"/>
            </w:pPr>
            <w:r>
              <w:rPr>
                <w:color w:val="000000"/>
                <w:sz w:val="24"/>
              </w:rPr>
              <w:t>过去三年</w:t>
            </w:r>
          </w:p>
        </w:tc>
        <w:tc>
          <w:tcPr>
            <w:vAlign w:val="center"/>
          </w:tcPr>
          <w:p>
            <w:pPr>
              <w:jc w:val="center"/>
            </w:pPr>
            <w:r>
              <w:rPr>
                <w:color w:val="000000"/>
                <w:sz w:val="24"/>
              </w:rPr>
              <w:t>14.12%</w:t>
            </w:r>
          </w:p>
        </w:tc>
        <w:tc>
          <w:tcPr>
            <w:vAlign w:val="center"/>
          </w:tcPr>
          <w:p>
            <w:pPr>
              <w:jc w:val="center"/>
            </w:pPr>
            <w:r>
              <w:rPr>
                <w:color w:val="000000"/>
                <w:sz w:val="24"/>
              </w:rPr>
              <w:t>0.07%</w:t>
            </w:r>
          </w:p>
        </w:tc>
        <w:tc>
          <w:tcPr>
            <w:vAlign w:val="center"/>
          </w:tcPr>
          <w:p>
            <w:pPr>
              <w:jc w:val="center"/>
            </w:pPr>
            <w:r>
              <w:rPr>
                <w:color w:val="000000"/>
                <w:sz w:val="24"/>
              </w:rPr>
              <w:t>6.09%</w:t>
            </w:r>
          </w:p>
        </w:tc>
        <w:tc>
          <w:tcPr>
            <w:vAlign w:val="center"/>
          </w:tcPr>
          <w:p>
            <w:pPr>
              <w:jc w:val="center"/>
            </w:pPr>
            <w:r>
              <w:rPr>
                <w:color w:val="000000"/>
                <w:sz w:val="24"/>
              </w:rPr>
              <w:t>0.07%</w:t>
            </w:r>
          </w:p>
        </w:tc>
        <w:tc>
          <w:tcPr>
            <w:vAlign w:val="center"/>
          </w:tcPr>
          <w:p>
            <w:pPr>
              <w:jc w:val="center"/>
            </w:pPr>
            <w:r>
              <w:rPr>
                <w:color w:val="000000"/>
                <w:sz w:val="24"/>
              </w:rPr>
              <w:t>8.03%</w:t>
            </w:r>
          </w:p>
        </w:tc>
        <w:tc>
          <w:tcPr>
            <w:vAlign w:val="center"/>
          </w:tcPr>
          <w:p>
            <w:pPr>
              <w:jc w:val="center"/>
            </w:pPr>
            <w:r>
              <w:rPr>
                <w:color w:val="000000"/>
                <w:sz w:val="24"/>
              </w:rPr>
              <w:t>0.00%</w:t>
            </w:r>
          </w:p>
        </w:tc>
      </w:tr>
      <w:tr>
        <w:tc>
          <w:tcPr>
            <w:vAlign w:val="center"/>
          </w:tcPr>
          <w:p>
            <w:pPr>
              <w:jc w:val="left"/>
            </w:pPr>
            <w:r>
              <w:rPr>
                <w:color w:val="000000"/>
                <w:sz w:val="24"/>
              </w:rPr>
              <w:t>自基金合同生效起至今</w:t>
            </w:r>
          </w:p>
        </w:tc>
        <w:tc>
          <w:tcPr>
            <w:vAlign w:val="center"/>
          </w:tcPr>
          <w:p>
            <w:pPr>
              <w:jc w:val="center"/>
            </w:pPr>
            <w:r>
              <w:rPr>
                <w:color w:val="000000"/>
                <w:sz w:val="24"/>
              </w:rPr>
              <w:t>16.52%</w:t>
            </w:r>
          </w:p>
        </w:tc>
        <w:tc>
          <w:tcPr>
            <w:vAlign w:val="center"/>
          </w:tcPr>
          <w:p>
            <w:pPr>
              <w:jc w:val="center"/>
            </w:pPr>
            <w:r>
              <w:rPr>
                <w:color w:val="000000"/>
                <w:sz w:val="24"/>
              </w:rPr>
              <w:t>0.07%</w:t>
            </w:r>
          </w:p>
        </w:tc>
        <w:tc>
          <w:tcPr>
            <w:vAlign w:val="center"/>
          </w:tcPr>
          <w:p>
            <w:pPr>
              <w:jc w:val="center"/>
            </w:pPr>
            <w:r>
              <w:rPr>
                <w:color w:val="000000"/>
                <w:sz w:val="24"/>
              </w:rPr>
              <w:t>-0.01%</w:t>
            </w:r>
          </w:p>
        </w:tc>
        <w:tc>
          <w:tcPr>
            <w:vAlign w:val="center"/>
          </w:tcPr>
          <w:p>
            <w:pPr>
              <w:jc w:val="center"/>
            </w:pPr>
            <w:r>
              <w:rPr>
                <w:color w:val="000000"/>
                <w:sz w:val="24"/>
              </w:rPr>
              <w:t>0.08%</w:t>
            </w:r>
          </w:p>
        </w:tc>
        <w:tc>
          <w:tcPr>
            <w:vAlign w:val="center"/>
          </w:tcPr>
          <w:p>
            <w:pPr>
              <w:jc w:val="center"/>
            </w:pPr>
            <w:r>
              <w:rPr>
                <w:color w:val="000000"/>
                <w:sz w:val="24"/>
              </w:rPr>
              <w:t>16.53%</w:t>
            </w:r>
          </w:p>
        </w:tc>
        <w:tc>
          <w:tcPr>
            <w:vAlign w:val="center"/>
          </w:tcPr>
          <w:p>
            <w:pPr>
              <w:jc w:val="center"/>
            </w:pPr>
            <w:r>
              <w:rPr>
                <w:color w:val="000000"/>
                <w:sz w:val="24"/>
              </w:rPr>
              <w:t>-0.01%</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交银裕盈纯债债券C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1.07%</w:t>
            </w:r>
          </w:p>
        </w:tc>
        <w:tc>
          <w:tcPr>
            <w:vAlign w:val="center"/>
          </w:tcPr>
          <w:p>
            <w:pPr>
              <w:jc w:val="center"/>
            </w:pPr>
            <w:r>
              <w:rPr>
                <w:color w:val="000000"/>
                <w:sz w:val="24"/>
              </w:rPr>
              <w:t>0.03%</w:t>
            </w:r>
          </w:p>
        </w:tc>
        <w:tc>
          <w:tcPr>
            <w:vAlign w:val="center"/>
          </w:tcPr>
          <w:p>
            <w:pPr>
              <w:jc w:val="center"/>
            </w:pPr>
            <w:r>
              <w:rPr>
                <w:color w:val="000000"/>
                <w:sz w:val="24"/>
              </w:rPr>
              <w:t>0.64%</w:t>
            </w:r>
          </w:p>
        </w:tc>
        <w:tc>
          <w:tcPr>
            <w:vAlign w:val="center"/>
          </w:tcPr>
          <w:p>
            <w:pPr>
              <w:jc w:val="center"/>
            </w:pPr>
            <w:r>
              <w:rPr>
                <w:color w:val="000000"/>
                <w:sz w:val="24"/>
              </w:rPr>
              <w:t>0.04%</w:t>
            </w:r>
          </w:p>
        </w:tc>
        <w:tc>
          <w:tcPr>
            <w:vAlign w:val="center"/>
          </w:tcPr>
          <w:p>
            <w:pPr>
              <w:jc w:val="center"/>
            </w:pPr>
            <w:r>
              <w:rPr>
                <w:color w:val="000000"/>
                <w:sz w:val="24"/>
              </w:rPr>
              <w:t>0.43%</w:t>
            </w:r>
          </w:p>
        </w:tc>
        <w:tc>
          <w:tcPr>
            <w:vAlign w:val="center"/>
          </w:tcPr>
          <w:p>
            <w:pPr>
              <w:jc w:val="center"/>
            </w:pPr>
            <w:r>
              <w:rPr>
                <w:color w:val="000000"/>
                <w:sz w:val="24"/>
              </w:rPr>
              <w:t>-0.01%</w:t>
            </w:r>
          </w:p>
        </w:tc>
      </w:tr>
      <w:tr>
        <w:tc>
          <w:tcPr>
            <w:vAlign w:val="center"/>
          </w:tcPr>
          <w:p>
            <w:pPr>
              <w:jc w:val="left"/>
            </w:pPr>
            <w:r>
              <w:rPr>
                <w:color w:val="000000"/>
                <w:sz w:val="24"/>
              </w:rPr>
              <w:t>过去六个月</w:t>
            </w:r>
          </w:p>
        </w:tc>
        <w:tc>
          <w:tcPr>
            <w:vAlign w:val="center"/>
          </w:tcPr>
          <w:p>
            <w:pPr>
              <w:jc w:val="center"/>
            </w:pPr>
            <w:r>
              <w:rPr>
                <w:color w:val="000000"/>
                <w:sz w:val="24"/>
              </w:rPr>
              <w:t>0.61%</w:t>
            </w:r>
          </w:p>
        </w:tc>
        <w:tc>
          <w:tcPr>
            <w:vAlign w:val="center"/>
          </w:tcPr>
          <w:p>
            <w:pPr>
              <w:jc w:val="center"/>
            </w:pPr>
            <w:r>
              <w:rPr>
                <w:color w:val="000000"/>
                <w:sz w:val="24"/>
              </w:rPr>
              <w:t>0.05%</w:t>
            </w:r>
          </w:p>
        </w:tc>
        <w:tc>
          <w:tcPr>
            <w:vAlign w:val="center"/>
          </w:tcPr>
          <w:p>
            <w:pPr>
              <w:jc w:val="center"/>
            </w:pPr>
            <w:r>
              <w:rPr>
                <w:color w:val="000000"/>
                <w:sz w:val="24"/>
              </w:rPr>
              <w:t>-0.85%</w:t>
            </w:r>
          </w:p>
        </w:tc>
        <w:tc>
          <w:tcPr>
            <w:vAlign w:val="center"/>
          </w:tcPr>
          <w:p>
            <w:pPr>
              <w:jc w:val="center"/>
            </w:pPr>
            <w:r>
              <w:rPr>
                <w:color w:val="000000"/>
                <w:sz w:val="24"/>
              </w:rPr>
              <w:t>0.07%</w:t>
            </w:r>
          </w:p>
        </w:tc>
        <w:tc>
          <w:tcPr>
            <w:vAlign w:val="center"/>
          </w:tcPr>
          <w:p>
            <w:pPr>
              <w:jc w:val="center"/>
            </w:pPr>
            <w:r>
              <w:rPr>
                <w:color w:val="000000"/>
                <w:sz w:val="24"/>
              </w:rPr>
              <w:t>1.46%</w:t>
            </w:r>
          </w:p>
        </w:tc>
        <w:tc>
          <w:tcPr>
            <w:vAlign w:val="center"/>
          </w:tcPr>
          <w:p>
            <w:pPr>
              <w:jc w:val="center"/>
            </w:pPr>
            <w:r>
              <w:rPr>
                <w:color w:val="000000"/>
                <w:sz w:val="24"/>
              </w:rPr>
              <w:t>-0.02%</w:t>
            </w:r>
          </w:p>
        </w:tc>
      </w:tr>
      <w:tr>
        <w:tc>
          <w:tcPr>
            <w:vAlign w:val="center"/>
          </w:tcPr>
          <w:p>
            <w:pPr>
              <w:jc w:val="left"/>
            </w:pPr>
            <w:r>
              <w:rPr>
                <w:color w:val="000000"/>
                <w:sz w:val="24"/>
              </w:rPr>
              <w:t>过去一年</w:t>
            </w:r>
          </w:p>
        </w:tc>
        <w:tc>
          <w:tcPr>
            <w:vAlign w:val="center"/>
          </w:tcPr>
          <w:p>
            <w:pPr>
              <w:jc w:val="center"/>
            </w:pPr>
            <w:r>
              <w:rPr>
                <w:color w:val="000000"/>
                <w:sz w:val="24"/>
              </w:rPr>
              <w:t>2.20%</w:t>
            </w:r>
          </w:p>
        </w:tc>
        <w:tc>
          <w:tcPr>
            <w:vAlign w:val="center"/>
          </w:tcPr>
          <w:p>
            <w:pPr>
              <w:jc w:val="center"/>
            </w:pPr>
            <w:r>
              <w:rPr>
                <w:color w:val="000000"/>
                <w:sz w:val="24"/>
              </w:rPr>
              <w:t>0.09%</w:t>
            </w:r>
          </w:p>
        </w:tc>
        <w:tc>
          <w:tcPr>
            <w:vAlign w:val="center"/>
          </w:tcPr>
          <w:p>
            <w:pPr>
              <w:jc w:val="center"/>
            </w:pPr>
            <w:r>
              <w:rPr>
                <w:color w:val="000000"/>
                <w:sz w:val="24"/>
              </w:rPr>
              <w:t>-0.07%</w:t>
            </w:r>
          </w:p>
        </w:tc>
        <w:tc>
          <w:tcPr>
            <w:vAlign w:val="center"/>
          </w:tcPr>
          <w:p>
            <w:pPr>
              <w:jc w:val="center"/>
            </w:pPr>
            <w:r>
              <w:rPr>
                <w:color w:val="000000"/>
                <w:sz w:val="24"/>
              </w:rPr>
              <w:t>0.09%</w:t>
            </w:r>
          </w:p>
        </w:tc>
        <w:tc>
          <w:tcPr>
            <w:vAlign w:val="center"/>
          </w:tcPr>
          <w:p>
            <w:pPr>
              <w:jc w:val="center"/>
            </w:pPr>
            <w:r>
              <w:rPr>
                <w:color w:val="000000"/>
                <w:sz w:val="24"/>
              </w:rPr>
              <w:t>2.27%</w:t>
            </w:r>
          </w:p>
        </w:tc>
        <w:tc>
          <w:tcPr>
            <w:vAlign w:val="center"/>
          </w:tcPr>
          <w:p>
            <w:pPr>
              <w:jc w:val="center"/>
            </w:pPr>
            <w:r>
              <w:rPr>
                <w:color w:val="000000"/>
                <w:sz w:val="24"/>
              </w:rPr>
              <w:t>0.00%</w:t>
            </w:r>
          </w:p>
        </w:tc>
      </w:tr>
      <w:tr>
        <w:tc>
          <w:tcPr>
            <w:vAlign w:val="center"/>
          </w:tcPr>
          <w:p>
            <w:pPr>
              <w:jc w:val="left"/>
            </w:pPr>
            <w:r>
              <w:rPr>
                <w:color w:val="000000"/>
                <w:sz w:val="24"/>
              </w:rPr>
              <w:t>过去三年</w:t>
            </w:r>
          </w:p>
        </w:tc>
        <w:tc>
          <w:tcPr>
            <w:vAlign w:val="center"/>
          </w:tcPr>
          <w:p>
            <w:pPr>
              <w:jc w:val="center"/>
            </w:pPr>
            <w:r>
              <w:rPr>
                <w:color w:val="000000"/>
                <w:sz w:val="24"/>
              </w:rPr>
              <w:t>14.35%</w:t>
            </w:r>
          </w:p>
        </w:tc>
        <w:tc>
          <w:tcPr>
            <w:vAlign w:val="center"/>
          </w:tcPr>
          <w:p>
            <w:pPr>
              <w:jc w:val="center"/>
            </w:pPr>
            <w:r>
              <w:rPr>
                <w:color w:val="000000"/>
                <w:sz w:val="24"/>
              </w:rPr>
              <w:t>0.08%</w:t>
            </w:r>
          </w:p>
        </w:tc>
        <w:tc>
          <w:tcPr>
            <w:vAlign w:val="center"/>
          </w:tcPr>
          <w:p>
            <w:pPr>
              <w:jc w:val="center"/>
            </w:pPr>
            <w:r>
              <w:rPr>
                <w:color w:val="000000"/>
                <w:sz w:val="24"/>
              </w:rPr>
              <w:t>6.09%</w:t>
            </w:r>
          </w:p>
        </w:tc>
        <w:tc>
          <w:tcPr>
            <w:vAlign w:val="center"/>
          </w:tcPr>
          <w:p>
            <w:pPr>
              <w:jc w:val="center"/>
            </w:pPr>
            <w:r>
              <w:rPr>
                <w:color w:val="000000"/>
                <w:sz w:val="24"/>
              </w:rPr>
              <w:t>0.07%</w:t>
            </w:r>
          </w:p>
        </w:tc>
        <w:tc>
          <w:tcPr>
            <w:vAlign w:val="center"/>
          </w:tcPr>
          <w:p>
            <w:pPr>
              <w:jc w:val="center"/>
            </w:pPr>
            <w:r>
              <w:rPr>
                <w:color w:val="000000"/>
                <w:sz w:val="24"/>
              </w:rPr>
              <w:t>8.26%</w:t>
            </w:r>
          </w:p>
        </w:tc>
        <w:tc>
          <w:tcPr>
            <w:vAlign w:val="center"/>
          </w:tcPr>
          <w:p>
            <w:pPr>
              <w:jc w:val="center"/>
            </w:pPr>
            <w:r>
              <w:rPr>
                <w:color w:val="000000"/>
                <w:sz w:val="24"/>
              </w:rPr>
              <w:t>0.01%</w:t>
            </w:r>
          </w:p>
        </w:tc>
      </w:tr>
      <w:tr>
        <w:tc>
          <w:tcPr>
            <w:vAlign w:val="center"/>
          </w:tcPr>
          <w:p>
            <w:pPr>
              <w:jc w:val="left"/>
            </w:pPr>
            <w:r>
              <w:rPr>
                <w:color w:val="000000"/>
                <w:sz w:val="24"/>
              </w:rPr>
              <w:t>自基金合同生效起至今</w:t>
            </w:r>
          </w:p>
        </w:tc>
        <w:tc>
          <w:tcPr>
            <w:vAlign w:val="center"/>
          </w:tcPr>
          <w:p>
            <w:pPr>
              <w:jc w:val="center"/>
            </w:pPr>
            <w:r>
              <w:rPr>
                <w:color w:val="000000"/>
                <w:sz w:val="24"/>
              </w:rPr>
              <w:t>16.18%</w:t>
            </w:r>
          </w:p>
        </w:tc>
        <w:tc>
          <w:tcPr>
            <w:vAlign w:val="center"/>
          </w:tcPr>
          <w:p>
            <w:pPr>
              <w:jc w:val="center"/>
            </w:pPr>
            <w:r>
              <w:rPr>
                <w:color w:val="000000"/>
                <w:sz w:val="24"/>
              </w:rPr>
              <w:t>0.07%</w:t>
            </w:r>
          </w:p>
        </w:tc>
        <w:tc>
          <w:tcPr>
            <w:vAlign w:val="center"/>
          </w:tcPr>
          <w:p>
            <w:pPr>
              <w:jc w:val="center"/>
            </w:pPr>
            <w:r>
              <w:rPr>
                <w:color w:val="000000"/>
                <w:sz w:val="24"/>
              </w:rPr>
              <w:t>-0.01%</w:t>
            </w:r>
          </w:p>
        </w:tc>
        <w:tc>
          <w:tcPr>
            <w:vAlign w:val="center"/>
          </w:tcPr>
          <w:p>
            <w:pPr>
              <w:jc w:val="center"/>
            </w:pPr>
            <w:r>
              <w:rPr>
                <w:color w:val="000000"/>
                <w:sz w:val="24"/>
              </w:rPr>
              <w:t>0.08%</w:t>
            </w:r>
          </w:p>
        </w:tc>
        <w:tc>
          <w:tcPr>
            <w:vAlign w:val="center"/>
          </w:tcPr>
          <w:p>
            <w:pPr>
              <w:jc w:val="center"/>
            </w:pPr>
            <w:r>
              <w:rPr>
                <w:color w:val="000000"/>
                <w:sz w:val="24"/>
              </w:rPr>
              <w:t>16.19%</w:t>
            </w:r>
          </w:p>
        </w:tc>
        <w:tc>
          <w:tcPr>
            <w:vAlign w:val="center"/>
          </w:tcPr>
          <w:p>
            <w:pPr>
              <w:jc w:val="center"/>
            </w:pPr>
            <w:r>
              <w:rPr>
                <w:color w:val="000000"/>
                <w:sz w:val="24"/>
              </w:rPr>
              <w:t>-0.01%</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交银施罗德裕盈纯债债券型证券投资基金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2016年11月4日</w:t>
      </w:r>
      <w:r w:rsidR="009A045B" w:rsidRPr="007F52FA">
        <w:rPr>
          <w:rFonts w:ascii="Times New Roman" w:hAnsi="Times New Roman"/>
          <w:sz w:val="24"/>
          <w:szCs w:val="24"/>
        </w:rPr>
        <w:t>至</w:t>
      </w:r>
      <w:r w:rsidRPr="007F52FA">
        <w:rPr>
          <w:rFonts w:ascii="Times New Roman" w:hAnsi="Times New Roman"/>
          <w:sz w:val="24"/>
          <w:szCs w:val="24"/>
        </w:rPr>
        <w:t>2020年12月31日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交银裕盈纯债债券A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交银裕盈纯债债券C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连端清</w:t>
            </w:r>
          </w:p>
        </w:tc>
        <w:tc>
          <w:tcPr>
            <w:vAlign w:val="center"/>
          </w:tcPr>
          <w:p>
            <w:pPr>
              <w:jc w:val="center"/>
            </w:pPr>
            <w:r>
              <w:rPr>
                <w:color w:val="000000"/>
                <w:sz w:val="24"/>
              </w:rPr>
              <w:t>交银丰盈收益债券、交银活期通货币、交银裕盈纯债债券、交银裕利纯债债券、交银裕惠纯债债券的基金经理</w:t>
            </w:r>
          </w:p>
        </w:tc>
        <w:tc>
          <w:tcPr>
            <w:vAlign w:val="center"/>
          </w:tcPr>
          <w:p>
            <w:pPr>
              <w:jc w:val="center"/>
            </w:pPr>
            <w:r>
              <w:rPr>
                <w:color w:val="000000"/>
                <w:sz w:val="24"/>
              </w:rPr>
              <w:t>2017-03-31</w:t>
            </w:r>
          </w:p>
        </w:tc>
        <w:tc>
          <w:tcPr>
            <w:vAlign w:val="center"/>
          </w:tcPr>
          <w:p>
            <w:pPr>
              <w:jc w:val="center"/>
            </w:pPr>
            <w:r>
              <w:rPr>
                <w:color w:val="000000"/>
                <w:sz w:val="24"/>
              </w:rPr>
              <w:t>-</w:t>
            </w:r>
          </w:p>
        </w:tc>
        <w:tc>
          <w:tcPr>
            <w:vAlign w:val="center"/>
          </w:tcPr>
          <w:p>
            <w:pPr>
              <w:jc w:val="center"/>
            </w:pPr>
            <w:r>
              <w:rPr>
                <w:color w:val="000000"/>
                <w:sz w:val="24"/>
              </w:rPr>
              <w:t>7年</w:t>
            </w:r>
          </w:p>
        </w:tc>
        <w:tc>
          <w:tcPr>
            <w:vAlign w:val="center"/>
          </w:tcPr>
          <w:p>
            <w:pPr>
              <w:jc w:val="both"/>
            </w:pPr>
            <w:r>
              <w:rPr>
                <w:color w:val="000000"/>
                <w:sz w:val="24"/>
              </w:rPr>
              <w:t>连端清先生，复旦大学经济学博士。历任交通银行总行金融市场部、湘财证券研究所研究员、中航信托资产管理部投资经理。2015年加入交银施罗德基金管理有限公司。2017年3月31日至2018年8月23日担任交银施罗德裕兴纯债债券型证券投资基金的基金经理。2015年8月4日至2019年8月2日担任交银施罗德现金宝货币市场基金的基金经理。2015年10月16日至2019年8月2日担任交银施罗德货币市场证券投资基金的基金经理。2016年12月7日至2019年8月2日担任交银施罗德天鑫宝货币市场基金的基金经理。2017年12月29日至2019年8月2日担任交银施罗德天运宝货币市场基金的基金经理。2016年10月19日至2019年9月29日担任交银施罗德天利宝货币市场基金的基金经理。2016年11月28日至2019年9月29日担任交银施罗德裕隆纯债债券型证券投资基金的基金经理。2016年12月20日至2019年9月29日担任交银施罗德天益宝货币市场基金的基金经理。2017年3月3日至2019年9月29日担任交银施罗德境尚收益债券型证券投资基金的基金经理。2015年10月16日至2020年7月27日担任转型前的交银施罗德理财60天债券型证券投资基金的基金经理。2015年8月4日至2020年8月21日担任交银施罗德丰润收益债券型证券投资基金的基金经理。</w:t>
            </w:r>
          </w:p>
        </w:tc>
      </w:tr>
    </w:tbl>
    <w:p>
      <w:pPr>
        <w:autoSpaceDE w:val="0"/>
        <w:autoSpaceDN w:val="0"/>
        <w:adjustRightInd w:val="0"/>
        <w:spacing w:before="29" w:line="288" w:lineRule="auto"/>
        <w:jc w:val="left"/>
        <w:rPr>
          <w:color w:val="000000"/>
          <w:sz w:val="24"/>
        </w:rPr>
      </w:pPr>
      <w:r>
        <w:rPr>
          <w:color w:val="000000"/>
          <w:sz w:val="24"/>
        </w:rPr>
        <w:t>注：1、本表所列基金经理（助理）任职日期和离职日期均以基金合同生效日或公司作出决定并公告(如适用)之日为准；</w:t>
      </w:r>
    </w:p>
    <w:p>
      <w:pPr>
        <w:autoSpaceDE w:val="0"/>
        <w:autoSpaceDN w:val="0"/>
        <w:adjustRightInd w:val="0"/>
        <w:spacing w:before="29" w:line="288" w:lineRule="auto"/>
        <w:jc w:val="left"/>
        <w:rPr>
          <w:color w:val="000000"/>
          <w:sz w:val="24"/>
        </w:rPr>
      </w:pPr>
      <w:r>
        <w:rPr>
          <w:color w:val="000000"/>
          <w:sz w:val="24"/>
        </w:rPr>
        <w:t xml:space="preserve">2、本表所列基金经理（助理）证券从业年限中的“证券从业”的含义遵从中国证券业协会《证券业从业人员资格管理办法》的相关规定； </w:t>
      </w:r>
    </w:p>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3、基金经理（或基金经理小组）期后变动（如有）敬请关注基金管理人发布的相关公告。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价格优先、时间优先”的原则，全部通过交易系统进行比例分配；对于非集中竞价交易、以公司名义进行的场外交易，遵循公平交易分配原则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2020年四季度，主要受出口、房地产投资与制造业投资以及消费等驱动，我国经济继续在修复且内生增长动能提升。十月、十一月我国出口高速增长，房地产投资维持较高增速，制造业投资增速有所提升。同时，制造业景气度维持扩张势头。社会消费进一步改善，十月、十一月社会零售消费总额同比增速继续提升。经济政策继续支持经济修复，银行信贷结构继续改善，中央经济工作会议定调明年宏观经济政策“不急转弯”。</w:t>
      </w:r>
    </w:p>
    <w:p>
      <w:pPr>
        <w:spacing w:before="29" w:line="288" w:lineRule="auto"/>
        <w:ind w:firstLine="480" w:firstLineChars="200"/>
        <w:rPr>
          <w:color w:val="000000"/>
          <w:sz w:val="24"/>
        </w:rPr>
      </w:pPr>
      <w:r>
        <w:rPr>
          <w:color w:val="000000"/>
          <w:sz w:val="24"/>
        </w:rPr>
        <w:t>货币政策方面，四季度央行公开市场操作边际转向偏宽松，货币市场迎来流动性拐点。四季度央行公开市场净投放较大，尤其是十一月底开始超预期投放MLF，以及在十二月通过逆回购与MLF向银行体系投放跨年流动性与较长期限资金。资金面上，十月至十一月下旬，由于资金面趋紧，货币市场利率中枢曾不断上移。但在十一月下旬至十二月下旬，央行投放流动性之后，资金面趋于宽松，货币市场利率中枢逐渐回落。债市方面，四季度整体呈震荡走势。十月至十一月初曾迎来一波小幅上涨，但是随后经济数据继续亮丽，十一月初债市再次下跌。随后叠加部分信用债违约事件冲击，债市继续下跌且收益率创下本轮回调至今的高点。十一月下旬随着金融监管层召开会议，要求打击逃废债行为，维护市场秩序，央行在公开市场持续投放流动性，债市终于止跌回暖，从十一月下旬至年底债市走出了一波反弹回暖行情。</w:t>
      </w:r>
    </w:p>
    <w:p>
      <w:pPr>
        <w:spacing w:before="29" w:line="288" w:lineRule="auto"/>
        <w:ind w:firstLine="480" w:firstLineChars="200"/>
        <w:rPr>
          <w:color w:val="000000"/>
          <w:sz w:val="24"/>
        </w:rPr>
      </w:pPr>
      <w:r>
        <w:rPr>
          <w:color w:val="000000"/>
          <w:sz w:val="24"/>
        </w:rPr>
        <w:t>基金操作方面，四季度本基金调整组合久期、杠杆以及持仓品种结构，重点加仓中等期限利率债，在市场回调中努力控制风险，分享了十二月债市反弹回暖带来的机会。</w:t>
      </w:r>
    </w:p>
    <w:p w:rsidP="007C14DF" w:rsidR="00952A72" w:rsidRDefault="00323F25" w:rsidRPr="007F52FA">
      <w:pPr>
        <w:spacing w:before="29" w:line="288" w:lineRule="auto"/>
        <w:ind w:firstLine="480" w:firstLineChars="200"/>
        <w:rPr>
          <w:color w:val="000000"/>
          <w:sz w:val="24"/>
        </w:rPr>
      </w:pPr>
      <w:r w:rsidRPr="007F52FA">
        <w:rPr>
          <w:color w:val="000000"/>
          <w:sz w:val="24"/>
        </w:rPr>
        <w:t>展望2021年一季度，国内经济整体上继续修复的概率较大。疫苗接种与疫情的防控可能需要较长时间。海外严重的疫情对海外经济体的冲击，甚至国内局部疫情防控对国内经济的抑制，至少在明年一季度依然存在。因此国内经济复苏的基础是否足够扎实尚待观察。支撑今年国内经济超预期的房地产投资与出口等变量也值得重点关注。预计2021年一季度央行可能保持中性货币政策为主。我们将密切关注央行货币政策操作边际上的变化以及疫情防控与疫苗接种进展。组合管理方面，本基金将跟踪研判宏观经济走势与央行货币政策操作，保持较好的流动性，力求把握市场波动机会，控制风险，力争为投资者创造稳健的回报。</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663,377,600.10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98.36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663,377,600.10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98.36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929,875.31</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0.14</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10,097,551.59</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1.50</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674,405,027.00</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663,377,600.10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117.24</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421,619,600.10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74.52</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663,377,600.10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117.24</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190207</w:t>
            </w:r>
          </w:p>
        </w:tc>
        <w:tc>
          <w:tcPr>
            <w:vAlign w:val="center"/>
          </w:tcPr>
          <w:p>
            <w:pPr>
              <w:jc w:val="center"/>
            </w:pPr>
            <w:r>
              <w:rPr>
                <w:color w:val="000000"/>
                <w:sz w:val="24"/>
              </w:rPr>
              <w:t>19国开07</w:t>
            </w:r>
          </w:p>
        </w:tc>
        <w:tc>
          <w:tcPr>
            <w:vAlign w:val="center"/>
          </w:tcPr>
          <w:p>
            <w:pPr>
              <w:jc w:val="right"/>
            </w:pPr>
            <w:r>
              <w:rPr>
                <w:color w:val="000000"/>
                <w:sz w:val="24"/>
              </w:rPr>
              <w:t>800,000</w:t>
            </w:r>
          </w:p>
        </w:tc>
        <w:tc>
          <w:tcPr>
            <w:vAlign w:val="center"/>
          </w:tcPr>
          <w:p>
            <w:pPr>
              <w:jc w:val="right"/>
            </w:pPr>
            <w:r>
              <w:rPr>
                <w:color w:val="000000"/>
                <w:sz w:val="24"/>
              </w:rPr>
              <w:t>80,472,000.00</w:t>
            </w:r>
          </w:p>
        </w:tc>
        <w:tc>
          <w:tcPr>
            <w:vAlign w:val="center"/>
          </w:tcPr>
          <w:p>
            <w:pPr>
              <w:jc w:val="right"/>
            </w:pPr>
            <w:r>
              <w:rPr>
                <w:color w:val="000000"/>
                <w:sz w:val="24"/>
              </w:rPr>
              <w:t>14.22</w:t>
            </w:r>
          </w:p>
        </w:tc>
      </w:tr>
      <w:tr>
        <w:tc>
          <w:tcPr>
            <w:vAlign w:val="center"/>
          </w:tcPr>
          <w:p>
            <w:pPr>
              <w:jc w:val="center"/>
            </w:pPr>
            <w:r>
              <w:rPr>
                <w:color w:val="000000"/>
                <w:sz w:val="24"/>
              </w:rPr>
              <w:t>2</w:t>
            </w:r>
          </w:p>
        </w:tc>
        <w:tc>
          <w:tcPr>
            <w:vAlign w:val="center"/>
          </w:tcPr>
          <w:p>
            <w:pPr>
              <w:jc w:val="center"/>
            </w:pPr>
            <w:r>
              <w:rPr>
                <w:color w:val="000000"/>
                <w:sz w:val="24"/>
              </w:rPr>
              <w:t>1828016</w:t>
            </w:r>
          </w:p>
        </w:tc>
        <w:tc>
          <w:tcPr>
            <w:vAlign w:val="center"/>
          </w:tcPr>
          <w:p>
            <w:pPr>
              <w:jc w:val="center"/>
            </w:pPr>
            <w:r>
              <w:rPr>
                <w:color w:val="000000"/>
                <w:sz w:val="24"/>
              </w:rPr>
              <w:t>18民生银行01</w:t>
            </w:r>
          </w:p>
        </w:tc>
        <w:tc>
          <w:tcPr>
            <w:vAlign w:val="center"/>
          </w:tcPr>
          <w:p>
            <w:pPr>
              <w:jc w:val="right"/>
            </w:pPr>
            <w:r>
              <w:rPr>
                <w:color w:val="000000"/>
                <w:sz w:val="24"/>
              </w:rPr>
              <w:t>500,000</w:t>
            </w:r>
          </w:p>
        </w:tc>
        <w:tc>
          <w:tcPr>
            <w:vAlign w:val="center"/>
          </w:tcPr>
          <w:p>
            <w:pPr>
              <w:jc w:val="right"/>
            </w:pPr>
            <w:r>
              <w:rPr>
                <w:color w:val="000000"/>
                <w:sz w:val="24"/>
              </w:rPr>
              <w:t>50,405,000.00</w:t>
            </w:r>
          </w:p>
        </w:tc>
        <w:tc>
          <w:tcPr>
            <w:vAlign w:val="center"/>
          </w:tcPr>
          <w:p>
            <w:pPr>
              <w:jc w:val="right"/>
            </w:pPr>
            <w:r>
              <w:rPr>
                <w:color w:val="000000"/>
                <w:sz w:val="24"/>
              </w:rPr>
              <w:t>8.91</w:t>
            </w:r>
          </w:p>
        </w:tc>
      </w:tr>
      <w:tr>
        <w:tc>
          <w:tcPr>
            <w:vAlign w:val="center"/>
          </w:tcPr>
          <w:p>
            <w:pPr>
              <w:jc w:val="center"/>
            </w:pPr>
            <w:r>
              <w:rPr>
                <w:color w:val="000000"/>
                <w:sz w:val="24"/>
              </w:rPr>
              <w:t>3</w:t>
            </w:r>
          </w:p>
        </w:tc>
        <w:tc>
          <w:tcPr>
            <w:vAlign w:val="center"/>
          </w:tcPr>
          <w:p>
            <w:pPr>
              <w:jc w:val="center"/>
            </w:pPr>
            <w:r>
              <w:rPr>
                <w:color w:val="000000"/>
                <w:sz w:val="24"/>
              </w:rPr>
              <w:t>1820086</w:t>
            </w:r>
          </w:p>
        </w:tc>
        <w:tc>
          <w:tcPr>
            <w:vAlign w:val="center"/>
          </w:tcPr>
          <w:p>
            <w:pPr>
              <w:jc w:val="center"/>
            </w:pPr>
            <w:r>
              <w:rPr>
                <w:color w:val="000000"/>
                <w:sz w:val="24"/>
              </w:rPr>
              <w:t>18厦门国际银行</w:t>
            </w:r>
          </w:p>
        </w:tc>
        <w:tc>
          <w:tcPr>
            <w:vAlign w:val="center"/>
          </w:tcPr>
          <w:p>
            <w:pPr>
              <w:jc w:val="right"/>
            </w:pPr>
            <w:r>
              <w:rPr>
                <w:color w:val="000000"/>
                <w:sz w:val="24"/>
              </w:rPr>
              <w:t>500,000</w:t>
            </w:r>
          </w:p>
        </w:tc>
        <w:tc>
          <w:tcPr>
            <w:vAlign w:val="center"/>
          </w:tcPr>
          <w:p>
            <w:pPr>
              <w:jc w:val="right"/>
            </w:pPr>
            <w:r>
              <w:rPr>
                <w:color w:val="000000"/>
                <w:sz w:val="24"/>
              </w:rPr>
              <w:t>50,335,000.00</w:t>
            </w:r>
          </w:p>
        </w:tc>
        <w:tc>
          <w:tcPr>
            <w:vAlign w:val="center"/>
          </w:tcPr>
          <w:p>
            <w:pPr>
              <w:jc w:val="right"/>
            </w:pPr>
            <w:r>
              <w:rPr>
                <w:color w:val="000000"/>
                <w:sz w:val="24"/>
              </w:rPr>
              <w:t>8.90</w:t>
            </w:r>
          </w:p>
        </w:tc>
      </w:tr>
      <w:tr>
        <w:tc>
          <w:tcPr>
            <w:vAlign w:val="center"/>
          </w:tcPr>
          <w:p>
            <w:pPr>
              <w:jc w:val="center"/>
            </w:pPr>
            <w:r>
              <w:rPr>
                <w:color w:val="000000"/>
                <w:sz w:val="24"/>
              </w:rPr>
              <w:t>4</w:t>
            </w:r>
          </w:p>
        </w:tc>
        <w:tc>
          <w:tcPr>
            <w:vAlign w:val="center"/>
          </w:tcPr>
          <w:p>
            <w:pPr>
              <w:jc w:val="center"/>
            </w:pPr>
            <w:r>
              <w:rPr>
                <w:color w:val="000000"/>
                <w:sz w:val="24"/>
              </w:rPr>
              <w:t>190403</w:t>
            </w:r>
          </w:p>
        </w:tc>
        <w:tc>
          <w:tcPr>
            <w:vAlign w:val="center"/>
          </w:tcPr>
          <w:p>
            <w:pPr>
              <w:jc w:val="center"/>
            </w:pPr>
            <w:r>
              <w:rPr>
                <w:color w:val="000000"/>
                <w:sz w:val="24"/>
              </w:rPr>
              <w:t>19农发03</w:t>
            </w:r>
          </w:p>
        </w:tc>
        <w:tc>
          <w:tcPr>
            <w:vAlign w:val="center"/>
          </w:tcPr>
          <w:p>
            <w:pPr>
              <w:jc w:val="right"/>
            </w:pPr>
            <w:r>
              <w:rPr>
                <w:color w:val="000000"/>
                <w:sz w:val="24"/>
              </w:rPr>
              <w:t>500,000</w:t>
            </w:r>
          </w:p>
        </w:tc>
        <w:tc>
          <w:tcPr>
            <w:vAlign w:val="center"/>
          </w:tcPr>
          <w:p>
            <w:pPr>
              <w:jc w:val="right"/>
            </w:pPr>
            <w:r>
              <w:rPr>
                <w:color w:val="000000"/>
                <w:sz w:val="24"/>
              </w:rPr>
              <w:t>50,230,000.00</w:t>
            </w:r>
          </w:p>
        </w:tc>
        <w:tc>
          <w:tcPr>
            <w:vAlign w:val="center"/>
          </w:tcPr>
          <w:p>
            <w:pPr>
              <w:jc w:val="right"/>
            </w:pPr>
            <w:r>
              <w:rPr>
                <w:color w:val="000000"/>
                <w:sz w:val="24"/>
              </w:rPr>
              <w:t>8.88</w:t>
            </w:r>
          </w:p>
        </w:tc>
      </w:tr>
      <w:tr>
        <w:tc>
          <w:tcPr>
            <w:vAlign w:val="center"/>
          </w:tcPr>
          <w:p>
            <w:pPr>
              <w:jc w:val="center"/>
            </w:pPr>
            <w:r>
              <w:rPr>
                <w:color w:val="000000"/>
                <w:sz w:val="24"/>
              </w:rPr>
              <w:t>5</w:t>
            </w:r>
          </w:p>
        </w:tc>
        <w:tc>
          <w:tcPr>
            <w:vAlign w:val="center"/>
          </w:tcPr>
          <w:p>
            <w:pPr>
              <w:jc w:val="center"/>
            </w:pPr>
            <w:r>
              <w:rPr>
                <w:color w:val="000000"/>
                <w:sz w:val="24"/>
              </w:rPr>
              <w:t>180212</w:t>
            </w:r>
          </w:p>
        </w:tc>
        <w:tc>
          <w:tcPr>
            <w:vAlign w:val="center"/>
          </w:tcPr>
          <w:p>
            <w:pPr>
              <w:jc w:val="center"/>
            </w:pPr>
            <w:r>
              <w:rPr>
                <w:color w:val="000000"/>
                <w:sz w:val="24"/>
              </w:rPr>
              <w:t>18国开12</w:t>
            </w:r>
          </w:p>
        </w:tc>
        <w:tc>
          <w:tcPr>
            <w:vAlign w:val="center"/>
          </w:tcPr>
          <w:p>
            <w:pPr>
              <w:jc w:val="right"/>
            </w:pPr>
            <w:r>
              <w:rPr>
                <w:color w:val="000000"/>
                <w:sz w:val="24"/>
              </w:rPr>
              <w:t>400,000</w:t>
            </w:r>
          </w:p>
        </w:tc>
        <w:tc>
          <w:tcPr>
            <w:vAlign w:val="center"/>
          </w:tcPr>
          <w:p>
            <w:pPr>
              <w:jc w:val="right"/>
            </w:pPr>
            <w:r>
              <w:rPr>
                <w:color w:val="000000"/>
                <w:sz w:val="24"/>
              </w:rPr>
              <w:t>40,344,000.00</w:t>
            </w:r>
          </w:p>
        </w:tc>
        <w:tc>
          <w:tcPr>
            <w:vAlign w:val="center"/>
          </w:tcPr>
          <w:p>
            <w:pPr>
              <w:jc w:val="right"/>
            </w:pPr>
            <w:r>
              <w:rPr>
                <w:color w:val="000000"/>
                <w:sz w:val="24"/>
              </w:rPr>
              <w:t>7.13</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bookmarkStart w:id="2" w:name="_GoBack"/>
      <w:r w:rsidRPr="00885AD9">
        <w:rPr>
          <w:b/>
          <w:kern w:val="0"/>
          <w:sz w:val="24"/>
        </w:rPr>
        <w:t>5.11.3</w:t>
      </w:r>
      <w:bookmarkEnd w:id="2"/>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865.06</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10,096,524.58</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161.95</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10,097,551.59</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交银裕盈纯债债券A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交银裕盈纯债债券C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512,520,977.58</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428,560.76</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335,734.71</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23,601.38</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4,445,997.26</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82,968.65</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508,410,715.03</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369,193.49</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2020/10/1-2020/12/31</w:t>
            </w:r>
          </w:p>
        </w:tc>
        <w:tc>
          <w:tcPr>
            <w:vAlign w:val="center"/>
          </w:tcPr>
          <w:p>
            <w:pPr>
              <w:jc w:val="center"/>
            </w:pPr>
            <w:r>
              <w:rPr>
                <w:rFonts w:ascii="宋体" w:hAnsi="宋体" w:hint="eastAsia"/>
                <w:color w:val="000000"/>
                <w:kern w:val="0"/>
                <w:szCs w:val="21"/>
              </w:rPr>
              <w:t>496,820,252.99</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496,820,252.99</w:t>
            </w:r>
          </w:p>
        </w:tc>
        <w:tc>
          <w:tcPr>
            <w:vAlign w:val="center"/>
          </w:tcPr>
          <w:p>
            <w:pPr>
              <w:jc w:val="center"/>
            </w:pPr>
            <w:r>
              <w:rPr>
                <w:rFonts w:ascii="宋体" w:hAnsi="宋体" w:hint="eastAsia"/>
                <w:color w:val="000000"/>
                <w:kern w:val="0"/>
                <w:szCs w:val="21"/>
              </w:rPr>
              <w:t>97.65%</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1、中国证监会准予交银施罗德裕盈纯债债券型证券投资基金募集注册的文件；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2、《交银施罗德裕盈纯债债券型证券投资基金基金合同》；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3、《交银施罗德裕盈纯债债券型证券投资基金招募说明书》；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4、《交银施罗德裕盈纯债债券型证券投资基金托管协议》；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5、关于申请募集注册交银施罗德裕盈纯债债券型证券投资基金的法律意见书；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8、报告期内交银施罗德裕盈纯债债券型证券投资基金在指定报刊上各项公告的原稿。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885AD9">
      <w:rPr>
        <w:noProof/>
        <w:kern w:val="0"/>
        <w:szCs w:val="21"/>
      </w:rPr>
      <w:t>19</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885AD9">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685AD1" w:rsidRDefault="00685AD1">
      <w:r>
        <w:separator/>
      </w:r>
    </w:p>
  </w:footnote>
  <w:footnote w:id="0" w:type="continuationSeparator">
    <w:p w:rsidR="00685AD1" w:rsidRDefault="00685AD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交银施罗德裕盈纯债债券型证券投资基金2020年第4季度报告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82FB8-C167-4963-8B27-9929FDC0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254</TotalTime>
  <Pages>27</Pages>
  <Words>4295</Words>
  <Characters>24488</Characters>
  <Application>Microsoft Office Word</Application>
  <DocSecurity>0</DocSecurity>
  <Lines>204</Lines>
  <Paragraphs>57</Paragraphs>
  <ScaleCrop>false</ScaleCrop>
  <Company>TRT. Ltd. Co.</Company>
  <LinksUpToDate>false</LinksUpToDate>
  <CharactersWithSpaces>28726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2020-03-05T08:23:00Z</dcterms:modified>
  <cp:revision>404</cp:revision>
</cp:coreProperties>
</file>