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交银施罗德经济新动力混合型证券投资基金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36EB8" w:rsidRDefault="00C5775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2,330,482,346.90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w:t>
            </w:r>
            <w:r w:rsidRPr="00414345">
              <w:rPr>
                <w:color w:val="000000"/>
                <w:kern w:val="0"/>
                <w:sz w:val="24"/>
                <w:szCs w:val="24"/>
              </w:rPr>
              <w:lastRenderedPageBreak/>
              <w:t>业，分享当前因中国经济改革、创新和升级发展所带来的投资新机会。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57759" w:rsidRPr="00414345" w:rsidTr="00C5775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57759" w:rsidRPr="00414345" w:rsidTr="00C577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266,355,503.58</w:t>
            </w:r>
          </w:p>
        </w:tc>
      </w:tr>
      <w:tr w:rsidR="00C57759" w:rsidRPr="00414345" w:rsidTr="00C577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1,303,109,557.94</w:t>
            </w:r>
          </w:p>
        </w:tc>
      </w:tr>
      <w:tr w:rsidR="00C57759" w:rsidRPr="00414345" w:rsidTr="00C577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0.5188</w:t>
            </w:r>
          </w:p>
        </w:tc>
      </w:tr>
      <w:tr w:rsidR="00C57759" w:rsidRPr="00414345" w:rsidTr="00C577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7,663,307,464.09</w:t>
            </w:r>
          </w:p>
        </w:tc>
      </w:tr>
      <w:tr w:rsidR="00C57759" w:rsidRPr="00414345" w:rsidTr="00C5775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3.2883</w:t>
            </w:r>
          </w:p>
        </w:tc>
      </w:tr>
    </w:tbl>
    <w:p w:rsidR="00236EB8" w:rsidRDefault="00C5775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236EB8" w:rsidRDefault="00C57759">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36EB8">
        <w:trPr>
          <w:jc w:val="center"/>
        </w:trPr>
        <w:tc>
          <w:tcPr>
            <w:tcW w:w="1701" w:type="dxa"/>
            <w:vAlign w:val="center"/>
          </w:tcPr>
          <w:p w:rsidR="00236EB8" w:rsidRDefault="00C57759">
            <w:pPr>
              <w:jc w:val="left"/>
            </w:pPr>
            <w:r>
              <w:rPr>
                <w:color w:val="000000"/>
                <w:sz w:val="24"/>
                <w:szCs w:val="24"/>
              </w:rPr>
              <w:t>过去三个月</w:t>
            </w:r>
          </w:p>
        </w:tc>
        <w:tc>
          <w:tcPr>
            <w:tcW w:w="1045" w:type="dxa"/>
            <w:vAlign w:val="center"/>
          </w:tcPr>
          <w:p w:rsidR="00236EB8" w:rsidRDefault="00C57759">
            <w:pPr>
              <w:jc w:val="center"/>
            </w:pPr>
            <w:r>
              <w:rPr>
                <w:color w:val="000000"/>
                <w:sz w:val="24"/>
                <w:szCs w:val="24"/>
              </w:rPr>
              <w:t>19.43%</w:t>
            </w:r>
          </w:p>
        </w:tc>
        <w:tc>
          <w:tcPr>
            <w:tcW w:w="1344" w:type="dxa"/>
            <w:vAlign w:val="center"/>
          </w:tcPr>
          <w:p w:rsidR="00236EB8" w:rsidRDefault="00C57759">
            <w:pPr>
              <w:jc w:val="center"/>
            </w:pPr>
            <w:r>
              <w:rPr>
                <w:color w:val="000000"/>
                <w:sz w:val="24"/>
                <w:szCs w:val="24"/>
              </w:rPr>
              <w:t>1.45%</w:t>
            </w:r>
          </w:p>
        </w:tc>
        <w:tc>
          <w:tcPr>
            <w:tcW w:w="1194" w:type="dxa"/>
            <w:vAlign w:val="center"/>
          </w:tcPr>
          <w:p w:rsidR="00236EB8" w:rsidRDefault="00C57759">
            <w:pPr>
              <w:jc w:val="center"/>
            </w:pPr>
            <w:r>
              <w:rPr>
                <w:color w:val="000000"/>
                <w:sz w:val="24"/>
                <w:szCs w:val="24"/>
              </w:rPr>
              <w:t>8.55%</w:t>
            </w:r>
          </w:p>
        </w:tc>
        <w:tc>
          <w:tcPr>
            <w:tcW w:w="1492" w:type="dxa"/>
            <w:vAlign w:val="center"/>
          </w:tcPr>
          <w:p w:rsidR="00236EB8" w:rsidRDefault="00C57759">
            <w:pPr>
              <w:jc w:val="center"/>
            </w:pPr>
            <w:r>
              <w:rPr>
                <w:color w:val="000000"/>
                <w:sz w:val="24"/>
                <w:szCs w:val="24"/>
              </w:rPr>
              <w:t>0.59%</w:t>
            </w:r>
          </w:p>
        </w:tc>
        <w:tc>
          <w:tcPr>
            <w:tcW w:w="1194" w:type="dxa"/>
            <w:vAlign w:val="center"/>
          </w:tcPr>
          <w:p w:rsidR="00236EB8" w:rsidRDefault="00C57759">
            <w:pPr>
              <w:jc w:val="center"/>
            </w:pPr>
            <w:r>
              <w:rPr>
                <w:color w:val="000000"/>
                <w:sz w:val="24"/>
                <w:szCs w:val="24"/>
              </w:rPr>
              <w:t>10.88%</w:t>
            </w:r>
          </w:p>
        </w:tc>
        <w:tc>
          <w:tcPr>
            <w:tcW w:w="898" w:type="dxa"/>
            <w:vAlign w:val="center"/>
          </w:tcPr>
          <w:p w:rsidR="00236EB8" w:rsidRDefault="00C57759">
            <w:pPr>
              <w:jc w:val="center"/>
            </w:pPr>
            <w:r>
              <w:rPr>
                <w:color w:val="000000"/>
                <w:sz w:val="24"/>
                <w:szCs w:val="24"/>
              </w:rPr>
              <w:t>0.86%</w:t>
            </w:r>
          </w:p>
        </w:tc>
      </w:tr>
      <w:tr w:rsidR="00236EB8">
        <w:trPr>
          <w:jc w:val="center"/>
        </w:trPr>
        <w:tc>
          <w:tcPr>
            <w:tcW w:w="1701" w:type="dxa"/>
            <w:vAlign w:val="center"/>
          </w:tcPr>
          <w:p w:rsidR="00236EB8" w:rsidRDefault="00C57759">
            <w:pPr>
              <w:jc w:val="left"/>
            </w:pPr>
            <w:r>
              <w:rPr>
                <w:color w:val="000000"/>
                <w:sz w:val="24"/>
                <w:szCs w:val="24"/>
              </w:rPr>
              <w:lastRenderedPageBreak/>
              <w:t>过去六个月</w:t>
            </w:r>
          </w:p>
        </w:tc>
        <w:tc>
          <w:tcPr>
            <w:tcW w:w="1045" w:type="dxa"/>
            <w:vAlign w:val="center"/>
          </w:tcPr>
          <w:p w:rsidR="00236EB8" w:rsidRDefault="00C57759">
            <w:pPr>
              <w:jc w:val="center"/>
            </w:pPr>
            <w:r>
              <w:rPr>
                <w:color w:val="000000"/>
                <w:sz w:val="24"/>
                <w:szCs w:val="24"/>
              </w:rPr>
              <w:t>34.38%</w:t>
            </w:r>
          </w:p>
        </w:tc>
        <w:tc>
          <w:tcPr>
            <w:tcW w:w="1344" w:type="dxa"/>
            <w:vAlign w:val="center"/>
          </w:tcPr>
          <w:p w:rsidR="00236EB8" w:rsidRDefault="00C57759">
            <w:pPr>
              <w:jc w:val="center"/>
            </w:pPr>
            <w:r>
              <w:rPr>
                <w:color w:val="000000"/>
                <w:sz w:val="24"/>
                <w:szCs w:val="24"/>
              </w:rPr>
              <w:t>1.75%</w:t>
            </w:r>
          </w:p>
        </w:tc>
        <w:tc>
          <w:tcPr>
            <w:tcW w:w="1194" w:type="dxa"/>
            <w:vAlign w:val="center"/>
          </w:tcPr>
          <w:p w:rsidR="00236EB8" w:rsidRDefault="00C57759">
            <w:pPr>
              <w:jc w:val="center"/>
            </w:pPr>
            <w:r>
              <w:rPr>
                <w:color w:val="000000"/>
                <w:sz w:val="24"/>
                <w:szCs w:val="24"/>
              </w:rPr>
              <w:t>15.02%</w:t>
            </w:r>
          </w:p>
        </w:tc>
        <w:tc>
          <w:tcPr>
            <w:tcW w:w="1492" w:type="dxa"/>
            <w:vAlign w:val="center"/>
          </w:tcPr>
          <w:p w:rsidR="00236EB8" w:rsidRDefault="00C57759">
            <w:pPr>
              <w:jc w:val="center"/>
            </w:pPr>
            <w:r>
              <w:rPr>
                <w:color w:val="000000"/>
                <w:sz w:val="24"/>
                <w:szCs w:val="24"/>
              </w:rPr>
              <w:t>0.80%</w:t>
            </w:r>
          </w:p>
        </w:tc>
        <w:tc>
          <w:tcPr>
            <w:tcW w:w="1194" w:type="dxa"/>
            <w:vAlign w:val="center"/>
          </w:tcPr>
          <w:p w:rsidR="00236EB8" w:rsidRDefault="00C57759">
            <w:pPr>
              <w:jc w:val="center"/>
            </w:pPr>
            <w:r>
              <w:rPr>
                <w:color w:val="000000"/>
                <w:sz w:val="24"/>
                <w:szCs w:val="24"/>
              </w:rPr>
              <w:t>19.36%</w:t>
            </w:r>
          </w:p>
        </w:tc>
        <w:tc>
          <w:tcPr>
            <w:tcW w:w="898" w:type="dxa"/>
            <w:vAlign w:val="center"/>
          </w:tcPr>
          <w:p w:rsidR="00236EB8" w:rsidRDefault="00C57759">
            <w:pPr>
              <w:jc w:val="center"/>
            </w:pPr>
            <w:r>
              <w:rPr>
                <w:color w:val="000000"/>
                <w:sz w:val="24"/>
                <w:szCs w:val="24"/>
              </w:rPr>
              <w:t>0.95%</w:t>
            </w:r>
          </w:p>
        </w:tc>
      </w:tr>
      <w:tr w:rsidR="00236EB8">
        <w:trPr>
          <w:jc w:val="center"/>
        </w:trPr>
        <w:tc>
          <w:tcPr>
            <w:tcW w:w="1701" w:type="dxa"/>
            <w:vAlign w:val="center"/>
          </w:tcPr>
          <w:p w:rsidR="00236EB8" w:rsidRDefault="00C57759">
            <w:pPr>
              <w:jc w:val="left"/>
            </w:pPr>
            <w:r>
              <w:rPr>
                <w:color w:val="000000"/>
                <w:sz w:val="24"/>
                <w:szCs w:val="24"/>
              </w:rPr>
              <w:t>过去一年</w:t>
            </w:r>
          </w:p>
        </w:tc>
        <w:tc>
          <w:tcPr>
            <w:tcW w:w="1045" w:type="dxa"/>
            <w:vAlign w:val="center"/>
          </w:tcPr>
          <w:p w:rsidR="00236EB8" w:rsidRDefault="00C57759">
            <w:pPr>
              <w:jc w:val="center"/>
            </w:pPr>
            <w:r>
              <w:rPr>
                <w:color w:val="000000"/>
                <w:sz w:val="24"/>
                <w:szCs w:val="24"/>
              </w:rPr>
              <w:t>66.60%</w:t>
            </w:r>
          </w:p>
        </w:tc>
        <w:tc>
          <w:tcPr>
            <w:tcW w:w="1344" w:type="dxa"/>
            <w:vAlign w:val="center"/>
          </w:tcPr>
          <w:p w:rsidR="00236EB8" w:rsidRDefault="00C57759">
            <w:pPr>
              <w:jc w:val="center"/>
            </w:pPr>
            <w:r>
              <w:rPr>
                <w:color w:val="000000"/>
                <w:sz w:val="24"/>
                <w:szCs w:val="24"/>
              </w:rPr>
              <w:t>1.90%</w:t>
            </w:r>
          </w:p>
        </w:tc>
        <w:tc>
          <w:tcPr>
            <w:tcW w:w="1194" w:type="dxa"/>
            <w:vAlign w:val="center"/>
          </w:tcPr>
          <w:p w:rsidR="00236EB8" w:rsidRDefault="00C57759">
            <w:pPr>
              <w:jc w:val="center"/>
            </w:pPr>
            <w:r>
              <w:rPr>
                <w:color w:val="000000"/>
                <w:sz w:val="24"/>
                <w:szCs w:val="24"/>
              </w:rPr>
              <w:t>17.63%</w:t>
            </w:r>
          </w:p>
        </w:tc>
        <w:tc>
          <w:tcPr>
            <w:tcW w:w="1492" w:type="dxa"/>
            <w:vAlign w:val="center"/>
          </w:tcPr>
          <w:p w:rsidR="00236EB8" w:rsidRDefault="00C57759">
            <w:pPr>
              <w:jc w:val="center"/>
            </w:pPr>
            <w:r>
              <w:rPr>
                <w:color w:val="000000"/>
                <w:sz w:val="24"/>
                <w:szCs w:val="24"/>
              </w:rPr>
              <w:t>0.85%</w:t>
            </w:r>
          </w:p>
        </w:tc>
        <w:tc>
          <w:tcPr>
            <w:tcW w:w="1194" w:type="dxa"/>
            <w:vAlign w:val="center"/>
          </w:tcPr>
          <w:p w:rsidR="00236EB8" w:rsidRDefault="00C57759">
            <w:pPr>
              <w:jc w:val="center"/>
            </w:pPr>
            <w:r>
              <w:rPr>
                <w:color w:val="000000"/>
                <w:sz w:val="24"/>
                <w:szCs w:val="24"/>
              </w:rPr>
              <w:t>48.97%</w:t>
            </w:r>
          </w:p>
        </w:tc>
        <w:tc>
          <w:tcPr>
            <w:tcW w:w="898" w:type="dxa"/>
            <w:vAlign w:val="center"/>
          </w:tcPr>
          <w:p w:rsidR="00236EB8" w:rsidRDefault="00C57759">
            <w:pPr>
              <w:jc w:val="center"/>
            </w:pPr>
            <w:r>
              <w:rPr>
                <w:color w:val="000000"/>
                <w:sz w:val="24"/>
                <w:szCs w:val="24"/>
              </w:rPr>
              <w:t>1.05%</w:t>
            </w:r>
          </w:p>
        </w:tc>
      </w:tr>
      <w:tr w:rsidR="00236EB8">
        <w:trPr>
          <w:jc w:val="center"/>
        </w:trPr>
        <w:tc>
          <w:tcPr>
            <w:tcW w:w="1701" w:type="dxa"/>
            <w:vAlign w:val="center"/>
          </w:tcPr>
          <w:p w:rsidR="00236EB8" w:rsidRDefault="00C57759">
            <w:pPr>
              <w:jc w:val="left"/>
            </w:pPr>
            <w:r>
              <w:rPr>
                <w:color w:val="000000"/>
                <w:sz w:val="24"/>
                <w:szCs w:val="24"/>
              </w:rPr>
              <w:t>过去三年</w:t>
            </w:r>
          </w:p>
        </w:tc>
        <w:tc>
          <w:tcPr>
            <w:tcW w:w="1045" w:type="dxa"/>
            <w:vAlign w:val="center"/>
          </w:tcPr>
          <w:p w:rsidR="00236EB8" w:rsidRDefault="00C57759">
            <w:pPr>
              <w:jc w:val="center"/>
            </w:pPr>
            <w:r>
              <w:rPr>
                <w:color w:val="000000"/>
                <w:sz w:val="24"/>
                <w:szCs w:val="24"/>
              </w:rPr>
              <w:t>182.14%</w:t>
            </w:r>
          </w:p>
        </w:tc>
        <w:tc>
          <w:tcPr>
            <w:tcW w:w="1344" w:type="dxa"/>
            <w:vAlign w:val="center"/>
          </w:tcPr>
          <w:p w:rsidR="00236EB8" w:rsidRDefault="00C57759">
            <w:pPr>
              <w:jc w:val="center"/>
            </w:pPr>
            <w:r>
              <w:rPr>
                <w:color w:val="000000"/>
                <w:sz w:val="24"/>
                <w:szCs w:val="24"/>
              </w:rPr>
              <w:t>1.69%</w:t>
            </w:r>
          </w:p>
        </w:tc>
        <w:tc>
          <w:tcPr>
            <w:tcW w:w="1194" w:type="dxa"/>
            <w:vAlign w:val="center"/>
          </w:tcPr>
          <w:p w:rsidR="00236EB8" w:rsidRDefault="00C57759">
            <w:pPr>
              <w:jc w:val="center"/>
            </w:pPr>
            <w:r>
              <w:rPr>
                <w:color w:val="000000"/>
                <w:sz w:val="24"/>
                <w:szCs w:val="24"/>
              </w:rPr>
              <w:t>26.08%</w:t>
            </w:r>
          </w:p>
        </w:tc>
        <w:tc>
          <w:tcPr>
            <w:tcW w:w="1492" w:type="dxa"/>
            <w:vAlign w:val="center"/>
          </w:tcPr>
          <w:p w:rsidR="00236EB8" w:rsidRDefault="00C57759">
            <w:pPr>
              <w:jc w:val="center"/>
            </w:pPr>
            <w:r>
              <w:rPr>
                <w:color w:val="000000"/>
                <w:sz w:val="24"/>
                <w:szCs w:val="24"/>
              </w:rPr>
              <w:t>0.80%</w:t>
            </w:r>
          </w:p>
        </w:tc>
        <w:tc>
          <w:tcPr>
            <w:tcW w:w="1194" w:type="dxa"/>
            <w:vAlign w:val="center"/>
          </w:tcPr>
          <w:p w:rsidR="00236EB8" w:rsidRDefault="00C57759">
            <w:pPr>
              <w:jc w:val="center"/>
            </w:pPr>
            <w:r>
              <w:rPr>
                <w:color w:val="000000"/>
                <w:sz w:val="24"/>
                <w:szCs w:val="24"/>
              </w:rPr>
              <w:t>156.06%</w:t>
            </w:r>
          </w:p>
        </w:tc>
        <w:tc>
          <w:tcPr>
            <w:tcW w:w="898" w:type="dxa"/>
            <w:vAlign w:val="center"/>
          </w:tcPr>
          <w:p w:rsidR="00236EB8" w:rsidRDefault="00C57759">
            <w:pPr>
              <w:jc w:val="center"/>
            </w:pPr>
            <w:r>
              <w:rPr>
                <w:color w:val="000000"/>
                <w:sz w:val="24"/>
                <w:szCs w:val="24"/>
              </w:rPr>
              <w:t>0.89%</w:t>
            </w:r>
          </w:p>
        </w:tc>
      </w:tr>
      <w:tr w:rsidR="00236EB8">
        <w:trPr>
          <w:jc w:val="center"/>
        </w:trPr>
        <w:tc>
          <w:tcPr>
            <w:tcW w:w="1701" w:type="dxa"/>
            <w:vAlign w:val="center"/>
          </w:tcPr>
          <w:p w:rsidR="00236EB8" w:rsidRDefault="00C57759">
            <w:pPr>
              <w:jc w:val="left"/>
            </w:pPr>
            <w:r>
              <w:rPr>
                <w:color w:val="000000"/>
                <w:sz w:val="24"/>
                <w:szCs w:val="24"/>
              </w:rPr>
              <w:t>自基金合同生效至今</w:t>
            </w:r>
          </w:p>
        </w:tc>
        <w:tc>
          <w:tcPr>
            <w:tcW w:w="1045" w:type="dxa"/>
            <w:vAlign w:val="center"/>
          </w:tcPr>
          <w:p w:rsidR="00236EB8" w:rsidRDefault="00C57759">
            <w:pPr>
              <w:jc w:val="center"/>
            </w:pPr>
            <w:r>
              <w:rPr>
                <w:color w:val="000000"/>
                <w:sz w:val="24"/>
                <w:szCs w:val="24"/>
              </w:rPr>
              <w:t>228.83%</w:t>
            </w:r>
          </w:p>
        </w:tc>
        <w:tc>
          <w:tcPr>
            <w:tcW w:w="1344" w:type="dxa"/>
            <w:vAlign w:val="center"/>
          </w:tcPr>
          <w:p w:rsidR="00236EB8" w:rsidRDefault="00C57759">
            <w:pPr>
              <w:jc w:val="center"/>
            </w:pPr>
            <w:r>
              <w:rPr>
                <w:color w:val="000000"/>
                <w:sz w:val="24"/>
                <w:szCs w:val="24"/>
              </w:rPr>
              <w:t>1.48%</w:t>
            </w:r>
          </w:p>
        </w:tc>
        <w:tc>
          <w:tcPr>
            <w:tcW w:w="1194" w:type="dxa"/>
            <w:vAlign w:val="center"/>
          </w:tcPr>
          <w:p w:rsidR="00236EB8" w:rsidRDefault="00C57759">
            <w:pPr>
              <w:jc w:val="center"/>
            </w:pPr>
            <w:r>
              <w:rPr>
                <w:color w:val="000000"/>
                <w:sz w:val="24"/>
                <w:szCs w:val="24"/>
              </w:rPr>
              <w:t>41.07%</w:t>
            </w:r>
          </w:p>
        </w:tc>
        <w:tc>
          <w:tcPr>
            <w:tcW w:w="1492" w:type="dxa"/>
            <w:vAlign w:val="center"/>
          </w:tcPr>
          <w:p w:rsidR="00236EB8" w:rsidRDefault="00C57759">
            <w:pPr>
              <w:jc w:val="center"/>
            </w:pPr>
            <w:r>
              <w:rPr>
                <w:color w:val="000000"/>
                <w:sz w:val="24"/>
                <w:szCs w:val="24"/>
              </w:rPr>
              <w:t>0.71%</w:t>
            </w:r>
          </w:p>
        </w:tc>
        <w:tc>
          <w:tcPr>
            <w:tcW w:w="1194" w:type="dxa"/>
            <w:vAlign w:val="center"/>
          </w:tcPr>
          <w:p w:rsidR="00236EB8" w:rsidRDefault="00C57759">
            <w:pPr>
              <w:jc w:val="center"/>
            </w:pPr>
            <w:r>
              <w:rPr>
                <w:color w:val="000000"/>
                <w:sz w:val="24"/>
                <w:szCs w:val="24"/>
              </w:rPr>
              <w:t>187.76%</w:t>
            </w:r>
          </w:p>
        </w:tc>
        <w:tc>
          <w:tcPr>
            <w:tcW w:w="898" w:type="dxa"/>
            <w:vAlign w:val="center"/>
          </w:tcPr>
          <w:p w:rsidR="00236EB8" w:rsidRDefault="00C57759">
            <w:pPr>
              <w:jc w:val="center"/>
            </w:pPr>
            <w:r>
              <w:rPr>
                <w:color w:val="000000"/>
                <w:sz w:val="24"/>
                <w:szCs w:val="24"/>
              </w:rPr>
              <w:t>0.77%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交银施罗德经济新动力混合型证券投资基金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36EB8">
        <w:trPr>
          <w:jc w:val="center"/>
        </w:trPr>
        <w:tc>
          <w:tcPr>
            <w:tcW w:w="846" w:type="dxa"/>
            <w:vAlign w:val="center"/>
          </w:tcPr>
          <w:p w:rsidR="00236EB8" w:rsidRDefault="00C57759">
            <w:pPr>
              <w:jc w:val="center"/>
            </w:pPr>
            <w:r>
              <w:rPr>
                <w:color w:val="000000"/>
                <w:sz w:val="24"/>
                <w:szCs w:val="24"/>
              </w:rPr>
              <w:lastRenderedPageBreak/>
              <w:t>郭斐</w:t>
            </w:r>
          </w:p>
        </w:tc>
        <w:tc>
          <w:tcPr>
            <w:tcW w:w="845" w:type="dxa"/>
            <w:vAlign w:val="center"/>
          </w:tcPr>
          <w:p w:rsidR="00236EB8" w:rsidRDefault="00C57759">
            <w:pPr>
              <w:jc w:val="center"/>
            </w:pPr>
            <w:r>
              <w:rPr>
                <w:color w:val="000000"/>
                <w:sz w:val="24"/>
                <w:szCs w:val="24"/>
              </w:rPr>
              <w:t>交银成长</w:t>
            </w:r>
            <w:r>
              <w:rPr>
                <w:color w:val="000000"/>
                <w:sz w:val="24"/>
                <w:szCs w:val="24"/>
              </w:rPr>
              <w:t>30</w:t>
            </w:r>
            <w:r>
              <w:rPr>
                <w:color w:val="000000"/>
                <w:sz w:val="24"/>
                <w:szCs w:val="24"/>
              </w:rPr>
              <w:t>混合、交银经济新动力混合、交银创新领航混合的基金经理</w:t>
            </w:r>
          </w:p>
        </w:tc>
        <w:tc>
          <w:tcPr>
            <w:tcW w:w="1549" w:type="dxa"/>
            <w:vAlign w:val="center"/>
          </w:tcPr>
          <w:p w:rsidR="00236EB8" w:rsidRDefault="00C57759">
            <w:pPr>
              <w:jc w:val="center"/>
            </w:pPr>
            <w:r>
              <w:rPr>
                <w:color w:val="000000"/>
                <w:sz w:val="24"/>
                <w:szCs w:val="24"/>
              </w:rPr>
              <w:t>2018-06-02</w:t>
            </w:r>
          </w:p>
        </w:tc>
        <w:tc>
          <w:tcPr>
            <w:tcW w:w="1548" w:type="dxa"/>
            <w:vAlign w:val="center"/>
          </w:tcPr>
          <w:p w:rsidR="00236EB8" w:rsidRDefault="00C57759">
            <w:pPr>
              <w:jc w:val="center"/>
            </w:pPr>
            <w:r>
              <w:rPr>
                <w:color w:val="000000"/>
                <w:sz w:val="24"/>
                <w:szCs w:val="24"/>
              </w:rPr>
              <w:t>-</w:t>
            </w:r>
          </w:p>
        </w:tc>
        <w:tc>
          <w:tcPr>
            <w:tcW w:w="1407" w:type="dxa"/>
            <w:vAlign w:val="center"/>
          </w:tcPr>
          <w:p w:rsidR="00236EB8" w:rsidRDefault="00C57759">
            <w:pPr>
              <w:jc w:val="center"/>
            </w:pPr>
            <w:r>
              <w:rPr>
                <w:color w:val="000000"/>
                <w:sz w:val="24"/>
                <w:szCs w:val="24"/>
              </w:rPr>
              <w:t>11</w:t>
            </w:r>
            <w:r>
              <w:rPr>
                <w:color w:val="000000"/>
                <w:sz w:val="24"/>
                <w:szCs w:val="24"/>
              </w:rPr>
              <w:t>年</w:t>
            </w:r>
          </w:p>
        </w:tc>
        <w:tc>
          <w:tcPr>
            <w:tcW w:w="2673" w:type="dxa"/>
            <w:vAlign w:val="center"/>
          </w:tcPr>
          <w:p w:rsidR="00236EB8" w:rsidRDefault="00C57759">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月于高盛（亚洲）有限责任公司、高华证券公司任职。</w:t>
            </w:r>
            <w:r>
              <w:rPr>
                <w:color w:val="000000"/>
                <w:sz w:val="24"/>
                <w:szCs w:val="24"/>
              </w:rPr>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36EB8" w:rsidRDefault="00C5775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236EB8" w:rsidRDefault="00C5775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236EB8" w:rsidRDefault="00C5775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szCs w:val="24"/>
        </w:rPr>
        <w:t>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36EB8" w:rsidRDefault="00C57759">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年四季度，市场继续演绎极致分化，</w:t>
      </w:r>
      <w:r>
        <w:rPr>
          <w:color w:val="000000"/>
          <w:sz w:val="24"/>
          <w:szCs w:val="24"/>
        </w:rPr>
        <w:t>“</w:t>
      </w:r>
      <w:r>
        <w:rPr>
          <w:color w:val="000000"/>
          <w:sz w:val="24"/>
          <w:szCs w:val="24"/>
        </w:rPr>
        <w:t>不能被时代所改变</w:t>
      </w:r>
      <w:r>
        <w:rPr>
          <w:color w:val="000000"/>
          <w:sz w:val="24"/>
          <w:szCs w:val="24"/>
        </w:rPr>
        <w:t>”</w:t>
      </w:r>
      <w:r>
        <w:rPr>
          <w:color w:val="000000"/>
          <w:sz w:val="24"/>
          <w:szCs w:val="24"/>
        </w:rPr>
        <w:t>以及</w:t>
      </w:r>
      <w:r>
        <w:rPr>
          <w:color w:val="000000"/>
          <w:sz w:val="24"/>
          <w:szCs w:val="24"/>
        </w:rPr>
        <w:t>“</w:t>
      </w:r>
      <w:r>
        <w:rPr>
          <w:color w:val="000000"/>
          <w:sz w:val="24"/>
          <w:szCs w:val="24"/>
        </w:rPr>
        <w:t>改变时代</w:t>
      </w:r>
      <w:r>
        <w:rPr>
          <w:color w:val="000000"/>
          <w:sz w:val="24"/>
          <w:szCs w:val="24"/>
        </w:rPr>
        <w:t>”</w:t>
      </w:r>
      <w:r>
        <w:rPr>
          <w:color w:val="000000"/>
          <w:sz w:val="24"/>
          <w:szCs w:val="24"/>
        </w:rPr>
        <w:t>的两类资产成为</w:t>
      </w:r>
      <w:r>
        <w:rPr>
          <w:color w:val="000000"/>
          <w:sz w:val="24"/>
          <w:szCs w:val="24"/>
        </w:rPr>
        <w:t>A</w:t>
      </w:r>
      <w:r>
        <w:rPr>
          <w:color w:val="000000"/>
          <w:sz w:val="24"/>
          <w:szCs w:val="24"/>
        </w:rPr>
        <w:t>股市场表现最好的两个板块。</w:t>
      </w:r>
    </w:p>
    <w:p w:rsidR="00236EB8" w:rsidRDefault="00C57759">
      <w:pPr>
        <w:spacing w:before="29" w:line="288" w:lineRule="auto"/>
        <w:ind w:firstLineChars="200" w:firstLine="480"/>
        <w:rPr>
          <w:color w:val="000000"/>
          <w:sz w:val="24"/>
          <w:szCs w:val="24"/>
        </w:rPr>
      </w:pPr>
      <w:r>
        <w:rPr>
          <w:color w:val="000000"/>
          <w:sz w:val="24"/>
          <w:szCs w:val="24"/>
        </w:rPr>
        <w:t>报告期内，本基金重点配置了新能源汽车、军工元器件、创新硬件、消费建材以及外需复苏等领域的个股。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年一季度，随着货币政策的进一步常态化回归以及新股供给的不断增加，我们对流动性推升的估值扩张型个股更加谨慎。我们更为审慎地考量组合持仓背后估值与当期业绩以及远期空间之间的匹配度。在</w:t>
      </w:r>
      <w:r w:rsidRPr="00414345">
        <w:rPr>
          <w:color w:val="000000"/>
          <w:sz w:val="24"/>
          <w:szCs w:val="24"/>
        </w:rPr>
        <w:t>4G/5G</w:t>
      </w:r>
      <w:r w:rsidRPr="00414345">
        <w:rPr>
          <w:color w:val="000000"/>
          <w:sz w:val="24"/>
          <w:szCs w:val="24"/>
        </w:rPr>
        <w:t>代际之交、新能源革命已然启动、数据经济</w:t>
      </w:r>
      <w:r w:rsidRPr="00414345">
        <w:rPr>
          <w:color w:val="000000"/>
          <w:sz w:val="24"/>
          <w:szCs w:val="24"/>
        </w:rPr>
        <w:t>/</w:t>
      </w:r>
      <w:r w:rsidRPr="00414345">
        <w:rPr>
          <w:color w:val="000000"/>
          <w:sz w:val="24"/>
          <w:szCs w:val="24"/>
        </w:rPr>
        <w:t>企业数字化转型加速到来的当下，我们认为科技成长仍将是未来相当长一段时间内市场的主线。同时，跳出科技成长的狭隘边界，以更包容的视野，我们可以看到，在国民经济的各个产业，强者恒强的产业集中度提升、追求效率的工业化规模化转型、庞大内需支撑下的国产配套崛起共同催生了更多传统领域成长股的投资机遇。我们有幸已经挖掘出并持有一批估值具备吸引力的优质成长股，它们或顺应产业爆发的趋势，或有望成长为细分行业的隐形冠军。本基金将持续挖掘行业成长空间广阔、具备核心竞争力的公司，力求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7,189,599,250.20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92.91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7,189,599,250.20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92.91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502,616,432.43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45,759,267.01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7,737,974,949.64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48,546,734.00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6,386,126,668.23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73,579,908.55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178,466,428.84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125,490,635.00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301,577,678.79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15,081.10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75,764,143.77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7,189,599,250.20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93.82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36EB8">
        <w:trPr>
          <w:jc w:val="center"/>
        </w:trPr>
        <w:tc>
          <w:tcPr>
            <w:tcW w:w="855" w:type="dxa"/>
            <w:vAlign w:val="center"/>
          </w:tcPr>
          <w:p w:rsidR="00236EB8" w:rsidRDefault="00C57759">
            <w:pPr>
              <w:jc w:val="center"/>
            </w:pPr>
            <w:r>
              <w:rPr>
                <w:color w:val="000000"/>
                <w:sz w:val="24"/>
                <w:szCs w:val="24"/>
              </w:rPr>
              <w:t>1</w:t>
            </w:r>
          </w:p>
        </w:tc>
        <w:tc>
          <w:tcPr>
            <w:tcW w:w="1334" w:type="dxa"/>
            <w:vAlign w:val="center"/>
          </w:tcPr>
          <w:p w:rsidR="00236EB8" w:rsidRDefault="00C57759">
            <w:pPr>
              <w:jc w:val="center"/>
            </w:pPr>
            <w:r>
              <w:rPr>
                <w:color w:val="000000"/>
                <w:sz w:val="24"/>
                <w:szCs w:val="24"/>
              </w:rPr>
              <w:t>300014</w:t>
            </w:r>
          </w:p>
        </w:tc>
        <w:tc>
          <w:tcPr>
            <w:tcW w:w="1777" w:type="dxa"/>
            <w:vAlign w:val="center"/>
          </w:tcPr>
          <w:p w:rsidR="00236EB8" w:rsidRDefault="00C57759">
            <w:pPr>
              <w:jc w:val="center"/>
            </w:pPr>
            <w:r>
              <w:rPr>
                <w:color w:val="000000"/>
                <w:sz w:val="24"/>
                <w:szCs w:val="24"/>
              </w:rPr>
              <w:t>亿纬锂能</w:t>
            </w:r>
          </w:p>
        </w:tc>
        <w:tc>
          <w:tcPr>
            <w:tcW w:w="1334" w:type="dxa"/>
            <w:vAlign w:val="center"/>
          </w:tcPr>
          <w:p w:rsidR="00236EB8" w:rsidRDefault="00C57759">
            <w:pPr>
              <w:jc w:val="right"/>
            </w:pPr>
            <w:r>
              <w:rPr>
                <w:color w:val="000000"/>
                <w:sz w:val="24"/>
                <w:szCs w:val="24"/>
              </w:rPr>
              <w:t>9,166,880</w:t>
            </w:r>
          </w:p>
        </w:tc>
        <w:tc>
          <w:tcPr>
            <w:tcW w:w="1924" w:type="dxa"/>
            <w:vAlign w:val="center"/>
          </w:tcPr>
          <w:p w:rsidR="00236EB8" w:rsidRDefault="00C57759">
            <w:pPr>
              <w:jc w:val="right"/>
            </w:pPr>
            <w:r>
              <w:rPr>
                <w:color w:val="000000"/>
                <w:sz w:val="24"/>
                <w:szCs w:val="24"/>
              </w:rPr>
              <w:t>747,100,720.00</w:t>
            </w:r>
          </w:p>
        </w:tc>
        <w:tc>
          <w:tcPr>
            <w:tcW w:w="1644" w:type="dxa"/>
            <w:vAlign w:val="center"/>
          </w:tcPr>
          <w:p w:rsidR="00236EB8" w:rsidRDefault="00C57759">
            <w:pPr>
              <w:jc w:val="right"/>
            </w:pPr>
            <w:r>
              <w:rPr>
                <w:color w:val="000000"/>
                <w:sz w:val="24"/>
                <w:szCs w:val="24"/>
              </w:rPr>
              <w:t>9.75</w:t>
            </w:r>
          </w:p>
        </w:tc>
      </w:tr>
      <w:tr w:rsidR="00236EB8">
        <w:trPr>
          <w:jc w:val="center"/>
        </w:trPr>
        <w:tc>
          <w:tcPr>
            <w:tcW w:w="855" w:type="dxa"/>
            <w:vAlign w:val="center"/>
          </w:tcPr>
          <w:p w:rsidR="00236EB8" w:rsidRDefault="00C57759">
            <w:pPr>
              <w:jc w:val="center"/>
            </w:pPr>
            <w:r>
              <w:rPr>
                <w:color w:val="000000"/>
                <w:sz w:val="24"/>
                <w:szCs w:val="24"/>
              </w:rPr>
              <w:t>2</w:t>
            </w:r>
          </w:p>
        </w:tc>
        <w:tc>
          <w:tcPr>
            <w:tcW w:w="1334" w:type="dxa"/>
            <w:vAlign w:val="center"/>
          </w:tcPr>
          <w:p w:rsidR="00236EB8" w:rsidRDefault="00C57759">
            <w:pPr>
              <w:jc w:val="center"/>
            </w:pPr>
            <w:r>
              <w:rPr>
                <w:color w:val="000000"/>
                <w:sz w:val="24"/>
                <w:szCs w:val="24"/>
              </w:rPr>
              <w:t>002049</w:t>
            </w:r>
          </w:p>
        </w:tc>
        <w:tc>
          <w:tcPr>
            <w:tcW w:w="1777" w:type="dxa"/>
            <w:vAlign w:val="center"/>
          </w:tcPr>
          <w:p w:rsidR="00236EB8" w:rsidRDefault="00C57759">
            <w:pPr>
              <w:jc w:val="center"/>
            </w:pPr>
            <w:r>
              <w:rPr>
                <w:color w:val="000000"/>
                <w:sz w:val="24"/>
                <w:szCs w:val="24"/>
              </w:rPr>
              <w:t>紫光国微</w:t>
            </w:r>
          </w:p>
        </w:tc>
        <w:tc>
          <w:tcPr>
            <w:tcW w:w="1334" w:type="dxa"/>
            <w:vAlign w:val="center"/>
          </w:tcPr>
          <w:p w:rsidR="00236EB8" w:rsidRDefault="00C57759">
            <w:pPr>
              <w:jc w:val="right"/>
            </w:pPr>
            <w:r>
              <w:rPr>
                <w:color w:val="000000"/>
                <w:sz w:val="24"/>
                <w:szCs w:val="24"/>
              </w:rPr>
              <w:t>5,234,786</w:t>
            </w:r>
          </w:p>
        </w:tc>
        <w:tc>
          <w:tcPr>
            <w:tcW w:w="1924" w:type="dxa"/>
            <w:vAlign w:val="center"/>
          </w:tcPr>
          <w:p w:rsidR="00236EB8" w:rsidRDefault="00C57759">
            <w:pPr>
              <w:jc w:val="right"/>
            </w:pPr>
            <w:r>
              <w:rPr>
                <w:color w:val="000000"/>
                <w:sz w:val="24"/>
                <w:szCs w:val="24"/>
              </w:rPr>
              <w:t>700,466,714.66</w:t>
            </w:r>
          </w:p>
        </w:tc>
        <w:tc>
          <w:tcPr>
            <w:tcW w:w="1644" w:type="dxa"/>
            <w:vAlign w:val="center"/>
          </w:tcPr>
          <w:p w:rsidR="00236EB8" w:rsidRDefault="00C57759">
            <w:pPr>
              <w:jc w:val="right"/>
            </w:pPr>
            <w:r>
              <w:rPr>
                <w:color w:val="000000"/>
                <w:sz w:val="24"/>
                <w:szCs w:val="24"/>
              </w:rPr>
              <w:t>9.14</w:t>
            </w:r>
          </w:p>
        </w:tc>
      </w:tr>
      <w:tr w:rsidR="00236EB8">
        <w:trPr>
          <w:jc w:val="center"/>
        </w:trPr>
        <w:tc>
          <w:tcPr>
            <w:tcW w:w="855" w:type="dxa"/>
            <w:vAlign w:val="center"/>
          </w:tcPr>
          <w:p w:rsidR="00236EB8" w:rsidRDefault="00C57759">
            <w:pPr>
              <w:jc w:val="center"/>
            </w:pPr>
            <w:r>
              <w:rPr>
                <w:color w:val="000000"/>
                <w:sz w:val="24"/>
                <w:szCs w:val="24"/>
              </w:rPr>
              <w:t>3</w:t>
            </w:r>
          </w:p>
        </w:tc>
        <w:tc>
          <w:tcPr>
            <w:tcW w:w="1334" w:type="dxa"/>
            <w:vAlign w:val="center"/>
          </w:tcPr>
          <w:p w:rsidR="00236EB8" w:rsidRDefault="00C57759">
            <w:pPr>
              <w:jc w:val="center"/>
            </w:pPr>
            <w:r>
              <w:rPr>
                <w:color w:val="000000"/>
                <w:sz w:val="24"/>
                <w:szCs w:val="24"/>
              </w:rPr>
              <w:t>300408</w:t>
            </w:r>
          </w:p>
        </w:tc>
        <w:tc>
          <w:tcPr>
            <w:tcW w:w="1777" w:type="dxa"/>
            <w:vAlign w:val="center"/>
          </w:tcPr>
          <w:p w:rsidR="00236EB8" w:rsidRDefault="00C57759">
            <w:pPr>
              <w:jc w:val="center"/>
            </w:pPr>
            <w:r>
              <w:rPr>
                <w:color w:val="000000"/>
                <w:sz w:val="24"/>
                <w:szCs w:val="24"/>
              </w:rPr>
              <w:t>三环集团</w:t>
            </w:r>
          </w:p>
        </w:tc>
        <w:tc>
          <w:tcPr>
            <w:tcW w:w="1334" w:type="dxa"/>
            <w:vAlign w:val="center"/>
          </w:tcPr>
          <w:p w:rsidR="00236EB8" w:rsidRDefault="00C57759">
            <w:pPr>
              <w:jc w:val="right"/>
            </w:pPr>
            <w:r>
              <w:rPr>
                <w:color w:val="000000"/>
                <w:sz w:val="24"/>
                <w:szCs w:val="24"/>
              </w:rPr>
              <w:t>18,154,707</w:t>
            </w:r>
          </w:p>
        </w:tc>
        <w:tc>
          <w:tcPr>
            <w:tcW w:w="1924" w:type="dxa"/>
            <w:vAlign w:val="center"/>
          </w:tcPr>
          <w:p w:rsidR="00236EB8" w:rsidRDefault="00C57759">
            <w:pPr>
              <w:jc w:val="right"/>
            </w:pPr>
            <w:r>
              <w:rPr>
                <w:color w:val="000000"/>
                <w:sz w:val="24"/>
                <w:szCs w:val="24"/>
              </w:rPr>
              <w:t>676,262,835.75</w:t>
            </w:r>
          </w:p>
        </w:tc>
        <w:tc>
          <w:tcPr>
            <w:tcW w:w="1644" w:type="dxa"/>
            <w:vAlign w:val="center"/>
          </w:tcPr>
          <w:p w:rsidR="00236EB8" w:rsidRDefault="00C57759">
            <w:pPr>
              <w:jc w:val="right"/>
            </w:pPr>
            <w:r>
              <w:rPr>
                <w:color w:val="000000"/>
                <w:sz w:val="24"/>
                <w:szCs w:val="24"/>
              </w:rPr>
              <w:t>8.82</w:t>
            </w:r>
          </w:p>
        </w:tc>
      </w:tr>
      <w:tr w:rsidR="00236EB8">
        <w:trPr>
          <w:jc w:val="center"/>
        </w:trPr>
        <w:tc>
          <w:tcPr>
            <w:tcW w:w="855" w:type="dxa"/>
            <w:vAlign w:val="center"/>
          </w:tcPr>
          <w:p w:rsidR="00236EB8" w:rsidRDefault="00C57759">
            <w:pPr>
              <w:jc w:val="center"/>
            </w:pPr>
            <w:r>
              <w:rPr>
                <w:color w:val="000000"/>
                <w:sz w:val="24"/>
                <w:szCs w:val="24"/>
              </w:rPr>
              <w:t>4</w:t>
            </w:r>
          </w:p>
        </w:tc>
        <w:tc>
          <w:tcPr>
            <w:tcW w:w="1334" w:type="dxa"/>
            <w:vAlign w:val="center"/>
          </w:tcPr>
          <w:p w:rsidR="00236EB8" w:rsidRDefault="00C57759">
            <w:pPr>
              <w:jc w:val="center"/>
            </w:pPr>
            <w:r>
              <w:rPr>
                <w:color w:val="000000"/>
                <w:sz w:val="24"/>
                <w:szCs w:val="24"/>
              </w:rPr>
              <w:t>002271</w:t>
            </w:r>
          </w:p>
        </w:tc>
        <w:tc>
          <w:tcPr>
            <w:tcW w:w="1777" w:type="dxa"/>
            <w:vAlign w:val="center"/>
          </w:tcPr>
          <w:p w:rsidR="00236EB8" w:rsidRDefault="00C57759">
            <w:pPr>
              <w:jc w:val="center"/>
            </w:pPr>
            <w:r>
              <w:rPr>
                <w:color w:val="000000"/>
                <w:sz w:val="24"/>
                <w:szCs w:val="24"/>
              </w:rPr>
              <w:t>东方雨虹</w:t>
            </w:r>
          </w:p>
        </w:tc>
        <w:tc>
          <w:tcPr>
            <w:tcW w:w="1334" w:type="dxa"/>
            <w:vAlign w:val="center"/>
          </w:tcPr>
          <w:p w:rsidR="00236EB8" w:rsidRDefault="00C57759">
            <w:pPr>
              <w:jc w:val="right"/>
            </w:pPr>
            <w:r>
              <w:rPr>
                <w:color w:val="000000"/>
                <w:sz w:val="24"/>
                <w:szCs w:val="24"/>
              </w:rPr>
              <w:t>14,112,096</w:t>
            </w:r>
          </w:p>
        </w:tc>
        <w:tc>
          <w:tcPr>
            <w:tcW w:w="1924" w:type="dxa"/>
            <w:vAlign w:val="center"/>
          </w:tcPr>
          <w:p w:rsidR="00236EB8" w:rsidRDefault="00C57759">
            <w:pPr>
              <w:jc w:val="right"/>
            </w:pPr>
            <w:r>
              <w:rPr>
                <w:color w:val="000000"/>
                <w:sz w:val="24"/>
                <w:szCs w:val="24"/>
              </w:rPr>
              <w:t>547,549,324.80</w:t>
            </w:r>
          </w:p>
        </w:tc>
        <w:tc>
          <w:tcPr>
            <w:tcW w:w="1644" w:type="dxa"/>
            <w:vAlign w:val="center"/>
          </w:tcPr>
          <w:p w:rsidR="00236EB8" w:rsidRDefault="00C57759">
            <w:pPr>
              <w:jc w:val="right"/>
            </w:pPr>
            <w:r>
              <w:rPr>
                <w:color w:val="000000"/>
                <w:sz w:val="24"/>
                <w:szCs w:val="24"/>
              </w:rPr>
              <w:t>7.15</w:t>
            </w:r>
          </w:p>
        </w:tc>
      </w:tr>
      <w:tr w:rsidR="00236EB8">
        <w:trPr>
          <w:jc w:val="center"/>
        </w:trPr>
        <w:tc>
          <w:tcPr>
            <w:tcW w:w="855" w:type="dxa"/>
            <w:vAlign w:val="center"/>
          </w:tcPr>
          <w:p w:rsidR="00236EB8" w:rsidRDefault="00C57759">
            <w:pPr>
              <w:jc w:val="center"/>
            </w:pPr>
            <w:r>
              <w:rPr>
                <w:color w:val="000000"/>
                <w:sz w:val="24"/>
                <w:szCs w:val="24"/>
              </w:rPr>
              <w:t>5</w:t>
            </w:r>
          </w:p>
        </w:tc>
        <w:tc>
          <w:tcPr>
            <w:tcW w:w="1334" w:type="dxa"/>
            <w:vAlign w:val="center"/>
          </w:tcPr>
          <w:p w:rsidR="00236EB8" w:rsidRDefault="00C57759">
            <w:pPr>
              <w:jc w:val="center"/>
            </w:pPr>
            <w:r>
              <w:rPr>
                <w:color w:val="000000"/>
                <w:sz w:val="24"/>
                <w:szCs w:val="24"/>
              </w:rPr>
              <w:t>002475</w:t>
            </w:r>
          </w:p>
        </w:tc>
        <w:tc>
          <w:tcPr>
            <w:tcW w:w="1777" w:type="dxa"/>
            <w:vAlign w:val="center"/>
          </w:tcPr>
          <w:p w:rsidR="00236EB8" w:rsidRDefault="00C57759">
            <w:pPr>
              <w:jc w:val="center"/>
            </w:pPr>
            <w:r>
              <w:rPr>
                <w:color w:val="000000"/>
                <w:sz w:val="24"/>
                <w:szCs w:val="24"/>
              </w:rPr>
              <w:t>立讯精密</w:t>
            </w:r>
          </w:p>
        </w:tc>
        <w:tc>
          <w:tcPr>
            <w:tcW w:w="1334" w:type="dxa"/>
            <w:vAlign w:val="center"/>
          </w:tcPr>
          <w:p w:rsidR="00236EB8" w:rsidRDefault="00C57759">
            <w:pPr>
              <w:jc w:val="right"/>
            </w:pPr>
            <w:r>
              <w:rPr>
                <w:color w:val="000000"/>
                <w:sz w:val="24"/>
                <w:szCs w:val="24"/>
              </w:rPr>
              <w:t>9,495,214</w:t>
            </w:r>
          </w:p>
        </w:tc>
        <w:tc>
          <w:tcPr>
            <w:tcW w:w="1924" w:type="dxa"/>
            <w:vAlign w:val="center"/>
          </w:tcPr>
          <w:p w:rsidR="00236EB8" w:rsidRDefault="00C57759">
            <w:pPr>
              <w:jc w:val="right"/>
            </w:pPr>
            <w:r>
              <w:rPr>
                <w:color w:val="000000"/>
                <w:sz w:val="24"/>
                <w:szCs w:val="24"/>
              </w:rPr>
              <w:t>532,871,409.68</w:t>
            </w:r>
          </w:p>
        </w:tc>
        <w:tc>
          <w:tcPr>
            <w:tcW w:w="1644" w:type="dxa"/>
            <w:vAlign w:val="center"/>
          </w:tcPr>
          <w:p w:rsidR="00236EB8" w:rsidRDefault="00C57759">
            <w:pPr>
              <w:jc w:val="right"/>
            </w:pPr>
            <w:r>
              <w:rPr>
                <w:color w:val="000000"/>
                <w:sz w:val="24"/>
                <w:szCs w:val="24"/>
              </w:rPr>
              <w:t>6.95</w:t>
            </w:r>
          </w:p>
        </w:tc>
      </w:tr>
      <w:tr w:rsidR="00236EB8">
        <w:trPr>
          <w:jc w:val="center"/>
        </w:trPr>
        <w:tc>
          <w:tcPr>
            <w:tcW w:w="855" w:type="dxa"/>
            <w:vAlign w:val="center"/>
          </w:tcPr>
          <w:p w:rsidR="00236EB8" w:rsidRDefault="00C57759">
            <w:pPr>
              <w:jc w:val="center"/>
            </w:pPr>
            <w:r>
              <w:rPr>
                <w:color w:val="000000"/>
                <w:sz w:val="24"/>
                <w:szCs w:val="24"/>
              </w:rPr>
              <w:t>6</w:t>
            </w:r>
          </w:p>
        </w:tc>
        <w:tc>
          <w:tcPr>
            <w:tcW w:w="1334" w:type="dxa"/>
            <w:vAlign w:val="center"/>
          </w:tcPr>
          <w:p w:rsidR="00236EB8" w:rsidRDefault="00C57759">
            <w:pPr>
              <w:jc w:val="center"/>
            </w:pPr>
            <w:r>
              <w:rPr>
                <w:color w:val="000000"/>
                <w:sz w:val="24"/>
                <w:szCs w:val="24"/>
              </w:rPr>
              <w:t>002444</w:t>
            </w:r>
          </w:p>
        </w:tc>
        <w:tc>
          <w:tcPr>
            <w:tcW w:w="1777" w:type="dxa"/>
            <w:vAlign w:val="center"/>
          </w:tcPr>
          <w:p w:rsidR="00236EB8" w:rsidRDefault="00C57759">
            <w:pPr>
              <w:jc w:val="center"/>
            </w:pPr>
            <w:r>
              <w:rPr>
                <w:color w:val="000000"/>
                <w:sz w:val="24"/>
                <w:szCs w:val="24"/>
              </w:rPr>
              <w:t>巨星科技</w:t>
            </w:r>
          </w:p>
        </w:tc>
        <w:tc>
          <w:tcPr>
            <w:tcW w:w="1334" w:type="dxa"/>
            <w:vAlign w:val="center"/>
          </w:tcPr>
          <w:p w:rsidR="00236EB8" w:rsidRDefault="00C57759">
            <w:pPr>
              <w:jc w:val="right"/>
            </w:pPr>
            <w:r>
              <w:rPr>
                <w:color w:val="000000"/>
                <w:sz w:val="24"/>
                <w:szCs w:val="24"/>
              </w:rPr>
              <w:t>13,108,040</w:t>
            </w:r>
          </w:p>
        </w:tc>
        <w:tc>
          <w:tcPr>
            <w:tcW w:w="1924" w:type="dxa"/>
            <w:vAlign w:val="center"/>
          </w:tcPr>
          <w:p w:rsidR="00236EB8" w:rsidRDefault="00C57759">
            <w:pPr>
              <w:jc w:val="right"/>
            </w:pPr>
            <w:r>
              <w:rPr>
                <w:color w:val="000000"/>
                <w:sz w:val="24"/>
                <w:szCs w:val="24"/>
              </w:rPr>
              <w:t>407,791,124.40</w:t>
            </w:r>
          </w:p>
        </w:tc>
        <w:tc>
          <w:tcPr>
            <w:tcW w:w="1644" w:type="dxa"/>
            <w:vAlign w:val="center"/>
          </w:tcPr>
          <w:p w:rsidR="00236EB8" w:rsidRDefault="00C57759">
            <w:pPr>
              <w:jc w:val="right"/>
            </w:pPr>
            <w:r>
              <w:rPr>
                <w:color w:val="000000"/>
                <w:sz w:val="24"/>
                <w:szCs w:val="24"/>
              </w:rPr>
              <w:t>5.32</w:t>
            </w:r>
          </w:p>
        </w:tc>
      </w:tr>
      <w:tr w:rsidR="00236EB8">
        <w:trPr>
          <w:jc w:val="center"/>
        </w:trPr>
        <w:tc>
          <w:tcPr>
            <w:tcW w:w="855" w:type="dxa"/>
            <w:vAlign w:val="center"/>
          </w:tcPr>
          <w:p w:rsidR="00236EB8" w:rsidRDefault="00C57759">
            <w:pPr>
              <w:jc w:val="center"/>
            </w:pPr>
            <w:r>
              <w:rPr>
                <w:color w:val="000000"/>
                <w:sz w:val="24"/>
                <w:szCs w:val="24"/>
              </w:rPr>
              <w:t>7</w:t>
            </w:r>
          </w:p>
        </w:tc>
        <w:tc>
          <w:tcPr>
            <w:tcW w:w="1334" w:type="dxa"/>
            <w:vAlign w:val="center"/>
          </w:tcPr>
          <w:p w:rsidR="00236EB8" w:rsidRDefault="00C57759">
            <w:pPr>
              <w:jc w:val="center"/>
            </w:pPr>
            <w:r>
              <w:rPr>
                <w:color w:val="000000"/>
                <w:sz w:val="24"/>
                <w:szCs w:val="24"/>
              </w:rPr>
              <w:t>603799</w:t>
            </w:r>
          </w:p>
        </w:tc>
        <w:tc>
          <w:tcPr>
            <w:tcW w:w="1777" w:type="dxa"/>
            <w:vAlign w:val="center"/>
          </w:tcPr>
          <w:p w:rsidR="00236EB8" w:rsidRDefault="00C57759">
            <w:pPr>
              <w:jc w:val="center"/>
            </w:pPr>
            <w:r>
              <w:rPr>
                <w:color w:val="000000"/>
                <w:sz w:val="24"/>
                <w:szCs w:val="24"/>
              </w:rPr>
              <w:t>华友钴业</w:t>
            </w:r>
          </w:p>
        </w:tc>
        <w:tc>
          <w:tcPr>
            <w:tcW w:w="1334" w:type="dxa"/>
            <w:vAlign w:val="center"/>
          </w:tcPr>
          <w:p w:rsidR="00236EB8" w:rsidRDefault="00C57759">
            <w:pPr>
              <w:jc w:val="right"/>
            </w:pPr>
            <w:r>
              <w:rPr>
                <w:color w:val="000000"/>
                <w:sz w:val="24"/>
                <w:szCs w:val="24"/>
              </w:rPr>
              <w:t>4,616,212</w:t>
            </w:r>
          </w:p>
        </w:tc>
        <w:tc>
          <w:tcPr>
            <w:tcW w:w="1924" w:type="dxa"/>
            <w:vAlign w:val="center"/>
          </w:tcPr>
          <w:p w:rsidR="00236EB8" w:rsidRDefault="00C57759">
            <w:pPr>
              <w:jc w:val="right"/>
            </w:pPr>
            <w:r>
              <w:rPr>
                <w:color w:val="000000"/>
                <w:sz w:val="24"/>
                <w:szCs w:val="24"/>
              </w:rPr>
              <w:t>366,065,611.60</w:t>
            </w:r>
          </w:p>
        </w:tc>
        <w:tc>
          <w:tcPr>
            <w:tcW w:w="1644" w:type="dxa"/>
            <w:vAlign w:val="center"/>
          </w:tcPr>
          <w:p w:rsidR="00236EB8" w:rsidRDefault="00C57759">
            <w:pPr>
              <w:jc w:val="right"/>
            </w:pPr>
            <w:r>
              <w:rPr>
                <w:color w:val="000000"/>
                <w:sz w:val="24"/>
                <w:szCs w:val="24"/>
              </w:rPr>
              <w:t>4.78</w:t>
            </w:r>
          </w:p>
        </w:tc>
      </w:tr>
      <w:tr w:rsidR="00236EB8">
        <w:trPr>
          <w:jc w:val="center"/>
        </w:trPr>
        <w:tc>
          <w:tcPr>
            <w:tcW w:w="855" w:type="dxa"/>
            <w:vAlign w:val="center"/>
          </w:tcPr>
          <w:p w:rsidR="00236EB8" w:rsidRDefault="00C57759">
            <w:pPr>
              <w:jc w:val="center"/>
            </w:pPr>
            <w:r>
              <w:rPr>
                <w:color w:val="000000"/>
                <w:sz w:val="24"/>
                <w:szCs w:val="24"/>
              </w:rPr>
              <w:t>8</w:t>
            </w:r>
          </w:p>
        </w:tc>
        <w:tc>
          <w:tcPr>
            <w:tcW w:w="1334" w:type="dxa"/>
            <w:vAlign w:val="center"/>
          </w:tcPr>
          <w:p w:rsidR="00236EB8" w:rsidRDefault="00C57759">
            <w:pPr>
              <w:jc w:val="center"/>
            </w:pPr>
            <w:r>
              <w:rPr>
                <w:color w:val="000000"/>
                <w:sz w:val="24"/>
                <w:szCs w:val="24"/>
              </w:rPr>
              <w:t>002050</w:t>
            </w:r>
          </w:p>
        </w:tc>
        <w:tc>
          <w:tcPr>
            <w:tcW w:w="1777" w:type="dxa"/>
            <w:vAlign w:val="center"/>
          </w:tcPr>
          <w:p w:rsidR="00236EB8" w:rsidRDefault="00C57759">
            <w:pPr>
              <w:jc w:val="center"/>
            </w:pPr>
            <w:r>
              <w:rPr>
                <w:color w:val="000000"/>
                <w:sz w:val="24"/>
                <w:szCs w:val="24"/>
              </w:rPr>
              <w:t>三花智控</w:t>
            </w:r>
          </w:p>
        </w:tc>
        <w:tc>
          <w:tcPr>
            <w:tcW w:w="1334" w:type="dxa"/>
            <w:vAlign w:val="center"/>
          </w:tcPr>
          <w:p w:rsidR="00236EB8" w:rsidRDefault="00C57759">
            <w:pPr>
              <w:jc w:val="right"/>
            </w:pPr>
            <w:r>
              <w:rPr>
                <w:color w:val="000000"/>
                <w:sz w:val="24"/>
                <w:szCs w:val="24"/>
              </w:rPr>
              <w:t>14,552,154</w:t>
            </w:r>
          </w:p>
        </w:tc>
        <w:tc>
          <w:tcPr>
            <w:tcW w:w="1924" w:type="dxa"/>
            <w:vAlign w:val="center"/>
          </w:tcPr>
          <w:p w:rsidR="00236EB8" w:rsidRDefault="00C57759">
            <w:pPr>
              <w:jc w:val="right"/>
            </w:pPr>
            <w:r>
              <w:rPr>
                <w:color w:val="000000"/>
                <w:sz w:val="24"/>
                <w:szCs w:val="24"/>
              </w:rPr>
              <w:t>358,710,596.10</w:t>
            </w:r>
          </w:p>
        </w:tc>
        <w:tc>
          <w:tcPr>
            <w:tcW w:w="1644" w:type="dxa"/>
            <w:vAlign w:val="center"/>
          </w:tcPr>
          <w:p w:rsidR="00236EB8" w:rsidRDefault="00C57759">
            <w:pPr>
              <w:jc w:val="right"/>
            </w:pPr>
            <w:r>
              <w:rPr>
                <w:color w:val="000000"/>
                <w:sz w:val="24"/>
                <w:szCs w:val="24"/>
              </w:rPr>
              <w:t>4.68</w:t>
            </w:r>
          </w:p>
        </w:tc>
      </w:tr>
      <w:tr w:rsidR="00236EB8">
        <w:trPr>
          <w:jc w:val="center"/>
        </w:trPr>
        <w:tc>
          <w:tcPr>
            <w:tcW w:w="855" w:type="dxa"/>
            <w:vAlign w:val="center"/>
          </w:tcPr>
          <w:p w:rsidR="00236EB8" w:rsidRDefault="00C57759">
            <w:pPr>
              <w:jc w:val="center"/>
            </w:pPr>
            <w:r>
              <w:rPr>
                <w:color w:val="000000"/>
                <w:sz w:val="24"/>
                <w:szCs w:val="24"/>
              </w:rPr>
              <w:t>9</w:t>
            </w:r>
          </w:p>
        </w:tc>
        <w:tc>
          <w:tcPr>
            <w:tcW w:w="1334" w:type="dxa"/>
            <w:vAlign w:val="center"/>
          </w:tcPr>
          <w:p w:rsidR="00236EB8" w:rsidRDefault="00C57759">
            <w:pPr>
              <w:jc w:val="center"/>
            </w:pPr>
            <w:r>
              <w:rPr>
                <w:color w:val="000000"/>
                <w:sz w:val="24"/>
                <w:szCs w:val="24"/>
              </w:rPr>
              <w:t>000733</w:t>
            </w:r>
          </w:p>
        </w:tc>
        <w:tc>
          <w:tcPr>
            <w:tcW w:w="1777" w:type="dxa"/>
            <w:vAlign w:val="center"/>
          </w:tcPr>
          <w:p w:rsidR="00236EB8" w:rsidRDefault="00C57759">
            <w:pPr>
              <w:jc w:val="center"/>
            </w:pPr>
            <w:r>
              <w:rPr>
                <w:color w:val="000000"/>
                <w:sz w:val="24"/>
                <w:szCs w:val="24"/>
              </w:rPr>
              <w:t>振华科技</w:t>
            </w:r>
          </w:p>
        </w:tc>
        <w:tc>
          <w:tcPr>
            <w:tcW w:w="1334" w:type="dxa"/>
            <w:vAlign w:val="center"/>
          </w:tcPr>
          <w:p w:rsidR="00236EB8" w:rsidRDefault="00C57759">
            <w:pPr>
              <w:jc w:val="right"/>
            </w:pPr>
            <w:r>
              <w:rPr>
                <w:color w:val="000000"/>
                <w:sz w:val="24"/>
                <w:szCs w:val="24"/>
              </w:rPr>
              <w:t>4,590,247</w:t>
            </w:r>
          </w:p>
        </w:tc>
        <w:tc>
          <w:tcPr>
            <w:tcW w:w="1924" w:type="dxa"/>
            <w:vAlign w:val="center"/>
          </w:tcPr>
          <w:p w:rsidR="00236EB8" w:rsidRDefault="00C57759">
            <w:pPr>
              <w:jc w:val="right"/>
            </w:pPr>
            <w:r>
              <w:rPr>
                <w:color w:val="000000"/>
                <w:sz w:val="24"/>
                <w:szCs w:val="24"/>
              </w:rPr>
              <w:t>270,136,035.95</w:t>
            </w:r>
          </w:p>
        </w:tc>
        <w:tc>
          <w:tcPr>
            <w:tcW w:w="1644" w:type="dxa"/>
            <w:vAlign w:val="center"/>
          </w:tcPr>
          <w:p w:rsidR="00236EB8" w:rsidRDefault="00C57759">
            <w:pPr>
              <w:jc w:val="right"/>
            </w:pPr>
            <w:r>
              <w:rPr>
                <w:color w:val="000000"/>
                <w:sz w:val="24"/>
                <w:szCs w:val="24"/>
              </w:rPr>
              <w:t>3.53</w:t>
            </w:r>
          </w:p>
        </w:tc>
      </w:tr>
      <w:tr w:rsidR="00236EB8">
        <w:trPr>
          <w:jc w:val="center"/>
        </w:trPr>
        <w:tc>
          <w:tcPr>
            <w:tcW w:w="855" w:type="dxa"/>
            <w:vAlign w:val="center"/>
          </w:tcPr>
          <w:p w:rsidR="00236EB8" w:rsidRDefault="00C57759">
            <w:pPr>
              <w:jc w:val="center"/>
            </w:pPr>
            <w:r>
              <w:rPr>
                <w:color w:val="000000"/>
                <w:sz w:val="24"/>
                <w:szCs w:val="24"/>
              </w:rPr>
              <w:t>10</w:t>
            </w:r>
          </w:p>
        </w:tc>
        <w:tc>
          <w:tcPr>
            <w:tcW w:w="1334" w:type="dxa"/>
            <w:vAlign w:val="center"/>
          </w:tcPr>
          <w:p w:rsidR="00236EB8" w:rsidRDefault="00C57759">
            <w:pPr>
              <w:jc w:val="center"/>
            </w:pPr>
            <w:r>
              <w:rPr>
                <w:color w:val="000000"/>
                <w:sz w:val="24"/>
                <w:szCs w:val="24"/>
              </w:rPr>
              <w:t>002493</w:t>
            </w:r>
          </w:p>
        </w:tc>
        <w:tc>
          <w:tcPr>
            <w:tcW w:w="1777" w:type="dxa"/>
            <w:vAlign w:val="center"/>
          </w:tcPr>
          <w:p w:rsidR="00236EB8" w:rsidRDefault="00C57759">
            <w:pPr>
              <w:jc w:val="center"/>
            </w:pPr>
            <w:r>
              <w:rPr>
                <w:color w:val="000000"/>
                <w:sz w:val="24"/>
                <w:szCs w:val="24"/>
              </w:rPr>
              <w:t>荣盛石化</w:t>
            </w:r>
          </w:p>
        </w:tc>
        <w:tc>
          <w:tcPr>
            <w:tcW w:w="1334" w:type="dxa"/>
            <w:vAlign w:val="center"/>
          </w:tcPr>
          <w:p w:rsidR="00236EB8" w:rsidRDefault="00C57759">
            <w:pPr>
              <w:jc w:val="right"/>
            </w:pPr>
            <w:r>
              <w:rPr>
                <w:color w:val="000000"/>
                <w:sz w:val="24"/>
                <w:szCs w:val="24"/>
              </w:rPr>
              <w:t>9,883,196</w:t>
            </w:r>
          </w:p>
        </w:tc>
        <w:tc>
          <w:tcPr>
            <w:tcW w:w="1924" w:type="dxa"/>
            <w:vAlign w:val="center"/>
          </w:tcPr>
          <w:p w:rsidR="00236EB8" w:rsidRDefault="00C57759">
            <w:pPr>
              <w:jc w:val="right"/>
            </w:pPr>
            <w:r>
              <w:rPr>
                <w:color w:val="000000"/>
                <w:sz w:val="24"/>
                <w:szCs w:val="24"/>
              </w:rPr>
              <w:t>268,728,083.72</w:t>
            </w:r>
          </w:p>
        </w:tc>
        <w:tc>
          <w:tcPr>
            <w:tcW w:w="1644" w:type="dxa"/>
            <w:vAlign w:val="center"/>
          </w:tcPr>
          <w:p w:rsidR="00236EB8" w:rsidRDefault="00C57759">
            <w:pPr>
              <w:jc w:val="right"/>
            </w:pPr>
            <w:r>
              <w:rPr>
                <w:color w:val="000000"/>
                <w:sz w:val="24"/>
                <w:szCs w:val="24"/>
              </w:rPr>
              <w:t>3.51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1,560,568.32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26,516,566.97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62,702.06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17,619,429.66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45,759,267.01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36EB8">
        <w:trPr>
          <w:jc w:val="center"/>
        </w:trPr>
        <w:tc>
          <w:tcPr>
            <w:tcW w:w="1129" w:type="dxa"/>
            <w:vAlign w:val="center"/>
          </w:tcPr>
          <w:p w:rsidR="00236EB8" w:rsidRDefault="00C57759">
            <w:pPr>
              <w:jc w:val="center"/>
            </w:pPr>
            <w:r>
              <w:rPr>
                <w:color w:val="000000"/>
                <w:sz w:val="24"/>
                <w:szCs w:val="24"/>
              </w:rPr>
              <w:t>1</w:t>
            </w:r>
          </w:p>
        </w:tc>
        <w:tc>
          <w:tcPr>
            <w:tcW w:w="1356" w:type="dxa"/>
            <w:vAlign w:val="center"/>
          </w:tcPr>
          <w:p w:rsidR="00236EB8" w:rsidRDefault="00C57759">
            <w:pPr>
              <w:jc w:val="center"/>
            </w:pPr>
            <w:r>
              <w:rPr>
                <w:color w:val="000000"/>
                <w:sz w:val="24"/>
                <w:szCs w:val="24"/>
              </w:rPr>
              <w:t>002493</w:t>
            </w:r>
          </w:p>
        </w:tc>
        <w:tc>
          <w:tcPr>
            <w:tcW w:w="1355" w:type="dxa"/>
            <w:vAlign w:val="center"/>
          </w:tcPr>
          <w:p w:rsidR="00236EB8" w:rsidRDefault="00C57759">
            <w:pPr>
              <w:jc w:val="center"/>
            </w:pPr>
            <w:r>
              <w:rPr>
                <w:color w:val="000000"/>
                <w:sz w:val="24"/>
                <w:szCs w:val="24"/>
              </w:rPr>
              <w:t>荣盛石化</w:t>
            </w:r>
          </w:p>
        </w:tc>
        <w:tc>
          <w:tcPr>
            <w:tcW w:w="1880" w:type="dxa"/>
            <w:vAlign w:val="center"/>
          </w:tcPr>
          <w:p w:rsidR="00236EB8" w:rsidRDefault="00C57759">
            <w:pPr>
              <w:jc w:val="right"/>
            </w:pPr>
            <w:r>
              <w:rPr>
                <w:color w:val="000000"/>
                <w:sz w:val="24"/>
                <w:szCs w:val="24"/>
              </w:rPr>
              <w:t>84,610,798.72</w:t>
            </w:r>
          </w:p>
        </w:tc>
        <w:tc>
          <w:tcPr>
            <w:tcW w:w="1724" w:type="dxa"/>
            <w:vAlign w:val="center"/>
          </w:tcPr>
          <w:p w:rsidR="00236EB8" w:rsidRDefault="00C57759">
            <w:pPr>
              <w:jc w:val="right"/>
            </w:pPr>
            <w:r>
              <w:rPr>
                <w:color w:val="000000"/>
                <w:sz w:val="24"/>
                <w:szCs w:val="24"/>
              </w:rPr>
              <w:t>1.10</w:t>
            </w:r>
          </w:p>
        </w:tc>
        <w:tc>
          <w:tcPr>
            <w:tcW w:w="1424" w:type="dxa"/>
            <w:vAlign w:val="center"/>
          </w:tcPr>
          <w:p w:rsidR="00236EB8" w:rsidRDefault="00C57759">
            <w:pPr>
              <w:jc w:val="right"/>
            </w:pPr>
            <w:r>
              <w:rPr>
                <w:color w:val="000000"/>
                <w:sz w:val="24"/>
                <w:szCs w:val="24"/>
              </w:rPr>
              <w:t>非公开发行</w:t>
            </w:r>
          </w:p>
        </w:tc>
      </w:tr>
    </w:tbl>
    <w:p w:rsidR="002918E3" w:rsidRPr="00414345" w:rsidRDefault="002918E3" w:rsidP="00C15CAC">
      <w:pPr>
        <w:autoSpaceDE w:val="0"/>
        <w:autoSpaceDN w:val="0"/>
        <w:adjustRightInd w:val="0"/>
        <w:spacing w:before="29" w:line="288" w:lineRule="auto"/>
        <w:rPr>
          <w:color w:val="000000"/>
          <w:sz w:val="24"/>
          <w:szCs w:val="24"/>
        </w:rPr>
      </w:pPr>
      <w:bookmarkStart w:id="0" w:name="_GoBack"/>
      <w:bookmarkEnd w:id="0"/>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2,627,337,462.62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359,570,348.24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656,425,463.96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2,330,482,346.90</w:t>
            </w:r>
          </w:p>
        </w:tc>
      </w:tr>
    </w:tbl>
    <w:p w:rsidR="00236EB8" w:rsidRDefault="00C5775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、如果本报告期间发生转换入、份额类别调整、红利再投业务，则总申购份额中包含该业务；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、如果本报告期间发生转换出、份额类别调整业务，则总赎回份额中包含该业务。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36EB8" w:rsidRDefault="00C5775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、中国证监会准予交银施罗德经济新动力混合型证券投资基金募集注册的文件；</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、《交银施罗德经济新动力混合型证券投资基金基金合同》；</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、《交银施罗德经济新动力混合型证券投资基金招募说明书》；</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、《交银施罗德经济新动力混合型证券投资基金托管协议》；</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、关于申请募集注册交银施罗德经济新动力混合型证券投资基金的法律意见书；</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36EB8" w:rsidRDefault="00C5775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、报告期内交银施罗德经济新动力混合型证券投资基金在指定报刊上各项公告的原稿。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36EB8" w:rsidRDefault="00C5775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57759">
      <w:rPr>
        <w:noProof/>
        <w:kern w:val="0"/>
        <w:szCs w:val="21"/>
      </w:rPr>
      <w:t>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5775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交银施罗德经济新动力混合型证券投资基金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36EB8"/>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57759"/>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F371-EBC0-4396-8710-ACC1A683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12</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杨书月</cp:lastModifiedBy>
  <cp:revision>601</cp:revision>
  <dcterms:created xsi:type="dcterms:W3CDTF">2012-10-16T06:07:00Z</dcterms:created>
  <dcterms:modified xsi:type="dcterms:W3CDTF">2021-01-11T11:43:00Z</dcterms:modified>
</cp:coreProperties>
</file>