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交银施罗德国企改革灵活配置混合型证券投资基金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2020年第4季度报告</w:t>
      </w:r>
    </w:p>
    <w:p w:rsidP="00C15CAC" w:rsidR="004061AC" w:rsidRDefault="00655CD8" w:rsidRPr="0081286B">
      <w:pPr>
        <w:spacing w:before="29" w:line="288" w:lineRule="auto"/>
        <w:jc w:val="center"/>
        <w:rPr>
          <w:b/>
          <w:sz w:val="36"/>
          <w:szCs w:val="36"/>
        </w:rPr>
      </w:pPr>
      <w:r w:rsidRPr="0081286B">
        <w:rPr>
          <w:b/>
          <w:sz w:val="36"/>
          <w:szCs w:val="36"/>
        </w:rPr>
        <w:t>2020年12月31日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二〇二一年一月二十一日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交银国企改革灵活配置混合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519756</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519756</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2015年6月10日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217,555,175.78</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本基金主要投资受益于国企改革红利的上市公司股票，通过积极主动的投资管理，在合理控制投资风险的基础上，力争实现基金资产的长期稳定增值。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60%×沪深300指数+40%×中证综合债券指数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(2020年10月1日-2020年12月31日)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31,501,407.09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50,712,489.41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0.2276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378,854,889.64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1.741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15.07%</w:t>
            </w:r>
          </w:p>
        </w:tc>
        <w:tc>
          <w:tcPr>
            <w:vAlign w:val="center"/>
          </w:tcPr>
          <w:p>
            <w:pPr>
              <w:jc w:val="center"/>
            </w:pPr>
            <w:r>
              <w:rPr>
                <w:color w:val="000000"/>
                <w:sz w:val="24"/>
                <w:szCs w:val="24"/>
              </w:rPr>
              <w:t>0.94%</w:t>
            </w:r>
          </w:p>
        </w:tc>
        <w:tc>
          <w:tcPr>
            <w:vAlign w:val="center"/>
          </w:tcPr>
          <w:p>
            <w:pPr>
              <w:jc w:val="center"/>
            </w:pPr>
            <w:r>
              <w:rPr>
                <w:color w:val="000000"/>
                <w:sz w:val="24"/>
                <w:szCs w:val="24"/>
              </w:rPr>
              <w:t>8.55%</w:t>
            </w:r>
          </w:p>
        </w:tc>
        <w:tc>
          <w:tcPr>
            <w:vAlign w:val="center"/>
          </w:tcPr>
          <w:p>
            <w:pPr>
              <w:jc w:val="center"/>
            </w:pPr>
            <w:r>
              <w:rPr>
                <w:color w:val="000000"/>
                <w:sz w:val="24"/>
                <w:szCs w:val="24"/>
              </w:rPr>
              <w:t>0.59%</w:t>
            </w:r>
          </w:p>
        </w:tc>
        <w:tc>
          <w:tcPr>
            <w:vAlign w:val="center"/>
          </w:tcPr>
          <w:p>
            <w:pPr>
              <w:jc w:val="center"/>
            </w:pPr>
            <w:r>
              <w:rPr>
                <w:color w:val="000000"/>
                <w:sz w:val="24"/>
                <w:szCs w:val="24"/>
              </w:rPr>
              <w:t>6.52%</w:t>
            </w:r>
          </w:p>
        </w:tc>
        <w:tc>
          <w:tcPr>
            <w:vAlign w:val="center"/>
          </w:tcPr>
          <w:p>
            <w:pPr>
              <w:jc w:val="center"/>
            </w:pPr>
            <w:r>
              <w:rPr>
                <w:color w:val="000000"/>
                <w:sz w:val="24"/>
                <w:szCs w:val="24"/>
              </w:rPr>
              <w:t>0.35%</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39.73%</w:t>
            </w:r>
          </w:p>
        </w:tc>
        <w:tc>
          <w:tcPr>
            <w:vAlign w:val="center"/>
          </w:tcPr>
          <w:p>
            <w:pPr>
              <w:jc w:val="center"/>
            </w:pPr>
            <w:r>
              <w:rPr>
                <w:color w:val="000000"/>
                <w:sz w:val="24"/>
                <w:szCs w:val="24"/>
              </w:rPr>
              <w:t>1.30%</w:t>
            </w:r>
          </w:p>
        </w:tc>
        <w:tc>
          <w:tcPr>
            <w:vAlign w:val="center"/>
          </w:tcPr>
          <w:p>
            <w:pPr>
              <w:jc w:val="center"/>
            </w:pPr>
            <w:r>
              <w:rPr>
                <w:color w:val="000000"/>
                <w:sz w:val="24"/>
                <w:szCs w:val="24"/>
              </w:rPr>
              <w:t>15.02%</w:t>
            </w:r>
          </w:p>
        </w:tc>
        <w:tc>
          <w:tcPr>
            <w:vAlign w:val="center"/>
          </w:tcPr>
          <w:p>
            <w:pPr>
              <w:jc w:val="center"/>
            </w:pPr>
            <w:r>
              <w:rPr>
                <w:color w:val="000000"/>
                <w:sz w:val="24"/>
                <w:szCs w:val="24"/>
              </w:rPr>
              <w:t>0.80%</w:t>
            </w:r>
          </w:p>
        </w:tc>
        <w:tc>
          <w:tcPr>
            <w:vAlign w:val="center"/>
          </w:tcPr>
          <w:p>
            <w:pPr>
              <w:jc w:val="center"/>
            </w:pPr>
            <w:r>
              <w:rPr>
                <w:color w:val="000000"/>
                <w:sz w:val="24"/>
                <w:szCs w:val="24"/>
              </w:rPr>
              <w:t>24.71%</w:t>
            </w:r>
          </w:p>
        </w:tc>
        <w:tc>
          <w:tcPr>
            <w:vAlign w:val="center"/>
          </w:tcPr>
          <w:p>
            <w:pPr>
              <w:jc w:val="center"/>
            </w:pPr>
            <w:r>
              <w:rPr>
                <w:color w:val="000000"/>
                <w:sz w:val="24"/>
                <w:szCs w:val="24"/>
              </w:rPr>
              <w:t>0.50%</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54.89%</w:t>
            </w:r>
          </w:p>
        </w:tc>
        <w:tc>
          <w:tcPr>
            <w:vAlign w:val="center"/>
          </w:tcPr>
          <w:p>
            <w:pPr>
              <w:jc w:val="center"/>
            </w:pPr>
            <w:r>
              <w:rPr>
                <w:color w:val="000000"/>
                <w:sz w:val="24"/>
                <w:szCs w:val="24"/>
              </w:rPr>
              <w:t>1.38%</w:t>
            </w:r>
          </w:p>
        </w:tc>
        <w:tc>
          <w:tcPr>
            <w:vAlign w:val="center"/>
          </w:tcPr>
          <w:p>
            <w:pPr>
              <w:jc w:val="center"/>
            </w:pPr>
            <w:r>
              <w:rPr>
                <w:color w:val="000000"/>
                <w:sz w:val="24"/>
                <w:szCs w:val="24"/>
              </w:rPr>
              <w:t>17.63%</w:t>
            </w:r>
          </w:p>
        </w:tc>
        <w:tc>
          <w:tcPr>
            <w:vAlign w:val="center"/>
          </w:tcPr>
          <w:p>
            <w:pPr>
              <w:jc w:val="center"/>
            </w:pPr>
            <w:r>
              <w:rPr>
                <w:color w:val="000000"/>
                <w:sz w:val="24"/>
                <w:szCs w:val="24"/>
              </w:rPr>
              <w:t>0.85%</w:t>
            </w:r>
          </w:p>
        </w:tc>
        <w:tc>
          <w:tcPr>
            <w:vAlign w:val="center"/>
          </w:tcPr>
          <w:p>
            <w:pPr>
              <w:jc w:val="center"/>
            </w:pPr>
            <w:r>
              <w:rPr>
                <w:color w:val="000000"/>
                <w:sz w:val="24"/>
                <w:szCs w:val="24"/>
              </w:rPr>
              <w:t>37.26%</w:t>
            </w:r>
          </w:p>
        </w:tc>
        <w:tc>
          <w:tcPr>
            <w:vAlign w:val="center"/>
          </w:tcPr>
          <w:p>
            <w:pPr>
              <w:jc w:val="center"/>
            </w:pPr>
            <w:r>
              <w:rPr>
                <w:color w:val="000000"/>
                <w:sz w:val="24"/>
                <w:szCs w:val="24"/>
              </w:rPr>
              <w:t>0.53%</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67.89%</w:t>
            </w:r>
          </w:p>
        </w:tc>
        <w:tc>
          <w:tcPr>
            <w:vAlign w:val="center"/>
          </w:tcPr>
          <w:p>
            <w:pPr>
              <w:jc w:val="center"/>
            </w:pPr>
            <w:r>
              <w:rPr>
                <w:color w:val="000000"/>
                <w:sz w:val="24"/>
                <w:szCs w:val="24"/>
              </w:rPr>
              <w:t>1.25%</w:t>
            </w:r>
          </w:p>
        </w:tc>
        <w:tc>
          <w:tcPr>
            <w:vAlign w:val="center"/>
          </w:tcPr>
          <w:p>
            <w:pPr>
              <w:jc w:val="center"/>
            </w:pPr>
            <w:r>
              <w:rPr>
                <w:color w:val="000000"/>
                <w:sz w:val="24"/>
                <w:szCs w:val="24"/>
              </w:rPr>
              <w:t>26.08%</w:t>
            </w:r>
          </w:p>
        </w:tc>
        <w:tc>
          <w:tcPr>
            <w:vAlign w:val="center"/>
          </w:tcPr>
          <w:p>
            <w:pPr>
              <w:jc w:val="center"/>
            </w:pPr>
            <w:r>
              <w:rPr>
                <w:color w:val="000000"/>
                <w:sz w:val="24"/>
                <w:szCs w:val="24"/>
              </w:rPr>
              <w:t>0.80%</w:t>
            </w:r>
          </w:p>
        </w:tc>
        <w:tc>
          <w:tcPr>
            <w:vAlign w:val="center"/>
          </w:tcPr>
          <w:p>
            <w:pPr>
              <w:jc w:val="center"/>
            </w:pPr>
            <w:r>
              <w:rPr>
                <w:color w:val="000000"/>
                <w:sz w:val="24"/>
                <w:szCs w:val="24"/>
              </w:rPr>
              <w:t>41.81%</w:t>
            </w:r>
          </w:p>
        </w:tc>
        <w:tc>
          <w:tcPr>
            <w:vAlign w:val="center"/>
          </w:tcPr>
          <w:p>
            <w:pPr>
              <w:jc w:val="center"/>
            </w:pPr>
            <w:r>
              <w:rPr>
                <w:color w:val="000000"/>
                <w:sz w:val="24"/>
                <w:szCs w:val="24"/>
              </w:rPr>
              <w:t>0.45%</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60.17%</w:t>
            </w:r>
          </w:p>
        </w:tc>
        <w:tc>
          <w:tcPr>
            <w:vAlign w:val="center"/>
          </w:tcPr>
          <w:p>
            <w:pPr>
              <w:jc w:val="center"/>
            </w:pPr>
            <w:r>
              <w:rPr>
                <w:color w:val="000000"/>
                <w:sz w:val="24"/>
                <w:szCs w:val="24"/>
              </w:rPr>
              <w:t>1.25%</w:t>
            </w:r>
          </w:p>
        </w:tc>
        <w:tc>
          <w:tcPr>
            <w:vAlign w:val="center"/>
          </w:tcPr>
          <w:p>
            <w:pPr>
              <w:jc w:val="center"/>
            </w:pPr>
            <w:r>
              <w:rPr>
                <w:color w:val="000000"/>
                <w:sz w:val="24"/>
                <w:szCs w:val="24"/>
              </w:rPr>
              <w:t>34.27%</w:t>
            </w:r>
          </w:p>
        </w:tc>
        <w:tc>
          <w:tcPr>
            <w:vAlign w:val="center"/>
          </w:tcPr>
          <w:p>
            <w:pPr>
              <w:jc w:val="center"/>
            </w:pPr>
            <w:r>
              <w:rPr>
                <w:color w:val="000000"/>
                <w:sz w:val="24"/>
                <w:szCs w:val="24"/>
              </w:rPr>
              <w:t>0.75%</w:t>
            </w:r>
          </w:p>
        </w:tc>
        <w:tc>
          <w:tcPr>
            <w:vAlign w:val="center"/>
          </w:tcPr>
          <w:p>
            <w:pPr>
              <w:jc w:val="center"/>
            </w:pPr>
            <w:r>
              <w:rPr>
                <w:color w:val="000000"/>
                <w:sz w:val="24"/>
                <w:szCs w:val="24"/>
              </w:rPr>
              <w:t>25.90%</w:t>
            </w:r>
          </w:p>
        </w:tc>
        <w:tc>
          <w:tcPr>
            <w:vAlign w:val="center"/>
          </w:tcPr>
          <w:p>
            <w:pPr>
              <w:jc w:val="center"/>
            </w:pPr>
            <w:r>
              <w:rPr>
                <w:color w:val="000000"/>
                <w:sz w:val="24"/>
                <w:szCs w:val="24"/>
              </w:rPr>
              <w:t>0.50%</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74.10%</w:t>
            </w:r>
          </w:p>
        </w:tc>
        <w:tc>
          <w:tcPr>
            <w:vAlign w:val="center"/>
          </w:tcPr>
          <w:p>
            <w:pPr>
              <w:jc w:val="center"/>
            </w:pPr>
            <w:r>
              <w:rPr>
                <w:color w:val="000000"/>
                <w:sz w:val="24"/>
                <w:szCs w:val="24"/>
              </w:rPr>
              <w:t>1.31%</w:t>
            </w:r>
          </w:p>
        </w:tc>
        <w:tc>
          <w:tcPr>
            <w:vAlign w:val="center"/>
          </w:tcPr>
          <w:p>
            <w:pPr>
              <w:jc w:val="center"/>
            </w:pPr>
            <w:r>
              <w:rPr>
                <w:color w:val="000000"/>
                <w:sz w:val="24"/>
                <w:szCs w:val="24"/>
              </w:rPr>
              <w:t>11.91%</w:t>
            </w:r>
          </w:p>
        </w:tc>
        <w:tc>
          <w:tcPr>
            <w:vAlign w:val="center"/>
          </w:tcPr>
          <w:p>
            <w:pPr>
              <w:jc w:val="center"/>
            </w:pPr>
            <w:r>
              <w:rPr>
                <w:color w:val="000000"/>
                <w:sz w:val="24"/>
                <w:szCs w:val="24"/>
              </w:rPr>
              <w:t>0.89%</w:t>
            </w:r>
          </w:p>
        </w:tc>
        <w:tc>
          <w:tcPr>
            <w:vAlign w:val="center"/>
          </w:tcPr>
          <w:p>
            <w:pPr>
              <w:jc w:val="center"/>
            </w:pPr>
            <w:r>
              <w:rPr>
                <w:color w:val="000000"/>
                <w:sz w:val="24"/>
                <w:szCs w:val="24"/>
              </w:rPr>
              <w:t>62.19%</w:t>
            </w:r>
          </w:p>
        </w:tc>
        <w:tc>
          <w:tcPr>
            <w:vAlign w:val="center"/>
          </w:tcPr>
          <w:p>
            <w:pPr>
              <w:jc w:val="center"/>
            </w:pPr>
            <w:r>
              <w:rPr>
                <w:color w:val="000000"/>
                <w:sz w:val="24"/>
                <w:szCs w:val="24"/>
              </w:rPr>
              <w:t>0.42%</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60%×沪深300指数+40%×中信标普全债指数”变更为“60%×沪深300指数+40%×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交银施罗德国企改革灵活配置混合型证券投资基金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2015年6月10日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沈楠</w:t>
            </w:r>
          </w:p>
        </w:tc>
        <w:tc>
          <w:tcPr>
            <w:vAlign w:val="center"/>
          </w:tcPr>
          <w:p>
            <w:pPr>
              <w:jc w:val="center"/>
            </w:pPr>
            <w:r>
              <w:rPr>
                <w:color w:val="000000"/>
                <w:sz w:val="24"/>
                <w:szCs w:val="24"/>
              </w:rPr>
              <w:t>交银主题优选混合、交银国企改革灵活配置混合、交银瑞思混合的基金经理</w:t>
            </w:r>
          </w:p>
        </w:tc>
        <w:tc>
          <w:tcPr>
            <w:vAlign w:val="center"/>
          </w:tcPr>
          <w:p>
            <w:pPr>
              <w:jc w:val="center"/>
            </w:pPr>
            <w:r>
              <w:rPr>
                <w:color w:val="000000"/>
                <w:sz w:val="24"/>
                <w:szCs w:val="24"/>
              </w:rPr>
              <w:t>2015-06-10</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沈楠先生，复旦大学硕士。历任长江证券高级分析师，2011年加入交银施罗德基金管理有限公司，历任行业分析师、基金经理助理。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 xml:space="preserve">2020年四季度，全球新冠疫情继续反复，欧美实体经济在供给和需求层面均受到一定影响。国内疫情控制较好，带动外需持续强劲复苏。我们认为国内政策在未来一段时间将逐渐回归常态，但伴随实体经济的复苏，市场有望继续呈现较强的结构性行情。 </w:t>
      </w:r>
    </w:p>
    <w:p>
      <w:pPr>
        <w:spacing w:before="29" w:line="288" w:lineRule="auto"/>
        <w:ind w:firstLine="480" w:firstLineChars="200"/>
        <w:rPr>
          <w:color w:val="000000"/>
          <w:sz w:val="24"/>
          <w:szCs w:val="24"/>
        </w:rPr>
      </w:pPr>
      <w:r>
        <w:rPr>
          <w:color w:val="000000"/>
          <w:sz w:val="24"/>
          <w:szCs w:val="24"/>
        </w:rPr>
        <w:t>国企改革的进程仍在进一步推进，并尝试在多种混改形式下逐步探索，以释放并提升人力资本的效率。我们预计未来随着十四五规划的推出和完善，国内的结构性改革尤其是国资国企改革将得到进一步重视和推进，我们继续对该领域的投资机会保持乐观。</w:t>
      </w:r>
    </w:p>
    <w:p>
      <w:pPr>
        <w:spacing w:before="29" w:line="288" w:lineRule="auto"/>
        <w:ind w:firstLine="480" w:firstLineChars="200"/>
        <w:rPr>
          <w:color w:val="000000"/>
          <w:sz w:val="24"/>
          <w:szCs w:val="24"/>
        </w:rPr>
      </w:pPr>
      <w:r>
        <w:rPr>
          <w:color w:val="000000"/>
          <w:sz w:val="24"/>
          <w:szCs w:val="24"/>
        </w:rPr>
        <w:t>报告期内本基金重点配置了金融地产、军工、农业、食品医药、传媒等领域，以及部分高端制造和TMT相关的技术领先类国企。</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2021年一季度，我们认为随着疫苗的接种，海外自身需求迎来回暖，这对国内市场也将带来积极意义。我们将通过加强学习中央及地方国资部门的文件精神，把握最新改革方向，努力在混合所有制改革、管理层及核心员工激励、产业整合等几大维度进一步布局，分享国资国企改革带来的市场化红利。</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349,896,594.22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91.52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349,896,594.22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91.52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1,678,957.20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0.44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1,678,957.20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0.44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30,475,744.48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7.97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276,462.07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0.07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382,327,757.97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8,015,126.00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2.12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23,138,500.00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6.11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116,636,652.39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30.79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13,006,348.00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2,622,722.72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0.69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22,112,056.48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5.84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12,274,446.00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3.24</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20,205,196.14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5.33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82,659,656.78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21.82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26,736,073.02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7.06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15,127.56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3,075,081.10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19,399,608.03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5.12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349,896,594.22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92.36</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600030</w:t>
            </w:r>
          </w:p>
        </w:tc>
        <w:tc>
          <w:tcPr>
            <w:vAlign w:val="center"/>
          </w:tcPr>
          <w:p>
            <w:pPr>
              <w:jc w:val="center"/>
            </w:pPr>
            <w:r>
              <w:rPr>
                <w:color w:val="000000"/>
                <w:sz w:val="24"/>
                <w:szCs w:val="24"/>
              </w:rPr>
              <w:t>中信证券</w:t>
            </w:r>
          </w:p>
        </w:tc>
        <w:tc>
          <w:tcPr>
            <w:vAlign w:val="center"/>
          </w:tcPr>
          <w:p>
            <w:pPr>
              <w:jc w:val="right"/>
            </w:pPr>
            <w:r>
              <w:rPr>
                <w:color w:val="000000"/>
                <w:sz w:val="24"/>
                <w:szCs w:val="24"/>
              </w:rPr>
              <w:t>757,700</w:t>
            </w:r>
          </w:p>
        </w:tc>
        <w:tc>
          <w:tcPr>
            <w:vAlign w:val="center"/>
          </w:tcPr>
          <w:p>
            <w:pPr>
              <w:jc w:val="right"/>
            </w:pPr>
            <w:r>
              <w:rPr>
                <w:color w:val="000000"/>
                <w:sz w:val="24"/>
                <w:szCs w:val="24"/>
              </w:rPr>
              <w:t>22,276,380.00</w:t>
            </w:r>
          </w:p>
        </w:tc>
        <w:tc>
          <w:tcPr>
            <w:vAlign w:val="center"/>
          </w:tcPr>
          <w:p>
            <w:pPr>
              <w:jc w:val="right"/>
            </w:pPr>
            <w:r>
              <w:rPr>
                <w:color w:val="000000"/>
                <w:sz w:val="24"/>
                <w:szCs w:val="24"/>
              </w:rPr>
              <w:t>5.88</w:t>
            </w:r>
          </w:p>
        </w:tc>
      </w:tr>
      <w:tr>
        <w:tc>
          <w:tcPr>
            <w:vAlign w:val="center"/>
          </w:tcPr>
          <w:p>
            <w:pPr>
              <w:jc w:val="center"/>
            </w:pPr>
            <w:r>
              <w:rPr>
                <w:color w:val="000000"/>
                <w:sz w:val="24"/>
                <w:szCs w:val="24"/>
              </w:rPr>
              <w:t>2</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267,303</w:t>
            </w:r>
          </w:p>
        </w:tc>
        <w:tc>
          <w:tcPr>
            <w:vAlign w:val="center"/>
          </w:tcPr>
          <w:p>
            <w:pPr>
              <w:jc w:val="right"/>
            </w:pPr>
            <w:r>
              <w:rPr>
                <w:color w:val="000000"/>
                <w:sz w:val="24"/>
                <w:szCs w:val="24"/>
              </w:rPr>
              <w:t>19,379,467.50</w:t>
            </w:r>
          </w:p>
        </w:tc>
        <w:tc>
          <w:tcPr>
            <w:vAlign w:val="center"/>
          </w:tcPr>
          <w:p>
            <w:pPr>
              <w:jc w:val="right"/>
            </w:pPr>
            <w:r>
              <w:rPr>
                <w:color w:val="000000"/>
                <w:sz w:val="24"/>
                <w:szCs w:val="24"/>
              </w:rPr>
              <w:t>5.12</w:t>
            </w:r>
          </w:p>
        </w:tc>
      </w:tr>
      <w:tr>
        <w:tc>
          <w:tcPr>
            <w:vAlign w:val="center"/>
          </w:tcPr>
          <w:p>
            <w:pPr>
              <w:jc w:val="center"/>
            </w:pPr>
            <w:r>
              <w:rPr>
                <w:color w:val="000000"/>
                <w:sz w:val="24"/>
                <w:szCs w:val="24"/>
              </w:rPr>
              <w:t>3</w:t>
            </w:r>
          </w:p>
        </w:tc>
        <w:tc>
          <w:tcPr>
            <w:vAlign w:val="center"/>
          </w:tcPr>
          <w:p>
            <w:pPr>
              <w:jc w:val="center"/>
            </w:pPr>
            <w:r>
              <w:rPr>
                <w:color w:val="000000"/>
                <w:sz w:val="24"/>
                <w:szCs w:val="24"/>
              </w:rPr>
              <w:t>002049</w:t>
            </w:r>
          </w:p>
        </w:tc>
        <w:tc>
          <w:tcPr>
            <w:vAlign w:val="center"/>
          </w:tcPr>
          <w:p>
            <w:pPr>
              <w:jc w:val="center"/>
            </w:pPr>
            <w:r>
              <w:rPr>
                <w:color w:val="000000"/>
                <w:sz w:val="24"/>
                <w:szCs w:val="24"/>
              </w:rPr>
              <w:t>紫光国微</w:t>
            </w:r>
          </w:p>
        </w:tc>
        <w:tc>
          <w:tcPr>
            <w:vAlign w:val="center"/>
          </w:tcPr>
          <w:p>
            <w:pPr>
              <w:jc w:val="right"/>
            </w:pPr>
            <w:r>
              <w:rPr>
                <w:color w:val="000000"/>
                <w:sz w:val="24"/>
                <w:szCs w:val="24"/>
              </w:rPr>
              <w:t>113,800</w:t>
            </w:r>
          </w:p>
        </w:tc>
        <w:tc>
          <w:tcPr>
            <w:vAlign w:val="center"/>
          </w:tcPr>
          <w:p>
            <w:pPr>
              <w:jc w:val="right"/>
            </w:pPr>
            <w:r>
              <w:rPr>
                <w:color w:val="000000"/>
                <w:sz w:val="24"/>
                <w:szCs w:val="24"/>
              </w:rPr>
              <w:t>15,227,578.00</w:t>
            </w:r>
          </w:p>
        </w:tc>
        <w:tc>
          <w:tcPr>
            <w:vAlign w:val="center"/>
          </w:tcPr>
          <w:p>
            <w:pPr>
              <w:jc w:val="right"/>
            </w:pPr>
            <w:r>
              <w:rPr>
                <w:color w:val="000000"/>
                <w:sz w:val="24"/>
                <w:szCs w:val="24"/>
              </w:rPr>
              <w:t>4.02</w:t>
            </w:r>
          </w:p>
        </w:tc>
      </w:tr>
      <w:tr>
        <w:tc>
          <w:tcPr>
            <w:vAlign w:val="center"/>
          </w:tcPr>
          <w:p>
            <w:pPr>
              <w:jc w:val="center"/>
            </w:pPr>
            <w:r>
              <w:rPr>
                <w:color w:val="000000"/>
                <w:sz w:val="24"/>
                <w:szCs w:val="24"/>
              </w:rPr>
              <w:t>4</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954,534</w:t>
            </w:r>
          </w:p>
        </w:tc>
        <w:tc>
          <w:tcPr>
            <w:vAlign w:val="center"/>
          </w:tcPr>
          <w:p>
            <w:pPr>
              <w:jc w:val="right"/>
            </w:pPr>
            <w:r>
              <w:rPr>
                <w:color w:val="000000"/>
                <w:sz w:val="24"/>
                <w:szCs w:val="24"/>
              </w:rPr>
              <w:t>15,100,727.88</w:t>
            </w:r>
          </w:p>
        </w:tc>
        <w:tc>
          <w:tcPr>
            <w:vAlign w:val="center"/>
          </w:tcPr>
          <w:p>
            <w:pPr>
              <w:jc w:val="right"/>
            </w:pPr>
            <w:r>
              <w:rPr>
                <w:color w:val="000000"/>
                <w:sz w:val="24"/>
                <w:szCs w:val="24"/>
              </w:rPr>
              <w:t>3.99</w:t>
            </w:r>
          </w:p>
        </w:tc>
      </w:tr>
      <w:tr>
        <w:tc>
          <w:tcPr>
            <w:vAlign w:val="center"/>
          </w:tcPr>
          <w:p>
            <w:pPr>
              <w:jc w:val="center"/>
            </w:pPr>
            <w:r>
              <w:rPr>
                <w:color w:val="000000"/>
                <w:sz w:val="24"/>
                <w:szCs w:val="24"/>
              </w:rPr>
              <w:t>5</w:t>
            </w:r>
          </w:p>
        </w:tc>
        <w:tc>
          <w:tcPr>
            <w:vAlign w:val="center"/>
          </w:tcPr>
          <w:p>
            <w:pPr>
              <w:jc w:val="center"/>
            </w:pPr>
            <w:r>
              <w:rPr>
                <w:color w:val="000000"/>
                <w:sz w:val="24"/>
                <w:szCs w:val="24"/>
              </w:rPr>
              <w:t>601601</w:t>
            </w:r>
          </w:p>
        </w:tc>
        <w:tc>
          <w:tcPr>
            <w:vAlign w:val="center"/>
          </w:tcPr>
          <w:p>
            <w:pPr>
              <w:jc w:val="center"/>
            </w:pPr>
            <w:r>
              <w:rPr>
                <w:color w:val="000000"/>
                <w:sz w:val="24"/>
                <w:szCs w:val="24"/>
              </w:rPr>
              <w:t>中国太保</w:t>
            </w:r>
          </w:p>
        </w:tc>
        <w:tc>
          <w:tcPr>
            <w:vAlign w:val="center"/>
          </w:tcPr>
          <w:p>
            <w:pPr>
              <w:jc w:val="right"/>
            </w:pPr>
            <w:r>
              <w:rPr>
                <w:color w:val="000000"/>
                <w:sz w:val="24"/>
                <w:szCs w:val="24"/>
              </w:rPr>
              <w:t>390,000</w:t>
            </w:r>
          </w:p>
        </w:tc>
        <w:tc>
          <w:tcPr>
            <w:vAlign w:val="center"/>
          </w:tcPr>
          <w:p>
            <w:pPr>
              <w:jc w:val="right"/>
            </w:pPr>
            <w:r>
              <w:rPr>
                <w:color w:val="000000"/>
                <w:sz w:val="24"/>
                <w:szCs w:val="24"/>
              </w:rPr>
              <w:t>14,976,000.00</w:t>
            </w:r>
          </w:p>
        </w:tc>
        <w:tc>
          <w:tcPr>
            <w:vAlign w:val="center"/>
          </w:tcPr>
          <w:p>
            <w:pPr>
              <w:jc w:val="right"/>
            </w:pPr>
            <w:r>
              <w:rPr>
                <w:color w:val="000000"/>
                <w:sz w:val="24"/>
                <w:szCs w:val="24"/>
              </w:rPr>
              <w:t>3.95</w:t>
            </w:r>
          </w:p>
        </w:tc>
      </w:tr>
      <w:tr>
        <w:tc>
          <w:tcPr>
            <w:vAlign w:val="center"/>
          </w:tcPr>
          <w:p>
            <w:pPr>
              <w:jc w:val="center"/>
            </w:pPr>
            <w:r>
              <w:rPr>
                <w:color w:val="000000"/>
                <w:sz w:val="24"/>
                <w:szCs w:val="24"/>
              </w:rPr>
              <w:t>6</w:t>
            </w:r>
          </w:p>
        </w:tc>
        <w:tc>
          <w:tcPr>
            <w:vAlign w:val="center"/>
          </w:tcPr>
          <w:p>
            <w:pPr>
              <w:jc w:val="center"/>
            </w:pPr>
            <w:r>
              <w:rPr>
                <w:color w:val="000000"/>
                <w:sz w:val="24"/>
                <w:szCs w:val="24"/>
              </w:rPr>
              <w:t>601688</w:t>
            </w:r>
          </w:p>
        </w:tc>
        <w:tc>
          <w:tcPr>
            <w:vAlign w:val="center"/>
          </w:tcPr>
          <w:p>
            <w:pPr>
              <w:jc w:val="center"/>
            </w:pPr>
            <w:r>
              <w:rPr>
                <w:color w:val="000000"/>
                <w:sz w:val="24"/>
                <w:szCs w:val="24"/>
              </w:rPr>
              <w:t>华泰证券</w:t>
            </w:r>
          </w:p>
        </w:tc>
        <w:tc>
          <w:tcPr>
            <w:vAlign w:val="center"/>
          </w:tcPr>
          <w:p>
            <w:pPr>
              <w:jc w:val="right"/>
            </w:pPr>
            <w:r>
              <w:rPr>
                <w:color w:val="000000"/>
                <w:sz w:val="24"/>
                <w:szCs w:val="24"/>
              </w:rPr>
              <w:t>698,277</w:t>
            </w:r>
          </w:p>
        </w:tc>
        <w:tc>
          <w:tcPr>
            <w:vAlign w:val="center"/>
          </w:tcPr>
          <w:p>
            <w:pPr>
              <w:jc w:val="right"/>
            </w:pPr>
            <w:r>
              <w:rPr>
                <w:color w:val="000000"/>
                <w:sz w:val="24"/>
                <w:szCs w:val="24"/>
              </w:rPr>
              <w:t>12,575,968.77</w:t>
            </w:r>
          </w:p>
        </w:tc>
        <w:tc>
          <w:tcPr>
            <w:vAlign w:val="center"/>
          </w:tcPr>
          <w:p>
            <w:pPr>
              <w:jc w:val="right"/>
            </w:pPr>
            <w:r>
              <w:rPr>
                <w:color w:val="000000"/>
                <w:sz w:val="24"/>
                <w:szCs w:val="24"/>
              </w:rPr>
              <w:t>3.32</w:t>
            </w:r>
          </w:p>
        </w:tc>
      </w:tr>
      <w:tr>
        <w:tc>
          <w:tcPr>
            <w:vAlign w:val="center"/>
          </w:tcPr>
          <w:p>
            <w:pPr>
              <w:jc w:val="center"/>
            </w:pPr>
            <w:r>
              <w:rPr>
                <w:color w:val="000000"/>
                <w:sz w:val="24"/>
                <w:szCs w:val="24"/>
              </w:rPr>
              <w:t>7</w:t>
            </w:r>
          </w:p>
        </w:tc>
        <w:tc>
          <w:tcPr>
            <w:vAlign w:val="center"/>
          </w:tcPr>
          <w:p>
            <w:pPr>
              <w:jc w:val="center"/>
            </w:pPr>
            <w:r>
              <w:rPr>
                <w:color w:val="000000"/>
                <w:sz w:val="24"/>
                <w:szCs w:val="24"/>
              </w:rPr>
              <w:t>600754</w:t>
            </w:r>
          </w:p>
        </w:tc>
        <w:tc>
          <w:tcPr>
            <w:vAlign w:val="center"/>
          </w:tcPr>
          <w:p>
            <w:pPr>
              <w:jc w:val="center"/>
            </w:pPr>
            <w:r>
              <w:rPr>
                <w:color w:val="000000"/>
                <w:sz w:val="24"/>
                <w:szCs w:val="24"/>
              </w:rPr>
              <w:t>锦江酒店</w:t>
            </w:r>
          </w:p>
        </w:tc>
        <w:tc>
          <w:tcPr>
            <w:vAlign w:val="center"/>
          </w:tcPr>
          <w:p>
            <w:pPr>
              <w:jc w:val="right"/>
            </w:pPr>
            <w:r>
              <w:rPr>
                <w:color w:val="000000"/>
                <w:sz w:val="24"/>
                <w:szCs w:val="24"/>
              </w:rPr>
              <w:t>238,200</w:t>
            </w:r>
          </w:p>
        </w:tc>
        <w:tc>
          <w:tcPr>
            <w:vAlign w:val="center"/>
          </w:tcPr>
          <w:p>
            <w:pPr>
              <w:jc w:val="right"/>
            </w:pPr>
            <w:r>
              <w:rPr>
                <w:color w:val="000000"/>
                <w:sz w:val="24"/>
                <w:szCs w:val="24"/>
              </w:rPr>
              <w:t>12,274,446.00</w:t>
            </w:r>
          </w:p>
        </w:tc>
        <w:tc>
          <w:tcPr>
            <w:vAlign w:val="center"/>
          </w:tcPr>
          <w:p>
            <w:pPr>
              <w:jc w:val="right"/>
            </w:pPr>
            <w:r>
              <w:rPr>
                <w:color w:val="000000"/>
                <w:sz w:val="24"/>
                <w:szCs w:val="24"/>
              </w:rPr>
              <w:t>3.24</w:t>
            </w:r>
          </w:p>
        </w:tc>
      </w:tr>
      <w:tr>
        <w:tc>
          <w:tcPr>
            <w:vAlign w:val="center"/>
          </w:tcPr>
          <w:p>
            <w:pPr>
              <w:jc w:val="center"/>
            </w:pPr>
            <w:r>
              <w:rPr>
                <w:color w:val="000000"/>
                <w:sz w:val="24"/>
                <w:szCs w:val="24"/>
              </w:rPr>
              <w:t>8</w:t>
            </w:r>
          </w:p>
        </w:tc>
        <w:tc>
          <w:tcPr>
            <w:vAlign w:val="center"/>
          </w:tcPr>
          <w:p>
            <w:pPr>
              <w:jc w:val="center"/>
            </w:pPr>
            <w:r>
              <w:rPr>
                <w:color w:val="000000"/>
                <w:sz w:val="24"/>
                <w:szCs w:val="24"/>
              </w:rPr>
              <w:t>601658</w:t>
            </w:r>
          </w:p>
        </w:tc>
        <w:tc>
          <w:tcPr>
            <w:vAlign w:val="center"/>
          </w:tcPr>
          <w:p>
            <w:pPr>
              <w:jc w:val="center"/>
            </w:pPr>
            <w:r>
              <w:rPr>
                <w:color w:val="000000"/>
                <w:sz w:val="24"/>
                <w:szCs w:val="24"/>
              </w:rPr>
              <w:t>邮储银行</w:t>
            </w:r>
          </w:p>
        </w:tc>
        <w:tc>
          <w:tcPr>
            <w:vAlign w:val="center"/>
          </w:tcPr>
          <w:p>
            <w:pPr>
              <w:jc w:val="right"/>
            </w:pPr>
            <w:r>
              <w:rPr>
                <w:color w:val="000000"/>
                <w:sz w:val="24"/>
                <w:szCs w:val="24"/>
              </w:rPr>
              <w:t>2,464,360</w:t>
            </w:r>
          </w:p>
        </w:tc>
        <w:tc>
          <w:tcPr>
            <w:vAlign w:val="center"/>
          </w:tcPr>
          <w:p>
            <w:pPr>
              <w:jc w:val="right"/>
            </w:pPr>
            <w:r>
              <w:rPr>
                <w:color w:val="000000"/>
                <w:sz w:val="24"/>
                <w:szCs w:val="24"/>
              </w:rPr>
              <w:t>11,779,640.80</w:t>
            </w:r>
          </w:p>
        </w:tc>
        <w:tc>
          <w:tcPr>
            <w:vAlign w:val="center"/>
          </w:tcPr>
          <w:p>
            <w:pPr>
              <w:jc w:val="right"/>
            </w:pPr>
            <w:r>
              <w:rPr>
                <w:color w:val="000000"/>
                <w:sz w:val="24"/>
                <w:szCs w:val="24"/>
              </w:rPr>
              <w:t>3.11</w:t>
            </w:r>
          </w:p>
        </w:tc>
      </w:tr>
      <w:tr>
        <w:tc>
          <w:tcPr>
            <w:vAlign w:val="center"/>
          </w:tcPr>
          <w:p>
            <w:pPr>
              <w:jc w:val="center"/>
            </w:pPr>
            <w:r>
              <w:rPr>
                <w:color w:val="000000"/>
                <w:sz w:val="24"/>
                <w:szCs w:val="24"/>
              </w:rPr>
              <w:t>9</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405,100</w:t>
            </w:r>
          </w:p>
        </w:tc>
        <w:tc>
          <w:tcPr>
            <w:vAlign w:val="center"/>
          </w:tcPr>
          <w:p>
            <w:pPr>
              <w:jc w:val="right"/>
            </w:pPr>
            <w:r>
              <w:rPr>
                <w:color w:val="000000"/>
                <w:sz w:val="24"/>
                <w:szCs w:val="24"/>
              </w:rPr>
              <w:t>11,626,370.00</w:t>
            </w:r>
          </w:p>
        </w:tc>
        <w:tc>
          <w:tcPr>
            <w:vAlign w:val="center"/>
          </w:tcPr>
          <w:p>
            <w:pPr>
              <w:jc w:val="right"/>
            </w:pPr>
            <w:r>
              <w:rPr>
                <w:color w:val="000000"/>
                <w:sz w:val="24"/>
                <w:szCs w:val="24"/>
              </w:rPr>
              <w:t>3.07</w:t>
            </w:r>
          </w:p>
        </w:tc>
      </w:tr>
      <w:tr>
        <w:tc>
          <w:tcPr>
            <w:vAlign w:val="center"/>
          </w:tcPr>
          <w:p>
            <w:pPr>
              <w:jc w:val="center"/>
            </w:pPr>
            <w:r>
              <w:rPr>
                <w:color w:val="000000"/>
                <w:sz w:val="24"/>
                <w:szCs w:val="24"/>
              </w:rPr>
              <w:t>10</w:t>
            </w:r>
          </w:p>
        </w:tc>
        <w:tc>
          <w:tcPr>
            <w:vAlign w:val="center"/>
          </w:tcPr>
          <w:p>
            <w:pPr>
              <w:jc w:val="center"/>
            </w:pPr>
            <w:r>
              <w:rPr>
                <w:color w:val="000000"/>
                <w:sz w:val="24"/>
                <w:szCs w:val="24"/>
              </w:rPr>
              <w:t>000733</w:t>
            </w:r>
          </w:p>
        </w:tc>
        <w:tc>
          <w:tcPr>
            <w:vAlign w:val="center"/>
          </w:tcPr>
          <w:p>
            <w:pPr>
              <w:jc w:val="center"/>
            </w:pPr>
            <w:r>
              <w:rPr>
                <w:color w:val="000000"/>
                <w:sz w:val="24"/>
                <w:szCs w:val="24"/>
              </w:rPr>
              <w:t>振华科技</w:t>
            </w:r>
          </w:p>
        </w:tc>
        <w:tc>
          <w:tcPr>
            <w:vAlign w:val="center"/>
          </w:tcPr>
          <w:p>
            <w:pPr>
              <w:jc w:val="right"/>
            </w:pPr>
            <w:r>
              <w:rPr>
                <w:color w:val="000000"/>
                <w:sz w:val="24"/>
                <w:szCs w:val="24"/>
              </w:rPr>
              <w:t>193,400</w:t>
            </w:r>
          </w:p>
        </w:tc>
        <w:tc>
          <w:tcPr>
            <w:vAlign w:val="center"/>
          </w:tcPr>
          <w:p>
            <w:pPr>
              <w:jc w:val="right"/>
            </w:pPr>
            <w:r>
              <w:rPr>
                <w:color w:val="000000"/>
                <w:sz w:val="24"/>
                <w:szCs w:val="24"/>
              </w:rPr>
              <w:t>11,381,590.00</w:t>
            </w:r>
          </w:p>
        </w:tc>
        <w:tc>
          <w:tcPr>
            <w:vAlign w:val="center"/>
          </w:tcPr>
          <w:p>
            <w:pPr>
              <w:jc w:val="right"/>
            </w:pPr>
            <w:r>
              <w:rPr>
                <w:color w:val="000000"/>
                <w:sz w:val="24"/>
                <w:szCs w:val="24"/>
              </w:rPr>
              <w:t>3.00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1,678,957.20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0.44</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1,678,957.20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0.44</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110077</w:t>
            </w:r>
          </w:p>
        </w:tc>
        <w:tc>
          <w:tcPr>
            <w:vAlign w:val="center"/>
          </w:tcPr>
          <w:p>
            <w:pPr>
              <w:jc w:val="center"/>
            </w:pPr>
            <w:r>
              <w:rPr>
                <w:color w:val="000000"/>
                <w:sz w:val="24"/>
                <w:szCs w:val="24"/>
              </w:rPr>
              <w:t>洪城转债</w:t>
            </w:r>
          </w:p>
        </w:tc>
        <w:tc>
          <w:tcPr>
            <w:vAlign w:val="center"/>
          </w:tcPr>
          <w:p>
            <w:pPr>
              <w:jc w:val="right"/>
            </w:pPr>
            <w:r>
              <w:rPr>
                <w:color w:val="000000"/>
                <w:sz w:val="24"/>
                <w:szCs w:val="24"/>
              </w:rPr>
              <w:t>14,940</w:t>
            </w:r>
          </w:p>
        </w:tc>
        <w:tc>
          <w:tcPr>
            <w:vAlign w:val="center"/>
          </w:tcPr>
          <w:p>
            <w:pPr>
              <w:jc w:val="right"/>
            </w:pPr>
            <w:r>
              <w:rPr>
                <w:color w:val="000000"/>
                <w:sz w:val="24"/>
                <w:szCs w:val="24"/>
              </w:rPr>
              <w:t>1,678,957.20</w:t>
            </w:r>
          </w:p>
        </w:tc>
        <w:tc>
          <w:tcPr>
            <w:vAlign w:val="center"/>
          </w:tcPr>
          <w:p>
            <w:pPr>
              <w:jc w:val="right"/>
            </w:pPr>
            <w:r>
              <w:rPr>
                <w:color w:val="000000"/>
                <w:sz w:val="24"/>
                <w:szCs w:val="24"/>
              </w:rPr>
              <w:t>0.44</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94,678.58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13,833.05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167,950.44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276,462.07</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229,714,576.73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23,317,263.82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35,476,664.77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217,555,175.78</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1、中国证监会准予交银施罗德国企改革灵活配置混合型证券投资基金募集注册的文件； </w:t>
      </w:r>
    </w:p>
    <w:p>
      <w:pPr>
        <w:spacing w:before="29" w:line="288" w:lineRule="auto"/>
        <w:ind w:firstLine="480" w:firstLineChars="200"/>
        <w:rPr>
          <w:color w:val="000000"/>
          <w:sz w:val="24"/>
          <w:szCs w:val="24"/>
        </w:rPr>
      </w:pPr>
      <w:r>
        <w:rPr>
          <w:color w:val="000000"/>
          <w:sz w:val="24"/>
          <w:szCs w:val="24"/>
        </w:rPr>
        <w:t>2、《交银施罗德国企改革灵活配置混合型证券投资基金基金合同》；</w:t>
      </w:r>
    </w:p>
    <w:p>
      <w:pPr>
        <w:spacing w:before="29" w:line="288" w:lineRule="auto"/>
        <w:ind w:firstLine="480" w:firstLineChars="200"/>
        <w:rPr>
          <w:color w:val="000000"/>
          <w:sz w:val="24"/>
          <w:szCs w:val="24"/>
        </w:rPr>
      </w:pPr>
      <w:r>
        <w:rPr>
          <w:color w:val="000000"/>
          <w:sz w:val="24"/>
          <w:szCs w:val="24"/>
        </w:rPr>
        <w:t xml:space="preserve">3、《交银施罗德国企改革灵活配置混合型证券投资基金招募说明书》；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4、《交银施罗德国企改革灵活配置混合型证券投资基金托管协议》； </w:t>
      </w:r>
    </w:p>
    <w:p>
      <w:pPr>
        <w:spacing w:before="29" w:line="288" w:lineRule="auto"/>
        <w:ind w:firstLine="480" w:firstLineChars="200"/>
        <w:rPr>
          <w:color w:val="000000"/>
          <w:sz w:val="24"/>
          <w:szCs w:val="24"/>
        </w:rPr>
      </w:pPr>
      <w:r>
        <w:rPr>
          <w:color w:val="000000"/>
          <w:sz w:val="24"/>
          <w:szCs w:val="24"/>
        </w:rPr>
        <w:t>5、基金管理人业务资格批件、营业执照；</w:t>
      </w:r>
    </w:p>
    <w:p>
      <w:pPr>
        <w:spacing w:before="29" w:line="288" w:lineRule="auto"/>
        <w:ind w:firstLine="480" w:firstLineChars="200"/>
        <w:rPr>
          <w:color w:val="000000"/>
          <w:sz w:val="24"/>
          <w:szCs w:val="24"/>
        </w:rPr>
      </w:pPr>
      <w:r>
        <w:rPr>
          <w:color w:val="000000"/>
          <w:sz w:val="24"/>
          <w:szCs w:val="24"/>
        </w:rPr>
        <w:t>6、基金托管人业务资格批件、营业执照；</w:t>
      </w:r>
    </w:p>
    <w:p>
      <w:pPr>
        <w:spacing w:before="29" w:line="288" w:lineRule="auto"/>
        <w:ind w:firstLine="480" w:firstLineChars="200"/>
        <w:rPr>
          <w:color w:val="000000"/>
          <w:sz w:val="24"/>
          <w:szCs w:val="24"/>
        </w:rPr>
      </w:pPr>
      <w:r>
        <w:rPr>
          <w:color w:val="000000"/>
          <w:sz w:val="24"/>
          <w:szCs w:val="24"/>
        </w:rPr>
        <w:t>7、关于申请募集注册交银施罗德国企改革灵活配置混合型证券投资基金的法律意见书；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8、报告期内交银施罗德国企改革灵活配置混合型证券投资基金在指定报刊上各项公告的原稿。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交银施罗德国企改革灵活配置混合型证券投资基金2020年第4季度报告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