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D36F8" w:rsidRDefault="00EF0BC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D36F8" w:rsidRDefault="00EF0BCF">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D36F8" w:rsidRDefault="00EF0BC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D36F8" w:rsidRDefault="00EF0BC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D36F8" w:rsidRDefault="00EF0BC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1,326,085,679.52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4D36F8" w:rsidRDefault="00EF0BCF">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w:t>
            </w:r>
            <w:r w:rsidRPr="007F52FA">
              <w:rPr>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4D36F8" w:rsidRDefault="00EF0BCF">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910F55" w:rsidP="00EF0BCF">
            <w:pPr>
              <w:spacing w:before="29" w:line="288" w:lineRule="auto"/>
              <w:jc w:val="left"/>
              <w:rPr>
                <w:sz w:val="24"/>
              </w:rPr>
            </w:pPr>
            <w:r w:rsidRPr="007F52FA">
              <w:rPr>
                <w:color w:val="000000" w:themeColor="text1"/>
                <w:sz w:val="24"/>
              </w:rPr>
              <w:t>519743</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1,324,056,593.52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2,029,086.00</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2,807,343.07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841.53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19,437,737.94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26,163.75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0.0130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1,345,720,932.62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2,208,184.79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1.0883</w:t>
            </w:r>
          </w:p>
        </w:tc>
      </w:tr>
    </w:tbl>
    <w:p w:rsidR="004D36F8" w:rsidRDefault="00EF0BC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w:t>
      </w:r>
      <w:r>
        <w:rPr>
          <w:rFonts w:eastAsiaTheme="minorEastAsia"/>
          <w:color w:val="000000"/>
          <w:sz w:val="24"/>
        </w:rPr>
        <w:lastRenderedPageBreak/>
        <w:t>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D36F8">
        <w:trPr>
          <w:jc w:val="center"/>
        </w:trPr>
        <w:tc>
          <w:tcPr>
            <w:tcW w:w="1266" w:type="dxa"/>
            <w:vAlign w:val="center"/>
          </w:tcPr>
          <w:p w:rsidR="004D36F8" w:rsidRDefault="00EF0BCF">
            <w:pPr>
              <w:jc w:val="left"/>
            </w:pPr>
            <w:r>
              <w:rPr>
                <w:color w:val="000000"/>
                <w:sz w:val="24"/>
              </w:rPr>
              <w:t>过去三个月</w:t>
            </w:r>
          </w:p>
        </w:tc>
        <w:tc>
          <w:tcPr>
            <w:tcW w:w="1267" w:type="dxa"/>
            <w:vAlign w:val="center"/>
          </w:tcPr>
          <w:p w:rsidR="004D36F8" w:rsidRDefault="00EF0BCF">
            <w:pPr>
              <w:jc w:val="center"/>
            </w:pPr>
            <w:r>
              <w:rPr>
                <w:color w:val="000000"/>
                <w:sz w:val="24"/>
              </w:rPr>
              <w:t>1.31%</w:t>
            </w:r>
          </w:p>
        </w:tc>
        <w:tc>
          <w:tcPr>
            <w:tcW w:w="1267" w:type="dxa"/>
            <w:vAlign w:val="center"/>
          </w:tcPr>
          <w:p w:rsidR="004D36F8" w:rsidRDefault="00EF0BCF">
            <w:pPr>
              <w:jc w:val="center"/>
            </w:pPr>
            <w:r>
              <w:rPr>
                <w:color w:val="000000"/>
                <w:sz w:val="24"/>
              </w:rPr>
              <w:t>0.04%</w:t>
            </w:r>
          </w:p>
        </w:tc>
        <w:tc>
          <w:tcPr>
            <w:tcW w:w="1267" w:type="dxa"/>
            <w:vAlign w:val="center"/>
          </w:tcPr>
          <w:p w:rsidR="004D36F8" w:rsidRDefault="00EF0BCF">
            <w:pPr>
              <w:jc w:val="center"/>
            </w:pPr>
            <w:r>
              <w:rPr>
                <w:color w:val="000000"/>
                <w:sz w:val="24"/>
              </w:rPr>
              <w:t>0.64%</w:t>
            </w:r>
          </w:p>
        </w:tc>
        <w:tc>
          <w:tcPr>
            <w:tcW w:w="1267" w:type="dxa"/>
            <w:vAlign w:val="center"/>
          </w:tcPr>
          <w:p w:rsidR="004D36F8" w:rsidRDefault="00EF0BCF">
            <w:pPr>
              <w:jc w:val="center"/>
            </w:pPr>
            <w:r>
              <w:rPr>
                <w:color w:val="000000"/>
                <w:sz w:val="24"/>
              </w:rPr>
              <w:t>0.04%</w:t>
            </w:r>
          </w:p>
        </w:tc>
        <w:tc>
          <w:tcPr>
            <w:tcW w:w="1267" w:type="dxa"/>
            <w:vAlign w:val="center"/>
          </w:tcPr>
          <w:p w:rsidR="004D36F8" w:rsidRDefault="00EF0BCF">
            <w:pPr>
              <w:jc w:val="center"/>
            </w:pPr>
            <w:r>
              <w:rPr>
                <w:color w:val="000000"/>
                <w:sz w:val="24"/>
              </w:rPr>
              <w:t>0.67%</w:t>
            </w:r>
          </w:p>
        </w:tc>
        <w:tc>
          <w:tcPr>
            <w:tcW w:w="1267" w:type="dxa"/>
            <w:vAlign w:val="center"/>
          </w:tcPr>
          <w:p w:rsidR="004D36F8" w:rsidRDefault="00EF0BCF">
            <w:pPr>
              <w:jc w:val="center"/>
            </w:pPr>
            <w:r>
              <w:rPr>
                <w:color w:val="000000"/>
                <w:sz w:val="24"/>
              </w:rPr>
              <w:t>0.00%</w:t>
            </w:r>
          </w:p>
        </w:tc>
      </w:tr>
      <w:tr w:rsidR="004D36F8">
        <w:trPr>
          <w:jc w:val="center"/>
        </w:trPr>
        <w:tc>
          <w:tcPr>
            <w:tcW w:w="1266" w:type="dxa"/>
            <w:vAlign w:val="center"/>
          </w:tcPr>
          <w:p w:rsidR="004D36F8" w:rsidRDefault="00EF0BCF">
            <w:pPr>
              <w:jc w:val="left"/>
            </w:pPr>
            <w:r>
              <w:rPr>
                <w:color w:val="000000"/>
                <w:sz w:val="24"/>
              </w:rPr>
              <w:t>过去六个月</w:t>
            </w:r>
          </w:p>
        </w:tc>
        <w:tc>
          <w:tcPr>
            <w:tcW w:w="1267" w:type="dxa"/>
            <w:vAlign w:val="center"/>
          </w:tcPr>
          <w:p w:rsidR="004D36F8" w:rsidRDefault="00EF0BCF">
            <w:pPr>
              <w:jc w:val="center"/>
            </w:pPr>
            <w:r>
              <w:rPr>
                <w:color w:val="000000"/>
                <w:sz w:val="24"/>
              </w:rPr>
              <w:t>0.67%</w:t>
            </w:r>
          </w:p>
        </w:tc>
        <w:tc>
          <w:tcPr>
            <w:tcW w:w="1267" w:type="dxa"/>
            <w:vAlign w:val="center"/>
          </w:tcPr>
          <w:p w:rsidR="004D36F8" w:rsidRDefault="00EF0BCF">
            <w:pPr>
              <w:jc w:val="center"/>
            </w:pPr>
            <w:r>
              <w:rPr>
                <w:color w:val="000000"/>
                <w:sz w:val="24"/>
              </w:rPr>
              <w:t>0.08%</w:t>
            </w:r>
          </w:p>
        </w:tc>
        <w:tc>
          <w:tcPr>
            <w:tcW w:w="1267" w:type="dxa"/>
            <w:vAlign w:val="center"/>
          </w:tcPr>
          <w:p w:rsidR="004D36F8" w:rsidRDefault="00EF0BCF">
            <w:pPr>
              <w:jc w:val="center"/>
            </w:pPr>
            <w:r>
              <w:rPr>
                <w:color w:val="000000"/>
                <w:sz w:val="24"/>
              </w:rPr>
              <w:t>-0.85%</w:t>
            </w:r>
          </w:p>
        </w:tc>
        <w:tc>
          <w:tcPr>
            <w:tcW w:w="1267" w:type="dxa"/>
            <w:vAlign w:val="center"/>
          </w:tcPr>
          <w:p w:rsidR="004D36F8" w:rsidRDefault="00EF0BCF">
            <w:pPr>
              <w:jc w:val="center"/>
            </w:pPr>
            <w:r>
              <w:rPr>
                <w:color w:val="000000"/>
                <w:sz w:val="24"/>
              </w:rPr>
              <w:t>0.07%</w:t>
            </w:r>
          </w:p>
        </w:tc>
        <w:tc>
          <w:tcPr>
            <w:tcW w:w="1267" w:type="dxa"/>
            <w:vAlign w:val="center"/>
          </w:tcPr>
          <w:p w:rsidR="004D36F8" w:rsidRDefault="00EF0BCF">
            <w:pPr>
              <w:jc w:val="center"/>
            </w:pPr>
            <w:r>
              <w:rPr>
                <w:color w:val="000000"/>
                <w:sz w:val="24"/>
              </w:rPr>
              <w:t>1.52%</w:t>
            </w:r>
          </w:p>
        </w:tc>
        <w:tc>
          <w:tcPr>
            <w:tcW w:w="1267" w:type="dxa"/>
            <w:vAlign w:val="center"/>
          </w:tcPr>
          <w:p w:rsidR="004D36F8" w:rsidRDefault="00EF0BCF">
            <w:pPr>
              <w:jc w:val="center"/>
            </w:pPr>
            <w:r>
              <w:rPr>
                <w:color w:val="000000"/>
                <w:sz w:val="24"/>
              </w:rPr>
              <w:t>0.01%</w:t>
            </w:r>
          </w:p>
        </w:tc>
      </w:tr>
      <w:tr w:rsidR="004D36F8">
        <w:trPr>
          <w:jc w:val="center"/>
        </w:trPr>
        <w:tc>
          <w:tcPr>
            <w:tcW w:w="1266" w:type="dxa"/>
            <w:vAlign w:val="center"/>
          </w:tcPr>
          <w:p w:rsidR="004D36F8" w:rsidRDefault="00EF0BCF">
            <w:pPr>
              <w:jc w:val="left"/>
            </w:pPr>
            <w:r>
              <w:rPr>
                <w:color w:val="000000"/>
                <w:sz w:val="24"/>
              </w:rPr>
              <w:t>过去一年</w:t>
            </w:r>
          </w:p>
        </w:tc>
        <w:tc>
          <w:tcPr>
            <w:tcW w:w="1267" w:type="dxa"/>
            <w:vAlign w:val="center"/>
          </w:tcPr>
          <w:p w:rsidR="004D36F8" w:rsidRDefault="00EF0BCF">
            <w:pPr>
              <w:jc w:val="center"/>
            </w:pPr>
            <w:r>
              <w:rPr>
                <w:color w:val="000000"/>
                <w:sz w:val="24"/>
              </w:rPr>
              <w:t>2.44%</w:t>
            </w:r>
          </w:p>
        </w:tc>
        <w:tc>
          <w:tcPr>
            <w:tcW w:w="1267" w:type="dxa"/>
            <w:vAlign w:val="center"/>
          </w:tcPr>
          <w:p w:rsidR="004D36F8" w:rsidRDefault="00EF0BCF">
            <w:pPr>
              <w:jc w:val="center"/>
            </w:pPr>
            <w:r>
              <w:rPr>
                <w:color w:val="000000"/>
                <w:sz w:val="24"/>
              </w:rPr>
              <w:t>0.10%</w:t>
            </w:r>
          </w:p>
        </w:tc>
        <w:tc>
          <w:tcPr>
            <w:tcW w:w="1267" w:type="dxa"/>
            <w:vAlign w:val="center"/>
          </w:tcPr>
          <w:p w:rsidR="004D36F8" w:rsidRDefault="00EF0BCF">
            <w:pPr>
              <w:jc w:val="center"/>
            </w:pPr>
            <w:r>
              <w:rPr>
                <w:color w:val="000000"/>
                <w:sz w:val="24"/>
              </w:rPr>
              <w:t>-0.07%</w:t>
            </w:r>
          </w:p>
        </w:tc>
        <w:tc>
          <w:tcPr>
            <w:tcW w:w="1267" w:type="dxa"/>
            <w:vAlign w:val="center"/>
          </w:tcPr>
          <w:p w:rsidR="004D36F8" w:rsidRDefault="00EF0BCF">
            <w:pPr>
              <w:jc w:val="center"/>
            </w:pPr>
            <w:r>
              <w:rPr>
                <w:color w:val="000000"/>
                <w:sz w:val="24"/>
              </w:rPr>
              <w:t>0.09%</w:t>
            </w:r>
          </w:p>
        </w:tc>
        <w:tc>
          <w:tcPr>
            <w:tcW w:w="1267" w:type="dxa"/>
            <w:vAlign w:val="center"/>
          </w:tcPr>
          <w:p w:rsidR="004D36F8" w:rsidRDefault="00EF0BCF">
            <w:pPr>
              <w:jc w:val="center"/>
            </w:pPr>
            <w:r>
              <w:rPr>
                <w:color w:val="000000"/>
                <w:sz w:val="24"/>
              </w:rPr>
              <w:t>2.51%</w:t>
            </w:r>
          </w:p>
        </w:tc>
        <w:tc>
          <w:tcPr>
            <w:tcW w:w="1267" w:type="dxa"/>
            <w:vAlign w:val="center"/>
          </w:tcPr>
          <w:p w:rsidR="004D36F8" w:rsidRDefault="00EF0BCF">
            <w:pPr>
              <w:jc w:val="center"/>
            </w:pPr>
            <w:r>
              <w:rPr>
                <w:color w:val="000000"/>
                <w:sz w:val="24"/>
              </w:rPr>
              <w:t>0.01%</w:t>
            </w:r>
          </w:p>
        </w:tc>
      </w:tr>
      <w:tr w:rsidR="004D36F8">
        <w:trPr>
          <w:jc w:val="center"/>
        </w:trPr>
        <w:tc>
          <w:tcPr>
            <w:tcW w:w="1266" w:type="dxa"/>
            <w:vAlign w:val="center"/>
          </w:tcPr>
          <w:p w:rsidR="004D36F8" w:rsidRDefault="00EF0BCF">
            <w:pPr>
              <w:jc w:val="left"/>
            </w:pPr>
            <w:r>
              <w:rPr>
                <w:color w:val="000000"/>
                <w:sz w:val="24"/>
              </w:rPr>
              <w:t>过去三年</w:t>
            </w:r>
          </w:p>
        </w:tc>
        <w:tc>
          <w:tcPr>
            <w:tcW w:w="1267" w:type="dxa"/>
            <w:vAlign w:val="center"/>
          </w:tcPr>
          <w:p w:rsidR="004D36F8" w:rsidRDefault="00EF0BCF">
            <w:pPr>
              <w:jc w:val="center"/>
            </w:pPr>
            <w:r>
              <w:rPr>
                <w:color w:val="000000"/>
                <w:sz w:val="24"/>
              </w:rPr>
              <w:t>12.84%</w:t>
            </w:r>
          </w:p>
        </w:tc>
        <w:tc>
          <w:tcPr>
            <w:tcW w:w="1267" w:type="dxa"/>
            <w:vAlign w:val="center"/>
          </w:tcPr>
          <w:p w:rsidR="004D36F8" w:rsidRDefault="00EF0BCF">
            <w:pPr>
              <w:jc w:val="center"/>
            </w:pPr>
            <w:r>
              <w:rPr>
                <w:color w:val="000000"/>
                <w:sz w:val="24"/>
              </w:rPr>
              <w:t>0.07%</w:t>
            </w:r>
          </w:p>
        </w:tc>
        <w:tc>
          <w:tcPr>
            <w:tcW w:w="1267" w:type="dxa"/>
            <w:vAlign w:val="center"/>
          </w:tcPr>
          <w:p w:rsidR="004D36F8" w:rsidRDefault="00EF0BCF">
            <w:pPr>
              <w:jc w:val="center"/>
            </w:pPr>
            <w:r>
              <w:rPr>
                <w:color w:val="000000"/>
                <w:sz w:val="24"/>
              </w:rPr>
              <w:t>6.09%</w:t>
            </w:r>
          </w:p>
        </w:tc>
        <w:tc>
          <w:tcPr>
            <w:tcW w:w="1267" w:type="dxa"/>
            <w:vAlign w:val="center"/>
          </w:tcPr>
          <w:p w:rsidR="004D36F8" w:rsidRDefault="00EF0BCF">
            <w:pPr>
              <w:jc w:val="center"/>
            </w:pPr>
            <w:r>
              <w:rPr>
                <w:color w:val="000000"/>
                <w:sz w:val="24"/>
              </w:rPr>
              <w:t>0.07%</w:t>
            </w:r>
          </w:p>
        </w:tc>
        <w:tc>
          <w:tcPr>
            <w:tcW w:w="1267" w:type="dxa"/>
            <w:vAlign w:val="center"/>
          </w:tcPr>
          <w:p w:rsidR="004D36F8" w:rsidRDefault="00EF0BCF">
            <w:pPr>
              <w:jc w:val="center"/>
            </w:pPr>
            <w:r>
              <w:rPr>
                <w:color w:val="000000"/>
                <w:sz w:val="24"/>
              </w:rPr>
              <w:t>6.75%</w:t>
            </w:r>
          </w:p>
        </w:tc>
        <w:tc>
          <w:tcPr>
            <w:tcW w:w="1267" w:type="dxa"/>
            <w:vAlign w:val="center"/>
          </w:tcPr>
          <w:p w:rsidR="004D36F8" w:rsidRDefault="00EF0BCF">
            <w:pPr>
              <w:jc w:val="center"/>
            </w:pPr>
            <w:r>
              <w:rPr>
                <w:color w:val="000000"/>
                <w:sz w:val="24"/>
              </w:rPr>
              <w:t>0.00%</w:t>
            </w:r>
          </w:p>
        </w:tc>
      </w:tr>
      <w:tr w:rsidR="004D36F8">
        <w:trPr>
          <w:jc w:val="center"/>
        </w:trPr>
        <w:tc>
          <w:tcPr>
            <w:tcW w:w="1266" w:type="dxa"/>
            <w:vAlign w:val="center"/>
          </w:tcPr>
          <w:p w:rsidR="004D36F8" w:rsidRDefault="00EF0BCF">
            <w:pPr>
              <w:jc w:val="left"/>
            </w:pPr>
            <w:r>
              <w:rPr>
                <w:color w:val="000000"/>
                <w:sz w:val="24"/>
              </w:rPr>
              <w:t>过去五年</w:t>
            </w:r>
          </w:p>
        </w:tc>
        <w:tc>
          <w:tcPr>
            <w:tcW w:w="1267" w:type="dxa"/>
            <w:vAlign w:val="center"/>
          </w:tcPr>
          <w:p w:rsidR="004D36F8" w:rsidRDefault="00EF0BCF">
            <w:pPr>
              <w:jc w:val="center"/>
            </w:pPr>
            <w:r>
              <w:rPr>
                <w:color w:val="000000"/>
                <w:sz w:val="24"/>
              </w:rPr>
              <w:t>18.88%</w:t>
            </w:r>
          </w:p>
        </w:tc>
        <w:tc>
          <w:tcPr>
            <w:tcW w:w="1267" w:type="dxa"/>
            <w:vAlign w:val="center"/>
          </w:tcPr>
          <w:p w:rsidR="004D36F8" w:rsidRDefault="00EF0BCF">
            <w:pPr>
              <w:jc w:val="center"/>
            </w:pPr>
            <w:r>
              <w:rPr>
                <w:color w:val="000000"/>
                <w:sz w:val="24"/>
              </w:rPr>
              <w:t>0.07%</w:t>
            </w:r>
          </w:p>
        </w:tc>
        <w:tc>
          <w:tcPr>
            <w:tcW w:w="1267" w:type="dxa"/>
            <w:vAlign w:val="center"/>
          </w:tcPr>
          <w:p w:rsidR="004D36F8" w:rsidRDefault="00EF0BCF">
            <w:pPr>
              <w:jc w:val="center"/>
            </w:pPr>
            <w:r>
              <w:rPr>
                <w:color w:val="000000"/>
                <w:sz w:val="24"/>
              </w:rPr>
              <w:t>6.51%</w:t>
            </w:r>
          </w:p>
        </w:tc>
        <w:tc>
          <w:tcPr>
            <w:tcW w:w="1267" w:type="dxa"/>
            <w:vAlign w:val="center"/>
          </w:tcPr>
          <w:p w:rsidR="004D36F8" w:rsidRDefault="00EF0BCF">
            <w:pPr>
              <w:jc w:val="center"/>
            </w:pPr>
            <w:r>
              <w:rPr>
                <w:color w:val="000000"/>
                <w:sz w:val="24"/>
              </w:rPr>
              <w:t>0.07%</w:t>
            </w:r>
          </w:p>
        </w:tc>
        <w:tc>
          <w:tcPr>
            <w:tcW w:w="1267" w:type="dxa"/>
            <w:vAlign w:val="center"/>
          </w:tcPr>
          <w:p w:rsidR="004D36F8" w:rsidRDefault="00EF0BCF">
            <w:pPr>
              <w:jc w:val="center"/>
            </w:pPr>
            <w:r>
              <w:rPr>
                <w:color w:val="000000"/>
                <w:sz w:val="24"/>
              </w:rPr>
              <w:t>12.37%</w:t>
            </w:r>
          </w:p>
        </w:tc>
        <w:tc>
          <w:tcPr>
            <w:tcW w:w="1267" w:type="dxa"/>
            <w:vAlign w:val="center"/>
          </w:tcPr>
          <w:p w:rsidR="004D36F8" w:rsidRDefault="00EF0BCF">
            <w:pPr>
              <w:jc w:val="center"/>
            </w:pPr>
            <w:r>
              <w:rPr>
                <w:color w:val="000000"/>
                <w:sz w:val="24"/>
              </w:rPr>
              <w:t>0.00%</w:t>
            </w:r>
          </w:p>
        </w:tc>
      </w:tr>
      <w:tr w:rsidR="004D36F8">
        <w:trPr>
          <w:jc w:val="center"/>
        </w:trPr>
        <w:tc>
          <w:tcPr>
            <w:tcW w:w="1266" w:type="dxa"/>
            <w:vAlign w:val="center"/>
          </w:tcPr>
          <w:p w:rsidR="004D36F8" w:rsidRDefault="00EF0BCF">
            <w:pPr>
              <w:jc w:val="left"/>
            </w:pPr>
            <w:r>
              <w:rPr>
                <w:color w:val="000000"/>
                <w:sz w:val="24"/>
              </w:rPr>
              <w:t>自基金合同生效至今</w:t>
            </w:r>
          </w:p>
        </w:tc>
        <w:tc>
          <w:tcPr>
            <w:tcW w:w="1267" w:type="dxa"/>
            <w:vAlign w:val="center"/>
          </w:tcPr>
          <w:p w:rsidR="004D36F8" w:rsidRDefault="00EF0BCF" w:rsidP="001F6481">
            <w:pPr>
              <w:jc w:val="center"/>
            </w:pPr>
            <w:r>
              <w:rPr>
                <w:color w:val="000000"/>
                <w:sz w:val="24"/>
              </w:rPr>
              <w:t>31.2</w:t>
            </w:r>
            <w:r w:rsidR="001F6481">
              <w:rPr>
                <w:color w:val="000000"/>
                <w:sz w:val="24"/>
              </w:rPr>
              <w:t>5</w:t>
            </w:r>
            <w:r>
              <w:rPr>
                <w:color w:val="000000"/>
                <w:sz w:val="24"/>
              </w:rPr>
              <w:t>%</w:t>
            </w:r>
          </w:p>
        </w:tc>
        <w:tc>
          <w:tcPr>
            <w:tcW w:w="1267" w:type="dxa"/>
            <w:vAlign w:val="center"/>
          </w:tcPr>
          <w:p w:rsidR="004D36F8" w:rsidRDefault="00EF0BCF">
            <w:pPr>
              <w:jc w:val="center"/>
            </w:pPr>
            <w:r>
              <w:rPr>
                <w:color w:val="000000"/>
                <w:sz w:val="24"/>
              </w:rPr>
              <w:t>0.09%</w:t>
            </w:r>
          </w:p>
        </w:tc>
        <w:tc>
          <w:tcPr>
            <w:tcW w:w="1267" w:type="dxa"/>
            <w:vAlign w:val="center"/>
          </w:tcPr>
          <w:p w:rsidR="004D36F8" w:rsidRDefault="00EF0BCF">
            <w:pPr>
              <w:jc w:val="center"/>
            </w:pPr>
            <w:r>
              <w:rPr>
                <w:color w:val="000000"/>
                <w:sz w:val="24"/>
              </w:rPr>
              <w:t>11.02%</w:t>
            </w:r>
          </w:p>
        </w:tc>
        <w:tc>
          <w:tcPr>
            <w:tcW w:w="1267" w:type="dxa"/>
            <w:vAlign w:val="center"/>
          </w:tcPr>
          <w:p w:rsidR="004D36F8" w:rsidRDefault="00EF0BCF">
            <w:pPr>
              <w:jc w:val="center"/>
            </w:pPr>
            <w:r>
              <w:rPr>
                <w:color w:val="000000"/>
                <w:sz w:val="24"/>
              </w:rPr>
              <w:t>0.06%</w:t>
            </w:r>
          </w:p>
        </w:tc>
        <w:tc>
          <w:tcPr>
            <w:tcW w:w="1267" w:type="dxa"/>
            <w:vAlign w:val="center"/>
          </w:tcPr>
          <w:p w:rsidR="004D36F8" w:rsidRDefault="00EF0BCF" w:rsidP="001F6481">
            <w:pPr>
              <w:jc w:val="center"/>
            </w:pPr>
            <w:r>
              <w:rPr>
                <w:color w:val="000000"/>
                <w:sz w:val="24"/>
              </w:rPr>
              <w:t>20.2</w:t>
            </w:r>
            <w:r w:rsidR="001F6481">
              <w:rPr>
                <w:color w:val="000000"/>
                <w:sz w:val="24"/>
              </w:rPr>
              <w:t>3</w:t>
            </w:r>
            <w:r>
              <w:rPr>
                <w:color w:val="000000"/>
                <w:sz w:val="24"/>
              </w:rPr>
              <w:t>%</w:t>
            </w:r>
          </w:p>
        </w:tc>
        <w:tc>
          <w:tcPr>
            <w:tcW w:w="1267" w:type="dxa"/>
            <w:vAlign w:val="center"/>
          </w:tcPr>
          <w:p w:rsidR="004D36F8" w:rsidRDefault="00EF0BCF">
            <w:pPr>
              <w:jc w:val="center"/>
            </w:pPr>
            <w:r>
              <w:rPr>
                <w:color w:val="000000"/>
                <w:sz w:val="24"/>
              </w:rPr>
              <w:t>0.03%</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D36F8">
        <w:trPr>
          <w:jc w:val="center"/>
        </w:trPr>
        <w:tc>
          <w:tcPr>
            <w:tcW w:w="1266" w:type="dxa"/>
            <w:vAlign w:val="center"/>
          </w:tcPr>
          <w:p w:rsidR="004D36F8" w:rsidRDefault="00EF0BCF">
            <w:pPr>
              <w:jc w:val="left"/>
            </w:pPr>
            <w:r>
              <w:rPr>
                <w:color w:val="000000"/>
                <w:sz w:val="24"/>
              </w:rPr>
              <w:t>过去三个月</w:t>
            </w:r>
          </w:p>
        </w:tc>
        <w:tc>
          <w:tcPr>
            <w:tcW w:w="1267" w:type="dxa"/>
            <w:vAlign w:val="center"/>
          </w:tcPr>
          <w:p w:rsidR="004D36F8" w:rsidRDefault="00EF0BCF">
            <w:pPr>
              <w:jc w:val="center"/>
            </w:pPr>
            <w:r>
              <w:rPr>
                <w:color w:val="000000"/>
                <w:sz w:val="24"/>
              </w:rPr>
              <w:t>1.20%</w:t>
            </w:r>
          </w:p>
        </w:tc>
        <w:tc>
          <w:tcPr>
            <w:tcW w:w="1267" w:type="dxa"/>
            <w:vAlign w:val="center"/>
          </w:tcPr>
          <w:p w:rsidR="004D36F8" w:rsidRDefault="00EF0BCF">
            <w:pPr>
              <w:jc w:val="center"/>
            </w:pPr>
            <w:r>
              <w:rPr>
                <w:color w:val="000000"/>
                <w:sz w:val="24"/>
              </w:rPr>
              <w:t>0.04%</w:t>
            </w:r>
          </w:p>
        </w:tc>
        <w:tc>
          <w:tcPr>
            <w:tcW w:w="1267" w:type="dxa"/>
            <w:vAlign w:val="center"/>
          </w:tcPr>
          <w:p w:rsidR="004D36F8" w:rsidRDefault="00EF0BCF">
            <w:pPr>
              <w:jc w:val="center"/>
            </w:pPr>
            <w:r>
              <w:rPr>
                <w:color w:val="000000"/>
                <w:sz w:val="24"/>
              </w:rPr>
              <w:t>0.64%</w:t>
            </w:r>
          </w:p>
        </w:tc>
        <w:tc>
          <w:tcPr>
            <w:tcW w:w="1267" w:type="dxa"/>
            <w:vAlign w:val="center"/>
          </w:tcPr>
          <w:p w:rsidR="004D36F8" w:rsidRDefault="00EF0BCF">
            <w:pPr>
              <w:jc w:val="center"/>
            </w:pPr>
            <w:r>
              <w:rPr>
                <w:color w:val="000000"/>
                <w:sz w:val="24"/>
              </w:rPr>
              <w:t>0.04%</w:t>
            </w:r>
          </w:p>
        </w:tc>
        <w:tc>
          <w:tcPr>
            <w:tcW w:w="1267" w:type="dxa"/>
            <w:vAlign w:val="center"/>
          </w:tcPr>
          <w:p w:rsidR="004D36F8" w:rsidRDefault="00EF0BCF">
            <w:pPr>
              <w:jc w:val="center"/>
            </w:pPr>
            <w:r>
              <w:rPr>
                <w:color w:val="000000"/>
                <w:sz w:val="24"/>
              </w:rPr>
              <w:t>0.56%</w:t>
            </w:r>
          </w:p>
        </w:tc>
        <w:tc>
          <w:tcPr>
            <w:tcW w:w="1267" w:type="dxa"/>
            <w:vAlign w:val="center"/>
          </w:tcPr>
          <w:p w:rsidR="004D36F8" w:rsidRDefault="00EF0BCF">
            <w:pPr>
              <w:jc w:val="center"/>
            </w:pPr>
            <w:r>
              <w:rPr>
                <w:color w:val="000000"/>
                <w:sz w:val="24"/>
              </w:rPr>
              <w:t>0.00%</w:t>
            </w:r>
          </w:p>
        </w:tc>
      </w:tr>
      <w:tr w:rsidR="004D36F8">
        <w:trPr>
          <w:jc w:val="center"/>
        </w:trPr>
        <w:tc>
          <w:tcPr>
            <w:tcW w:w="1266" w:type="dxa"/>
            <w:vAlign w:val="center"/>
          </w:tcPr>
          <w:p w:rsidR="004D36F8" w:rsidRDefault="00EF0BCF">
            <w:pPr>
              <w:jc w:val="left"/>
            </w:pPr>
            <w:r>
              <w:rPr>
                <w:color w:val="000000"/>
                <w:sz w:val="24"/>
              </w:rPr>
              <w:t>过去六个月</w:t>
            </w:r>
          </w:p>
        </w:tc>
        <w:tc>
          <w:tcPr>
            <w:tcW w:w="1267" w:type="dxa"/>
            <w:vAlign w:val="center"/>
          </w:tcPr>
          <w:p w:rsidR="004D36F8" w:rsidRDefault="00EF0BCF">
            <w:pPr>
              <w:jc w:val="center"/>
            </w:pPr>
            <w:r>
              <w:rPr>
                <w:color w:val="000000"/>
                <w:sz w:val="24"/>
              </w:rPr>
              <w:t>0.47%</w:t>
            </w:r>
          </w:p>
        </w:tc>
        <w:tc>
          <w:tcPr>
            <w:tcW w:w="1267" w:type="dxa"/>
            <w:vAlign w:val="center"/>
          </w:tcPr>
          <w:p w:rsidR="004D36F8" w:rsidRDefault="00EF0BCF">
            <w:pPr>
              <w:jc w:val="center"/>
            </w:pPr>
            <w:r>
              <w:rPr>
                <w:color w:val="000000"/>
                <w:sz w:val="24"/>
              </w:rPr>
              <w:t>0.08%</w:t>
            </w:r>
          </w:p>
        </w:tc>
        <w:tc>
          <w:tcPr>
            <w:tcW w:w="1267" w:type="dxa"/>
            <w:vAlign w:val="center"/>
          </w:tcPr>
          <w:p w:rsidR="004D36F8" w:rsidRDefault="00EF0BCF">
            <w:pPr>
              <w:jc w:val="center"/>
            </w:pPr>
            <w:r>
              <w:rPr>
                <w:color w:val="000000"/>
                <w:sz w:val="24"/>
              </w:rPr>
              <w:t>-0.85%</w:t>
            </w:r>
          </w:p>
        </w:tc>
        <w:tc>
          <w:tcPr>
            <w:tcW w:w="1267" w:type="dxa"/>
            <w:vAlign w:val="center"/>
          </w:tcPr>
          <w:p w:rsidR="004D36F8" w:rsidRDefault="00EF0BCF">
            <w:pPr>
              <w:jc w:val="center"/>
            </w:pPr>
            <w:r>
              <w:rPr>
                <w:color w:val="000000"/>
                <w:sz w:val="24"/>
              </w:rPr>
              <w:t>0.07%</w:t>
            </w:r>
          </w:p>
        </w:tc>
        <w:tc>
          <w:tcPr>
            <w:tcW w:w="1267" w:type="dxa"/>
            <w:vAlign w:val="center"/>
          </w:tcPr>
          <w:p w:rsidR="004D36F8" w:rsidRDefault="00EF0BCF">
            <w:pPr>
              <w:jc w:val="center"/>
            </w:pPr>
            <w:r>
              <w:rPr>
                <w:color w:val="000000"/>
                <w:sz w:val="24"/>
              </w:rPr>
              <w:t>1.32%</w:t>
            </w:r>
          </w:p>
        </w:tc>
        <w:tc>
          <w:tcPr>
            <w:tcW w:w="1267" w:type="dxa"/>
            <w:vAlign w:val="center"/>
          </w:tcPr>
          <w:p w:rsidR="004D36F8" w:rsidRDefault="00EF0BCF">
            <w:pPr>
              <w:jc w:val="center"/>
            </w:pPr>
            <w:r>
              <w:rPr>
                <w:color w:val="000000"/>
                <w:sz w:val="24"/>
              </w:rPr>
              <w:t>0.01%</w:t>
            </w:r>
          </w:p>
        </w:tc>
      </w:tr>
      <w:tr w:rsidR="004D36F8">
        <w:trPr>
          <w:jc w:val="center"/>
        </w:trPr>
        <w:tc>
          <w:tcPr>
            <w:tcW w:w="1266" w:type="dxa"/>
            <w:vAlign w:val="center"/>
          </w:tcPr>
          <w:p w:rsidR="004D36F8" w:rsidRDefault="00EF0BCF">
            <w:pPr>
              <w:jc w:val="left"/>
            </w:pPr>
            <w:r>
              <w:rPr>
                <w:color w:val="000000"/>
                <w:sz w:val="24"/>
              </w:rPr>
              <w:t>过去一年</w:t>
            </w:r>
          </w:p>
        </w:tc>
        <w:tc>
          <w:tcPr>
            <w:tcW w:w="1267" w:type="dxa"/>
            <w:vAlign w:val="center"/>
          </w:tcPr>
          <w:p w:rsidR="004D36F8" w:rsidRDefault="00EF0BCF">
            <w:pPr>
              <w:jc w:val="center"/>
            </w:pPr>
            <w:r>
              <w:rPr>
                <w:color w:val="000000"/>
                <w:sz w:val="24"/>
              </w:rPr>
              <w:t>2.02%</w:t>
            </w:r>
          </w:p>
        </w:tc>
        <w:tc>
          <w:tcPr>
            <w:tcW w:w="1267" w:type="dxa"/>
            <w:vAlign w:val="center"/>
          </w:tcPr>
          <w:p w:rsidR="004D36F8" w:rsidRDefault="00EF0BCF">
            <w:pPr>
              <w:jc w:val="center"/>
            </w:pPr>
            <w:r>
              <w:rPr>
                <w:color w:val="000000"/>
                <w:sz w:val="24"/>
              </w:rPr>
              <w:t>0.10%</w:t>
            </w:r>
          </w:p>
        </w:tc>
        <w:tc>
          <w:tcPr>
            <w:tcW w:w="1267" w:type="dxa"/>
            <w:vAlign w:val="center"/>
          </w:tcPr>
          <w:p w:rsidR="004D36F8" w:rsidRDefault="00EF0BCF">
            <w:pPr>
              <w:jc w:val="center"/>
            </w:pPr>
            <w:r>
              <w:rPr>
                <w:color w:val="000000"/>
                <w:sz w:val="24"/>
              </w:rPr>
              <w:t>-0.07%</w:t>
            </w:r>
          </w:p>
        </w:tc>
        <w:tc>
          <w:tcPr>
            <w:tcW w:w="1267" w:type="dxa"/>
            <w:vAlign w:val="center"/>
          </w:tcPr>
          <w:p w:rsidR="004D36F8" w:rsidRDefault="00EF0BCF">
            <w:pPr>
              <w:jc w:val="center"/>
            </w:pPr>
            <w:r>
              <w:rPr>
                <w:color w:val="000000"/>
                <w:sz w:val="24"/>
              </w:rPr>
              <w:t>0.09%</w:t>
            </w:r>
          </w:p>
        </w:tc>
        <w:tc>
          <w:tcPr>
            <w:tcW w:w="1267" w:type="dxa"/>
            <w:vAlign w:val="center"/>
          </w:tcPr>
          <w:p w:rsidR="004D36F8" w:rsidRDefault="00EF0BCF">
            <w:pPr>
              <w:jc w:val="center"/>
            </w:pPr>
            <w:r>
              <w:rPr>
                <w:color w:val="000000"/>
                <w:sz w:val="24"/>
              </w:rPr>
              <w:t>2.09%</w:t>
            </w:r>
          </w:p>
        </w:tc>
        <w:tc>
          <w:tcPr>
            <w:tcW w:w="1267" w:type="dxa"/>
            <w:vAlign w:val="center"/>
          </w:tcPr>
          <w:p w:rsidR="004D36F8" w:rsidRDefault="00EF0BCF">
            <w:pPr>
              <w:jc w:val="center"/>
            </w:pPr>
            <w:r>
              <w:rPr>
                <w:color w:val="000000"/>
                <w:sz w:val="24"/>
              </w:rPr>
              <w:t>0.01%</w:t>
            </w:r>
          </w:p>
        </w:tc>
      </w:tr>
      <w:tr w:rsidR="004D36F8">
        <w:trPr>
          <w:jc w:val="center"/>
        </w:trPr>
        <w:tc>
          <w:tcPr>
            <w:tcW w:w="1266" w:type="dxa"/>
            <w:vAlign w:val="center"/>
          </w:tcPr>
          <w:p w:rsidR="004D36F8" w:rsidRDefault="00EF0BCF">
            <w:pPr>
              <w:jc w:val="left"/>
            </w:pPr>
            <w:r>
              <w:rPr>
                <w:color w:val="000000"/>
                <w:sz w:val="24"/>
              </w:rPr>
              <w:t>过去三年</w:t>
            </w:r>
          </w:p>
        </w:tc>
        <w:tc>
          <w:tcPr>
            <w:tcW w:w="1267" w:type="dxa"/>
            <w:vAlign w:val="center"/>
          </w:tcPr>
          <w:p w:rsidR="004D36F8" w:rsidRDefault="00EF0BCF">
            <w:pPr>
              <w:jc w:val="center"/>
            </w:pPr>
            <w:r>
              <w:rPr>
                <w:color w:val="000000"/>
                <w:sz w:val="24"/>
              </w:rPr>
              <w:t>11.15%</w:t>
            </w:r>
          </w:p>
        </w:tc>
        <w:tc>
          <w:tcPr>
            <w:tcW w:w="1267" w:type="dxa"/>
            <w:vAlign w:val="center"/>
          </w:tcPr>
          <w:p w:rsidR="004D36F8" w:rsidRDefault="00EF0BCF">
            <w:pPr>
              <w:jc w:val="center"/>
            </w:pPr>
            <w:r>
              <w:rPr>
                <w:color w:val="000000"/>
                <w:sz w:val="24"/>
              </w:rPr>
              <w:t>0.07%</w:t>
            </w:r>
          </w:p>
        </w:tc>
        <w:tc>
          <w:tcPr>
            <w:tcW w:w="1267" w:type="dxa"/>
            <w:vAlign w:val="center"/>
          </w:tcPr>
          <w:p w:rsidR="004D36F8" w:rsidRDefault="00EF0BCF">
            <w:pPr>
              <w:jc w:val="center"/>
            </w:pPr>
            <w:r>
              <w:rPr>
                <w:color w:val="000000"/>
                <w:sz w:val="24"/>
              </w:rPr>
              <w:t>6.09%</w:t>
            </w:r>
          </w:p>
        </w:tc>
        <w:tc>
          <w:tcPr>
            <w:tcW w:w="1267" w:type="dxa"/>
            <w:vAlign w:val="center"/>
          </w:tcPr>
          <w:p w:rsidR="004D36F8" w:rsidRDefault="00EF0BCF">
            <w:pPr>
              <w:jc w:val="center"/>
            </w:pPr>
            <w:r>
              <w:rPr>
                <w:color w:val="000000"/>
                <w:sz w:val="24"/>
              </w:rPr>
              <w:t>0.07%</w:t>
            </w:r>
          </w:p>
        </w:tc>
        <w:tc>
          <w:tcPr>
            <w:tcW w:w="1267" w:type="dxa"/>
            <w:vAlign w:val="center"/>
          </w:tcPr>
          <w:p w:rsidR="004D36F8" w:rsidRDefault="00EF0BCF">
            <w:pPr>
              <w:jc w:val="center"/>
            </w:pPr>
            <w:r>
              <w:rPr>
                <w:color w:val="000000"/>
                <w:sz w:val="24"/>
              </w:rPr>
              <w:t>5.06%</w:t>
            </w:r>
          </w:p>
        </w:tc>
        <w:tc>
          <w:tcPr>
            <w:tcW w:w="1267" w:type="dxa"/>
            <w:vAlign w:val="center"/>
          </w:tcPr>
          <w:p w:rsidR="004D36F8" w:rsidRDefault="00EF0BCF">
            <w:pPr>
              <w:jc w:val="center"/>
            </w:pPr>
            <w:r>
              <w:rPr>
                <w:color w:val="000000"/>
                <w:sz w:val="24"/>
              </w:rPr>
              <w:t>0.00%</w:t>
            </w:r>
          </w:p>
        </w:tc>
      </w:tr>
      <w:tr w:rsidR="004D36F8">
        <w:trPr>
          <w:jc w:val="center"/>
        </w:trPr>
        <w:tc>
          <w:tcPr>
            <w:tcW w:w="1266" w:type="dxa"/>
            <w:vAlign w:val="center"/>
          </w:tcPr>
          <w:p w:rsidR="004D36F8" w:rsidRDefault="00EF0BCF">
            <w:pPr>
              <w:jc w:val="left"/>
            </w:pPr>
            <w:r>
              <w:rPr>
                <w:color w:val="000000"/>
                <w:sz w:val="24"/>
              </w:rPr>
              <w:lastRenderedPageBreak/>
              <w:t>过去五年</w:t>
            </w:r>
          </w:p>
        </w:tc>
        <w:tc>
          <w:tcPr>
            <w:tcW w:w="1267" w:type="dxa"/>
            <w:vAlign w:val="center"/>
          </w:tcPr>
          <w:p w:rsidR="004D36F8" w:rsidRDefault="00EF0BCF">
            <w:pPr>
              <w:jc w:val="center"/>
            </w:pPr>
            <w:r>
              <w:rPr>
                <w:color w:val="000000"/>
                <w:sz w:val="24"/>
              </w:rPr>
              <w:t>12.49%</w:t>
            </w:r>
          </w:p>
        </w:tc>
        <w:tc>
          <w:tcPr>
            <w:tcW w:w="1267" w:type="dxa"/>
            <w:vAlign w:val="center"/>
          </w:tcPr>
          <w:p w:rsidR="004D36F8" w:rsidRDefault="00EF0BCF">
            <w:pPr>
              <w:jc w:val="center"/>
            </w:pPr>
            <w:r>
              <w:rPr>
                <w:color w:val="000000"/>
                <w:sz w:val="24"/>
              </w:rPr>
              <w:t>0.10%</w:t>
            </w:r>
          </w:p>
        </w:tc>
        <w:tc>
          <w:tcPr>
            <w:tcW w:w="1267" w:type="dxa"/>
            <w:vAlign w:val="center"/>
          </w:tcPr>
          <w:p w:rsidR="004D36F8" w:rsidRDefault="00EF0BCF">
            <w:pPr>
              <w:jc w:val="center"/>
            </w:pPr>
            <w:r>
              <w:rPr>
                <w:color w:val="000000"/>
                <w:sz w:val="24"/>
              </w:rPr>
              <w:t>6.51%</w:t>
            </w:r>
          </w:p>
        </w:tc>
        <w:tc>
          <w:tcPr>
            <w:tcW w:w="1267" w:type="dxa"/>
            <w:vAlign w:val="center"/>
          </w:tcPr>
          <w:p w:rsidR="004D36F8" w:rsidRDefault="00EF0BCF">
            <w:pPr>
              <w:jc w:val="center"/>
            </w:pPr>
            <w:r>
              <w:rPr>
                <w:color w:val="000000"/>
                <w:sz w:val="24"/>
              </w:rPr>
              <w:t>0.07%</w:t>
            </w:r>
          </w:p>
        </w:tc>
        <w:tc>
          <w:tcPr>
            <w:tcW w:w="1267" w:type="dxa"/>
            <w:vAlign w:val="center"/>
          </w:tcPr>
          <w:p w:rsidR="004D36F8" w:rsidRDefault="00EF0BCF">
            <w:pPr>
              <w:jc w:val="center"/>
            </w:pPr>
            <w:r>
              <w:rPr>
                <w:color w:val="000000"/>
                <w:sz w:val="24"/>
              </w:rPr>
              <w:t>5.98%</w:t>
            </w:r>
          </w:p>
        </w:tc>
        <w:tc>
          <w:tcPr>
            <w:tcW w:w="1267" w:type="dxa"/>
            <w:vAlign w:val="center"/>
          </w:tcPr>
          <w:p w:rsidR="004D36F8" w:rsidRDefault="00EF0BCF">
            <w:pPr>
              <w:jc w:val="center"/>
            </w:pPr>
            <w:r>
              <w:rPr>
                <w:color w:val="000000"/>
                <w:sz w:val="24"/>
              </w:rPr>
              <w:t>0.03%</w:t>
            </w:r>
          </w:p>
        </w:tc>
      </w:tr>
      <w:tr w:rsidR="004D36F8">
        <w:trPr>
          <w:jc w:val="center"/>
        </w:trPr>
        <w:tc>
          <w:tcPr>
            <w:tcW w:w="1266" w:type="dxa"/>
            <w:vAlign w:val="center"/>
          </w:tcPr>
          <w:p w:rsidR="004D36F8" w:rsidRDefault="00EF0BCF">
            <w:pPr>
              <w:jc w:val="left"/>
            </w:pPr>
            <w:r>
              <w:rPr>
                <w:color w:val="000000"/>
                <w:sz w:val="24"/>
              </w:rPr>
              <w:t>自基金合同生效至今</w:t>
            </w:r>
          </w:p>
        </w:tc>
        <w:tc>
          <w:tcPr>
            <w:tcW w:w="1267" w:type="dxa"/>
            <w:vAlign w:val="center"/>
          </w:tcPr>
          <w:p w:rsidR="004D36F8" w:rsidRDefault="00EF0BCF">
            <w:pPr>
              <w:jc w:val="center"/>
            </w:pPr>
            <w:r>
              <w:rPr>
                <w:color w:val="000000"/>
                <w:sz w:val="24"/>
              </w:rPr>
              <w:t>23.51%</w:t>
            </w:r>
          </w:p>
        </w:tc>
        <w:tc>
          <w:tcPr>
            <w:tcW w:w="1267" w:type="dxa"/>
            <w:vAlign w:val="center"/>
          </w:tcPr>
          <w:p w:rsidR="004D36F8" w:rsidRDefault="00EF0BCF">
            <w:pPr>
              <w:jc w:val="center"/>
            </w:pPr>
            <w:r>
              <w:rPr>
                <w:color w:val="000000"/>
                <w:sz w:val="24"/>
              </w:rPr>
              <w:t>0.11%</w:t>
            </w:r>
          </w:p>
        </w:tc>
        <w:tc>
          <w:tcPr>
            <w:tcW w:w="1267" w:type="dxa"/>
            <w:vAlign w:val="center"/>
          </w:tcPr>
          <w:p w:rsidR="004D36F8" w:rsidRDefault="00EF0BCF">
            <w:pPr>
              <w:jc w:val="center"/>
            </w:pPr>
            <w:r>
              <w:rPr>
                <w:color w:val="000000"/>
                <w:sz w:val="24"/>
              </w:rPr>
              <w:t>11.02%</w:t>
            </w:r>
          </w:p>
        </w:tc>
        <w:tc>
          <w:tcPr>
            <w:tcW w:w="1267" w:type="dxa"/>
            <w:vAlign w:val="center"/>
          </w:tcPr>
          <w:p w:rsidR="004D36F8" w:rsidRDefault="00EF0BCF">
            <w:pPr>
              <w:jc w:val="center"/>
            </w:pPr>
            <w:r>
              <w:rPr>
                <w:color w:val="000000"/>
                <w:sz w:val="24"/>
              </w:rPr>
              <w:t>0.06%</w:t>
            </w:r>
          </w:p>
        </w:tc>
        <w:tc>
          <w:tcPr>
            <w:tcW w:w="1267" w:type="dxa"/>
            <w:vAlign w:val="center"/>
          </w:tcPr>
          <w:p w:rsidR="004D36F8" w:rsidRDefault="00EF0BCF">
            <w:pPr>
              <w:jc w:val="center"/>
            </w:pPr>
            <w:r>
              <w:rPr>
                <w:color w:val="000000"/>
                <w:sz w:val="24"/>
              </w:rPr>
              <w:t>12.49%</w:t>
            </w:r>
          </w:p>
        </w:tc>
        <w:tc>
          <w:tcPr>
            <w:tcW w:w="1267" w:type="dxa"/>
            <w:vAlign w:val="center"/>
          </w:tcPr>
          <w:p w:rsidR="004D36F8" w:rsidRDefault="00EF0BCF">
            <w:pPr>
              <w:jc w:val="center"/>
            </w:pPr>
            <w:r>
              <w:rPr>
                <w:color w:val="000000"/>
                <w:sz w:val="24"/>
              </w:rPr>
              <w:t>0.05%</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D36F8">
        <w:trPr>
          <w:jc w:val="center"/>
        </w:trPr>
        <w:tc>
          <w:tcPr>
            <w:tcW w:w="946" w:type="dxa"/>
            <w:vAlign w:val="center"/>
          </w:tcPr>
          <w:p w:rsidR="004D36F8" w:rsidRDefault="00EF0BCF">
            <w:pPr>
              <w:jc w:val="center"/>
            </w:pPr>
            <w:r>
              <w:rPr>
                <w:color w:val="000000"/>
                <w:sz w:val="24"/>
              </w:rPr>
              <w:t>魏玉敏</w:t>
            </w:r>
          </w:p>
        </w:tc>
        <w:tc>
          <w:tcPr>
            <w:tcW w:w="924" w:type="dxa"/>
            <w:vAlign w:val="center"/>
          </w:tcPr>
          <w:p w:rsidR="004D36F8" w:rsidRDefault="00EF0BCF">
            <w:pPr>
              <w:jc w:val="center"/>
            </w:pPr>
            <w:r>
              <w:rPr>
                <w:color w:val="000000"/>
                <w:sz w:val="24"/>
              </w:rPr>
              <w:t>交银增利债券、交银纯债债券发起、交银丰润收益债券、</w:t>
            </w:r>
            <w:r>
              <w:rPr>
                <w:color w:val="000000"/>
                <w:sz w:val="24"/>
              </w:rPr>
              <w:lastRenderedPageBreak/>
              <w:t>交银增利增强债券、交银裕如纯债债券、交银中债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4D36F8" w:rsidRDefault="00EF0BCF">
            <w:pPr>
              <w:jc w:val="center"/>
            </w:pPr>
            <w:r>
              <w:rPr>
                <w:color w:val="000000"/>
                <w:sz w:val="24"/>
              </w:rPr>
              <w:lastRenderedPageBreak/>
              <w:t>2018-11-02</w:t>
            </w:r>
          </w:p>
        </w:tc>
        <w:tc>
          <w:tcPr>
            <w:tcW w:w="1300" w:type="dxa"/>
            <w:vAlign w:val="center"/>
          </w:tcPr>
          <w:p w:rsidR="004D36F8" w:rsidRDefault="00EF0BCF">
            <w:pPr>
              <w:jc w:val="center"/>
            </w:pPr>
            <w:r>
              <w:rPr>
                <w:color w:val="000000"/>
                <w:sz w:val="24"/>
              </w:rPr>
              <w:t>-</w:t>
            </w:r>
          </w:p>
        </w:tc>
        <w:tc>
          <w:tcPr>
            <w:tcW w:w="1245" w:type="dxa"/>
            <w:vAlign w:val="center"/>
          </w:tcPr>
          <w:p w:rsidR="004D36F8" w:rsidRDefault="00EF0BCF">
            <w:pPr>
              <w:jc w:val="center"/>
            </w:pPr>
            <w:r>
              <w:rPr>
                <w:color w:val="000000"/>
                <w:sz w:val="24"/>
              </w:rPr>
              <w:t>8</w:t>
            </w:r>
            <w:r>
              <w:rPr>
                <w:color w:val="000000"/>
                <w:sz w:val="24"/>
              </w:rPr>
              <w:t>年</w:t>
            </w:r>
          </w:p>
        </w:tc>
        <w:tc>
          <w:tcPr>
            <w:tcW w:w="3251" w:type="dxa"/>
            <w:vAlign w:val="center"/>
          </w:tcPr>
          <w:p w:rsidR="004D36F8" w:rsidRDefault="00EF0BCF">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r>
              <w:rPr>
                <w:color w:val="000000"/>
                <w:sz w:val="24"/>
              </w:rPr>
              <w:t>2018</w:t>
            </w:r>
            <w:r>
              <w:rPr>
                <w:color w:val="000000"/>
                <w:sz w:val="24"/>
              </w:rPr>
              <w:t>年</w:t>
            </w:r>
            <w:r>
              <w:rPr>
                <w:color w:val="000000"/>
                <w:sz w:val="24"/>
              </w:rPr>
              <w:t>8</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10</w:t>
            </w:r>
            <w:r>
              <w:rPr>
                <w:color w:val="000000"/>
                <w:sz w:val="24"/>
              </w:rPr>
              <w:t>月</w:t>
            </w:r>
            <w:r>
              <w:rPr>
                <w:color w:val="000000"/>
                <w:sz w:val="24"/>
              </w:rPr>
              <w:t>16</w:t>
            </w:r>
            <w:r>
              <w:rPr>
                <w:color w:val="000000"/>
                <w:sz w:val="24"/>
              </w:rPr>
              <w:t>日担任交银施罗德丰晟收益债券型证券投资基金的基金经理。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w:t>
      </w:r>
      <w:r w:rsidRPr="007F52FA">
        <w:rPr>
          <w:color w:val="000000"/>
          <w:sz w:val="24"/>
        </w:rPr>
        <w:t>1</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4D36F8" w:rsidRDefault="00EF0BC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4D36F8" w:rsidRDefault="00EF0BCF">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4D36F8" w:rsidRDefault="00EF0BC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902FA7" w:rsidRPr="00902FA7" w:rsidRDefault="00902FA7" w:rsidP="00902FA7">
      <w:pPr>
        <w:spacing w:before="29" w:line="288" w:lineRule="auto"/>
        <w:ind w:firstLineChars="200" w:firstLine="480"/>
        <w:rPr>
          <w:rFonts w:hint="eastAsia"/>
          <w:color w:val="000000"/>
          <w:sz w:val="24"/>
        </w:rPr>
      </w:pPr>
      <w:r w:rsidRPr="00902FA7">
        <w:rPr>
          <w:rFonts w:hint="eastAsia"/>
          <w:color w:val="000000"/>
          <w:sz w:val="24"/>
        </w:rPr>
        <w:t>回顾</w:t>
      </w:r>
      <w:r w:rsidRPr="00902FA7">
        <w:rPr>
          <w:rFonts w:hint="eastAsia"/>
          <w:color w:val="000000"/>
          <w:sz w:val="24"/>
        </w:rPr>
        <w:t>2020</w:t>
      </w:r>
      <w:r w:rsidRPr="00902FA7">
        <w:rPr>
          <w:rFonts w:hint="eastAsia"/>
          <w:color w:val="000000"/>
          <w:sz w:val="24"/>
        </w:rPr>
        <w:t>年四季度，债券市场先跌后涨，先是受到资金面边际收紧和信用事件影响收益率冲高至年内高点，此后在央行维稳流动性、债市供需改善后出现阶段性交易行情，债市收益率整体震荡，期限利差明显走扩。具体来看，本季度初，国庆假期消费数据超预期改善、人民币汇率大幅上涨，市场风险偏好明显上行，叠加债券供给量依然较大，债市延续弱势调整。季度中期，部分债违约事件引发弱资质信用债遭受抛售，信用利差明显走扩，利率债受到流动性压力收益率也跟随上行。进入季度末，随着金稳会定调和央行超预期投放</w:t>
      </w:r>
      <w:r w:rsidRPr="00902FA7">
        <w:rPr>
          <w:rFonts w:hint="eastAsia"/>
          <w:color w:val="000000"/>
          <w:sz w:val="24"/>
        </w:rPr>
        <w:t>MLF</w:t>
      </w:r>
      <w:r w:rsidRPr="00902FA7">
        <w:rPr>
          <w:rFonts w:hint="eastAsia"/>
          <w:color w:val="000000"/>
          <w:sz w:val="24"/>
        </w:rPr>
        <w:t>，市场担忧情绪逐步缓解，资金利率回落至年内低点，在流动性宽松带动下债市出现一波阶段性交易行情，收益率曲线陡峭化下行。</w:t>
      </w:r>
    </w:p>
    <w:p w:rsidR="00902FA7" w:rsidRPr="00902FA7" w:rsidRDefault="00902FA7" w:rsidP="00902FA7">
      <w:pPr>
        <w:spacing w:before="29" w:line="288" w:lineRule="auto"/>
        <w:ind w:firstLineChars="200" w:firstLine="480"/>
        <w:rPr>
          <w:rFonts w:hint="eastAsia"/>
          <w:color w:val="000000"/>
          <w:sz w:val="24"/>
        </w:rPr>
      </w:pPr>
      <w:r w:rsidRPr="00902FA7">
        <w:rPr>
          <w:rFonts w:hint="eastAsia"/>
          <w:color w:val="000000"/>
          <w:sz w:val="24"/>
        </w:rPr>
        <w:t>报告期内，基于对宏观经济的判断，结合市场收益率曲线形态变动调整了组合久期配置，组合以中短期利率债为主要配置，通过久期选择和精选个券，为组合增厚收益。</w:t>
      </w:r>
    </w:p>
    <w:p w:rsidR="00952A72" w:rsidRPr="007F52FA" w:rsidRDefault="00902FA7" w:rsidP="00902FA7">
      <w:pPr>
        <w:spacing w:before="29" w:line="288" w:lineRule="auto"/>
        <w:ind w:firstLineChars="200" w:firstLine="480"/>
        <w:rPr>
          <w:color w:val="000000"/>
          <w:sz w:val="24"/>
        </w:rPr>
      </w:pPr>
      <w:r w:rsidRPr="00902FA7">
        <w:rPr>
          <w:rFonts w:hint="eastAsia"/>
          <w:color w:val="000000"/>
          <w:sz w:val="24"/>
        </w:rPr>
        <w:t>展望</w:t>
      </w:r>
      <w:r w:rsidRPr="00902FA7">
        <w:rPr>
          <w:rFonts w:hint="eastAsia"/>
          <w:color w:val="000000"/>
          <w:sz w:val="24"/>
        </w:rPr>
        <w:t>2021</w:t>
      </w:r>
      <w:r w:rsidRPr="00902FA7">
        <w:rPr>
          <w:rFonts w:hint="eastAsia"/>
          <w:color w:val="000000"/>
          <w:sz w:val="24"/>
        </w:rPr>
        <w:t>年一季度，流动性环境和基本面趋势将成为影响债市的主要因素。短期来看，由于基数效应一季度经济增长同比增速较高，国内外疫苗推进下基本面仍延续改善趋势，跨年之后资金面或边际收敛但仍将保持合理充裕状态。目前尚未公布地方债提前发行计划，债市供需结构或将延续改善。总体来看，债市明显反弹之后性价比有所下降，趋势性机会仍需等待，预计一季度债市市场以震荡格局为主，关注两会前后由于经济数据和通胀压力引发债市小幅调整的可能。操作策略方面，组合将继续关注市场情况，灵活调整组合久期，根据曲线形态，适时进行组合个券调仓，以期增厚组合收益。</w:t>
      </w:r>
      <w:bookmarkStart w:id="0" w:name="_GoBack"/>
      <w:bookmarkEnd w:id="0"/>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lastRenderedPageBreak/>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1,489,772,000.00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97.77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1,489,772,000.00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97.77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1,264,779.45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32,777,158.08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1,523,813,937.53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1,489,772,000.00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110.52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1,489,772,000.00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110.52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1,489,772,000.00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110.52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D36F8">
        <w:trPr>
          <w:jc w:val="center"/>
        </w:trPr>
        <w:tc>
          <w:tcPr>
            <w:tcW w:w="1075" w:type="dxa"/>
            <w:vAlign w:val="center"/>
          </w:tcPr>
          <w:p w:rsidR="004D36F8" w:rsidRDefault="00EF0BCF">
            <w:pPr>
              <w:jc w:val="center"/>
            </w:pPr>
            <w:r>
              <w:rPr>
                <w:color w:val="000000"/>
                <w:sz w:val="24"/>
              </w:rPr>
              <w:t>1</w:t>
            </w:r>
          </w:p>
        </w:tc>
        <w:tc>
          <w:tcPr>
            <w:tcW w:w="1533" w:type="dxa"/>
            <w:vAlign w:val="center"/>
          </w:tcPr>
          <w:p w:rsidR="004D36F8" w:rsidRDefault="00EF0BCF">
            <w:pPr>
              <w:jc w:val="center"/>
            </w:pPr>
            <w:r>
              <w:rPr>
                <w:color w:val="000000"/>
                <w:sz w:val="24"/>
              </w:rPr>
              <w:t>190202</w:t>
            </w:r>
          </w:p>
        </w:tc>
        <w:tc>
          <w:tcPr>
            <w:tcW w:w="1533" w:type="dxa"/>
            <w:vAlign w:val="center"/>
          </w:tcPr>
          <w:p w:rsidR="004D36F8" w:rsidRDefault="00EF0BCF">
            <w:pPr>
              <w:jc w:val="center"/>
            </w:pPr>
            <w:r>
              <w:rPr>
                <w:color w:val="000000"/>
                <w:sz w:val="24"/>
              </w:rPr>
              <w:t>19</w:t>
            </w:r>
            <w:r>
              <w:rPr>
                <w:color w:val="000000"/>
                <w:sz w:val="24"/>
              </w:rPr>
              <w:t>国开</w:t>
            </w:r>
            <w:r>
              <w:rPr>
                <w:color w:val="000000"/>
                <w:sz w:val="24"/>
              </w:rPr>
              <w:t>02</w:t>
            </w:r>
          </w:p>
        </w:tc>
        <w:tc>
          <w:tcPr>
            <w:tcW w:w="1394" w:type="dxa"/>
            <w:vAlign w:val="center"/>
          </w:tcPr>
          <w:p w:rsidR="004D36F8" w:rsidRDefault="00EF0BCF">
            <w:pPr>
              <w:jc w:val="right"/>
            </w:pPr>
            <w:r>
              <w:rPr>
                <w:color w:val="000000"/>
                <w:sz w:val="24"/>
              </w:rPr>
              <w:t>3,700,000</w:t>
            </w:r>
          </w:p>
        </w:tc>
        <w:tc>
          <w:tcPr>
            <w:tcW w:w="1944" w:type="dxa"/>
            <w:vAlign w:val="center"/>
          </w:tcPr>
          <w:p w:rsidR="004D36F8" w:rsidRDefault="00EF0BCF">
            <w:pPr>
              <w:jc w:val="right"/>
            </w:pPr>
            <w:r>
              <w:rPr>
                <w:color w:val="000000"/>
                <w:sz w:val="24"/>
              </w:rPr>
              <w:t>371,702,000.00</w:t>
            </w:r>
          </w:p>
        </w:tc>
        <w:tc>
          <w:tcPr>
            <w:tcW w:w="1389" w:type="dxa"/>
            <w:vAlign w:val="center"/>
          </w:tcPr>
          <w:p w:rsidR="004D36F8" w:rsidRDefault="00EF0BCF">
            <w:pPr>
              <w:jc w:val="right"/>
            </w:pPr>
            <w:r>
              <w:rPr>
                <w:color w:val="000000"/>
                <w:sz w:val="24"/>
              </w:rPr>
              <w:t>27.58</w:t>
            </w:r>
          </w:p>
        </w:tc>
      </w:tr>
      <w:tr w:rsidR="004D36F8">
        <w:trPr>
          <w:jc w:val="center"/>
        </w:trPr>
        <w:tc>
          <w:tcPr>
            <w:tcW w:w="1075" w:type="dxa"/>
            <w:vAlign w:val="center"/>
          </w:tcPr>
          <w:p w:rsidR="004D36F8" w:rsidRDefault="00EF0BCF">
            <w:pPr>
              <w:jc w:val="center"/>
            </w:pPr>
            <w:r>
              <w:rPr>
                <w:color w:val="000000"/>
                <w:sz w:val="24"/>
              </w:rPr>
              <w:t>2</w:t>
            </w:r>
          </w:p>
        </w:tc>
        <w:tc>
          <w:tcPr>
            <w:tcW w:w="1533" w:type="dxa"/>
            <w:vAlign w:val="center"/>
          </w:tcPr>
          <w:p w:rsidR="004D36F8" w:rsidRDefault="00EF0BCF">
            <w:pPr>
              <w:jc w:val="center"/>
            </w:pPr>
            <w:r>
              <w:rPr>
                <w:color w:val="000000"/>
                <w:sz w:val="24"/>
              </w:rPr>
              <w:t>200402</w:t>
            </w:r>
          </w:p>
        </w:tc>
        <w:tc>
          <w:tcPr>
            <w:tcW w:w="1533" w:type="dxa"/>
            <w:vAlign w:val="center"/>
          </w:tcPr>
          <w:p w:rsidR="004D36F8" w:rsidRDefault="00EF0BCF">
            <w:pPr>
              <w:jc w:val="center"/>
            </w:pPr>
            <w:r>
              <w:rPr>
                <w:color w:val="000000"/>
                <w:sz w:val="24"/>
              </w:rPr>
              <w:t>20</w:t>
            </w:r>
            <w:r>
              <w:rPr>
                <w:color w:val="000000"/>
                <w:sz w:val="24"/>
              </w:rPr>
              <w:t>农发</w:t>
            </w:r>
            <w:r>
              <w:rPr>
                <w:color w:val="000000"/>
                <w:sz w:val="24"/>
              </w:rPr>
              <w:t>02</w:t>
            </w:r>
          </w:p>
        </w:tc>
        <w:tc>
          <w:tcPr>
            <w:tcW w:w="1394" w:type="dxa"/>
            <w:vAlign w:val="center"/>
          </w:tcPr>
          <w:p w:rsidR="004D36F8" w:rsidRDefault="00EF0BCF">
            <w:pPr>
              <w:jc w:val="right"/>
            </w:pPr>
            <w:r>
              <w:rPr>
                <w:color w:val="000000"/>
                <w:sz w:val="24"/>
              </w:rPr>
              <w:t>3,200,000</w:t>
            </w:r>
          </w:p>
        </w:tc>
        <w:tc>
          <w:tcPr>
            <w:tcW w:w="1944" w:type="dxa"/>
            <w:vAlign w:val="center"/>
          </w:tcPr>
          <w:p w:rsidR="004D36F8" w:rsidRDefault="00EF0BCF">
            <w:pPr>
              <w:jc w:val="right"/>
            </w:pPr>
            <w:r>
              <w:rPr>
                <w:color w:val="000000"/>
                <w:sz w:val="24"/>
              </w:rPr>
              <w:t>314,624,000.00</w:t>
            </w:r>
          </w:p>
        </w:tc>
        <w:tc>
          <w:tcPr>
            <w:tcW w:w="1389" w:type="dxa"/>
            <w:vAlign w:val="center"/>
          </w:tcPr>
          <w:p w:rsidR="004D36F8" w:rsidRDefault="00EF0BCF">
            <w:pPr>
              <w:jc w:val="right"/>
            </w:pPr>
            <w:r>
              <w:rPr>
                <w:color w:val="000000"/>
                <w:sz w:val="24"/>
              </w:rPr>
              <w:t>23.34</w:t>
            </w:r>
          </w:p>
        </w:tc>
      </w:tr>
      <w:tr w:rsidR="004D36F8">
        <w:trPr>
          <w:jc w:val="center"/>
        </w:trPr>
        <w:tc>
          <w:tcPr>
            <w:tcW w:w="1075" w:type="dxa"/>
            <w:vAlign w:val="center"/>
          </w:tcPr>
          <w:p w:rsidR="004D36F8" w:rsidRDefault="00EF0BCF">
            <w:pPr>
              <w:jc w:val="center"/>
            </w:pPr>
            <w:r>
              <w:rPr>
                <w:color w:val="000000"/>
                <w:sz w:val="24"/>
              </w:rPr>
              <w:t>3</w:t>
            </w:r>
          </w:p>
        </w:tc>
        <w:tc>
          <w:tcPr>
            <w:tcW w:w="1533" w:type="dxa"/>
            <w:vAlign w:val="center"/>
          </w:tcPr>
          <w:p w:rsidR="004D36F8" w:rsidRDefault="00EF0BCF">
            <w:pPr>
              <w:jc w:val="center"/>
            </w:pPr>
            <w:r>
              <w:rPr>
                <w:color w:val="000000"/>
                <w:sz w:val="24"/>
              </w:rPr>
              <w:t>190203</w:t>
            </w:r>
          </w:p>
        </w:tc>
        <w:tc>
          <w:tcPr>
            <w:tcW w:w="1533" w:type="dxa"/>
            <w:vAlign w:val="center"/>
          </w:tcPr>
          <w:p w:rsidR="004D36F8" w:rsidRDefault="00EF0BCF">
            <w:pPr>
              <w:jc w:val="center"/>
            </w:pPr>
            <w:r>
              <w:rPr>
                <w:color w:val="000000"/>
                <w:sz w:val="24"/>
              </w:rPr>
              <w:t>19</w:t>
            </w:r>
            <w:r>
              <w:rPr>
                <w:color w:val="000000"/>
                <w:sz w:val="24"/>
              </w:rPr>
              <w:t>国开</w:t>
            </w:r>
            <w:r>
              <w:rPr>
                <w:color w:val="000000"/>
                <w:sz w:val="24"/>
              </w:rPr>
              <w:t>03</w:t>
            </w:r>
          </w:p>
        </w:tc>
        <w:tc>
          <w:tcPr>
            <w:tcW w:w="1394" w:type="dxa"/>
            <w:vAlign w:val="center"/>
          </w:tcPr>
          <w:p w:rsidR="004D36F8" w:rsidRDefault="00EF0BCF">
            <w:pPr>
              <w:jc w:val="right"/>
            </w:pPr>
            <w:r>
              <w:rPr>
                <w:color w:val="000000"/>
                <w:sz w:val="24"/>
              </w:rPr>
              <w:t>1,600,000</w:t>
            </w:r>
          </w:p>
        </w:tc>
        <w:tc>
          <w:tcPr>
            <w:tcW w:w="1944" w:type="dxa"/>
            <w:vAlign w:val="center"/>
          </w:tcPr>
          <w:p w:rsidR="004D36F8" w:rsidRDefault="00EF0BCF">
            <w:pPr>
              <w:jc w:val="right"/>
            </w:pPr>
            <w:r>
              <w:rPr>
                <w:color w:val="000000"/>
                <w:sz w:val="24"/>
              </w:rPr>
              <w:t>161,104,000.00</w:t>
            </w:r>
          </w:p>
        </w:tc>
        <w:tc>
          <w:tcPr>
            <w:tcW w:w="1389" w:type="dxa"/>
            <w:vAlign w:val="center"/>
          </w:tcPr>
          <w:p w:rsidR="004D36F8" w:rsidRDefault="00EF0BCF">
            <w:pPr>
              <w:jc w:val="right"/>
            </w:pPr>
            <w:r>
              <w:rPr>
                <w:color w:val="000000"/>
                <w:sz w:val="24"/>
              </w:rPr>
              <w:t>11.95</w:t>
            </w:r>
          </w:p>
        </w:tc>
      </w:tr>
      <w:tr w:rsidR="004D36F8">
        <w:trPr>
          <w:jc w:val="center"/>
        </w:trPr>
        <w:tc>
          <w:tcPr>
            <w:tcW w:w="1075" w:type="dxa"/>
            <w:vAlign w:val="center"/>
          </w:tcPr>
          <w:p w:rsidR="004D36F8" w:rsidRDefault="00EF0BCF">
            <w:pPr>
              <w:jc w:val="center"/>
            </w:pPr>
            <w:r>
              <w:rPr>
                <w:color w:val="000000"/>
                <w:sz w:val="24"/>
              </w:rPr>
              <w:t>4</w:t>
            </w:r>
          </w:p>
        </w:tc>
        <w:tc>
          <w:tcPr>
            <w:tcW w:w="1533" w:type="dxa"/>
            <w:vAlign w:val="center"/>
          </w:tcPr>
          <w:p w:rsidR="004D36F8" w:rsidRDefault="00EF0BCF">
            <w:pPr>
              <w:jc w:val="center"/>
            </w:pPr>
            <w:r>
              <w:rPr>
                <w:color w:val="000000"/>
                <w:sz w:val="24"/>
              </w:rPr>
              <w:t>200406</w:t>
            </w:r>
          </w:p>
        </w:tc>
        <w:tc>
          <w:tcPr>
            <w:tcW w:w="1533" w:type="dxa"/>
            <w:vAlign w:val="center"/>
          </w:tcPr>
          <w:p w:rsidR="004D36F8" w:rsidRDefault="00EF0BCF">
            <w:pPr>
              <w:jc w:val="center"/>
            </w:pPr>
            <w:r>
              <w:rPr>
                <w:color w:val="000000"/>
                <w:sz w:val="24"/>
              </w:rPr>
              <w:t>20</w:t>
            </w:r>
            <w:r>
              <w:rPr>
                <w:color w:val="000000"/>
                <w:sz w:val="24"/>
              </w:rPr>
              <w:t>农发</w:t>
            </w:r>
            <w:r>
              <w:rPr>
                <w:color w:val="000000"/>
                <w:sz w:val="24"/>
              </w:rPr>
              <w:t>06</w:t>
            </w:r>
          </w:p>
        </w:tc>
        <w:tc>
          <w:tcPr>
            <w:tcW w:w="1394" w:type="dxa"/>
            <w:vAlign w:val="center"/>
          </w:tcPr>
          <w:p w:rsidR="004D36F8" w:rsidRDefault="00EF0BCF">
            <w:pPr>
              <w:jc w:val="right"/>
            </w:pPr>
            <w:r>
              <w:rPr>
                <w:color w:val="000000"/>
                <w:sz w:val="24"/>
              </w:rPr>
              <w:t>1,500,000</w:t>
            </w:r>
          </w:p>
        </w:tc>
        <w:tc>
          <w:tcPr>
            <w:tcW w:w="1944" w:type="dxa"/>
            <w:vAlign w:val="center"/>
          </w:tcPr>
          <w:p w:rsidR="004D36F8" w:rsidRDefault="00EF0BCF">
            <w:pPr>
              <w:jc w:val="right"/>
            </w:pPr>
            <w:r>
              <w:rPr>
                <w:color w:val="000000"/>
                <w:sz w:val="24"/>
              </w:rPr>
              <w:t>149,640,000.00</w:t>
            </w:r>
          </w:p>
        </w:tc>
        <w:tc>
          <w:tcPr>
            <w:tcW w:w="1389" w:type="dxa"/>
            <w:vAlign w:val="center"/>
          </w:tcPr>
          <w:p w:rsidR="004D36F8" w:rsidRDefault="00EF0BCF">
            <w:pPr>
              <w:jc w:val="right"/>
            </w:pPr>
            <w:r>
              <w:rPr>
                <w:color w:val="000000"/>
                <w:sz w:val="24"/>
              </w:rPr>
              <w:t>11.10</w:t>
            </w:r>
          </w:p>
        </w:tc>
      </w:tr>
      <w:tr w:rsidR="004D36F8">
        <w:trPr>
          <w:jc w:val="center"/>
        </w:trPr>
        <w:tc>
          <w:tcPr>
            <w:tcW w:w="1075" w:type="dxa"/>
            <w:vAlign w:val="center"/>
          </w:tcPr>
          <w:p w:rsidR="004D36F8" w:rsidRDefault="00EF0BCF">
            <w:pPr>
              <w:jc w:val="center"/>
            </w:pPr>
            <w:r>
              <w:rPr>
                <w:color w:val="000000"/>
                <w:sz w:val="24"/>
              </w:rPr>
              <w:t>5</w:t>
            </w:r>
          </w:p>
        </w:tc>
        <w:tc>
          <w:tcPr>
            <w:tcW w:w="1533" w:type="dxa"/>
            <w:vAlign w:val="center"/>
          </w:tcPr>
          <w:p w:rsidR="004D36F8" w:rsidRDefault="00EF0BCF">
            <w:pPr>
              <w:jc w:val="center"/>
            </w:pPr>
            <w:r>
              <w:rPr>
                <w:color w:val="000000"/>
                <w:sz w:val="24"/>
              </w:rPr>
              <w:t>180204</w:t>
            </w:r>
          </w:p>
        </w:tc>
        <w:tc>
          <w:tcPr>
            <w:tcW w:w="1533" w:type="dxa"/>
            <w:vAlign w:val="center"/>
          </w:tcPr>
          <w:p w:rsidR="004D36F8" w:rsidRDefault="00EF0BCF">
            <w:pPr>
              <w:jc w:val="center"/>
            </w:pPr>
            <w:r>
              <w:rPr>
                <w:color w:val="000000"/>
                <w:sz w:val="24"/>
              </w:rPr>
              <w:t>18</w:t>
            </w:r>
            <w:r>
              <w:rPr>
                <w:color w:val="000000"/>
                <w:sz w:val="24"/>
              </w:rPr>
              <w:t>国开</w:t>
            </w:r>
            <w:r>
              <w:rPr>
                <w:color w:val="000000"/>
                <w:sz w:val="24"/>
              </w:rPr>
              <w:t>04</w:t>
            </w:r>
          </w:p>
        </w:tc>
        <w:tc>
          <w:tcPr>
            <w:tcW w:w="1394" w:type="dxa"/>
            <w:vAlign w:val="center"/>
          </w:tcPr>
          <w:p w:rsidR="004D36F8" w:rsidRDefault="00EF0BCF">
            <w:pPr>
              <w:jc w:val="right"/>
            </w:pPr>
            <w:r>
              <w:rPr>
                <w:color w:val="000000"/>
                <w:sz w:val="24"/>
              </w:rPr>
              <w:t>1,200,000</w:t>
            </w:r>
          </w:p>
        </w:tc>
        <w:tc>
          <w:tcPr>
            <w:tcW w:w="1944" w:type="dxa"/>
            <w:vAlign w:val="center"/>
          </w:tcPr>
          <w:p w:rsidR="004D36F8" w:rsidRDefault="00EF0BCF">
            <w:pPr>
              <w:jc w:val="right"/>
            </w:pPr>
            <w:r>
              <w:rPr>
                <w:color w:val="000000"/>
                <w:sz w:val="24"/>
              </w:rPr>
              <w:t>124,392,000.00</w:t>
            </w:r>
          </w:p>
        </w:tc>
        <w:tc>
          <w:tcPr>
            <w:tcW w:w="1389" w:type="dxa"/>
            <w:vAlign w:val="center"/>
          </w:tcPr>
          <w:p w:rsidR="004D36F8" w:rsidRDefault="00EF0BCF">
            <w:pPr>
              <w:jc w:val="right"/>
            </w:pPr>
            <w:r>
              <w:rPr>
                <w:color w:val="000000"/>
                <w:sz w:val="24"/>
              </w:rPr>
              <w:t>9.23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32,745,331.46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31,826.62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32,777,158.08</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1,528,084,632.38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1,523,139.51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197,405,102.00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1,030,374.08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401,433,140.86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524,427.59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1,324,056,593.52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2,029,086.00</w:t>
            </w:r>
          </w:p>
        </w:tc>
      </w:tr>
    </w:tbl>
    <w:p w:rsidR="004D36F8" w:rsidRDefault="00EF0BC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D36F8">
        <w:tc>
          <w:tcPr>
            <w:tcW w:w="992" w:type="dxa"/>
            <w:vMerge w:val="restart"/>
          </w:tcPr>
          <w:p w:rsidR="004D36F8" w:rsidRDefault="004D36F8"/>
          <w:p w:rsidR="004D36F8" w:rsidRDefault="00EF0BCF">
            <w:r>
              <w:rPr>
                <w:rFonts w:ascii="宋体" w:hAnsi="宋体" w:hint="eastAsia"/>
                <w:bCs/>
                <w:color w:val="000000"/>
                <w:kern w:val="0"/>
                <w:szCs w:val="21"/>
              </w:rPr>
              <w:t>机构</w:t>
            </w:r>
          </w:p>
        </w:tc>
        <w:tc>
          <w:tcPr>
            <w:tcW w:w="991" w:type="dxa"/>
            <w:vAlign w:val="center"/>
          </w:tcPr>
          <w:p w:rsidR="004D36F8" w:rsidRDefault="00EF0BCF">
            <w:pPr>
              <w:jc w:val="center"/>
            </w:pPr>
            <w:r>
              <w:rPr>
                <w:rFonts w:ascii="宋体" w:hAnsi="宋体" w:hint="eastAsia"/>
                <w:color w:val="000000"/>
                <w:kern w:val="0"/>
                <w:szCs w:val="21"/>
              </w:rPr>
              <w:t>1</w:t>
            </w:r>
          </w:p>
        </w:tc>
        <w:tc>
          <w:tcPr>
            <w:tcW w:w="1843" w:type="dxa"/>
            <w:vAlign w:val="center"/>
          </w:tcPr>
          <w:p w:rsidR="004D36F8" w:rsidRDefault="00EF0BCF">
            <w:pPr>
              <w:jc w:val="center"/>
            </w:pPr>
            <w:r>
              <w:rPr>
                <w:rFonts w:ascii="宋体" w:hAnsi="宋体" w:hint="eastAsia"/>
                <w:color w:val="000000"/>
                <w:kern w:val="0"/>
                <w:szCs w:val="21"/>
              </w:rPr>
              <w:t>2020/10/1-2020/12/31</w:t>
            </w:r>
          </w:p>
        </w:tc>
        <w:tc>
          <w:tcPr>
            <w:tcW w:w="851" w:type="dxa"/>
            <w:vAlign w:val="center"/>
          </w:tcPr>
          <w:p w:rsidR="004D36F8" w:rsidRDefault="00EF0BCF">
            <w:pPr>
              <w:jc w:val="center"/>
            </w:pPr>
            <w:r>
              <w:rPr>
                <w:rFonts w:ascii="宋体" w:hAnsi="宋体" w:hint="eastAsia"/>
                <w:color w:val="000000"/>
                <w:kern w:val="0"/>
                <w:szCs w:val="21"/>
              </w:rPr>
              <w:t>858,286,286.48</w:t>
            </w:r>
          </w:p>
        </w:tc>
        <w:tc>
          <w:tcPr>
            <w:tcW w:w="850" w:type="dxa"/>
            <w:vAlign w:val="center"/>
          </w:tcPr>
          <w:p w:rsidR="004D36F8" w:rsidRDefault="00EF0BCF">
            <w:pPr>
              <w:jc w:val="center"/>
            </w:pPr>
            <w:r>
              <w:rPr>
                <w:rFonts w:ascii="宋体" w:hAnsi="宋体" w:hint="eastAsia"/>
                <w:color w:val="000000"/>
                <w:kern w:val="0"/>
                <w:szCs w:val="21"/>
              </w:rPr>
              <w:t>-</w:t>
            </w:r>
          </w:p>
        </w:tc>
        <w:tc>
          <w:tcPr>
            <w:tcW w:w="1134" w:type="dxa"/>
            <w:vAlign w:val="center"/>
          </w:tcPr>
          <w:p w:rsidR="004D36F8" w:rsidRDefault="00EF0BCF">
            <w:pPr>
              <w:jc w:val="center"/>
            </w:pPr>
            <w:r>
              <w:rPr>
                <w:rFonts w:ascii="宋体" w:hAnsi="宋体" w:hint="eastAsia"/>
                <w:color w:val="000000"/>
                <w:kern w:val="0"/>
                <w:szCs w:val="21"/>
              </w:rPr>
              <w:t>400,000,000.00</w:t>
            </w:r>
          </w:p>
        </w:tc>
        <w:tc>
          <w:tcPr>
            <w:tcW w:w="1419" w:type="dxa"/>
            <w:vAlign w:val="center"/>
          </w:tcPr>
          <w:p w:rsidR="004D36F8" w:rsidRDefault="00EF0BCF">
            <w:pPr>
              <w:jc w:val="center"/>
            </w:pPr>
            <w:r>
              <w:rPr>
                <w:rFonts w:ascii="宋体" w:hAnsi="宋体" w:hint="eastAsia"/>
                <w:color w:val="000000"/>
                <w:kern w:val="0"/>
                <w:szCs w:val="21"/>
              </w:rPr>
              <w:t>458,286,286.48</w:t>
            </w:r>
          </w:p>
        </w:tc>
        <w:tc>
          <w:tcPr>
            <w:tcW w:w="1130" w:type="dxa"/>
            <w:vAlign w:val="center"/>
          </w:tcPr>
          <w:p w:rsidR="004D36F8" w:rsidRDefault="00EF0BCF">
            <w:pPr>
              <w:jc w:val="center"/>
            </w:pPr>
            <w:r>
              <w:rPr>
                <w:rFonts w:ascii="宋体" w:hAnsi="宋体" w:hint="eastAsia"/>
                <w:color w:val="000000"/>
                <w:kern w:val="0"/>
                <w:szCs w:val="21"/>
              </w:rPr>
              <w:t>34.56%</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D36F8" w:rsidRDefault="00EF0BC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4D36F8" w:rsidRDefault="00EF0BC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4D36F8" w:rsidRDefault="00EF0BC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4D36F8" w:rsidRDefault="00EF0BC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4D36F8" w:rsidRDefault="00EF0BC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D36F8" w:rsidRDefault="00EF0BC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D36F8" w:rsidRDefault="00EF0BC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4D36F8" w:rsidRDefault="00EF0BC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lastRenderedPageBreak/>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9F6" w:rsidRDefault="008639F6">
      <w:r>
        <w:separator/>
      </w:r>
    </w:p>
  </w:endnote>
  <w:endnote w:type="continuationSeparator" w:id="0">
    <w:p w:rsidR="008639F6" w:rsidRDefault="0086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02FA7">
      <w:rPr>
        <w:noProof/>
        <w:kern w:val="0"/>
        <w:szCs w:val="21"/>
      </w:rPr>
      <w:t>8</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02FA7">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9F6" w:rsidRDefault="008639F6">
      <w:r>
        <w:separator/>
      </w:r>
    </w:p>
  </w:footnote>
  <w:footnote w:type="continuationSeparator" w:id="0">
    <w:p w:rsidR="008639F6" w:rsidRDefault="00863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1F6481"/>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36F8"/>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9F6"/>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2FA7"/>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0BCF"/>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B0769-9B51-4495-A9E4-97AB1090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255</TotalTime>
  <Pages>14</Pages>
  <Words>1171</Words>
  <Characters>6681</Characters>
  <Application>Microsoft Office Word</Application>
  <DocSecurity>0</DocSecurity>
  <Lines>55</Lines>
  <Paragraphs>15</Paragraphs>
  <ScaleCrop>false</ScaleCrop>
  <Company>TRT. Ltd. Co.</Company>
  <LinksUpToDate>false</LinksUpToDate>
  <CharactersWithSpaces>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407</cp:revision>
  <cp:lastPrinted>2007-07-19T00:46:00Z</cp:lastPrinted>
  <dcterms:created xsi:type="dcterms:W3CDTF">2014-01-17T06:19:00Z</dcterms:created>
  <dcterms:modified xsi:type="dcterms:W3CDTF">2021-01-15T01:25:00Z</dcterms:modified>
</cp:coreProperties>
</file>