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2008年3月31日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1,153,961,797.03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519680</w:t>
            </w:r>
            <w:r w:rsidRPr="007F52FA">
              <w:rPr>
                <w:color w:themeColor="text1" w:val="000000"/>
                <w:sz w:val="24"/>
              </w:rPr>
              <w:t>（前端）、</w:t>
            </w:r>
            <w:r w:rsidRPr="007F52FA">
              <w:rPr>
                <w:color w:themeColor="text1" w:val="000000"/>
                <w:sz w:val="24"/>
              </w:rPr>
              <w:t>519681</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519682</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963,298,693.96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190,663,103.07</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7,168,449.10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3,592,734.55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15,288,208.20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4,278,673.50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982,074,518.53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193,989,941.92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1.0195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1.58%</w:t>
            </w:r>
          </w:p>
        </w:tc>
        <w:tc>
          <w:tcPr>
            <w:vAlign w:val="center"/>
          </w:tcPr>
          <w:p>
            <w:pPr>
              <w:jc w:val="center"/>
            </w:pPr>
            <w:r>
              <w:rPr>
                <w:color w:val="000000"/>
                <w:sz w:val="24"/>
              </w:rPr>
              <w:t>0.15%</w:t>
            </w:r>
          </w:p>
        </w:tc>
        <w:tc>
          <w:tcPr>
            <w:vAlign w:val="center"/>
          </w:tcPr>
          <w:p>
            <w:pPr>
              <w:jc w:val="center"/>
            </w:pPr>
            <w:r>
              <w:rPr>
                <w:color w:val="000000"/>
                <w:sz w:val="24"/>
              </w:rPr>
              <w:t>-0.30%</w:t>
            </w:r>
          </w:p>
        </w:tc>
        <w:tc>
          <w:tcPr>
            <w:vAlign w:val="center"/>
          </w:tcPr>
          <w:p>
            <w:pPr>
              <w:jc w:val="center"/>
            </w:pPr>
            <w:r>
              <w:rPr>
                <w:color w:val="000000"/>
                <w:sz w:val="24"/>
              </w:rPr>
              <w:t>0.04%</w:t>
            </w:r>
          </w:p>
        </w:tc>
        <w:tc>
          <w:tcPr>
            <w:vAlign w:val="center"/>
          </w:tcPr>
          <w:p>
            <w:pPr>
              <w:jc w:val="center"/>
            </w:pPr>
            <w:r>
              <w:rPr>
                <w:color w:val="000000"/>
                <w:sz w:val="24"/>
              </w:rPr>
              <w:t>1.88%</w:t>
            </w:r>
          </w:p>
        </w:tc>
        <w:tc>
          <w:tcPr>
            <w:vAlign w:val="center"/>
          </w:tcPr>
          <w:p>
            <w:pPr>
              <w:jc w:val="center"/>
            </w:pPr>
            <w:r>
              <w:rPr>
                <w:color w:val="000000"/>
                <w:sz w:val="24"/>
              </w:rPr>
              <w:t>0.11%</w:t>
            </w:r>
          </w:p>
        </w:tc>
      </w:tr>
      <w:tr>
        <w:tc>
          <w:tcPr>
            <w:vAlign w:val="center"/>
          </w:tcPr>
          <w:p>
            <w:pPr>
              <w:jc w:val="left"/>
            </w:pPr>
            <w:r>
              <w:rPr>
                <w:color w:val="000000"/>
                <w:sz w:val="24"/>
              </w:rPr>
              <w:t>过去六个月</w:t>
            </w:r>
          </w:p>
        </w:tc>
        <w:tc>
          <w:tcPr>
            <w:vAlign w:val="center"/>
          </w:tcPr>
          <w:p>
            <w:pPr>
              <w:jc w:val="center"/>
            </w:pPr>
            <w:r>
              <w:rPr>
                <w:color w:val="000000"/>
                <w:sz w:val="24"/>
              </w:rPr>
              <w:t>3.06%</w:t>
            </w:r>
          </w:p>
        </w:tc>
        <w:tc>
          <w:tcPr>
            <w:vAlign w:val="center"/>
          </w:tcPr>
          <w:p>
            <w:pPr>
              <w:jc w:val="center"/>
            </w:pPr>
            <w:r>
              <w:rPr>
                <w:color w:val="000000"/>
                <w:sz w:val="24"/>
              </w:rPr>
              <w:t>0.23%</w:t>
            </w:r>
          </w:p>
        </w:tc>
        <w:tc>
          <w:tcPr>
            <w:vAlign w:val="center"/>
          </w:tcPr>
          <w:p>
            <w:pPr>
              <w:jc w:val="center"/>
            </w:pPr>
            <w:r>
              <w:rPr>
                <w:color w:val="000000"/>
                <w:sz w:val="24"/>
              </w:rPr>
              <w:t>-1.05%</w:t>
            </w:r>
          </w:p>
        </w:tc>
        <w:tc>
          <w:tcPr>
            <w:vAlign w:val="center"/>
          </w:tcPr>
          <w:p>
            <w:pPr>
              <w:jc w:val="center"/>
            </w:pPr>
            <w:r>
              <w:rPr>
                <w:color w:val="000000"/>
                <w:sz w:val="24"/>
              </w:rPr>
              <w:t>0.05%</w:t>
            </w:r>
          </w:p>
        </w:tc>
        <w:tc>
          <w:tcPr>
            <w:vAlign w:val="center"/>
          </w:tcPr>
          <w:p>
            <w:pPr>
              <w:jc w:val="center"/>
            </w:pPr>
            <w:r>
              <w:rPr>
                <w:color w:val="000000"/>
                <w:sz w:val="24"/>
              </w:rPr>
              <w:t>4.11%</w:t>
            </w:r>
          </w:p>
        </w:tc>
        <w:tc>
          <w:tcPr>
            <w:vAlign w:val="center"/>
          </w:tcPr>
          <w:p>
            <w:pPr>
              <w:jc w:val="center"/>
            </w:pPr>
            <w:r>
              <w:rPr>
                <w:color w:val="000000"/>
                <w:sz w:val="24"/>
              </w:rPr>
              <w:t>0.18%</w:t>
            </w:r>
          </w:p>
        </w:tc>
      </w:tr>
      <w:tr>
        <w:tc>
          <w:tcPr>
            <w:vAlign w:val="center"/>
          </w:tcPr>
          <w:p>
            <w:pPr>
              <w:jc w:val="left"/>
            </w:pPr>
            <w:r>
              <w:rPr>
                <w:color w:val="000000"/>
                <w:sz w:val="24"/>
              </w:rPr>
              <w:t>过去一年</w:t>
            </w:r>
          </w:p>
        </w:tc>
        <w:tc>
          <w:tcPr>
            <w:vAlign w:val="center"/>
          </w:tcPr>
          <w:p>
            <w:pPr>
              <w:jc w:val="center"/>
            </w:pPr>
            <w:r>
              <w:rPr>
                <w:color w:val="000000"/>
                <w:sz w:val="24"/>
              </w:rPr>
              <w:t>4.86%</w:t>
            </w:r>
          </w:p>
        </w:tc>
        <w:tc>
          <w:tcPr>
            <w:vAlign w:val="center"/>
          </w:tcPr>
          <w:p>
            <w:pPr>
              <w:jc w:val="center"/>
            </w:pPr>
            <w:r>
              <w:rPr>
                <w:color w:val="000000"/>
                <w:sz w:val="24"/>
              </w:rPr>
              <w:t>0.20%</w:t>
            </w:r>
          </w:p>
        </w:tc>
        <w:tc>
          <w:tcPr>
            <w:vAlign w:val="center"/>
          </w:tcPr>
          <w:p>
            <w:pPr>
              <w:jc w:val="center"/>
            </w:pPr>
            <w:r>
              <w:rPr>
                <w:color w:val="000000"/>
                <w:sz w:val="24"/>
              </w:rPr>
              <w:t>-1.17%</w:t>
            </w:r>
          </w:p>
        </w:tc>
        <w:tc>
          <w:tcPr>
            <w:vAlign w:val="center"/>
          </w:tcPr>
          <w:p>
            <w:pPr>
              <w:jc w:val="center"/>
            </w:pPr>
            <w:r>
              <w:rPr>
                <w:color w:val="000000"/>
                <w:sz w:val="24"/>
              </w:rPr>
              <w:t>0.06%</w:t>
            </w:r>
          </w:p>
        </w:tc>
        <w:tc>
          <w:tcPr>
            <w:vAlign w:val="center"/>
          </w:tcPr>
          <w:p>
            <w:pPr>
              <w:jc w:val="center"/>
            </w:pPr>
            <w:r>
              <w:rPr>
                <w:color w:val="000000"/>
                <w:sz w:val="24"/>
              </w:rPr>
              <w:t>6.03%</w:t>
            </w:r>
          </w:p>
        </w:tc>
        <w:tc>
          <w:tcPr>
            <w:vAlign w:val="center"/>
          </w:tcPr>
          <w:p>
            <w:pPr>
              <w:jc w:val="center"/>
            </w:pPr>
            <w:r>
              <w:rPr>
                <w:color w:val="000000"/>
                <w:sz w:val="24"/>
              </w:rPr>
              <w:t>0.14%</w:t>
            </w:r>
          </w:p>
        </w:tc>
      </w:tr>
      <w:tr>
        <w:tc>
          <w:tcPr>
            <w:vAlign w:val="center"/>
          </w:tcPr>
          <w:p>
            <w:pPr>
              <w:jc w:val="left"/>
            </w:pPr>
            <w:r>
              <w:rPr>
                <w:color w:val="000000"/>
                <w:sz w:val="24"/>
              </w:rPr>
              <w:t>过去三年</w:t>
            </w:r>
          </w:p>
        </w:tc>
        <w:tc>
          <w:tcPr>
            <w:vAlign w:val="center"/>
          </w:tcPr>
          <w:p>
            <w:pPr>
              <w:jc w:val="center"/>
            </w:pPr>
            <w:r>
              <w:rPr>
                <w:color w:val="000000"/>
                <w:sz w:val="24"/>
              </w:rPr>
              <w:t>20.99%</w:t>
            </w:r>
          </w:p>
        </w:tc>
        <w:tc>
          <w:tcPr>
            <w:vAlign w:val="center"/>
          </w:tcPr>
          <w:p>
            <w:pPr>
              <w:jc w:val="center"/>
            </w:pPr>
            <w:r>
              <w:rPr>
                <w:color w:val="000000"/>
                <w:sz w:val="24"/>
              </w:rPr>
              <w:t>0.14%</w:t>
            </w:r>
          </w:p>
        </w:tc>
        <w:tc>
          <w:tcPr>
            <w:vAlign w:val="center"/>
          </w:tcPr>
          <w:p>
            <w:pPr>
              <w:jc w:val="center"/>
            </w:pPr>
            <w:r>
              <w:rPr>
                <w:color w:val="000000"/>
                <w:sz w:val="24"/>
              </w:rPr>
              <w:t>2.30%</w:t>
            </w:r>
          </w:p>
        </w:tc>
        <w:tc>
          <w:tcPr>
            <w:vAlign w:val="center"/>
          </w:tcPr>
          <w:p>
            <w:pPr>
              <w:jc w:val="center"/>
            </w:pPr>
            <w:r>
              <w:rPr>
                <w:color w:val="000000"/>
                <w:sz w:val="24"/>
              </w:rPr>
              <w:t>0.05%</w:t>
            </w:r>
          </w:p>
        </w:tc>
        <w:tc>
          <w:tcPr>
            <w:vAlign w:val="center"/>
          </w:tcPr>
          <w:p>
            <w:pPr>
              <w:jc w:val="center"/>
            </w:pPr>
            <w:r>
              <w:rPr>
                <w:color w:val="000000"/>
                <w:sz w:val="24"/>
              </w:rPr>
              <w:t>18.69%</w:t>
            </w:r>
          </w:p>
        </w:tc>
        <w:tc>
          <w:tcPr>
            <w:vAlign w:val="center"/>
          </w:tcPr>
          <w:p>
            <w:pPr>
              <w:jc w:val="center"/>
            </w:pPr>
            <w:r>
              <w:rPr>
                <w:color w:val="000000"/>
                <w:sz w:val="24"/>
              </w:rPr>
              <w:t>0.09%</w:t>
            </w:r>
          </w:p>
        </w:tc>
      </w:tr>
      <w:tr>
        <w:tc>
          <w:tcPr>
            <w:vAlign w:val="center"/>
          </w:tcPr>
          <w:p>
            <w:pPr>
              <w:jc w:val="left"/>
            </w:pPr>
            <w:r>
              <w:rPr>
                <w:color w:val="000000"/>
                <w:sz w:val="24"/>
              </w:rPr>
              <w:t>过去五年</w:t>
            </w:r>
          </w:p>
        </w:tc>
        <w:tc>
          <w:tcPr>
            <w:vAlign w:val="center"/>
          </w:tcPr>
          <w:p>
            <w:pPr>
              <w:jc w:val="center"/>
            </w:pPr>
            <w:r>
              <w:rPr>
                <w:color w:val="000000"/>
                <w:sz w:val="24"/>
              </w:rPr>
              <w:t>18.61%</w:t>
            </w:r>
          </w:p>
        </w:tc>
        <w:tc>
          <w:tcPr>
            <w:vAlign w:val="center"/>
          </w:tcPr>
          <w:p>
            <w:pPr>
              <w:jc w:val="center"/>
            </w:pPr>
            <w:r>
              <w:rPr>
                <w:color w:val="000000"/>
                <w:sz w:val="24"/>
              </w:rPr>
              <w:t>0.13%</w:t>
            </w:r>
          </w:p>
        </w:tc>
        <w:tc>
          <w:tcPr>
            <w:vAlign w:val="center"/>
          </w:tcPr>
          <w:p>
            <w:pPr>
              <w:jc w:val="center"/>
            </w:pPr>
            <w:r>
              <w:rPr>
                <w:color w:val="000000"/>
                <w:sz w:val="24"/>
              </w:rPr>
              <w:t>-15.06%</w:t>
            </w:r>
          </w:p>
        </w:tc>
        <w:tc>
          <w:tcPr>
            <w:vAlign w:val="center"/>
          </w:tcPr>
          <w:p>
            <w:pPr>
              <w:jc w:val="center"/>
            </w:pPr>
            <w:r>
              <w:rPr>
                <w:color w:val="000000"/>
                <w:sz w:val="24"/>
              </w:rPr>
              <w:t>0.08%</w:t>
            </w:r>
          </w:p>
        </w:tc>
        <w:tc>
          <w:tcPr>
            <w:vAlign w:val="center"/>
          </w:tcPr>
          <w:p>
            <w:pPr>
              <w:jc w:val="center"/>
            </w:pPr>
            <w:r>
              <w:rPr>
                <w:color w:val="000000"/>
                <w:sz w:val="24"/>
              </w:rPr>
              <w:t>33.67%</w:t>
            </w:r>
          </w:p>
        </w:tc>
        <w:tc>
          <w:tcPr>
            <w:vAlign w:val="center"/>
          </w:tcPr>
          <w:p>
            <w:pPr>
              <w:jc w:val="center"/>
            </w:pPr>
            <w:r>
              <w:rPr>
                <w:color w:val="000000"/>
                <w:sz w:val="24"/>
              </w:rPr>
              <w:t>0.05%</w:t>
            </w:r>
          </w:p>
        </w:tc>
      </w:tr>
      <w:tr>
        <w:tc>
          <w:tcPr>
            <w:vAlign w:val="center"/>
          </w:tcPr>
          <w:p>
            <w:pPr>
              <w:jc w:val="left"/>
            </w:pPr>
            <w:r>
              <w:rPr>
                <w:color w:val="000000"/>
                <w:sz w:val="24"/>
              </w:rPr>
              <w:t>自基金合同生效至今</w:t>
            </w:r>
          </w:p>
        </w:tc>
        <w:tc>
          <w:tcPr>
            <w:vAlign w:val="center"/>
          </w:tcPr>
          <w:p>
            <w:pPr>
              <w:jc w:val="center"/>
            </w:pPr>
            <w:r>
              <w:rPr>
                <w:color w:val="000000"/>
                <w:sz w:val="24"/>
              </w:rPr>
              <w:t>108.09%</w:t>
            </w:r>
          </w:p>
        </w:tc>
        <w:tc>
          <w:tcPr>
            <w:vAlign w:val="center"/>
          </w:tcPr>
          <w:p>
            <w:pPr>
              <w:jc w:val="center"/>
            </w:pPr>
            <w:r>
              <w:rPr>
                <w:color w:val="000000"/>
                <w:sz w:val="24"/>
              </w:rPr>
              <w:t>0.25%</w:t>
            </w:r>
          </w:p>
        </w:tc>
        <w:tc>
          <w:tcPr>
            <w:vAlign w:val="center"/>
          </w:tcPr>
          <w:p>
            <w:pPr>
              <w:jc w:val="center"/>
            </w:pPr>
            <w:r>
              <w:rPr>
                <w:color w:val="000000"/>
                <w:sz w:val="24"/>
              </w:rPr>
              <w:t>-3.48%</w:t>
            </w:r>
          </w:p>
        </w:tc>
        <w:tc>
          <w:tcPr>
            <w:vAlign w:val="center"/>
          </w:tcPr>
          <w:p>
            <w:pPr>
              <w:jc w:val="center"/>
            </w:pPr>
            <w:r>
              <w:rPr>
                <w:color w:val="000000"/>
                <w:sz w:val="24"/>
              </w:rPr>
              <w:t>0.12%</w:t>
            </w:r>
          </w:p>
        </w:tc>
        <w:tc>
          <w:tcPr>
            <w:vAlign w:val="center"/>
          </w:tcPr>
          <w:p>
            <w:pPr>
              <w:jc w:val="center"/>
            </w:pPr>
            <w:r>
              <w:rPr>
                <w:color w:val="000000"/>
                <w:sz w:val="24"/>
              </w:rPr>
              <w:t>111.57%</w:t>
            </w:r>
          </w:p>
        </w:tc>
        <w:tc>
          <w:tcPr>
            <w:vAlign w:val="center"/>
          </w:tcPr>
          <w:p>
            <w:pPr>
              <w:jc w:val="center"/>
            </w:pPr>
            <w:r>
              <w:rPr>
                <w:color w:val="000000"/>
                <w:sz w:val="24"/>
              </w:rPr>
              <w:t>0.13%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1.47%</w:t>
            </w:r>
          </w:p>
        </w:tc>
        <w:tc>
          <w:tcPr>
            <w:vAlign w:val="center"/>
          </w:tcPr>
          <w:p>
            <w:pPr>
              <w:jc w:val="center"/>
            </w:pPr>
            <w:r>
              <w:rPr>
                <w:color w:val="000000"/>
                <w:sz w:val="24"/>
              </w:rPr>
              <w:t>0.15%</w:t>
            </w:r>
          </w:p>
        </w:tc>
        <w:tc>
          <w:tcPr>
            <w:vAlign w:val="center"/>
          </w:tcPr>
          <w:p>
            <w:pPr>
              <w:jc w:val="center"/>
            </w:pPr>
            <w:r>
              <w:rPr>
                <w:color w:val="000000"/>
                <w:sz w:val="24"/>
              </w:rPr>
              <w:t>-0.30%</w:t>
            </w:r>
          </w:p>
        </w:tc>
        <w:tc>
          <w:tcPr>
            <w:vAlign w:val="center"/>
          </w:tcPr>
          <w:p>
            <w:pPr>
              <w:jc w:val="center"/>
            </w:pPr>
            <w:r>
              <w:rPr>
                <w:color w:val="000000"/>
                <w:sz w:val="24"/>
              </w:rPr>
              <w:t>0.04%</w:t>
            </w:r>
          </w:p>
        </w:tc>
        <w:tc>
          <w:tcPr>
            <w:vAlign w:val="center"/>
          </w:tcPr>
          <w:p>
            <w:pPr>
              <w:jc w:val="center"/>
            </w:pPr>
            <w:r>
              <w:rPr>
                <w:color w:val="000000"/>
                <w:sz w:val="24"/>
              </w:rPr>
              <w:t>1.77%</w:t>
            </w:r>
          </w:p>
        </w:tc>
        <w:tc>
          <w:tcPr>
            <w:vAlign w:val="center"/>
          </w:tcPr>
          <w:p>
            <w:pPr>
              <w:jc w:val="center"/>
            </w:pPr>
            <w:r>
              <w:rPr>
                <w:color w:val="000000"/>
                <w:sz w:val="24"/>
              </w:rPr>
              <w:t>0.11%</w:t>
            </w:r>
          </w:p>
        </w:tc>
      </w:tr>
      <w:tr>
        <w:tc>
          <w:tcPr>
            <w:vAlign w:val="center"/>
          </w:tcPr>
          <w:p>
            <w:pPr>
              <w:jc w:val="left"/>
            </w:pPr>
            <w:r>
              <w:rPr>
                <w:color w:val="000000"/>
                <w:sz w:val="24"/>
              </w:rPr>
              <w:t>过去六个月</w:t>
            </w:r>
          </w:p>
        </w:tc>
        <w:tc>
          <w:tcPr>
            <w:vAlign w:val="center"/>
          </w:tcPr>
          <w:p>
            <w:pPr>
              <w:jc w:val="center"/>
            </w:pPr>
            <w:r>
              <w:rPr>
                <w:color w:val="000000"/>
                <w:sz w:val="24"/>
              </w:rPr>
              <w:t>2.84%</w:t>
            </w:r>
          </w:p>
        </w:tc>
        <w:tc>
          <w:tcPr>
            <w:vAlign w:val="center"/>
          </w:tcPr>
          <w:p>
            <w:pPr>
              <w:jc w:val="center"/>
            </w:pPr>
            <w:r>
              <w:rPr>
                <w:color w:val="000000"/>
                <w:sz w:val="24"/>
              </w:rPr>
              <w:t>0.23%</w:t>
            </w:r>
          </w:p>
        </w:tc>
        <w:tc>
          <w:tcPr>
            <w:vAlign w:val="center"/>
          </w:tcPr>
          <w:p>
            <w:pPr>
              <w:jc w:val="center"/>
            </w:pPr>
            <w:r>
              <w:rPr>
                <w:color w:val="000000"/>
                <w:sz w:val="24"/>
              </w:rPr>
              <w:t>-1.05%</w:t>
            </w:r>
          </w:p>
        </w:tc>
        <w:tc>
          <w:tcPr>
            <w:vAlign w:val="center"/>
          </w:tcPr>
          <w:p>
            <w:pPr>
              <w:jc w:val="center"/>
            </w:pPr>
            <w:r>
              <w:rPr>
                <w:color w:val="000000"/>
                <w:sz w:val="24"/>
              </w:rPr>
              <w:t>0.05%</w:t>
            </w:r>
          </w:p>
        </w:tc>
        <w:tc>
          <w:tcPr>
            <w:vAlign w:val="center"/>
          </w:tcPr>
          <w:p>
            <w:pPr>
              <w:jc w:val="center"/>
            </w:pPr>
            <w:r>
              <w:rPr>
                <w:color w:val="000000"/>
                <w:sz w:val="24"/>
              </w:rPr>
              <w:t>3.89%</w:t>
            </w:r>
          </w:p>
        </w:tc>
        <w:tc>
          <w:tcPr>
            <w:vAlign w:val="center"/>
          </w:tcPr>
          <w:p>
            <w:pPr>
              <w:jc w:val="center"/>
            </w:pPr>
            <w:r>
              <w:rPr>
                <w:color w:val="000000"/>
                <w:sz w:val="24"/>
              </w:rPr>
              <w:t>0.18%</w:t>
            </w:r>
          </w:p>
        </w:tc>
      </w:tr>
      <w:tr>
        <w:tc>
          <w:tcPr>
            <w:vAlign w:val="center"/>
          </w:tcPr>
          <w:p>
            <w:pPr>
              <w:jc w:val="left"/>
            </w:pPr>
            <w:r>
              <w:rPr>
                <w:color w:val="000000"/>
                <w:sz w:val="24"/>
              </w:rPr>
              <w:t>过去一年</w:t>
            </w:r>
          </w:p>
        </w:tc>
        <w:tc>
          <w:tcPr>
            <w:vAlign w:val="center"/>
          </w:tcPr>
          <w:p>
            <w:pPr>
              <w:jc w:val="center"/>
            </w:pPr>
            <w:r>
              <w:rPr>
                <w:color w:val="000000"/>
                <w:sz w:val="24"/>
              </w:rPr>
              <w:t>4.44%</w:t>
            </w:r>
          </w:p>
        </w:tc>
        <w:tc>
          <w:tcPr>
            <w:vAlign w:val="center"/>
          </w:tcPr>
          <w:p>
            <w:pPr>
              <w:jc w:val="center"/>
            </w:pPr>
            <w:r>
              <w:rPr>
                <w:color w:val="000000"/>
                <w:sz w:val="24"/>
              </w:rPr>
              <w:t>0.20%</w:t>
            </w:r>
          </w:p>
        </w:tc>
        <w:tc>
          <w:tcPr>
            <w:vAlign w:val="center"/>
          </w:tcPr>
          <w:p>
            <w:pPr>
              <w:jc w:val="center"/>
            </w:pPr>
            <w:r>
              <w:rPr>
                <w:color w:val="000000"/>
                <w:sz w:val="24"/>
              </w:rPr>
              <w:t>-1.17%</w:t>
            </w:r>
          </w:p>
        </w:tc>
        <w:tc>
          <w:tcPr>
            <w:vAlign w:val="center"/>
          </w:tcPr>
          <w:p>
            <w:pPr>
              <w:jc w:val="center"/>
            </w:pPr>
            <w:r>
              <w:rPr>
                <w:color w:val="000000"/>
                <w:sz w:val="24"/>
              </w:rPr>
              <w:t>0.06%</w:t>
            </w:r>
          </w:p>
        </w:tc>
        <w:tc>
          <w:tcPr>
            <w:vAlign w:val="center"/>
          </w:tcPr>
          <w:p>
            <w:pPr>
              <w:jc w:val="center"/>
            </w:pPr>
            <w:r>
              <w:rPr>
                <w:color w:val="000000"/>
                <w:sz w:val="24"/>
              </w:rPr>
              <w:t>5.61%</w:t>
            </w:r>
          </w:p>
        </w:tc>
        <w:tc>
          <w:tcPr>
            <w:vAlign w:val="center"/>
          </w:tcPr>
          <w:p>
            <w:pPr>
              <w:jc w:val="center"/>
            </w:pPr>
            <w:r>
              <w:rPr>
                <w:color w:val="000000"/>
                <w:sz w:val="24"/>
              </w:rPr>
              <w:t>0.14%</w:t>
            </w:r>
          </w:p>
        </w:tc>
      </w:tr>
      <w:tr>
        <w:tc>
          <w:tcPr>
            <w:vAlign w:val="center"/>
          </w:tcPr>
          <w:p>
            <w:pPr>
              <w:jc w:val="left"/>
            </w:pPr>
            <w:r>
              <w:rPr>
                <w:color w:val="000000"/>
                <w:sz w:val="24"/>
              </w:rPr>
              <w:t>过去三年</w:t>
            </w:r>
          </w:p>
        </w:tc>
        <w:tc>
          <w:tcPr>
            <w:vAlign w:val="center"/>
          </w:tcPr>
          <w:p>
            <w:pPr>
              <w:jc w:val="center"/>
            </w:pPr>
            <w:r>
              <w:rPr>
                <w:color w:val="000000"/>
                <w:sz w:val="24"/>
              </w:rPr>
              <w:t>19.53%</w:t>
            </w:r>
          </w:p>
        </w:tc>
        <w:tc>
          <w:tcPr>
            <w:vAlign w:val="center"/>
          </w:tcPr>
          <w:p>
            <w:pPr>
              <w:jc w:val="center"/>
            </w:pPr>
            <w:r>
              <w:rPr>
                <w:color w:val="000000"/>
                <w:sz w:val="24"/>
              </w:rPr>
              <w:t>0.14%</w:t>
            </w:r>
          </w:p>
        </w:tc>
        <w:tc>
          <w:tcPr>
            <w:vAlign w:val="center"/>
          </w:tcPr>
          <w:p>
            <w:pPr>
              <w:jc w:val="center"/>
            </w:pPr>
            <w:r>
              <w:rPr>
                <w:color w:val="000000"/>
                <w:sz w:val="24"/>
              </w:rPr>
              <w:t>2.30%</w:t>
            </w:r>
          </w:p>
        </w:tc>
        <w:tc>
          <w:tcPr>
            <w:vAlign w:val="center"/>
          </w:tcPr>
          <w:p>
            <w:pPr>
              <w:jc w:val="center"/>
            </w:pPr>
            <w:r>
              <w:rPr>
                <w:color w:val="000000"/>
                <w:sz w:val="24"/>
              </w:rPr>
              <w:t>0.05%</w:t>
            </w:r>
          </w:p>
        </w:tc>
        <w:tc>
          <w:tcPr>
            <w:vAlign w:val="center"/>
          </w:tcPr>
          <w:p>
            <w:pPr>
              <w:jc w:val="center"/>
            </w:pPr>
            <w:r>
              <w:rPr>
                <w:color w:val="000000"/>
                <w:sz w:val="24"/>
              </w:rPr>
              <w:t>17.23%</w:t>
            </w:r>
          </w:p>
        </w:tc>
        <w:tc>
          <w:tcPr>
            <w:vAlign w:val="center"/>
          </w:tcPr>
          <w:p>
            <w:pPr>
              <w:jc w:val="center"/>
            </w:pPr>
            <w:r>
              <w:rPr>
                <w:color w:val="000000"/>
                <w:sz w:val="24"/>
              </w:rPr>
              <w:t>0.09%</w:t>
            </w:r>
          </w:p>
        </w:tc>
      </w:tr>
      <w:tr>
        <w:tc>
          <w:tcPr>
            <w:vAlign w:val="center"/>
          </w:tcPr>
          <w:p>
            <w:pPr>
              <w:jc w:val="left"/>
            </w:pPr>
            <w:r>
              <w:rPr>
                <w:color w:val="000000"/>
                <w:sz w:val="24"/>
              </w:rPr>
              <w:t>过去五年</w:t>
            </w:r>
          </w:p>
        </w:tc>
        <w:tc>
          <w:tcPr>
            <w:vAlign w:val="center"/>
          </w:tcPr>
          <w:p>
            <w:pPr>
              <w:jc w:val="center"/>
            </w:pPr>
            <w:r>
              <w:rPr>
                <w:color w:val="000000"/>
                <w:sz w:val="24"/>
              </w:rPr>
              <w:t>16.17%</w:t>
            </w:r>
          </w:p>
        </w:tc>
        <w:tc>
          <w:tcPr>
            <w:vAlign w:val="center"/>
          </w:tcPr>
          <w:p>
            <w:pPr>
              <w:jc w:val="center"/>
            </w:pPr>
            <w:r>
              <w:rPr>
                <w:color w:val="000000"/>
                <w:sz w:val="24"/>
              </w:rPr>
              <w:t>0.12%</w:t>
            </w:r>
          </w:p>
        </w:tc>
        <w:tc>
          <w:tcPr>
            <w:vAlign w:val="center"/>
          </w:tcPr>
          <w:p>
            <w:pPr>
              <w:jc w:val="center"/>
            </w:pPr>
            <w:r>
              <w:rPr>
                <w:color w:val="000000"/>
                <w:sz w:val="24"/>
              </w:rPr>
              <w:t>-15.06%</w:t>
            </w:r>
          </w:p>
        </w:tc>
        <w:tc>
          <w:tcPr>
            <w:vAlign w:val="center"/>
          </w:tcPr>
          <w:p>
            <w:pPr>
              <w:jc w:val="center"/>
            </w:pPr>
            <w:r>
              <w:rPr>
                <w:color w:val="000000"/>
                <w:sz w:val="24"/>
              </w:rPr>
              <w:t>0.08%</w:t>
            </w:r>
          </w:p>
        </w:tc>
        <w:tc>
          <w:tcPr>
            <w:vAlign w:val="center"/>
          </w:tcPr>
          <w:p>
            <w:pPr>
              <w:jc w:val="center"/>
            </w:pPr>
            <w:r>
              <w:rPr>
                <w:color w:val="000000"/>
                <w:sz w:val="24"/>
              </w:rPr>
              <w:t>31.23%</w:t>
            </w:r>
          </w:p>
        </w:tc>
        <w:tc>
          <w:tcPr>
            <w:vAlign w:val="center"/>
          </w:tcPr>
          <w:p>
            <w:pPr>
              <w:jc w:val="center"/>
            </w:pPr>
            <w:r>
              <w:rPr>
                <w:color w:val="000000"/>
                <w:sz w:val="24"/>
              </w:rPr>
              <w:t>0.04%</w:t>
            </w:r>
          </w:p>
        </w:tc>
      </w:tr>
      <w:tr>
        <w:tc>
          <w:tcPr>
            <w:vAlign w:val="center"/>
          </w:tcPr>
          <w:p>
            <w:pPr>
              <w:jc w:val="left"/>
            </w:pPr>
            <w:r>
              <w:rPr>
                <w:color w:val="000000"/>
                <w:sz w:val="24"/>
              </w:rPr>
              <w:t>自基金合同生效至今</w:t>
            </w:r>
          </w:p>
        </w:tc>
        <w:tc>
          <w:tcPr>
            <w:vAlign w:val="center"/>
          </w:tcPr>
          <w:p>
            <w:pPr>
              <w:jc w:val="center"/>
            </w:pPr>
            <w:r>
              <w:rPr>
                <w:color w:val="000000"/>
                <w:sz w:val="24"/>
              </w:rPr>
              <w:t>97.03%</w:t>
            </w:r>
          </w:p>
        </w:tc>
        <w:tc>
          <w:tcPr>
            <w:vAlign w:val="center"/>
          </w:tcPr>
          <w:p>
            <w:pPr>
              <w:jc w:val="center"/>
            </w:pPr>
            <w:r>
              <w:rPr>
                <w:color w:val="000000"/>
                <w:sz w:val="24"/>
              </w:rPr>
              <w:t>0.25%</w:t>
            </w:r>
          </w:p>
        </w:tc>
        <w:tc>
          <w:tcPr>
            <w:vAlign w:val="center"/>
          </w:tcPr>
          <w:p>
            <w:pPr>
              <w:jc w:val="center"/>
            </w:pPr>
            <w:r>
              <w:rPr>
                <w:color w:val="000000"/>
                <w:sz w:val="24"/>
              </w:rPr>
              <w:t>-3.48%</w:t>
            </w:r>
          </w:p>
        </w:tc>
        <w:tc>
          <w:tcPr>
            <w:vAlign w:val="center"/>
          </w:tcPr>
          <w:p>
            <w:pPr>
              <w:jc w:val="center"/>
            </w:pPr>
            <w:r>
              <w:rPr>
                <w:color w:val="000000"/>
                <w:sz w:val="24"/>
              </w:rPr>
              <w:t>0.12%</w:t>
            </w:r>
          </w:p>
        </w:tc>
        <w:tc>
          <w:tcPr>
            <w:vAlign w:val="center"/>
          </w:tcPr>
          <w:p>
            <w:pPr>
              <w:jc w:val="center"/>
            </w:pPr>
            <w:r>
              <w:rPr>
                <w:color w:val="000000"/>
                <w:sz w:val="24"/>
              </w:rPr>
              <w:t>100.51%</w:t>
            </w:r>
          </w:p>
        </w:tc>
        <w:tc>
          <w:tcPr>
            <w:vAlign w:val="center"/>
          </w:tcPr>
          <w:p>
            <w:pPr>
              <w:jc w:val="center"/>
            </w:pPr>
            <w:r>
              <w:rPr>
                <w:color w:val="000000"/>
                <w:sz w:val="24"/>
              </w:rPr>
              <w:t>0.13%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2008年3月31日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2020-08-22</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2018年8月29日至2020年10月16日担任交银施罗德丰晟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债券市场方面，回顾2020年四季度，债券市场先跌后涨，先是受到资金面边际收紧和信用事件影响收益率冲高至年内高点，此后在央行维稳流动性、债市供需改善后出现阶段性交易行情，债市收益率整体震荡，期限利差明显走扩。</w:t>
      </w:r>
    </w:p>
    <w:p>
      <w:pPr>
        <w:spacing w:before="29" w:line="288" w:lineRule="auto"/>
        <w:ind w:firstLine="480" w:firstLineChars="200"/>
        <w:rPr>
          <w:color w:val="000000"/>
          <w:sz w:val="24"/>
        </w:rPr>
      </w:pPr>
      <w:r>
        <w:rPr>
          <w:color w:val="000000"/>
          <w:sz w:val="24"/>
        </w:rPr>
        <w:t>权益市场方面，进入四季度后A股呈现出明显的结构分化格局，顺周期板块逻辑在经济基本面持续向好的背景下逐步强化，以有色、家电以及汽车为代表的顺周期行业有所表现，前期涨幅不高、估值较低的大盘蓝筹受到市场的青睐。另一方面，新能源、军工则受益于自身行业景气度持续提升,涨幅同样居前。权重类的金融板块虽然在年末有所发力，全年来看收益仍然相对靠后。转债指数受正股带动同步上涨，同样表现为上述板块占优的结构性行情。转债估值层面受到部分违约债券的影响低资质券估值有明显的调整，而整体的转债估值仍处于中性偏高的水平。</w:t>
      </w:r>
    </w:p>
    <w:p>
      <w:pPr>
        <w:spacing w:before="29" w:line="288" w:lineRule="auto"/>
        <w:ind w:firstLine="480" w:firstLineChars="200"/>
        <w:rPr>
          <w:color w:val="000000"/>
          <w:sz w:val="24"/>
        </w:rPr>
      </w:pPr>
      <w:r>
        <w:rPr>
          <w:color w:val="000000"/>
          <w:sz w:val="24"/>
        </w:rPr>
        <w:t>报告期内，基金以纯债增强为主要目标，纯债资产配置上注重控制组合久期，以信用债为底仓配置，获取票息收益。同时，组合保持一定的转债仓位，通过精选个券，把握转债资产结构性机会，增厚收益。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流动性环境和疫苗作用下的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股票市场在年初流动性较为平稳的环境下有结构性机会，景气度向上的行业仍将有一定收益，中期逻辑围绕经济回升、盈利改善、估值逐步回归中性。操作策略方面，以信用债为底仓配置，关注信用风险和评级利差走阔可能，组合信用债持仓以中高评级为主。转债操作上需要更加灵活，关注正股景气度和流动性风险，规避低资质和低流动性转债。</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1,431,687,323.26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96.90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1,411,663,323.26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95.54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20,024,000.00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12,280,523.87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0.83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33,527,547.36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1,477,495,394.49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2,996,100.00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0.25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5.11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5.11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249,237,000.00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21.19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79,832,000.00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6.79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807,087,000.00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68.63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212,409,223.26</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18.06</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1,411,663,323.26</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120.03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012003001</w:t>
            </w:r>
          </w:p>
        </w:tc>
        <w:tc>
          <w:tcPr>
            <w:vAlign w:val="center"/>
          </w:tcPr>
          <w:p>
            <w:pPr>
              <w:jc w:val="center"/>
            </w:pPr>
            <w:r>
              <w:rPr>
                <w:color w:val="000000"/>
                <w:sz w:val="24"/>
              </w:rPr>
              <w:t>20镇江城建SCP012</w:t>
            </w:r>
          </w:p>
        </w:tc>
        <w:tc>
          <w:tcPr>
            <w:vAlign w:val="center"/>
          </w:tcPr>
          <w:p>
            <w:pPr>
              <w:jc w:val="right"/>
            </w:pPr>
            <w:r>
              <w:rPr>
                <w:color w:val="000000"/>
                <w:sz w:val="24"/>
              </w:rPr>
              <w:t>800,000</w:t>
            </w:r>
          </w:p>
        </w:tc>
        <w:tc>
          <w:tcPr>
            <w:vAlign w:val="center"/>
          </w:tcPr>
          <w:p>
            <w:pPr>
              <w:jc w:val="right"/>
            </w:pPr>
            <w:r>
              <w:rPr>
                <w:color w:val="000000"/>
                <w:sz w:val="24"/>
              </w:rPr>
              <w:t>79,832,000.00</w:t>
            </w:r>
          </w:p>
        </w:tc>
        <w:tc>
          <w:tcPr>
            <w:vAlign w:val="center"/>
          </w:tcPr>
          <w:p>
            <w:pPr>
              <w:jc w:val="right"/>
            </w:pPr>
            <w:r>
              <w:rPr>
                <w:color w:val="000000"/>
                <w:sz w:val="24"/>
              </w:rPr>
              <w:t>6.79</w:t>
            </w:r>
          </w:p>
        </w:tc>
      </w:tr>
      <w:tr>
        <w:tc>
          <w:tcPr>
            <w:vAlign w:val="center"/>
          </w:tcPr>
          <w:p>
            <w:pPr>
              <w:jc w:val="center"/>
            </w:pPr>
            <w:r>
              <w:rPr>
                <w:color w:val="000000"/>
                <w:sz w:val="24"/>
              </w:rPr>
              <w:t>2</w:t>
            </w:r>
          </w:p>
        </w:tc>
        <w:tc>
          <w:tcPr>
            <w:vAlign w:val="center"/>
          </w:tcPr>
          <w:p>
            <w:pPr>
              <w:jc w:val="center"/>
            </w:pPr>
            <w:r>
              <w:rPr>
                <w:color w:val="000000"/>
                <w:sz w:val="24"/>
              </w:rPr>
              <w:t>200216</w:t>
            </w:r>
          </w:p>
        </w:tc>
        <w:tc>
          <w:tcPr>
            <w:vAlign w:val="center"/>
          </w:tcPr>
          <w:p>
            <w:pPr>
              <w:jc w:val="center"/>
            </w:pPr>
            <w:r>
              <w:rPr>
                <w:color w:val="000000"/>
                <w:sz w:val="24"/>
              </w:rPr>
              <w:t>20国开16</w:t>
            </w:r>
          </w:p>
        </w:tc>
        <w:tc>
          <w:tcPr>
            <w:vAlign w:val="center"/>
          </w:tcPr>
          <w:p>
            <w:pPr>
              <w:jc w:val="right"/>
            </w:pPr>
            <w:r>
              <w:rPr>
                <w:color w:val="000000"/>
                <w:sz w:val="24"/>
              </w:rPr>
              <w:t>600,000</w:t>
            </w:r>
          </w:p>
        </w:tc>
        <w:tc>
          <w:tcPr>
            <w:vAlign w:val="center"/>
          </w:tcPr>
          <w:p>
            <w:pPr>
              <w:jc w:val="right"/>
            </w:pPr>
            <w:r>
              <w:rPr>
                <w:color w:val="000000"/>
                <w:sz w:val="24"/>
              </w:rPr>
              <w:t>60,102,000.00</w:t>
            </w:r>
          </w:p>
        </w:tc>
        <w:tc>
          <w:tcPr>
            <w:vAlign w:val="center"/>
          </w:tcPr>
          <w:p>
            <w:pPr>
              <w:jc w:val="right"/>
            </w:pPr>
            <w:r>
              <w:rPr>
                <w:color w:val="000000"/>
                <w:sz w:val="24"/>
              </w:rPr>
              <w:t>5.11</w:t>
            </w:r>
          </w:p>
        </w:tc>
      </w:tr>
      <w:tr>
        <w:tc>
          <w:tcPr>
            <w:vAlign w:val="center"/>
          </w:tcPr>
          <w:p>
            <w:pPr>
              <w:jc w:val="center"/>
            </w:pPr>
            <w:r>
              <w:rPr>
                <w:color w:val="000000"/>
                <w:sz w:val="24"/>
              </w:rPr>
              <w:t>3</w:t>
            </w:r>
          </w:p>
        </w:tc>
        <w:tc>
          <w:tcPr>
            <w:vAlign w:val="center"/>
          </w:tcPr>
          <w:p>
            <w:pPr>
              <w:jc w:val="center"/>
            </w:pPr>
            <w:r>
              <w:rPr>
                <w:color w:val="000000"/>
                <w:sz w:val="24"/>
              </w:rPr>
              <w:t>101901641</w:t>
            </w:r>
          </w:p>
        </w:tc>
        <w:tc>
          <w:tcPr>
            <w:vAlign w:val="center"/>
          </w:tcPr>
          <w:p>
            <w:pPr>
              <w:jc w:val="center"/>
            </w:pPr>
            <w:r>
              <w:rPr>
                <w:color w:val="000000"/>
                <w:sz w:val="24"/>
              </w:rPr>
              <w:t>19蚌埠城投MTN002</w:t>
            </w:r>
          </w:p>
        </w:tc>
        <w:tc>
          <w:tcPr>
            <w:vAlign w:val="center"/>
          </w:tcPr>
          <w:p>
            <w:pPr>
              <w:jc w:val="right"/>
            </w:pPr>
            <w:r>
              <w:rPr>
                <w:color w:val="000000"/>
                <w:sz w:val="24"/>
              </w:rPr>
              <w:t>500,000</w:t>
            </w:r>
          </w:p>
        </w:tc>
        <w:tc>
          <w:tcPr>
            <w:vAlign w:val="center"/>
          </w:tcPr>
          <w:p>
            <w:pPr>
              <w:jc w:val="right"/>
            </w:pPr>
            <w:r>
              <w:rPr>
                <w:color w:val="000000"/>
                <w:sz w:val="24"/>
              </w:rPr>
              <w:t>49,790,000.00</w:t>
            </w:r>
          </w:p>
        </w:tc>
        <w:tc>
          <w:tcPr>
            <w:vAlign w:val="center"/>
          </w:tcPr>
          <w:p>
            <w:pPr>
              <w:jc w:val="right"/>
            </w:pPr>
            <w:r>
              <w:rPr>
                <w:color w:val="000000"/>
                <w:sz w:val="24"/>
              </w:rPr>
              <w:t>4.23</w:t>
            </w:r>
          </w:p>
        </w:tc>
      </w:tr>
      <w:tr>
        <w:tc>
          <w:tcPr>
            <w:vAlign w:val="center"/>
          </w:tcPr>
          <w:p>
            <w:pPr>
              <w:jc w:val="center"/>
            </w:pPr>
            <w:r>
              <w:rPr>
                <w:color w:val="000000"/>
                <w:sz w:val="24"/>
              </w:rPr>
              <w:t>4</w:t>
            </w:r>
          </w:p>
        </w:tc>
        <w:tc>
          <w:tcPr>
            <w:vAlign w:val="center"/>
          </w:tcPr>
          <w:p>
            <w:pPr>
              <w:jc w:val="center"/>
            </w:pPr>
            <w:r>
              <w:rPr>
                <w:color w:val="000000"/>
                <w:sz w:val="24"/>
              </w:rPr>
              <w:t>102000223</w:t>
            </w:r>
          </w:p>
        </w:tc>
        <w:tc>
          <w:tcPr>
            <w:vAlign w:val="center"/>
          </w:tcPr>
          <w:p>
            <w:pPr>
              <w:jc w:val="center"/>
            </w:pPr>
            <w:r>
              <w:rPr>
                <w:color w:val="000000"/>
                <w:sz w:val="24"/>
              </w:rPr>
              <w:t>20泉州文旅(疫情防控债)MTN001</w:t>
            </w:r>
          </w:p>
        </w:tc>
        <w:tc>
          <w:tcPr>
            <w:vAlign w:val="center"/>
          </w:tcPr>
          <w:p>
            <w:pPr>
              <w:jc w:val="right"/>
            </w:pPr>
            <w:r>
              <w:rPr>
                <w:color w:val="000000"/>
                <w:sz w:val="24"/>
              </w:rPr>
              <w:t>500,000</w:t>
            </w:r>
          </w:p>
        </w:tc>
        <w:tc>
          <w:tcPr>
            <w:vAlign w:val="center"/>
          </w:tcPr>
          <w:p>
            <w:pPr>
              <w:jc w:val="right"/>
            </w:pPr>
            <w:r>
              <w:rPr>
                <w:color w:val="000000"/>
                <w:sz w:val="24"/>
              </w:rPr>
              <w:t>49,255,000.00</w:t>
            </w:r>
          </w:p>
        </w:tc>
        <w:tc>
          <w:tcPr>
            <w:vAlign w:val="center"/>
          </w:tcPr>
          <w:p>
            <w:pPr>
              <w:jc w:val="right"/>
            </w:pPr>
            <w:r>
              <w:rPr>
                <w:color w:val="000000"/>
                <w:sz w:val="24"/>
              </w:rPr>
              <w:t>4.19</w:t>
            </w:r>
          </w:p>
        </w:tc>
      </w:tr>
      <w:tr>
        <w:tc>
          <w:tcPr>
            <w:vAlign w:val="center"/>
          </w:tcPr>
          <w:p>
            <w:pPr>
              <w:jc w:val="center"/>
            </w:pPr>
            <w:r>
              <w:rPr>
                <w:color w:val="000000"/>
                <w:sz w:val="24"/>
              </w:rPr>
              <w:t>5</w:t>
            </w:r>
          </w:p>
        </w:tc>
        <w:tc>
          <w:tcPr>
            <w:vAlign w:val="center"/>
          </w:tcPr>
          <w:p>
            <w:pPr>
              <w:jc w:val="center"/>
            </w:pPr>
            <w:r>
              <w:rPr>
                <w:color w:val="000000"/>
                <w:sz w:val="24"/>
              </w:rPr>
              <w:t>101800602</w:t>
            </w:r>
          </w:p>
        </w:tc>
        <w:tc>
          <w:tcPr>
            <w:vAlign w:val="center"/>
          </w:tcPr>
          <w:p>
            <w:pPr>
              <w:jc w:val="center"/>
            </w:pPr>
            <w:r>
              <w:rPr>
                <w:color w:val="000000"/>
                <w:sz w:val="24"/>
              </w:rPr>
              <w:t>18江北科技MTN001</w:t>
            </w:r>
          </w:p>
        </w:tc>
        <w:tc>
          <w:tcPr>
            <w:vAlign w:val="center"/>
          </w:tcPr>
          <w:p>
            <w:pPr>
              <w:jc w:val="right"/>
            </w:pPr>
            <w:r>
              <w:rPr>
                <w:color w:val="000000"/>
                <w:sz w:val="24"/>
              </w:rPr>
              <w:t>400,000</w:t>
            </w:r>
          </w:p>
        </w:tc>
        <w:tc>
          <w:tcPr>
            <w:vAlign w:val="center"/>
          </w:tcPr>
          <w:p>
            <w:pPr>
              <w:jc w:val="right"/>
            </w:pPr>
            <w:r>
              <w:rPr>
                <w:color w:val="000000"/>
                <w:sz w:val="24"/>
              </w:rPr>
              <w:t>40,672,000.00</w:t>
            </w:r>
          </w:p>
        </w:tc>
        <w:tc>
          <w:tcPr>
            <w:vAlign w:val="center"/>
          </w:tcPr>
          <w:p>
            <w:pPr>
              <w:jc w:val="right"/>
            </w:pPr>
            <w:r>
              <w:rPr>
                <w:color w:val="000000"/>
                <w:sz w:val="24"/>
              </w:rPr>
              <w:t>3.46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169422</w:t>
            </w:r>
          </w:p>
        </w:tc>
        <w:tc>
          <w:tcPr>
            <w:vAlign w:val="center"/>
          </w:tcPr>
          <w:p>
            <w:pPr>
              <w:jc w:val="center"/>
            </w:pPr>
            <w:r>
              <w:rPr>
                <w:color w:val="000000"/>
                <w:sz w:val="24"/>
              </w:rPr>
              <w:t>霄驰01A</w:t>
            </w:r>
          </w:p>
        </w:tc>
        <w:tc>
          <w:tcPr>
            <w:vAlign w:val="center"/>
          </w:tcPr>
          <w:p>
            <w:pPr>
              <w:jc w:val="right"/>
            </w:pPr>
            <w:r>
              <w:rPr>
                <w:color w:val="000000"/>
                <w:sz w:val="24"/>
              </w:rPr>
              <w:t>200,000</w:t>
            </w:r>
          </w:p>
        </w:tc>
        <w:tc>
          <w:tcPr>
            <w:vAlign w:val="center"/>
          </w:tcPr>
          <w:p>
            <w:pPr>
              <w:jc w:val="right"/>
            </w:pPr>
            <w:r>
              <w:rPr>
                <w:color w:val="000000"/>
                <w:sz w:val="24"/>
              </w:rPr>
              <w:t>20,024,000.00</w:t>
            </w:r>
          </w:p>
        </w:tc>
        <w:tc>
          <w:tcPr>
            <w:vAlign w:val="center"/>
          </w:tcPr>
          <w:p>
            <w:pPr>
              <w:jc w:val="right"/>
            </w:pPr>
            <w:r>
              <w:rPr>
                <w:color w:val="000000"/>
                <w:sz w:val="24"/>
              </w:rPr>
              <w:t>1.70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58,422.73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5,721,261.29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20,512,659.61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7,235,203.73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33,527,547.36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bookmarkStart w:id="2" w:name="_GoBack"/>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bookmarkEnd w:id="2"/>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113582</w:t>
            </w:r>
          </w:p>
        </w:tc>
        <w:tc>
          <w:tcPr>
            <w:vAlign w:val="center"/>
          </w:tcPr>
          <w:p>
            <w:pPr>
              <w:jc w:val="center"/>
            </w:pPr>
            <w:r>
              <w:rPr>
                <w:rFonts w:eastAsiaTheme="minorEastAsia"/>
                <w:color w:val="000000"/>
                <w:sz w:val="24"/>
              </w:rPr>
              <w:t>火炬转债</w:t>
            </w:r>
          </w:p>
        </w:tc>
        <w:tc>
          <w:tcPr>
            <w:vAlign w:val="center"/>
          </w:tcPr>
          <w:p>
            <w:pPr>
              <w:jc w:val="right"/>
            </w:pPr>
            <w:r>
              <w:rPr>
                <w:rFonts w:eastAsiaTheme="minorEastAsia"/>
                <w:color w:val="000000"/>
                <w:sz w:val="24"/>
              </w:rPr>
              <w:t>32,305,900.00</w:t>
            </w:r>
          </w:p>
        </w:tc>
        <w:tc>
          <w:tcPr>
            <w:vAlign w:val="center"/>
          </w:tcPr>
          <w:p>
            <w:pPr>
              <w:jc w:val="right"/>
            </w:pPr>
            <w:r>
              <w:rPr>
                <w:rFonts w:eastAsiaTheme="minorEastAsia"/>
                <w:color w:val="000000"/>
                <w:sz w:val="24"/>
              </w:rPr>
              <w:t>2.75</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110059</w:t>
            </w:r>
          </w:p>
        </w:tc>
        <w:tc>
          <w:tcPr>
            <w:vAlign w:val="center"/>
          </w:tcPr>
          <w:p>
            <w:pPr>
              <w:jc w:val="center"/>
            </w:pPr>
            <w:r>
              <w:rPr>
                <w:rFonts w:eastAsiaTheme="minorEastAsia"/>
                <w:color w:val="000000"/>
                <w:sz w:val="24"/>
              </w:rPr>
              <w:t>浦发转债</w:t>
            </w:r>
          </w:p>
        </w:tc>
        <w:tc>
          <w:tcPr>
            <w:vAlign w:val="center"/>
          </w:tcPr>
          <w:p>
            <w:pPr>
              <w:jc w:val="right"/>
            </w:pPr>
            <w:r>
              <w:rPr>
                <w:rFonts w:eastAsiaTheme="minorEastAsia"/>
                <w:color w:val="000000"/>
                <w:sz w:val="24"/>
              </w:rPr>
              <w:t>30,550,180.00</w:t>
            </w:r>
          </w:p>
        </w:tc>
        <w:tc>
          <w:tcPr>
            <w:vAlign w:val="center"/>
          </w:tcPr>
          <w:p>
            <w:pPr>
              <w:jc w:val="right"/>
            </w:pPr>
            <w:r>
              <w:rPr>
                <w:rFonts w:eastAsiaTheme="minorEastAsia"/>
                <w:color w:val="000000"/>
                <w:sz w:val="24"/>
              </w:rPr>
              <w:t>2.60</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123046</w:t>
            </w:r>
          </w:p>
        </w:tc>
        <w:tc>
          <w:tcPr>
            <w:vAlign w:val="center"/>
          </w:tcPr>
          <w:p>
            <w:pPr>
              <w:jc w:val="center"/>
            </w:pPr>
            <w:r>
              <w:rPr>
                <w:rFonts w:eastAsiaTheme="minorEastAsia"/>
                <w:color w:val="000000"/>
                <w:sz w:val="24"/>
              </w:rPr>
              <w:t>天铁转债</w:t>
            </w:r>
          </w:p>
        </w:tc>
        <w:tc>
          <w:tcPr>
            <w:vAlign w:val="center"/>
          </w:tcPr>
          <w:p>
            <w:pPr>
              <w:jc w:val="right"/>
            </w:pPr>
            <w:r>
              <w:rPr>
                <w:rFonts w:eastAsiaTheme="minorEastAsia"/>
                <w:color w:val="000000"/>
                <w:sz w:val="24"/>
              </w:rPr>
              <w:t>8,584,739.30</w:t>
            </w:r>
          </w:p>
        </w:tc>
        <w:tc>
          <w:tcPr>
            <w:vAlign w:val="center"/>
          </w:tcPr>
          <w:p>
            <w:pPr>
              <w:jc w:val="right"/>
            </w:pPr>
            <w:r>
              <w:rPr>
                <w:rFonts w:eastAsiaTheme="minorEastAsia"/>
                <w:color w:val="000000"/>
                <w:sz w:val="24"/>
              </w:rPr>
              <w:t>0.73</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127017</w:t>
            </w:r>
          </w:p>
        </w:tc>
        <w:tc>
          <w:tcPr>
            <w:vAlign w:val="center"/>
          </w:tcPr>
          <w:p>
            <w:pPr>
              <w:jc w:val="center"/>
            </w:pPr>
            <w:r>
              <w:rPr>
                <w:rFonts w:eastAsiaTheme="minorEastAsia"/>
                <w:color w:val="000000"/>
                <w:sz w:val="24"/>
              </w:rPr>
              <w:t>万青转债</w:t>
            </w:r>
          </w:p>
        </w:tc>
        <w:tc>
          <w:tcPr>
            <w:vAlign w:val="center"/>
          </w:tcPr>
          <w:p>
            <w:pPr>
              <w:jc w:val="right"/>
            </w:pPr>
            <w:r>
              <w:rPr>
                <w:rFonts w:eastAsiaTheme="minorEastAsia"/>
                <w:color w:val="000000"/>
                <w:sz w:val="24"/>
              </w:rPr>
              <w:t>5,233,950.00</w:t>
            </w:r>
          </w:p>
        </w:tc>
        <w:tc>
          <w:tcPr>
            <w:vAlign w:val="center"/>
          </w:tcPr>
          <w:p>
            <w:pPr>
              <w:jc w:val="right"/>
            </w:pPr>
            <w:r>
              <w:rPr>
                <w:rFonts w:eastAsiaTheme="minorEastAsia"/>
                <w:color w:val="000000"/>
                <w:sz w:val="24"/>
              </w:rPr>
              <w:t>0.45</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113583</w:t>
            </w:r>
          </w:p>
        </w:tc>
        <w:tc>
          <w:tcPr>
            <w:vAlign w:val="center"/>
          </w:tcPr>
          <w:p>
            <w:pPr>
              <w:jc w:val="center"/>
            </w:pPr>
            <w:r>
              <w:rPr>
                <w:rFonts w:eastAsiaTheme="minorEastAsia"/>
                <w:color w:val="000000"/>
                <w:sz w:val="24"/>
              </w:rPr>
              <w:t>益丰转债</w:t>
            </w:r>
          </w:p>
        </w:tc>
        <w:tc>
          <w:tcPr>
            <w:vAlign w:val="center"/>
          </w:tcPr>
          <w:p>
            <w:pPr>
              <w:jc w:val="right"/>
            </w:pPr>
            <w:r>
              <w:rPr>
                <w:rFonts w:eastAsiaTheme="minorEastAsia"/>
                <w:color w:val="000000"/>
                <w:sz w:val="24"/>
              </w:rPr>
              <w:t>4,842,259.50</w:t>
            </w:r>
          </w:p>
        </w:tc>
        <w:tc>
          <w:tcPr>
            <w:vAlign w:val="center"/>
          </w:tcPr>
          <w:p>
            <w:pPr>
              <w:jc w:val="right"/>
            </w:pPr>
            <w:r>
              <w:rPr>
                <w:rFonts w:eastAsiaTheme="minorEastAsia"/>
                <w:color w:val="000000"/>
                <w:sz w:val="24"/>
              </w:rPr>
              <w:t>0.41</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128096</w:t>
            </w:r>
          </w:p>
        </w:tc>
        <w:tc>
          <w:tcPr>
            <w:vAlign w:val="center"/>
          </w:tcPr>
          <w:p>
            <w:pPr>
              <w:jc w:val="center"/>
            </w:pPr>
            <w:r>
              <w:rPr>
                <w:rFonts w:eastAsiaTheme="minorEastAsia"/>
                <w:color w:val="000000"/>
                <w:sz w:val="24"/>
              </w:rPr>
              <w:t>奥瑞转债</w:t>
            </w:r>
          </w:p>
        </w:tc>
        <w:tc>
          <w:tcPr>
            <w:vAlign w:val="center"/>
          </w:tcPr>
          <w:p>
            <w:pPr>
              <w:jc w:val="right"/>
            </w:pPr>
            <w:r>
              <w:rPr>
                <w:rFonts w:eastAsiaTheme="minorEastAsia"/>
                <w:color w:val="000000"/>
                <w:sz w:val="24"/>
              </w:rPr>
              <w:t>4,540,370.10</w:t>
            </w:r>
          </w:p>
        </w:tc>
        <w:tc>
          <w:tcPr>
            <w:vAlign w:val="center"/>
          </w:tcPr>
          <w:p>
            <w:pPr>
              <w:jc w:val="right"/>
            </w:pPr>
            <w:r>
              <w:rPr>
                <w:rFonts w:eastAsiaTheme="minorEastAsia"/>
                <w:color w:val="000000"/>
                <w:sz w:val="24"/>
              </w:rPr>
              <w:t>0.39</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113588</w:t>
            </w:r>
          </w:p>
        </w:tc>
        <w:tc>
          <w:tcPr>
            <w:vAlign w:val="center"/>
          </w:tcPr>
          <w:p>
            <w:pPr>
              <w:jc w:val="center"/>
            </w:pPr>
            <w:r>
              <w:rPr>
                <w:rFonts w:eastAsiaTheme="minorEastAsia"/>
                <w:color w:val="000000"/>
                <w:sz w:val="24"/>
              </w:rPr>
              <w:t>润达转债</w:t>
            </w:r>
          </w:p>
        </w:tc>
        <w:tc>
          <w:tcPr>
            <w:vAlign w:val="center"/>
          </w:tcPr>
          <w:p>
            <w:pPr>
              <w:jc w:val="right"/>
            </w:pPr>
            <w:r>
              <w:rPr>
                <w:rFonts w:eastAsiaTheme="minorEastAsia"/>
                <w:color w:val="000000"/>
                <w:sz w:val="24"/>
              </w:rPr>
              <w:t>4,293,200.00</w:t>
            </w:r>
          </w:p>
        </w:tc>
        <w:tc>
          <w:tcPr>
            <w:vAlign w:val="center"/>
          </w:tcPr>
          <w:p>
            <w:pPr>
              <w:jc w:val="right"/>
            </w:pPr>
            <w:r>
              <w:rPr>
                <w:rFonts w:eastAsiaTheme="minorEastAsia"/>
                <w:color w:val="000000"/>
                <w:sz w:val="24"/>
              </w:rPr>
              <w:t>0.37</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128109</w:t>
            </w:r>
          </w:p>
        </w:tc>
        <w:tc>
          <w:tcPr>
            <w:vAlign w:val="center"/>
          </w:tcPr>
          <w:p>
            <w:pPr>
              <w:jc w:val="center"/>
            </w:pPr>
            <w:r>
              <w:rPr>
                <w:rFonts w:eastAsiaTheme="minorEastAsia"/>
                <w:color w:val="000000"/>
                <w:sz w:val="24"/>
              </w:rPr>
              <w:t>楚江转债</w:t>
            </w:r>
          </w:p>
        </w:tc>
        <w:tc>
          <w:tcPr>
            <w:vAlign w:val="center"/>
          </w:tcPr>
          <w:p>
            <w:pPr>
              <w:jc w:val="right"/>
            </w:pPr>
            <w:r>
              <w:rPr>
                <w:rFonts w:eastAsiaTheme="minorEastAsia"/>
                <w:color w:val="000000"/>
                <w:sz w:val="24"/>
              </w:rPr>
              <w:t>3,884,812.80</w:t>
            </w:r>
          </w:p>
        </w:tc>
        <w:tc>
          <w:tcPr>
            <w:vAlign w:val="center"/>
          </w:tcPr>
          <w:p>
            <w:pPr>
              <w:jc w:val="right"/>
            </w:pPr>
            <w:r>
              <w:rPr>
                <w:rFonts w:eastAsiaTheme="minorEastAsia"/>
                <w:color w:val="000000"/>
                <w:sz w:val="24"/>
              </w:rPr>
              <w:t>0.33</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113559</w:t>
            </w:r>
          </w:p>
        </w:tc>
        <w:tc>
          <w:tcPr>
            <w:vAlign w:val="center"/>
          </w:tcPr>
          <w:p>
            <w:pPr>
              <w:jc w:val="center"/>
            </w:pPr>
            <w:r>
              <w:rPr>
                <w:rFonts w:eastAsiaTheme="minorEastAsia"/>
                <w:color w:val="000000"/>
                <w:sz w:val="24"/>
              </w:rPr>
              <w:t>永创转债</w:t>
            </w:r>
          </w:p>
        </w:tc>
        <w:tc>
          <w:tcPr>
            <w:vAlign w:val="center"/>
          </w:tcPr>
          <w:p>
            <w:pPr>
              <w:jc w:val="right"/>
            </w:pPr>
            <w:r>
              <w:rPr>
                <w:rFonts w:eastAsiaTheme="minorEastAsia"/>
                <w:color w:val="000000"/>
                <w:sz w:val="24"/>
              </w:rPr>
              <w:t>3,813,880.00</w:t>
            </w:r>
          </w:p>
        </w:tc>
        <w:tc>
          <w:tcPr>
            <w:vAlign w:val="center"/>
          </w:tcPr>
          <w:p>
            <w:pPr>
              <w:jc w:val="right"/>
            </w:pPr>
            <w:r>
              <w:rPr>
                <w:rFonts w:eastAsiaTheme="minorEastAsia"/>
                <w:color w:val="000000"/>
                <w:sz w:val="24"/>
              </w:rPr>
              <w:t>0.32</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3,723,061.40</w:t>
            </w:r>
          </w:p>
        </w:tc>
        <w:tc>
          <w:tcPr>
            <w:vAlign w:val="center"/>
          </w:tcPr>
          <w:p>
            <w:pPr>
              <w:jc w:val="right"/>
            </w:pPr>
            <w:r>
              <w:rPr>
                <w:rFonts w:eastAsiaTheme="minorEastAsia"/>
                <w:color w:val="000000"/>
                <w:sz w:val="24"/>
              </w:rPr>
              <w:t>0.32</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113009</w:t>
            </w:r>
          </w:p>
        </w:tc>
        <w:tc>
          <w:tcPr>
            <w:vAlign w:val="center"/>
          </w:tcPr>
          <w:p>
            <w:pPr>
              <w:jc w:val="center"/>
            </w:pPr>
            <w:r>
              <w:rPr>
                <w:rFonts w:eastAsiaTheme="minorEastAsia"/>
                <w:color w:val="000000"/>
                <w:sz w:val="24"/>
              </w:rPr>
              <w:t>广汽转债</w:t>
            </w:r>
          </w:p>
        </w:tc>
        <w:tc>
          <w:tcPr>
            <w:vAlign w:val="center"/>
          </w:tcPr>
          <w:p>
            <w:pPr>
              <w:jc w:val="right"/>
            </w:pPr>
            <w:r>
              <w:rPr>
                <w:rFonts w:eastAsiaTheme="minorEastAsia"/>
                <w:color w:val="000000"/>
                <w:sz w:val="24"/>
              </w:rPr>
              <w:t>3,501,300.00</w:t>
            </w:r>
          </w:p>
        </w:tc>
        <w:tc>
          <w:tcPr>
            <w:vAlign w:val="center"/>
          </w:tcPr>
          <w:p>
            <w:pPr>
              <w:jc w:val="right"/>
            </w:pPr>
            <w:r>
              <w:rPr>
                <w:rFonts w:eastAsiaTheme="minorEastAsia"/>
                <w:color w:val="000000"/>
                <w:sz w:val="24"/>
              </w:rPr>
              <w:t>0.30</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128108</w:t>
            </w:r>
          </w:p>
        </w:tc>
        <w:tc>
          <w:tcPr>
            <w:vAlign w:val="center"/>
          </w:tcPr>
          <w:p>
            <w:pPr>
              <w:jc w:val="center"/>
            </w:pPr>
            <w:r>
              <w:rPr>
                <w:rFonts w:eastAsiaTheme="minorEastAsia"/>
                <w:color w:val="000000"/>
                <w:sz w:val="24"/>
              </w:rPr>
              <w:t>蓝帆转债</w:t>
            </w:r>
          </w:p>
        </w:tc>
        <w:tc>
          <w:tcPr>
            <w:vAlign w:val="center"/>
          </w:tcPr>
          <w:p>
            <w:pPr>
              <w:jc w:val="right"/>
            </w:pPr>
            <w:r>
              <w:rPr>
                <w:rFonts w:eastAsiaTheme="minorEastAsia"/>
                <w:color w:val="000000"/>
                <w:sz w:val="24"/>
              </w:rPr>
              <w:t>2,418,200.00</w:t>
            </w:r>
          </w:p>
        </w:tc>
        <w:tc>
          <w:tcPr>
            <w:vAlign w:val="center"/>
          </w:tcPr>
          <w:p>
            <w:pPr>
              <w:jc w:val="right"/>
            </w:pPr>
            <w:r>
              <w:rPr>
                <w:rFonts w:eastAsiaTheme="minorEastAsia"/>
                <w:color w:val="000000"/>
                <w:sz w:val="24"/>
              </w:rPr>
              <w:t>0.21</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110051</w:t>
            </w:r>
          </w:p>
        </w:tc>
        <w:tc>
          <w:tcPr>
            <w:vAlign w:val="center"/>
          </w:tcPr>
          <w:p>
            <w:pPr>
              <w:jc w:val="center"/>
            </w:pPr>
            <w:r>
              <w:rPr>
                <w:rFonts w:eastAsiaTheme="minorEastAsia"/>
                <w:color w:val="000000"/>
                <w:sz w:val="24"/>
              </w:rPr>
              <w:t>中天转债</w:t>
            </w:r>
          </w:p>
        </w:tc>
        <w:tc>
          <w:tcPr>
            <w:vAlign w:val="center"/>
          </w:tcPr>
          <w:p>
            <w:pPr>
              <w:jc w:val="right"/>
            </w:pPr>
            <w:r>
              <w:rPr>
                <w:rFonts w:eastAsiaTheme="minorEastAsia"/>
                <w:color w:val="000000"/>
                <w:sz w:val="24"/>
              </w:rPr>
              <w:t>1,788,600.00</w:t>
            </w:r>
          </w:p>
        </w:tc>
        <w:tc>
          <w:tcPr>
            <w:vAlign w:val="center"/>
          </w:tcPr>
          <w:p>
            <w:pPr>
              <w:jc w:val="right"/>
            </w:pPr>
            <w:r>
              <w:rPr>
                <w:rFonts w:eastAsiaTheme="minorEastAsia"/>
                <w:color w:val="000000"/>
                <w:sz w:val="24"/>
              </w:rPr>
              <w:t>0.15</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113504</w:t>
            </w:r>
          </w:p>
        </w:tc>
        <w:tc>
          <w:tcPr>
            <w:vAlign w:val="center"/>
          </w:tcPr>
          <w:p>
            <w:pPr>
              <w:jc w:val="center"/>
            </w:pPr>
            <w:r>
              <w:rPr>
                <w:rFonts w:eastAsiaTheme="minorEastAsia"/>
                <w:color w:val="000000"/>
                <w:sz w:val="24"/>
              </w:rPr>
              <w:t>艾华转债</w:t>
            </w:r>
          </w:p>
        </w:tc>
        <w:tc>
          <w:tcPr>
            <w:vAlign w:val="center"/>
          </w:tcPr>
          <w:p>
            <w:pPr>
              <w:jc w:val="right"/>
            </w:pPr>
            <w:r>
              <w:rPr>
                <w:rFonts w:eastAsiaTheme="minorEastAsia"/>
                <w:color w:val="000000"/>
                <w:sz w:val="24"/>
              </w:rPr>
              <w:t>1,756,903.30</w:t>
            </w:r>
          </w:p>
        </w:tc>
        <w:tc>
          <w:tcPr>
            <w:vAlign w:val="center"/>
          </w:tcPr>
          <w:p>
            <w:pPr>
              <w:jc w:val="right"/>
            </w:pPr>
            <w:r>
              <w:rPr>
                <w:rFonts w:eastAsiaTheme="minorEastAsia"/>
                <w:color w:val="000000"/>
                <w:sz w:val="24"/>
              </w:rPr>
              <w:t>0.15</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123053</w:t>
            </w:r>
          </w:p>
        </w:tc>
        <w:tc>
          <w:tcPr>
            <w:vAlign w:val="center"/>
          </w:tcPr>
          <w:p>
            <w:pPr>
              <w:jc w:val="center"/>
            </w:pPr>
            <w:r>
              <w:rPr>
                <w:rFonts w:eastAsiaTheme="minorEastAsia"/>
                <w:color w:val="000000"/>
                <w:sz w:val="24"/>
              </w:rPr>
              <w:t>宝通转债</w:t>
            </w:r>
          </w:p>
        </w:tc>
        <w:tc>
          <w:tcPr>
            <w:vAlign w:val="center"/>
          </w:tcPr>
          <w:p>
            <w:pPr>
              <w:jc w:val="right"/>
            </w:pPr>
            <w:r>
              <w:rPr>
                <w:rFonts w:eastAsiaTheme="minorEastAsia"/>
                <w:color w:val="000000"/>
                <w:sz w:val="24"/>
              </w:rPr>
              <w:t>1,673,550.00</w:t>
            </w:r>
          </w:p>
        </w:tc>
        <w:tc>
          <w:tcPr>
            <w:vAlign w:val="center"/>
          </w:tcPr>
          <w:p>
            <w:pPr>
              <w:jc w:val="right"/>
            </w:pPr>
            <w:r>
              <w:rPr>
                <w:rFonts w:eastAsiaTheme="minorEastAsia"/>
                <w:color w:val="000000"/>
                <w:sz w:val="24"/>
              </w:rPr>
              <w:t>0.14</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113550</w:t>
            </w:r>
          </w:p>
        </w:tc>
        <w:tc>
          <w:tcPr>
            <w:vAlign w:val="center"/>
          </w:tcPr>
          <w:p>
            <w:pPr>
              <w:jc w:val="center"/>
            </w:pPr>
            <w:r>
              <w:rPr>
                <w:rFonts w:eastAsiaTheme="minorEastAsia"/>
                <w:color w:val="000000"/>
                <w:sz w:val="24"/>
              </w:rPr>
              <w:t>常汽转债</w:t>
            </w:r>
          </w:p>
        </w:tc>
        <w:tc>
          <w:tcPr>
            <w:vAlign w:val="center"/>
          </w:tcPr>
          <w:p>
            <w:pPr>
              <w:jc w:val="right"/>
            </w:pPr>
            <w:r>
              <w:rPr>
                <w:rFonts w:eastAsiaTheme="minorEastAsia"/>
                <w:color w:val="000000"/>
                <w:sz w:val="24"/>
              </w:rPr>
              <w:t>1,528,779.20</w:t>
            </w:r>
          </w:p>
        </w:tc>
        <w:tc>
          <w:tcPr>
            <w:vAlign w:val="center"/>
          </w:tcPr>
          <w:p>
            <w:pPr>
              <w:jc w:val="right"/>
            </w:pPr>
            <w:r>
              <w:rPr>
                <w:rFonts w:eastAsiaTheme="minorEastAsia"/>
                <w:color w:val="000000"/>
                <w:sz w:val="24"/>
              </w:rPr>
              <w:t>0.13</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123044</w:t>
            </w:r>
          </w:p>
        </w:tc>
        <w:tc>
          <w:tcPr>
            <w:vAlign w:val="center"/>
          </w:tcPr>
          <w:p>
            <w:pPr>
              <w:jc w:val="center"/>
            </w:pPr>
            <w:r>
              <w:rPr>
                <w:rFonts w:eastAsiaTheme="minorEastAsia"/>
                <w:color w:val="000000"/>
                <w:sz w:val="24"/>
              </w:rPr>
              <w:t>红相转债</w:t>
            </w:r>
          </w:p>
        </w:tc>
        <w:tc>
          <w:tcPr>
            <w:vAlign w:val="center"/>
          </w:tcPr>
          <w:p>
            <w:pPr>
              <w:jc w:val="right"/>
            </w:pPr>
            <w:r>
              <w:rPr>
                <w:rFonts w:eastAsiaTheme="minorEastAsia"/>
                <w:color w:val="000000"/>
                <w:sz w:val="24"/>
              </w:rPr>
              <w:t>1,386,700.00</w:t>
            </w:r>
          </w:p>
        </w:tc>
        <w:tc>
          <w:tcPr>
            <w:vAlign w:val="center"/>
          </w:tcPr>
          <w:p>
            <w:pPr>
              <w:jc w:val="right"/>
            </w:pPr>
            <w:r>
              <w:rPr>
                <w:rFonts w:eastAsiaTheme="minorEastAsia"/>
                <w:color w:val="000000"/>
                <w:sz w:val="24"/>
              </w:rPr>
              <w:t>0.12</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113519</w:t>
            </w:r>
          </w:p>
        </w:tc>
        <w:tc>
          <w:tcPr>
            <w:vAlign w:val="center"/>
          </w:tcPr>
          <w:p>
            <w:pPr>
              <w:jc w:val="center"/>
            </w:pPr>
            <w:r>
              <w:rPr>
                <w:rFonts w:eastAsiaTheme="minorEastAsia"/>
                <w:color w:val="000000"/>
                <w:sz w:val="24"/>
              </w:rPr>
              <w:t>长久转债</w:t>
            </w:r>
          </w:p>
        </w:tc>
        <w:tc>
          <w:tcPr>
            <w:vAlign w:val="center"/>
          </w:tcPr>
          <w:p>
            <w:pPr>
              <w:jc w:val="right"/>
            </w:pPr>
            <w:r>
              <w:rPr>
                <w:rFonts w:eastAsiaTheme="minorEastAsia"/>
                <w:color w:val="000000"/>
                <w:sz w:val="24"/>
              </w:rPr>
              <w:t>980,100.00</w:t>
            </w:r>
          </w:p>
        </w:tc>
        <w:tc>
          <w:tcPr>
            <w:vAlign w:val="center"/>
          </w:tcPr>
          <w:p>
            <w:pPr>
              <w:jc w:val="right"/>
            </w:pPr>
            <w:r>
              <w:rPr>
                <w:rFonts w:eastAsiaTheme="minorEastAsia"/>
                <w:color w:val="000000"/>
                <w:sz w:val="24"/>
              </w:rPr>
              <w:t>0.08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992,553,440.37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523,635,065.36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28,827,352.61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12,468,115.47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58,082,099.02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345,440,077.76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963,298,693.96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190,663,103.07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403,095,975.05</w:t>
            </w:r>
          </w:p>
        </w:tc>
        <w:tc>
          <w:tcPr>
            <w:vAlign w:val="center"/>
          </w:tcPr>
          <w:p>
            <w:pPr>
              <w:jc w:val="center"/>
            </w:pPr>
            <w:r>
              <w:rPr>
                <w:rFonts w:ascii="宋体" w:hAnsi="宋体" w:hint="eastAsia"/>
                <w:color w:val="000000"/>
                <w:kern w:val="0"/>
                <w:szCs w:val="21"/>
              </w:rPr>
              <w:t>6,399,618.58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409,495,593.63</w:t>
            </w:r>
          </w:p>
        </w:tc>
        <w:tc>
          <w:tcPr>
            <w:vAlign w:val="center"/>
          </w:tcPr>
          <w:p>
            <w:pPr>
              <w:jc w:val="center"/>
            </w:pPr>
            <w:r>
              <w:rPr>
                <w:rFonts w:ascii="宋体" w:hAnsi="宋体" w:hint="eastAsia"/>
                <w:color w:val="000000"/>
                <w:kern w:val="0"/>
                <w:szCs w:val="21"/>
              </w:rPr>
              <w:t>35.49%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1、中国证监会批准交银施罗德增利债券证券投资基金募集的文件；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5、关于募集交银施罗德增利债券证券投资基金之法律意见书；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交银施罗德增利债券证券投资基金2020年第4季度报告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