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bookmarkStart w:id="0" w:name="_GoBack"/>
      <w:bookmarkEnd w:id="0"/>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二〇二一年一月二十一日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A7182" w:rsidRDefault="001B0EE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A7182" w:rsidRDefault="001B0EEA">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A7182" w:rsidRDefault="001B0EE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A7182" w:rsidRDefault="001B0EE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A7182" w:rsidRDefault="001B0EEA">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317,494,578.46</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04C1C" w:rsidRPr="0036023B" w:rsidTr="00D04C1C">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D04C1C" w:rsidRPr="0036023B" w:rsidTr="00D04C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-5,336,605.06</w:t>
            </w:r>
          </w:p>
        </w:tc>
      </w:tr>
      <w:tr w:rsidR="00D04C1C" w:rsidRPr="0036023B" w:rsidTr="00D04C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-11,323,031.53</w:t>
            </w:r>
          </w:p>
        </w:tc>
      </w:tr>
      <w:tr w:rsidR="00D04C1C" w:rsidRPr="0036023B" w:rsidTr="00D04C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-0.0410</w:t>
            </w:r>
          </w:p>
        </w:tc>
      </w:tr>
      <w:tr w:rsidR="00D04C1C" w:rsidRPr="0036023B" w:rsidTr="00D04C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155,796,633.48</w:t>
            </w:r>
          </w:p>
        </w:tc>
      </w:tr>
      <w:tr w:rsidR="00D04C1C" w:rsidRPr="0036023B" w:rsidTr="00D04C1C">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0.491</w:t>
            </w:r>
          </w:p>
        </w:tc>
      </w:tr>
    </w:tbl>
    <w:p w:rsidR="007A7182" w:rsidRDefault="001B0E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A7182">
        <w:trPr>
          <w:jc w:val="center"/>
        </w:trPr>
        <w:tc>
          <w:tcPr>
            <w:tcW w:w="1469" w:type="dxa"/>
            <w:vAlign w:val="center"/>
          </w:tcPr>
          <w:p w:rsidR="007A7182" w:rsidRDefault="001B0EEA">
            <w:pPr>
              <w:jc w:val="left"/>
            </w:pPr>
            <w:r>
              <w:rPr>
                <w:color w:val="000000"/>
                <w:sz w:val="24"/>
              </w:rPr>
              <w:t>过去三个月</w:t>
            </w:r>
          </w:p>
        </w:tc>
        <w:tc>
          <w:tcPr>
            <w:tcW w:w="1150" w:type="dxa"/>
            <w:vAlign w:val="center"/>
          </w:tcPr>
          <w:p w:rsidR="007A7182" w:rsidRDefault="001B0EEA">
            <w:pPr>
              <w:jc w:val="center"/>
            </w:pPr>
            <w:r>
              <w:rPr>
                <w:color w:val="000000"/>
                <w:sz w:val="24"/>
              </w:rPr>
              <w:t>-7.36%</w:t>
            </w:r>
          </w:p>
        </w:tc>
        <w:tc>
          <w:tcPr>
            <w:tcW w:w="1223" w:type="dxa"/>
            <w:vAlign w:val="center"/>
          </w:tcPr>
          <w:p w:rsidR="007A7182" w:rsidRDefault="001B0EEA">
            <w:pPr>
              <w:jc w:val="center"/>
            </w:pPr>
            <w:r>
              <w:rPr>
                <w:color w:val="000000"/>
                <w:sz w:val="24"/>
              </w:rPr>
              <w:t>1.07%</w:t>
            </w:r>
          </w:p>
        </w:tc>
        <w:tc>
          <w:tcPr>
            <w:tcW w:w="1244" w:type="dxa"/>
            <w:vAlign w:val="center"/>
          </w:tcPr>
          <w:p w:rsidR="007A7182" w:rsidRDefault="001B0EEA">
            <w:pPr>
              <w:jc w:val="center"/>
            </w:pPr>
            <w:r>
              <w:rPr>
                <w:color w:val="000000"/>
                <w:sz w:val="24"/>
              </w:rPr>
              <w:t>-7.12%</w:t>
            </w:r>
          </w:p>
        </w:tc>
        <w:tc>
          <w:tcPr>
            <w:tcW w:w="1251" w:type="dxa"/>
            <w:vAlign w:val="center"/>
          </w:tcPr>
          <w:p w:rsidR="007A7182" w:rsidRDefault="001B0EEA">
            <w:pPr>
              <w:jc w:val="center"/>
            </w:pPr>
            <w:r>
              <w:rPr>
                <w:color w:val="000000"/>
                <w:sz w:val="24"/>
              </w:rPr>
              <w:t>1.09%</w:t>
            </w:r>
          </w:p>
        </w:tc>
        <w:tc>
          <w:tcPr>
            <w:tcW w:w="1263" w:type="dxa"/>
            <w:vAlign w:val="center"/>
          </w:tcPr>
          <w:p w:rsidR="007A7182" w:rsidRDefault="001B0EEA">
            <w:pPr>
              <w:jc w:val="center"/>
            </w:pPr>
            <w:r>
              <w:rPr>
                <w:color w:val="000000"/>
                <w:sz w:val="24"/>
              </w:rPr>
              <w:t>-0.24%</w:t>
            </w:r>
          </w:p>
        </w:tc>
        <w:tc>
          <w:tcPr>
            <w:tcW w:w="1268" w:type="dxa"/>
            <w:vAlign w:val="center"/>
          </w:tcPr>
          <w:p w:rsidR="007A7182" w:rsidRDefault="001B0EEA">
            <w:pPr>
              <w:jc w:val="center"/>
            </w:pPr>
            <w:r>
              <w:rPr>
                <w:color w:val="000000"/>
                <w:sz w:val="24"/>
              </w:rPr>
              <w:t>-0.02%</w:t>
            </w:r>
          </w:p>
        </w:tc>
      </w:tr>
      <w:tr w:rsidR="007A7182">
        <w:trPr>
          <w:jc w:val="center"/>
        </w:trPr>
        <w:tc>
          <w:tcPr>
            <w:tcW w:w="1469" w:type="dxa"/>
            <w:vAlign w:val="center"/>
          </w:tcPr>
          <w:p w:rsidR="007A7182" w:rsidRDefault="001B0EEA">
            <w:pPr>
              <w:jc w:val="left"/>
            </w:pPr>
            <w:r>
              <w:rPr>
                <w:color w:val="000000"/>
                <w:sz w:val="24"/>
              </w:rPr>
              <w:t>过去六个月</w:t>
            </w:r>
          </w:p>
        </w:tc>
        <w:tc>
          <w:tcPr>
            <w:tcW w:w="1150" w:type="dxa"/>
            <w:vAlign w:val="center"/>
          </w:tcPr>
          <w:p w:rsidR="007A7182" w:rsidRDefault="001B0EEA">
            <w:pPr>
              <w:jc w:val="center"/>
            </w:pPr>
            <w:r>
              <w:rPr>
                <w:color w:val="000000"/>
                <w:sz w:val="24"/>
              </w:rPr>
              <w:t>-2.19%</w:t>
            </w:r>
          </w:p>
        </w:tc>
        <w:tc>
          <w:tcPr>
            <w:tcW w:w="1223" w:type="dxa"/>
            <w:vAlign w:val="center"/>
          </w:tcPr>
          <w:p w:rsidR="007A7182" w:rsidRDefault="001B0EEA">
            <w:pPr>
              <w:jc w:val="center"/>
            </w:pPr>
            <w:r>
              <w:rPr>
                <w:color w:val="000000"/>
                <w:sz w:val="24"/>
              </w:rPr>
              <w:t>1.46%</w:t>
            </w:r>
          </w:p>
        </w:tc>
        <w:tc>
          <w:tcPr>
            <w:tcW w:w="1244" w:type="dxa"/>
            <w:vAlign w:val="center"/>
          </w:tcPr>
          <w:p w:rsidR="007A7182" w:rsidRDefault="001B0EEA">
            <w:pPr>
              <w:jc w:val="center"/>
            </w:pPr>
            <w:r>
              <w:rPr>
                <w:color w:val="000000"/>
                <w:sz w:val="24"/>
              </w:rPr>
              <w:t>-2.29%</w:t>
            </w:r>
          </w:p>
        </w:tc>
        <w:tc>
          <w:tcPr>
            <w:tcW w:w="1251" w:type="dxa"/>
            <w:vAlign w:val="center"/>
          </w:tcPr>
          <w:p w:rsidR="007A7182" w:rsidRDefault="001B0EEA">
            <w:pPr>
              <w:jc w:val="center"/>
            </w:pPr>
            <w:r>
              <w:rPr>
                <w:color w:val="000000"/>
                <w:sz w:val="24"/>
              </w:rPr>
              <w:t>1.50%</w:t>
            </w:r>
          </w:p>
        </w:tc>
        <w:tc>
          <w:tcPr>
            <w:tcW w:w="1263" w:type="dxa"/>
            <w:vAlign w:val="center"/>
          </w:tcPr>
          <w:p w:rsidR="007A7182" w:rsidRDefault="001B0EEA">
            <w:pPr>
              <w:jc w:val="center"/>
            </w:pPr>
            <w:r>
              <w:rPr>
                <w:color w:val="000000"/>
                <w:sz w:val="24"/>
              </w:rPr>
              <w:t>0.10%</w:t>
            </w:r>
          </w:p>
        </w:tc>
        <w:tc>
          <w:tcPr>
            <w:tcW w:w="1268" w:type="dxa"/>
            <w:vAlign w:val="center"/>
          </w:tcPr>
          <w:p w:rsidR="007A7182" w:rsidRDefault="001B0EEA">
            <w:pPr>
              <w:jc w:val="center"/>
            </w:pPr>
            <w:r>
              <w:rPr>
                <w:color w:val="000000"/>
                <w:sz w:val="24"/>
              </w:rPr>
              <w:t>-0.04%</w:t>
            </w:r>
          </w:p>
        </w:tc>
      </w:tr>
      <w:tr w:rsidR="007A7182">
        <w:trPr>
          <w:jc w:val="center"/>
        </w:trPr>
        <w:tc>
          <w:tcPr>
            <w:tcW w:w="1469" w:type="dxa"/>
            <w:vAlign w:val="center"/>
          </w:tcPr>
          <w:p w:rsidR="007A7182" w:rsidRDefault="001B0EEA">
            <w:pPr>
              <w:jc w:val="left"/>
            </w:pPr>
            <w:r>
              <w:rPr>
                <w:color w:val="000000"/>
                <w:sz w:val="24"/>
              </w:rPr>
              <w:t>过去一年</w:t>
            </w:r>
          </w:p>
        </w:tc>
        <w:tc>
          <w:tcPr>
            <w:tcW w:w="1150" w:type="dxa"/>
            <w:vAlign w:val="center"/>
          </w:tcPr>
          <w:p w:rsidR="007A7182" w:rsidRDefault="001B0EEA">
            <w:pPr>
              <w:jc w:val="center"/>
            </w:pPr>
            <w:r>
              <w:rPr>
                <w:color w:val="000000"/>
                <w:sz w:val="24"/>
              </w:rPr>
              <w:t>-3.73%</w:t>
            </w:r>
          </w:p>
        </w:tc>
        <w:tc>
          <w:tcPr>
            <w:tcW w:w="1223" w:type="dxa"/>
            <w:vAlign w:val="center"/>
          </w:tcPr>
          <w:p w:rsidR="007A7182" w:rsidRDefault="001B0EEA">
            <w:pPr>
              <w:jc w:val="center"/>
            </w:pPr>
            <w:r>
              <w:rPr>
                <w:color w:val="000000"/>
                <w:sz w:val="24"/>
              </w:rPr>
              <w:t>1.60%</w:t>
            </w:r>
          </w:p>
        </w:tc>
        <w:tc>
          <w:tcPr>
            <w:tcW w:w="1244" w:type="dxa"/>
            <w:vAlign w:val="center"/>
          </w:tcPr>
          <w:p w:rsidR="007A7182" w:rsidRDefault="001B0EEA">
            <w:pPr>
              <w:jc w:val="center"/>
            </w:pPr>
            <w:r>
              <w:rPr>
                <w:color w:val="000000"/>
                <w:sz w:val="24"/>
              </w:rPr>
              <w:t>-3.89%</w:t>
            </w:r>
          </w:p>
        </w:tc>
        <w:tc>
          <w:tcPr>
            <w:tcW w:w="1251" w:type="dxa"/>
            <w:vAlign w:val="center"/>
          </w:tcPr>
          <w:p w:rsidR="007A7182" w:rsidRDefault="001B0EEA">
            <w:pPr>
              <w:jc w:val="center"/>
            </w:pPr>
            <w:r>
              <w:rPr>
                <w:color w:val="000000"/>
                <w:sz w:val="24"/>
              </w:rPr>
              <w:t>1.63%</w:t>
            </w:r>
          </w:p>
        </w:tc>
        <w:tc>
          <w:tcPr>
            <w:tcW w:w="1263" w:type="dxa"/>
            <w:vAlign w:val="center"/>
          </w:tcPr>
          <w:p w:rsidR="007A7182" w:rsidRDefault="001B0EEA">
            <w:pPr>
              <w:jc w:val="center"/>
            </w:pPr>
            <w:r>
              <w:rPr>
                <w:color w:val="000000"/>
                <w:sz w:val="24"/>
              </w:rPr>
              <w:t>0.16%</w:t>
            </w:r>
          </w:p>
        </w:tc>
        <w:tc>
          <w:tcPr>
            <w:tcW w:w="1268" w:type="dxa"/>
            <w:vAlign w:val="center"/>
          </w:tcPr>
          <w:p w:rsidR="007A7182" w:rsidRDefault="001B0EEA">
            <w:pPr>
              <w:jc w:val="center"/>
            </w:pPr>
            <w:r>
              <w:rPr>
                <w:color w:val="000000"/>
                <w:sz w:val="24"/>
              </w:rPr>
              <w:t>-0.03%</w:t>
            </w:r>
          </w:p>
        </w:tc>
      </w:tr>
      <w:tr w:rsidR="007A7182">
        <w:trPr>
          <w:jc w:val="center"/>
        </w:trPr>
        <w:tc>
          <w:tcPr>
            <w:tcW w:w="1469" w:type="dxa"/>
            <w:vAlign w:val="center"/>
          </w:tcPr>
          <w:p w:rsidR="007A7182" w:rsidRDefault="001B0EEA">
            <w:pPr>
              <w:jc w:val="left"/>
            </w:pPr>
            <w:r>
              <w:rPr>
                <w:color w:val="000000"/>
                <w:sz w:val="24"/>
              </w:rPr>
              <w:t>过去三年</w:t>
            </w:r>
          </w:p>
        </w:tc>
        <w:tc>
          <w:tcPr>
            <w:tcW w:w="1150" w:type="dxa"/>
            <w:vAlign w:val="center"/>
          </w:tcPr>
          <w:p w:rsidR="007A7182" w:rsidRDefault="001B0EEA">
            <w:pPr>
              <w:jc w:val="center"/>
            </w:pPr>
            <w:r>
              <w:rPr>
                <w:color w:val="000000"/>
                <w:sz w:val="24"/>
              </w:rPr>
              <w:t>-45.93%</w:t>
            </w:r>
          </w:p>
        </w:tc>
        <w:tc>
          <w:tcPr>
            <w:tcW w:w="1223" w:type="dxa"/>
            <w:vAlign w:val="center"/>
          </w:tcPr>
          <w:p w:rsidR="007A7182" w:rsidRDefault="001B0EEA">
            <w:pPr>
              <w:jc w:val="center"/>
            </w:pPr>
            <w:r>
              <w:rPr>
                <w:color w:val="000000"/>
                <w:sz w:val="24"/>
              </w:rPr>
              <w:t>1.56%</w:t>
            </w:r>
          </w:p>
        </w:tc>
        <w:tc>
          <w:tcPr>
            <w:tcW w:w="1244" w:type="dxa"/>
            <w:vAlign w:val="center"/>
          </w:tcPr>
          <w:p w:rsidR="007A7182" w:rsidRDefault="001B0EEA">
            <w:pPr>
              <w:jc w:val="center"/>
            </w:pPr>
            <w:r>
              <w:rPr>
                <w:color w:val="000000"/>
                <w:sz w:val="24"/>
              </w:rPr>
              <w:t>-44.38%</w:t>
            </w:r>
          </w:p>
        </w:tc>
        <w:tc>
          <w:tcPr>
            <w:tcW w:w="1251" w:type="dxa"/>
            <w:vAlign w:val="center"/>
          </w:tcPr>
          <w:p w:rsidR="007A7182" w:rsidRDefault="001B0EEA">
            <w:pPr>
              <w:jc w:val="center"/>
            </w:pPr>
            <w:r>
              <w:rPr>
                <w:color w:val="000000"/>
                <w:sz w:val="24"/>
              </w:rPr>
              <w:t>1.58%</w:t>
            </w:r>
          </w:p>
        </w:tc>
        <w:tc>
          <w:tcPr>
            <w:tcW w:w="1263" w:type="dxa"/>
            <w:vAlign w:val="center"/>
          </w:tcPr>
          <w:p w:rsidR="007A7182" w:rsidRDefault="001B0EEA">
            <w:pPr>
              <w:jc w:val="center"/>
            </w:pPr>
            <w:r>
              <w:rPr>
                <w:color w:val="000000"/>
                <w:sz w:val="24"/>
              </w:rPr>
              <w:t>-1.55%</w:t>
            </w:r>
          </w:p>
        </w:tc>
        <w:tc>
          <w:tcPr>
            <w:tcW w:w="1268" w:type="dxa"/>
            <w:vAlign w:val="center"/>
          </w:tcPr>
          <w:p w:rsidR="007A7182" w:rsidRDefault="001B0EEA">
            <w:pPr>
              <w:jc w:val="center"/>
            </w:pPr>
            <w:r>
              <w:rPr>
                <w:color w:val="000000"/>
                <w:sz w:val="24"/>
              </w:rPr>
              <w:t>-0.02%</w:t>
            </w:r>
          </w:p>
        </w:tc>
      </w:tr>
      <w:tr w:rsidR="007A7182">
        <w:trPr>
          <w:jc w:val="center"/>
        </w:trPr>
        <w:tc>
          <w:tcPr>
            <w:tcW w:w="1469" w:type="dxa"/>
            <w:vAlign w:val="center"/>
          </w:tcPr>
          <w:p w:rsidR="007A7182" w:rsidRDefault="001B0EEA">
            <w:pPr>
              <w:jc w:val="left"/>
            </w:pPr>
            <w:r>
              <w:rPr>
                <w:color w:val="000000"/>
                <w:sz w:val="24"/>
              </w:rPr>
              <w:t>自基金合同生效起至今</w:t>
            </w:r>
          </w:p>
        </w:tc>
        <w:tc>
          <w:tcPr>
            <w:tcW w:w="1150" w:type="dxa"/>
            <w:vAlign w:val="center"/>
          </w:tcPr>
          <w:p w:rsidR="007A7182" w:rsidRDefault="001B0EEA">
            <w:pPr>
              <w:jc w:val="center"/>
            </w:pPr>
            <w:r>
              <w:rPr>
                <w:color w:val="000000"/>
                <w:sz w:val="24"/>
              </w:rPr>
              <w:t>-48.26%</w:t>
            </w:r>
          </w:p>
        </w:tc>
        <w:tc>
          <w:tcPr>
            <w:tcW w:w="1223" w:type="dxa"/>
            <w:vAlign w:val="center"/>
          </w:tcPr>
          <w:p w:rsidR="007A7182" w:rsidRDefault="001B0EEA">
            <w:pPr>
              <w:jc w:val="center"/>
            </w:pPr>
            <w:r>
              <w:rPr>
                <w:color w:val="000000"/>
                <w:sz w:val="24"/>
              </w:rPr>
              <w:t>1.44%</w:t>
            </w:r>
          </w:p>
        </w:tc>
        <w:tc>
          <w:tcPr>
            <w:tcW w:w="1244" w:type="dxa"/>
            <w:vAlign w:val="center"/>
          </w:tcPr>
          <w:p w:rsidR="007A7182" w:rsidRDefault="001B0EEA">
            <w:pPr>
              <w:jc w:val="center"/>
            </w:pPr>
            <w:r>
              <w:rPr>
                <w:color w:val="000000"/>
                <w:sz w:val="24"/>
              </w:rPr>
              <w:t>-45.97%</w:t>
            </w:r>
          </w:p>
        </w:tc>
        <w:tc>
          <w:tcPr>
            <w:tcW w:w="1251" w:type="dxa"/>
            <w:vAlign w:val="center"/>
          </w:tcPr>
          <w:p w:rsidR="007A7182" w:rsidRDefault="001B0EEA">
            <w:pPr>
              <w:jc w:val="center"/>
            </w:pPr>
            <w:r>
              <w:rPr>
                <w:color w:val="000000"/>
                <w:sz w:val="24"/>
              </w:rPr>
              <w:t>1.46%</w:t>
            </w:r>
          </w:p>
        </w:tc>
        <w:tc>
          <w:tcPr>
            <w:tcW w:w="1263" w:type="dxa"/>
            <w:vAlign w:val="center"/>
          </w:tcPr>
          <w:p w:rsidR="007A7182" w:rsidRDefault="001B0EEA">
            <w:pPr>
              <w:jc w:val="center"/>
            </w:pPr>
            <w:r>
              <w:rPr>
                <w:color w:val="000000"/>
                <w:sz w:val="24"/>
              </w:rPr>
              <w:t>-2.29%</w:t>
            </w:r>
          </w:p>
        </w:tc>
        <w:tc>
          <w:tcPr>
            <w:tcW w:w="1268" w:type="dxa"/>
            <w:vAlign w:val="center"/>
          </w:tcPr>
          <w:p w:rsidR="007A7182" w:rsidRDefault="001B0EEA">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7A7182">
        <w:trPr>
          <w:jc w:val="center"/>
        </w:trPr>
        <w:tc>
          <w:tcPr>
            <w:tcW w:w="846" w:type="dxa"/>
            <w:vAlign w:val="center"/>
          </w:tcPr>
          <w:p w:rsidR="007A7182" w:rsidRDefault="001B0EEA">
            <w:pPr>
              <w:jc w:val="center"/>
            </w:pPr>
            <w:r>
              <w:rPr>
                <w:color w:val="000000"/>
                <w:sz w:val="24"/>
              </w:rPr>
              <w:t>蔡铮</w:t>
            </w:r>
          </w:p>
        </w:tc>
        <w:tc>
          <w:tcPr>
            <w:tcW w:w="845" w:type="dxa"/>
            <w:vAlign w:val="center"/>
          </w:tcPr>
          <w:p w:rsidR="007A7182" w:rsidRDefault="001B0EE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lastRenderedPageBreak/>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549" w:type="dxa"/>
            <w:vAlign w:val="center"/>
          </w:tcPr>
          <w:p w:rsidR="007A7182" w:rsidRDefault="001B0EEA">
            <w:pPr>
              <w:jc w:val="center"/>
            </w:pPr>
            <w:r>
              <w:rPr>
                <w:color w:val="000000"/>
                <w:sz w:val="24"/>
              </w:rPr>
              <w:lastRenderedPageBreak/>
              <w:t>2016-07-19</w:t>
            </w:r>
          </w:p>
        </w:tc>
        <w:tc>
          <w:tcPr>
            <w:tcW w:w="1548" w:type="dxa"/>
            <w:vAlign w:val="center"/>
          </w:tcPr>
          <w:p w:rsidR="007A7182" w:rsidRDefault="001B0EEA">
            <w:pPr>
              <w:jc w:val="center"/>
            </w:pPr>
            <w:r>
              <w:rPr>
                <w:color w:val="000000"/>
                <w:sz w:val="24"/>
              </w:rPr>
              <w:t>-</w:t>
            </w:r>
          </w:p>
        </w:tc>
        <w:tc>
          <w:tcPr>
            <w:tcW w:w="1407" w:type="dxa"/>
            <w:vAlign w:val="center"/>
          </w:tcPr>
          <w:p w:rsidR="007A7182" w:rsidRDefault="001B0EEA">
            <w:pPr>
              <w:jc w:val="center"/>
            </w:pPr>
            <w:r>
              <w:rPr>
                <w:color w:val="000000"/>
                <w:sz w:val="24"/>
              </w:rPr>
              <w:t>11</w:t>
            </w:r>
            <w:r>
              <w:rPr>
                <w:color w:val="000000"/>
                <w:sz w:val="24"/>
              </w:rPr>
              <w:t>年</w:t>
            </w:r>
          </w:p>
        </w:tc>
        <w:tc>
          <w:tcPr>
            <w:tcW w:w="2673" w:type="dxa"/>
            <w:vAlign w:val="center"/>
          </w:tcPr>
          <w:p w:rsidR="007A7182" w:rsidRDefault="001B0EE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日担任交银施</w:t>
            </w:r>
            <w:r>
              <w:rPr>
                <w:color w:val="000000"/>
                <w:sz w:val="24"/>
              </w:rPr>
              <w:lastRenderedPageBreak/>
              <w:t>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7A7182" w:rsidRDefault="001B0E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7A7182" w:rsidRDefault="001B0E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7A7182" w:rsidRDefault="001B0E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7A7182" w:rsidRDefault="001B0EEA">
      <w:pPr>
        <w:spacing w:before="29" w:line="288" w:lineRule="auto"/>
        <w:ind w:firstLineChars="200" w:firstLine="480"/>
        <w:rPr>
          <w:color w:val="000000"/>
          <w:sz w:val="24"/>
        </w:rPr>
      </w:pPr>
      <w:r>
        <w:rPr>
          <w:color w:val="000000"/>
          <w:sz w:val="24"/>
        </w:rPr>
        <w:t>2020</w:t>
      </w:r>
      <w:r>
        <w:rPr>
          <w:color w:val="000000"/>
          <w:sz w:val="24"/>
        </w:rPr>
        <w:t>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w:t>
      </w:r>
      <w:r>
        <w:rPr>
          <w:color w:val="000000"/>
          <w:sz w:val="24"/>
        </w:rPr>
        <w:t>2020</w:t>
      </w:r>
      <w:r>
        <w:rPr>
          <w:color w:val="000000"/>
          <w:sz w:val="24"/>
        </w:rPr>
        <w:t>年全球唯一实现正增长的主要经济体。本季度各投资主题的市场表现分化较为明显，环境治理板块有所承压，作为跟踪基准指数的指数基金，四季度基金总体呈现震荡下行态势。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2021</w:t>
      </w:r>
      <w:r w:rsidRPr="0036023B">
        <w:rPr>
          <w:color w:val="000000"/>
          <w:sz w:val="24"/>
        </w:rPr>
        <w:t>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36023B">
        <w:rPr>
          <w:color w:val="000000"/>
          <w:sz w:val="24"/>
        </w:rPr>
        <w:t>A</w:t>
      </w:r>
      <w:r w:rsidRPr="0036023B">
        <w:rPr>
          <w:color w:val="000000"/>
          <w:sz w:val="24"/>
        </w:rPr>
        <w:t>股市场维持谨慎乐观的看法。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lastRenderedPageBreak/>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146,147,228.48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90.09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146,147,228.48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90.09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859,700.00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0.53</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859,700.00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0.53</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13,959,190.75</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8.60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1,262,593.69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0.78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162,228,712.92</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44,132,760.32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28.33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23,869,086.40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2,829,657.60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3,129,417.00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72,186,307.16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46.33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146,147,228.48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93.81</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A7182">
        <w:trPr>
          <w:jc w:val="center"/>
        </w:trPr>
        <w:tc>
          <w:tcPr>
            <w:tcW w:w="850" w:type="dxa"/>
            <w:vAlign w:val="center"/>
          </w:tcPr>
          <w:p w:rsidR="007A7182" w:rsidRDefault="001B0EEA">
            <w:pPr>
              <w:jc w:val="center"/>
            </w:pPr>
            <w:r>
              <w:rPr>
                <w:color w:val="000000"/>
                <w:sz w:val="24"/>
              </w:rPr>
              <w:t>1</w:t>
            </w:r>
          </w:p>
        </w:tc>
        <w:tc>
          <w:tcPr>
            <w:tcW w:w="1327" w:type="dxa"/>
            <w:vAlign w:val="center"/>
          </w:tcPr>
          <w:p w:rsidR="007A7182" w:rsidRDefault="001B0EEA">
            <w:pPr>
              <w:jc w:val="center"/>
            </w:pPr>
            <w:r>
              <w:rPr>
                <w:color w:val="000000"/>
                <w:sz w:val="24"/>
              </w:rPr>
              <w:t>002340</w:t>
            </w:r>
          </w:p>
        </w:tc>
        <w:tc>
          <w:tcPr>
            <w:tcW w:w="1769" w:type="dxa"/>
            <w:vAlign w:val="center"/>
          </w:tcPr>
          <w:p w:rsidR="007A7182" w:rsidRDefault="001B0EEA">
            <w:pPr>
              <w:jc w:val="center"/>
            </w:pPr>
            <w:r>
              <w:rPr>
                <w:color w:val="000000"/>
                <w:sz w:val="24"/>
              </w:rPr>
              <w:t>格林美</w:t>
            </w:r>
          </w:p>
        </w:tc>
        <w:tc>
          <w:tcPr>
            <w:tcW w:w="1327" w:type="dxa"/>
            <w:vAlign w:val="center"/>
          </w:tcPr>
          <w:p w:rsidR="007A7182" w:rsidRDefault="001B0EEA">
            <w:pPr>
              <w:jc w:val="right"/>
            </w:pPr>
            <w:r>
              <w:rPr>
                <w:color w:val="000000"/>
                <w:sz w:val="24"/>
              </w:rPr>
              <w:t>595,360</w:t>
            </w:r>
          </w:p>
        </w:tc>
        <w:tc>
          <w:tcPr>
            <w:tcW w:w="1915" w:type="dxa"/>
            <w:vAlign w:val="center"/>
          </w:tcPr>
          <w:p w:rsidR="007A7182" w:rsidRDefault="001B0EEA">
            <w:pPr>
              <w:jc w:val="right"/>
            </w:pPr>
            <w:r>
              <w:rPr>
                <w:color w:val="000000"/>
                <w:sz w:val="24"/>
              </w:rPr>
              <w:t>4,161,566.40</w:t>
            </w:r>
          </w:p>
        </w:tc>
        <w:tc>
          <w:tcPr>
            <w:tcW w:w="1680" w:type="dxa"/>
            <w:vAlign w:val="center"/>
          </w:tcPr>
          <w:p w:rsidR="007A7182" w:rsidRDefault="001B0EEA">
            <w:pPr>
              <w:jc w:val="right"/>
            </w:pPr>
            <w:r>
              <w:rPr>
                <w:color w:val="000000"/>
                <w:sz w:val="24"/>
              </w:rPr>
              <w:t>2.67</w:t>
            </w:r>
          </w:p>
        </w:tc>
      </w:tr>
      <w:tr w:rsidR="007A7182">
        <w:trPr>
          <w:jc w:val="center"/>
        </w:trPr>
        <w:tc>
          <w:tcPr>
            <w:tcW w:w="850" w:type="dxa"/>
            <w:vAlign w:val="center"/>
          </w:tcPr>
          <w:p w:rsidR="007A7182" w:rsidRDefault="001B0EEA">
            <w:pPr>
              <w:jc w:val="center"/>
            </w:pPr>
            <w:r>
              <w:rPr>
                <w:color w:val="000000"/>
                <w:sz w:val="24"/>
              </w:rPr>
              <w:t>2</w:t>
            </w:r>
          </w:p>
        </w:tc>
        <w:tc>
          <w:tcPr>
            <w:tcW w:w="1327" w:type="dxa"/>
            <w:vAlign w:val="center"/>
          </w:tcPr>
          <w:p w:rsidR="007A7182" w:rsidRDefault="001B0EEA">
            <w:pPr>
              <w:jc w:val="center"/>
            </w:pPr>
            <w:r>
              <w:rPr>
                <w:color w:val="000000"/>
                <w:sz w:val="24"/>
              </w:rPr>
              <w:t>601388</w:t>
            </w:r>
          </w:p>
        </w:tc>
        <w:tc>
          <w:tcPr>
            <w:tcW w:w="1769" w:type="dxa"/>
            <w:vAlign w:val="center"/>
          </w:tcPr>
          <w:p w:rsidR="007A7182" w:rsidRDefault="001B0EEA">
            <w:pPr>
              <w:jc w:val="center"/>
            </w:pPr>
            <w:r>
              <w:rPr>
                <w:color w:val="000000"/>
                <w:sz w:val="24"/>
              </w:rPr>
              <w:t>怡球资源</w:t>
            </w:r>
          </w:p>
        </w:tc>
        <w:tc>
          <w:tcPr>
            <w:tcW w:w="1327" w:type="dxa"/>
            <w:vAlign w:val="center"/>
          </w:tcPr>
          <w:p w:rsidR="007A7182" w:rsidRDefault="001B0EEA">
            <w:pPr>
              <w:jc w:val="right"/>
            </w:pPr>
            <w:r>
              <w:rPr>
                <w:color w:val="000000"/>
                <w:sz w:val="24"/>
              </w:rPr>
              <w:t>1,062,000</w:t>
            </w:r>
          </w:p>
        </w:tc>
        <w:tc>
          <w:tcPr>
            <w:tcW w:w="1915" w:type="dxa"/>
            <w:vAlign w:val="center"/>
          </w:tcPr>
          <w:p w:rsidR="007A7182" w:rsidRDefault="001B0EEA">
            <w:pPr>
              <w:jc w:val="right"/>
            </w:pPr>
            <w:r>
              <w:rPr>
                <w:color w:val="000000"/>
                <w:sz w:val="24"/>
              </w:rPr>
              <w:t>3,207,240.00</w:t>
            </w:r>
          </w:p>
        </w:tc>
        <w:tc>
          <w:tcPr>
            <w:tcW w:w="1680" w:type="dxa"/>
            <w:vAlign w:val="center"/>
          </w:tcPr>
          <w:p w:rsidR="007A7182" w:rsidRDefault="001B0EEA">
            <w:pPr>
              <w:jc w:val="right"/>
            </w:pPr>
            <w:r>
              <w:rPr>
                <w:color w:val="000000"/>
                <w:sz w:val="24"/>
              </w:rPr>
              <w:t>2.06</w:t>
            </w:r>
          </w:p>
        </w:tc>
      </w:tr>
      <w:tr w:rsidR="007A7182">
        <w:trPr>
          <w:jc w:val="center"/>
        </w:trPr>
        <w:tc>
          <w:tcPr>
            <w:tcW w:w="850" w:type="dxa"/>
            <w:vAlign w:val="center"/>
          </w:tcPr>
          <w:p w:rsidR="007A7182" w:rsidRDefault="001B0EEA">
            <w:pPr>
              <w:jc w:val="center"/>
            </w:pPr>
            <w:r>
              <w:rPr>
                <w:color w:val="000000"/>
                <w:sz w:val="24"/>
              </w:rPr>
              <w:t>3</w:t>
            </w:r>
          </w:p>
        </w:tc>
        <w:tc>
          <w:tcPr>
            <w:tcW w:w="1327" w:type="dxa"/>
            <w:vAlign w:val="center"/>
          </w:tcPr>
          <w:p w:rsidR="007A7182" w:rsidRDefault="001B0EEA">
            <w:pPr>
              <w:jc w:val="center"/>
            </w:pPr>
            <w:r>
              <w:rPr>
                <w:color w:val="000000"/>
                <w:sz w:val="24"/>
              </w:rPr>
              <w:t>600217</w:t>
            </w:r>
          </w:p>
        </w:tc>
        <w:tc>
          <w:tcPr>
            <w:tcW w:w="1769" w:type="dxa"/>
            <w:vAlign w:val="center"/>
          </w:tcPr>
          <w:p w:rsidR="007A7182" w:rsidRDefault="001B0EEA">
            <w:pPr>
              <w:jc w:val="center"/>
            </w:pPr>
            <w:r>
              <w:rPr>
                <w:color w:val="000000"/>
                <w:sz w:val="24"/>
              </w:rPr>
              <w:t>中再资环</w:t>
            </w:r>
          </w:p>
        </w:tc>
        <w:tc>
          <w:tcPr>
            <w:tcW w:w="1327" w:type="dxa"/>
            <w:vAlign w:val="center"/>
          </w:tcPr>
          <w:p w:rsidR="007A7182" w:rsidRDefault="001B0EEA">
            <w:pPr>
              <w:jc w:val="right"/>
            </w:pPr>
            <w:r>
              <w:rPr>
                <w:color w:val="000000"/>
                <w:sz w:val="24"/>
              </w:rPr>
              <w:t>556,300</w:t>
            </w:r>
          </w:p>
        </w:tc>
        <w:tc>
          <w:tcPr>
            <w:tcW w:w="1915" w:type="dxa"/>
            <w:vAlign w:val="center"/>
          </w:tcPr>
          <w:p w:rsidR="007A7182" w:rsidRDefault="001B0EEA">
            <w:pPr>
              <w:jc w:val="right"/>
            </w:pPr>
            <w:r>
              <w:rPr>
                <w:color w:val="000000"/>
                <w:sz w:val="24"/>
              </w:rPr>
              <w:t>3,193,162.00</w:t>
            </w:r>
          </w:p>
        </w:tc>
        <w:tc>
          <w:tcPr>
            <w:tcW w:w="1680" w:type="dxa"/>
            <w:vAlign w:val="center"/>
          </w:tcPr>
          <w:p w:rsidR="007A7182" w:rsidRDefault="001B0EEA">
            <w:pPr>
              <w:jc w:val="right"/>
            </w:pPr>
            <w:r>
              <w:rPr>
                <w:color w:val="000000"/>
                <w:sz w:val="24"/>
              </w:rPr>
              <w:t>2.05</w:t>
            </w:r>
          </w:p>
        </w:tc>
      </w:tr>
      <w:tr w:rsidR="007A7182">
        <w:trPr>
          <w:jc w:val="center"/>
        </w:trPr>
        <w:tc>
          <w:tcPr>
            <w:tcW w:w="850" w:type="dxa"/>
            <w:vAlign w:val="center"/>
          </w:tcPr>
          <w:p w:rsidR="007A7182" w:rsidRDefault="001B0EEA">
            <w:pPr>
              <w:jc w:val="center"/>
            </w:pPr>
            <w:r>
              <w:rPr>
                <w:color w:val="000000"/>
                <w:sz w:val="24"/>
              </w:rPr>
              <w:t>4</w:t>
            </w:r>
          </w:p>
        </w:tc>
        <w:tc>
          <w:tcPr>
            <w:tcW w:w="1327" w:type="dxa"/>
            <w:vAlign w:val="center"/>
          </w:tcPr>
          <w:p w:rsidR="007A7182" w:rsidRDefault="001B0EEA">
            <w:pPr>
              <w:jc w:val="center"/>
            </w:pPr>
            <w:r>
              <w:rPr>
                <w:color w:val="000000"/>
                <w:sz w:val="24"/>
              </w:rPr>
              <w:t>600323</w:t>
            </w:r>
          </w:p>
        </w:tc>
        <w:tc>
          <w:tcPr>
            <w:tcW w:w="1769" w:type="dxa"/>
            <w:vAlign w:val="center"/>
          </w:tcPr>
          <w:p w:rsidR="007A7182" w:rsidRDefault="001B0EEA">
            <w:pPr>
              <w:jc w:val="center"/>
            </w:pPr>
            <w:r>
              <w:rPr>
                <w:color w:val="000000"/>
                <w:sz w:val="24"/>
              </w:rPr>
              <w:t>瀚蓝环境</w:t>
            </w:r>
          </w:p>
        </w:tc>
        <w:tc>
          <w:tcPr>
            <w:tcW w:w="1327" w:type="dxa"/>
            <w:vAlign w:val="center"/>
          </w:tcPr>
          <w:p w:rsidR="007A7182" w:rsidRDefault="001B0EEA">
            <w:pPr>
              <w:jc w:val="right"/>
            </w:pPr>
            <w:r>
              <w:rPr>
                <w:color w:val="000000"/>
                <w:sz w:val="24"/>
              </w:rPr>
              <w:t>128,691</w:t>
            </w:r>
          </w:p>
        </w:tc>
        <w:tc>
          <w:tcPr>
            <w:tcW w:w="1915" w:type="dxa"/>
            <w:vAlign w:val="center"/>
          </w:tcPr>
          <w:p w:rsidR="007A7182" w:rsidRDefault="001B0EEA">
            <w:pPr>
              <w:jc w:val="right"/>
            </w:pPr>
            <w:r>
              <w:rPr>
                <w:color w:val="000000"/>
                <w:sz w:val="24"/>
              </w:rPr>
              <w:t>3,192,823.71</w:t>
            </w:r>
          </w:p>
        </w:tc>
        <w:tc>
          <w:tcPr>
            <w:tcW w:w="1680" w:type="dxa"/>
            <w:vAlign w:val="center"/>
          </w:tcPr>
          <w:p w:rsidR="007A7182" w:rsidRDefault="001B0EEA">
            <w:pPr>
              <w:jc w:val="right"/>
            </w:pPr>
            <w:r>
              <w:rPr>
                <w:color w:val="000000"/>
                <w:sz w:val="24"/>
              </w:rPr>
              <w:t>2.05</w:t>
            </w:r>
          </w:p>
        </w:tc>
      </w:tr>
      <w:tr w:rsidR="007A7182">
        <w:trPr>
          <w:jc w:val="center"/>
        </w:trPr>
        <w:tc>
          <w:tcPr>
            <w:tcW w:w="850" w:type="dxa"/>
            <w:vAlign w:val="center"/>
          </w:tcPr>
          <w:p w:rsidR="007A7182" w:rsidRDefault="001B0EEA">
            <w:pPr>
              <w:jc w:val="center"/>
            </w:pPr>
            <w:r>
              <w:rPr>
                <w:color w:val="000000"/>
                <w:sz w:val="24"/>
              </w:rPr>
              <w:t>5</w:t>
            </w:r>
          </w:p>
        </w:tc>
        <w:tc>
          <w:tcPr>
            <w:tcW w:w="1327" w:type="dxa"/>
            <w:vAlign w:val="center"/>
          </w:tcPr>
          <w:p w:rsidR="007A7182" w:rsidRDefault="001B0EEA">
            <w:pPr>
              <w:jc w:val="center"/>
            </w:pPr>
            <w:r>
              <w:rPr>
                <w:color w:val="000000"/>
                <w:sz w:val="24"/>
              </w:rPr>
              <w:t>300815</w:t>
            </w:r>
          </w:p>
        </w:tc>
        <w:tc>
          <w:tcPr>
            <w:tcW w:w="1769" w:type="dxa"/>
            <w:vAlign w:val="center"/>
          </w:tcPr>
          <w:p w:rsidR="007A7182" w:rsidRDefault="001B0EEA">
            <w:pPr>
              <w:jc w:val="center"/>
            </w:pPr>
            <w:r>
              <w:rPr>
                <w:color w:val="000000"/>
                <w:sz w:val="24"/>
              </w:rPr>
              <w:t>玉禾田</w:t>
            </w:r>
          </w:p>
        </w:tc>
        <w:tc>
          <w:tcPr>
            <w:tcW w:w="1327" w:type="dxa"/>
            <w:vAlign w:val="center"/>
          </w:tcPr>
          <w:p w:rsidR="007A7182" w:rsidRDefault="001B0EEA">
            <w:pPr>
              <w:jc w:val="right"/>
            </w:pPr>
            <w:r>
              <w:rPr>
                <w:color w:val="000000"/>
                <w:sz w:val="24"/>
              </w:rPr>
              <w:t>33,700</w:t>
            </w:r>
          </w:p>
        </w:tc>
        <w:tc>
          <w:tcPr>
            <w:tcW w:w="1915" w:type="dxa"/>
            <w:vAlign w:val="center"/>
          </w:tcPr>
          <w:p w:rsidR="007A7182" w:rsidRDefault="001B0EEA">
            <w:pPr>
              <w:jc w:val="right"/>
            </w:pPr>
            <w:r>
              <w:rPr>
                <w:color w:val="000000"/>
                <w:sz w:val="24"/>
              </w:rPr>
              <w:t>3,130,730.00</w:t>
            </w:r>
          </w:p>
        </w:tc>
        <w:tc>
          <w:tcPr>
            <w:tcW w:w="1680" w:type="dxa"/>
            <w:vAlign w:val="center"/>
          </w:tcPr>
          <w:p w:rsidR="007A7182" w:rsidRDefault="001B0EEA">
            <w:pPr>
              <w:jc w:val="right"/>
            </w:pPr>
            <w:r>
              <w:rPr>
                <w:color w:val="000000"/>
                <w:sz w:val="24"/>
              </w:rPr>
              <w:t>2.01</w:t>
            </w:r>
          </w:p>
        </w:tc>
      </w:tr>
      <w:tr w:rsidR="007A7182">
        <w:trPr>
          <w:jc w:val="center"/>
        </w:trPr>
        <w:tc>
          <w:tcPr>
            <w:tcW w:w="850" w:type="dxa"/>
            <w:vAlign w:val="center"/>
          </w:tcPr>
          <w:p w:rsidR="007A7182" w:rsidRDefault="001B0EEA">
            <w:pPr>
              <w:jc w:val="center"/>
            </w:pPr>
            <w:r>
              <w:rPr>
                <w:color w:val="000000"/>
                <w:sz w:val="24"/>
              </w:rPr>
              <w:t>6</w:t>
            </w:r>
          </w:p>
        </w:tc>
        <w:tc>
          <w:tcPr>
            <w:tcW w:w="1327" w:type="dxa"/>
            <w:vAlign w:val="center"/>
          </w:tcPr>
          <w:p w:rsidR="007A7182" w:rsidRDefault="001B0EEA">
            <w:pPr>
              <w:jc w:val="center"/>
            </w:pPr>
            <w:r>
              <w:rPr>
                <w:color w:val="000000"/>
                <w:sz w:val="24"/>
              </w:rPr>
              <w:t>300125</w:t>
            </w:r>
          </w:p>
        </w:tc>
        <w:tc>
          <w:tcPr>
            <w:tcW w:w="1769" w:type="dxa"/>
            <w:vAlign w:val="center"/>
          </w:tcPr>
          <w:p w:rsidR="007A7182" w:rsidRDefault="001B0EEA">
            <w:pPr>
              <w:jc w:val="center"/>
            </w:pPr>
            <w:r>
              <w:rPr>
                <w:color w:val="000000"/>
                <w:sz w:val="24"/>
              </w:rPr>
              <w:t>聆达股份</w:t>
            </w:r>
          </w:p>
        </w:tc>
        <w:tc>
          <w:tcPr>
            <w:tcW w:w="1327" w:type="dxa"/>
            <w:vAlign w:val="center"/>
          </w:tcPr>
          <w:p w:rsidR="007A7182" w:rsidRDefault="001B0EEA">
            <w:pPr>
              <w:jc w:val="right"/>
            </w:pPr>
            <w:r>
              <w:rPr>
                <w:color w:val="000000"/>
                <w:sz w:val="24"/>
              </w:rPr>
              <w:t>225,300</w:t>
            </w:r>
          </w:p>
        </w:tc>
        <w:tc>
          <w:tcPr>
            <w:tcW w:w="1915" w:type="dxa"/>
            <w:vAlign w:val="center"/>
          </w:tcPr>
          <w:p w:rsidR="007A7182" w:rsidRDefault="001B0EEA">
            <w:pPr>
              <w:jc w:val="right"/>
            </w:pPr>
            <w:r>
              <w:rPr>
                <w:color w:val="000000"/>
                <w:sz w:val="24"/>
              </w:rPr>
              <w:t>3,129,417.00</w:t>
            </w:r>
          </w:p>
        </w:tc>
        <w:tc>
          <w:tcPr>
            <w:tcW w:w="1680" w:type="dxa"/>
            <w:vAlign w:val="center"/>
          </w:tcPr>
          <w:p w:rsidR="007A7182" w:rsidRDefault="001B0EEA">
            <w:pPr>
              <w:jc w:val="right"/>
            </w:pPr>
            <w:r>
              <w:rPr>
                <w:color w:val="000000"/>
                <w:sz w:val="24"/>
              </w:rPr>
              <w:t>2.01</w:t>
            </w:r>
          </w:p>
        </w:tc>
      </w:tr>
      <w:tr w:rsidR="007A7182">
        <w:trPr>
          <w:jc w:val="center"/>
        </w:trPr>
        <w:tc>
          <w:tcPr>
            <w:tcW w:w="850" w:type="dxa"/>
            <w:vAlign w:val="center"/>
          </w:tcPr>
          <w:p w:rsidR="007A7182" w:rsidRDefault="001B0EEA">
            <w:pPr>
              <w:jc w:val="center"/>
            </w:pPr>
            <w:r>
              <w:rPr>
                <w:color w:val="000000"/>
                <w:sz w:val="24"/>
              </w:rPr>
              <w:t>7</w:t>
            </w:r>
          </w:p>
        </w:tc>
        <w:tc>
          <w:tcPr>
            <w:tcW w:w="1327" w:type="dxa"/>
            <w:vAlign w:val="center"/>
          </w:tcPr>
          <w:p w:rsidR="007A7182" w:rsidRDefault="001B0EEA">
            <w:pPr>
              <w:jc w:val="center"/>
            </w:pPr>
            <w:r>
              <w:rPr>
                <w:color w:val="000000"/>
                <w:sz w:val="24"/>
              </w:rPr>
              <w:t>002266</w:t>
            </w:r>
          </w:p>
        </w:tc>
        <w:tc>
          <w:tcPr>
            <w:tcW w:w="1769" w:type="dxa"/>
            <w:vAlign w:val="center"/>
          </w:tcPr>
          <w:p w:rsidR="007A7182" w:rsidRDefault="001B0EEA">
            <w:pPr>
              <w:jc w:val="center"/>
            </w:pPr>
            <w:r>
              <w:rPr>
                <w:color w:val="000000"/>
                <w:sz w:val="24"/>
              </w:rPr>
              <w:t>浙富控股</w:t>
            </w:r>
          </w:p>
        </w:tc>
        <w:tc>
          <w:tcPr>
            <w:tcW w:w="1327" w:type="dxa"/>
            <w:vAlign w:val="center"/>
          </w:tcPr>
          <w:p w:rsidR="007A7182" w:rsidRDefault="001B0EEA">
            <w:pPr>
              <w:jc w:val="right"/>
            </w:pPr>
            <w:r>
              <w:rPr>
                <w:color w:val="000000"/>
                <w:sz w:val="24"/>
              </w:rPr>
              <w:t>695,400</w:t>
            </w:r>
          </w:p>
        </w:tc>
        <w:tc>
          <w:tcPr>
            <w:tcW w:w="1915" w:type="dxa"/>
            <w:vAlign w:val="center"/>
          </w:tcPr>
          <w:p w:rsidR="007A7182" w:rsidRDefault="001B0EEA">
            <w:pPr>
              <w:jc w:val="right"/>
            </w:pPr>
            <w:r>
              <w:rPr>
                <w:color w:val="000000"/>
                <w:sz w:val="24"/>
              </w:rPr>
              <w:t>3,129,300.00</w:t>
            </w:r>
          </w:p>
        </w:tc>
        <w:tc>
          <w:tcPr>
            <w:tcW w:w="1680" w:type="dxa"/>
            <w:vAlign w:val="center"/>
          </w:tcPr>
          <w:p w:rsidR="007A7182" w:rsidRDefault="001B0EEA">
            <w:pPr>
              <w:jc w:val="right"/>
            </w:pPr>
            <w:r>
              <w:rPr>
                <w:color w:val="000000"/>
                <w:sz w:val="24"/>
              </w:rPr>
              <w:t>2.01</w:t>
            </w:r>
          </w:p>
        </w:tc>
      </w:tr>
      <w:tr w:rsidR="007A7182">
        <w:trPr>
          <w:jc w:val="center"/>
        </w:trPr>
        <w:tc>
          <w:tcPr>
            <w:tcW w:w="850" w:type="dxa"/>
            <w:vAlign w:val="center"/>
          </w:tcPr>
          <w:p w:rsidR="007A7182" w:rsidRDefault="001B0EEA">
            <w:pPr>
              <w:jc w:val="center"/>
            </w:pPr>
            <w:r>
              <w:rPr>
                <w:color w:val="000000"/>
                <w:sz w:val="24"/>
              </w:rPr>
              <w:t>8</w:t>
            </w:r>
          </w:p>
        </w:tc>
        <w:tc>
          <w:tcPr>
            <w:tcW w:w="1327" w:type="dxa"/>
            <w:vAlign w:val="center"/>
          </w:tcPr>
          <w:p w:rsidR="007A7182" w:rsidRDefault="001B0EEA">
            <w:pPr>
              <w:jc w:val="center"/>
            </w:pPr>
            <w:r>
              <w:rPr>
                <w:color w:val="000000"/>
                <w:sz w:val="24"/>
              </w:rPr>
              <w:t>300422</w:t>
            </w:r>
          </w:p>
        </w:tc>
        <w:tc>
          <w:tcPr>
            <w:tcW w:w="1769" w:type="dxa"/>
            <w:vAlign w:val="center"/>
          </w:tcPr>
          <w:p w:rsidR="007A7182" w:rsidRDefault="001B0EEA">
            <w:pPr>
              <w:jc w:val="center"/>
            </w:pPr>
            <w:r>
              <w:rPr>
                <w:color w:val="000000"/>
                <w:sz w:val="24"/>
              </w:rPr>
              <w:t>博世科</w:t>
            </w:r>
          </w:p>
        </w:tc>
        <w:tc>
          <w:tcPr>
            <w:tcW w:w="1327" w:type="dxa"/>
            <w:vAlign w:val="center"/>
          </w:tcPr>
          <w:p w:rsidR="007A7182" w:rsidRDefault="001B0EEA">
            <w:pPr>
              <w:jc w:val="right"/>
            </w:pPr>
            <w:r>
              <w:rPr>
                <w:color w:val="000000"/>
                <w:sz w:val="24"/>
              </w:rPr>
              <w:t>256,859</w:t>
            </w:r>
          </w:p>
        </w:tc>
        <w:tc>
          <w:tcPr>
            <w:tcW w:w="1915" w:type="dxa"/>
            <w:vAlign w:val="center"/>
          </w:tcPr>
          <w:p w:rsidR="007A7182" w:rsidRDefault="001B0EEA">
            <w:pPr>
              <w:jc w:val="right"/>
            </w:pPr>
            <w:r>
              <w:rPr>
                <w:color w:val="000000"/>
                <w:sz w:val="24"/>
              </w:rPr>
              <w:t>3,082,308.00</w:t>
            </w:r>
          </w:p>
        </w:tc>
        <w:tc>
          <w:tcPr>
            <w:tcW w:w="1680" w:type="dxa"/>
            <w:vAlign w:val="center"/>
          </w:tcPr>
          <w:p w:rsidR="007A7182" w:rsidRDefault="001B0EEA">
            <w:pPr>
              <w:jc w:val="right"/>
            </w:pPr>
            <w:r>
              <w:rPr>
                <w:color w:val="000000"/>
                <w:sz w:val="24"/>
              </w:rPr>
              <w:t>1.98</w:t>
            </w:r>
          </w:p>
        </w:tc>
      </w:tr>
      <w:tr w:rsidR="007A7182">
        <w:trPr>
          <w:jc w:val="center"/>
        </w:trPr>
        <w:tc>
          <w:tcPr>
            <w:tcW w:w="850" w:type="dxa"/>
            <w:vAlign w:val="center"/>
          </w:tcPr>
          <w:p w:rsidR="007A7182" w:rsidRDefault="001B0EEA">
            <w:pPr>
              <w:jc w:val="center"/>
            </w:pPr>
            <w:r>
              <w:rPr>
                <w:color w:val="000000"/>
                <w:sz w:val="24"/>
              </w:rPr>
              <w:lastRenderedPageBreak/>
              <w:t>9</w:t>
            </w:r>
          </w:p>
        </w:tc>
        <w:tc>
          <w:tcPr>
            <w:tcW w:w="1327" w:type="dxa"/>
            <w:vAlign w:val="center"/>
          </w:tcPr>
          <w:p w:rsidR="007A7182" w:rsidRDefault="001B0EEA">
            <w:pPr>
              <w:jc w:val="center"/>
            </w:pPr>
            <w:r>
              <w:rPr>
                <w:color w:val="000000"/>
                <w:sz w:val="24"/>
              </w:rPr>
              <w:t>600874</w:t>
            </w:r>
          </w:p>
        </w:tc>
        <w:tc>
          <w:tcPr>
            <w:tcW w:w="1769" w:type="dxa"/>
            <w:vAlign w:val="center"/>
          </w:tcPr>
          <w:p w:rsidR="007A7182" w:rsidRDefault="001B0EEA">
            <w:pPr>
              <w:jc w:val="center"/>
            </w:pPr>
            <w:r>
              <w:rPr>
                <w:color w:val="000000"/>
                <w:sz w:val="24"/>
              </w:rPr>
              <w:t>创业环保</w:t>
            </w:r>
          </w:p>
        </w:tc>
        <w:tc>
          <w:tcPr>
            <w:tcW w:w="1327" w:type="dxa"/>
            <w:vAlign w:val="center"/>
          </w:tcPr>
          <w:p w:rsidR="007A7182" w:rsidRDefault="001B0EEA">
            <w:pPr>
              <w:jc w:val="right"/>
            </w:pPr>
            <w:r>
              <w:rPr>
                <w:color w:val="000000"/>
                <w:sz w:val="24"/>
              </w:rPr>
              <w:t>454,200</w:t>
            </w:r>
          </w:p>
        </w:tc>
        <w:tc>
          <w:tcPr>
            <w:tcW w:w="1915" w:type="dxa"/>
            <w:vAlign w:val="center"/>
          </w:tcPr>
          <w:p w:rsidR="007A7182" w:rsidRDefault="001B0EEA">
            <w:pPr>
              <w:jc w:val="right"/>
            </w:pPr>
            <w:r>
              <w:rPr>
                <w:color w:val="000000"/>
                <w:sz w:val="24"/>
              </w:rPr>
              <w:t>3,074,934.00</w:t>
            </w:r>
          </w:p>
        </w:tc>
        <w:tc>
          <w:tcPr>
            <w:tcW w:w="1680" w:type="dxa"/>
            <w:vAlign w:val="center"/>
          </w:tcPr>
          <w:p w:rsidR="007A7182" w:rsidRDefault="001B0EEA">
            <w:pPr>
              <w:jc w:val="right"/>
            </w:pPr>
            <w:r>
              <w:rPr>
                <w:color w:val="000000"/>
                <w:sz w:val="24"/>
              </w:rPr>
              <w:t>1.97</w:t>
            </w:r>
          </w:p>
        </w:tc>
      </w:tr>
      <w:tr w:rsidR="007A7182">
        <w:trPr>
          <w:jc w:val="center"/>
        </w:trPr>
        <w:tc>
          <w:tcPr>
            <w:tcW w:w="850" w:type="dxa"/>
            <w:vAlign w:val="center"/>
          </w:tcPr>
          <w:p w:rsidR="007A7182" w:rsidRDefault="001B0EEA">
            <w:pPr>
              <w:jc w:val="center"/>
            </w:pPr>
            <w:r>
              <w:rPr>
                <w:color w:val="000000"/>
                <w:sz w:val="24"/>
              </w:rPr>
              <w:t>10</w:t>
            </w:r>
          </w:p>
        </w:tc>
        <w:tc>
          <w:tcPr>
            <w:tcW w:w="1327" w:type="dxa"/>
            <w:vAlign w:val="center"/>
          </w:tcPr>
          <w:p w:rsidR="007A7182" w:rsidRDefault="001B0EEA">
            <w:pPr>
              <w:jc w:val="center"/>
            </w:pPr>
            <w:r>
              <w:rPr>
                <w:color w:val="000000"/>
                <w:sz w:val="24"/>
              </w:rPr>
              <w:t>000544</w:t>
            </w:r>
          </w:p>
        </w:tc>
        <w:tc>
          <w:tcPr>
            <w:tcW w:w="1769" w:type="dxa"/>
            <w:vAlign w:val="center"/>
          </w:tcPr>
          <w:p w:rsidR="007A7182" w:rsidRDefault="001B0EEA">
            <w:pPr>
              <w:jc w:val="center"/>
            </w:pPr>
            <w:r>
              <w:rPr>
                <w:color w:val="000000"/>
                <w:sz w:val="24"/>
              </w:rPr>
              <w:t>中原环保</w:t>
            </w:r>
          </w:p>
        </w:tc>
        <w:tc>
          <w:tcPr>
            <w:tcW w:w="1327" w:type="dxa"/>
            <w:vAlign w:val="center"/>
          </w:tcPr>
          <w:p w:rsidR="007A7182" w:rsidRDefault="001B0EEA">
            <w:pPr>
              <w:jc w:val="right"/>
            </w:pPr>
            <w:r>
              <w:rPr>
                <w:color w:val="000000"/>
                <w:sz w:val="24"/>
              </w:rPr>
              <w:t>437,800</w:t>
            </w:r>
          </w:p>
        </w:tc>
        <w:tc>
          <w:tcPr>
            <w:tcW w:w="1915" w:type="dxa"/>
            <w:vAlign w:val="center"/>
          </w:tcPr>
          <w:p w:rsidR="007A7182" w:rsidRDefault="001B0EEA">
            <w:pPr>
              <w:jc w:val="right"/>
            </w:pPr>
            <w:r>
              <w:rPr>
                <w:color w:val="000000"/>
                <w:sz w:val="24"/>
              </w:rPr>
              <w:t>3,068,978.00</w:t>
            </w:r>
          </w:p>
        </w:tc>
        <w:tc>
          <w:tcPr>
            <w:tcW w:w="1680" w:type="dxa"/>
            <w:vAlign w:val="center"/>
          </w:tcPr>
          <w:p w:rsidR="007A7182" w:rsidRDefault="001B0EEA">
            <w:pPr>
              <w:jc w:val="right"/>
            </w:pPr>
            <w:r>
              <w:rPr>
                <w:color w:val="000000"/>
                <w:sz w:val="24"/>
              </w:rPr>
              <w:t>1.97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0B0C8C" w:rsidRPr="000B0C8C" w:rsidRDefault="00CC1C8D" w:rsidP="00CC1C8D">
      <w:pPr>
        <w:autoSpaceDE w:val="0"/>
        <w:autoSpaceDN w:val="0"/>
        <w:adjustRightInd w:val="0"/>
        <w:spacing w:before="29" w:line="288" w:lineRule="auto"/>
        <w:jc w:val="right"/>
        <w:rPr>
          <w:color w:val="000000"/>
          <w:kern w:val="0"/>
          <w:sz w:val="24"/>
        </w:rPr>
      </w:pPr>
      <w:r w:rsidRPr="00CC1C8D">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859,700.00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0.55</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859,700.00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0.55</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50405" w:rsidRPr="00250405" w:rsidRDefault="00CC1C8D" w:rsidP="00CC1C8D">
      <w:pPr>
        <w:autoSpaceDE w:val="0"/>
        <w:autoSpaceDN w:val="0"/>
        <w:adjustRightInd w:val="0"/>
        <w:spacing w:before="29" w:line="288" w:lineRule="auto"/>
        <w:jc w:val="right"/>
        <w:rPr>
          <w:color w:val="000000"/>
          <w:kern w:val="0"/>
          <w:sz w:val="24"/>
        </w:rPr>
      </w:pPr>
      <w:r w:rsidRPr="00CC1C8D">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7A7182">
        <w:trPr>
          <w:jc w:val="center"/>
        </w:trPr>
        <w:tc>
          <w:tcPr>
            <w:tcW w:w="1302" w:type="dxa"/>
            <w:vAlign w:val="center"/>
          </w:tcPr>
          <w:p w:rsidR="007A7182" w:rsidRDefault="001B0EEA">
            <w:pPr>
              <w:jc w:val="center"/>
            </w:pPr>
            <w:r>
              <w:rPr>
                <w:color w:val="000000"/>
                <w:sz w:val="24"/>
              </w:rPr>
              <w:t>1</w:t>
            </w:r>
          </w:p>
        </w:tc>
        <w:tc>
          <w:tcPr>
            <w:tcW w:w="1362" w:type="dxa"/>
            <w:vAlign w:val="center"/>
          </w:tcPr>
          <w:p w:rsidR="007A7182" w:rsidRDefault="001B0EEA">
            <w:pPr>
              <w:jc w:val="center"/>
            </w:pPr>
            <w:r>
              <w:rPr>
                <w:color w:val="000000"/>
                <w:sz w:val="24"/>
              </w:rPr>
              <w:t>128141</w:t>
            </w:r>
          </w:p>
        </w:tc>
        <w:tc>
          <w:tcPr>
            <w:tcW w:w="1333" w:type="dxa"/>
            <w:vAlign w:val="center"/>
          </w:tcPr>
          <w:p w:rsidR="007A7182" w:rsidRDefault="001B0EEA">
            <w:pPr>
              <w:jc w:val="center"/>
            </w:pPr>
            <w:r>
              <w:rPr>
                <w:color w:val="000000"/>
                <w:sz w:val="24"/>
              </w:rPr>
              <w:t>旺能转债</w:t>
            </w:r>
          </w:p>
        </w:tc>
        <w:tc>
          <w:tcPr>
            <w:tcW w:w="1483" w:type="dxa"/>
            <w:vAlign w:val="center"/>
          </w:tcPr>
          <w:p w:rsidR="007A7182" w:rsidRDefault="001B0EEA">
            <w:pPr>
              <w:jc w:val="right"/>
            </w:pPr>
            <w:r>
              <w:rPr>
                <w:color w:val="000000"/>
                <w:sz w:val="24"/>
              </w:rPr>
              <w:t>5,911</w:t>
            </w:r>
          </w:p>
        </w:tc>
        <w:tc>
          <w:tcPr>
            <w:tcW w:w="1712" w:type="dxa"/>
            <w:vAlign w:val="center"/>
          </w:tcPr>
          <w:p w:rsidR="007A7182" w:rsidRDefault="001B0EEA">
            <w:pPr>
              <w:jc w:val="right"/>
            </w:pPr>
            <w:r>
              <w:rPr>
                <w:color w:val="000000"/>
                <w:sz w:val="24"/>
              </w:rPr>
              <w:t>591,100.00</w:t>
            </w:r>
          </w:p>
        </w:tc>
        <w:tc>
          <w:tcPr>
            <w:tcW w:w="1676" w:type="dxa"/>
            <w:vAlign w:val="center"/>
          </w:tcPr>
          <w:p w:rsidR="007A7182" w:rsidRDefault="001B0EEA">
            <w:pPr>
              <w:jc w:val="right"/>
            </w:pPr>
            <w:r>
              <w:rPr>
                <w:color w:val="000000"/>
                <w:sz w:val="24"/>
              </w:rPr>
              <w:t>0.38</w:t>
            </w:r>
          </w:p>
        </w:tc>
      </w:tr>
      <w:tr w:rsidR="007A7182">
        <w:trPr>
          <w:jc w:val="center"/>
        </w:trPr>
        <w:tc>
          <w:tcPr>
            <w:tcW w:w="1302" w:type="dxa"/>
            <w:vAlign w:val="center"/>
          </w:tcPr>
          <w:p w:rsidR="007A7182" w:rsidRDefault="001B0EEA">
            <w:pPr>
              <w:jc w:val="center"/>
            </w:pPr>
            <w:r>
              <w:rPr>
                <w:color w:val="000000"/>
                <w:sz w:val="24"/>
              </w:rPr>
              <w:t>2</w:t>
            </w:r>
          </w:p>
        </w:tc>
        <w:tc>
          <w:tcPr>
            <w:tcW w:w="1362" w:type="dxa"/>
            <w:vAlign w:val="center"/>
          </w:tcPr>
          <w:p w:rsidR="007A7182" w:rsidRDefault="001B0EEA">
            <w:pPr>
              <w:jc w:val="center"/>
            </w:pPr>
            <w:r>
              <w:rPr>
                <w:color w:val="000000"/>
                <w:sz w:val="24"/>
              </w:rPr>
              <w:t>123092</w:t>
            </w:r>
          </w:p>
        </w:tc>
        <w:tc>
          <w:tcPr>
            <w:tcW w:w="1333" w:type="dxa"/>
            <w:vAlign w:val="center"/>
          </w:tcPr>
          <w:p w:rsidR="007A7182" w:rsidRDefault="001B0EEA">
            <w:pPr>
              <w:jc w:val="center"/>
            </w:pPr>
            <w:r>
              <w:rPr>
                <w:color w:val="000000"/>
                <w:sz w:val="24"/>
              </w:rPr>
              <w:t>天壕转债</w:t>
            </w:r>
          </w:p>
        </w:tc>
        <w:tc>
          <w:tcPr>
            <w:tcW w:w="1483" w:type="dxa"/>
            <w:vAlign w:val="center"/>
          </w:tcPr>
          <w:p w:rsidR="007A7182" w:rsidRDefault="001B0EEA">
            <w:pPr>
              <w:jc w:val="right"/>
            </w:pPr>
            <w:r>
              <w:rPr>
                <w:color w:val="000000"/>
                <w:sz w:val="24"/>
              </w:rPr>
              <w:t>2,686</w:t>
            </w:r>
          </w:p>
        </w:tc>
        <w:tc>
          <w:tcPr>
            <w:tcW w:w="1712" w:type="dxa"/>
            <w:vAlign w:val="center"/>
          </w:tcPr>
          <w:p w:rsidR="007A7182" w:rsidRDefault="001B0EEA">
            <w:pPr>
              <w:jc w:val="right"/>
            </w:pPr>
            <w:r>
              <w:rPr>
                <w:color w:val="000000"/>
                <w:sz w:val="24"/>
              </w:rPr>
              <w:t>268,600.00</w:t>
            </w:r>
          </w:p>
        </w:tc>
        <w:tc>
          <w:tcPr>
            <w:tcW w:w="1676" w:type="dxa"/>
            <w:vAlign w:val="center"/>
          </w:tcPr>
          <w:p w:rsidR="007A7182" w:rsidRDefault="001B0EEA">
            <w:pPr>
              <w:jc w:val="right"/>
            </w:pPr>
            <w:r>
              <w:rPr>
                <w:color w:val="000000"/>
                <w:sz w:val="24"/>
              </w:rPr>
              <w:t>0.17</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EC36C5" w:rsidRDefault="008119CB" w:rsidP="00806B3B">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R="00220542" w:rsidRPr="00EC36C5" w:rsidRDefault="004C5189" w:rsidP="0099526C">
      <w:pPr>
        <w:autoSpaceDE w:val="0"/>
        <w:autoSpaceDN w:val="0"/>
        <w:adjustRightInd w:val="0"/>
        <w:spacing w:before="29" w:line="288" w:lineRule="auto"/>
        <w:jc w:val="left"/>
        <w:rPr>
          <w:b/>
          <w:color w:val="000000"/>
          <w:kern w:val="0"/>
          <w:sz w:val="24"/>
        </w:rPr>
      </w:pPr>
      <w:r w:rsidRPr="00EC36C5">
        <w:rPr>
          <w:b/>
          <w:color w:val="000000"/>
          <w:kern w:val="0"/>
          <w:sz w:val="24"/>
        </w:rPr>
        <w:t>5.11.3</w:t>
      </w:r>
      <w:r w:rsidR="00D57792">
        <w:rPr>
          <w:b/>
          <w:color w:val="000000"/>
          <w:kern w:val="0"/>
          <w:sz w:val="24"/>
        </w:rPr>
        <w:t xml:space="preserve"> </w:t>
      </w:r>
      <w:r w:rsidR="00220542" w:rsidRPr="00EC36C5">
        <w:rPr>
          <w:b/>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33,305.98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2,933.37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1,226,354.34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1,262,593.69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7A7182">
        <w:trPr>
          <w:jc w:val="center"/>
        </w:trPr>
        <w:tc>
          <w:tcPr>
            <w:tcW w:w="1129" w:type="dxa"/>
            <w:vAlign w:val="center"/>
          </w:tcPr>
          <w:p w:rsidR="007A7182" w:rsidRDefault="001B0EEA">
            <w:pPr>
              <w:jc w:val="center"/>
            </w:pPr>
            <w:r>
              <w:rPr>
                <w:color w:val="000000"/>
                <w:sz w:val="24"/>
              </w:rPr>
              <w:t>1</w:t>
            </w:r>
          </w:p>
        </w:tc>
        <w:tc>
          <w:tcPr>
            <w:tcW w:w="1356" w:type="dxa"/>
            <w:vAlign w:val="center"/>
          </w:tcPr>
          <w:p w:rsidR="007A7182" w:rsidRDefault="001B0EEA">
            <w:pPr>
              <w:jc w:val="center"/>
            </w:pPr>
            <w:r>
              <w:rPr>
                <w:color w:val="000000"/>
                <w:sz w:val="24"/>
              </w:rPr>
              <w:t>300422</w:t>
            </w:r>
          </w:p>
        </w:tc>
        <w:tc>
          <w:tcPr>
            <w:tcW w:w="1355" w:type="dxa"/>
            <w:vAlign w:val="center"/>
          </w:tcPr>
          <w:p w:rsidR="007A7182" w:rsidRDefault="001B0EEA">
            <w:pPr>
              <w:jc w:val="center"/>
            </w:pPr>
            <w:r>
              <w:rPr>
                <w:color w:val="000000"/>
                <w:sz w:val="24"/>
              </w:rPr>
              <w:t>博世科</w:t>
            </w:r>
          </w:p>
        </w:tc>
        <w:tc>
          <w:tcPr>
            <w:tcW w:w="1880" w:type="dxa"/>
            <w:vAlign w:val="center"/>
          </w:tcPr>
          <w:p w:rsidR="007A7182" w:rsidRDefault="001B0EEA">
            <w:pPr>
              <w:jc w:val="right"/>
            </w:pPr>
            <w:r>
              <w:rPr>
                <w:color w:val="000000"/>
                <w:sz w:val="24"/>
              </w:rPr>
              <w:t>3,082,308.00</w:t>
            </w:r>
          </w:p>
        </w:tc>
        <w:tc>
          <w:tcPr>
            <w:tcW w:w="1724" w:type="dxa"/>
            <w:vAlign w:val="center"/>
          </w:tcPr>
          <w:p w:rsidR="007A7182" w:rsidRDefault="001B0EEA">
            <w:pPr>
              <w:jc w:val="right"/>
            </w:pPr>
            <w:r>
              <w:rPr>
                <w:color w:val="000000"/>
                <w:sz w:val="24"/>
              </w:rPr>
              <w:t>1.98</w:t>
            </w:r>
          </w:p>
        </w:tc>
        <w:tc>
          <w:tcPr>
            <w:tcW w:w="1424" w:type="dxa"/>
            <w:vAlign w:val="center"/>
          </w:tcPr>
          <w:p w:rsidR="007A7182" w:rsidRDefault="001B0EEA">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lastRenderedPageBreak/>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261,238,634.61</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131,304,778.67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75,048,834.82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317,494,578.46</w:t>
            </w:r>
          </w:p>
        </w:tc>
      </w:tr>
    </w:tbl>
    <w:p w:rsidR="007A7182" w:rsidRDefault="001B0E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23.95</w:t>
            </w:r>
          </w:p>
        </w:tc>
      </w:tr>
    </w:tbl>
    <w:p w:rsidR="007A7182" w:rsidRDefault="001B0EE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A7182">
        <w:tc>
          <w:tcPr>
            <w:tcW w:w="992" w:type="dxa"/>
            <w:vMerge w:val="restart"/>
          </w:tcPr>
          <w:p w:rsidR="007A7182" w:rsidRDefault="007A7182"/>
          <w:p w:rsidR="007A7182" w:rsidRDefault="001B0EEA">
            <w:r>
              <w:rPr>
                <w:rFonts w:ascii="宋体" w:hAnsi="宋体" w:hint="eastAsia"/>
                <w:bCs/>
                <w:color w:val="000000"/>
                <w:kern w:val="0"/>
                <w:szCs w:val="21"/>
              </w:rPr>
              <w:t>机构</w:t>
            </w:r>
          </w:p>
        </w:tc>
        <w:tc>
          <w:tcPr>
            <w:tcW w:w="991" w:type="dxa"/>
            <w:vAlign w:val="center"/>
          </w:tcPr>
          <w:p w:rsidR="007A7182" w:rsidRDefault="001B0EEA">
            <w:pPr>
              <w:jc w:val="center"/>
            </w:pPr>
            <w:r>
              <w:rPr>
                <w:rFonts w:ascii="宋体" w:hAnsi="宋体" w:hint="eastAsia"/>
                <w:color w:val="000000"/>
                <w:kern w:val="0"/>
                <w:szCs w:val="21"/>
              </w:rPr>
              <w:t>1</w:t>
            </w:r>
          </w:p>
        </w:tc>
        <w:tc>
          <w:tcPr>
            <w:tcW w:w="1843" w:type="dxa"/>
            <w:vAlign w:val="center"/>
          </w:tcPr>
          <w:p w:rsidR="007A7182" w:rsidRDefault="001B0EEA">
            <w:pPr>
              <w:jc w:val="center"/>
            </w:pPr>
            <w:r>
              <w:rPr>
                <w:rFonts w:ascii="宋体" w:hAnsi="宋体" w:hint="eastAsia"/>
                <w:color w:val="000000"/>
                <w:kern w:val="0"/>
                <w:szCs w:val="21"/>
              </w:rPr>
              <w:t>2020/10/1-2020/12/31</w:t>
            </w:r>
          </w:p>
        </w:tc>
        <w:tc>
          <w:tcPr>
            <w:tcW w:w="851" w:type="dxa"/>
            <w:vAlign w:val="center"/>
          </w:tcPr>
          <w:p w:rsidR="007A7182" w:rsidRDefault="001B0EEA">
            <w:pPr>
              <w:jc w:val="center"/>
            </w:pPr>
            <w:r>
              <w:rPr>
                <w:rFonts w:ascii="宋体" w:hAnsi="宋体" w:hint="eastAsia"/>
                <w:color w:val="000000"/>
                <w:kern w:val="0"/>
                <w:szCs w:val="21"/>
              </w:rPr>
              <w:t>76,052,590.58</w:t>
            </w:r>
          </w:p>
        </w:tc>
        <w:tc>
          <w:tcPr>
            <w:tcW w:w="850" w:type="dxa"/>
            <w:vAlign w:val="center"/>
          </w:tcPr>
          <w:p w:rsidR="007A7182" w:rsidRDefault="001B0EEA">
            <w:pPr>
              <w:jc w:val="center"/>
            </w:pPr>
            <w:r>
              <w:rPr>
                <w:rFonts w:ascii="宋体" w:hAnsi="宋体" w:hint="eastAsia"/>
                <w:color w:val="000000"/>
                <w:kern w:val="0"/>
                <w:szCs w:val="21"/>
              </w:rPr>
              <w:t>-</w:t>
            </w:r>
          </w:p>
        </w:tc>
        <w:tc>
          <w:tcPr>
            <w:tcW w:w="1134" w:type="dxa"/>
            <w:vAlign w:val="center"/>
          </w:tcPr>
          <w:p w:rsidR="007A7182" w:rsidRDefault="001B0EEA">
            <w:pPr>
              <w:jc w:val="center"/>
            </w:pPr>
            <w:r>
              <w:rPr>
                <w:rFonts w:ascii="宋体" w:hAnsi="宋体" w:hint="eastAsia"/>
                <w:color w:val="000000"/>
                <w:kern w:val="0"/>
                <w:szCs w:val="21"/>
              </w:rPr>
              <w:t>-</w:t>
            </w:r>
          </w:p>
        </w:tc>
        <w:tc>
          <w:tcPr>
            <w:tcW w:w="1419" w:type="dxa"/>
            <w:vAlign w:val="center"/>
          </w:tcPr>
          <w:p w:rsidR="007A7182" w:rsidRDefault="001B0EEA">
            <w:pPr>
              <w:jc w:val="center"/>
            </w:pPr>
            <w:r>
              <w:rPr>
                <w:rFonts w:ascii="宋体" w:hAnsi="宋体" w:hint="eastAsia"/>
                <w:color w:val="000000"/>
                <w:kern w:val="0"/>
                <w:szCs w:val="21"/>
              </w:rPr>
              <w:t>76,052,590.58</w:t>
            </w:r>
          </w:p>
        </w:tc>
        <w:tc>
          <w:tcPr>
            <w:tcW w:w="1130" w:type="dxa"/>
            <w:vAlign w:val="center"/>
          </w:tcPr>
          <w:p w:rsidR="007A7182" w:rsidRDefault="001B0EEA">
            <w:pPr>
              <w:jc w:val="center"/>
            </w:pPr>
            <w:r>
              <w:rPr>
                <w:rFonts w:ascii="宋体" w:hAnsi="宋体" w:hint="eastAsia"/>
                <w:color w:val="000000"/>
                <w:kern w:val="0"/>
                <w:szCs w:val="21"/>
              </w:rPr>
              <w:t>23.95%</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7A7182" w:rsidRDefault="001B0EEA">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7A7182" w:rsidRDefault="001B0EEA">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7A7182" w:rsidRDefault="001B0EEA">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7A7182" w:rsidRDefault="001B0EEA">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7A7182" w:rsidRDefault="001B0EEA">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7A7182" w:rsidRDefault="001B0EEA">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7A7182" w:rsidRDefault="001B0EEA">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7A7182" w:rsidRDefault="001B0EEA">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7A7182" w:rsidRDefault="001B0EEA">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7A7182" w:rsidRDefault="001B0EEA">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w:t>
      </w:r>
      <w:r>
        <w:rPr>
          <w:color w:val="000000"/>
          <w:sz w:val="24"/>
        </w:rPr>
        <w:lastRenderedPageBreak/>
        <w:t>书；</w:t>
      </w:r>
    </w:p>
    <w:p w:rsidR="007A7182" w:rsidRDefault="001B0EEA">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7A7182" w:rsidRDefault="001B0EE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AA" w:rsidRDefault="00993BAA">
      <w:r>
        <w:separator/>
      </w:r>
    </w:p>
  </w:endnote>
  <w:endnote w:type="continuationSeparator" w:id="0">
    <w:p w:rsidR="00993BAA" w:rsidRDefault="0099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CF66CD">
      <w:rPr>
        <w:noProof/>
        <w:kern w:val="0"/>
        <w:szCs w:val="21"/>
      </w:rPr>
      <w:t>2</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CF66CD">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AA" w:rsidRDefault="00993BAA">
      <w:r>
        <w:separator/>
      </w:r>
    </w:p>
  </w:footnote>
  <w:footnote w:type="continuationSeparator" w:id="0">
    <w:p w:rsidR="00993BAA" w:rsidRDefault="00993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0EE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A7182"/>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3BAA"/>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6CD"/>
    <w:rsid w:val="00CF6AF1"/>
    <w:rsid w:val="00D03538"/>
    <w:rsid w:val="00D049B8"/>
    <w:rsid w:val="00D04C1C"/>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1287</Words>
  <Characters>7339</Characters>
  <Application>Microsoft Office Word</Application>
  <DocSecurity>0</DocSecurity>
  <Lines>61</Lines>
  <Paragraphs>17</Paragraphs>
  <ScaleCrop>false</ScaleCrop>
  <Company>TRT. Ltd. Co.</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418</cp:revision>
  <cp:lastPrinted>2007-07-19T00:46:00Z</cp:lastPrinted>
  <dcterms:created xsi:type="dcterms:W3CDTF">2012-11-21T04:46:00Z</dcterms:created>
  <dcterms:modified xsi:type="dcterms:W3CDTF">2021-01-18T08:51:00Z</dcterms:modified>
</cp:coreProperties>
</file>