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交银施罗德天益宝货币市场基金</w:t>
      </w:r>
    </w:p>
    <w:p w:rsidP="00281564" w:rsidR="00B60E27" w:rsidRDefault="00B60E27" w:rsidRPr="001E1B20">
      <w:pPr>
        <w:spacing w:before="29" w:line="288" w:lineRule="auto"/>
        <w:jc w:val="center"/>
        <w:rPr>
          <w:b/>
          <w:sz w:val="36"/>
          <w:szCs w:val="36"/>
        </w:rPr>
      </w:pPr>
      <w:r w:rsidRPr="001E1B20">
        <w:rPr>
          <w:b/>
          <w:sz w:val="36"/>
          <w:szCs w:val="36"/>
        </w:rPr>
        <w:t>2020年第4季度报告</w:t>
      </w:r>
    </w:p>
    <w:p w:rsidP="00281564" w:rsidR="002B45A4" w:rsidRDefault="00D87D00" w:rsidRPr="001E1B20">
      <w:pPr>
        <w:spacing w:before="29" w:line="288" w:lineRule="auto"/>
        <w:jc w:val="center"/>
        <w:rPr>
          <w:b/>
          <w:sz w:val="36"/>
          <w:szCs w:val="36"/>
        </w:rPr>
      </w:pPr>
      <w:r w:rsidRPr="001E1B20">
        <w:rPr>
          <w:b/>
          <w:sz w:val="36"/>
          <w:szCs w:val="36"/>
        </w:rPr>
        <w:t>2020年12月31日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中国工商银行股份有限公司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二〇二一年一月二十一日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基金托管人中国工商银行股份有限公司根据本基金合同规定，于2021年1月20日复核了本报告中的财务指标、净值表现和投资组合报告等内容，保证复核内容不存在虚假记载、误导性陈述或者重大遗漏。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本报告期自2020年10月1日起至12月31日止。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2016年12月20日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10,552,618,596.82</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交银天益宝货币A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交银天益宝货币E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003968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003969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39,963,756.00</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10,512,654,840.82</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(2020年10月1日-2020年12月31日)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交银天益宝货币A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交银天益宝货币E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359,584.26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75,076,879.87</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359,584.26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75,076,879.87</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39,963,756.00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10,512,654,840.82</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交银天益宝货币A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0.6209%</w:t>
            </w:r>
          </w:p>
        </w:tc>
        <w:tc>
          <w:tcPr>
            <w:vAlign w:val="center"/>
          </w:tcPr>
          <w:p>
            <w:pPr>
              <w:jc w:val="center"/>
            </w:pPr>
            <w:r>
              <w:rPr>
                <w:rFonts w:ascii="Times New Roman" w:hAnsi="Times New Roman"/>
                <w:color w:val="000000"/>
              </w:rPr>
              <w:t>0.0007%</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0.5327%</w:t>
            </w:r>
          </w:p>
        </w:tc>
        <w:tc>
          <w:tcPr>
            <w:vAlign w:val="center"/>
          </w:tcPr>
          <w:p>
            <w:pPr>
              <w:jc w:val="center"/>
            </w:pPr>
            <w:r>
              <w:rPr>
                <w:rFonts w:ascii="Times New Roman" w:hAnsi="Times New Roman"/>
                <w:color w:val="000000"/>
              </w:rPr>
              <w:t>0.0007%</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1.1191%</w:t>
            </w:r>
          </w:p>
        </w:tc>
        <w:tc>
          <w:tcPr>
            <w:vAlign w:val="center"/>
          </w:tcPr>
          <w:p>
            <w:pPr>
              <w:jc w:val="center"/>
            </w:pPr>
            <w:r>
              <w:rPr>
                <w:rFonts w:ascii="Times New Roman" w:hAnsi="Times New Roman"/>
                <w:color w:val="000000"/>
              </w:rPr>
              <w:t>0.0020%</w:t>
            </w:r>
          </w:p>
        </w:tc>
        <w:tc>
          <w:tcPr>
            <w:vAlign w:val="center"/>
          </w:tcPr>
          <w:p>
            <w:pPr>
              <w:jc w:val="center"/>
            </w:pPr>
            <w:r>
              <w:rPr>
                <w:rFonts w:ascii="Times New Roman" w:hAnsi="Times New Roman"/>
                <w:color w:val="000000"/>
              </w:rPr>
              <w:t>0.1764%</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0.9427%</w:t>
            </w:r>
          </w:p>
        </w:tc>
        <w:tc>
          <w:tcPr>
            <w:vAlign w:val="center"/>
          </w:tcPr>
          <w:p>
            <w:pPr>
              <w:jc w:val="center"/>
            </w:pPr>
            <w:r>
              <w:rPr>
                <w:rFonts w:ascii="Times New Roman" w:hAnsi="Times New Roman"/>
                <w:color w:val="000000"/>
              </w:rPr>
              <w:t>0.0020%</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2.1524%</w:t>
            </w:r>
          </w:p>
        </w:tc>
        <w:tc>
          <w:tcPr>
            <w:vAlign w:val="center"/>
          </w:tcPr>
          <w:p>
            <w:pPr>
              <w:jc w:val="center"/>
            </w:pPr>
            <w:r>
              <w:rPr>
                <w:rFonts w:ascii="Times New Roman" w:hAnsi="Times New Roman"/>
                <w:color w:val="000000"/>
              </w:rPr>
              <w:t>0.0018%</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1.8014%</w:t>
            </w:r>
          </w:p>
        </w:tc>
        <w:tc>
          <w:tcPr>
            <w:vAlign w:val="center"/>
          </w:tcPr>
          <w:p>
            <w:pPr>
              <w:jc w:val="center"/>
            </w:pPr>
            <w:r>
              <w:rPr>
                <w:rFonts w:ascii="Times New Roman" w:hAnsi="Times New Roman"/>
                <w:color w:val="000000"/>
              </w:rPr>
              <w:t>0.0018%</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8.3043%</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7.2533%</w:t>
            </w:r>
          </w:p>
        </w:tc>
        <w:tc>
          <w:tcPr>
            <w:vAlign w:val="center"/>
          </w:tcPr>
          <w:p>
            <w:pPr>
              <w:jc w:val="center"/>
            </w:pPr>
            <w:r>
              <w:rPr>
                <w:rFonts w:ascii="Times New Roman" w:hAnsi="Times New Roman"/>
                <w:color w:val="000000"/>
              </w:rPr>
              <w:t>0.0024%</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12.7668%</w:t>
            </w:r>
          </w:p>
        </w:tc>
        <w:tc>
          <w:tcPr>
            <w:vAlign w:val="center"/>
          </w:tcPr>
          <w:p>
            <w:pPr>
              <w:jc w:val="center"/>
            </w:pPr>
            <w:r>
              <w:rPr>
                <w:rFonts w:ascii="Times New Roman" w:hAnsi="Times New Roman"/>
                <w:color w:val="000000"/>
              </w:rPr>
              <w:t>0.0026%</w:t>
            </w:r>
          </w:p>
        </w:tc>
        <w:tc>
          <w:tcPr>
            <w:vAlign w:val="center"/>
          </w:tcPr>
          <w:p>
            <w:pPr>
              <w:jc w:val="center"/>
            </w:pPr>
            <w:r>
              <w:rPr>
                <w:rFonts w:ascii="Times New Roman" w:hAnsi="Times New Roman"/>
                <w:color w:val="000000"/>
              </w:rPr>
              <w:t>1.4125%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11.3543%</w:t>
            </w:r>
          </w:p>
        </w:tc>
        <w:tc>
          <w:tcPr>
            <w:vAlign w:val="center"/>
          </w:tcPr>
          <w:p>
            <w:pPr>
              <w:jc w:val="center"/>
            </w:pPr>
            <w:r>
              <w:rPr>
                <w:rFonts w:ascii="Times New Roman" w:hAnsi="Times New Roman"/>
                <w:color w:val="000000"/>
              </w:rPr>
              <w:t>0.0026%</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交银天益宝货币E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0.6822%</w:t>
            </w:r>
          </w:p>
        </w:tc>
        <w:tc>
          <w:tcPr>
            <w:vAlign w:val="center"/>
          </w:tcPr>
          <w:p>
            <w:pPr>
              <w:jc w:val="center"/>
            </w:pPr>
            <w:r>
              <w:rPr>
                <w:rFonts w:ascii="Times New Roman" w:hAnsi="Times New Roman"/>
                <w:color w:val="000000"/>
              </w:rPr>
              <w:t>0.0007%</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0.5940%</w:t>
            </w:r>
          </w:p>
        </w:tc>
        <w:tc>
          <w:tcPr>
            <w:vAlign w:val="center"/>
          </w:tcPr>
          <w:p>
            <w:pPr>
              <w:jc w:val="center"/>
            </w:pPr>
            <w:r>
              <w:rPr>
                <w:rFonts w:ascii="Times New Roman" w:hAnsi="Times New Roman"/>
                <w:color w:val="000000"/>
              </w:rPr>
              <w:t>0.0007%</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1.2407%</w:t>
            </w:r>
          </w:p>
        </w:tc>
        <w:tc>
          <w:tcPr>
            <w:vAlign w:val="center"/>
          </w:tcPr>
          <w:p>
            <w:pPr>
              <w:jc w:val="center"/>
            </w:pPr>
            <w:r>
              <w:rPr>
                <w:rFonts w:ascii="Times New Roman" w:hAnsi="Times New Roman"/>
                <w:color w:val="000000"/>
              </w:rPr>
              <w:t>0.0020%</w:t>
            </w:r>
          </w:p>
        </w:tc>
        <w:tc>
          <w:tcPr>
            <w:vAlign w:val="center"/>
          </w:tcPr>
          <w:p>
            <w:pPr>
              <w:jc w:val="center"/>
            </w:pPr>
            <w:r>
              <w:rPr>
                <w:rFonts w:ascii="Times New Roman" w:hAnsi="Times New Roman"/>
                <w:color w:val="000000"/>
              </w:rPr>
              <w:t>0.1764%</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1.0643%</w:t>
            </w:r>
          </w:p>
        </w:tc>
        <w:tc>
          <w:tcPr>
            <w:vAlign w:val="center"/>
          </w:tcPr>
          <w:p>
            <w:pPr>
              <w:jc w:val="center"/>
            </w:pPr>
            <w:r>
              <w:rPr>
                <w:rFonts w:ascii="Times New Roman" w:hAnsi="Times New Roman"/>
                <w:color w:val="000000"/>
              </w:rPr>
              <w:t>0.0020%</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2.3973%</w:t>
            </w:r>
          </w:p>
        </w:tc>
        <w:tc>
          <w:tcPr>
            <w:vAlign w:val="center"/>
          </w:tcPr>
          <w:p>
            <w:pPr>
              <w:jc w:val="center"/>
            </w:pPr>
            <w:r>
              <w:rPr>
                <w:rFonts w:ascii="Times New Roman" w:hAnsi="Times New Roman"/>
                <w:color w:val="000000"/>
              </w:rPr>
              <w:t>0.0018%</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2.0463%</w:t>
            </w:r>
          </w:p>
        </w:tc>
        <w:tc>
          <w:tcPr>
            <w:vAlign w:val="center"/>
          </w:tcPr>
          <w:p>
            <w:pPr>
              <w:jc w:val="center"/>
            </w:pPr>
            <w:r>
              <w:rPr>
                <w:rFonts w:ascii="Times New Roman" w:hAnsi="Times New Roman"/>
                <w:color w:val="000000"/>
              </w:rPr>
              <w:t>0.0018%</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9.0929%</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8.0419%</w:t>
            </w:r>
          </w:p>
        </w:tc>
        <w:tc>
          <w:tcPr>
            <w:vAlign w:val="center"/>
          </w:tcPr>
          <w:p>
            <w:pPr>
              <w:jc w:val="center"/>
            </w:pPr>
            <w:r>
              <w:rPr>
                <w:rFonts w:ascii="Times New Roman" w:hAnsi="Times New Roman"/>
                <w:color w:val="000000"/>
              </w:rPr>
              <w:t>0.0024%</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13.8659%</w:t>
            </w:r>
          </w:p>
        </w:tc>
        <w:tc>
          <w:tcPr>
            <w:vAlign w:val="center"/>
          </w:tcPr>
          <w:p>
            <w:pPr>
              <w:jc w:val="center"/>
            </w:pPr>
            <w:r>
              <w:rPr>
                <w:rFonts w:ascii="Times New Roman" w:hAnsi="Times New Roman"/>
                <w:color w:val="000000"/>
              </w:rPr>
              <w:t>0.0027%</w:t>
            </w:r>
          </w:p>
        </w:tc>
        <w:tc>
          <w:tcPr>
            <w:vAlign w:val="center"/>
          </w:tcPr>
          <w:p>
            <w:pPr>
              <w:jc w:val="center"/>
            </w:pPr>
            <w:r>
              <w:rPr>
                <w:rFonts w:ascii="Times New Roman" w:hAnsi="Times New Roman"/>
                <w:color w:val="000000"/>
              </w:rPr>
              <w:t>1.4125%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12.4534%</w:t>
            </w:r>
          </w:p>
        </w:tc>
        <w:tc>
          <w:tcPr>
            <w:vAlign w:val="center"/>
          </w:tcPr>
          <w:p>
            <w:pPr>
              <w:jc w:val="center"/>
            </w:pPr>
            <w:r>
              <w:rPr>
                <w:rFonts w:ascii="Times New Roman" w:hAnsi="Times New Roman"/>
                <w:color w:val="000000"/>
              </w:rPr>
              <w:t>0.0027%</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交银施罗德天益宝货币市场基金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2016年12月20日</w:t>
      </w:r>
      <w:r w:rsidR="00A7219D" w:rsidRPr="000E4C40">
        <w:rPr>
          <w:rFonts w:hAnsi="宋体"/>
          <w:color w:val="000000"/>
          <w:kern w:val="0"/>
          <w:sz w:val="24"/>
        </w:rPr>
        <w:t>至</w:t>
      </w:r>
      <w:r w:rsidR="00A7219D" w:rsidRPr="000E4C40">
        <w:rPr>
          <w:color w:val="000000"/>
          <w:kern w:val="0"/>
          <w:sz w:val="24"/>
        </w:rPr>
        <w:t>2020年12月31日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交银天益宝货币A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交银天益宝货币E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先在经济数据透露出“结构隐忧”和四季度供需结构优化的双重作用下，小幅下行。之后央行重提总闸门引发货币政策进一步收紧的预期，叠加部分信用债违约风险事件，信用债和短久期利率债经历了大幅下跌。11月下旬随着央行超预期投放流动性，经济工作会议精神明确不会“急转弯”，债券市场在配置力量带动下，收益率转而下行。</w:t>
      </w:r>
    </w:p>
    <w:p>
      <w:pPr>
        <w:spacing w:before="29" w:line="288" w:lineRule="auto"/>
        <w:ind w:firstLine="480" w:firstLineChars="200"/>
        <w:rPr>
          <w:color w:val="000000"/>
          <w:sz w:val="24"/>
        </w:rPr>
      </w:pPr>
      <w:r>
        <w:rPr>
          <w:color w:val="000000"/>
          <w:sz w:val="24"/>
        </w:rPr>
        <w:t>由于央行MLF的超额投放和年底大量的跨年公开市场操作，资金面年底前呈现宽松态势，股份制存款存单收益率也在11月底最高达到3.2%附近见顶后，出现明显的下行，年底下至2.6%附近。</w:t>
      </w:r>
    </w:p>
    <w:p>
      <w:pPr>
        <w:spacing w:before="29" w:line="288" w:lineRule="auto"/>
        <w:ind w:firstLine="480" w:firstLineChars="200"/>
        <w:rPr>
          <w:color w:val="000000"/>
          <w:sz w:val="24"/>
        </w:rPr>
      </w:pPr>
      <w:r>
        <w:rPr>
          <w:color w:val="000000"/>
          <w:sz w:val="24"/>
        </w:rPr>
        <w:t>基金操作方面，11月下旬到年末时点货币市场工具收益率具有较好的配置价值，我们视组合流动性和市场情况，增配了高评级的同业存单、同业存款等，提高了组合静态收益，同时在短期资金价格较低的情况下适当运用杠杆增厚组合收益。</w:t>
      </w:r>
    </w:p>
    <w:p w:rsidP="00281564" w:rsidR="00C4627A" w:rsidRDefault="00C4627A" w:rsidRPr="000E4C40">
      <w:pPr>
        <w:spacing w:before="29" w:line="288" w:lineRule="auto"/>
        <w:ind w:firstLine="480" w:firstLineChars="200"/>
        <w:rPr>
          <w:color w:val="000000"/>
          <w:sz w:val="24"/>
        </w:rPr>
      </w:pPr>
      <w:r w:rsidRPr="000E4C40">
        <w:rPr>
          <w:color w:val="000000"/>
          <w:sz w:val="24"/>
        </w:rPr>
        <w:t>展望2021年一季度，基本面延续边际改善趋势，债市核心交易要素还是资金面，在央行流动性呵护下此前超调的短债、中高等级信用债近期表现较好，需要关注通胀是否超预期上行从而引致货币政策的边际收紧。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4,611,501,904.99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38.55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4,411,501,904.99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36.88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200,000,000.00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1.67</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4,086,682,690.03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34.16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3,200,484,882.68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26.75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63,583,057.14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0.53</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11,962,252,534.84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11.64</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1,406,147,896.83</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13.33</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28</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45.17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13.33</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17.88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27.23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5.65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16.83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112.76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13.33</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569,943,079.71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5.40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569,943,079.71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5.40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300,204,842.61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2.84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3,541,353,982.67</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33.56</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4,411,501,904.99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41.80</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112076426</w:t>
            </w:r>
          </w:p>
        </w:tc>
        <w:tc>
          <w:tcPr>
            <w:vAlign w:val="center"/>
          </w:tcPr>
          <w:p>
            <w:pPr>
              <w:jc w:val="center"/>
            </w:pPr>
            <w:r>
              <w:rPr>
                <w:color w:val="000000"/>
                <w:sz w:val="24"/>
              </w:rPr>
              <w:t>20长沙银行CD220</w:t>
            </w:r>
          </w:p>
        </w:tc>
        <w:tc>
          <w:tcPr>
            <w:vAlign w:val="center"/>
          </w:tcPr>
          <w:p>
            <w:pPr>
              <w:jc w:val="right"/>
            </w:pPr>
            <w:r>
              <w:rPr>
                <w:color w:val="000000"/>
                <w:sz w:val="24"/>
              </w:rPr>
              <w:t>4,000,000</w:t>
            </w:r>
          </w:p>
        </w:tc>
        <w:tc>
          <w:tcPr>
            <w:vAlign w:val="center"/>
          </w:tcPr>
          <w:p>
            <w:pPr>
              <w:jc w:val="right"/>
            </w:pPr>
            <w:r>
              <w:rPr>
                <w:color w:val="000000"/>
                <w:sz w:val="24"/>
              </w:rPr>
              <w:t>397,335,833.43</w:t>
            </w:r>
          </w:p>
        </w:tc>
        <w:tc>
          <w:tcPr>
            <w:vAlign w:val="center"/>
          </w:tcPr>
          <w:p>
            <w:pPr>
              <w:jc w:val="right"/>
            </w:pPr>
            <w:r>
              <w:rPr>
                <w:color w:val="000000"/>
                <w:sz w:val="24"/>
              </w:rPr>
              <w:t>3.77</w:t>
            </w:r>
          </w:p>
        </w:tc>
      </w:tr>
      <w:tr>
        <w:tc>
          <w:tcPr>
            <w:vAlign w:val="center"/>
          </w:tcPr>
          <w:p>
            <w:pPr>
              <w:jc w:val="center"/>
            </w:pPr>
            <w:r>
              <w:rPr>
                <w:color w:val="000000"/>
                <w:sz w:val="24"/>
              </w:rPr>
              <w:t>2</w:t>
            </w:r>
          </w:p>
        </w:tc>
        <w:tc>
          <w:tcPr>
            <w:vAlign w:val="center"/>
          </w:tcPr>
          <w:p>
            <w:pPr>
              <w:jc w:val="center"/>
            </w:pPr>
            <w:r>
              <w:rPr>
                <w:color w:val="000000"/>
                <w:sz w:val="24"/>
              </w:rPr>
              <w:t>072000290</w:t>
            </w:r>
          </w:p>
        </w:tc>
        <w:tc>
          <w:tcPr>
            <w:vAlign w:val="center"/>
          </w:tcPr>
          <w:p>
            <w:pPr>
              <w:jc w:val="center"/>
            </w:pPr>
            <w:r>
              <w:rPr>
                <w:color w:val="000000"/>
                <w:sz w:val="24"/>
              </w:rPr>
              <w:t>20华泰证券CP010</w:t>
            </w:r>
          </w:p>
        </w:tc>
        <w:tc>
          <w:tcPr>
            <w:vAlign w:val="center"/>
          </w:tcPr>
          <w:p>
            <w:pPr>
              <w:jc w:val="right"/>
            </w:pPr>
            <w:r>
              <w:rPr>
                <w:color w:val="000000"/>
                <w:sz w:val="24"/>
              </w:rPr>
              <w:t>3,000,000</w:t>
            </w:r>
          </w:p>
        </w:tc>
        <w:tc>
          <w:tcPr>
            <w:vAlign w:val="center"/>
          </w:tcPr>
          <w:p>
            <w:pPr>
              <w:jc w:val="right"/>
            </w:pPr>
            <w:r>
              <w:rPr>
                <w:color w:val="000000"/>
                <w:sz w:val="24"/>
              </w:rPr>
              <w:t>300,204,842.61</w:t>
            </w:r>
          </w:p>
        </w:tc>
        <w:tc>
          <w:tcPr>
            <w:vAlign w:val="center"/>
          </w:tcPr>
          <w:p>
            <w:pPr>
              <w:jc w:val="right"/>
            </w:pPr>
            <w:r>
              <w:rPr>
                <w:color w:val="000000"/>
                <w:sz w:val="24"/>
              </w:rPr>
              <w:t>2.84</w:t>
            </w:r>
          </w:p>
        </w:tc>
      </w:tr>
      <w:tr>
        <w:tc>
          <w:tcPr>
            <w:vAlign w:val="center"/>
          </w:tcPr>
          <w:p>
            <w:pPr>
              <w:jc w:val="center"/>
            </w:pPr>
            <w:r>
              <w:rPr>
                <w:color w:val="000000"/>
                <w:sz w:val="24"/>
              </w:rPr>
              <w:t>3</w:t>
            </w:r>
          </w:p>
        </w:tc>
        <w:tc>
          <w:tcPr>
            <w:vAlign w:val="center"/>
          </w:tcPr>
          <w:p>
            <w:pPr>
              <w:jc w:val="center"/>
            </w:pPr>
            <w:r>
              <w:rPr>
                <w:color w:val="000000"/>
                <w:sz w:val="24"/>
              </w:rPr>
              <w:t>112073795</w:t>
            </w:r>
          </w:p>
        </w:tc>
        <w:tc>
          <w:tcPr>
            <w:vAlign w:val="center"/>
          </w:tcPr>
          <w:p>
            <w:pPr>
              <w:jc w:val="center"/>
            </w:pPr>
            <w:r>
              <w:rPr>
                <w:color w:val="000000"/>
                <w:sz w:val="24"/>
              </w:rPr>
              <w:t>20广西北部湾银行CD376</w:t>
            </w:r>
          </w:p>
        </w:tc>
        <w:tc>
          <w:tcPr>
            <w:vAlign w:val="center"/>
          </w:tcPr>
          <w:p>
            <w:pPr>
              <w:jc w:val="right"/>
            </w:pPr>
            <w:r>
              <w:rPr>
                <w:color w:val="000000"/>
                <w:sz w:val="24"/>
              </w:rPr>
              <w:t>3,000,000</w:t>
            </w:r>
          </w:p>
        </w:tc>
        <w:tc>
          <w:tcPr>
            <w:vAlign w:val="center"/>
          </w:tcPr>
          <w:p>
            <w:pPr>
              <w:jc w:val="right"/>
            </w:pPr>
            <w:r>
              <w:rPr>
                <w:color w:val="000000"/>
                <w:sz w:val="24"/>
              </w:rPr>
              <w:t>298,339,374.17</w:t>
            </w:r>
          </w:p>
        </w:tc>
        <w:tc>
          <w:tcPr>
            <w:vAlign w:val="center"/>
          </w:tcPr>
          <w:p>
            <w:pPr>
              <w:jc w:val="right"/>
            </w:pPr>
            <w:r>
              <w:rPr>
                <w:color w:val="000000"/>
                <w:sz w:val="24"/>
              </w:rPr>
              <w:t>2.83</w:t>
            </w:r>
          </w:p>
        </w:tc>
      </w:tr>
      <w:tr>
        <w:tc>
          <w:tcPr>
            <w:vAlign w:val="center"/>
          </w:tcPr>
          <w:p>
            <w:pPr>
              <w:jc w:val="center"/>
            </w:pPr>
            <w:r>
              <w:rPr>
                <w:color w:val="000000"/>
                <w:sz w:val="24"/>
              </w:rPr>
              <w:t>4</w:t>
            </w:r>
          </w:p>
        </w:tc>
        <w:tc>
          <w:tcPr>
            <w:vAlign w:val="center"/>
          </w:tcPr>
          <w:p>
            <w:pPr>
              <w:jc w:val="center"/>
            </w:pPr>
            <w:r>
              <w:rPr>
                <w:color w:val="000000"/>
                <w:sz w:val="24"/>
              </w:rPr>
              <w:t>200306</w:t>
            </w:r>
          </w:p>
        </w:tc>
        <w:tc>
          <w:tcPr>
            <w:vAlign w:val="center"/>
          </w:tcPr>
          <w:p>
            <w:pPr>
              <w:jc w:val="center"/>
            </w:pPr>
            <w:r>
              <w:rPr>
                <w:color w:val="000000"/>
                <w:sz w:val="24"/>
              </w:rPr>
              <w:t>20进出06</w:t>
            </w:r>
          </w:p>
        </w:tc>
        <w:tc>
          <w:tcPr>
            <w:vAlign w:val="center"/>
          </w:tcPr>
          <w:p>
            <w:pPr>
              <w:jc w:val="right"/>
            </w:pPr>
            <w:r>
              <w:rPr>
                <w:color w:val="000000"/>
                <w:sz w:val="24"/>
              </w:rPr>
              <w:t>2,900,000</w:t>
            </w:r>
          </w:p>
        </w:tc>
        <w:tc>
          <w:tcPr>
            <w:vAlign w:val="center"/>
          </w:tcPr>
          <w:p>
            <w:pPr>
              <w:jc w:val="right"/>
            </w:pPr>
            <w:r>
              <w:rPr>
                <w:color w:val="000000"/>
                <w:sz w:val="24"/>
              </w:rPr>
              <w:t>289,296,945.13</w:t>
            </w:r>
          </w:p>
        </w:tc>
        <w:tc>
          <w:tcPr>
            <w:vAlign w:val="center"/>
          </w:tcPr>
          <w:p>
            <w:pPr>
              <w:jc w:val="right"/>
            </w:pPr>
            <w:r>
              <w:rPr>
                <w:color w:val="000000"/>
                <w:sz w:val="24"/>
              </w:rPr>
              <w:t>2.74</w:t>
            </w:r>
          </w:p>
        </w:tc>
      </w:tr>
      <w:tr>
        <w:tc>
          <w:tcPr>
            <w:vAlign w:val="center"/>
          </w:tcPr>
          <w:p>
            <w:pPr>
              <w:jc w:val="center"/>
            </w:pPr>
            <w:r>
              <w:rPr>
                <w:color w:val="000000"/>
                <w:sz w:val="24"/>
              </w:rPr>
              <w:t>5</w:t>
            </w:r>
          </w:p>
        </w:tc>
        <w:tc>
          <w:tcPr>
            <w:vAlign w:val="center"/>
          </w:tcPr>
          <w:p>
            <w:pPr>
              <w:jc w:val="center"/>
            </w:pPr>
            <w:r>
              <w:rPr>
                <w:color w:val="000000"/>
                <w:sz w:val="24"/>
              </w:rPr>
              <w:t>112021473</w:t>
            </w:r>
          </w:p>
        </w:tc>
        <w:tc>
          <w:tcPr>
            <w:vAlign w:val="center"/>
          </w:tcPr>
          <w:p>
            <w:pPr>
              <w:jc w:val="center"/>
            </w:pPr>
            <w:r>
              <w:rPr>
                <w:color w:val="000000"/>
                <w:sz w:val="24"/>
              </w:rPr>
              <w:t>20渤海银行CD473</w:t>
            </w:r>
          </w:p>
        </w:tc>
        <w:tc>
          <w:tcPr>
            <w:vAlign w:val="center"/>
          </w:tcPr>
          <w:p>
            <w:pPr>
              <w:jc w:val="right"/>
            </w:pPr>
            <w:r>
              <w:rPr>
                <w:color w:val="000000"/>
                <w:sz w:val="24"/>
              </w:rPr>
              <w:t>2,000,000</w:t>
            </w:r>
          </w:p>
        </w:tc>
        <w:tc>
          <w:tcPr>
            <w:vAlign w:val="center"/>
          </w:tcPr>
          <w:p>
            <w:pPr>
              <w:jc w:val="right"/>
            </w:pPr>
            <w:r>
              <w:rPr>
                <w:color w:val="000000"/>
                <w:sz w:val="24"/>
              </w:rPr>
              <w:t>198,997,188.22</w:t>
            </w:r>
          </w:p>
        </w:tc>
        <w:tc>
          <w:tcPr>
            <w:vAlign w:val="center"/>
          </w:tcPr>
          <w:p>
            <w:pPr>
              <w:jc w:val="right"/>
            </w:pPr>
            <w:r>
              <w:rPr>
                <w:color w:val="000000"/>
                <w:sz w:val="24"/>
              </w:rPr>
              <w:t>1.89</w:t>
            </w:r>
          </w:p>
        </w:tc>
      </w:tr>
      <w:tr>
        <w:tc>
          <w:tcPr>
            <w:vAlign w:val="center"/>
          </w:tcPr>
          <w:p>
            <w:pPr>
              <w:jc w:val="center"/>
            </w:pPr>
            <w:r>
              <w:rPr>
                <w:color w:val="000000"/>
                <w:sz w:val="24"/>
              </w:rPr>
              <w:t>6</w:t>
            </w:r>
          </w:p>
        </w:tc>
        <w:tc>
          <w:tcPr>
            <w:vAlign w:val="center"/>
          </w:tcPr>
          <w:p>
            <w:pPr>
              <w:jc w:val="center"/>
            </w:pPr>
            <w:r>
              <w:rPr>
                <w:color w:val="000000"/>
                <w:sz w:val="24"/>
              </w:rPr>
              <w:t>112073376</w:t>
            </w:r>
          </w:p>
        </w:tc>
        <w:tc>
          <w:tcPr>
            <w:vAlign w:val="center"/>
          </w:tcPr>
          <w:p>
            <w:pPr>
              <w:jc w:val="center"/>
            </w:pPr>
            <w:r>
              <w:rPr>
                <w:color w:val="000000"/>
                <w:sz w:val="24"/>
              </w:rPr>
              <w:t>20成都银行CD336</w:t>
            </w:r>
          </w:p>
        </w:tc>
        <w:tc>
          <w:tcPr>
            <w:vAlign w:val="center"/>
          </w:tcPr>
          <w:p>
            <w:pPr>
              <w:jc w:val="right"/>
            </w:pPr>
            <w:r>
              <w:rPr>
                <w:color w:val="000000"/>
                <w:sz w:val="24"/>
              </w:rPr>
              <w:t>2,000,000</w:t>
            </w:r>
          </w:p>
        </w:tc>
        <w:tc>
          <w:tcPr>
            <w:vAlign w:val="center"/>
          </w:tcPr>
          <w:p>
            <w:pPr>
              <w:jc w:val="right"/>
            </w:pPr>
            <w:r>
              <w:rPr>
                <w:color w:val="000000"/>
                <w:sz w:val="24"/>
              </w:rPr>
              <w:t>198,979,001.90</w:t>
            </w:r>
          </w:p>
        </w:tc>
        <w:tc>
          <w:tcPr>
            <w:vAlign w:val="center"/>
          </w:tcPr>
          <w:p>
            <w:pPr>
              <w:jc w:val="right"/>
            </w:pPr>
            <w:r>
              <w:rPr>
                <w:color w:val="000000"/>
                <w:sz w:val="24"/>
              </w:rPr>
              <w:t>1.89</w:t>
            </w:r>
          </w:p>
        </w:tc>
      </w:tr>
      <w:tr>
        <w:tc>
          <w:tcPr>
            <w:vAlign w:val="center"/>
          </w:tcPr>
          <w:p>
            <w:pPr>
              <w:jc w:val="center"/>
            </w:pPr>
            <w:r>
              <w:rPr>
                <w:color w:val="000000"/>
                <w:sz w:val="24"/>
              </w:rPr>
              <w:t>7</w:t>
            </w:r>
          </w:p>
        </w:tc>
        <w:tc>
          <w:tcPr>
            <w:vAlign w:val="center"/>
          </w:tcPr>
          <w:p>
            <w:pPr>
              <w:jc w:val="center"/>
            </w:pPr>
            <w:r>
              <w:rPr>
                <w:color w:val="000000"/>
                <w:sz w:val="24"/>
              </w:rPr>
              <w:t>112073941</w:t>
            </w:r>
          </w:p>
        </w:tc>
        <w:tc>
          <w:tcPr>
            <w:vAlign w:val="center"/>
          </w:tcPr>
          <w:p>
            <w:pPr>
              <w:jc w:val="center"/>
            </w:pPr>
            <w:r>
              <w:rPr>
                <w:color w:val="000000"/>
                <w:sz w:val="24"/>
              </w:rPr>
              <w:t>20晋商银行CD226</w:t>
            </w:r>
          </w:p>
        </w:tc>
        <w:tc>
          <w:tcPr>
            <w:vAlign w:val="center"/>
          </w:tcPr>
          <w:p>
            <w:pPr>
              <w:jc w:val="right"/>
            </w:pPr>
            <w:r>
              <w:rPr>
                <w:color w:val="000000"/>
                <w:sz w:val="24"/>
              </w:rPr>
              <w:t>2,000,000</w:t>
            </w:r>
          </w:p>
        </w:tc>
        <w:tc>
          <w:tcPr>
            <w:vAlign w:val="center"/>
          </w:tcPr>
          <w:p>
            <w:pPr>
              <w:jc w:val="right"/>
            </w:pPr>
            <w:r>
              <w:rPr>
                <w:color w:val="000000"/>
                <w:sz w:val="24"/>
              </w:rPr>
              <w:t>198,922,413.88</w:t>
            </w:r>
          </w:p>
        </w:tc>
        <w:tc>
          <w:tcPr>
            <w:vAlign w:val="center"/>
          </w:tcPr>
          <w:p>
            <w:pPr>
              <w:jc w:val="right"/>
            </w:pPr>
            <w:r>
              <w:rPr>
                <w:color w:val="000000"/>
                <w:sz w:val="24"/>
              </w:rPr>
              <w:t>1.89</w:t>
            </w:r>
          </w:p>
        </w:tc>
      </w:tr>
      <w:tr>
        <w:tc>
          <w:tcPr>
            <w:vAlign w:val="center"/>
          </w:tcPr>
          <w:p>
            <w:pPr>
              <w:jc w:val="center"/>
            </w:pPr>
            <w:r>
              <w:rPr>
                <w:color w:val="000000"/>
                <w:sz w:val="24"/>
              </w:rPr>
              <w:t>8</w:t>
            </w:r>
          </w:p>
        </w:tc>
        <w:tc>
          <w:tcPr>
            <w:vAlign w:val="center"/>
          </w:tcPr>
          <w:p>
            <w:pPr>
              <w:jc w:val="center"/>
            </w:pPr>
            <w:r>
              <w:rPr>
                <w:color w:val="000000"/>
                <w:sz w:val="24"/>
              </w:rPr>
              <w:t>112076442</w:t>
            </w:r>
          </w:p>
        </w:tc>
        <w:tc>
          <w:tcPr>
            <w:vAlign w:val="center"/>
          </w:tcPr>
          <w:p>
            <w:pPr>
              <w:jc w:val="center"/>
            </w:pPr>
            <w:r>
              <w:rPr>
                <w:color w:val="000000"/>
                <w:sz w:val="24"/>
              </w:rPr>
              <w:t>20江西银行CD116</w:t>
            </w:r>
          </w:p>
        </w:tc>
        <w:tc>
          <w:tcPr>
            <w:vAlign w:val="center"/>
          </w:tcPr>
          <w:p>
            <w:pPr>
              <w:jc w:val="right"/>
            </w:pPr>
            <w:r>
              <w:rPr>
                <w:color w:val="000000"/>
                <w:sz w:val="24"/>
              </w:rPr>
              <w:t>2,000,000</w:t>
            </w:r>
          </w:p>
        </w:tc>
        <w:tc>
          <w:tcPr>
            <w:vAlign w:val="center"/>
          </w:tcPr>
          <w:p>
            <w:pPr>
              <w:jc w:val="right"/>
            </w:pPr>
            <w:r>
              <w:rPr>
                <w:color w:val="000000"/>
                <w:sz w:val="24"/>
              </w:rPr>
              <w:t>198,667,916.71</w:t>
            </w:r>
          </w:p>
        </w:tc>
        <w:tc>
          <w:tcPr>
            <w:vAlign w:val="center"/>
          </w:tcPr>
          <w:p>
            <w:pPr>
              <w:jc w:val="right"/>
            </w:pPr>
            <w:r>
              <w:rPr>
                <w:color w:val="000000"/>
                <w:sz w:val="24"/>
              </w:rPr>
              <w:t>1.88</w:t>
            </w:r>
          </w:p>
        </w:tc>
      </w:tr>
      <w:tr>
        <w:tc>
          <w:tcPr>
            <w:vAlign w:val="center"/>
          </w:tcPr>
          <w:p>
            <w:pPr>
              <w:jc w:val="center"/>
            </w:pPr>
            <w:r>
              <w:rPr>
                <w:color w:val="000000"/>
                <w:sz w:val="24"/>
              </w:rPr>
              <w:t>9</w:t>
            </w:r>
          </w:p>
        </w:tc>
        <w:tc>
          <w:tcPr>
            <w:vAlign w:val="center"/>
          </w:tcPr>
          <w:p>
            <w:pPr>
              <w:jc w:val="center"/>
            </w:pPr>
            <w:r>
              <w:rPr>
                <w:color w:val="000000"/>
                <w:sz w:val="24"/>
              </w:rPr>
              <w:t>180203</w:t>
            </w:r>
          </w:p>
        </w:tc>
        <w:tc>
          <w:tcPr>
            <w:vAlign w:val="center"/>
          </w:tcPr>
          <w:p>
            <w:pPr>
              <w:jc w:val="center"/>
            </w:pPr>
            <w:r>
              <w:rPr>
                <w:color w:val="000000"/>
                <w:sz w:val="24"/>
              </w:rPr>
              <w:t>18国开03</w:t>
            </w:r>
          </w:p>
        </w:tc>
        <w:tc>
          <w:tcPr>
            <w:vAlign w:val="center"/>
          </w:tcPr>
          <w:p>
            <w:pPr>
              <w:jc w:val="right"/>
            </w:pPr>
            <w:r>
              <w:rPr>
                <w:color w:val="000000"/>
                <w:sz w:val="24"/>
              </w:rPr>
              <w:t>1,700,000</w:t>
            </w:r>
          </w:p>
        </w:tc>
        <w:tc>
          <w:tcPr>
            <w:vAlign w:val="center"/>
          </w:tcPr>
          <w:p>
            <w:pPr>
              <w:jc w:val="right"/>
            </w:pPr>
            <w:r>
              <w:rPr>
                <w:color w:val="000000"/>
                <w:sz w:val="24"/>
              </w:rPr>
              <w:t>170,563,128.80</w:t>
            </w:r>
          </w:p>
        </w:tc>
        <w:tc>
          <w:tcPr>
            <w:vAlign w:val="center"/>
          </w:tcPr>
          <w:p>
            <w:pPr>
              <w:jc w:val="right"/>
            </w:pPr>
            <w:r>
              <w:rPr>
                <w:color w:val="000000"/>
                <w:sz w:val="24"/>
              </w:rPr>
              <w:t>1.62</w:t>
            </w:r>
          </w:p>
        </w:tc>
      </w:tr>
      <w:tr>
        <w:tc>
          <w:tcPr>
            <w:vAlign w:val="center"/>
          </w:tcPr>
          <w:p>
            <w:pPr>
              <w:jc w:val="center"/>
            </w:pPr>
            <w:r>
              <w:rPr>
                <w:color w:val="000000"/>
                <w:sz w:val="24"/>
              </w:rPr>
              <w:t>10</w:t>
            </w:r>
          </w:p>
        </w:tc>
        <w:tc>
          <w:tcPr>
            <w:vAlign w:val="center"/>
          </w:tcPr>
          <w:p>
            <w:pPr>
              <w:jc w:val="center"/>
            </w:pPr>
            <w:r>
              <w:rPr>
                <w:color w:val="000000"/>
                <w:sz w:val="24"/>
              </w:rPr>
              <w:t>112007131</w:t>
            </w:r>
          </w:p>
        </w:tc>
        <w:tc>
          <w:tcPr>
            <w:vAlign w:val="center"/>
          </w:tcPr>
          <w:p>
            <w:pPr>
              <w:jc w:val="center"/>
            </w:pPr>
            <w:r>
              <w:rPr>
                <w:color w:val="000000"/>
                <w:sz w:val="24"/>
              </w:rPr>
              <w:t>20招商银行CD131</w:t>
            </w:r>
          </w:p>
        </w:tc>
        <w:tc>
          <w:tcPr>
            <w:vAlign w:val="center"/>
          </w:tcPr>
          <w:p>
            <w:pPr>
              <w:jc w:val="right"/>
            </w:pPr>
            <w:r>
              <w:rPr>
                <w:color w:val="000000"/>
                <w:sz w:val="24"/>
              </w:rPr>
              <w:t>1,000,000</w:t>
            </w:r>
          </w:p>
        </w:tc>
        <w:tc>
          <w:tcPr>
            <w:vAlign w:val="center"/>
          </w:tcPr>
          <w:p>
            <w:pPr>
              <w:jc w:val="right"/>
            </w:pPr>
            <w:r>
              <w:rPr>
                <w:color w:val="000000"/>
                <w:sz w:val="24"/>
              </w:rPr>
              <w:t>99,632,634.82</w:t>
            </w:r>
          </w:p>
        </w:tc>
        <w:tc>
          <w:tcPr>
            <w:vAlign w:val="center"/>
          </w:tcPr>
          <w:p>
            <w:pPr>
              <w:jc w:val="right"/>
            </w:pPr>
            <w:r>
              <w:rPr>
                <w:color w:val="000000"/>
                <w:sz w:val="24"/>
              </w:rPr>
              <w:t>0.94</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0.0415%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0.0001%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0.0123%</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bookmarkStart w:id="2" w:name="_GoBack"/>
      <w:r w:rsidR="00615DAC" w:rsidRPr="00615DAC">
        <w:rPr>
          <w:rFonts w:hAnsi="宋体" w:hint="eastAsia"/>
          <w:b/>
          <w:color w:val="000000"/>
          <w:kern w:val="0"/>
          <w:sz w:val="24"/>
        </w:rPr>
        <w:t>摊余成本</w:t>
      </w:r>
      <w:bookmarkEnd w:id="2"/>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169682</w:t>
            </w:r>
          </w:p>
        </w:tc>
        <w:tc>
          <w:tcPr>
            <w:vAlign w:val="center"/>
          </w:tcPr>
          <w:p>
            <w:pPr>
              <w:jc w:val="center"/>
            </w:pPr>
            <w:r>
              <w:rPr>
                <w:color w:val="000000"/>
                <w:sz w:val="24"/>
              </w:rPr>
              <w:t>致远01A1</w:t>
            </w:r>
          </w:p>
        </w:tc>
        <w:tc>
          <w:tcPr>
            <w:vAlign w:val="center"/>
          </w:tcPr>
          <w:p>
            <w:pPr>
              <w:jc w:val="right"/>
            </w:pPr>
            <w:r>
              <w:rPr>
                <w:color w:val="000000"/>
                <w:sz w:val="24"/>
              </w:rPr>
              <w:t>2,000,000</w:t>
            </w:r>
          </w:p>
        </w:tc>
        <w:tc>
          <w:tcPr>
            <w:vAlign w:val="center"/>
          </w:tcPr>
          <w:p>
            <w:pPr>
              <w:jc w:val="right"/>
            </w:pPr>
            <w:r>
              <w:rPr>
                <w:color w:val="000000"/>
                <w:sz w:val="24"/>
              </w:rPr>
              <w:t>200,000,000.00</w:t>
            </w:r>
          </w:p>
        </w:tc>
        <w:tc>
          <w:tcPr>
            <w:vAlign w:val="center"/>
          </w:tcPr>
          <w:p>
            <w:pPr>
              <w:jc w:val="right"/>
            </w:pPr>
            <w:r>
              <w:rPr>
                <w:color w:val="000000"/>
                <w:sz w:val="24"/>
              </w:rPr>
              <w:t>1.90</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23,133,057.14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40,450,000.00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63,583,057.14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交银天益宝货币A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交银天益宝货币E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42,625,894.33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9,652,391,635.35</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63,772,611.17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8,437,051,642.25</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66,434,749.50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7,576,788,436.78</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39,963,756.00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10,512,654,840.82</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2,328,772.99</w:t>
            </w:r>
          </w:p>
        </w:tc>
        <w:tc>
          <w:tcPr>
            <w:vAlign w:val="center"/>
          </w:tcPr>
          <w:p>
            <w:pPr>
              <w:jc w:val="right"/>
            </w:pPr>
            <w:r>
              <w:rPr>
                <w:color w:val="000000"/>
                <w:sz w:val="24"/>
              </w:rPr>
              <w:t>2,328,772.99</w:t>
            </w:r>
          </w:p>
        </w:tc>
        <w:tc>
          <w:tcPr>
            <w:vAlign w:val="center"/>
          </w:tcPr>
          <w:p>
            <w:pPr>
              <w:jc w:val="center"/>
            </w:pPr>
            <w:r>
              <w:rPr>
                <w:color w:val="000000"/>
                <w:sz w:val="24"/>
              </w:rPr>
              <w:t>-</w:t>
            </w:r>
          </w:p>
        </w:tc>
      </w:tr>
      <w:tr>
        <w:tc>
          <w:tcPr>
            <w:vAlign w:val="center"/>
          </w:tcPr>
          <w:p>
            <w:pPr>
              <w:jc w:val="center"/>
            </w:pPr>
            <w:r>
              <w:rPr>
                <w:color w:val="000000"/>
                <w:sz w:val="24"/>
              </w:rPr>
              <w:t>2</w:t>
            </w:r>
          </w:p>
        </w:tc>
        <w:tc>
          <w:tcPr>
            <w:vAlign w:val="center"/>
          </w:tcPr>
          <w:p>
            <w:pPr>
              <w:jc w:val="center"/>
            </w:pPr>
            <w:r>
              <w:rPr>
                <w:color w:val="000000"/>
                <w:sz w:val="24"/>
              </w:rPr>
              <w:t>E类份额申购</w:t>
            </w:r>
          </w:p>
        </w:tc>
        <w:tc>
          <w:tcPr>
            <w:vAlign w:val="center"/>
          </w:tcPr>
          <w:p>
            <w:pPr>
              <w:jc w:val="center"/>
            </w:pPr>
            <w:r>
              <w:rPr>
                <w:color w:val="000000"/>
                <w:sz w:val="24"/>
              </w:rPr>
              <w:t>2020-10-29</w:t>
            </w:r>
          </w:p>
        </w:tc>
        <w:tc>
          <w:tcPr>
            <w:vAlign w:val="center"/>
          </w:tcPr>
          <w:p>
            <w:pPr>
              <w:jc w:val="right"/>
            </w:pPr>
            <w:r>
              <w:rPr>
                <w:color w:val="000000"/>
                <w:sz w:val="24"/>
              </w:rPr>
              <w:t>120,000,000.00</w:t>
            </w:r>
          </w:p>
        </w:tc>
        <w:tc>
          <w:tcPr>
            <w:vAlign w:val="center"/>
          </w:tcPr>
          <w:p>
            <w:pPr>
              <w:jc w:val="right"/>
            </w:pPr>
            <w:r>
              <w:rPr>
                <w:color w:val="000000"/>
                <w:sz w:val="24"/>
              </w:rPr>
              <w:t>120,000,000.00</w:t>
            </w:r>
          </w:p>
        </w:tc>
        <w:tc>
          <w:tcPr>
            <w:vAlign w:val="center"/>
          </w:tcPr>
          <w:p>
            <w:pPr>
              <w:jc w:val="center"/>
            </w:pPr>
            <w:r>
              <w:rPr>
                <w:color w:val="000000"/>
                <w:sz w:val="24"/>
              </w:rPr>
              <w:t>-</w:t>
            </w:r>
          </w:p>
        </w:tc>
      </w:tr>
      <w:tr>
        <w:tc>
          <w:tcPr>
            <w:vAlign w:val="center"/>
          </w:tcPr>
          <w:p>
            <w:pPr>
              <w:jc w:val="center"/>
            </w:pPr>
            <w:r>
              <w:rPr>
                <w:color w:val="000000"/>
                <w:sz w:val="24"/>
              </w:rPr>
              <w:t>3</w:t>
            </w:r>
          </w:p>
        </w:tc>
        <w:tc>
          <w:tcPr>
            <w:vAlign w:val="center"/>
          </w:tcPr>
          <w:p>
            <w:pPr>
              <w:jc w:val="center"/>
            </w:pPr>
            <w:r>
              <w:rPr>
                <w:color w:val="000000"/>
                <w:sz w:val="24"/>
              </w:rPr>
              <w:t>E类份额申购</w:t>
            </w:r>
          </w:p>
        </w:tc>
        <w:tc>
          <w:tcPr>
            <w:vAlign w:val="center"/>
          </w:tcPr>
          <w:p>
            <w:pPr>
              <w:jc w:val="center"/>
            </w:pPr>
            <w:r>
              <w:rPr>
                <w:color w:val="000000"/>
                <w:sz w:val="24"/>
              </w:rPr>
              <w:t>2020-12-30</w:t>
            </w:r>
          </w:p>
        </w:tc>
        <w:tc>
          <w:tcPr>
            <w:vAlign w:val="center"/>
          </w:tcPr>
          <w:p>
            <w:pPr>
              <w:jc w:val="right"/>
            </w:pPr>
            <w:r>
              <w:rPr>
                <w:color w:val="000000"/>
                <w:sz w:val="24"/>
              </w:rPr>
              <w:t>170,000,000.00</w:t>
            </w:r>
          </w:p>
        </w:tc>
        <w:tc>
          <w:tcPr>
            <w:vAlign w:val="center"/>
          </w:tcPr>
          <w:p>
            <w:pPr>
              <w:jc w:val="right"/>
            </w:pPr>
            <w:r>
              <w:rPr>
                <w:color w:val="000000"/>
                <w:sz w:val="24"/>
              </w:rPr>
              <w:t>170,000,000.00</w:t>
            </w:r>
          </w:p>
        </w:tc>
        <w:tc>
          <w:tcPr>
            <w:vAlign w:val="center"/>
          </w:tcPr>
          <w:p>
            <w:pPr>
              <w:jc w:val="center"/>
            </w:pPr>
            <w:r>
              <w:rPr>
                <w:color w:val="000000"/>
                <w:sz w:val="24"/>
              </w:rPr>
              <w:t>-</w:t>
            </w:r>
          </w:p>
        </w:tc>
      </w:tr>
      <w:tr>
        <w:tc>
          <w:tcPr>
            <w:vAlign w:val="center"/>
          </w:tcPr>
          <w:p>
            <w:pPr>
              <w:jc w:val="center"/>
            </w:pPr>
            <w:r>
              <w:rPr>
                <w:color w:val="000000"/>
                <w:sz w:val="24"/>
              </w:rPr>
              <w:t>4</w:t>
            </w:r>
          </w:p>
        </w:tc>
        <w:tc>
          <w:tcPr>
            <w:vAlign w:val="center"/>
          </w:tcPr>
          <w:p>
            <w:pPr>
              <w:jc w:val="center"/>
            </w:pPr>
            <w:r>
              <w:rPr>
                <w:color w:val="000000"/>
                <w:sz w:val="24"/>
              </w:rPr>
              <w:t>E类份额申购</w:t>
            </w:r>
          </w:p>
        </w:tc>
        <w:tc>
          <w:tcPr>
            <w:vAlign w:val="center"/>
          </w:tcPr>
          <w:p>
            <w:pPr>
              <w:jc w:val="center"/>
            </w:pPr>
            <w:r>
              <w:rPr>
                <w:color w:val="000000"/>
                <w:sz w:val="24"/>
              </w:rPr>
              <w:t>2020-11-26</w:t>
            </w:r>
          </w:p>
        </w:tc>
        <w:tc>
          <w:tcPr>
            <w:vAlign w:val="center"/>
          </w:tcPr>
          <w:p>
            <w:pPr>
              <w:jc w:val="right"/>
            </w:pPr>
            <w:r>
              <w:rPr>
                <w:color w:val="000000"/>
                <w:sz w:val="24"/>
              </w:rPr>
              <w:t>60,000,000.00</w:t>
            </w:r>
          </w:p>
        </w:tc>
        <w:tc>
          <w:tcPr>
            <w:vAlign w:val="center"/>
          </w:tcPr>
          <w:p>
            <w:pPr>
              <w:jc w:val="right"/>
            </w:pPr>
            <w:r>
              <w:rPr>
                <w:color w:val="000000"/>
                <w:sz w:val="24"/>
              </w:rPr>
              <w:t>60,000,000.00</w:t>
            </w:r>
          </w:p>
        </w:tc>
        <w:tc>
          <w:tcPr>
            <w:vAlign w:val="center"/>
          </w:tcPr>
          <w:p>
            <w:pPr>
              <w:jc w:val="center"/>
            </w:pPr>
            <w:r>
              <w:rPr>
                <w:color w:val="000000"/>
                <w:sz w:val="24"/>
              </w:rPr>
              <w:t>-</w:t>
            </w:r>
          </w:p>
        </w:tc>
      </w:tr>
      <w:tr>
        <w:tc>
          <w:tcPr>
            <w:vAlign w:val="center"/>
          </w:tcPr>
          <w:p>
            <w:pPr>
              <w:jc w:val="center"/>
            </w:pPr>
            <w:r>
              <w:rPr>
                <w:color w:val="000000"/>
                <w:sz w:val="24"/>
              </w:rPr>
              <w:t>5</w:t>
            </w:r>
          </w:p>
        </w:tc>
        <w:tc>
          <w:tcPr>
            <w:vAlign w:val="center"/>
          </w:tcPr>
          <w:p>
            <w:pPr>
              <w:jc w:val="center"/>
            </w:pPr>
            <w:r>
              <w:rPr>
                <w:color w:val="000000"/>
                <w:sz w:val="24"/>
              </w:rPr>
              <w:t>E类份额申购</w:t>
            </w:r>
          </w:p>
        </w:tc>
        <w:tc>
          <w:tcPr>
            <w:vAlign w:val="center"/>
          </w:tcPr>
          <w:p>
            <w:pPr>
              <w:jc w:val="center"/>
            </w:pPr>
            <w:r>
              <w:rPr>
                <w:color w:val="000000"/>
                <w:sz w:val="24"/>
              </w:rPr>
              <w:t>2020-11-09</w:t>
            </w:r>
          </w:p>
        </w:tc>
        <w:tc>
          <w:tcPr>
            <w:vAlign w:val="center"/>
          </w:tcPr>
          <w:p>
            <w:pPr>
              <w:jc w:val="right"/>
            </w:pPr>
            <w:r>
              <w:rPr>
                <w:color w:val="000000"/>
                <w:sz w:val="24"/>
              </w:rPr>
              <w:t>50,000,000.00</w:t>
            </w:r>
          </w:p>
        </w:tc>
        <w:tc>
          <w:tcPr>
            <w:vAlign w:val="center"/>
          </w:tcPr>
          <w:p>
            <w:pPr>
              <w:jc w:val="right"/>
            </w:pPr>
            <w:r>
              <w:rPr>
                <w:color w:val="000000"/>
                <w:sz w:val="24"/>
              </w:rPr>
              <w:t>50,000,000.00</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402,328,772.99</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402,328,772.99</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注：1、本基金管理人本报告期末持有本基金E类份额604,344,096.79份，占本基金期末E类基金总份额的5.75%，本基金管理人本报告期末持有本基金A类份额0.00份，占本基金期末A类基金总份额的0.00%。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1、中国证监会准予交银施罗德天益宝货币市场基金募集注册的文件； </w:t>
      </w:r>
    </w:p>
    <w:p>
      <w:pPr>
        <w:spacing w:before="29" w:line="288" w:lineRule="auto"/>
        <w:ind w:firstLine="480" w:firstLineChars="200"/>
        <w:rPr>
          <w:color w:val="000000"/>
          <w:sz w:val="24"/>
        </w:rPr>
      </w:pPr>
      <w:r>
        <w:rPr>
          <w:color w:val="000000"/>
          <w:sz w:val="24"/>
        </w:rPr>
        <w:t xml:space="preserve">2、《交银施罗德天益宝货币市场基金基金合同》； </w:t>
      </w:r>
    </w:p>
    <w:p>
      <w:pPr>
        <w:spacing w:before="29" w:line="288" w:lineRule="auto"/>
        <w:ind w:firstLine="480" w:firstLineChars="200"/>
        <w:rPr>
          <w:color w:val="000000"/>
          <w:sz w:val="24"/>
        </w:rPr>
      </w:pPr>
      <w:r>
        <w:rPr>
          <w:color w:val="000000"/>
          <w:sz w:val="24"/>
        </w:rPr>
        <w:t xml:space="preserve">3、《交银施罗德天益宝货币市场基金招募说明书》； </w:t>
      </w:r>
    </w:p>
    <w:p>
      <w:pPr>
        <w:spacing w:before="29" w:line="288" w:lineRule="auto"/>
        <w:ind w:firstLine="480" w:firstLineChars="200"/>
        <w:rPr>
          <w:color w:val="000000"/>
          <w:sz w:val="24"/>
        </w:rPr>
      </w:pPr>
      <w:r>
        <w:rPr>
          <w:color w:val="000000"/>
          <w:sz w:val="24"/>
        </w:rPr>
        <w:t xml:space="preserve">4、《交银施罗德天益宝货币市场基金托管协议》； </w:t>
      </w:r>
    </w:p>
    <w:p>
      <w:pPr>
        <w:spacing w:before="29" w:line="288" w:lineRule="auto"/>
        <w:ind w:firstLine="480" w:firstLineChars="200"/>
        <w:rPr>
          <w:color w:val="000000"/>
          <w:sz w:val="24"/>
        </w:rPr>
      </w:pPr>
      <w:r>
        <w:rPr>
          <w:color w:val="000000"/>
          <w:sz w:val="24"/>
        </w:rPr>
        <w:t xml:space="preserve">5、关于申请募集注册交银施罗德天益宝货币市场基金的法律意见书；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8、报告期内交银施罗德天益宝货币市场基金在指定报刊上各项公告的原稿。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D6" w:rsidRDefault="00F079D6">
      <w:r>
        <w:separator/>
      </w:r>
    </w:p>
  </w:endnote>
  <w:endnote w:type="continuationSeparator" w:id="0">
    <w:p w:rsidR="00F079D6" w:rsidRDefault="00F0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5DAC">
      <w:rPr>
        <w:noProof/>
        <w:kern w:val="0"/>
        <w:szCs w:val="21"/>
      </w:rPr>
      <w:t>17</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615DAC">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F079D6" w:rsidRDefault="00F079D6">
      <w:r>
        <w:separator/>
      </w:r>
    </w:p>
  </w:footnote>
  <w:footnote w:id="0" w:type="continuationSeparator">
    <w:p w:rsidR="00F079D6" w:rsidRDefault="00F079D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交银施罗德天益宝货币市场基金2020年第4季度报告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46AF8F-3886-48C3-B4A6-13B4F36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2020-08-06T06:44:00Z</dcterms:modified>
  <cp:revision>337</cp:revision>
</cp:coreProperties>
</file>