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交银施罗德活期通货币市场基金</w:t>
      </w:r>
    </w:p>
    <w:p w:rsidP="00281564" w:rsidR="00B60E27" w:rsidRDefault="00B60E27" w:rsidRPr="001E1B20">
      <w:pPr>
        <w:spacing w:before="29" w:line="288" w:lineRule="auto"/>
        <w:jc w:val="center"/>
        <w:rPr>
          <w:b/>
          <w:sz w:val="36"/>
          <w:szCs w:val="36"/>
        </w:rPr>
      </w:pPr>
      <w:r w:rsidRPr="001E1B20">
        <w:rPr>
          <w:b/>
          <w:sz w:val="36"/>
          <w:szCs w:val="36"/>
        </w:rPr>
        <w:t>2020年第4季度报告</w:t>
      </w:r>
    </w:p>
    <w:p w:rsidP="00281564" w:rsidR="002B45A4" w:rsidRDefault="00D87D00" w:rsidRPr="001E1B20">
      <w:pPr>
        <w:spacing w:before="29" w:line="288" w:lineRule="auto"/>
        <w:jc w:val="center"/>
        <w:rPr>
          <w:b/>
          <w:sz w:val="36"/>
          <w:szCs w:val="36"/>
        </w:rPr>
      </w:pPr>
      <w:r w:rsidRPr="001E1B20">
        <w:rPr>
          <w:b/>
          <w:sz w:val="36"/>
          <w:szCs w:val="36"/>
        </w:rPr>
        <w:t>2020年12月31日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中信建投证券股份有限公司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二〇二一年一月二十一日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基金托管人中信建投证券股份有限公司根据本基金合同规定，于2021年1月20日复核了本报告中的财务指标、净值表现和投资组合报告等内容，保证复核内容不存在虚假记载、误导性陈述或者重大遗漏。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本报告期自2020年10月1日起至12月31日止。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2016年7月27日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30,623,000,666.79</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交银活期通货币A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交银活期通货币E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003042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003043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12,413,840,118.53</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18,209,160,548.26</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(2020年10月1日-2020年12月31日)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交银活期通货币A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交银活期通货币E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73,053,408.68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113,444,550.85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73,053,408.68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113,444,550.85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12,413,840,118.53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18,209,160,548.26</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交银活期通货币A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0.5878%</w:t>
            </w:r>
          </w:p>
        </w:tc>
        <w:tc>
          <w:tcPr>
            <w:vAlign w:val="center"/>
          </w:tcPr>
          <w:p>
            <w:pPr>
              <w:jc w:val="center"/>
            </w:pPr>
            <w:r>
              <w:rPr>
                <w:rFonts w:ascii="Times New Roman" w:hAnsi="Times New Roman"/>
                <w:color w:val="000000"/>
              </w:rPr>
              <w:t>0.0018%</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0.4996%</w:t>
            </w:r>
          </w:p>
        </w:tc>
        <w:tc>
          <w:tcPr>
            <w:vAlign w:val="center"/>
          </w:tcPr>
          <w:p>
            <w:pPr>
              <w:jc w:val="center"/>
            </w:pPr>
            <w:r>
              <w:rPr>
                <w:rFonts w:ascii="Times New Roman" w:hAnsi="Times New Roman"/>
                <w:color w:val="000000"/>
              </w:rPr>
              <w:t>0.0018%</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1.0423%</w:t>
            </w:r>
          </w:p>
        </w:tc>
        <w:tc>
          <w:tcPr>
            <w:vAlign w:val="center"/>
          </w:tcPr>
          <w:p>
            <w:pPr>
              <w:jc w:val="center"/>
            </w:pPr>
            <w:r>
              <w:rPr>
                <w:rFonts w:ascii="Times New Roman" w:hAnsi="Times New Roman"/>
                <w:color w:val="000000"/>
              </w:rPr>
              <w:t>0.0020%</w:t>
            </w:r>
          </w:p>
        </w:tc>
        <w:tc>
          <w:tcPr>
            <w:vAlign w:val="center"/>
          </w:tcPr>
          <w:p>
            <w:pPr>
              <w:jc w:val="center"/>
            </w:pPr>
            <w:r>
              <w:rPr>
                <w:rFonts w:ascii="Times New Roman" w:hAnsi="Times New Roman"/>
                <w:color w:val="000000"/>
              </w:rPr>
              <w:t>0.1764%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0.8659%</w:t>
            </w:r>
          </w:p>
        </w:tc>
        <w:tc>
          <w:tcPr>
            <w:vAlign w:val="center"/>
          </w:tcPr>
          <w:p>
            <w:pPr>
              <w:jc w:val="center"/>
            </w:pPr>
            <w:r>
              <w:rPr>
                <w:rFonts w:ascii="Times New Roman" w:hAnsi="Times New Roman"/>
                <w:color w:val="000000"/>
              </w:rPr>
              <w:t>0.0020%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2.0819%</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1.7309%</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8.3205%</w:t>
            </w:r>
          </w:p>
        </w:tc>
        <w:tc>
          <w:tcPr>
            <w:vAlign w:val="center"/>
          </w:tcPr>
          <w:p>
            <w:pPr>
              <w:jc w:val="center"/>
            </w:pPr>
            <w:r>
              <w:rPr>
                <w:rFonts w:ascii="Times New Roman" w:hAnsi="Times New Roman"/>
                <w:color w:val="000000"/>
              </w:rPr>
              <w:t>0.0023%</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7.2695%</w:t>
            </w:r>
          </w:p>
        </w:tc>
        <w:tc>
          <w:tcPr>
            <w:vAlign w:val="center"/>
          </w:tcPr>
          <w:p>
            <w:pPr>
              <w:jc w:val="center"/>
            </w:pPr>
            <w:r>
              <w:rPr>
                <w:rFonts w:ascii="Times New Roman" w:hAnsi="Times New Roman"/>
                <w:color w:val="000000"/>
              </w:rPr>
              <w:t>0.0023%</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13.6238%</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1.5525%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12.0713%</w:t>
            </w:r>
          </w:p>
        </w:tc>
        <w:tc>
          <w:tcPr>
            <w:vAlign w:val="center"/>
          </w:tcPr>
          <w:p>
            <w:pPr>
              <w:jc w:val="center"/>
            </w:pPr>
            <w:r>
              <w:rPr>
                <w:rFonts w:ascii="Times New Roman" w:hAnsi="Times New Roman"/>
                <w:color w:val="000000"/>
              </w:rPr>
              <w:t>0.0024%</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交银活期通货币E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0.6485%</w:t>
            </w:r>
          </w:p>
        </w:tc>
        <w:tc>
          <w:tcPr>
            <w:vAlign w:val="center"/>
          </w:tcPr>
          <w:p>
            <w:pPr>
              <w:jc w:val="center"/>
            </w:pPr>
            <w:r>
              <w:rPr>
                <w:rFonts w:ascii="Times New Roman" w:hAnsi="Times New Roman"/>
                <w:color w:val="000000"/>
              </w:rPr>
              <w:t>0.0018%</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0.5603%</w:t>
            </w:r>
          </w:p>
        </w:tc>
        <w:tc>
          <w:tcPr>
            <w:vAlign w:val="center"/>
          </w:tcPr>
          <w:p>
            <w:pPr>
              <w:jc w:val="center"/>
            </w:pPr>
            <w:r>
              <w:rPr>
                <w:rFonts w:ascii="Times New Roman" w:hAnsi="Times New Roman"/>
                <w:color w:val="000000"/>
              </w:rPr>
              <w:t>0.0018%</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1.1643%</w:t>
            </w:r>
          </w:p>
        </w:tc>
        <w:tc>
          <w:tcPr>
            <w:vAlign w:val="center"/>
          </w:tcPr>
          <w:p>
            <w:pPr>
              <w:jc w:val="center"/>
            </w:pPr>
            <w:r>
              <w:rPr>
                <w:rFonts w:ascii="Times New Roman" w:hAnsi="Times New Roman"/>
                <w:color w:val="000000"/>
              </w:rPr>
              <w:t>0.0020%</w:t>
            </w:r>
          </w:p>
        </w:tc>
        <w:tc>
          <w:tcPr>
            <w:vAlign w:val="center"/>
          </w:tcPr>
          <w:p>
            <w:pPr>
              <w:jc w:val="center"/>
            </w:pPr>
            <w:r>
              <w:rPr>
                <w:rFonts w:ascii="Times New Roman" w:hAnsi="Times New Roman"/>
                <w:color w:val="000000"/>
              </w:rPr>
              <w:t>0.1764%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0.9879%</w:t>
            </w:r>
          </w:p>
        </w:tc>
        <w:tc>
          <w:tcPr>
            <w:vAlign w:val="center"/>
          </w:tcPr>
          <w:p>
            <w:pPr>
              <w:jc w:val="center"/>
            </w:pPr>
            <w:r>
              <w:rPr>
                <w:rFonts w:ascii="Times New Roman" w:hAnsi="Times New Roman"/>
                <w:color w:val="000000"/>
              </w:rPr>
              <w:t>0.0020%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2.3273%</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1.9763%</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9.1031%</w:t>
            </w:r>
          </w:p>
        </w:tc>
        <w:tc>
          <w:tcPr>
            <w:vAlign w:val="center"/>
          </w:tcPr>
          <w:p>
            <w:pPr>
              <w:jc w:val="center"/>
            </w:pPr>
            <w:r>
              <w:rPr>
                <w:rFonts w:ascii="Times New Roman" w:hAnsi="Times New Roman"/>
                <w:color w:val="000000"/>
              </w:rPr>
              <w:t>0.0023%</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8.0521%</w:t>
            </w:r>
          </w:p>
        </w:tc>
        <w:tc>
          <w:tcPr>
            <w:vAlign w:val="center"/>
          </w:tcPr>
          <w:p>
            <w:pPr>
              <w:jc w:val="center"/>
            </w:pPr>
            <w:r>
              <w:rPr>
                <w:rFonts w:ascii="Times New Roman" w:hAnsi="Times New Roman"/>
                <w:color w:val="000000"/>
              </w:rPr>
              <w:t>0.0023%</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14.8304%</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1.5525%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13.2779%</w:t>
            </w:r>
          </w:p>
        </w:tc>
        <w:tc>
          <w:tcPr>
            <w:vAlign w:val="center"/>
          </w:tcPr>
          <w:p>
            <w:pPr>
              <w:jc w:val="center"/>
            </w:pPr>
            <w:r>
              <w:rPr>
                <w:rFonts w:ascii="Times New Roman" w:hAnsi="Times New Roman"/>
                <w:color w:val="000000"/>
              </w:rPr>
              <w:t>0.0024%</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交银施罗德活期通货币市场基金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2016年7月27日</w:t>
      </w:r>
      <w:r w:rsidR="00A7219D" w:rsidRPr="000E4C40">
        <w:rPr>
          <w:rFonts w:hAnsi="宋体"/>
          <w:color w:val="000000"/>
          <w:kern w:val="0"/>
          <w:sz w:val="24"/>
        </w:rPr>
        <w:t>至</w:t>
      </w:r>
      <w:r w:rsidR="00A7219D" w:rsidRPr="000E4C40">
        <w:rPr>
          <w:color w:val="000000"/>
          <w:kern w:val="0"/>
          <w:sz w:val="24"/>
        </w:rPr>
        <w:t>2020年12月31日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交银活期通货币A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交银活期通货币E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交银丰盈收益债券、交银活期通货币、交银裕盈纯债债券、交银裕利纯债债券、交银裕惠纯债债券的基金经理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2015年10月16日至2020年7月27日担任转型前的交银施罗德理财60天债券型证券投资基金的基金经理。2015年8月4日至2020年8月21日担任交银施罗德丰润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四季度，主要受出口、房地产投资与制造业投资以及消费等驱动，我国经济继续在修复且内生增长动能提升。十月、十一月我国出口高速增长，房地产投资维持较高增速，制造业投资增速有所提升。同时，制造业景气度维持扩张势头。社会消费进一步改善，十月、十一月社会零售消费总额同比增速继续提升。经济政策继续支持经济修复，银行信贷结构继续改善，中央经济工作会议定调明年宏观经济政策“不急转弯”。</w:t>
      </w:r>
    </w:p>
    <w:p>
      <w:pPr>
        <w:spacing w:before="29" w:line="288" w:lineRule="auto"/>
        <w:ind w:firstLine="480" w:firstLineChars="200"/>
        <w:rPr>
          <w:color w:val="000000"/>
          <w:sz w:val="24"/>
        </w:rPr>
      </w:pPr>
      <w:r>
        <w:rPr>
          <w:color w:val="000000"/>
          <w:sz w:val="24"/>
        </w:rPr>
        <w:t>货币政策方面，四季度央行公开市场操作边际转向偏宽松，货币市场迎来流动性拐点。四季度央行公开市场净投放较大，尤其是十一月底开始超预期投放MLF，以及在十二月通过逆回购与MLF向银行体系投放跨年流动性与较长期限资金。资金面上，十月至十一月下旬，由于资金面趋紧，货币市场利率中枢曾不断上移。但在十一月下旬至十二月下旬，央行投放流动性之后，资金面趋于宽松，货币市场利率中枢逐渐回落。债市方面，四季度整体呈震荡走势。十月至十一月初曾迎来一波小幅上涨，但是随后经济数据继续亮丽，十一月初债市再次下跌。随后叠加部分信用债违约事件冲击，债市继续下跌且收益率创下本轮回调至今的高点。十一月下旬随着金融监管层召开会议，要求打击逃废债行为，维护市场秩序，央行在公开市场持续投放流动性，债市终于止跌回暖，从十一月下旬至年底债市走出了一波反弹回暖行情。</w:t>
      </w:r>
    </w:p>
    <w:p>
      <w:pPr>
        <w:spacing w:before="29" w:line="288" w:lineRule="auto"/>
        <w:ind w:firstLine="480" w:firstLineChars="200"/>
        <w:rPr>
          <w:color w:val="000000"/>
          <w:sz w:val="24"/>
        </w:rPr>
      </w:pPr>
      <w:r>
        <w:rPr>
          <w:color w:val="000000"/>
          <w:sz w:val="24"/>
        </w:rPr>
        <w:t>基金操作方面，报告期内本基金提升流动性以期满足基金份额持有人潜在赎回需求，管控信用风险，择机调整组合杠杆与久期。同时考虑货币市场利率中枢的变化及央行在公开市场操作边际的改变，本基金在货币市场利率抬升后加大了存款等品种的投资力度，并且适度拉长了组合久期，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展望2021年一季度，国内经济整体上继续修复的概率较大。疫苗接种与疫情的防控可能需要较长时间。海外严重的疫情对海外经济体的冲击，甚至国内局部疫情防控对国内经济的抑制，至少在明年一季度依然存在。因此国内经济复苏的基础是否足够扎实尚待观察。支撑今年国内经济超预期的房地产投资与出口等变量也值得重点关注。预计2021年一季度央行可能保持中性货币政策为主。我们将密切关注央行货币政策操作边际上的变化以及疫情防控与疫苗接种进展。组合管理方面，本基金将跟踪研判宏观经济走势与央行货币政策操作，保持较好的流动性，力求把握市场波动机会，控制风险，力争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13,454,209,064.35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43.91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13,454,209,064.35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43.91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2,485,160,007.74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8.11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14,561,899,925.06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47.53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136,635,888.81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0.45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30,637,904,885.96</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7.87</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89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89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47</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16.93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11.49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42.82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0.30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28.06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99.60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218,940,005.25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0.71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1,370,875,426.85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4.48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1,370,875,426.85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4.48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3,308,943,080.65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10.81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291,299,927.08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0.95</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8,264,150,624.52</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26.99</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13,454,209,064.35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43.93</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180203</w:t>
            </w:r>
          </w:p>
        </w:tc>
        <w:tc>
          <w:tcPr>
            <w:vAlign w:val="center"/>
          </w:tcPr>
          <w:p>
            <w:pPr>
              <w:jc w:val="center"/>
            </w:pPr>
            <w:r>
              <w:rPr>
                <w:color w:val="000000"/>
                <w:sz w:val="24"/>
              </w:rPr>
              <w:t>18国开03</w:t>
            </w:r>
          </w:p>
        </w:tc>
        <w:tc>
          <w:tcPr>
            <w:vAlign w:val="center"/>
          </w:tcPr>
          <w:p>
            <w:pPr>
              <w:jc w:val="right"/>
            </w:pPr>
            <w:r>
              <w:rPr>
                <w:color w:val="000000"/>
                <w:sz w:val="24"/>
              </w:rPr>
              <w:t>6,800,000</w:t>
            </w:r>
          </w:p>
        </w:tc>
        <w:tc>
          <w:tcPr>
            <w:vAlign w:val="center"/>
          </w:tcPr>
          <w:p>
            <w:pPr>
              <w:jc w:val="right"/>
            </w:pPr>
            <w:r>
              <w:rPr>
                <w:color w:val="000000"/>
                <w:sz w:val="24"/>
              </w:rPr>
              <w:t>682,084,438.82</w:t>
            </w:r>
          </w:p>
        </w:tc>
        <w:tc>
          <w:tcPr>
            <w:vAlign w:val="center"/>
          </w:tcPr>
          <w:p>
            <w:pPr>
              <w:jc w:val="right"/>
            </w:pPr>
            <w:r>
              <w:rPr>
                <w:color w:val="000000"/>
                <w:sz w:val="24"/>
              </w:rPr>
              <w:t>2.23</w:t>
            </w:r>
          </w:p>
        </w:tc>
      </w:tr>
      <w:tr>
        <w:tc>
          <w:tcPr>
            <w:vAlign w:val="center"/>
          </w:tcPr>
          <w:p>
            <w:pPr>
              <w:jc w:val="center"/>
            </w:pPr>
            <w:r>
              <w:rPr>
                <w:color w:val="000000"/>
                <w:sz w:val="24"/>
              </w:rPr>
              <w:t>2</w:t>
            </w:r>
          </w:p>
        </w:tc>
        <w:tc>
          <w:tcPr>
            <w:vAlign w:val="center"/>
          </w:tcPr>
          <w:p>
            <w:pPr>
              <w:jc w:val="center"/>
            </w:pPr>
            <w:r>
              <w:rPr>
                <w:color w:val="000000"/>
                <w:sz w:val="24"/>
              </w:rPr>
              <w:t>012004308</w:t>
            </w:r>
          </w:p>
        </w:tc>
        <w:tc>
          <w:tcPr>
            <w:vAlign w:val="center"/>
          </w:tcPr>
          <w:p>
            <w:pPr>
              <w:jc w:val="center"/>
            </w:pPr>
            <w:r>
              <w:rPr>
                <w:color w:val="000000"/>
                <w:sz w:val="24"/>
              </w:rPr>
              <w:t>20电网SCP048</w:t>
            </w:r>
          </w:p>
        </w:tc>
        <w:tc>
          <w:tcPr>
            <w:vAlign w:val="center"/>
          </w:tcPr>
          <w:p>
            <w:pPr>
              <w:jc w:val="right"/>
            </w:pPr>
            <w:r>
              <w:rPr>
                <w:color w:val="000000"/>
                <w:sz w:val="24"/>
              </w:rPr>
              <w:t>6,000,000</w:t>
            </w:r>
          </w:p>
        </w:tc>
        <w:tc>
          <w:tcPr>
            <w:vAlign w:val="center"/>
          </w:tcPr>
          <w:p>
            <w:pPr>
              <w:jc w:val="right"/>
            </w:pPr>
            <w:r>
              <w:rPr>
                <w:color w:val="000000"/>
                <w:sz w:val="24"/>
              </w:rPr>
              <w:t>599,917,856.26</w:t>
            </w:r>
          </w:p>
        </w:tc>
        <w:tc>
          <w:tcPr>
            <w:vAlign w:val="center"/>
          </w:tcPr>
          <w:p>
            <w:pPr>
              <w:jc w:val="right"/>
            </w:pPr>
            <w:r>
              <w:rPr>
                <w:color w:val="000000"/>
                <w:sz w:val="24"/>
              </w:rPr>
              <w:t>1.96</w:t>
            </w:r>
          </w:p>
        </w:tc>
      </w:tr>
      <w:tr>
        <w:tc>
          <w:tcPr>
            <w:vAlign w:val="center"/>
          </w:tcPr>
          <w:p>
            <w:pPr>
              <w:jc w:val="center"/>
            </w:pPr>
            <w:r>
              <w:rPr>
                <w:color w:val="000000"/>
                <w:sz w:val="24"/>
              </w:rPr>
              <w:t>3</w:t>
            </w:r>
          </w:p>
        </w:tc>
        <w:tc>
          <w:tcPr>
            <w:vAlign w:val="center"/>
          </w:tcPr>
          <w:p>
            <w:pPr>
              <w:jc w:val="center"/>
            </w:pPr>
            <w:r>
              <w:rPr>
                <w:color w:val="000000"/>
                <w:sz w:val="24"/>
              </w:rPr>
              <w:t>112076015</w:t>
            </w:r>
          </w:p>
        </w:tc>
        <w:tc>
          <w:tcPr>
            <w:vAlign w:val="center"/>
          </w:tcPr>
          <w:p>
            <w:pPr>
              <w:jc w:val="center"/>
            </w:pPr>
            <w:r>
              <w:rPr>
                <w:color w:val="000000"/>
                <w:sz w:val="24"/>
              </w:rPr>
              <w:t>20苏州银行CD320</w:t>
            </w:r>
          </w:p>
        </w:tc>
        <w:tc>
          <w:tcPr>
            <w:vAlign w:val="center"/>
          </w:tcPr>
          <w:p>
            <w:pPr>
              <w:jc w:val="right"/>
            </w:pPr>
            <w:r>
              <w:rPr>
                <w:color w:val="000000"/>
                <w:sz w:val="24"/>
              </w:rPr>
              <w:t>5,000,000</w:t>
            </w:r>
          </w:p>
        </w:tc>
        <w:tc>
          <w:tcPr>
            <w:vAlign w:val="center"/>
          </w:tcPr>
          <w:p>
            <w:pPr>
              <w:jc w:val="right"/>
            </w:pPr>
            <w:r>
              <w:rPr>
                <w:color w:val="000000"/>
                <w:sz w:val="24"/>
              </w:rPr>
              <w:t>496,983,103.19</w:t>
            </w:r>
          </w:p>
        </w:tc>
        <w:tc>
          <w:tcPr>
            <w:vAlign w:val="center"/>
          </w:tcPr>
          <w:p>
            <w:pPr>
              <w:jc w:val="right"/>
            </w:pPr>
            <w:r>
              <w:rPr>
                <w:color w:val="000000"/>
                <w:sz w:val="24"/>
              </w:rPr>
              <w:t>1.62</w:t>
            </w:r>
          </w:p>
        </w:tc>
      </w:tr>
      <w:tr>
        <w:tc>
          <w:tcPr>
            <w:vAlign w:val="center"/>
          </w:tcPr>
          <w:p>
            <w:pPr>
              <w:jc w:val="center"/>
            </w:pPr>
            <w:r>
              <w:rPr>
                <w:color w:val="000000"/>
                <w:sz w:val="24"/>
              </w:rPr>
              <w:t>4</w:t>
            </w:r>
          </w:p>
        </w:tc>
        <w:tc>
          <w:tcPr>
            <w:vAlign w:val="center"/>
          </w:tcPr>
          <w:p>
            <w:pPr>
              <w:jc w:val="center"/>
            </w:pPr>
            <w:r>
              <w:rPr>
                <w:color w:val="000000"/>
                <w:sz w:val="24"/>
              </w:rPr>
              <w:t>042000104</w:t>
            </w:r>
          </w:p>
        </w:tc>
        <w:tc>
          <w:tcPr>
            <w:vAlign w:val="center"/>
          </w:tcPr>
          <w:p>
            <w:pPr>
              <w:jc w:val="center"/>
            </w:pPr>
            <w:r>
              <w:rPr>
                <w:color w:val="000000"/>
                <w:sz w:val="24"/>
              </w:rPr>
              <w:t>20电网CP001</w:t>
            </w:r>
          </w:p>
        </w:tc>
        <w:tc>
          <w:tcPr>
            <w:vAlign w:val="center"/>
          </w:tcPr>
          <w:p>
            <w:pPr>
              <w:jc w:val="right"/>
            </w:pPr>
            <w:r>
              <w:rPr>
                <w:color w:val="000000"/>
                <w:sz w:val="24"/>
              </w:rPr>
              <w:t>4,800,000</w:t>
            </w:r>
          </w:p>
        </w:tc>
        <w:tc>
          <w:tcPr>
            <w:vAlign w:val="center"/>
          </w:tcPr>
          <w:p>
            <w:pPr>
              <w:jc w:val="right"/>
            </w:pPr>
            <w:r>
              <w:rPr>
                <w:color w:val="000000"/>
                <w:sz w:val="24"/>
              </w:rPr>
              <w:t>480,718,376.20</w:t>
            </w:r>
          </w:p>
        </w:tc>
        <w:tc>
          <w:tcPr>
            <w:vAlign w:val="center"/>
          </w:tcPr>
          <w:p>
            <w:pPr>
              <w:jc w:val="right"/>
            </w:pPr>
            <w:r>
              <w:rPr>
                <w:color w:val="000000"/>
                <w:sz w:val="24"/>
              </w:rPr>
              <w:t>1.57</w:t>
            </w:r>
          </w:p>
        </w:tc>
      </w:tr>
      <w:tr>
        <w:tc>
          <w:tcPr>
            <w:vAlign w:val="center"/>
          </w:tcPr>
          <w:p>
            <w:pPr>
              <w:jc w:val="center"/>
            </w:pPr>
            <w:r>
              <w:rPr>
                <w:color w:val="000000"/>
                <w:sz w:val="24"/>
              </w:rPr>
              <w:t>5</w:t>
            </w:r>
          </w:p>
        </w:tc>
        <w:tc>
          <w:tcPr>
            <w:vAlign w:val="center"/>
          </w:tcPr>
          <w:p>
            <w:pPr>
              <w:jc w:val="center"/>
            </w:pPr>
            <w:r>
              <w:rPr>
                <w:color w:val="000000"/>
                <w:sz w:val="24"/>
              </w:rPr>
              <w:t>200306</w:t>
            </w:r>
          </w:p>
        </w:tc>
        <w:tc>
          <w:tcPr>
            <w:vAlign w:val="center"/>
          </w:tcPr>
          <w:p>
            <w:pPr>
              <w:jc w:val="center"/>
            </w:pPr>
            <w:r>
              <w:rPr>
                <w:color w:val="000000"/>
                <w:sz w:val="24"/>
              </w:rPr>
              <w:t>20进出06</w:t>
            </w:r>
          </w:p>
        </w:tc>
        <w:tc>
          <w:tcPr>
            <w:vAlign w:val="center"/>
          </w:tcPr>
          <w:p>
            <w:pPr>
              <w:jc w:val="right"/>
            </w:pPr>
            <w:r>
              <w:rPr>
                <w:color w:val="000000"/>
                <w:sz w:val="24"/>
              </w:rPr>
              <w:t>4,700,000</w:t>
            </w:r>
          </w:p>
        </w:tc>
        <w:tc>
          <w:tcPr>
            <w:vAlign w:val="center"/>
          </w:tcPr>
          <w:p>
            <w:pPr>
              <w:jc w:val="right"/>
            </w:pPr>
            <w:r>
              <w:rPr>
                <w:color w:val="000000"/>
                <w:sz w:val="24"/>
              </w:rPr>
              <w:t>468,696,403.61</w:t>
            </w:r>
          </w:p>
        </w:tc>
        <w:tc>
          <w:tcPr>
            <w:vAlign w:val="center"/>
          </w:tcPr>
          <w:p>
            <w:pPr>
              <w:jc w:val="right"/>
            </w:pPr>
            <w:r>
              <w:rPr>
                <w:color w:val="000000"/>
                <w:sz w:val="24"/>
              </w:rPr>
              <w:t>1.53</w:t>
            </w:r>
          </w:p>
        </w:tc>
      </w:tr>
      <w:tr>
        <w:tc>
          <w:tcPr>
            <w:vAlign w:val="center"/>
          </w:tcPr>
          <w:p>
            <w:pPr>
              <w:jc w:val="center"/>
            </w:pPr>
            <w:r>
              <w:rPr>
                <w:color w:val="000000"/>
                <w:sz w:val="24"/>
              </w:rPr>
              <w:t>6</w:t>
            </w:r>
          </w:p>
        </w:tc>
        <w:tc>
          <w:tcPr>
            <w:vAlign w:val="center"/>
          </w:tcPr>
          <w:p>
            <w:pPr>
              <w:jc w:val="center"/>
            </w:pPr>
            <w:r>
              <w:rPr>
                <w:color w:val="000000"/>
                <w:sz w:val="24"/>
              </w:rPr>
              <w:t>112075898</w:t>
            </w:r>
          </w:p>
        </w:tc>
        <w:tc>
          <w:tcPr>
            <w:vAlign w:val="center"/>
          </w:tcPr>
          <w:p>
            <w:pPr>
              <w:jc w:val="center"/>
            </w:pPr>
            <w:r>
              <w:rPr>
                <w:color w:val="000000"/>
                <w:sz w:val="24"/>
              </w:rPr>
              <w:t>20苏州银行CD319</w:t>
            </w:r>
          </w:p>
        </w:tc>
        <w:tc>
          <w:tcPr>
            <w:vAlign w:val="center"/>
          </w:tcPr>
          <w:p>
            <w:pPr>
              <w:jc w:val="right"/>
            </w:pPr>
            <w:r>
              <w:rPr>
                <w:color w:val="000000"/>
                <w:sz w:val="24"/>
              </w:rPr>
              <w:t>4,000,000</w:t>
            </w:r>
          </w:p>
        </w:tc>
        <w:tc>
          <w:tcPr>
            <w:vAlign w:val="center"/>
          </w:tcPr>
          <w:p>
            <w:pPr>
              <w:jc w:val="right"/>
            </w:pPr>
            <w:r>
              <w:rPr>
                <w:color w:val="000000"/>
                <w:sz w:val="24"/>
              </w:rPr>
              <w:t>397,606,722.45</w:t>
            </w:r>
          </w:p>
        </w:tc>
        <w:tc>
          <w:tcPr>
            <w:vAlign w:val="center"/>
          </w:tcPr>
          <w:p>
            <w:pPr>
              <w:jc w:val="right"/>
            </w:pPr>
            <w:r>
              <w:rPr>
                <w:color w:val="000000"/>
                <w:sz w:val="24"/>
              </w:rPr>
              <w:t>1.30</w:t>
            </w:r>
          </w:p>
        </w:tc>
      </w:tr>
      <w:tr>
        <w:tc>
          <w:tcPr>
            <w:vAlign w:val="center"/>
          </w:tcPr>
          <w:p>
            <w:pPr>
              <w:jc w:val="center"/>
            </w:pPr>
            <w:r>
              <w:rPr>
                <w:color w:val="000000"/>
                <w:sz w:val="24"/>
              </w:rPr>
              <w:t>7</w:t>
            </w:r>
          </w:p>
        </w:tc>
        <w:tc>
          <w:tcPr>
            <w:vAlign w:val="center"/>
          </w:tcPr>
          <w:p>
            <w:pPr>
              <w:jc w:val="center"/>
            </w:pPr>
            <w:r>
              <w:rPr>
                <w:color w:val="000000"/>
                <w:sz w:val="24"/>
              </w:rPr>
              <w:t>012003262</w:t>
            </w:r>
          </w:p>
        </w:tc>
        <w:tc>
          <w:tcPr>
            <w:vAlign w:val="center"/>
          </w:tcPr>
          <w:p>
            <w:pPr>
              <w:jc w:val="center"/>
            </w:pPr>
            <w:r>
              <w:rPr>
                <w:color w:val="000000"/>
                <w:sz w:val="24"/>
              </w:rPr>
              <w:t>20中电信SCP009</w:t>
            </w:r>
          </w:p>
        </w:tc>
        <w:tc>
          <w:tcPr>
            <w:vAlign w:val="center"/>
          </w:tcPr>
          <w:p>
            <w:pPr>
              <w:jc w:val="right"/>
            </w:pPr>
            <w:r>
              <w:rPr>
                <w:color w:val="000000"/>
                <w:sz w:val="24"/>
              </w:rPr>
              <w:t>3,000,000</w:t>
            </w:r>
          </w:p>
        </w:tc>
        <w:tc>
          <w:tcPr>
            <w:vAlign w:val="center"/>
          </w:tcPr>
          <w:p>
            <w:pPr>
              <w:jc w:val="right"/>
            </w:pPr>
            <w:r>
              <w:rPr>
                <w:color w:val="000000"/>
                <w:sz w:val="24"/>
              </w:rPr>
              <w:t>299,574,732.70</w:t>
            </w:r>
          </w:p>
        </w:tc>
        <w:tc>
          <w:tcPr>
            <w:vAlign w:val="center"/>
          </w:tcPr>
          <w:p>
            <w:pPr>
              <w:jc w:val="right"/>
            </w:pPr>
            <w:r>
              <w:rPr>
                <w:color w:val="000000"/>
                <w:sz w:val="24"/>
              </w:rPr>
              <w:t>0.98</w:t>
            </w:r>
          </w:p>
        </w:tc>
      </w:tr>
      <w:tr>
        <w:tc>
          <w:tcPr>
            <w:vAlign w:val="center"/>
          </w:tcPr>
          <w:p>
            <w:pPr>
              <w:jc w:val="center"/>
            </w:pPr>
            <w:r>
              <w:rPr>
                <w:color w:val="000000"/>
                <w:sz w:val="24"/>
              </w:rPr>
              <w:t>8</w:t>
            </w:r>
          </w:p>
        </w:tc>
        <w:tc>
          <w:tcPr>
            <w:vAlign w:val="center"/>
          </w:tcPr>
          <w:p>
            <w:pPr>
              <w:jc w:val="center"/>
            </w:pPr>
            <w:r>
              <w:rPr>
                <w:color w:val="000000"/>
                <w:sz w:val="24"/>
              </w:rPr>
              <w:t>112076157</w:t>
            </w:r>
          </w:p>
        </w:tc>
        <w:tc>
          <w:tcPr>
            <w:vAlign w:val="center"/>
          </w:tcPr>
          <w:p>
            <w:pPr>
              <w:jc w:val="center"/>
            </w:pPr>
            <w:r>
              <w:rPr>
                <w:color w:val="000000"/>
                <w:sz w:val="24"/>
              </w:rPr>
              <w:t>20湖北银行CD088</w:t>
            </w:r>
          </w:p>
        </w:tc>
        <w:tc>
          <w:tcPr>
            <w:vAlign w:val="center"/>
          </w:tcPr>
          <w:p>
            <w:pPr>
              <w:jc w:val="right"/>
            </w:pPr>
            <w:r>
              <w:rPr>
                <w:color w:val="000000"/>
                <w:sz w:val="24"/>
              </w:rPr>
              <w:t>3,000,000</w:t>
            </w:r>
          </w:p>
        </w:tc>
        <w:tc>
          <w:tcPr>
            <w:vAlign w:val="center"/>
          </w:tcPr>
          <w:p>
            <w:pPr>
              <w:jc w:val="right"/>
            </w:pPr>
            <w:r>
              <w:rPr>
                <w:color w:val="000000"/>
                <w:sz w:val="24"/>
              </w:rPr>
              <w:t>299,357,907.82</w:t>
            </w:r>
          </w:p>
        </w:tc>
        <w:tc>
          <w:tcPr>
            <w:vAlign w:val="center"/>
          </w:tcPr>
          <w:p>
            <w:pPr>
              <w:jc w:val="right"/>
            </w:pPr>
            <w:r>
              <w:rPr>
                <w:color w:val="000000"/>
                <w:sz w:val="24"/>
              </w:rPr>
              <w:t>0.98</w:t>
            </w:r>
          </w:p>
        </w:tc>
      </w:tr>
      <w:tr>
        <w:tc>
          <w:tcPr>
            <w:vAlign w:val="center"/>
          </w:tcPr>
          <w:p>
            <w:pPr>
              <w:jc w:val="center"/>
            </w:pPr>
            <w:r>
              <w:rPr>
                <w:color w:val="000000"/>
                <w:sz w:val="24"/>
              </w:rPr>
              <w:t>9</w:t>
            </w:r>
          </w:p>
        </w:tc>
        <w:tc>
          <w:tcPr>
            <w:vAlign w:val="center"/>
          </w:tcPr>
          <w:p>
            <w:pPr>
              <w:jc w:val="center"/>
            </w:pPr>
            <w:r>
              <w:rPr>
                <w:color w:val="000000"/>
                <w:sz w:val="24"/>
              </w:rPr>
              <w:t>112076283</w:t>
            </w:r>
          </w:p>
        </w:tc>
        <w:tc>
          <w:tcPr>
            <w:vAlign w:val="center"/>
          </w:tcPr>
          <w:p>
            <w:pPr>
              <w:jc w:val="center"/>
            </w:pPr>
            <w:r>
              <w:rPr>
                <w:color w:val="000000"/>
                <w:sz w:val="24"/>
              </w:rPr>
              <w:t>20成都银行CD351</w:t>
            </w:r>
          </w:p>
        </w:tc>
        <w:tc>
          <w:tcPr>
            <w:vAlign w:val="center"/>
          </w:tcPr>
          <w:p>
            <w:pPr>
              <w:jc w:val="right"/>
            </w:pPr>
            <w:r>
              <w:rPr>
                <w:color w:val="000000"/>
                <w:sz w:val="24"/>
              </w:rPr>
              <w:t>3,000,000</w:t>
            </w:r>
          </w:p>
        </w:tc>
        <w:tc>
          <w:tcPr>
            <w:vAlign w:val="center"/>
          </w:tcPr>
          <w:p>
            <w:pPr>
              <w:jc w:val="right"/>
            </w:pPr>
            <w:r>
              <w:rPr>
                <w:color w:val="000000"/>
                <w:sz w:val="24"/>
              </w:rPr>
              <w:t>298,102,902.74</w:t>
            </w:r>
          </w:p>
        </w:tc>
        <w:tc>
          <w:tcPr>
            <w:vAlign w:val="center"/>
          </w:tcPr>
          <w:p>
            <w:pPr>
              <w:jc w:val="right"/>
            </w:pPr>
            <w:r>
              <w:rPr>
                <w:color w:val="000000"/>
                <w:sz w:val="24"/>
              </w:rPr>
              <w:t>0.97</w:t>
            </w:r>
          </w:p>
        </w:tc>
      </w:tr>
      <w:tr>
        <w:tc>
          <w:tcPr>
            <w:vAlign w:val="center"/>
          </w:tcPr>
          <w:p>
            <w:pPr>
              <w:jc w:val="center"/>
            </w:pPr>
            <w:r>
              <w:rPr>
                <w:color w:val="000000"/>
                <w:sz w:val="24"/>
              </w:rPr>
              <w:t>10</w:t>
            </w:r>
          </w:p>
        </w:tc>
        <w:tc>
          <w:tcPr>
            <w:vAlign w:val="center"/>
          </w:tcPr>
          <w:p>
            <w:pPr>
              <w:jc w:val="center"/>
            </w:pPr>
            <w:r>
              <w:rPr>
                <w:color w:val="000000"/>
                <w:sz w:val="24"/>
              </w:rPr>
              <w:t>112073934</w:t>
            </w:r>
          </w:p>
        </w:tc>
        <w:tc>
          <w:tcPr>
            <w:vAlign w:val="center"/>
          </w:tcPr>
          <w:p>
            <w:pPr>
              <w:jc w:val="center"/>
            </w:pPr>
            <w:r>
              <w:rPr>
                <w:color w:val="000000"/>
                <w:sz w:val="24"/>
              </w:rPr>
              <w:t>20晋商银行CD225</w:t>
            </w:r>
          </w:p>
        </w:tc>
        <w:tc>
          <w:tcPr>
            <w:vAlign w:val="center"/>
          </w:tcPr>
          <w:p>
            <w:pPr>
              <w:jc w:val="right"/>
            </w:pPr>
            <w:r>
              <w:rPr>
                <w:color w:val="000000"/>
                <w:sz w:val="24"/>
              </w:rPr>
              <w:t>3,000,000</w:t>
            </w:r>
          </w:p>
        </w:tc>
        <w:tc>
          <w:tcPr>
            <w:vAlign w:val="center"/>
          </w:tcPr>
          <w:p>
            <w:pPr>
              <w:jc w:val="right"/>
            </w:pPr>
            <w:r>
              <w:rPr>
                <w:color w:val="000000"/>
                <w:sz w:val="24"/>
              </w:rPr>
              <w:t>295,756,762.41</w:t>
            </w:r>
          </w:p>
        </w:tc>
        <w:tc>
          <w:tcPr>
            <w:vAlign w:val="center"/>
          </w:tcPr>
          <w:p>
            <w:pPr>
              <w:jc w:val="right"/>
            </w:pPr>
            <w:r>
              <w:rPr>
                <w:color w:val="000000"/>
                <w:sz w:val="24"/>
              </w:rPr>
              <w:t>0.97</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0.0589%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0.0164%</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0.0317%</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本基金本报告期内未存在正偏离度的绝对值达到0.50%情况。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bookmarkStart w:id="2" w:name="_GoBack"/>
      <w:r w:rsidR="00615DAC" w:rsidRPr="00615DAC">
        <w:rPr>
          <w:rFonts w:hAnsi="宋体" w:hint="eastAsia"/>
          <w:b/>
          <w:color w:val="000000"/>
          <w:kern w:val="0"/>
          <w:sz w:val="24"/>
        </w:rPr>
        <w:t>摊余成本</w:t>
      </w:r>
      <w:bookmarkEnd w:id="2"/>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136,603,248.99</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32,639.82</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136,635,888.81</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交银活期通货币A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交银活期通货币E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12,844,960,142.38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17,190,326,248.12</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10,067,244,871.42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7,469,609,268.78</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10,498,364,895.27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6,450,774,968.64</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12,413,840,118.53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18,209,160,548.26</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1,347,552.85</w:t>
            </w:r>
          </w:p>
        </w:tc>
        <w:tc>
          <w:tcPr>
            <w:vAlign w:val="center"/>
          </w:tcPr>
          <w:p>
            <w:pPr>
              <w:jc w:val="right"/>
            </w:pPr>
            <w:r>
              <w:rPr>
                <w:color w:val="000000"/>
                <w:sz w:val="24"/>
              </w:rPr>
              <w:t>1,347,552.85</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1,347,552.85</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1,347,552.85</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注：1、本基金管理人本报告期末持有本基金E类份额209,615,545.38份，占本基金期末E类基金总份额的1.15%</w:t>
      </w:r>
    </w:p>
    <w:p>
      <w:pPr>
        <w:autoSpaceDE w:val="0"/>
        <w:autoSpaceDN w:val="0"/>
        <w:adjustRightInd w:val="0"/>
        <w:spacing w:before="29" w:line="288" w:lineRule="auto"/>
        <w:jc w:val="left"/>
        <w:rPr>
          <w:color w:val="000000"/>
          <w:sz w:val="24"/>
        </w:rPr>
      </w:pPr>
      <w:r>
        <w:rPr>
          <w:color w:val="000000"/>
          <w:sz w:val="24"/>
        </w:rPr>
        <w:t>，本基金管理人本报告期末持有本基金A类份额0.00份，占本基金期末A类基金总份额的0.00%。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1、中国证监会准予交银施罗德活期通货币市场基金募集注册的文件； </w:t>
      </w:r>
    </w:p>
    <w:p>
      <w:pPr>
        <w:spacing w:before="29" w:line="288" w:lineRule="auto"/>
        <w:ind w:firstLine="480" w:firstLineChars="200"/>
        <w:rPr>
          <w:color w:val="000000"/>
          <w:sz w:val="24"/>
        </w:rPr>
      </w:pPr>
      <w:r>
        <w:rPr>
          <w:color w:val="000000"/>
          <w:sz w:val="24"/>
        </w:rPr>
        <w:t xml:space="preserve">2、《交银施罗德活期通货币市场基金基金合同》； </w:t>
      </w:r>
    </w:p>
    <w:p>
      <w:pPr>
        <w:spacing w:before="29" w:line="288" w:lineRule="auto"/>
        <w:ind w:firstLine="480" w:firstLineChars="200"/>
        <w:rPr>
          <w:color w:val="000000"/>
          <w:sz w:val="24"/>
        </w:rPr>
      </w:pPr>
      <w:r>
        <w:rPr>
          <w:color w:val="000000"/>
          <w:sz w:val="24"/>
        </w:rPr>
        <w:t xml:space="preserve">3、《交银施罗德活期通货币市场基金招募说明书》； </w:t>
      </w:r>
    </w:p>
    <w:p>
      <w:pPr>
        <w:spacing w:before="29" w:line="288" w:lineRule="auto"/>
        <w:ind w:firstLine="480" w:firstLineChars="200"/>
        <w:rPr>
          <w:color w:val="000000"/>
          <w:sz w:val="24"/>
        </w:rPr>
      </w:pPr>
      <w:r>
        <w:rPr>
          <w:color w:val="000000"/>
          <w:sz w:val="24"/>
        </w:rPr>
        <w:t xml:space="preserve">4、《交银施罗德活期通货币市场基金托管协议》； </w:t>
      </w:r>
    </w:p>
    <w:p>
      <w:pPr>
        <w:spacing w:before="29" w:line="288" w:lineRule="auto"/>
        <w:ind w:firstLine="480" w:firstLineChars="200"/>
        <w:rPr>
          <w:color w:val="000000"/>
          <w:sz w:val="24"/>
        </w:rPr>
      </w:pPr>
      <w:r>
        <w:rPr>
          <w:color w:val="000000"/>
          <w:sz w:val="24"/>
        </w:rPr>
        <w:t xml:space="preserve">5、关于申请募集注册交银施罗德活期通货币市场基金的法律意见书；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8、报告期内交银施罗德活期通货币市场基金在指定报刊上各项公告的原稿。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D6" w:rsidRDefault="00F079D6">
      <w:r>
        <w:separator/>
      </w:r>
    </w:p>
  </w:endnote>
  <w:endnote w:type="continuationSeparator" w:id="0">
    <w:p w:rsidR="00F079D6" w:rsidRDefault="00F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5DAC">
      <w:rPr>
        <w:noProof/>
        <w:kern w:val="0"/>
        <w:szCs w:val="21"/>
      </w:rPr>
      <w:t>17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615DAC">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F079D6" w:rsidRDefault="00F079D6">
      <w:r>
        <w:separator/>
      </w:r>
    </w:p>
  </w:footnote>
  <w:footnote w:id="0" w:type="continuationSeparator">
    <w:p w:rsidR="00F079D6" w:rsidRDefault="00F079D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交银施罗德活期通货币市场基金2020年第4季度报告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46AF8F-3886-48C3-B4A6-13B4F36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2020-08-06T06:44:00Z</dcterms:modified>
  <cp:revision>337</cp:revision>
</cp:coreProperties>
</file>