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838E2" w:rsidRDefault="001F329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764,173,135.28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在严格控制投资风险和保持资产流动性的基础上，力争实现基金资产的长期稳定增值。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r w:rsidRPr="00414345">
              <w:rPr>
                <w:color w:val="000000"/>
                <w:kern w:val="0"/>
                <w:sz w:val="24"/>
                <w:szCs w:val="24"/>
              </w:rPr>
              <w:t>×50%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F31D5" w:rsidRPr="00414345" w:rsidTr="000F31D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F31D5" w:rsidRPr="00414345" w:rsidTr="000F31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13,546,545.96</w:t>
            </w:r>
          </w:p>
        </w:tc>
      </w:tr>
      <w:tr w:rsidR="000F31D5" w:rsidRPr="00414345" w:rsidTr="000F31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39,198,108.10</w:t>
            </w:r>
          </w:p>
        </w:tc>
      </w:tr>
      <w:tr w:rsidR="000F31D5" w:rsidRPr="00414345" w:rsidTr="000F31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0.0535</w:t>
            </w:r>
          </w:p>
        </w:tc>
      </w:tr>
      <w:tr w:rsidR="000F31D5" w:rsidRPr="00414345" w:rsidTr="000F31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966,255,573.98</w:t>
            </w:r>
          </w:p>
        </w:tc>
      </w:tr>
      <w:tr w:rsidR="000F31D5" w:rsidRPr="00414345" w:rsidTr="000F31D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1.264</w:t>
            </w:r>
          </w:p>
        </w:tc>
      </w:tr>
    </w:tbl>
    <w:p w:rsidR="005838E2" w:rsidRDefault="001F32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838E2">
        <w:trPr>
          <w:jc w:val="center"/>
        </w:trPr>
        <w:tc>
          <w:tcPr>
            <w:tcW w:w="1701" w:type="dxa"/>
            <w:vAlign w:val="center"/>
          </w:tcPr>
          <w:p w:rsidR="005838E2" w:rsidRDefault="001F3292">
            <w:pPr>
              <w:jc w:val="left"/>
            </w:pPr>
            <w:r>
              <w:rPr>
                <w:color w:val="000000"/>
                <w:sz w:val="24"/>
                <w:szCs w:val="24"/>
              </w:rPr>
              <w:t>过去三个月</w:t>
            </w:r>
          </w:p>
        </w:tc>
        <w:tc>
          <w:tcPr>
            <w:tcW w:w="1045" w:type="dxa"/>
            <w:vAlign w:val="center"/>
          </w:tcPr>
          <w:p w:rsidR="005838E2" w:rsidRDefault="001F3292">
            <w:pPr>
              <w:jc w:val="center"/>
            </w:pPr>
            <w:r>
              <w:rPr>
                <w:color w:val="000000"/>
                <w:sz w:val="24"/>
                <w:szCs w:val="24"/>
              </w:rPr>
              <w:t>4.46%</w:t>
            </w:r>
          </w:p>
        </w:tc>
        <w:tc>
          <w:tcPr>
            <w:tcW w:w="1344" w:type="dxa"/>
            <w:vAlign w:val="center"/>
          </w:tcPr>
          <w:p w:rsidR="005838E2" w:rsidRDefault="001F3292">
            <w:pPr>
              <w:jc w:val="center"/>
            </w:pPr>
            <w:r>
              <w:rPr>
                <w:color w:val="000000"/>
                <w:sz w:val="24"/>
                <w:szCs w:val="24"/>
              </w:rPr>
              <w:t>0.20%</w:t>
            </w:r>
          </w:p>
        </w:tc>
        <w:tc>
          <w:tcPr>
            <w:tcW w:w="1194" w:type="dxa"/>
            <w:vAlign w:val="center"/>
          </w:tcPr>
          <w:p w:rsidR="005838E2" w:rsidRDefault="001F3292">
            <w:pPr>
              <w:jc w:val="center"/>
            </w:pPr>
            <w:r>
              <w:rPr>
                <w:color w:val="000000"/>
                <w:sz w:val="24"/>
                <w:szCs w:val="24"/>
              </w:rPr>
              <w:t>7.00%</w:t>
            </w:r>
          </w:p>
        </w:tc>
        <w:tc>
          <w:tcPr>
            <w:tcW w:w="1492" w:type="dxa"/>
            <w:vAlign w:val="center"/>
          </w:tcPr>
          <w:p w:rsidR="005838E2" w:rsidRDefault="001F3292">
            <w:pPr>
              <w:jc w:val="center"/>
            </w:pPr>
            <w:r>
              <w:rPr>
                <w:color w:val="000000"/>
                <w:sz w:val="24"/>
                <w:szCs w:val="24"/>
              </w:rPr>
              <w:t>0.50%</w:t>
            </w:r>
          </w:p>
        </w:tc>
        <w:tc>
          <w:tcPr>
            <w:tcW w:w="1194" w:type="dxa"/>
            <w:vAlign w:val="center"/>
          </w:tcPr>
          <w:p w:rsidR="005838E2" w:rsidRDefault="001F3292">
            <w:pPr>
              <w:jc w:val="center"/>
            </w:pPr>
            <w:r>
              <w:rPr>
                <w:color w:val="000000"/>
                <w:sz w:val="24"/>
                <w:szCs w:val="24"/>
              </w:rPr>
              <w:t>-2.54%</w:t>
            </w:r>
          </w:p>
        </w:tc>
        <w:tc>
          <w:tcPr>
            <w:tcW w:w="898" w:type="dxa"/>
            <w:vAlign w:val="center"/>
          </w:tcPr>
          <w:p w:rsidR="005838E2" w:rsidRDefault="001F3292">
            <w:pPr>
              <w:jc w:val="center"/>
            </w:pPr>
            <w:r>
              <w:rPr>
                <w:color w:val="000000"/>
                <w:sz w:val="24"/>
                <w:szCs w:val="24"/>
              </w:rPr>
              <w:t>-0.30%</w:t>
            </w:r>
          </w:p>
        </w:tc>
      </w:tr>
      <w:tr w:rsidR="005838E2">
        <w:trPr>
          <w:jc w:val="center"/>
        </w:trPr>
        <w:tc>
          <w:tcPr>
            <w:tcW w:w="1701" w:type="dxa"/>
            <w:vAlign w:val="center"/>
          </w:tcPr>
          <w:p w:rsidR="005838E2" w:rsidRDefault="001F3292">
            <w:pPr>
              <w:jc w:val="left"/>
            </w:pPr>
            <w:r>
              <w:rPr>
                <w:color w:val="000000"/>
                <w:sz w:val="24"/>
                <w:szCs w:val="24"/>
              </w:rPr>
              <w:t>过去六个月</w:t>
            </w:r>
          </w:p>
        </w:tc>
        <w:tc>
          <w:tcPr>
            <w:tcW w:w="1045" w:type="dxa"/>
            <w:vAlign w:val="center"/>
          </w:tcPr>
          <w:p w:rsidR="005838E2" w:rsidRDefault="001F3292">
            <w:pPr>
              <w:jc w:val="center"/>
            </w:pPr>
            <w:r>
              <w:rPr>
                <w:color w:val="000000"/>
                <w:sz w:val="24"/>
                <w:szCs w:val="24"/>
              </w:rPr>
              <w:t>11.07%</w:t>
            </w:r>
          </w:p>
        </w:tc>
        <w:tc>
          <w:tcPr>
            <w:tcW w:w="1344" w:type="dxa"/>
            <w:vAlign w:val="center"/>
          </w:tcPr>
          <w:p w:rsidR="005838E2" w:rsidRDefault="001F3292">
            <w:pPr>
              <w:jc w:val="center"/>
            </w:pPr>
            <w:r>
              <w:rPr>
                <w:color w:val="000000"/>
                <w:sz w:val="24"/>
                <w:szCs w:val="24"/>
              </w:rPr>
              <w:t>0.27%</w:t>
            </w:r>
          </w:p>
        </w:tc>
        <w:tc>
          <w:tcPr>
            <w:tcW w:w="1194" w:type="dxa"/>
            <w:vAlign w:val="center"/>
          </w:tcPr>
          <w:p w:rsidR="005838E2" w:rsidRDefault="001F3292">
            <w:pPr>
              <w:jc w:val="center"/>
            </w:pPr>
            <w:r>
              <w:rPr>
                <w:color w:val="000000"/>
                <w:sz w:val="24"/>
                <w:szCs w:val="24"/>
              </w:rPr>
              <w:t>11.73%</w:t>
            </w:r>
          </w:p>
        </w:tc>
        <w:tc>
          <w:tcPr>
            <w:tcW w:w="1492" w:type="dxa"/>
            <w:vAlign w:val="center"/>
          </w:tcPr>
          <w:p w:rsidR="005838E2" w:rsidRDefault="001F3292">
            <w:pPr>
              <w:jc w:val="center"/>
            </w:pPr>
            <w:r>
              <w:rPr>
                <w:color w:val="000000"/>
                <w:sz w:val="24"/>
                <w:szCs w:val="24"/>
              </w:rPr>
              <w:t>0.66%</w:t>
            </w:r>
          </w:p>
        </w:tc>
        <w:tc>
          <w:tcPr>
            <w:tcW w:w="1194" w:type="dxa"/>
            <w:vAlign w:val="center"/>
          </w:tcPr>
          <w:p w:rsidR="005838E2" w:rsidRDefault="001F3292">
            <w:pPr>
              <w:jc w:val="center"/>
            </w:pPr>
            <w:r>
              <w:rPr>
                <w:color w:val="000000"/>
                <w:sz w:val="24"/>
                <w:szCs w:val="24"/>
              </w:rPr>
              <w:t>-0.66%</w:t>
            </w:r>
          </w:p>
        </w:tc>
        <w:tc>
          <w:tcPr>
            <w:tcW w:w="898" w:type="dxa"/>
            <w:vAlign w:val="center"/>
          </w:tcPr>
          <w:p w:rsidR="005838E2" w:rsidRDefault="001F3292">
            <w:pPr>
              <w:jc w:val="center"/>
            </w:pPr>
            <w:r>
              <w:rPr>
                <w:color w:val="000000"/>
                <w:sz w:val="24"/>
                <w:szCs w:val="24"/>
              </w:rPr>
              <w:t>-0.39%</w:t>
            </w:r>
          </w:p>
        </w:tc>
      </w:tr>
      <w:tr w:rsidR="005838E2">
        <w:trPr>
          <w:jc w:val="center"/>
        </w:trPr>
        <w:tc>
          <w:tcPr>
            <w:tcW w:w="1701" w:type="dxa"/>
            <w:vAlign w:val="center"/>
          </w:tcPr>
          <w:p w:rsidR="005838E2" w:rsidRDefault="001F3292">
            <w:pPr>
              <w:jc w:val="left"/>
            </w:pPr>
            <w:r>
              <w:rPr>
                <w:color w:val="000000"/>
                <w:sz w:val="24"/>
                <w:szCs w:val="24"/>
              </w:rPr>
              <w:t>过去一年</w:t>
            </w:r>
          </w:p>
        </w:tc>
        <w:tc>
          <w:tcPr>
            <w:tcW w:w="1045" w:type="dxa"/>
            <w:vAlign w:val="center"/>
          </w:tcPr>
          <w:p w:rsidR="005838E2" w:rsidRDefault="001F3292">
            <w:pPr>
              <w:jc w:val="center"/>
            </w:pPr>
            <w:r>
              <w:rPr>
                <w:color w:val="000000"/>
                <w:sz w:val="24"/>
                <w:szCs w:val="24"/>
              </w:rPr>
              <w:t>14.08%</w:t>
            </w:r>
          </w:p>
        </w:tc>
        <w:tc>
          <w:tcPr>
            <w:tcW w:w="1344" w:type="dxa"/>
            <w:vAlign w:val="center"/>
          </w:tcPr>
          <w:p w:rsidR="005838E2" w:rsidRDefault="001F3292">
            <w:pPr>
              <w:jc w:val="center"/>
            </w:pPr>
            <w:r>
              <w:rPr>
                <w:color w:val="000000"/>
                <w:sz w:val="24"/>
                <w:szCs w:val="24"/>
              </w:rPr>
              <w:t>0.29%</w:t>
            </w:r>
          </w:p>
        </w:tc>
        <w:tc>
          <w:tcPr>
            <w:tcW w:w="1194" w:type="dxa"/>
            <w:vAlign w:val="center"/>
          </w:tcPr>
          <w:p w:rsidR="005838E2" w:rsidRDefault="001F3292">
            <w:pPr>
              <w:jc w:val="center"/>
            </w:pPr>
            <w:r>
              <w:rPr>
                <w:color w:val="000000"/>
                <w:sz w:val="24"/>
                <w:szCs w:val="24"/>
              </w:rPr>
              <w:t>13.50%</w:t>
            </w:r>
          </w:p>
        </w:tc>
        <w:tc>
          <w:tcPr>
            <w:tcW w:w="1492" w:type="dxa"/>
            <w:vAlign w:val="center"/>
          </w:tcPr>
          <w:p w:rsidR="005838E2" w:rsidRDefault="001F3292">
            <w:pPr>
              <w:jc w:val="center"/>
            </w:pPr>
            <w:r>
              <w:rPr>
                <w:color w:val="000000"/>
                <w:sz w:val="24"/>
                <w:szCs w:val="24"/>
              </w:rPr>
              <w:t>0.70%</w:t>
            </w:r>
          </w:p>
        </w:tc>
        <w:tc>
          <w:tcPr>
            <w:tcW w:w="1194" w:type="dxa"/>
            <w:vAlign w:val="center"/>
          </w:tcPr>
          <w:p w:rsidR="005838E2" w:rsidRDefault="001F3292">
            <w:pPr>
              <w:jc w:val="center"/>
            </w:pPr>
            <w:r>
              <w:rPr>
                <w:color w:val="000000"/>
                <w:sz w:val="24"/>
                <w:szCs w:val="24"/>
              </w:rPr>
              <w:t>0.58%</w:t>
            </w:r>
          </w:p>
        </w:tc>
        <w:tc>
          <w:tcPr>
            <w:tcW w:w="898" w:type="dxa"/>
            <w:vAlign w:val="center"/>
          </w:tcPr>
          <w:p w:rsidR="005838E2" w:rsidRDefault="001F3292">
            <w:pPr>
              <w:jc w:val="center"/>
            </w:pPr>
            <w:r>
              <w:rPr>
                <w:color w:val="000000"/>
                <w:sz w:val="24"/>
                <w:szCs w:val="24"/>
              </w:rPr>
              <w:t>-0.41%</w:t>
            </w:r>
          </w:p>
        </w:tc>
      </w:tr>
      <w:tr w:rsidR="005838E2">
        <w:trPr>
          <w:jc w:val="center"/>
        </w:trPr>
        <w:tc>
          <w:tcPr>
            <w:tcW w:w="1701" w:type="dxa"/>
            <w:vAlign w:val="center"/>
          </w:tcPr>
          <w:p w:rsidR="005838E2" w:rsidRDefault="001F3292">
            <w:pPr>
              <w:jc w:val="left"/>
            </w:pPr>
            <w:r>
              <w:rPr>
                <w:color w:val="000000"/>
                <w:sz w:val="24"/>
                <w:szCs w:val="24"/>
              </w:rPr>
              <w:t>自基金合同生效起至今</w:t>
            </w:r>
          </w:p>
        </w:tc>
        <w:tc>
          <w:tcPr>
            <w:tcW w:w="1045" w:type="dxa"/>
            <w:vAlign w:val="center"/>
          </w:tcPr>
          <w:p w:rsidR="005838E2" w:rsidRDefault="001F3292">
            <w:pPr>
              <w:jc w:val="center"/>
            </w:pPr>
            <w:r>
              <w:rPr>
                <w:color w:val="000000"/>
                <w:sz w:val="24"/>
                <w:szCs w:val="24"/>
              </w:rPr>
              <w:t>17.69%</w:t>
            </w:r>
          </w:p>
        </w:tc>
        <w:tc>
          <w:tcPr>
            <w:tcW w:w="1344" w:type="dxa"/>
            <w:vAlign w:val="center"/>
          </w:tcPr>
          <w:p w:rsidR="005838E2" w:rsidRDefault="001F3292">
            <w:pPr>
              <w:jc w:val="center"/>
            </w:pPr>
            <w:r>
              <w:rPr>
                <w:color w:val="000000"/>
                <w:sz w:val="24"/>
                <w:szCs w:val="24"/>
              </w:rPr>
              <w:t>0.27%</w:t>
            </w:r>
          </w:p>
        </w:tc>
        <w:tc>
          <w:tcPr>
            <w:tcW w:w="1194" w:type="dxa"/>
            <w:vAlign w:val="center"/>
          </w:tcPr>
          <w:p w:rsidR="005838E2" w:rsidRDefault="001F3292">
            <w:pPr>
              <w:jc w:val="center"/>
            </w:pPr>
            <w:r>
              <w:rPr>
                <w:color w:val="000000"/>
                <w:sz w:val="24"/>
                <w:szCs w:val="24"/>
              </w:rPr>
              <w:t>19.86%</w:t>
            </w:r>
          </w:p>
        </w:tc>
        <w:tc>
          <w:tcPr>
            <w:tcW w:w="1492" w:type="dxa"/>
            <w:vAlign w:val="center"/>
          </w:tcPr>
          <w:p w:rsidR="005838E2" w:rsidRDefault="001F3292">
            <w:pPr>
              <w:jc w:val="center"/>
            </w:pPr>
            <w:r>
              <w:rPr>
                <w:color w:val="000000"/>
                <w:sz w:val="24"/>
                <w:szCs w:val="24"/>
              </w:rPr>
              <w:t>0.65%</w:t>
            </w:r>
          </w:p>
        </w:tc>
        <w:tc>
          <w:tcPr>
            <w:tcW w:w="1194" w:type="dxa"/>
            <w:vAlign w:val="center"/>
          </w:tcPr>
          <w:p w:rsidR="005838E2" w:rsidRDefault="001F3292">
            <w:pPr>
              <w:jc w:val="center"/>
            </w:pPr>
            <w:r>
              <w:rPr>
                <w:color w:val="000000"/>
                <w:sz w:val="24"/>
                <w:szCs w:val="24"/>
              </w:rPr>
              <w:t>-2.17%</w:t>
            </w:r>
          </w:p>
        </w:tc>
        <w:tc>
          <w:tcPr>
            <w:tcW w:w="898" w:type="dxa"/>
            <w:vAlign w:val="center"/>
          </w:tcPr>
          <w:p w:rsidR="005838E2" w:rsidRDefault="001F3292">
            <w:pPr>
              <w:jc w:val="center"/>
            </w:pPr>
            <w:r>
              <w:rPr>
                <w:color w:val="000000"/>
                <w:sz w:val="24"/>
                <w:szCs w:val="24"/>
              </w:rPr>
              <w:t>-0.38%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w:t>
      </w:r>
      <w:r w:rsidR="00C6002A" w:rsidRPr="00414345">
        <w:rPr>
          <w:b/>
          <w:bCs/>
          <w:color w:val="000000"/>
          <w:sz w:val="24"/>
        </w:rPr>
        <w:lastRenderedPageBreak/>
        <w:t>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注：本基金由交银施罗德荣鑫保本混合型证券投资基金转型而来。基金转型日为</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29</w:t>
      </w:r>
      <w:r w:rsidRPr="00414345">
        <w:rPr>
          <w:color w:val="000000"/>
          <w:sz w:val="24"/>
          <w:szCs w:val="24"/>
        </w:rPr>
        <w:t>日。本基金的投资转型期为交银施罗德荣鑫保本混合型证券投资基金保本周期到期期间截止日的次日（即</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29</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838E2">
        <w:trPr>
          <w:jc w:val="center"/>
        </w:trPr>
        <w:tc>
          <w:tcPr>
            <w:tcW w:w="846" w:type="dxa"/>
            <w:vAlign w:val="center"/>
          </w:tcPr>
          <w:p w:rsidR="005838E2" w:rsidRDefault="001F3292">
            <w:pPr>
              <w:jc w:val="center"/>
            </w:pPr>
            <w:r>
              <w:rPr>
                <w:color w:val="000000"/>
                <w:sz w:val="24"/>
                <w:szCs w:val="24"/>
              </w:rPr>
              <w:t>唐赟</w:t>
            </w:r>
          </w:p>
        </w:tc>
        <w:tc>
          <w:tcPr>
            <w:tcW w:w="845" w:type="dxa"/>
            <w:vAlign w:val="center"/>
          </w:tcPr>
          <w:p w:rsidR="005838E2" w:rsidRDefault="001F3292">
            <w:pPr>
              <w:jc w:val="center"/>
            </w:pPr>
            <w:r>
              <w:rPr>
                <w:color w:val="000000"/>
                <w:sz w:val="24"/>
                <w:szCs w:val="24"/>
              </w:rPr>
              <w:t>交银信用添利债券</w:t>
            </w:r>
            <w:r>
              <w:rPr>
                <w:color w:val="000000"/>
                <w:sz w:val="24"/>
                <w:szCs w:val="24"/>
              </w:rPr>
              <w:t>(LOF)</w:t>
            </w:r>
            <w:r>
              <w:rPr>
                <w:color w:val="000000"/>
                <w:sz w:val="24"/>
                <w:szCs w:val="24"/>
              </w:rPr>
              <w:t>、交银双利</w:t>
            </w:r>
            <w:r>
              <w:rPr>
                <w:color w:val="000000"/>
                <w:sz w:val="24"/>
                <w:szCs w:val="24"/>
              </w:rPr>
              <w:lastRenderedPageBreak/>
              <w:t>债券、交银双轮动债券、交银定期支付月月丰债券、交银增强收益债券、交银强化回报债券、交银荣鑫灵活配置混合、交银稳固收益债券的基金经理</w:t>
            </w:r>
          </w:p>
        </w:tc>
        <w:tc>
          <w:tcPr>
            <w:tcW w:w="1549" w:type="dxa"/>
            <w:vAlign w:val="center"/>
          </w:tcPr>
          <w:p w:rsidR="005838E2" w:rsidRDefault="001F3292">
            <w:pPr>
              <w:jc w:val="center"/>
            </w:pPr>
            <w:r>
              <w:rPr>
                <w:color w:val="000000"/>
                <w:sz w:val="24"/>
                <w:szCs w:val="24"/>
              </w:rPr>
              <w:lastRenderedPageBreak/>
              <w:t>2019-02-28</w:t>
            </w:r>
          </w:p>
        </w:tc>
        <w:tc>
          <w:tcPr>
            <w:tcW w:w="1548" w:type="dxa"/>
            <w:vAlign w:val="center"/>
          </w:tcPr>
          <w:p w:rsidR="005838E2" w:rsidRDefault="001F3292">
            <w:pPr>
              <w:jc w:val="center"/>
            </w:pPr>
            <w:r>
              <w:rPr>
                <w:color w:val="000000"/>
                <w:sz w:val="24"/>
                <w:szCs w:val="24"/>
              </w:rPr>
              <w:t>-</w:t>
            </w:r>
          </w:p>
        </w:tc>
        <w:tc>
          <w:tcPr>
            <w:tcW w:w="1407" w:type="dxa"/>
            <w:vAlign w:val="center"/>
          </w:tcPr>
          <w:p w:rsidR="005838E2" w:rsidRDefault="001F3292">
            <w:pPr>
              <w:jc w:val="center"/>
            </w:pPr>
            <w:r>
              <w:rPr>
                <w:color w:val="000000"/>
                <w:sz w:val="24"/>
                <w:szCs w:val="24"/>
              </w:rPr>
              <w:t>10</w:t>
            </w:r>
            <w:r>
              <w:rPr>
                <w:color w:val="000000"/>
                <w:sz w:val="24"/>
                <w:szCs w:val="24"/>
              </w:rPr>
              <w:t>年</w:t>
            </w:r>
          </w:p>
        </w:tc>
        <w:tc>
          <w:tcPr>
            <w:tcW w:w="2673" w:type="dxa"/>
            <w:vAlign w:val="center"/>
          </w:tcPr>
          <w:p w:rsidR="005838E2" w:rsidRDefault="001F3292">
            <w:r>
              <w:rPr>
                <w:color w:val="000000"/>
                <w:sz w:val="24"/>
                <w:szCs w:val="24"/>
              </w:rPr>
              <w:t>唐赟先生，香港城市大学电子工程硕士。历任渣打银行环球企业部助理客户经理、平安资产管理公司信用分析员。</w:t>
            </w:r>
            <w:r>
              <w:rPr>
                <w:color w:val="000000"/>
                <w:sz w:val="24"/>
                <w:szCs w:val="24"/>
              </w:rPr>
              <w:t>2012</w:t>
            </w:r>
            <w:r>
              <w:rPr>
                <w:color w:val="000000"/>
                <w:sz w:val="24"/>
                <w:szCs w:val="24"/>
              </w:rPr>
              <w:t>年加入交银施罗德基金管理有限公司，历</w:t>
            </w:r>
            <w:r>
              <w:rPr>
                <w:color w:val="000000"/>
                <w:sz w:val="24"/>
                <w:szCs w:val="24"/>
              </w:rPr>
              <w:lastRenderedPageBreak/>
              <w:t>任固定收益研究员、基金经理助理。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1</w:t>
            </w:r>
            <w:r>
              <w:rPr>
                <w:color w:val="000000"/>
                <w:sz w:val="24"/>
                <w:szCs w:val="24"/>
              </w:rPr>
              <w:t>日担任转型前的交银施罗德荣和保本混合型证券投资基金的基金经理。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0</w:t>
            </w:r>
            <w:r>
              <w:rPr>
                <w:color w:val="000000"/>
                <w:sz w:val="24"/>
                <w:szCs w:val="24"/>
              </w:rPr>
              <w:t>月</w:t>
            </w:r>
            <w:r>
              <w:rPr>
                <w:color w:val="000000"/>
                <w:sz w:val="24"/>
                <w:szCs w:val="24"/>
              </w:rPr>
              <w:t>23</w:t>
            </w:r>
            <w:r>
              <w:rPr>
                <w:color w:val="000000"/>
                <w:sz w:val="24"/>
                <w:szCs w:val="24"/>
              </w:rPr>
              <w:t>日担任交银施罗德裕通纯债债券型证券投资基金的基金经理。</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12</w:t>
            </w:r>
            <w:r>
              <w:rPr>
                <w:color w:val="000000"/>
                <w:sz w:val="24"/>
                <w:szCs w:val="24"/>
              </w:rPr>
              <w:t>月</w:t>
            </w:r>
            <w:r>
              <w:rPr>
                <w:color w:val="000000"/>
                <w:sz w:val="24"/>
                <w:szCs w:val="24"/>
              </w:rPr>
              <w:t>13</w:t>
            </w:r>
            <w:r>
              <w:rPr>
                <w:color w:val="000000"/>
                <w:sz w:val="24"/>
                <w:szCs w:val="24"/>
              </w:rPr>
              <w:t>日担任交银施罗德安心收益债券型证券投资基金的基金经理。</w:t>
            </w:r>
          </w:p>
        </w:tc>
      </w:tr>
      <w:tr w:rsidR="005838E2">
        <w:trPr>
          <w:jc w:val="center"/>
        </w:trPr>
        <w:tc>
          <w:tcPr>
            <w:tcW w:w="846" w:type="dxa"/>
            <w:vAlign w:val="center"/>
          </w:tcPr>
          <w:p w:rsidR="005838E2" w:rsidRDefault="001F3292">
            <w:pPr>
              <w:jc w:val="center"/>
            </w:pPr>
            <w:r>
              <w:rPr>
                <w:color w:val="000000"/>
                <w:sz w:val="24"/>
                <w:szCs w:val="24"/>
              </w:rPr>
              <w:lastRenderedPageBreak/>
              <w:t>王艺伟</w:t>
            </w:r>
          </w:p>
        </w:tc>
        <w:tc>
          <w:tcPr>
            <w:tcW w:w="845" w:type="dxa"/>
            <w:vAlign w:val="center"/>
          </w:tcPr>
          <w:p w:rsidR="005838E2" w:rsidRDefault="001F3292" w:rsidP="000F31D5">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回报灵活配置混合、交银荣鑫灵活配置混合、交银优选回报灵活配置混合、交银优择回报灵活配置混合、交银瑞鑫定期开放灵活配置混合、交银恒益灵活配置混合、交银安心收益债券、交银</w:t>
            </w:r>
            <w:r w:rsidR="000F31D5">
              <w:rPr>
                <w:rFonts w:hint="eastAsia"/>
                <w:color w:val="000000"/>
                <w:sz w:val="24"/>
                <w:szCs w:val="24"/>
              </w:rPr>
              <w:t>臻选</w:t>
            </w:r>
            <w:bookmarkStart w:id="0" w:name="_GoBack"/>
            <w:bookmarkEnd w:id="0"/>
            <w:r>
              <w:rPr>
                <w:color w:val="000000"/>
                <w:sz w:val="24"/>
                <w:szCs w:val="24"/>
              </w:rPr>
              <w:t>回报混合的基金经理</w:t>
            </w:r>
          </w:p>
        </w:tc>
        <w:tc>
          <w:tcPr>
            <w:tcW w:w="1549" w:type="dxa"/>
            <w:vAlign w:val="center"/>
          </w:tcPr>
          <w:p w:rsidR="005838E2" w:rsidRDefault="001F3292">
            <w:pPr>
              <w:jc w:val="center"/>
            </w:pPr>
            <w:r>
              <w:rPr>
                <w:color w:val="000000"/>
                <w:sz w:val="24"/>
                <w:szCs w:val="24"/>
              </w:rPr>
              <w:lastRenderedPageBreak/>
              <w:t>2</w:t>
            </w:r>
            <w:r>
              <w:rPr>
                <w:color w:val="000000"/>
                <w:sz w:val="24"/>
                <w:szCs w:val="24"/>
              </w:rPr>
              <w:t>019-11-28</w:t>
            </w:r>
          </w:p>
        </w:tc>
        <w:tc>
          <w:tcPr>
            <w:tcW w:w="1548" w:type="dxa"/>
            <w:vAlign w:val="center"/>
          </w:tcPr>
          <w:p w:rsidR="005838E2" w:rsidRDefault="001F3292">
            <w:pPr>
              <w:jc w:val="center"/>
            </w:pPr>
            <w:r>
              <w:rPr>
                <w:color w:val="000000"/>
                <w:sz w:val="24"/>
                <w:szCs w:val="24"/>
              </w:rPr>
              <w:t>-</w:t>
            </w:r>
          </w:p>
        </w:tc>
        <w:tc>
          <w:tcPr>
            <w:tcW w:w="1407" w:type="dxa"/>
            <w:vAlign w:val="center"/>
          </w:tcPr>
          <w:p w:rsidR="005838E2" w:rsidRDefault="001F3292">
            <w:pPr>
              <w:jc w:val="center"/>
            </w:pPr>
            <w:r>
              <w:rPr>
                <w:color w:val="000000"/>
                <w:sz w:val="24"/>
                <w:szCs w:val="24"/>
              </w:rPr>
              <w:t>8</w:t>
            </w:r>
            <w:r>
              <w:rPr>
                <w:color w:val="000000"/>
                <w:sz w:val="24"/>
                <w:szCs w:val="24"/>
              </w:rPr>
              <w:t>年</w:t>
            </w:r>
          </w:p>
        </w:tc>
        <w:tc>
          <w:tcPr>
            <w:tcW w:w="2673" w:type="dxa"/>
            <w:vAlign w:val="center"/>
          </w:tcPr>
          <w:p w:rsidR="005838E2" w:rsidRDefault="001F3292">
            <w:r>
              <w:rPr>
                <w:color w:val="000000"/>
                <w:sz w:val="24"/>
                <w:szCs w:val="24"/>
              </w:rPr>
              <w:t>王艺伟女士，北京大学经济学硕士，吉林大学经济学学士、理学学士。</w:t>
            </w:r>
            <w:r>
              <w:rPr>
                <w:color w:val="000000"/>
                <w:sz w:val="24"/>
                <w:szCs w:val="24"/>
              </w:rPr>
              <w:t>2012</w:t>
            </w:r>
            <w:r>
              <w:rPr>
                <w:color w:val="000000"/>
                <w:sz w:val="24"/>
                <w:szCs w:val="24"/>
              </w:rPr>
              <w:t>年</w:t>
            </w:r>
            <w:r>
              <w:rPr>
                <w:color w:val="000000"/>
                <w:sz w:val="24"/>
                <w:szCs w:val="24"/>
              </w:rPr>
              <w:t>-2014</w:t>
            </w:r>
            <w:r>
              <w:rPr>
                <w:color w:val="000000"/>
                <w:sz w:val="24"/>
                <w:szCs w:val="24"/>
              </w:rPr>
              <w:t>年任光大证券研究所宏观分析师。</w:t>
            </w:r>
            <w:r>
              <w:rPr>
                <w:color w:val="000000"/>
                <w:sz w:val="24"/>
                <w:szCs w:val="24"/>
              </w:rPr>
              <w:t>2014</w:t>
            </w:r>
            <w:r>
              <w:rPr>
                <w:color w:val="000000"/>
                <w:sz w:val="24"/>
                <w:szCs w:val="24"/>
              </w:rPr>
              <w:t>年</w:t>
            </w:r>
            <w:r>
              <w:rPr>
                <w:color w:val="000000"/>
                <w:sz w:val="24"/>
                <w:szCs w:val="24"/>
              </w:rPr>
              <w:t>9</w:t>
            </w:r>
            <w:r>
              <w:rPr>
                <w:color w:val="000000"/>
                <w:sz w:val="24"/>
                <w:szCs w:val="24"/>
              </w:rPr>
              <w:t>月加入交银施罗德基金管理有限公司，历任研究员、研究部助理总经理、基金经理助理。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838E2" w:rsidRDefault="001F329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5838E2" w:rsidRDefault="001F329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5838E2" w:rsidRDefault="001F329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szCs w:val="24"/>
        </w:rPr>
        <w:t>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838E2" w:rsidRDefault="001F3292">
      <w:pPr>
        <w:spacing w:before="29" w:line="288" w:lineRule="auto"/>
        <w:ind w:firstLineChars="200" w:firstLine="480"/>
        <w:rPr>
          <w:color w:val="000000"/>
          <w:sz w:val="24"/>
          <w:szCs w:val="24"/>
        </w:rPr>
      </w:pPr>
      <w:r>
        <w:rPr>
          <w:color w:val="000000"/>
          <w:sz w:val="24"/>
          <w:szCs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益率下行，信用分化则持续。十二月，货币政策依然友好，叠加市场担心二次</w:t>
      </w:r>
      <w:r>
        <w:rPr>
          <w:color w:val="000000"/>
          <w:sz w:val="24"/>
          <w:szCs w:val="24"/>
        </w:rPr>
        <w:lastRenderedPageBreak/>
        <w:t>疫情冲击，债市收益率进一步下行。</w:t>
      </w:r>
    </w:p>
    <w:p w:rsidR="005838E2" w:rsidRDefault="001F3292">
      <w:pPr>
        <w:spacing w:before="29" w:line="288" w:lineRule="auto"/>
        <w:ind w:firstLineChars="200" w:firstLine="480"/>
        <w:rPr>
          <w:color w:val="000000"/>
          <w:sz w:val="24"/>
          <w:szCs w:val="24"/>
        </w:rPr>
      </w:pPr>
      <w:r>
        <w:rPr>
          <w:color w:val="000000"/>
          <w:sz w:val="24"/>
          <w:szCs w:val="24"/>
        </w:rPr>
        <w:t>四季度，十二月市场一度演绎二次疫情逻辑，除此之外更聚焦在疫</w:t>
      </w:r>
      <w:r>
        <w:rPr>
          <w:color w:val="000000"/>
          <w:sz w:val="24"/>
          <w:szCs w:val="24"/>
        </w:rPr>
        <w:t>情后相关需求改善带来的投资机会。可选消费品、顺周期、军工以及新能源赛道表现相对较优，而逆周期赛道表现相对弱势。</w:t>
      </w:r>
    </w:p>
    <w:p w:rsidR="005838E2" w:rsidRDefault="001F3292">
      <w:pPr>
        <w:spacing w:before="29" w:line="288" w:lineRule="auto"/>
        <w:ind w:firstLineChars="200" w:firstLine="480"/>
        <w:rPr>
          <w:color w:val="000000"/>
          <w:sz w:val="24"/>
          <w:szCs w:val="24"/>
        </w:rPr>
      </w:pPr>
      <w:r>
        <w:rPr>
          <w:color w:val="000000"/>
          <w:sz w:val="24"/>
          <w:szCs w:val="24"/>
        </w:rPr>
        <w:t>在基金操作中，债券部分我们维持中短久期高等级信用债的底仓配置，并更加关注事件性冲击对于高等级信用的配置时点，以增厚组合收益。权益方面，我们增配了业绩有改善公司资质相对较好的顺周期品种，并适当加大了金融板块的配置比例。本基金继续积极参与权益及转债的一级申购。</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414345">
        <w:rPr>
          <w:color w:val="000000"/>
          <w:sz w:val="24"/>
          <w:szCs w:val="24"/>
        </w:rPr>
        <w:t>2021</w:t>
      </w:r>
      <w:r w:rsidRPr="00414345">
        <w:rPr>
          <w:color w:val="000000"/>
          <w:sz w:val="24"/>
          <w:szCs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174,625,268.57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174,625,268.57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726,152,930.50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726,152,930.50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5,603,522.07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10,842,276.49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967,223,997.63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1,169,375.00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96,173,098.19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7,605,591.00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2,775,348.88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10,129,827.09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40,628,265.30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13,221,409.14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2,848,580.95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41,801.10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174,625,268.57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838E2">
        <w:trPr>
          <w:jc w:val="center"/>
        </w:trPr>
        <w:tc>
          <w:tcPr>
            <w:tcW w:w="855" w:type="dxa"/>
            <w:vAlign w:val="center"/>
          </w:tcPr>
          <w:p w:rsidR="005838E2" w:rsidRDefault="001F3292">
            <w:pPr>
              <w:jc w:val="center"/>
            </w:pPr>
            <w:r>
              <w:rPr>
                <w:color w:val="000000"/>
                <w:sz w:val="24"/>
                <w:szCs w:val="24"/>
              </w:rPr>
              <w:t>1</w:t>
            </w:r>
          </w:p>
        </w:tc>
        <w:tc>
          <w:tcPr>
            <w:tcW w:w="1334" w:type="dxa"/>
            <w:vAlign w:val="center"/>
          </w:tcPr>
          <w:p w:rsidR="005838E2" w:rsidRDefault="001F3292">
            <w:pPr>
              <w:jc w:val="center"/>
            </w:pPr>
            <w:r>
              <w:rPr>
                <w:color w:val="000000"/>
                <w:sz w:val="24"/>
                <w:szCs w:val="24"/>
              </w:rPr>
              <w:t>600426</w:t>
            </w:r>
          </w:p>
        </w:tc>
        <w:tc>
          <w:tcPr>
            <w:tcW w:w="1777" w:type="dxa"/>
            <w:vAlign w:val="center"/>
          </w:tcPr>
          <w:p w:rsidR="005838E2" w:rsidRDefault="001F3292">
            <w:pPr>
              <w:jc w:val="center"/>
            </w:pPr>
            <w:r>
              <w:rPr>
                <w:color w:val="000000"/>
                <w:sz w:val="24"/>
                <w:szCs w:val="24"/>
              </w:rPr>
              <w:t>华鲁恒升</w:t>
            </w:r>
          </w:p>
        </w:tc>
        <w:tc>
          <w:tcPr>
            <w:tcW w:w="1334" w:type="dxa"/>
            <w:vAlign w:val="center"/>
          </w:tcPr>
          <w:p w:rsidR="005838E2" w:rsidRDefault="001F3292">
            <w:pPr>
              <w:jc w:val="right"/>
            </w:pPr>
            <w:r>
              <w:rPr>
                <w:color w:val="000000"/>
                <w:sz w:val="24"/>
                <w:szCs w:val="24"/>
              </w:rPr>
              <w:t>285,800</w:t>
            </w:r>
          </w:p>
        </w:tc>
        <w:tc>
          <w:tcPr>
            <w:tcW w:w="1924" w:type="dxa"/>
            <w:vAlign w:val="center"/>
          </w:tcPr>
          <w:p w:rsidR="005838E2" w:rsidRDefault="001F3292">
            <w:pPr>
              <w:jc w:val="right"/>
            </w:pPr>
            <w:r>
              <w:rPr>
                <w:color w:val="000000"/>
                <w:sz w:val="24"/>
                <w:szCs w:val="24"/>
              </w:rPr>
              <w:t>10,660,340.00</w:t>
            </w:r>
          </w:p>
        </w:tc>
        <w:tc>
          <w:tcPr>
            <w:tcW w:w="1644" w:type="dxa"/>
            <w:vAlign w:val="center"/>
          </w:tcPr>
          <w:p w:rsidR="005838E2" w:rsidRDefault="001F3292">
            <w:pPr>
              <w:jc w:val="right"/>
            </w:pPr>
            <w:r>
              <w:rPr>
                <w:color w:val="000000"/>
                <w:sz w:val="24"/>
                <w:szCs w:val="24"/>
              </w:rPr>
              <w:t>1.10</w:t>
            </w:r>
          </w:p>
        </w:tc>
      </w:tr>
      <w:tr w:rsidR="005838E2">
        <w:trPr>
          <w:jc w:val="center"/>
        </w:trPr>
        <w:tc>
          <w:tcPr>
            <w:tcW w:w="855" w:type="dxa"/>
            <w:vAlign w:val="center"/>
          </w:tcPr>
          <w:p w:rsidR="005838E2" w:rsidRDefault="001F3292">
            <w:pPr>
              <w:jc w:val="center"/>
            </w:pPr>
            <w:r>
              <w:rPr>
                <w:color w:val="000000"/>
                <w:sz w:val="24"/>
                <w:szCs w:val="24"/>
              </w:rPr>
              <w:t>2</w:t>
            </w:r>
          </w:p>
        </w:tc>
        <w:tc>
          <w:tcPr>
            <w:tcW w:w="1334" w:type="dxa"/>
            <w:vAlign w:val="center"/>
          </w:tcPr>
          <w:p w:rsidR="005838E2" w:rsidRDefault="001F3292">
            <w:pPr>
              <w:jc w:val="center"/>
            </w:pPr>
            <w:r>
              <w:rPr>
                <w:color w:val="000000"/>
                <w:sz w:val="24"/>
                <w:szCs w:val="24"/>
              </w:rPr>
              <w:t>601601</w:t>
            </w:r>
          </w:p>
        </w:tc>
        <w:tc>
          <w:tcPr>
            <w:tcW w:w="1777" w:type="dxa"/>
            <w:vAlign w:val="center"/>
          </w:tcPr>
          <w:p w:rsidR="005838E2" w:rsidRDefault="001F3292">
            <w:pPr>
              <w:jc w:val="center"/>
            </w:pPr>
            <w:r>
              <w:rPr>
                <w:color w:val="000000"/>
                <w:sz w:val="24"/>
                <w:szCs w:val="24"/>
              </w:rPr>
              <w:t>中国太保</w:t>
            </w:r>
          </w:p>
        </w:tc>
        <w:tc>
          <w:tcPr>
            <w:tcW w:w="1334" w:type="dxa"/>
            <w:vAlign w:val="center"/>
          </w:tcPr>
          <w:p w:rsidR="005838E2" w:rsidRDefault="001F3292">
            <w:pPr>
              <w:jc w:val="right"/>
            </w:pPr>
            <w:r>
              <w:rPr>
                <w:color w:val="000000"/>
                <w:sz w:val="24"/>
                <w:szCs w:val="24"/>
              </w:rPr>
              <w:t>256,800</w:t>
            </w:r>
          </w:p>
        </w:tc>
        <w:tc>
          <w:tcPr>
            <w:tcW w:w="1924" w:type="dxa"/>
            <w:vAlign w:val="center"/>
          </w:tcPr>
          <w:p w:rsidR="005838E2" w:rsidRDefault="001F3292">
            <w:pPr>
              <w:jc w:val="right"/>
            </w:pPr>
            <w:r>
              <w:rPr>
                <w:color w:val="000000"/>
                <w:sz w:val="24"/>
                <w:szCs w:val="24"/>
              </w:rPr>
              <w:t>9,861,120.00</w:t>
            </w:r>
          </w:p>
        </w:tc>
        <w:tc>
          <w:tcPr>
            <w:tcW w:w="1644" w:type="dxa"/>
            <w:vAlign w:val="center"/>
          </w:tcPr>
          <w:p w:rsidR="005838E2" w:rsidRDefault="001F3292">
            <w:pPr>
              <w:jc w:val="right"/>
            </w:pPr>
            <w:r>
              <w:rPr>
                <w:color w:val="000000"/>
                <w:sz w:val="24"/>
                <w:szCs w:val="24"/>
              </w:rPr>
              <w:t>1.02</w:t>
            </w:r>
          </w:p>
        </w:tc>
      </w:tr>
      <w:tr w:rsidR="005838E2">
        <w:trPr>
          <w:jc w:val="center"/>
        </w:trPr>
        <w:tc>
          <w:tcPr>
            <w:tcW w:w="855" w:type="dxa"/>
            <w:vAlign w:val="center"/>
          </w:tcPr>
          <w:p w:rsidR="005838E2" w:rsidRDefault="001F3292">
            <w:pPr>
              <w:jc w:val="center"/>
            </w:pPr>
            <w:r>
              <w:rPr>
                <w:color w:val="000000"/>
                <w:sz w:val="24"/>
                <w:szCs w:val="24"/>
              </w:rPr>
              <w:t>3</w:t>
            </w:r>
          </w:p>
        </w:tc>
        <w:tc>
          <w:tcPr>
            <w:tcW w:w="1334" w:type="dxa"/>
            <w:vAlign w:val="center"/>
          </w:tcPr>
          <w:p w:rsidR="005838E2" w:rsidRDefault="001F3292">
            <w:pPr>
              <w:jc w:val="center"/>
            </w:pPr>
            <w:r>
              <w:rPr>
                <w:color w:val="000000"/>
                <w:sz w:val="24"/>
                <w:szCs w:val="24"/>
              </w:rPr>
              <w:t>002493</w:t>
            </w:r>
          </w:p>
        </w:tc>
        <w:tc>
          <w:tcPr>
            <w:tcW w:w="1777" w:type="dxa"/>
            <w:vAlign w:val="center"/>
          </w:tcPr>
          <w:p w:rsidR="005838E2" w:rsidRDefault="001F3292">
            <w:pPr>
              <w:jc w:val="center"/>
            </w:pPr>
            <w:r>
              <w:rPr>
                <w:color w:val="000000"/>
                <w:sz w:val="24"/>
                <w:szCs w:val="24"/>
              </w:rPr>
              <w:t>荣盛石化</w:t>
            </w:r>
          </w:p>
        </w:tc>
        <w:tc>
          <w:tcPr>
            <w:tcW w:w="1334" w:type="dxa"/>
            <w:vAlign w:val="center"/>
          </w:tcPr>
          <w:p w:rsidR="005838E2" w:rsidRDefault="001F3292">
            <w:pPr>
              <w:jc w:val="right"/>
            </w:pPr>
            <w:r>
              <w:rPr>
                <w:color w:val="000000"/>
                <w:sz w:val="24"/>
                <w:szCs w:val="24"/>
              </w:rPr>
              <w:t>338,900</w:t>
            </w:r>
          </w:p>
        </w:tc>
        <w:tc>
          <w:tcPr>
            <w:tcW w:w="1924" w:type="dxa"/>
            <w:vAlign w:val="center"/>
          </w:tcPr>
          <w:p w:rsidR="005838E2" w:rsidRDefault="001F3292">
            <w:pPr>
              <w:jc w:val="right"/>
            </w:pPr>
            <w:r>
              <w:rPr>
                <w:color w:val="000000"/>
                <w:sz w:val="24"/>
                <w:szCs w:val="24"/>
              </w:rPr>
              <w:t>9,357,029.00</w:t>
            </w:r>
          </w:p>
        </w:tc>
        <w:tc>
          <w:tcPr>
            <w:tcW w:w="1644" w:type="dxa"/>
            <w:vAlign w:val="center"/>
          </w:tcPr>
          <w:p w:rsidR="005838E2" w:rsidRDefault="001F3292">
            <w:pPr>
              <w:jc w:val="right"/>
            </w:pPr>
            <w:r>
              <w:rPr>
                <w:color w:val="000000"/>
                <w:sz w:val="24"/>
                <w:szCs w:val="24"/>
              </w:rPr>
              <w:t>0.97</w:t>
            </w:r>
          </w:p>
        </w:tc>
      </w:tr>
      <w:tr w:rsidR="005838E2">
        <w:trPr>
          <w:jc w:val="center"/>
        </w:trPr>
        <w:tc>
          <w:tcPr>
            <w:tcW w:w="855" w:type="dxa"/>
            <w:vAlign w:val="center"/>
          </w:tcPr>
          <w:p w:rsidR="005838E2" w:rsidRDefault="001F3292">
            <w:pPr>
              <w:jc w:val="center"/>
            </w:pPr>
            <w:r>
              <w:rPr>
                <w:color w:val="000000"/>
                <w:sz w:val="24"/>
                <w:szCs w:val="24"/>
              </w:rPr>
              <w:t>4</w:t>
            </w:r>
          </w:p>
        </w:tc>
        <w:tc>
          <w:tcPr>
            <w:tcW w:w="1334" w:type="dxa"/>
            <w:vAlign w:val="center"/>
          </w:tcPr>
          <w:p w:rsidR="005838E2" w:rsidRDefault="001F3292">
            <w:pPr>
              <w:jc w:val="center"/>
            </w:pPr>
            <w:r>
              <w:rPr>
                <w:color w:val="000000"/>
                <w:sz w:val="24"/>
                <w:szCs w:val="24"/>
              </w:rPr>
              <w:t>002064</w:t>
            </w:r>
          </w:p>
        </w:tc>
        <w:tc>
          <w:tcPr>
            <w:tcW w:w="1777" w:type="dxa"/>
            <w:vAlign w:val="center"/>
          </w:tcPr>
          <w:p w:rsidR="005838E2" w:rsidRDefault="001F3292">
            <w:pPr>
              <w:jc w:val="center"/>
            </w:pPr>
            <w:r>
              <w:rPr>
                <w:color w:val="000000"/>
                <w:sz w:val="24"/>
                <w:szCs w:val="24"/>
              </w:rPr>
              <w:t>华峰化学</w:t>
            </w:r>
          </w:p>
        </w:tc>
        <w:tc>
          <w:tcPr>
            <w:tcW w:w="1334" w:type="dxa"/>
            <w:vAlign w:val="center"/>
          </w:tcPr>
          <w:p w:rsidR="005838E2" w:rsidRDefault="001F3292">
            <w:pPr>
              <w:jc w:val="right"/>
            </w:pPr>
            <w:r>
              <w:rPr>
                <w:color w:val="000000"/>
                <w:sz w:val="24"/>
                <w:szCs w:val="24"/>
              </w:rPr>
              <w:t>911,300</w:t>
            </w:r>
          </w:p>
        </w:tc>
        <w:tc>
          <w:tcPr>
            <w:tcW w:w="1924" w:type="dxa"/>
            <w:vAlign w:val="center"/>
          </w:tcPr>
          <w:p w:rsidR="005838E2" w:rsidRDefault="001F3292">
            <w:pPr>
              <w:jc w:val="right"/>
            </w:pPr>
            <w:r>
              <w:rPr>
                <w:color w:val="000000"/>
                <w:sz w:val="24"/>
                <w:szCs w:val="24"/>
              </w:rPr>
              <w:t>9,195,017.00</w:t>
            </w:r>
          </w:p>
        </w:tc>
        <w:tc>
          <w:tcPr>
            <w:tcW w:w="1644" w:type="dxa"/>
            <w:vAlign w:val="center"/>
          </w:tcPr>
          <w:p w:rsidR="005838E2" w:rsidRDefault="001F3292">
            <w:pPr>
              <w:jc w:val="right"/>
            </w:pPr>
            <w:r>
              <w:rPr>
                <w:color w:val="000000"/>
                <w:sz w:val="24"/>
                <w:szCs w:val="24"/>
              </w:rPr>
              <w:t>0.95</w:t>
            </w:r>
          </w:p>
        </w:tc>
      </w:tr>
      <w:tr w:rsidR="005838E2">
        <w:trPr>
          <w:jc w:val="center"/>
        </w:trPr>
        <w:tc>
          <w:tcPr>
            <w:tcW w:w="855" w:type="dxa"/>
            <w:vAlign w:val="center"/>
          </w:tcPr>
          <w:p w:rsidR="005838E2" w:rsidRDefault="001F3292">
            <w:pPr>
              <w:jc w:val="center"/>
            </w:pPr>
            <w:r>
              <w:rPr>
                <w:color w:val="000000"/>
                <w:sz w:val="24"/>
                <w:szCs w:val="24"/>
              </w:rPr>
              <w:t>5</w:t>
            </w:r>
          </w:p>
        </w:tc>
        <w:tc>
          <w:tcPr>
            <w:tcW w:w="1334" w:type="dxa"/>
            <w:vAlign w:val="center"/>
          </w:tcPr>
          <w:p w:rsidR="005838E2" w:rsidRDefault="001F3292">
            <w:pPr>
              <w:jc w:val="center"/>
            </w:pPr>
            <w:r>
              <w:rPr>
                <w:color w:val="000000"/>
                <w:sz w:val="24"/>
                <w:szCs w:val="24"/>
              </w:rPr>
              <w:t>000002</w:t>
            </w:r>
          </w:p>
        </w:tc>
        <w:tc>
          <w:tcPr>
            <w:tcW w:w="1777" w:type="dxa"/>
            <w:vAlign w:val="center"/>
          </w:tcPr>
          <w:p w:rsidR="005838E2" w:rsidRDefault="001F3292">
            <w:pPr>
              <w:jc w:val="center"/>
            </w:pPr>
            <w:r>
              <w:rPr>
                <w:color w:val="000000"/>
                <w:sz w:val="24"/>
                <w:szCs w:val="24"/>
              </w:rPr>
              <w:t>万科</w:t>
            </w:r>
            <w:r>
              <w:rPr>
                <w:color w:val="000000"/>
                <w:sz w:val="24"/>
                <w:szCs w:val="24"/>
              </w:rPr>
              <w:t>A</w:t>
            </w:r>
          </w:p>
        </w:tc>
        <w:tc>
          <w:tcPr>
            <w:tcW w:w="1334" w:type="dxa"/>
            <w:vAlign w:val="center"/>
          </w:tcPr>
          <w:p w:rsidR="005838E2" w:rsidRDefault="001F3292">
            <w:pPr>
              <w:jc w:val="right"/>
            </w:pPr>
            <w:r>
              <w:rPr>
                <w:color w:val="000000"/>
                <w:sz w:val="24"/>
                <w:szCs w:val="24"/>
              </w:rPr>
              <w:t>301,200</w:t>
            </w:r>
          </w:p>
        </w:tc>
        <w:tc>
          <w:tcPr>
            <w:tcW w:w="1924" w:type="dxa"/>
            <w:vAlign w:val="center"/>
          </w:tcPr>
          <w:p w:rsidR="005838E2" w:rsidRDefault="001F3292">
            <w:pPr>
              <w:jc w:val="right"/>
            </w:pPr>
            <w:r>
              <w:rPr>
                <w:color w:val="000000"/>
                <w:sz w:val="24"/>
                <w:szCs w:val="24"/>
              </w:rPr>
              <w:t>8,644,440.00</w:t>
            </w:r>
          </w:p>
        </w:tc>
        <w:tc>
          <w:tcPr>
            <w:tcW w:w="1644" w:type="dxa"/>
            <w:vAlign w:val="center"/>
          </w:tcPr>
          <w:p w:rsidR="005838E2" w:rsidRDefault="001F3292">
            <w:pPr>
              <w:jc w:val="right"/>
            </w:pPr>
            <w:r>
              <w:rPr>
                <w:color w:val="000000"/>
                <w:sz w:val="24"/>
                <w:szCs w:val="24"/>
              </w:rPr>
              <w:t>0.89</w:t>
            </w:r>
          </w:p>
        </w:tc>
      </w:tr>
      <w:tr w:rsidR="005838E2">
        <w:trPr>
          <w:jc w:val="center"/>
        </w:trPr>
        <w:tc>
          <w:tcPr>
            <w:tcW w:w="855" w:type="dxa"/>
            <w:vAlign w:val="center"/>
          </w:tcPr>
          <w:p w:rsidR="005838E2" w:rsidRDefault="001F3292">
            <w:pPr>
              <w:jc w:val="center"/>
            </w:pPr>
            <w:r>
              <w:rPr>
                <w:color w:val="000000"/>
                <w:sz w:val="24"/>
                <w:szCs w:val="24"/>
              </w:rPr>
              <w:t>6</w:t>
            </w:r>
          </w:p>
        </w:tc>
        <w:tc>
          <w:tcPr>
            <w:tcW w:w="1334" w:type="dxa"/>
            <w:vAlign w:val="center"/>
          </w:tcPr>
          <w:p w:rsidR="005838E2" w:rsidRDefault="001F3292">
            <w:pPr>
              <w:jc w:val="center"/>
            </w:pPr>
            <w:r>
              <w:rPr>
                <w:color w:val="000000"/>
                <w:sz w:val="24"/>
                <w:szCs w:val="24"/>
              </w:rPr>
              <w:t>600036</w:t>
            </w:r>
          </w:p>
        </w:tc>
        <w:tc>
          <w:tcPr>
            <w:tcW w:w="1777" w:type="dxa"/>
            <w:vAlign w:val="center"/>
          </w:tcPr>
          <w:p w:rsidR="005838E2" w:rsidRDefault="001F3292">
            <w:pPr>
              <w:jc w:val="center"/>
            </w:pPr>
            <w:r>
              <w:rPr>
                <w:color w:val="000000"/>
                <w:sz w:val="24"/>
                <w:szCs w:val="24"/>
              </w:rPr>
              <w:t>招商银行</w:t>
            </w:r>
          </w:p>
        </w:tc>
        <w:tc>
          <w:tcPr>
            <w:tcW w:w="1334" w:type="dxa"/>
            <w:vAlign w:val="center"/>
          </w:tcPr>
          <w:p w:rsidR="005838E2" w:rsidRDefault="001F3292">
            <w:pPr>
              <w:jc w:val="right"/>
            </w:pPr>
            <w:r>
              <w:rPr>
                <w:color w:val="000000"/>
                <w:sz w:val="24"/>
                <w:szCs w:val="24"/>
              </w:rPr>
              <w:t>182,600</w:t>
            </w:r>
          </w:p>
        </w:tc>
        <w:tc>
          <w:tcPr>
            <w:tcW w:w="1924" w:type="dxa"/>
            <w:vAlign w:val="center"/>
          </w:tcPr>
          <w:p w:rsidR="005838E2" w:rsidRDefault="001F3292">
            <w:pPr>
              <w:jc w:val="right"/>
            </w:pPr>
            <w:r>
              <w:rPr>
                <w:color w:val="000000"/>
                <w:sz w:val="24"/>
                <w:szCs w:val="24"/>
              </w:rPr>
              <w:t>8,025,270.00</w:t>
            </w:r>
          </w:p>
        </w:tc>
        <w:tc>
          <w:tcPr>
            <w:tcW w:w="1644" w:type="dxa"/>
            <w:vAlign w:val="center"/>
          </w:tcPr>
          <w:p w:rsidR="005838E2" w:rsidRDefault="001F3292">
            <w:pPr>
              <w:jc w:val="right"/>
            </w:pPr>
            <w:r>
              <w:rPr>
                <w:color w:val="000000"/>
                <w:sz w:val="24"/>
                <w:szCs w:val="24"/>
              </w:rPr>
              <w:t>0.83</w:t>
            </w:r>
          </w:p>
        </w:tc>
      </w:tr>
      <w:tr w:rsidR="005838E2">
        <w:trPr>
          <w:jc w:val="center"/>
        </w:trPr>
        <w:tc>
          <w:tcPr>
            <w:tcW w:w="855" w:type="dxa"/>
            <w:vAlign w:val="center"/>
          </w:tcPr>
          <w:p w:rsidR="005838E2" w:rsidRDefault="001F3292">
            <w:pPr>
              <w:jc w:val="center"/>
            </w:pPr>
            <w:r>
              <w:rPr>
                <w:color w:val="000000"/>
                <w:sz w:val="24"/>
                <w:szCs w:val="24"/>
              </w:rPr>
              <w:t>7</w:t>
            </w:r>
          </w:p>
        </w:tc>
        <w:tc>
          <w:tcPr>
            <w:tcW w:w="1334" w:type="dxa"/>
            <w:vAlign w:val="center"/>
          </w:tcPr>
          <w:p w:rsidR="005838E2" w:rsidRDefault="001F3292">
            <w:pPr>
              <w:jc w:val="center"/>
            </w:pPr>
            <w:r>
              <w:rPr>
                <w:color w:val="000000"/>
                <w:sz w:val="24"/>
                <w:szCs w:val="24"/>
              </w:rPr>
              <w:t>601668</w:t>
            </w:r>
          </w:p>
        </w:tc>
        <w:tc>
          <w:tcPr>
            <w:tcW w:w="1777" w:type="dxa"/>
            <w:vAlign w:val="center"/>
          </w:tcPr>
          <w:p w:rsidR="005838E2" w:rsidRDefault="001F3292">
            <w:pPr>
              <w:jc w:val="center"/>
            </w:pPr>
            <w:r>
              <w:rPr>
                <w:color w:val="000000"/>
                <w:sz w:val="24"/>
                <w:szCs w:val="24"/>
              </w:rPr>
              <w:t>中国建筑</w:t>
            </w:r>
          </w:p>
        </w:tc>
        <w:tc>
          <w:tcPr>
            <w:tcW w:w="1334" w:type="dxa"/>
            <w:vAlign w:val="center"/>
          </w:tcPr>
          <w:p w:rsidR="005838E2" w:rsidRDefault="001F3292">
            <w:pPr>
              <w:jc w:val="right"/>
            </w:pPr>
            <w:r>
              <w:rPr>
                <w:color w:val="000000"/>
                <w:sz w:val="24"/>
                <w:szCs w:val="24"/>
              </w:rPr>
              <w:t>1,530,300</w:t>
            </w:r>
          </w:p>
        </w:tc>
        <w:tc>
          <w:tcPr>
            <w:tcW w:w="1924" w:type="dxa"/>
            <w:vAlign w:val="center"/>
          </w:tcPr>
          <w:p w:rsidR="005838E2" w:rsidRDefault="001F3292">
            <w:pPr>
              <w:jc w:val="right"/>
            </w:pPr>
            <w:r>
              <w:rPr>
                <w:color w:val="000000"/>
                <w:sz w:val="24"/>
                <w:szCs w:val="24"/>
              </w:rPr>
              <w:t>7,605,591.00</w:t>
            </w:r>
          </w:p>
        </w:tc>
        <w:tc>
          <w:tcPr>
            <w:tcW w:w="1644" w:type="dxa"/>
            <w:vAlign w:val="center"/>
          </w:tcPr>
          <w:p w:rsidR="005838E2" w:rsidRDefault="001F3292">
            <w:pPr>
              <w:jc w:val="right"/>
            </w:pPr>
            <w:r>
              <w:rPr>
                <w:color w:val="000000"/>
                <w:sz w:val="24"/>
                <w:szCs w:val="24"/>
              </w:rPr>
              <w:t>0.79</w:t>
            </w:r>
          </w:p>
        </w:tc>
      </w:tr>
      <w:tr w:rsidR="005838E2">
        <w:trPr>
          <w:jc w:val="center"/>
        </w:trPr>
        <w:tc>
          <w:tcPr>
            <w:tcW w:w="855" w:type="dxa"/>
            <w:vAlign w:val="center"/>
          </w:tcPr>
          <w:p w:rsidR="005838E2" w:rsidRDefault="001F3292">
            <w:pPr>
              <w:jc w:val="center"/>
            </w:pPr>
            <w:r>
              <w:rPr>
                <w:color w:val="000000"/>
                <w:sz w:val="24"/>
                <w:szCs w:val="24"/>
              </w:rPr>
              <w:t>8</w:t>
            </w:r>
          </w:p>
        </w:tc>
        <w:tc>
          <w:tcPr>
            <w:tcW w:w="1334" w:type="dxa"/>
            <w:vAlign w:val="center"/>
          </w:tcPr>
          <w:p w:rsidR="005838E2" w:rsidRDefault="001F3292">
            <w:pPr>
              <w:jc w:val="center"/>
            </w:pPr>
            <w:r>
              <w:rPr>
                <w:color w:val="000000"/>
                <w:sz w:val="24"/>
                <w:szCs w:val="24"/>
              </w:rPr>
              <w:t>601838</w:t>
            </w:r>
          </w:p>
        </w:tc>
        <w:tc>
          <w:tcPr>
            <w:tcW w:w="1777" w:type="dxa"/>
            <w:vAlign w:val="center"/>
          </w:tcPr>
          <w:p w:rsidR="005838E2" w:rsidRDefault="001F3292">
            <w:pPr>
              <w:jc w:val="center"/>
            </w:pPr>
            <w:r>
              <w:rPr>
                <w:color w:val="000000"/>
                <w:sz w:val="24"/>
                <w:szCs w:val="24"/>
              </w:rPr>
              <w:t>成都银行</w:t>
            </w:r>
          </w:p>
        </w:tc>
        <w:tc>
          <w:tcPr>
            <w:tcW w:w="1334" w:type="dxa"/>
            <w:vAlign w:val="center"/>
          </w:tcPr>
          <w:p w:rsidR="005838E2" w:rsidRDefault="001F3292">
            <w:pPr>
              <w:jc w:val="right"/>
            </w:pPr>
            <w:r>
              <w:rPr>
                <w:color w:val="000000"/>
                <w:sz w:val="24"/>
                <w:szCs w:val="24"/>
              </w:rPr>
              <w:t>658,300</w:t>
            </w:r>
          </w:p>
        </w:tc>
        <w:tc>
          <w:tcPr>
            <w:tcW w:w="1924" w:type="dxa"/>
            <w:vAlign w:val="center"/>
          </w:tcPr>
          <w:p w:rsidR="005838E2" w:rsidRDefault="001F3292">
            <w:pPr>
              <w:jc w:val="right"/>
            </w:pPr>
            <w:r>
              <w:rPr>
                <w:color w:val="000000"/>
                <w:sz w:val="24"/>
                <w:szCs w:val="24"/>
              </w:rPr>
              <w:t>7,024,061.00</w:t>
            </w:r>
          </w:p>
        </w:tc>
        <w:tc>
          <w:tcPr>
            <w:tcW w:w="1644" w:type="dxa"/>
            <w:vAlign w:val="center"/>
          </w:tcPr>
          <w:p w:rsidR="005838E2" w:rsidRDefault="001F3292">
            <w:pPr>
              <w:jc w:val="right"/>
            </w:pPr>
            <w:r>
              <w:rPr>
                <w:color w:val="000000"/>
                <w:sz w:val="24"/>
                <w:szCs w:val="24"/>
              </w:rPr>
              <w:t>0.73</w:t>
            </w:r>
          </w:p>
        </w:tc>
      </w:tr>
      <w:tr w:rsidR="005838E2">
        <w:trPr>
          <w:jc w:val="center"/>
        </w:trPr>
        <w:tc>
          <w:tcPr>
            <w:tcW w:w="855" w:type="dxa"/>
            <w:vAlign w:val="center"/>
          </w:tcPr>
          <w:p w:rsidR="005838E2" w:rsidRDefault="001F3292">
            <w:pPr>
              <w:jc w:val="center"/>
            </w:pPr>
            <w:r>
              <w:rPr>
                <w:color w:val="000000"/>
                <w:sz w:val="24"/>
                <w:szCs w:val="24"/>
              </w:rPr>
              <w:t>9</w:t>
            </w:r>
          </w:p>
        </w:tc>
        <w:tc>
          <w:tcPr>
            <w:tcW w:w="1334" w:type="dxa"/>
            <w:vAlign w:val="center"/>
          </w:tcPr>
          <w:p w:rsidR="005838E2" w:rsidRDefault="001F3292">
            <w:pPr>
              <w:jc w:val="center"/>
            </w:pPr>
            <w:r>
              <w:rPr>
                <w:color w:val="000000"/>
                <w:sz w:val="24"/>
                <w:szCs w:val="24"/>
              </w:rPr>
              <w:t>002179</w:t>
            </w:r>
          </w:p>
        </w:tc>
        <w:tc>
          <w:tcPr>
            <w:tcW w:w="1777" w:type="dxa"/>
            <w:vAlign w:val="center"/>
          </w:tcPr>
          <w:p w:rsidR="005838E2" w:rsidRDefault="001F3292">
            <w:pPr>
              <w:jc w:val="center"/>
            </w:pPr>
            <w:r>
              <w:rPr>
                <w:color w:val="000000"/>
                <w:sz w:val="24"/>
                <w:szCs w:val="24"/>
              </w:rPr>
              <w:t>中航光电</w:t>
            </w:r>
          </w:p>
        </w:tc>
        <w:tc>
          <w:tcPr>
            <w:tcW w:w="1334" w:type="dxa"/>
            <w:vAlign w:val="center"/>
          </w:tcPr>
          <w:p w:rsidR="005838E2" w:rsidRDefault="001F3292">
            <w:pPr>
              <w:jc w:val="right"/>
            </w:pPr>
            <w:r>
              <w:rPr>
                <w:color w:val="000000"/>
                <w:sz w:val="24"/>
                <w:szCs w:val="24"/>
              </w:rPr>
              <w:t>83,500</w:t>
            </w:r>
          </w:p>
        </w:tc>
        <w:tc>
          <w:tcPr>
            <w:tcW w:w="1924" w:type="dxa"/>
            <w:vAlign w:val="center"/>
          </w:tcPr>
          <w:p w:rsidR="005838E2" w:rsidRDefault="001F3292">
            <w:pPr>
              <w:jc w:val="right"/>
            </w:pPr>
            <w:r>
              <w:rPr>
                <w:color w:val="000000"/>
                <w:sz w:val="24"/>
                <w:szCs w:val="24"/>
              </w:rPr>
              <w:t>6,537,215.00</w:t>
            </w:r>
          </w:p>
        </w:tc>
        <w:tc>
          <w:tcPr>
            <w:tcW w:w="1644" w:type="dxa"/>
            <w:vAlign w:val="center"/>
          </w:tcPr>
          <w:p w:rsidR="005838E2" w:rsidRDefault="001F3292">
            <w:pPr>
              <w:jc w:val="right"/>
            </w:pPr>
            <w:r>
              <w:rPr>
                <w:color w:val="000000"/>
                <w:sz w:val="24"/>
                <w:szCs w:val="24"/>
              </w:rPr>
              <w:t>0.68</w:t>
            </w:r>
          </w:p>
        </w:tc>
      </w:tr>
      <w:tr w:rsidR="005838E2">
        <w:trPr>
          <w:jc w:val="center"/>
        </w:trPr>
        <w:tc>
          <w:tcPr>
            <w:tcW w:w="855" w:type="dxa"/>
            <w:vAlign w:val="center"/>
          </w:tcPr>
          <w:p w:rsidR="005838E2" w:rsidRDefault="001F3292">
            <w:pPr>
              <w:jc w:val="center"/>
            </w:pPr>
            <w:r>
              <w:rPr>
                <w:color w:val="000000"/>
                <w:sz w:val="24"/>
                <w:szCs w:val="24"/>
              </w:rPr>
              <w:t>10</w:t>
            </w:r>
          </w:p>
        </w:tc>
        <w:tc>
          <w:tcPr>
            <w:tcW w:w="1334" w:type="dxa"/>
            <w:vAlign w:val="center"/>
          </w:tcPr>
          <w:p w:rsidR="005838E2" w:rsidRDefault="001F3292">
            <w:pPr>
              <w:jc w:val="center"/>
            </w:pPr>
            <w:r>
              <w:rPr>
                <w:color w:val="000000"/>
                <w:sz w:val="24"/>
                <w:szCs w:val="24"/>
              </w:rPr>
              <w:t>300750</w:t>
            </w:r>
          </w:p>
        </w:tc>
        <w:tc>
          <w:tcPr>
            <w:tcW w:w="1777" w:type="dxa"/>
            <w:vAlign w:val="center"/>
          </w:tcPr>
          <w:p w:rsidR="005838E2" w:rsidRDefault="001F3292">
            <w:pPr>
              <w:jc w:val="center"/>
            </w:pPr>
            <w:r>
              <w:rPr>
                <w:color w:val="000000"/>
                <w:sz w:val="24"/>
                <w:szCs w:val="24"/>
              </w:rPr>
              <w:t>宁德时代</w:t>
            </w:r>
          </w:p>
        </w:tc>
        <w:tc>
          <w:tcPr>
            <w:tcW w:w="1334" w:type="dxa"/>
            <w:vAlign w:val="center"/>
          </w:tcPr>
          <w:p w:rsidR="005838E2" w:rsidRDefault="001F3292">
            <w:pPr>
              <w:jc w:val="right"/>
            </w:pPr>
            <w:r>
              <w:rPr>
                <w:color w:val="000000"/>
                <w:sz w:val="24"/>
                <w:szCs w:val="24"/>
              </w:rPr>
              <w:t>18,000</w:t>
            </w:r>
          </w:p>
        </w:tc>
        <w:tc>
          <w:tcPr>
            <w:tcW w:w="1924" w:type="dxa"/>
            <w:vAlign w:val="center"/>
          </w:tcPr>
          <w:p w:rsidR="005838E2" w:rsidRDefault="001F3292">
            <w:pPr>
              <w:jc w:val="right"/>
            </w:pPr>
            <w:r>
              <w:rPr>
                <w:color w:val="000000"/>
                <w:sz w:val="24"/>
                <w:szCs w:val="24"/>
              </w:rPr>
              <w:t>6,319,980.00</w:t>
            </w:r>
          </w:p>
        </w:tc>
        <w:tc>
          <w:tcPr>
            <w:tcW w:w="1644" w:type="dxa"/>
            <w:vAlign w:val="center"/>
          </w:tcPr>
          <w:p w:rsidR="005838E2" w:rsidRDefault="001F3292">
            <w:pPr>
              <w:jc w:val="right"/>
            </w:pPr>
            <w:r>
              <w:rPr>
                <w:color w:val="000000"/>
                <w:sz w:val="24"/>
                <w:szCs w:val="24"/>
              </w:rPr>
              <w:t>0.65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7,318,268.10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52,248,200.00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52,248,200.00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321,595,700.00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333,176,000.00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34.48</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1,785,762.40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726,152,930.50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838E2">
        <w:trPr>
          <w:jc w:val="center"/>
        </w:trPr>
        <w:tc>
          <w:tcPr>
            <w:tcW w:w="850" w:type="dxa"/>
            <w:vAlign w:val="center"/>
          </w:tcPr>
          <w:p w:rsidR="005838E2" w:rsidRDefault="001F3292">
            <w:pPr>
              <w:jc w:val="center"/>
            </w:pPr>
            <w:r>
              <w:rPr>
                <w:color w:val="000000"/>
                <w:sz w:val="24"/>
                <w:szCs w:val="24"/>
              </w:rPr>
              <w:t>1</w:t>
            </w:r>
          </w:p>
        </w:tc>
        <w:tc>
          <w:tcPr>
            <w:tcW w:w="1475" w:type="dxa"/>
            <w:vAlign w:val="center"/>
          </w:tcPr>
          <w:p w:rsidR="005838E2" w:rsidRDefault="001F3292">
            <w:pPr>
              <w:jc w:val="center"/>
            </w:pPr>
            <w:r>
              <w:rPr>
                <w:color w:val="000000"/>
                <w:sz w:val="24"/>
                <w:szCs w:val="24"/>
              </w:rPr>
              <w:t>180208</w:t>
            </w:r>
          </w:p>
        </w:tc>
        <w:tc>
          <w:tcPr>
            <w:tcW w:w="1769" w:type="dxa"/>
            <w:vAlign w:val="center"/>
          </w:tcPr>
          <w:p w:rsidR="005838E2" w:rsidRDefault="001F3292">
            <w:pPr>
              <w:jc w:val="center"/>
            </w:pPr>
            <w:r>
              <w:rPr>
                <w:color w:val="000000"/>
                <w:sz w:val="24"/>
                <w:szCs w:val="24"/>
              </w:rPr>
              <w:t>18</w:t>
            </w:r>
            <w:r>
              <w:rPr>
                <w:color w:val="000000"/>
                <w:sz w:val="24"/>
                <w:szCs w:val="24"/>
              </w:rPr>
              <w:t>国开</w:t>
            </w:r>
            <w:r>
              <w:rPr>
                <w:color w:val="000000"/>
                <w:sz w:val="24"/>
                <w:szCs w:val="24"/>
              </w:rPr>
              <w:t>08</w:t>
            </w:r>
          </w:p>
        </w:tc>
        <w:tc>
          <w:tcPr>
            <w:tcW w:w="1387" w:type="dxa"/>
            <w:vAlign w:val="center"/>
          </w:tcPr>
          <w:p w:rsidR="005838E2" w:rsidRDefault="001F3292">
            <w:pPr>
              <w:jc w:val="right"/>
            </w:pPr>
            <w:r>
              <w:rPr>
                <w:color w:val="000000"/>
                <w:sz w:val="24"/>
                <w:szCs w:val="24"/>
              </w:rPr>
              <w:t>500,000</w:t>
            </w:r>
          </w:p>
        </w:tc>
        <w:tc>
          <w:tcPr>
            <w:tcW w:w="2150" w:type="dxa"/>
            <w:vAlign w:val="center"/>
          </w:tcPr>
          <w:p w:rsidR="005838E2" w:rsidRDefault="001F3292">
            <w:pPr>
              <w:jc w:val="right"/>
            </w:pPr>
            <w:r>
              <w:rPr>
                <w:color w:val="000000"/>
                <w:sz w:val="24"/>
                <w:szCs w:val="24"/>
              </w:rPr>
              <w:t>50,245,000.00</w:t>
            </w:r>
          </w:p>
        </w:tc>
        <w:tc>
          <w:tcPr>
            <w:tcW w:w="1237" w:type="dxa"/>
            <w:vAlign w:val="center"/>
          </w:tcPr>
          <w:p w:rsidR="005838E2" w:rsidRDefault="001F3292">
            <w:pPr>
              <w:jc w:val="right"/>
            </w:pPr>
            <w:r>
              <w:rPr>
                <w:color w:val="000000"/>
                <w:sz w:val="24"/>
                <w:szCs w:val="24"/>
              </w:rPr>
              <w:t>5.20</w:t>
            </w:r>
          </w:p>
        </w:tc>
      </w:tr>
      <w:tr w:rsidR="005838E2">
        <w:trPr>
          <w:jc w:val="center"/>
        </w:trPr>
        <w:tc>
          <w:tcPr>
            <w:tcW w:w="850" w:type="dxa"/>
            <w:vAlign w:val="center"/>
          </w:tcPr>
          <w:p w:rsidR="005838E2" w:rsidRDefault="001F3292">
            <w:pPr>
              <w:jc w:val="center"/>
            </w:pPr>
            <w:r>
              <w:rPr>
                <w:color w:val="000000"/>
                <w:sz w:val="24"/>
                <w:szCs w:val="24"/>
              </w:rPr>
              <w:t>2</w:t>
            </w:r>
          </w:p>
        </w:tc>
        <w:tc>
          <w:tcPr>
            <w:tcW w:w="1475" w:type="dxa"/>
            <w:vAlign w:val="center"/>
          </w:tcPr>
          <w:p w:rsidR="005838E2" w:rsidRDefault="001F3292">
            <w:pPr>
              <w:jc w:val="center"/>
            </w:pPr>
            <w:r>
              <w:rPr>
                <w:color w:val="000000"/>
                <w:sz w:val="24"/>
                <w:szCs w:val="24"/>
              </w:rPr>
              <w:t>1282414</w:t>
            </w:r>
          </w:p>
        </w:tc>
        <w:tc>
          <w:tcPr>
            <w:tcW w:w="1769" w:type="dxa"/>
            <w:vAlign w:val="center"/>
          </w:tcPr>
          <w:p w:rsidR="005838E2" w:rsidRDefault="001F3292">
            <w:pPr>
              <w:jc w:val="center"/>
            </w:pPr>
            <w:r>
              <w:rPr>
                <w:color w:val="000000"/>
                <w:sz w:val="24"/>
                <w:szCs w:val="24"/>
              </w:rPr>
              <w:t>12</w:t>
            </w:r>
            <w:r>
              <w:rPr>
                <w:color w:val="000000"/>
                <w:sz w:val="24"/>
                <w:szCs w:val="24"/>
              </w:rPr>
              <w:t>国开投</w:t>
            </w:r>
            <w:r>
              <w:rPr>
                <w:color w:val="000000"/>
                <w:sz w:val="24"/>
                <w:szCs w:val="24"/>
              </w:rPr>
              <w:t>MTN2</w:t>
            </w:r>
          </w:p>
        </w:tc>
        <w:tc>
          <w:tcPr>
            <w:tcW w:w="1387" w:type="dxa"/>
            <w:vAlign w:val="center"/>
          </w:tcPr>
          <w:p w:rsidR="005838E2" w:rsidRDefault="001F3292">
            <w:pPr>
              <w:jc w:val="right"/>
            </w:pPr>
            <w:r>
              <w:rPr>
                <w:color w:val="000000"/>
                <w:sz w:val="24"/>
                <w:szCs w:val="24"/>
              </w:rPr>
              <w:t>200,000</w:t>
            </w:r>
          </w:p>
        </w:tc>
        <w:tc>
          <w:tcPr>
            <w:tcW w:w="2150" w:type="dxa"/>
            <w:vAlign w:val="center"/>
          </w:tcPr>
          <w:p w:rsidR="005838E2" w:rsidRDefault="001F3292">
            <w:pPr>
              <w:jc w:val="right"/>
            </w:pPr>
            <w:r>
              <w:rPr>
                <w:color w:val="000000"/>
                <w:sz w:val="24"/>
                <w:szCs w:val="24"/>
              </w:rPr>
              <w:t>20,672,000.00</w:t>
            </w:r>
          </w:p>
        </w:tc>
        <w:tc>
          <w:tcPr>
            <w:tcW w:w="1237" w:type="dxa"/>
            <w:vAlign w:val="center"/>
          </w:tcPr>
          <w:p w:rsidR="005838E2" w:rsidRDefault="001F3292">
            <w:pPr>
              <w:jc w:val="right"/>
            </w:pPr>
            <w:r>
              <w:rPr>
                <w:color w:val="000000"/>
                <w:sz w:val="24"/>
                <w:szCs w:val="24"/>
              </w:rPr>
              <w:t>2.14</w:t>
            </w:r>
          </w:p>
        </w:tc>
      </w:tr>
      <w:tr w:rsidR="005838E2">
        <w:trPr>
          <w:jc w:val="center"/>
        </w:trPr>
        <w:tc>
          <w:tcPr>
            <w:tcW w:w="850" w:type="dxa"/>
            <w:vAlign w:val="center"/>
          </w:tcPr>
          <w:p w:rsidR="005838E2" w:rsidRDefault="001F3292">
            <w:pPr>
              <w:jc w:val="center"/>
            </w:pPr>
            <w:r>
              <w:rPr>
                <w:color w:val="000000"/>
                <w:sz w:val="24"/>
                <w:szCs w:val="24"/>
              </w:rPr>
              <w:t>3</w:t>
            </w:r>
          </w:p>
        </w:tc>
        <w:tc>
          <w:tcPr>
            <w:tcW w:w="1475" w:type="dxa"/>
            <w:vAlign w:val="center"/>
          </w:tcPr>
          <w:p w:rsidR="005838E2" w:rsidRDefault="001F3292">
            <w:pPr>
              <w:jc w:val="center"/>
            </w:pPr>
            <w:r>
              <w:rPr>
                <w:color w:val="000000"/>
                <w:sz w:val="24"/>
                <w:szCs w:val="24"/>
              </w:rPr>
              <w:t>101900593</w:t>
            </w:r>
          </w:p>
        </w:tc>
        <w:tc>
          <w:tcPr>
            <w:tcW w:w="1769" w:type="dxa"/>
            <w:vAlign w:val="center"/>
          </w:tcPr>
          <w:p w:rsidR="005838E2" w:rsidRDefault="001F3292">
            <w:pPr>
              <w:jc w:val="center"/>
            </w:pPr>
            <w:r>
              <w:rPr>
                <w:color w:val="000000"/>
                <w:sz w:val="24"/>
                <w:szCs w:val="24"/>
              </w:rPr>
              <w:t>19</w:t>
            </w:r>
            <w:r>
              <w:rPr>
                <w:color w:val="000000"/>
                <w:sz w:val="24"/>
                <w:szCs w:val="24"/>
              </w:rPr>
              <w:t>华润</w:t>
            </w:r>
            <w:r>
              <w:rPr>
                <w:color w:val="000000"/>
                <w:sz w:val="24"/>
                <w:szCs w:val="24"/>
              </w:rPr>
              <w:t>MTN004</w:t>
            </w:r>
          </w:p>
        </w:tc>
        <w:tc>
          <w:tcPr>
            <w:tcW w:w="1387" w:type="dxa"/>
            <w:vAlign w:val="center"/>
          </w:tcPr>
          <w:p w:rsidR="005838E2" w:rsidRDefault="001F3292">
            <w:pPr>
              <w:jc w:val="right"/>
            </w:pPr>
            <w:r>
              <w:rPr>
                <w:color w:val="000000"/>
                <w:sz w:val="24"/>
                <w:szCs w:val="24"/>
              </w:rPr>
              <w:t>200,000</w:t>
            </w:r>
          </w:p>
        </w:tc>
        <w:tc>
          <w:tcPr>
            <w:tcW w:w="2150" w:type="dxa"/>
            <w:vAlign w:val="center"/>
          </w:tcPr>
          <w:p w:rsidR="005838E2" w:rsidRDefault="001F3292">
            <w:pPr>
              <w:jc w:val="right"/>
            </w:pPr>
            <w:r>
              <w:rPr>
                <w:color w:val="000000"/>
                <w:sz w:val="24"/>
                <w:szCs w:val="24"/>
              </w:rPr>
              <w:t>20,274,000.00</w:t>
            </w:r>
          </w:p>
        </w:tc>
        <w:tc>
          <w:tcPr>
            <w:tcW w:w="1237" w:type="dxa"/>
            <w:vAlign w:val="center"/>
          </w:tcPr>
          <w:p w:rsidR="005838E2" w:rsidRDefault="001F3292">
            <w:pPr>
              <w:jc w:val="right"/>
            </w:pPr>
            <w:r>
              <w:rPr>
                <w:color w:val="000000"/>
                <w:sz w:val="24"/>
                <w:szCs w:val="24"/>
              </w:rPr>
              <w:t>2.10</w:t>
            </w:r>
          </w:p>
        </w:tc>
      </w:tr>
      <w:tr w:rsidR="005838E2">
        <w:trPr>
          <w:jc w:val="center"/>
        </w:trPr>
        <w:tc>
          <w:tcPr>
            <w:tcW w:w="850" w:type="dxa"/>
            <w:vAlign w:val="center"/>
          </w:tcPr>
          <w:p w:rsidR="005838E2" w:rsidRDefault="001F3292">
            <w:pPr>
              <w:jc w:val="center"/>
            </w:pPr>
            <w:r>
              <w:rPr>
                <w:color w:val="000000"/>
                <w:sz w:val="24"/>
                <w:szCs w:val="24"/>
              </w:rPr>
              <w:t>4</w:t>
            </w:r>
          </w:p>
        </w:tc>
        <w:tc>
          <w:tcPr>
            <w:tcW w:w="1475" w:type="dxa"/>
            <w:vAlign w:val="center"/>
          </w:tcPr>
          <w:p w:rsidR="005838E2" w:rsidRDefault="001F3292">
            <w:pPr>
              <w:jc w:val="center"/>
            </w:pPr>
            <w:r>
              <w:rPr>
                <w:color w:val="000000"/>
                <w:sz w:val="24"/>
                <w:szCs w:val="24"/>
              </w:rPr>
              <w:t>101900630</w:t>
            </w:r>
          </w:p>
        </w:tc>
        <w:tc>
          <w:tcPr>
            <w:tcW w:w="1769" w:type="dxa"/>
            <w:vAlign w:val="center"/>
          </w:tcPr>
          <w:p w:rsidR="005838E2" w:rsidRDefault="001F3292">
            <w:pPr>
              <w:jc w:val="center"/>
            </w:pPr>
            <w:r>
              <w:rPr>
                <w:color w:val="000000"/>
                <w:sz w:val="24"/>
                <w:szCs w:val="24"/>
              </w:rPr>
              <w:t>19</w:t>
            </w:r>
            <w:r>
              <w:rPr>
                <w:color w:val="000000"/>
                <w:sz w:val="24"/>
                <w:szCs w:val="24"/>
              </w:rPr>
              <w:t>京国资</w:t>
            </w:r>
            <w:r>
              <w:rPr>
                <w:color w:val="000000"/>
                <w:sz w:val="24"/>
                <w:szCs w:val="24"/>
              </w:rPr>
              <w:t>MTN001</w:t>
            </w:r>
          </w:p>
        </w:tc>
        <w:tc>
          <w:tcPr>
            <w:tcW w:w="1387" w:type="dxa"/>
            <w:vAlign w:val="center"/>
          </w:tcPr>
          <w:p w:rsidR="005838E2" w:rsidRDefault="001F3292">
            <w:pPr>
              <w:jc w:val="right"/>
            </w:pPr>
            <w:r>
              <w:rPr>
                <w:color w:val="000000"/>
                <w:sz w:val="24"/>
                <w:szCs w:val="24"/>
              </w:rPr>
              <w:t>200,000</w:t>
            </w:r>
          </w:p>
        </w:tc>
        <w:tc>
          <w:tcPr>
            <w:tcW w:w="2150" w:type="dxa"/>
            <w:vAlign w:val="center"/>
          </w:tcPr>
          <w:p w:rsidR="005838E2" w:rsidRDefault="001F3292">
            <w:pPr>
              <w:jc w:val="right"/>
            </w:pPr>
            <w:r>
              <w:rPr>
                <w:color w:val="000000"/>
                <w:sz w:val="24"/>
                <w:szCs w:val="24"/>
              </w:rPr>
              <w:t>20,272,000.00</w:t>
            </w:r>
          </w:p>
        </w:tc>
        <w:tc>
          <w:tcPr>
            <w:tcW w:w="1237" w:type="dxa"/>
            <w:vAlign w:val="center"/>
          </w:tcPr>
          <w:p w:rsidR="005838E2" w:rsidRDefault="001F3292">
            <w:pPr>
              <w:jc w:val="right"/>
            </w:pPr>
            <w:r>
              <w:rPr>
                <w:color w:val="000000"/>
                <w:sz w:val="24"/>
                <w:szCs w:val="24"/>
              </w:rPr>
              <w:t>2.10</w:t>
            </w:r>
          </w:p>
        </w:tc>
      </w:tr>
      <w:tr w:rsidR="005838E2">
        <w:trPr>
          <w:jc w:val="center"/>
        </w:trPr>
        <w:tc>
          <w:tcPr>
            <w:tcW w:w="850" w:type="dxa"/>
            <w:vAlign w:val="center"/>
          </w:tcPr>
          <w:p w:rsidR="005838E2" w:rsidRDefault="001F3292">
            <w:pPr>
              <w:jc w:val="center"/>
            </w:pPr>
            <w:r>
              <w:rPr>
                <w:color w:val="000000"/>
                <w:sz w:val="24"/>
                <w:szCs w:val="24"/>
              </w:rPr>
              <w:t>5</w:t>
            </w:r>
          </w:p>
        </w:tc>
        <w:tc>
          <w:tcPr>
            <w:tcW w:w="1475" w:type="dxa"/>
            <w:vAlign w:val="center"/>
          </w:tcPr>
          <w:p w:rsidR="005838E2" w:rsidRDefault="001F3292">
            <w:pPr>
              <w:jc w:val="center"/>
            </w:pPr>
            <w:r>
              <w:rPr>
                <w:color w:val="000000"/>
                <w:sz w:val="24"/>
                <w:szCs w:val="24"/>
              </w:rPr>
              <w:t>101800805</w:t>
            </w:r>
          </w:p>
        </w:tc>
        <w:tc>
          <w:tcPr>
            <w:tcW w:w="1769" w:type="dxa"/>
            <w:vAlign w:val="center"/>
          </w:tcPr>
          <w:p w:rsidR="005838E2" w:rsidRDefault="001F3292">
            <w:pPr>
              <w:jc w:val="center"/>
            </w:pPr>
            <w:r>
              <w:rPr>
                <w:color w:val="000000"/>
                <w:sz w:val="24"/>
                <w:szCs w:val="24"/>
              </w:rPr>
              <w:t>18</w:t>
            </w:r>
            <w:r>
              <w:rPr>
                <w:color w:val="000000"/>
                <w:sz w:val="24"/>
                <w:szCs w:val="24"/>
              </w:rPr>
              <w:t>苏国信</w:t>
            </w:r>
            <w:r>
              <w:rPr>
                <w:color w:val="000000"/>
                <w:sz w:val="24"/>
                <w:szCs w:val="24"/>
              </w:rPr>
              <w:t>MTN003</w:t>
            </w:r>
          </w:p>
        </w:tc>
        <w:tc>
          <w:tcPr>
            <w:tcW w:w="1387" w:type="dxa"/>
            <w:vAlign w:val="center"/>
          </w:tcPr>
          <w:p w:rsidR="005838E2" w:rsidRDefault="001F3292">
            <w:pPr>
              <w:jc w:val="right"/>
            </w:pPr>
            <w:r>
              <w:rPr>
                <w:color w:val="000000"/>
                <w:sz w:val="24"/>
                <w:szCs w:val="24"/>
              </w:rPr>
              <w:t>200,000</w:t>
            </w:r>
          </w:p>
        </w:tc>
        <w:tc>
          <w:tcPr>
            <w:tcW w:w="2150" w:type="dxa"/>
            <w:vAlign w:val="center"/>
          </w:tcPr>
          <w:p w:rsidR="005838E2" w:rsidRDefault="001F3292">
            <w:pPr>
              <w:jc w:val="right"/>
            </w:pPr>
            <w:r>
              <w:rPr>
                <w:color w:val="000000"/>
                <w:sz w:val="24"/>
                <w:szCs w:val="24"/>
              </w:rPr>
              <w:t>20,206,000.00</w:t>
            </w:r>
          </w:p>
        </w:tc>
        <w:tc>
          <w:tcPr>
            <w:tcW w:w="1237" w:type="dxa"/>
            <w:vAlign w:val="center"/>
          </w:tcPr>
          <w:p w:rsidR="005838E2" w:rsidRDefault="001F3292">
            <w:pPr>
              <w:jc w:val="right"/>
            </w:pPr>
            <w:r>
              <w:rPr>
                <w:color w:val="000000"/>
                <w:sz w:val="24"/>
                <w:szCs w:val="24"/>
              </w:rPr>
              <w:t>2.09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111,430.11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22,980.82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10,705,674.46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2,191.10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10,842,276.49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5838E2">
        <w:trPr>
          <w:jc w:val="center"/>
        </w:trPr>
        <w:tc>
          <w:tcPr>
            <w:tcW w:w="1883" w:type="dxa"/>
            <w:vAlign w:val="center"/>
          </w:tcPr>
          <w:p w:rsidR="005838E2" w:rsidRDefault="001F3292">
            <w:pPr>
              <w:jc w:val="center"/>
            </w:pPr>
            <w:r>
              <w:rPr>
                <w:color w:val="000000"/>
                <w:sz w:val="24"/>
                <w:szCs w:val="24"/>
              </w:rPr>
              <w:t>1</w:t>
            </w:r>
          </w:p>
        </w:tc>
        <w:tc>
          <w:tcPr>
            <w:tcW w:w="1801" w:type="dxa"/>
            <w:vAlign w:val="center"/>
          </w:tcPr>
          <w:p w:rsidR="005838E2" w:rsidRDefault="001F3292">
            <w:pPr>
              <w:jc w:val="center"/>
            </w:pPr>
            <w:r>
              <w:rPr>
                <w:color w:val="000000"/>
                <w:sz w:val="24"/>
                <w:szCs w:val="24"/>
              </w:rPr>
              <w:t>110059</w:t>
            </w:r>
          </w:p>
        </w:tc>
        <w:tc>
          <w:tcPr>
            <w:tcW w:w="1727" w:type="dxa"/>
            <w:vAlign w:val="center"/>
          </w:tcPr>
          <w:p w:rsidR="005838E2" w:rsidRDefault="001F3292">
            <w:pPr>
              <w:jc w:val="center"/>
            </w:pPr>
            <w:r>
              <w:rPr>
                <w:color w:val="000000"/>
                <w:sz w:val="24"/>
                <w:szCs w:val="24"/>
              </w:rPr>
              <w:t>浦发转债</w:t>
            </w:r>
          </w:p>
        </w:tc>
        <w:tc>
          <w:tcPr>
            <w:tcW w:w="1768" w:type="dxa"/>
            <w:vAlign w:val="center"/>
          </w:tcPr>
          <w:p w:rsidR="005838E2" w:rsidRDefault="001F3292">
            <w:pPr>
              <w:jc w:val="right"/>
            </w:pPr>
            <w:r>
              <w:rPr>
                <w:color w:val="000000"/>
                <w:sz w:val="24"/>
                <w:szCs w:val="24"/>
              </w:rPr>
              <w:t>1,136,088.00</w:t>
            </w:r>
          </w:p>
        </w:tc>
        <w:tc>
          <w:tcPr>
            <w:tcW w:w="1689" w:type="dxa"/>
            <w:vAlign w:val="center"/>
          </w:tcPr>
          <w:p w:rsidR="005838E2" w:rsidRDefault="001F3292">
            <w:pPr>
              <w:jc w:val="right"/>
            </w:pPr>
            <w:r>
              <w:rPr>
                <w:color w:val="000000"/>
                <w:sz w:val="24"/>
                <w:szCs w:val="24"/>
              </w:rPr>
              <w:t>0.12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720,045,686.18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177,252,111.47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133,124,662.37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764,173,135.28</w:t>
            </w:r>
          </w:p>
        </w:tc>
      </w:tr>
    </w:tbl>
    <w:p w:rsidR="005838E2" w:rsidRDefault="001F32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5838E2">
        <w:tc>
          <w:tcPr>
            <w:tcW w:w="993" w:type="dxa"/>
            <w:vMerge w:val="restart"/>
          </w:tcPr>
          <w:p w:rsidR="005838E2" w:rsidRDefault="005838E2"/>
          <w:p w:rsidR="005838E2" w:rsidRDefault="001F3292">
            <w:r>
              <w:rPr>
                <w:rFonts w:ascii="宋体" w:hAnsi="宋体" w:hint="eastAsia"/>
                <w:bCs/>
                <w:color w:val="000000"/>
                <w:kern w:val="0"/>
              </w:rPr>
              <w:t>机构</w:t>
            </w:r>
          </w:p>
        </w:tc>
        <w:tc>
          <w:tcPr>
            <w:tcW w:w="992" w:type="dxa"/>
            <w:vAlign w:val="center"/>
          </w:tcPr>
          <w:p w:rsidR="005838E2" w:rsidRDefault="001F3292">
            <w:pPr>
              <w:jc w:val="center"/>
            </w:pPr>
            <w:r>
              <w:rPr>
                <w:rFonts w:ascii="宋体" w:hAnsi="宋体"/>
                <w:color w:val="000000"/>
                <w:kern w:val="0"/>
              </w:rPr>
              <w:t>1</w:t>
            </w:r>
          </w:p>
        </w:tc>
        <w:tc>
          <w:tcPr>
            <w:tcW w:w="1843" w:type="dxa"/>
            <w:vAlign w:val="center"/>
          </w:tcPr>
          <w:p w:rsidR="005838E2" w:rsidRDefault="001F3292">
            <w:pPr>
              <w:jc w:val="center"/>
            </w:pPr>
            <w:r>
              <w:rPr>
                <w:rFonts w:ascii="宋体" w:hAnsi="宋体"/>
                <w:color w:val="000000"/>
                <w:kern w:val="0"/>
              </w:rPr>
              <w:t>2020/10/1-2020/12/31</w:t>
            </w:r>
          </w:p>
        </w:tc>
        <w:tc>
          <w:tcPr>
            <w:tcW w:w="851" w:type="dxa"/>
            <w:vAlign w:val="center"/>
          </w:tcPr>
          <w:p w:rsidR="005838E2" w:rsidRDefault="001F3292">
            <w:pPr>
              <w:jc w:val="center"/>
            </w:pPr>
            <w:r>
              <w:rPr>
                <w:rFonts w:ascii="宋体" w:hAnsi="宋体"/>
                <w:color w:val="000000"/>
                <w:kern w:val="0"/>
              </w:rPr>
              <w:t>140,686,383.78</w:t>
            </w:r>
          </w:p>
        </w:tc>
        <w:tc>
          <w:tcPr>
            <w:tcW w:w="850" w:type="dxa"/>
            <w:vAlign w:val="center"/>
          </w:tcPr>
          <w:p w:rsidR="005838E2" w:rsidRDefault="001F3292">
            <w:pPr>
              <w:jc w:val="center"/>
            </w:pPr>
            <w:r>
              <w:rPr>
                <w:rFonts w:ascii="宋体" w:hAnsi="宋体"/>
                <w:color w:val="000000"/>
                <w:kern w:val="0"/>
              </w:rPr>
              <w:t>-</w:t>
            </w:r>
          </w:p>
        </w:tc>
        <w:tc>
          <w:tcPr>
            <w:tcW w:w="1134" w:type="dxa"/>
            <w:vAlign w:val="center"/>
          </w:tcPr>
          <w:p w:rsidR="005838E2" w:rsidRDefault="001F3292">
            <w:pPr>
              <w:jc w:val="center"/>
            </w:pPr>
            <w:r>
              <w:rPr>
                <w:rFonts w:ascii="宋体" w:hAnsi="宋体"/>
                <w:color w:val="000000"/>
                <w:kern w:val="0"/>
              </w:rPr>
              <w:t>114,154,589.37</w:t>
            </w:r>
          </w:p>
        </w:tc>
        <w:tc>
          <w:tcPr>
            <w:tcW w:w="1419" w:type="dxa"/>
            <w:vAlign w:val="center"/>
          </w:tcPr>
          <w:p w:rsidR="005838E2" w:rsidRDefault="001F3292">
            <w:pPr>
              <w:jc w:val="center"/>
            </w:pPr>
            <w:r>
              <w:rPr>
                <w:rFonts w:ascii="宋体" w:hAnsi="宋体"/>
                <w:color w:val="000000"/>
                <w:kern w:val="0"/>
              </w:rPr>
              <w:t>26,531,794.41</w:t>
            </w:r>
          </w:p>
        </w:tc>
        <w:tc>
          <w:tcPr>
            <w:tcW w:w="1130" w:type="dxa"/>
            <w:vAlign w:val="center"/>
          </w:tcPr>
          <w:p w:rsidR="005838E2" w:rsidRDefault="001F3292">
            <w:pPr>
              <w:jc w:val="center"/>
            </w:pPr>
            <w:r>
              <w:rPr>
                <w:rFonts w:ascii="宋体" w:hAnsi="宋体"/>
                <w:color w:val="000000"/>
                <w:kern w:val="0"/>
              </w:rPr>
              <w:t>3.47%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8.2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lastRenderedPageBreak/>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838E2" w:rsidRDefault="001F329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、《交银施罗德荣鑫灵活配置混合型证券投资基金基金合同》；</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、《交银施罗德荣鑫灵活配置混合型证券投资基金招募说明书》；</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、《交银施罗德荣鑫灵活配置混合型证券投资基金托管协议》；</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、《交银施罗德荣鑫保本混合型证券投资基金基金合同》；</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、《交银施罗德荣鑫保本混合型证券投资基金招募说明书》；</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、《交银施罗德荣鑫保本混合型证券投资基金托管协议》；</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5838E2" w:rsidRDefault="001F3292">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、关于申请募集注册交银施罗德荣鑫保本混合型证券投资基金的法律意见</w:t>
      </w:r>
      <w:r>
        <w:rPr>
          <w:color w:val="000000"/>
          <w:sz w:val="24"/>
          <w:szCs w:val="24"/>
        </w:rPr>
        <w:t>书；</w:t>
      </w:r>
      <w:r>
        <w:rPr>
          <w:color w:val="000000"/>
          <w:sz w:val="24"/>
          <w:szCs w:val="24"/>
        </w:rPr>
        <w:t xml:space="preserve"> </w:t>
      </w:r>
    </w:p>
    <w:p w:rsidR="005838E2" w:rsidRDefault="001F3292">
      <w:pPr>
        <w:spacing w:before="29" w:line="288" w:lineRule="auto"/>
        <w:ind w:firstLineChars="200" w:firstLine="480"/>
        <w:rPr>
          <w:color w:val="000000"/>
          <w:sz w:val="24"/>
          <w:szCs w:val="24"/>
        </w:rPr>
      </w:pPr>
      <w:r>
        <w:rPr>
          <w:color w:val="000000"/>
          <w:sz w:val="24"/>
          <w:szCs w:val="24"/>
        </w:rPr>
        <w:t>12</w:t>
      </w:r>
      <w:r>
        <w:rPr>
          <w:color w:val="000000"/>
          <w:sz w:val="24"/>
          <w:szCs w:val="24"/>
        </w:rPr>
        <w:t>、关于修改《交银施罗德荣鑫保本混合型证券投资基金基金合同》的法律意见书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、报告期内交银施罗德荣鑫保本混合型证券投资基金、交银施罗德荣鑫灵活配置混合型证券投资基金在指定报刊上各项公告的原稿。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838E2" w:rsidRDefault="001F329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292" w:rsidRDefault="001F3292" w:rsidP="00876D65">
      <w:r>
        <w:separator/>
      </w:r>
    </w:p>
  </w:endnote>
  <w:endnote w:type="continuationSeparator" w:id="0">
    <w:p w:rsidR="001F3292" w:rsidRDefault="001F329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F31D5">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F31D5">
      <w:rPr>
        <w:noProof/>
        <w:kern w:val="0"/>
        <w:szCs w:val="21"/>
      </w:rPr>
      <w:t>14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292" w:rsidRDefault="001F3292" w:rsidP="00876D65">
      <w:r>
        <w:separator/>
      </w:r>
    </w:p>
  </w:footnote>
  <w:footnote w:type="continuationSeparator" w:id="0">
    <w:p w:rsidR="001F3292" w:rsidRDefault="001F329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交银施罗德荣鑫灵活配置混合型证券投资基金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31D5"/>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292"/>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38E2"/>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A820D-0029-4C82-8339-54E1E3FF4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14</Pages>
  <Words>1261</Words>
  <Characters>7188</Characters>
  <Application>Microsoft Office Word</Application>
  <DocSecurity>0</DocSecurity>
  <Lines>59</Lines>
  <Paragraphs>16</Paragraphs>
  <ScaleCrop>false</ScaleCrop>
  <Company/>
  <LinksUpToDate>false</LinksUpToDate>
  <CharactersWithSpaces>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601</cp:revision>
  <dcterms:created xsi:type="dcterms:W3CDTF">2012-10-16T06:07:00Z</dcterms:created>
  <dcterms:modified xsi:type="dcterms:W3CDTF">2021-01-18T08:43:00Z</dcterms:modified>
</cp:coreProperties>
</file>