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254,715,667.34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40,823,326.98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110,149,932.10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0.4478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535,711,434.99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26.99%</w:t>
            </w:r>
          </w:p>
        </w:tc>
        <w:tc>
          <w:tcPr>
            <w:vAlign w:val="center"/>
          </w:tcPr>
          <w:p>
            <w:pPr>
              <w:jc w:val="center"/>
            </w:pPr>
            <w:r>
              <w:rPr>
                <w:color w:val="000000"/>
                <w:sz w:val="24"/>
                <w:szCs w:val="24"/>
              </w:rPr>
              <w:t>1.06%</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18.44%</w:t>
            </w:r>
          </w:p>
        </w:tc>
        <w:tc>
          <w:tcPr>
            <w:vAlign w:val="center"/>
          </w:tcPr>
          <w:p>
            <w:pPr>
              <w:jc w:val="center"/>
            </w:pPr>
            <w:r>
              <w:rPr>
                <w:color w:val="000000"/>
                <w:sz w:val="24"/>
                <w:szCs w:val="24"/>
              </w:rPr>
              <w:t>0.47%</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49.04%</w:t>
            </w:r>
          </w:p>
        </w:tc>
        <w:tc>
          <w:tcPr>
            <w:vAlign w:val="center"/>
          </w:tcPr>
          <w:p>
            <w:pPr>
              <w:jc w:val="center"/>
            </w:pPr>
            <w:r>
              <w:rPr>
                <w:color w:val="000000"/>
                <w:sz w:val="24"/>
                <w:szCs w:val="24"/>
              </w:rPr>
              <w:t>1.26%</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34.02%</w:t>
            </w:r>
          </w:p>
        </w:tc>
        <w:tc>
          <w:tcPr>
            <w:vAlign w:val="center"/>
          </w:tcPr>
          <w:p>
            <w:pPr>
              <w:jc w:val="center"/>
            </w:pPr>
            <w:r>
              <w:rPr>
                <w:color w:val="000000"/>
                <w:sz w:val="24"/>
                <w:szCs w:val="24"/>
              </w:rPr>
              <w:t>0.46%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91.01%</w:t>
            </w:r>
          </w:p>
        </w:tc>
        <w:tc>
          <w:tcPr>
            <w:vAlign w:val="center"/>
          </w:tcPr>
          <w:p>
            <w:pPr>
              <w:jc w:val="center"/>
            </w:pPr>
            <w:r>
              <w:rPr>
                <w:color w:val="000000"/>
                <w:sz w:val="24"/>
                <w:szCs w:val="24"/>
              </w:rPr>
              <w:t>1.37%</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73.38%</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93.94%</w:t>
            </w:r>
          </w:p>
        </w:tc>
        <w:tc>
          <w:tcPr>
            <w:vAlign w:val="center"/>
          </w:tcPr>
          <w:p>
            <w:pPr>
              <w:jc w:val="center"/>
            </w:pPr>
            <w:r>
              <w:rPr>
                <w:color w:val="000000"/>
                <w:sz w:val="24"/>
                <w:szCs w:val="24"/>
              </w:rPr>
              <w:t>1.33%</w:t>
            </w:r>
          </w:p>
        </w:tc>
        <w:tc>
          <w:tcPr>
            <w:vAlign w:val="center"/>
          </w:tcPr>
          <w:p>
            <w:pPr>
              <w:jc w:val="center"/>
            </w:pPr>
            <w:r>
              <w:rPr>
                <w:color w:val="000000"/>
                <w:sz w:val="24"/>
                <w:szCs w:val="24"/>
              </w:rPr>
              <w:t>26.08%</w:t>
            </w:r>
          </w:p>
        </w:tc>
        <w:tc>
          <w:tcPr>
            <w:vAlign w:val="center"/>
          </w:tcPr>
          <w:p>
            <w:pPr>
              <w:jc w:val="center"/>
            </w:pPr>
            <w:r>
              <w:rPr>
                <w:color w:val="000000"/>
                <w:sz w:val="24"/>
                <w:szCs w:val="24"/>
              </w:rPr>
              <w:t>0.80%</w:t>
            </w:r>
          </w:p>
        </w:tc>
        <w:tc>
          <w:tcPr>
            <w:vAlign w:val="center"/>
          </w:tcPr>
          <w:p>
            <w:pPr>
              <w:jc w:val="center"/>
            </w:pPr>
            <w:r>
              <w:rPr>
                <w:color w:val="000000"/>
                <w:sz w:val="24"/>
                <w:szCs w:val="24"/>
              </w:rPr>
              <w:t>67.86%</w:t>
            </w:r>
          </w:p>
        </w:tc>
        <w:tc>
          <w:tcPr>
            <w:vAlign w:val="center"/>
          </w:tcPr>
          <w:p>
            <w:pPr>
              <w:jc w:val="center"/>
            </w:pPr>
            <w:r>
              <w:rPr>
                <w:color w:val="000000"/>
                <w:sz w:val="24"/>
                <w:szCs w:val="24"/>
              </w:rPr>
              <w:t>0.53%</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181.37%</w:t>
            </w:r>
          </w:p>
        </w:tc>
        <w:tc>
          <w:tcPr>
            <w:vAlign w:val="center"/>
          </w:tcPr>
          <w:p>
            <w:pPr>
              <w:jc w:val="center"/>
            </w:pPr>
            <w:r>
              <w:rPr>
                <w:color w:val="000000"/>
                <w:sz w:val="24"/>
                <w:szCs w:val="24"/>
              </w:rPr>
              <w:t>1.26%</w:t>
            </w:r>
          </w:p>
        </w:tc>
        <w:tc>
          <w:tcPr>
            <w:vAlign w:val="center"/>
          </w:tcPr>
          <w:p>
            <w:pPr>
              <w:jc w:val="center"/>
            </w:pPr>
            <w:r>
              <w:rPr>
                <w:color w:val="000000"/>
                <w:sz w:val="24"/>
                <w:szCs w:val="24"/>
              </w:rPr>
              <w:t>34.27%</w:t>
            </w:r>
          </w:p>
        </w:tc>
        <w:tc>
          <w:tcPr>
            <w:vAlign w:val="center"/>
          </w:tcPr>
          <w:p>
            <w:pPr>
              <w:jc w:val="center"/>
            </w:pPr>
            <w:r>
              <w:rPr>
                <w:color w:val="000000"/>
                <w:sz w:val="24"/>
                <w:szCs w:val="24"/>
              </w:rPr>
              <w:t>0.75%</w:t>
            </w:r>
          </w:p>
        </w:tc>
        <w:tc>
          <w:tcPr>
            <w:vAlign w:val="center"/>
          </w:tcPr>
          <w:p>
            <w:pPr>
              <w:jc w:val="center"/>
            </w:pPr>
            <w:r>
              <w:rPr>
                <w:color w:val="000000"/>
                <w:sz w:val="24"/>
                <w:szCs w:val="24"/>
              </w:rPr>
              <w:t>147.10%</w:t>
            </w:r>
          </w:p>
        </w:tc>
        <w:tc>
          <w:tcPr>
            <w:vAlign w:val="center"/>
          </w:tcPr>
          <w:p>
            <w:pPr>
              <w:jc w:val="center"/>
            </w:pPr>
            <w:r>
              <w:rPr>
                <w:color w:val="000000"/>
                <w:sz w:val="24"/>
                <w:szCs w:val="24"/>
              </w:rPr>
              <w:t>0.51%</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151.04%</w:t>
            </w:r>
          </w:p>
        </w:tc>
        <w:tc>
          <w:tcPr>
            <w:vAlign w:val="center"/>
          </w:tcPr>
          <w:p>
            <w:pPr>
              <w:jc w:val="center"/>
            </w:pPr>
            <w:r>
              <w:rPr>
                <w:color w:val="000000"/>
                <w:sz w:val="24"/>
                <w:szCs w:val="24"/>
              </w:rPr>
              <w:t>1.44%</w:t>
            </w:r>
          </w:p>
        </w:tc>
        <w:tc>
          <w:tcPr>
            <w:vAlign w:val="center"/>
          </w:tcPr>
          <w:p>
            <w:pPr>
              <w:jc w:val="center"/>
            </w:pPr>
            <w:r>
              <w:rPr>
                <w:color w:val="000000"/>
                <w:sz w:val="24"/>
                <w:szCs w:val="24"/>
              </w:rPr>
              <w:t>26.24%</w:t>
            </w:r>
          </w:p>
        </w:tc>
        <w:tc>
          <w:tcPr>
            <w:vAlign w:val="center"/>
          </w:tcPr>
          <w:p>
            <w:pPr>
              <w:jc w:val="center"/>
            </w:pPr>
            <w:r>
              <w:rPr>
                <w:color w:val="000000"/>
                <w:sz w:val="24"/>
                <w:szCs w:val="24"/>
              </w:rPr>
              <w:t>0.87%</w:t>
            </w:r>
          </w:p>
        </w:tc>
        <w:tc>
          <w:tcPr>
            <w:vAlign w:val="center"/>
          </w:tcPr>
          <w:p>
            <w:pPr>
              <w:jc w:val="center"/>
            </w:pPr>
            <w:r>
              <w:rPr>
                <w:color w:val="000000"/>
                <w:sz w:val="24"/>
                <w:szCs w:val="24"/>
              </w:rPr>
              <w:t>124.80%</w:t>
            </w:r>
          </w:p>
        </w:tc>
        <w:tc>
          <w:tcPr>
            <w:vAlign w:val="center"/>
          </w:tcPr>
          <w:p>
            <w:pPr>
              <w:jc w:val="center"/>
            </w:pPr>
            <w:r>
              <w:rPr>
                <w:color w:val="000000"/>
                <w:sz w:val="24"/>
                <w:szCs w:val="24"/>
              </w:rPr>
              <w:t>0.57%</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交银策略回报灵活配置混合、交银消费新驱动股票、交银股息优化混合、交银品质升级混合、交银内需增长混合的基金经理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四季度，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pPr>
        <w:spacing w:before="29" w:line="288" w:lineRule="auto"/>
        <w:ind w:firstLine="480" w:firstLineChars="200"/>
        <w:rPr>
          <w:color w:val="000000"/>
          <w:sz w:val="24"/>
          <w:szCs w:val="24"/>
        </w:rPr>
      </w:pPr>
      <w:r>
        <w:rPr>
          <w:color w:val="000000"/>
          <w:sz w:val="24"/>
          <w:szCs w:val="24"/>
        </w:rPr>
        <w:t>本基金四季度依然维持以消费医药白马为基础底仓的思路，适度增持了一些低估值的金融地产，增加了整个组合的均衡度和平衡感，降低了整个组合的估值水平。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保持谨慎乐观，整体预期收益率较前两年可能要出现明显下降：（1）如果海外疫情得不到控制，整个全球流动性将依然保持高水位。考虑到人民币汇率升值压力，国内流动性也将维持在较为宽松的水平，但是整个国内信用收缩或将成为必然。（2）外资流入加快。我们认为，2021年一季度的资本市场将出现进一步分化，特别是热门赛道里也将出现比较明显的分化。我们在组合上将进一步均衡，希望寻找各个行业的阿尔法来抵消未来可能出现的整体估值下行。（1）寻找消费、医药行业中，未来还有可能提升一致预期的公司；（2）均衡组合配置，以部分低估值高分红公司（剔除价值陷阱）替代现金。</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415,441,499.36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415,441,499.36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11,671,370.00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11,671,370.00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100,306,017.37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13,260,422.24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540,679,308.97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292,194,811.28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6,379,617.28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26,233,923.00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4.90</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335,431.23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16,925,791.21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24,174,375.14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22,368,391.60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5,348,409.10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21,440,359.50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24,067.30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415,441,499.36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77.55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25,197</w:t>
            </w:r>
          </w:p>
        </w:tc>
        <w:tc>
          <w:tcPr>
            <w:vAlign w:val="center"/>
          </w:tcPr>
          <w:p>
            <w:pPr>
              <w:jc w:val="right"/>
            </w:pPr>
            <w:r>
              <w:rPr>
                <w:color w:val="000000"/>
                <w:sz w:val="24"/>
                <w:szCs w:val="24"/>
              </w:rPr>
              <w:t>50,343,606.00</w:t>
            </w:r>
          </w:p>
        </w:tc>
        <w:tc>
          <w:tcPr>
            <w:vAlign w:val="center"/>
          </w:tcPr>
          <w:p>
            <w:pPr>
              <w:jc w:val="right"/>
            </w:pPr>
            <w:r>
              <w:rPr>
                <w:color w:val="000000"/>
                <w:sz w:val="24"/>
                <w:szCs w:val="24"/>
              </w:rPr>
              <w:t>9.40</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205,510</w:t>
            </w:r>
          </w:p>
        </w:tc>
        <w:tc>
          <w:tcPr>
            <w:vAlign w:val="center"/>
          </w:tcPr>
          <w:p>
            <w:pPr>
              <w:jc w:val="right"/>
            </w:pPr>
            <w:r>
              <w:rPr>
                <w:color w:val="000000"/>
                <w:sz w:val="24"/>
                <w:szCs w:val="24"/>
              </w:rPr>
              <w:t>48,498,304.90</w:t>
            </w:r>
          </w:p>
        </w:tc>
        <w:tc>
          <w:tcPr>
            <w:vAlign w:val="center"/>
          </w:tcPr>
          <w:p>
            <w:pPr>
              <w:jc w:val="right"/>
            </w:pPr>
            <w:r>
              <w:rPr>
                <w:color w:val="000000"/>
                <w:sz w:val="24"/>
                <w:szCs w:val="24"/>
              </w:rPr>
              <w:t>9.05</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129,091</w:t>
            </w:r>
          </w:p>
        </w:tc>
        <w:tc>
          <w:tcPr>
            <w:vAlign w:val="center"/>
          </w:tcPr>
          <w:p>
            <w:pPr>
              <w:jc w:val="right"/>
            </w:pPr>
            <w:r>
              <w:rPr>
                <w:color w:val="000000"/>
                <w:sz w:val="24"/>
                <w:szCs w:val="24"/>
              </w:rPr>
              <w:t>37,675,208.35</w:t>
            </w:r>
          </w:p>
        </w:tc>
        <w:tc>
          <w:tcPr>
            <w:vAlign w:val="center"/>
          </w:tcPr>
          <w:p>
            <w:pPr>
              <w:jc w:val="right"/>
            </w:pPr>
            <w:r>
              <w:rPr>
                <w:color w:val="000000"/>
                <w:sz w:val="24"/>
                <w:szCs w:val="24"/>
              </w:rPr>
              <w:t>7.03</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1,319,209</w:t>
            </w:r>
          </w:p>
        </w:tc>
        <w:tc>
          <w:tcPr>
            <w:vAlign w:val="center"/>
          </w:tcPr>
          <w:p>
            <w:pPr>
              <w:jc w:val="right"/>
            </w:pPr>
            <w:r>
              <w:rPr>
                <w:color w:val="000000"/>
                <w:sz w:val="24"/>
                <w:szCs w:val="24"/>
              </w:rPr>
              <w:t>31,858,897.35</w:t>
            </w:r>
          </w:p>
        </w:tc>
        <w:tc>
          <w:tcPr>
            <w:vAlign w:val="center"/>
          </w:tcPr>
          <w:p>
            <w:pPr>
              <w:jc w:val="right"/>
            </w:pPr>
            <w:r>
              <w:rPr>
                <w:color w:val="000000"/>
                <w:sz w:val="24"/>
                <w:szCs w:val="24"/>
              </w:rPr>
              <w:t>5.95</w:t>
            </w:r>
          </w:p>
        </w:tc>
      </w:tr>
      <w:tr>
        <w:tc>
          <w:tcPr>
            <w:vAlign w:val="center"/>
          </w:tcPr>
          <w:p>
            <w:pPr>
              <w:jc w:val="center"/>
            </w:pPr>
            <w:r>
              <w:rPr>
                <w:color w:val="000000"/>
                <w:sz w:val="24"/>
                <w:szCs w:val="24"/>
              </w:rPr>
              <w:t>5</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170,373</w:t>
            </w:r>
          </w:p>
        </w:tc>
        <w:tc>
          <w:tcPr>
            <w:vAlign w:val="center"/>
          </w:tcPr>
          <w:p>
            <w:pPr>
              <w:jc w:val="right"/>
            </w:pPr>
            <w:r>
              <w:rPr>
                <w:color w:val="000000"/>
                <w:sz w:val="24"/>
                <w:szCs w:val="24"/>
              </w:rPr>
              <w:t>26,663,374.50</w:t>
            </w:r>
          </w:p>
        </w:tc>
        <w:tc>
          <w:tcPr>
            <w:vAlign w:val="center"/>
          </w:tcPr>
          <w:p>
            <w:pPr>
              <w:jc w:val="right"/>
            </w:pPr>
            <w:r>
              <w:rPr>
                <w:color w:val="000000"/>
                <w:sz w:val="24"/>
                <w:szCs w:val="24"/>
              </w:rPr>
              <w:t>4.98</w:t>
            </w:r>
          </w:p>
        </w:tc>
      </w:tr>
      <w:tr>
        <w:tc>
          <w:tcPr>
            <w:vAlign w:val="center"/>
          </w:tcPr>
          <w:p>
            <w:pPr>
              <w:jc w:val="center"/>
            </w:pPr>
            <w:r>
              <w:rPr>
                <w:color w:val="000000"/>
                <w:sz w:val="24"/>
                <w:szCs w:val="24"/>
              </w:rPr>
              <w:t>6</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509,100</w:t>
            </w:r>
          </w:p>
        </w:tc>
        <w:tc>
          <w:tcPr>
            <w:vAlign w:val="center"/>
          </w:tcPr>
          <w:p>
            <w:pPr>
              <w:jc w:val="right"/>
            </w:pPr>
            <w:r>
              <w:rPr>
                <w:color w:val="000000"/>
                <w:sz w:val="24"/>
                <w:szCs w:val="24"/>
              </w:rPr>
              <w:t>26,233,923.00</w:t>
            </w:r>
          </w:p>
        </w:tc>
        <w:tc>
          <w:tcPr>
            <w:vAlign w:val="center"/>
          </w:tcPr>
          <w:p>
            <w:pPr>
              <w:jc w:val="right"/>
            </w:pPr>
            <w:r>
              <w:rPr>
                <w:color w:val="000000"/>
                <w:sz w:val="24"/>
                <w:szCs w:val="24"/>
              </w:rPr>
              <w:t>4.90</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842,000</w:t>
            </w:r>
          </w:p>
        </w:tc>
        <w:tc>
          <w:tcPr>
            <w:vAlign w:val="center"/>
          </w:tcPr>
          <w:p>
            <w:pPr>
              <w:jc w:val="right"/>
            </w:pPr>
            <w:r>
              <w:rPr>
                <w:color w:val="000000"/>
                <w:sz w:val="24"/>
                <w:szCs w:val="24"/>
              </w:rPr>
              <w:t>24,165,400.00</w:t>
            </w:r>
          </w:p>
        </w:tc>
        <w:tc>
          <w:tcPr>
            <w:vAlign w:val="center"/>
          </w:tcPr>
          <w:p>
            <w:pPr>
              <w:jc w:val="right"/>
            </w:pPr>
            <w:r>
              <w:rPr>
                <w:color w:val="000000"/>
                <w:sz w:val="24"/>
                <w:szCs w:val="24"/>
              </w:rPr>
              <w:t>4.51</w:t>
            </w:r>
          </w:p>
        </w:tc>
      </w:tr>
      <w:tr>
        <w:tc>
          <w:tcPr>
            <w:vAlign w:val="center"/>
          </w:tcPr>
          <w:p>
            <w:pPr>
              <w:jc w:val="center"/>
            </w:pPr>
            <w:r>
              <w:rPr>
                <w:color w:val="000000"/>
                <w:sz w:val="24"/>
                <w:szCs w:val="24"/>
              </w:rPr>
              <w:t>8</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165,920</w:t>
            </w:r>
          </w:p>
        </w:tc>
        <w:tc>
          <w:tcPr>
            <w:vAlign w:val="center"/>
          </w:tcPr>
          <w:p>
            <w:pPr>
              <w:jc w:val="right"/>
            </w:pPr>
            <w:r>
              <w:rPr>
                <w:color w:val="000000"/>
                <w:sz w:val="24"/>
                <w:szCs w:val="24"/>
              </w:rPr>
              <w:t>22,352,742.40</w:t>
            </w:r>
          </w:p>
        </w:tc>
        <w:tc>
          <w:tcPr>
            <w:vAlign w:val="center"/>
          </w:tcPr>
          <w:p>
            <w:pPr>
              <w:jc w:val="right"/>
            </w:pPr>
            <w:r>
              <w:rPr>
                <w:color w:val="000000"/>
                <w:sz w:val="24"/>
                <w:szCs w:val="24"/>
              </w:rPr>
              <w:t>4.17</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190,093</w:t>
            </w:r>
          </w:p>
        </w:tc>
        <w:tc>
          <w:tcPr>
            <w:vAlign w:val="center"/>
          </w:tcPr>
          <w:p>
            <w:pPr>
              <w:jc w:val="right"/>
            </w:pPr>
            <w:r>
              <w:rPr>
                <w:color w:val="000000"/>
                <w:sz w:val="24"/>
                <w:szCs w:val="24"/>
              </w:rPr>
              <w:t>21,187,765.78</w:t>
            </w:r>
          </w:p>
        </w:tc>
        <w:tc>
          <w:tcPr>
            <w:vAlign w:val="center"/>
          </w:tcPr>
          <w:p>
            <w:pPr>
              <w:jc w:val="right"/>
            </w:pPr>
            <w:r>
              <w:rPr>
                <w:color w:val="000000"/>
                <w:sz w:val="24"/>
                <w:szCs w:val="24"/>
              </w:rPr>
              <w:t>3.96</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435,300</w:t>
            </w:r>
          </w:p>
        </w:tc>
        <w:tc>
          <w:tcPr>
            <w:vAlign w:val="center"/>
          </w:tcPr>
          <w:p>
            <w:pPr>
              <w:jc w:val="right"/>
            </w:pPr>
            <w:r>
              <w:rPr>
                <w:color w:val="000000"/>
                <w:sz w:val="24"/>
                <w:szCs w:val="24"/>
              </w:rPr>
              <w:t>16,889,640.00</w:t>
            </w:r>
          </w:p>
        </w:tc>
        <w:tc>
          <w:tcPr>
            <w:vAlign w:val="center"/>
          </w:tcPr>
          <w:p>
            <w:pPr>
              <w:jc w:val="right"/>
            </w:pPr>
            <w:r>
              <w:rPr>
                <w:color w:val="000000"/>
                <w:sz w:val="24"/>
                <w:szCs w:val="24"/>
              </w:rPr>
              <w:t>3.15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11,671,370.00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2.18</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11,671,370.00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2.18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114,650</w:t>
            </w:r>
          </w:p>
        </w:tc>
        <w:tc>
          <w:tcPr>
            <w:vAlign w:val="center"/>
          </w:tcPr>
          <w:p>
            <w:pPr>
              <w:jc w:val="right"/>
            </w:pPr>
            <w:r>
              <w:rPr>
                <w:color w:val="000000"/>
                <w:sz w:val="24"/>
                <w:szCs w:val="24"/>
              </w:rPr>
              <w:t>11,671,370.00</w:t>
            </w:r>
          </w:p>
        </w:tc>
        <w:tc>
          <w:tcPr>
            <w:vAlign w:val="center"/>
          </w:tcPr>
          <w:p>
            <w:pPr>
              <w:jc w:val="right"/>
            </w:pPr>
            <w:r>
              <w:rPr>
                <w:color w:val="000000"/>
                <w:sz w:val="24"/>
                <w:szCs w:val="24"/>
              </w:rPr>
              <w:t>2.18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268,835.36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12,182,173.52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35,055.68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774,357.68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13,260,422.24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11,671,370.00</w:t>
            </w:r>
          </w:p>
        </w:tc>
        <w:tc>
          <w:tcPr>
            <w:vAlign w:val="center"/>
          </w:tcPr>
          <w:p>
            <w:pPr>
              <w:jc w:val="right"/>
            </w:pPr>
            <w:r>
              <w:rPr>
                <w:color w:val="000000"/>
                <w:sz w:val="24"/>
                <w:szCs w:val="24"/>
              </w:rPr>
              <w:t>2.18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242,695,266.46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49,503,830.49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37,483,429.61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254,715,667.34</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48,557,147.72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48,557,147.72</w:t>
            </w:r>
          </w:p>
        </w:tc>
        <w:tc>
          <w:tcPr>
            <w:vAlign w:val="center"/>
          </w:tcPr>
          <w:p>
            <w:pPr>
              <w:jc w:val="center"/>
            </w:pPr>
            <w:r>
              <w:rPr>
                <w:rFonts w:ascii="宋体" w:hAnsi="宋体"/>
                <w:color w:val="000000"/>
                <w:kern w:val="0"/>
              </w:rPr>
              <w:t>19.06%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