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FC7F43" w:rsidRDefault="00FC7F4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2D2A00" w:rsidRPr="005858C2">
      <w:pPr>
        <w:spacing w:before="29" w:line="288" w:lineRule="auto"/>
        <w:jc w:val="center"/>
        <w:rPr>
          <w:rFonts w:eastAsiaTheme="minorEastAsia"/>
          <w:b/>
          <w:sz w:val="36"/>
          <w:szCs w:val="36"/>
        </w:rPr>
      </w:pPr>
      <w:r w:rsidRPr="005858C2">
        <w:rPr>
          <w:rFonts w:eastAsiaTheme="minorEastAsia"/>
          <w:b/>
          <w:sz w:val="36"/>
          <w:szCs w:val="36"/>
        </w:rPr>
        <w:t>交银施罗德稳利中短债债券型证券投资基金</w:t>
      </w:r>
    </w:p>
    <w:p w:rsidP="007C14DF" w:rsidR="002D2A00" w:rsidRDefault="002D2A00" w:rsidRPr="005858C2">
      <w:pPr>
        <w:spacing w:before="29" w:line="288" w:lineRule="auto"/>
        <w:jc w:val="center"/>
        <w:rPr>
          <w:rFonts w:eastAsiaTheme="minorEastAsia"/>
          <w:b/>
          <w:sz w:val="36"/>
          <w:szCs w:val="36"/>
        </w:rPr>
      </w:pPr>
      <w:r w:rsidRPr="005858C2">
        <w:rPr>
          <w:rFonts w:eastAsiaTheme="minorEastAsia"/>
          <w:b/>
          <w:sz w:val="36"/>
          <w:szCs w:val="36"/>
        </w:rPr>
        <w:t>2020年第4季度报告</w:t>
      </w:r>
    </w:p>
    <w:p w:rsidP="007C14DF" w:rsidR="009A2283" w:rsidRDefault="00577209" w:rsidRPr="005858C2">
      <w:pPr>
        <w:spacing w:before="29" w:line="288" w:lineRule="auto"/>
        <w:jc w:val="center"/>
        <w:rPr>
          <w:b/>
          <w:sz w:val="36"/>
          <w:szCs w:val="36"/>
        </w:rPr>
      </w:pPr>
      <w:r w:rsidRPr="005858C2">
        <w:rPr>
          <w:b/>
          <w:sz w:val="36"/>
          <w:szCs w:val="36"/>
        </w:rPr>
        <w:t/>
      </w:r>
      <w:r w:rsidR="00121533" w:rsidRPr="005858C2">
        <w:rPr>
          <w:b/>
          <w:sz w:val="36"/>
          <w:szCs w:val="36"/>
        </w:rPr>
        <w:t>2020年12月31日</w:t>
      </w: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657487">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E27360" w:rsidRDefault="00E27360"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rPr>
          <w:color w:val="000000"/>
          <w:sz w:val="24"/>
        </w:rPr>
      </w:pP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基金管理人：</w:t>
      </w:r>
      <w:r w:rsidR="00BF377F" w:rsidRPr="005858C2">
        <w:rPr>
          <w:b/>
          <w:color w:val="000000"/>
          <w:sz w:val="24"/>
        </w:rPr>
        <w:t>交银施罗德基金管理有限公司</w:t>
      </w: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基金托管人：</w:t>
      </w:r>
      <w:r w:rsidR="00BF377F" w:rsidRPr="005858C2">
        <w:rPr>
          <w:b/>
          <w:color w:val="000000"/>
          <w:sz w:val="24"/>
        </w:rPr>
        <w:t>中信银行股份有限公司</w:t>
      </w:r>
    </w:p>
    <w:p w:rsidP="007C14DF" w:rsidR="009A2283" w:rsidRDefault="009A2283" w:rsidRPr="005858C2">
      <w:pPr>
        <w:spacing w:before="29" w:line="288" w:lineRule="auto"/>
        <w:ind w:firstLine="2168" w:firstLineChars="900"/>
        <w:rPr>
          <w:b/>
          <w:sz w:val="24"/>
        </w:rPr>
        <w:sectPr w:rsidR="009A2283" w:rsidRPr="005858C2" w:rsidSect="00D3445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5858C2">
        <w:rPr>
          <w:b/>
          <w:color w:val="000000"/>
          <w:sz w:val="24"/>
        </w:rPr>
        <w:t>报告送出日期：</w:t>
      </w:r>
      <w:r w:rsidR="00D04410" w:rsidRPr="005858C2">
        <w:rPr>
          <w:b/>
          <w:color w:val="000000"/>
          <w:sz w:val="24"/>
        </w:rPr>
        <w:t>二〇二一年一月二十一日</w:t>
      </w:r>
    </w:p>
    <w:p w:rsidP="000A2988" w:rsidR="009238DB" w:rsidRDefault="009238DB" w:rsidRPr="007F52FA">
      <w:pPr>
        <w:pStyle w:val="1"/>
        <w:spacing w:after="312" w:afterLines="100" w:before="312" w:beforeLines="100"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基金托管人中信银行股份有限公司根据本基金合同规定，于2021年1月20日复核了本报告中的财务指标、净值表现和投资组合报告等内容，保证复核内容不存在虚假记载、误导性陈述或者重大遗漏。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基金管理人承诺以诚实信用、勤勉尽责的原则管理和运用基金资产，但不保证基金一定盈利。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基金的过往业绩并不代表其未来表现。投资有风险，投资者在作出投资决策前应仔细阅读本基金的招募说明书。 </w:t>
      </w:r>
    </w:p>
    <w:p>
      <w:pPr>
        <w:spacing w:before="29" w:line="288" w:lineRule="auto"/>
        <w:ind w:firstLine="480" w:firstLineChars="200"/>
        <w:rPr>
          <w:rFonts w:eastAsiaTheme="minorEastAsia"/>
          <w:color w:val="000000"/>
          <w:sz w:val="24"/>
        </w:rPr>
      </w:pPr>
      <w:r>
        <w:rPr>
          <w:rFonts w:eastAsiaTheme="minorEastAsia"/>
          <w:color w:val="000000"/>
          <w:sz w:val="24"/>
        </w:rPr>
        <w:t>本报告中财务资料未经审计。</w:t>
      </w:r>
    </w:p>
    <w:p w:rsidP="007C14DF" w:rsidR="009238DB" w:rsidRDefault="00267DA9"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本报告期自2020年10月1日起至12月31日止。</w:t>
      </w:r>
    </w:p>
    <w:p w:rsidP="007C14DF" w:rsidR="00740635" w:rsidRDefault="00740635" w:rsidRPr="007F52FA">
      <w:pPr>
        <w:spacing w:before="29" w:line="288" w:lineRule="auto"/>
        <w:ind w:firstLine="480" w:firstLineChars="200"/>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type="dxa" w:w="8993"/>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3048"/>
      </w:tblGrid>
      <w:tr w:rsidR="00A6200E" w:rsidRPr="007F52FA" w:rsidTr="009416C9">
        <w:trPr>
          <w:jc w:val="center"/>
        </w:trPr>
        <w:tc>
          <w:tcPr>
            <w:tcW w:type="dxa" w:w="3023"/>
            <w:vAlign w:val="center"/>
          </w:tcPr>
          <w:p w:rsidP="007C14DF" w:rsidR="00A6200E" w:rsidRDefault="00A6200E" w:rsidRPr="007F52FA">
            <w:pPr>
              <w:adjustRightInd w:val="0"/>
              <w:spacing w:before="29" w:line="288" w:lineRule="auto"/>
              <w:ind w:left="17"/>
              <w:jc w:val="left"/>
              <w:rPr>
                <w:kern w:val="0"/>
                <w:sz w:val="24"/>
              </w:rPr>
            </w:pPr>
            <w:r w:rsidRPr="007F52FA">
              <w:rPr>
                <w:kern w:val="0"/>
                <w:sz w:val="24"/>
              </w:rPr>
              <w:t>基金简称</w:t>
            </w:r>
          </w:p>
        </w:tc>
        <w:tc>
          <w:tcPr>
            <w:tcW w:type="dxa" w:w="5970"/>
            <w:gridSpan w:val="2"/>
            <w:vAlign w:val="center"/>
          </w:tcPr>
          <w:p w:rsidP="007C14DF" w:rsidR="00A6200E" w:rsidRDefault="00A6200E" w:rsidRPr="007F52FA">
            <w:pPr>
              <w:adjustRightInd w:val="0"/>
              <w:spacing w:before="29" w:line="288" w:lineRule="auto"/>
              <w:ind w:left="17"/>
              <w:jc w:val="left"/>
              <w:rPr>
                <w:color w:val="000000"/>
                <w:kern w:val="0"/>
                <w:sz w:val="24"/>
              </w:rPr>
            </w:pPr>
            <w:r w:rsidRPr="007F52FA">
              <w:rPr>
                <w:color w:val="000000"/>
                <w:kern w:val="0"/>
                <w:sz w:val="24"/>
              </w:rPr>
              <w:t>交银稳利中短债债券</w:t>
            </w:r>
          </w:p>
        </w:tc>
      </w:tr>
      <w:tr w:rsidR="00B95753" w:rsidRPr="007F52FA" w:rsidTr="009416C9">
        <w:trPr>
          <w:jc w:val="center"/>
        </w:trPr>
        <w:tc>
          <w:tcPr>
            <w:tcW w:type="dxa" w:w="3023"/>
            <w:vAlign w:val="center"/>
          </w:tcPr>
          <w:p w:rsidP="007C14DF" w:rsidR="00B95753" w:rsidRDefault="00B95753" w:rsidRPr="007F52FA">
            <w:pPr>
              <w:adjustRightInd w:val="0"/>
              <w:spacing w:before="29" w:line="288" w:lineRule="auto"/>
              <w:ind w:left="17"/>
              <w:jc w:val="left"/>
              <w:rPr>
                <w:kern w:val="0"/>
                <w:sz w:val="24"/>
              </w:rPr>
            </w:pPr>
            <w:r w:rsidRPr="007F52FA">
              <w:rPr>
                <w:kern w:val="0"/>
                <w:sz w:val="24"/>
              </w:rPr>
              <w:t>基金主代码</w:t>
            </w:r>
          </w:p>
        </w:tc>
        <w:tc>
          <w:tcPr>
            <w:tcW w:type="dxa" w:w="5970"/>
            <w:gridSpan w:val="2"/>
            <w:tcBorders>
              <w:bottom w:color="auto" w:space="0" w:sz="4" w:val="single"/>
            </w:tcBorders>
            <w:vAlign w:val="center"/>
          </w:tcPr>
          <w:p w:rsidP="007C14DF" w:rsidR="00B95753" w:rsidRDefault="00B95753" w:rsidRPr="007F52FA">
            <w:pPr>
              <w:adjustRightInd w:val="0"/>
              <w:spacing w:before="29" w:line="288" w:lineRule="auto"/>
              <w:ind w:left="17"/>
              <w:jc w:val="left"/>
              <w:rPr>
                <w:color w:val="000000"/>
                <w:kern w:val="0"/>
                <w:sz w:val="24"/>
              </w:rPr>
            </w:pPr>
            <w:r w:rsidRPr="007F52FA">
              <w:rPr>
                <w:color w:val="000000"/>
                <w:kern w:val="0"/>
                <w:sz w:val="24"/>
              </w:rPr>
              <w:t>008204</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基金运作方式</w:t>
            </w:r>
          </w:p>
        </w:tc>
        <w:tc>
          <w:tcPr>
            <w:tcW w:type="dxa" w:w="5970"/>
            <w:gridSpan w:val="2"/>
            <w:tcBorders>
              <w:top w:color="auto" w:space="0" w:sz="4" w:val="single"/>
            </w:tcBorders>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基金合同生效日</w:t>
            </w:r>
          </w:p>
        </w:tc>
        <w:tc>
          <w:tcPr>
            <w:tcW w:type="dxa" w:w="5970"/>
            <w:gridSpan w:val="2"/>
            <w:vAlign w:val="center"/>
          </w:tcPr>
          <w:p w:rsidP="007C14DF" w:rsidR="008532F3" w:rsidRDefault="008532F3" w:rsidRPr="007F52FA">
            <w:pPr>
              <w:adjustRightInd w:val="0"/>
              <w:spacing w:before="29" w:line="288" w:lineRule="auto"/>
              <w:ind w:left="17"/>
              <w:jc w:val="left"/>
              <w:rPr>
                <w:color w:val="000000"/>
                <w:kern w:val="0"/>
                <w:sz w:val="24"/>
              </w:rPr>
            </w:pPr>
            <w:r w:rsidRPr="007F52FA">
              <w:rPr>
                <w:color w:val="000000"/>
                <w:kern w:val="0"/>
                <w:sz w:val="24"/>
              </w:rPr>
              <w:t>2019年12月13日</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报告期末基金份额总额</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1,042,514,159.79</w:t>
            </w:r>
            <w:r w:rsidRPr="007F52FA">
              <w:rPr>
                <w:color w:val="000000"/>
                <w:kern w:val="0"/>
                <w:sz w:val="24"/>
              </w:rPr>
              <w:t>份</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投资目标</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在严格控制风险和保持较高流动性的前提下，力求获得高于业绩比较基准的投资收益。</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投资策略</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业绩比较基准</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中债总财富（1-3年）指数收益率×80%+一年期定期存款利率（税后）×20%</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风险收益特征</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本基金是一只债券型基金，其预期风险与预期收益高于货币市场基金，低于混合型基金和股票型基金。</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基金管理人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基金托管人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kern w:val="0"/>
                <w:sz w:val="24"/>
              </w:rPr>
            </w:pPr>
            <w:r w:rsidRPr="007F52FA">
              <w:rPr>
                <w:color w:val="000000"/>
                <w:sz w:val="24"/>
              </w:rPr>
              <w:t>下属两级基金的基金简称</w:t>
            </w:r>
          </w:p>
        </w:tc>
        <w:tc>
          <w:tcPr>
            <w:tcW w:type="dxa" w:w="2922"/>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交银稳利中短债债券A</w:t>
            </w:r>
          </w:p>
        </w:tc>
        <w:tc>
          <w:tcPr>
            <w:tcW w:type="dxa" w:w="3048"/>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交银稳利中短债债券C</w:t>
            </w:r>
          </w:p>
        </w:tc>
      </w:tr>
      <w:tr w:rsidR="00C23B30" w:rsidRPr="007F52FA" w:rsidTr="009416C9">
        <w:trPr>
          <w:jc w:val="center"/>
        </w:trPr>
        <w:tc>
          <w:tcPr>
            <w:tcW w:type="dxa" w:w="3023"/>
            <w:vAlign w:val="center"/>
          </w:tcPr>
          <w:p w:rsidP="007C14DF" w:rsidR="00C23B30" w:rsidRDefault="007C3DC6">
            <w:pPr>
              <w:adjustRightInd w:val="0"/>
              <w:spacing w:before="29" w:line="288" w:lineRule="auto"/>
              <w:ind w:left="17"/>
              <w:jc w:val="left"/>
              <w:rPr>
                <w:color w:val="000000"/>
                <w:sz w:val="24"/>
              </w:rPr>
            </w:pPr>
            <w:r w:rsidRPr="007F52FA">
              <w:rPr>
                <w:color w:val="000000"/>
                <w:sz w:val="24"/>
              </w:rPr>
              <w:t>下属两级基金的交易代码</w:t>
            </w:r>
          </w:p>
          <w:p w:rsidP="00C01EF2" w:rsidR="00C01EF2" w:rsidRDefault="00C01EF2" w:rsidRPr="007F52FA">
            <w:pPr>
              <w:adjustRightInd w:val="0"/>
              <w:spacing w:before="29" w:line="288" w:lineRule="auto"/>
              <w:ind w:left="17"/>
              <w:jc w:val="left"/>
              <w:rPr>
                <w:color w:val="000000"/>
                <w:sz w:val="24"/>
              </w:rPr>
            </w:pPr>
            <w:r w:rsidRPr="007F52FA">
              <w:rPr>
                <w:color w:themeColor="text1" w:val="000000"/>
                <w:sz w:val="24"/>
              </w:rPr>
              <w:t/>
            </w:r>
            <w:r w:rsidRPr="000E4C40">
              <w:rPr>
                <w:color w:val="000000"/>
                <w:kern w:val="0"/>
                <w:sz w:val="24"/>
              </w:rPr>
              <w:t/>
            </w:r>
            <w:r>
              <w:rPr>
                <w:rFonts w:hint="eastAsia"/>
                <w:color w:val="000000"/>
                <w:kern w:val="0"/>
                <w:sz w:val="24"/>
              </w:rPr>
              <w:t/>
            </w:r>
            <w:r w:rsidRPr="000E4C40">
              <w:rPr>
                <w:sz w:val="24"/>
              </w:rPr>
              <w:t/>
            </w:r>
          </w:p>
        </w:tc>
        <w:tc>
          <w:tcPr>
            <w:tcW w:type="dxa" w:w="2922"/>
            <w:vAlign w:val="center"/>
          </w:tcPr>
          <w:p w:rsidP="007F50FB" w:rsidR="00C23B30" w:rsidRDefault="00C23B30" w:rsidRPr="000E4C40">
            <w:pPr>
              <w:spacing w:before="29" w:line="288" w:lineRule="auto"/>
              <w:jc w:val="left"/>
              <w:rPr>
                <w:sz w:val="24"/>
              </w:rPr>
            </w:pPr>
            <w:r w:rsidRPr="007F52FA">
              <w:rPr>
                <w:color w:themeColor="text1" w:val="000000"/>
                <w:sz w:val="24"/>
              </w:rPr>
              <w:t/>
            </w:r>
            <w:r w:rsidRPr="000E4C40">
              <w:rPr>
                <w:color w:val="000000"/>
                <w:kern w:val="0"/>
                <w:sz w:val="24"/>
              </w:rPr>
              <w:t/>
            </w:r>
            <w:r w:rsidRPr="000E4C40">
              <w:rPr>
                <w:sz w:val="24"/>
              </w:rPr>
              <w:t>008204</w:t>
            </w:r>
          </w:p>
        </w:tc>
        <w:tc>
          <w:tcPr>
            <w:tcW w:type="dxa" w:w="3048"/>
            <w:vAlign w:val="center"/>
          </w:tcPr>
          <w:p w:rsidP="00A52A9E" w:rsidR="00C23B30" w:rsidRDefault="00261F47" w:rsidRPr="000E4C40">
            <w:pPr>
              <w:spacing w:before="29" w:line="288" w:lineRule="auto"/>
              <w:jc w:val="left"/>
              <w:rPr>
                <w:sz w:val="24"/>
              </w:rPr>
            </w:pPr>
            <w:r w:rsidRPr="007F52FA">
              <w:rPr>
                <w:color w:themeColor="text1" w:val="000000"/>
                <w:sz w:val="24"/>
              </w:rPr>
              <w:t/>
            </w:r>
            <w:r w:rsidR="00C23B30" w:rsidRPr="000E4C40">
              <w:rPr>
                <w:color w:val="000000"/>
                <w:kern w:val="0"/>
                <w:sz w:val="24"/>
              </w:rPr>
              <w:t/>
            </w:r>
            <w:r w:rsidR="00C23B30" w:rsidRPr="000E4C40">
              <w:rPr>
                <w:sz w:val="24"/>
              </w:rPr>
              <w:t/>
            </w:r>
            <w:r w:rsidR="00A52A9E">
              <w:rPr>
                <w:sz w:val="24"/>
              </w:rPr>
              <w:t/>
            </w:r>
            <w:r w:rsidR="00C23B30" w:rsidRPr="000E4C40">
              <w:rPr>
                <w:sz w:val="24"/>
              </w:rPr>
              <w:t>008205</w:t>
            </w:r>
          </w:p>
        </w:tc>
      </w:tr>
      <w:tr w:rsidR="00C23B30" w:rsidRPr="007F52FA" w:rsidTr="009416C9">
        <w:trPr>
          <w:jc w:val="center"/>
        </w:trPr>
        <w:tc>
          <w:tcPr>
            <w:tcW w:type="dxa" w:w="3023"/>
            <w:vAlign w:val="center"/>
          </w:tcPr>
          <w:p w:rsidP="007C14DF" w:rsidR="00C23B30" w:rsidRDefault="00C23B30" w:rsidRPr="007F52FA">
            <w:pPr>
              <w:adjustRightInd w:val="0"/>
              <w:spacing w:before="29" w:line="288" w:lineRule="auto"/>
              <w:ind w:left="17"/>
              <w:jc w:val="left"/>
              <w:rPr>
                <w:color w:val="000000"/>
                <w:sz w:val="24"/>
              </w:rPr>
            </w:pPr>
            <w:r w:rsidRPr="007F52FA">
              <w:rPr>
                <w:color w:val="000000"/>
                <w:sz w:val="24"/>
              </w:rPr>
              <w:t>报告期末下属两级基金的</w:t>
            </w:r>
            <w:r w:rsidRPr="007F52FA">
              <w:rPr>
                <w:color w:val="000000"/>
                <w:sz w:val="24"/>
              </w:rPr>
              <w:lastRenderedPageBreak/>
              <w:t>份额总额</w:t>
            </w:r>
          </w:p>
        </w:tc>
        <w:tc>
          <w:tcPr>
            <w:tcW w:type="dxa" w:w="2922"/>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1,017,081,425.96</w:t>
            </w:r>
            <w:r w:rsidRPr="007F52FA">
              <w:rPr>
                <w:color w:val="000000"/>
                <w:kern w:val="0"/>
                <w:sz w:val="24"/>
              </w:rPr>
              <w:t>份</w:t>
            </w:r>
          </w:p>
        </w:tc>
        <w:tc>
          <w:tcPr>
            <w:tcW w:type="dxa" w:w="3048"/>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25,432,733.83</w:t>
            </w:r>
            <w:r w:rsidRPr="007F52FA">
              <w:rPr>
                <w:color w:val="000000"/>
                <w:kern w:val="0"/>
                <w:sz w:val="24"/>
              </w:rPr>
              <w:t>份</w:t>
            </w:r>
          </w:p>
        </w:tc>
      </w:tr>
    </w:tbl>
    <w:p w:rsidP="007C14DF" w:rsidR="00740635" w:rsidRDefault="00740635" w:rsidRPr="007F52FA">
      <w:pPr>
        <w:autoSpaceDE w:val="0"/>
        <w:autoSpaceDN w:val="0"/>
        <w:adjustRightInd w:val="0"/>
        <w:spacing w:before="29" w:line="288" w:lineRule="auto"/>
        <w:jc w:val="left"/>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P="007C14DF" w:rsidR="009238DB" w:rsidRDefault="009238DB" w:rsidRPr="007F52FA">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6"/>
        <w:gridCol w:w="2631"/>
        <w:gridCol w:w="2631"/>
      </w:tblGrid>
      <w:tr w:rsidR="009E549D" w:rsidRPr="007F52FA" w:rsidTr="007A5233">
        <w:trPr>
          <w:jc w:val="center"/>
        </w:trPr>
        <w:tc>
          <w:tcPr>
            <w:tcW w:type="dxa" w:w="3402"/>
            <w:vMerge w:val="restart"/>
            <w:vAlign w:val="center"/>
          </w:tcPr>
          <w:p w:rsidP="007C14DF" w:rsidR="009E549D" w:rsidRDefault="009E549D" w:rsidRPr="007F52FA">
            <w:pPr>
              <w:adjustRightInd w:val="0"/>
              <w:spacing w:before="29" w:line="288" w:lineRule="auto"/>
              <w:ind w:left="17"/>
              <w:jc w:val="center"/>
              <w:rPr>
                <w:kern w:val="0"/>
                <w:sz w:val="24"/>
              </w:rPr>
            </w:pPr>
            <w:r w:rsidRPr="007F52FA">
              <w:rPr>
                <w:kern w:val="0"/>
                <w:sz w:val="24"/>
              </w:rPr>
              <w:t>主要财务指标</w:t>
            </w:r>
          </w:p>
        </w:tc>
        <w:tc>
          <w:tcPr>
            <w:tcW w:type="dxa" w:w="4962"/>
            <w:gridSpan w:val="2"/>
            <w:vAlign w:val="center"/>
          </w:tcPr>
          <w:p w:rsidP="00BF5A58" w:rsidR="00BF5A58" w:rsidRDefault="00BF5A58" w:rsidRPr="00414345">
            <w:pPr>
              <w:adjustRightInd w:val="0"/>
              <w:spacing w:before="29" w:line="288" w:lineRule="auto"/>
              <w:ind w:left="17"/>
              <w:jc w:val="center"/>
              <w:rPr>
                <w:color w:val="000000"/>
                <w:sz w:val="24"/>
              </w:rPr>
            </w:pPr>
            <w:r w:rsidRPr="00414345">
              <w:rPr>
                <w:color w:val="000000"/>
                <w:sz w:val="24"/>
              </w:rPr>
              <w:t>报告期</w:t>
            </w:r>
          </w:p>
          <w:p w:rsidP="00BF5A58" w:rsidR="009E549D" w:rsidRDefault="00BF5A58" w:rsidRPr="007F52FA">
            <w:pPr>
              <w:adjustRightInd w:val="0"/>
              <w:spacing w:before="29" w:line="288" w:lineRule="auto"/>
              <w:ind w:left="17"/>
              <w:jc w:val="center"/>
              <w:rPr>
                <w:color w:val="000000"/>
                <w:sz w:val="24"/>
              </w:rPr>
            </w:pPr>
            <w:r w:rsidRPr="00414345">
              <w:rPr>
                <w:color w:val="000000"/>
                <w:sz w:val="24"/>
              </w:rPr>
              <w:t>(2020年10月1日-2020年12月31日)</w:t>
            </w:r>
          </w:p>
        </w:tc>
      </w:tr>
      <w:tr w:rsidR="009E549D" w:rsidRPr="007F52FA" w:rsidTr="007A5233">
        <w:trPr>
          <w:jc w:val="center"/>
        </w:trPr>
        <w:tc>
          <w:tcPr>
            <w:tcW w:type="dxa" w:w="3402"/>
            <w:vMerge/>
            <w:vAlign w:val="center"/>
          </w:tcPr>
          <w:p w:rsidP="007C14DF" w:rsidR="009E549D" w:rsidRDefault="009E549D" w:rsidRPr="007F52FA">
            <w:pPr>
              <w:adjustRightInd w:val="0"/>
              <w:spacing w:before="29" w:line="288" w:lineRule="auto"/>
              <w:ind w:left="17"/>
              <w:jc w:val="center"/>
              <w:rPr>
                <w:kern w:val="0"/>
                <w:sz w:val="24"/>
              </w:rPr>
            </w:pP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交银稳利中短债债券A</w:t>
            </w: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
            </w:r>
            <w:r w:rsidR="004D614E" w:rsidRPr="007F52FA">
              <w:rPr>
                <w:sz w:val="24"/>
              </w:rPr>
              <w:t/>
            </w:r>
            <w:r w:rsidR="00FE7FBD" w:rsidRPr="007F52FA">
              <w:rPr>
                <w:sz w:val="24"/>
              </w:rPr>
              <w:t>交银稳利中短债债券C</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7,677,972.69</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AD3905" w:rsidRPr="007F52FA">
              <w:rPr>
                <w:color w:val="000000"/>
                <w:sz w:val="24"/>
              </w:rPr>
              <w:t/>
            </w:r>
            <w:r w:rsidR="0037768B"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173,125.23</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2.</w:t>
            </w:r>
            <w:r w:rsidRPr="007F52FA">
              <w:rPr>
                <w:kern w:val="0"/>
                <w:sz w:val="24"/>
              </w:rPr>
              <w:t>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3,491,250.07</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-234.31</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0.0036</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0.0000</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1,049,313,259.42</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26,128,916.56</w:t>
            </w:r>
          </w:p>
        </w:tc>
      </w:tr>
      <w:tr w:rsidR="005F293E" w:rsidRPr="007F52FA" w:rsidTr="007A5233">
        <w:trPr>
          <w:trHeight w:val="158"/>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1.0317</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1.0274</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注：1、上述基金业绩指标不包括持有人认购或交易基金的各项费用，计入费用后的实际收益水平要低于所列数字；</w:t>
      </w:r>
    </w:p>
    <w:p w:rsidP="007C14DF" w:rsidR="005E01A3" w:rsidRDefault="005E01A3"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w:r>
      <w:r w:rsidR="009A529F" w:rsidRPr="007F52FA">
        <w:rPr>
          <w:rFonts w:eastAsiaTheme="minorEastAsia"/>
          <w:color w:val="000000"/>
          <w:sz w:val="24"/>
        </w:rPr>
        <w:t/>
      </w:r>
      <w:r w:rsidR="00FE7FBD" w:rsidRPr="007F52FA">
        <w:rPr>
          <w:rFonts w:eastAsiaTheme="minorEastAsia"/>
          <w:color w:val="000000"/>
          <w:sz w:val="24"/>
        </w:rPr>
        <w:t/>
      </w:r>
      <w:r w:rsidRPr="007F52FA">
        <w:rPr>
          <w:rFonts w:eastAsiaTheme="minorEastAsia"/>
          <w:color w:val="000000"/>
          <w:sz w:val="24"/>
        </w:rPr>
        <w:t>2、本期已实现收益指基金本期利息收入、投资收益、其他收入（不含公允价值变动收益）扣除相关费用后的余额，本期利润为本期已实现收益加上本期公允价值变动收益。</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P="007C14DF" w:rsidR="009238DB" w:rsidRDefault="009238DB" w:rsidRPr="007F52FA">
      <w:pPr>
        <w:autoSpaceDE w:val="0"/>
        <w:autoSpaceDN w:val="0"/>
        <w:adjustRightInd w:val="0"/>
        <w:spacing w:before="29" w:line="288" w:lineRule="auto"/>
        <w:jc w:val="left"/>
        <w:rPr>
          <w:b/>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P="007C14DF" w:rsidR="009238DB" w:rsidRDefault="009238DB" w:rsidRPr="007F52FA">
      <w:pPr>
        <w:spacing w:before="29" w:line="288" w:lineRule="auto"/>
        <w:rPr>
          <w:b/>
          <w:sz w:val="24"/>
        </w:rPr>
      </w:pPr>
      <w:r w:rsidRPr="007F52FA">
        <w:rPr>
          <w:b/>
          <w:sz w:val="24"/>
        </w:rPr>
        <w:t>1</w:t>
      </w:r>
      <w:r w:rsidRPr="007F52FA">
        <w:rPr>
          <w:b/>
          <w:sz w:val="24"/>
        </w:rPr>
        <w:t>、</w:t>
      </w:r>
      <w:r w:rsidR="00A5643A" w:rsidRPr="007F52FA">
        <w:rPr>
          <w:b/>
          <w:color w:val="000000"/>
          <w:kern w:val="0"/>
          <w:sz w:val="24"/>
        </w:rPr>
        <w:t/>
      </w:r>
      <w:r w:rsidR="0042785F" w:rsidRPr="007F52FA">
        <w:rPr>
          <w:b/>
          <w:color w:val="000000"/>
          <w:kern w:val="0"/>
          <w:sz w:val="24"/>
        </w:rPr>
        <w:t/>
      </w:r>
      <w:r w:rsidR="00A5643A" w:rsidRPr="007F52FA">
        <w:rPr>
          <w:b/>
          <w:color w:val="000000"/>
          <w:kern w:val="0"/>
          <w:sz w:val="24"/>
        </w:rPr>
        <w:t>交银稳利中短债债券A</w:t>
      </w:r>
      <w:r w:rsidRPr="007F52FA">
        <w:rPr>
          <w:b/>
          <w:sz w:val="24"/>
        </w:rPr>
        <w:t>：</w:t>
      </w:r>
    </w:p>
    <w:tbl>
      <w:tblPr>
        <w:tblStyle w:val="af2"/>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0.43%</w:t>
            </w:r>
          </w:p>
        </w:tc>
        <w:tc>
          <w:tcPr>
            <w:vAlign w:val="center"/>
          </w:tcPr>
          <w:p>
            <w:pPr>
              <w:jc w:val="center"/>
            </w:pPr>
            <w:r>
              <w:rPr>
                <w:color w:val="000000"/>
                <w:sz w:val="24"/>
              </w:rPr>
              <w:t>0.06%</w:t>
            </w:r>
          </w:p>
        </w:tc>
        <w:tc>
          <w:tcPr>
            <w:vAlign w:val="center"/>
          </w:tcPr>
          <w:p>
            <w:pPr>
              <w:jc w:val="center"/>
            </w:pPr>
            <w:r>
              <w:rPr>
                <w:color w:val="000000"/>
                <w:sz w:val="24"/>
              </w:rPr>
              <w:t>0.94%</w:t>
            </w:r>
          </w:p>
        </w:tc>
        <w:tc>
          <w:tcPr>
            <w:vAlign w:val="center"/>
          </w:tcPr>
          <w:p>
            <w:pPr>
              <w:jc w:val="center"/>
            </w:pPr>
            <w:r>
              <w:rPr>
                <w:color w:val="000000"/>
                <w:sz w:val="24"/>
              </w:rPr>
              <w:t>0.03%</w:t>
            </w:r>
          </w:p>
        </w:tc>
        <w:tc>
          <w:tcPr>
            <w:vAlign w:val="center"/>
          </w:tcPr>
          <w:p>
            <w:pPr>
              <w:jc w:val="center"/>
            </w:pPr>
            <w:r>
              <w:rPr>
                <w:color w:val="000000"/>
                <w:sz w:val="24"/>
              </w:rPr>
              <w:t>-0.51%</w:t>
            </w:r>
          </w:p>
        </w:tc>
        <w:tc>
          <w:tcPr>
            <w:vAlign w:val="center"/>
          </w:tcPr>
          <w:p>
            <w:pPr>
              <w:jc w:val="center"/>
            </w:pPr>
            <w:r>
              <w:rPr>
                <w:color w:val="000000"/>
                <w:sz w:val="24"/>
              </w:rPr>
              <w:t>0.03%</w:t>
            </w:r>
          </w:p>
        </w:tc>
      </w:tr>
      <w:tr>
        <w:tc>
          <w:tcPr>
            <w:vAlign w:val="center"/>
          </w:tcPr>
          <w:p>
            <w:pPr>
              <w:jc w:val="left"/>
            </w:pPr>
            <w:r>
              <w:rPr>
                <w:color w:val="000000"/>
                <w:sz w:val="24"/>
              </w:rPr>
              <w:t>过去六个月</w:t>
            </w:r>
          </w:p>
        </w:tc>
        <w:tc>
          <w:tcPr>
            <w:vAlign w:val="center"/>
          </w:tcPr>
          <w:p>
            <w:pPr>
              <w:jc w:val="center"/>
            </w:pPr>
            <w:r>
              <w:rPr>
                <w:color w:val="000000"/>
                <w:sz w:val="24"/>
              </w:rPr>
              <w:t>0.78%</w:t>
            </w:r>
          </w:p>
        </w:tc>
        <w:tc>
          <w:tcPr>
            <w:vAlign w:val="center"/>
          </w:tcPr>
          <w:p>
            <w:pPr>
              <w:jc w:val="center"/>
            </w:pPr>
            <w:r>
              <w:rPr>
                <w:color w:val="000000"/>
                <w:sz w:val="24"/>
              </w:rPr>
              <w:t>0.06%</w:t>
            </w:r>
          </w:p>
        </w:tc>
        <w:tc>
          <w:tcPr>
            <w:vAlign w:val="center"/>
          </w:tcPr>
          <w:p>
            <w:pPr>
              <w:jc w:val="center"/>
            </w:pPr>
            <w:r>
              <w:rPr>
                <w:color w:val="000000"/>
                <w:sz w:val="24"/>
              </w:rPr>
              <w:t>0.83%</w:t>
            </w:r>
          </w:p>
        </w:tc>
        <w:tc>
          <w:tcPr>
            <w:vAlign w:val="center"/>
          </w:tcPr>
          <w:p>
            <w:pPr>
              <w:jc w:val="center"/>
            </w:pPr>
            <w:r>
              <w:rPr>
                <w:color w:val="000000"/>
                <w:sz w:val="24"/>
              </w:rPr>
              <w:t>0.04%</w:t>
            </w:r>
          </w:p>
        </w:tc>
        <w:tc>
          <w:tcPr>
            <w:vAlign w:val="center"/>
          </w:tcPr>
          <w:p>
            <w:pPr>
              <w:jc w:val="center"/>
            </w:pPr>
            <w:r>
              <w:rPr>
                <w:color w:val="000000"/>
                <w:sz w:val="24"/>
              </w:rPr>
              <w:t>-0.05%</w:t>
            </w:r>
          </w:p>
        </w:tc>
        <w:tc>
          <w:tcPr>
            <w:vAlign w:val="center"/>
          </w:tcPr>
          <w:p>
            <w:pPr>
              <w:jc w:val="center"/>
            </w:pPr>
            <w:r>
              <w:rPr>
                <w:color w:val="000000"/>
                <w:sz w:val="24"/>
              </w:rPr>
              <w:t>0.02%</w:t>
            </w:r>
          </w:p>
        </w:tc>
      </w:tr>
      <w:tr>
        <w:tc>
          <w:tcPr>
            <w:vAlign w:val="center"/>
          </w:tcPr>
          <w:p>
            <w:pPr>
              <w:jc w:val="left"/>
            </w:pPr>
            <w:r>
              <w:rPr>
                <w:color w:val="000000"/>
                <w:sz w:val="24"/>
              </w:rPr>
              <w:t>过去一年</w:t>
            </w:r>
          </w:p>
        </w:tc>
        <w:tc>
          <w:tcPr>
            <w:vAlign w:val="center"/>
          </w:tcPr>
          <w:p>
            <w:pPr>
              <w:jc w:val="center"/>
            </w:pPr>
            <w:r>
              <w:rPr>
                <w:color w:val="000000"/>
                <w:sz w:val="24"/>
              </w:rPr>
              <w:t>3.07%</w:t>
            </w:r>
          </w:p>
        </w:tc>
        <w:tc>
          <w:tcPr>
            <w:vAlign w:val="center"/>
          </w:tcPr>
          <w:p>
            <w:pPr>
              <w:jc w:val="center"/>
            </w:pPr>
            <w:r>
              <w:rPr>
                <w:color w:val="000000"/>
                <w:sz w:val="24"/>
              </w:rPr>
              <w:t>0.07%</w:t>
            </w:r>
          </w:p>
        </w:tc>
        <w:tc>
          <w:tcPr>
            <w:vAlign w:val="center"/>
          </w:tcPr>
          <w:p>
            <w:pPr>
              <w:jc w:val="center"/>
            </w:pPr>
            <w:r>
              <w:rPr>
                <w:color w:val="000000"/>
                <w:sz w:val="24"/>
              </w:rPr>
              <w:t>2.37%</w:t>
            </w:r>
          </w:p>
        </w:tc>
        <w:tc>
          <w:tcPr>
            <w:vAlign w:val="center"/>
          </w:tcPr>
          <w:p>
            <w:pPr>
              <w:jc w:val="center"/>
            </w:pPr>
            <w:r>
              <w:rPr>
                <w:color w:val="000000"/>
                <w:sz w:val="24"/>
              </w:rPr>
              <w:t>0.06%</w:t>
            </w:r>
          </w:p>
        </w:tc>
        <w:tc>
          <w:tcPr>
            <w:vAlign w:val="center"/>
          </w:tcPr>
          <w:p>
            <w:pPr>
              <w:jc w:val="center"/>
            </w:pPr>
            <w:r>
              <w:rPr>
                <w:color w:val="000000"/>
                <w:sz w:val="24"/>
              </w:rPr>
              <w:t>0.70%</w:t>
            </w:r>
          </w:p>
        </w:tc>
        <w:tc>
          <w:tcPr>
            <w:vAlign w:val="center"/>
          </w:tcPr>
          <w:p>
            <w:pPr>
              <w:jc w:val="center"/>
            </w:pPr>
            <w:r>
              <w:rPr>
                <w:color w:val="000000"/>
                <w:sz w:val="24"/>
              </w:rPr>
              <w:t>0.01%</w:t>
            </w:r>
          </w:p>
        </w:tc>
      </w:tr>
      <w:tr>
        <w:tc>
          <w:tcPr>
            <w:vAlign w:val="center"/>
          </w:tcPr>
          <w:p>
            <w:pPr>
              <w:jc w:val="left"/>
            </w:pPr>
            <w:r>
              <w:rPr>
                <w:color w:val="000000"/>
                <w:sz w:val="24"/>
              </w:rPr>
              <w:t>自基金合同生效至今</w:t>
            </w:r>
          </w:p>
        </w:tc>
        <w:tc>
          <w:tcPr>
            <w:vAlign w:val="center"/>
          </w:tcPr>
          <w:p>
            <w:pPr>
              <w:jc w:val="center"/>
            </w:pPr>
            <w:r>
              <w:rPr>
                <w:color w:val="000000"/>
                <w:sz w:val="24"/>
              </w:rPr>
              <w:t>3.17%</w:t>
            </w:r>
          </w:p>
        </w:tc>
        <w:tc>
          <w:tcPr>
            <w:vAlign w:val="center"/>
          </w:tcPr>
          <w:p>
            <w:pPr>
              <w:jc w:val="center"/>
            </w:pPr>
            <w:r>
              <w:rPr>
                <w:color w:val="000000"/>
                <w:sz w:val="24"/>
              </w:rPr>
              <w:t>0.07%</w:t>
            </w:r>
          </w:p>
        </w:tc>
        <w:tc>
          <w:tcPr>
            <w:vAlign w:val="center"/>
          </w:tcPr>
          <w:p>
            <w:pPr>
              <w:jc w:val="center"/>
            </w:pPr>
            <w:r>
              <w:rPr>
                <w:color w:val="000000"/>
                <w:sz w:val="24"/>
              </w:rPr>
              <w:t>2.78%</w:t>
            </w:r>
          </w:p>
        </w:tc>
        <w:tc>
          <w:tcPr>
            <w:vAlign w:val="center"/>
          </w:tcPr>
          <w:p>
            <w:pPr>
              <w:jc w:val="center"/>
            </w:pPr>
            <w:r>
              <w:rPr>
                <w:color w:val="000000"/>
                <w:sz w:val="24"/>
              </w:rPr>
              <w:t>0.05%</w:t>
            </w:r>
          </w:p>
        </w:tc>
        <w:tc>
          <w:tcPr>
            <w:vAlign w:val="center"/>
          </w:tcPr>
          <w:p>
            <w:pPr>
              <w:jc w:val="center"/>
            </w:pPr>
            <w:r>
              <w:rPr>
                <w:color w:val="000000"/>
                <w:sz w:val="24"/>
              </w:rPr>
              <w:t>0.39%</w:t>
            </w:r>
          </w:p>
        </w:tc>
        <w:tc>
          <w:tcPr>
            <w:vAlign w:val="center"/>
          </w:tcPr>
          <w:p>
            <w:pPr>
              <w:jc w:val="center"/>
            </w:pPr>
            <w:r>
              <w:rPr>
                <w:color w:val="000000"/>
                <w:sz w:val="24"/>
              </w:rPr>
              <w:t>0.02%</w:t>
            </w:r>
          </w:p>
        </w:tc>
      </w:tr>
    </w:tbl>
    <w:p w:rsidP="007C14DF" w:rsidR="004425E8" w:rsidRDefault="004425E8" w:rsidRPr="007F52FA">
      <w:pPr>
        <w:pStyle w:val="20"/>
        <w:spacing w:before="29" w:line="288" w:lineRule="auto"/>
        <w:ind w:firstLine="0" w:firstLineChars="0"/>
        <w:rPr>
          <w:rFonts w:ascii="Times New Roman" w:eastAsiaTheme="minorEastAsia" w:hAnsi="Times New Roman"/>
          <w:color w:val="000000"/>
        </w:rPr>
      </w:pPr>
    </w:p>
    <w:p w:rsidP="007C14DF" w:rsidR="009238DB" w:rsidRDefault="009238DB" w:rsidRPr="007F52FA">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A5643A" w:rsidRPr="007F52FA">
        <w:rPr>
          <w:b/>
          <w:color w:val="000000"/>
          <w:kern w:val="0"/>
          <w:sz w:val="24"/>
        </w:rPr>
        <w:t/>
      </w:r>
      <w:r w:rsidR="004D614E" w:rsidRPr="007F52FA">
        <w:rPr>
          <w:b/>
          <w:color w:val="000000"/>
          <w:kern w:val="0"/>
          <w:sz w:val="24"/>
        </w:rPr>
        <w:t/>
      </w:r>
      <w:r w:rsidR="00FE7FBD" w:rsidRPr="007F52FA">
        <w:rPr>
          <w:b/>
          <w:color w:val="000000"/>
          <w:kern w:val="0"/>
          <w:sz w:val="24"/>
        </w:rPr>
        <w:t>交银稳利中短债债券C</w:t>
      </w:r>
      <w:r w:rsidRPr="007F52FA">
        <w:rPr>
          <w:b/>
          <w:color w:val="000000"/>
          <w:kern w:val="0"/>
          <w:sz w:val="24"/>
        </w:rPr>
        <w:t>：</w:t>
      </w:r>
    </w:p>
    <w:tbl>
      <w:tblPr>
        <w:tblStyle w:val="af2"/>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0.33%</w:t>
            </w:r>
          </w:p>
        </w:tc>
        <w:tc>
          <w:tcPr>
            <w:vAlign w:val="center"/>
          </w:tcPr>
          <w:p>
            <w:pPr>
              <w:jc w:val="center"/>
            </w:pPr>
            <w:r>
              <w:rPr>
                <w:color w:val="000000"/>
                <w:sz w:val="24"/>
              </w:rPr>
              <w:t>0.06%</w:t>
            </w:r>
          </w:p>
        </w:tc>
        <w:tc>
          <w:tcPr>
            <w:vAlign w:val="center"/>
          </w:tcPr>
          <w:p>
            <w:pPr>
              <w:jc w:val="center"/>
            </w:pPr>
            <w:r>
              <w:rPr>
                <w:color w:val="000000"/>
                <w:sz w:val="24"/>
              </w:rPr>
              <w:t>0.94%</w:t>
            </w:r>
          </w:p>
        </w:tc>
        <w:tc>
          <w:tcPr>
            <w:vAlign w:val="center"/>
          </w:tcPr>
          <w:p>
            <w:pPr>
              <w:jc w:val="center"/>
            </w:pPr>
            <w:r>
              <w:rPr>
                <w:color w:val="000000"/>
                <w:sz w:val="24"/>
              </w:rPr>
              <w:t>0.03%</w:t>
            </w:r>
          </w:p>
        </w:tc>
        <w:tc>
          <w:tcPr>
            <w:vAlign w:val="center"/>
          </w:tcPr>
          <w:p>
            <w:pPr>
              <w:jc w:val="center"/>
            </w:pPr>
            <w:r>
              <w:rPr>
                <w:color w:val="000000"/>
                <w:sz w:val="24"/>
              </w:rPr>
              <w:t>-0.61%</w:t>
            </w:r>
          </w:p>
        </w:tc>
        <w:tc>
          <w:tcPr>
            <w:vAlign w:val="center"/>
          </w:tcPr>
          <w:p>
            <w:pPr>
              <w:jc w:val="center"/>
            </w:pPr>
            <w:r>
              <w:rPr>
                <w:color w:val="000000"/>
                <w:sz w:val="24"/>
              </w:rPr>
              <w:t>0.03%</w:t>
            </w:r>
          </w:p>
        </w:tc>
      </w:tr>
      <w:tr>
        <w:tc>
          <w:tcPr>
            <w:vAlign w:val="center"/>
          </w:tcPr>
          <w:p>
            <w:pPr>
              <w:jc w:val="left"/>
            </w:pPr>
            <w:r>
              <w:rPr>
                <w:color w:val="000000"/>
                <w:sz w:val="24"/>
              </w:rPr>
              <w:t>过去六个月</w:t>
            </w:r>
          </w:p>
        </w:tc>
        <w:tc>
          <w:tcPr>
            <w:vAlign w:val="center"/>
          </w:tcPr>
          <w:p>
            <w:pPr>
              <w:jc w:val="center"/>
            </w:pPr>
            <w:r>
              <w:rPr>
                <w:color w:val="000000"/>
                <w:sz w:val="24"/>
              </w:rPr>
              <w:t>0.58%</w:t>
            </w:r>
          </w:p>
        </w:tc>
        <w:tc>
          <w:tcPr>
            <w:vAlign w:val="center"/>
          </w:tcPr>
          <w:p>
            <w:pPr>
              <w:jc w:val="center"/>
            </w:pPr>
            <w:r>
              <w:rPr>
                <w:color w:val="000000"/>
                <w:sz w:val="24"/>
              </w:rPr>
              <w:t>0.06%</w:t>
            </w:r>
          </w:p>
        </w:tc>
        <w:tc>
          <w:tcPr>
            <w:vAlign w:val="center"/>
          </w:tcPr>
          <w:p>
            <w:pPr>
              <w:jc w:val="center"/>
            </w:pPr>
            <w:r>
              <w:rPr>
                <w:color w:val="000000"/>
                <w:sz w:val="24"/>
              </w:rPr>
              <w:t>0.83%</w:t>
            </w:r>
          </w:p>
        </w:tc>
        <w:tc>
          <w:tcPr>
            <w:vAlign w:val="center"/>
          </w:tcPr>
          <w:p>
            <w:pPr>
              <w:jc w:val="center"/>
            </w:pPr>
            <w:r>
              <w:rPr>
                <w:color w:val="000000"/>
                <w:sz w:val="24"/>
              </w:rPr>
              <w:t>0.04%</w:t>
            </w:r>
          </w:p>
        </w:tc>
        <w:tc>
          <w:tcPr>
            <w:vAlign w:val="center"/>
          </w:tcPr>
          <w:p>
            <w:pPr>
              <w:jc w:val="center"/>
            </w:pPr>
            <w:r>
              <w:rPr>
                <w:color w:val="000000"/>
                <w:sz w:val="24"/>
              </w:rPr>
              <w:t>-0.25%</w:t>
            </w:r>
          </w:p>
        </w:tc>
        <w:tc>
          <w:tcPr>
            <w:vAlign w:val="center"/>
          </w:tcPr>
          <w:p>
            <w:pPr>
              <w:jc w:val="center"/>
            </w:pPr>
            <w:r>
              <w:rPr>
                <w:color w:val="000000"/>
                <w:sz w:val="24"/>
              </w:rPr>
              <w:t>0.02%</w:t>
            </w:r>
          </w:p>
        </w:tc>
      </w:tr>
      <w:tr>
        <w:tc>
          <w:tcPr>
            <w:vAlign w:val="center"/>
          </w:tcPr>
          <w:p>
            <w:pPr>
              <w:jc w:val="left"/>
            </w:pPr>
            <w:r>
              <w:rPr>
                <w:color w:val="000000"/>
                <w:sz w:val="24"/>
              </w:rPr>
              <w:t>过去一年</w:t>
            </w:r>
          </w:p>
        </w:tc>
        <w:tc>
          <w:tcPr>
            <w:vAlign w:val="center"/>
          </w:tcPr>
          <w:p>
            <w:pPr>
              <w:jc w:val="center"/>
            </w:pPr>
            <w:r>
              <w:rPr>
                <w:color w:val="000000"/>
                <w:sz w:val="24"/>
              </w:rPr>
              <w:t>2.66%</w:t>
            </w:r>
          </w:p>
        </w:tc>
        <w:tc>
          <w:tcPr>
            <w:vAlign w:val="center"/>
          </w:tcPr>
          <w:p>
            <w:pPr>
              <w:jc w:val="center"/>
            </w:pPr>
            <w:r>
              <w:rPr>
                <w:color w:val="000000"/>
                <w:sz w:val="24"/>
              </w:rPr>
              <w:t>0.07%</w:t>
            </w:r>
          </w:p>
        </w:tc>
        <w:tc>
          <w:tcPr>
            <w:vAlign w:val="center"/>
          </w:tcPr>
          <w:p>
            <w:pPr>
              <w:jc w:val="center"/>
            </w:pPr>
            <w:r>
              <w:rPr>
                <w:color w:val="000000"/>
                <w:sz w:val="24"/>
              </w:rPr>
              <w:t>2.37%</w:t>
            </w:r>
          </w:p>
        </w:tc>
        <w:tc>
          <w:tcPr>
            <w:vAlign w:val="center"/>
          </w:tcPr>
          <w:p>
            <w:pPr>
              <w:jc w:val="center"/>
            </w:pPr>
            <w:r>
              <w:rPr>
                <w:color w:val="000000"/>
                <w:sz w:val="24"/>
              </w:rPr>
              <w:t>0.06%</w:t>
            </w:r>
          </w:p>
        </w:tc>
        <w:tc>
          <w:tcPr>
            <w:vAlign w:val="center"/>
          </w:tcPr>
          <w:p>
            <w:pPr>
              <w:jc w:val="center"/>
            </w:pPr>
            <w:r>
              <w:rPr>
                <w:color w:val="000000"/>
                <w:sz w:val="24"/>
              </w:rPr>
              <w:t>0.29%</w:t>
            </w:r>
          </w:p>
        </w:tc>
        <w:tc>
          <w:tcPr>
            <w:vAlign w:val="center"/>
          </w:tcPr>
          <w:p>
            <w:pPr>
              <w:jc w:val="center"/>
            </w:pPr>
            <w:r>
              <w:rPr>
                <w:color w:val="000000"/>
                <w:sz w:val="24"/>
              </w:rPr>
              <w:t>0.01%</w:t>
            </w:r>
          </w:p>
        </w:tc>
      </w:tr>
      <w:tr>
        <w:tc>
          <w:tcPr>
            <w:vAlign w:val="center"/>
          </w:tcPr>
          <w:p>
            <w:pPr>
              <w:jc w:val="left"/>
            </w:pPr>
            <w:r>
              <w:rPr>
                <w:color w:val="000000"/>
                <w:sz w:val="24"/>
              </w:rPr>
              <w:t>自基金合同生效至今</w:t>
            </w:r>
          </w:p>
        </w:tc>
        <w:tc>
          <w:tcPr>
            <w:vAlign w:val="center"/>
          </w:tcPr>
          <w:p>
            <w:pPr>
              <w:jc w:val="center"/>
            </w:pPr>
            <w:r>
              <w:rPr>
                <w:color w:val="000000"/>
                <w:sz w:val="24"/>
              </w:rPr>
              <w:t>2.74%</w:t>
            </w:r>
          </w:p>
        </w:tc>
        <w:tc>
          <w:tcPr>
            <w:vAlign w:val="center"/>
          </w:tcPr>
          <w:p>
            <w:pPr>
              <w:jc w:val="center"/>
            </w:pPr>
            <w:r>
              <w:rPr>
                <w:color w:val="000000"/>
                <w:sz w:val="24"/>
              </w:rPr>
              <w:t>0.07%</w:t>
            </w:r>
          </w:p>
        </w:tc>
        <w:tc>
          <w:tcPr>
            <w:vAlign w:val="center"/>
          </w:tcPr>
          <w:p>
            <w:pPr>
              <w:jc w:val="center"/>
            </w:pPr>
            <w:r>
              <w:rPr>
                <w:color w:val="000000"/>
                <w:sz w:val="24"/>
              </w:rPr>
              <w:t>2.78%</w:t>
            </w:r>
          </w:p>
        </w:tc>
        <w:tc>
          <w:tcPr>
            <w:vAlign w:val="center"/>
          </w:tcPr>
          <w:p>
            <w:pPr>
              <w:jc w:val="center"/>
            </w:pPr>
            <w:r>
              <w:rPr>
                <w:color w:val="000000"/>
                <w:sz w:val="24"/>
              </w:rPr>
              <w:t>0.05%</w:t>
            </w:r>
          </w:p>
        </w:tc>
        <w:tc>
          <w:tcPr>
            <w:vAlign w:val="center"/>
          </w:tcPr>
          <w:p>
            <w:pPr>
              <w:jc w:val="center"/>
            </w:pPr>
            <w:r>
              <w:rPr>
                <w:color w:val="000000"/>
                <w:sz w:val="24"/>
              </w:rPr>
              <w:t>-0.04%</w:t>
            </w:r>
          </w:p>
        </w:tc>
        <w:tc>
          <w:tcPr>
            <w:vAlign w:val="center"/>
          </w:tcPr>
          <w:p>
            <w:pPr>
              <w:jc w:val="center"/>
            </w:pPr>
            <w:r>
              <w:rPr>
                <w:color w:val="000000"/>
                <w:sz w:val="24"/>
              </w:rPr>
              <w:t>0.02%</w:t>
            </w:r>
          </w:p>
        </w:tc>
      </w:tr>
    </w:tbl>
    <w:p w:rsidP="007C14DF" w:rsidR="009238DB" w:rsidRDefault="009238DB" w:rsidRPr="007F52FA">
      <w:pPr>
        <w:autoSpaceDE w:val="0"/>
        <w:autoSpaceDN w:val="0"/>
        <w:adjustRightInd w:val="0"/>
        <w:spacing w:before="29" w:line="288" w:lineRule="auto"/>
        <w:ind w:left="15"/>
        <w:jc w:val="left"/>
        <w:rPr>
          <w:rFonts w:eastAsiaTheme="minorEastAsia"/>
          <w:b/>
          <w:color w:val="000000"/>
          <w:kern w:val="0"/>
          <w:sz w:val="24"/>
        </w:rPr>
      </w:pPr>
    </w:p>
    <w:p w:rsidP="007C14DF" w:rsidR="009238DB" w:rsidRDefault="009238DB" w:rsidRPr="007F52FA">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P="007C14DF" w:rsidR="009A045B" w:rsidRDefault="009A045B" w:rsidRPr="007F52FA">
      <w:pPr>
        <w:spacing w:before="29" w:line="288" w:lineRule="auto"/>
        <w:jc w:val="center"/>
        <w:rPr>
          <w:color w:val="000000"/>
          <w:sz w:val="24"/>
        </w:rPr>
      </w:pPr>
      <w:r w:rsidRPr="007F52FA">
        <w:rPr>
          <w:rFonts w:eastAsiaTheme="minorEastAsia"/>
          <w:color w:val="000000"/>
          <w:sz w:val="24"/>
        </w:rPr>
        <w:t/>
      </w:r>
      <w:r w:rsidRPr="007F52FA">
        <w:rPr>
          <w:color w:val="000000"/>
          <w:sz w:val="24"/>
        </w:rPr>
        <w:t>交银施罗德稳利中短债债券型证券投资基金</w:t>
      </w:r>
    </w:p>
    <w:p w:rsidP="007C14DF" w:rsidR="00022396" w:rsidRDefault="0001164A" w:rsidRPr="007F52FA">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P="007C14DF" w:rsidR="009A045B" w:rsidRDefault="00CC1636" w:rsidRPr="007F52FA">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2019年12月13日</w:t>
      </w:r>
      <w:r w:rsidR="009A045B" w:rsidRPr="007F52FA">
        <w:rPr>
          <w:rFonts w:ascii="Times New Roman" w:hAnsi="Times New Roman"/>
          <w:sz w:val="24"/>
          <w:szCs w:val="24"/>
        </w:rPr>
        <w:t>至</w:t>
      </w:r>
      <w:r w:rsidRPr="007F52FA">
        <w:rPr>
          <w:rFonts w:ascii="Times New Roman" w:hAnsi="Times New Roman"/>
          <w:sz w:val="24"/>
          <w:szCs w:val="24"/>
        </w:rPr>
        <w:t>2020年12月31日</w:t>
      </w:r>
      <w:r w:rsidRPr="007F52FA">
        <w:rPr>
          <w:rFonts w:ascii="Times New Roman" w:hAnsi="Times New Roman"/>
          <w:sz w:val="24"/>
          <w:szCs w:val="24"/>
        </w:rPr>
        <w:t>）</w:t>
      </w:r>
    </w:p>
    <w:p w:rsidP="007C14DF" w:rsidR="009238DB" w:rsidRDefault="009238DB" w:rsidRPr="007F52FA">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交银稳利中短债债券A</w:t>
      </w:r>
    </w:p>
    <w:p w:rsidP="007C14DF" w:rsidR="00807B81"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B="0" distL="0" distR="0" distT="0">
            <wp:extent cx="5731510" cy="3356610"/>
            <wp:effectExtent b="0" l="19050" r="2540" t="0"/>
            <wp:docPr descr="走势图1.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7C14DF" w:rsidR="009238DB"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注：本基金基金合同生效日为2019年12月13日，截至报告期期末，本基金已完成建仓但报告期期末距建仓结束未满一年。本基金建仓期为自基金合同生效日起的6个月。截至建仓期结束，本基金各项资产配置比例符合基金合同及招募说明书有关投资比例的约定。</w:t>
      </w:r>
    </w:p>
    <w:p w:rsidP="007C14DF" w:rsidR="0042785F" w:rsidRDefault="0042785F" w:rsidRPr="007F52FA">
      <w:pPr>
        <w:pStyle w:val="20"/>
        <w:spacing w:before="29" w:line="288" w:lineRule="auto"/>
        <w:ind w:firstLine="0" w:firstLineChars="0"/>
        <w:rPr>
          <w:rFonts w:ascii="Times New Roman" w:hAnsi="Times New Roman"/>
          <w:color w:val="000000"/>
        </w:rPr>
      </w:pPr>
    </w:p>
    <w:p w:rsidP="007C14DF" w:rsidR="009238DB" w:rsidRDefault="009238DB" w:rsidRPr="007F52FA">
      <w:pPr>
        <w:snapToGrid w:val="0"/>
        <w:spacing w:before="29" w:line="288" w:lineRule="auto"/>
        <w:rPr>
          <w:color w:val="000000"/>
          <w:sz w:val="24"/>
        </w:rPr>
      </w:pPr>
      <w:r w:rsidRPr="007F52FA">
        <w:rPr>
          <w:color w:val="000000"/>
          <w:sz w:val="24"/>
        </w:rPr>
        <w:t>2</w:t>
      </w:r>
      <w:r w:rsidRPr="007F52FA">
        <w:rPr>
          <w:color w:val="000000"/>
          <w:sz w:val="24"/>
        </w:rPr>
        <w:t>．</w:t>
      </w:r>
      <w:r w:rsidR="0042785F" w:rsidRPr="007F52FA">
        <w:rPr>
          <w:color w:val="000000"/>
          <w:sz w:val="24"/>
        </w:rPr>
        <w:t/>
      </w:r>
      <w:r w:rsidR="004D614E" w:rsidRPr="007F52FA">
        <w:rPr>
          <w:color w:val="000000"/>
          <w:sz w:val="24"/>
        </w:rPr>
        <w:t/>
      </w:r>
      <w:r w:rsidR="00FE7FBD" w:rsidRPr="007F52FA">
        <w:rPr>
          <w:color w:val="000000"/>
          <w:sz w:val="24"/>
        </w:rPr>
        <w:t>交银稳利中短债债券C</w:t>
      </w:r>
    </w:p>
    <w:p w:rsidP="007C14DF" w:rsidR="00D12D04"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B="0" distL="0" distR="0" distT="0">
            <wp:extent cx="5731510" cy="3356610"/>
            <wp:effectExtent b="0" l="19050" r="2540" t="0"/>
            <wp:docPr descr="走势图2.jpg"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cstate="print" r:embed="rId15"/>
                    <a:stretch>
                      <a:fillRect/>
                    </a:stretch>
                  </pic:blipFill>
                  <pic:spPr>
                    <a:xfrm>
                      <a:off x="0" y="0"/>
                      <a:ext cx="5731510" cy="3356610"/>
                    </a:xfrm>
                    <a:prstGeom prst="rect">
                      <a:avLst/>
                    </a:prstGeom>
                  </pic:spPr>
                </pic:pic>
              </a:graphicData>
            </a:graphic>
          </wp:inline>
        </w:drawing>
      </w:r>
    </w:p>
    <w:p w:rsidP="007C14DF" w:rsidR="0042785F"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注：本基金基金合同生效日为2019年12月13日，截至报告期期末，本基金已完成建仓但报告期期末距建仓结束未满一年。本基金建仓期为自基金合同生效日起的6个月。截至建仓期结束，本基金各项资产配置比例符合基金合同及招募说明书有关投资比例的约定。</w:t>
      </w:r>
    </w:p>
    <w:p w:rsidP="007C14DF" w:rsidR="00757FD7" w:rsidRDefault="00757FD7" w:rsidRPr="007F52FA">
      <w:pPr>
        <w:spacing w:before="29" w:line="288" w:lineRule="auto"/>
        <w:ind w:firstLine="480" w:firstLineChars="200"/>
        <w:rPr>
          <w:color w:val="000000"/>
          <w:sz w:val="24"/>
        </w:rPr>
      </w:pPr>
      <w:r w:rsidRPr="007F52FA">
        <w:rPr>
          <w:color w:val="000000"/>
          <w:sz w:val="24"/>
        </w:rPr>
        <w:t/>
      </w:r>
      <w:r w:rsidR="00FE7FBD" w:rsidRPr="007F52FA">
        <w:rPr>
          <w:color w:val="000000"/>
          <w:sz w:val="24"/>
        </w:rPr>
        <w:t/>
      </w:r>
      <w:r w:rsidRPr="007F52FA">
        <w:rPr>
          <w:color w:val="000000"/>
          <w:sz w:val="24"/>
        </w:rPr>
        <w:t/>
      </w:r>
    </w:p>
    <w:p w:rsidP="007C14DF" w:rsidR="00973B57" w:rsidRDefault="00973B57" w:rsidRPr="007F52FA">
      <w:pPr>
        <w:pStyle w:val="20"/>
        <w:spacing w:before="29" w:line="288" w:lineRule="auto"/>
        <w:ind w:firstLine="0" w:firstLineChars="0"/>
        <w:jc w:val="left"/>
        <w:rPr>
          <w:rFonts w:ascii="Times New Roman" w:eastAsiaTheme="minorEastAsia" w:hAnsi="Times New Roman"/>
          <w:color w:val="000000"/>
        </w:rPr>
      </w:pPr>
    </w:p>
    <w:p w:rsidP="007C14DF" w:rsidR="006C5BC9" w:rsidRDefault="006C5BC9" w:rsidRPr="007F52FA">
      <w:pPr>
        <w:tabs>
          <w:tab w:pos="1800" w:val="left"/>
        </w:tabs>
        <w:spacing w:before="29" w:line="288" w:lineRule="auto"/>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firstColumn="1" w:firstRow="1" w:lastColumn="0" w:lastRow="0" w:noHBand="0" w:noVBand="1" w:val="04A0"/>
      </w:tblPr>
      <w:tblGrid>
        <w:gridCol w:w="946"/>
        <w:gridCol w:w="924"/>
        <w:gridCol w:w="1202"/>
        <w:gridCol w:w="1300"/>
        <w:gridCol w:w="1245"/>
        <w:gridCol w:w="3251"/>
      </w:tblGrid>
      <w:tr w:rsidR="00C41617" w:rsidRPr="007F52FA" w:rsidTr="00370FE2">
        <w:trPr>
          <w:jc w:val="center"/>
        </w:trPr>
        <w:tc>
          <w:tcPr>
            <w:tcW w:type="dxa" w:w="952"/>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type="dxa" w:w="930"/>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type="dxa" w:w="2519"/>
            <w:gridSpan w:val="2"/>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w:t>
            </w:r>
            <w:r w:rsidRPr="007F52FA">
              <w:rPr>
                <w:color w:val="000000"/>
                <w:kern w:val="0"/>
                <w:sz w:val="24"/>
              </w:rPr>
              <w:lastRenderedPageBreak/>
              <w:t>期限</w:t>
            </w:r>
          </w:p>
        </w:tc>
        <w:tc>
          <w:tcPr>
            <w:tcW w:type="dxa" w:w="1254"/>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证券从业</w:t>
            </w:r>
            <w:r w:rsidRPr="007F52FA">
              <w:rPr>
                <w:color w:val="000000"/>
                <w:kern w:val="0"/>
                <w:sz w:val="24"/>
              </w:rPr>
              <w:lastRenderedPageBreak/>
              <w:t>年限</w:t>
            </w:r>
          </w:p>
        </w:tc>
        <w:tc>
          <w:tcPr>
            <w:tcW w:type="dxa" w:w="3276"/>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说明</w:t>
            </w:r>
          </w:p>
        </w:tc>
      </w:tr>
      <w:tr w:rsidR="00C41617" w:rsidRPr="007F52FA" w:rsidTr="00370FE2">
        <w:trPr>
          <w:jc w:val="center"/>
        </w:trPr>
        <w:tc>
          <w:tcPr>
            <w:tcW w:type="dxa" w:w="952"/>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930"/>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1210"/>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type="dxa" w:w="1309"/>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type="dxa" w:w="1254"/>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3276"/>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黄莹洁</w:t>
            </w:r>
          </w:p>
        </w:tc>
        <w:tc>
          <w:tcPr>
            <w:vAlign w:val="center"/>
          </w:tcPr>
          <w:p>
            <w:pPr>
              <w:jc w:val="center"/>
            </w:pPr>
            <w:r>
              <w:rPr>
                <w:color w:val="000000"/>
                <w:sz w:val="24"/>
              </w:rPr>
              <w:t>交银丰享收益债券、交银活期通货币、交银天利宝货币、交银裕隆纯债债券、交银天益宝货币、交银境尚收益债券、交银稳鑫短债债券、交银稳利中短债债券、交银中高等级信用债债券的基金经理</w:t>
            </w:r>
          </w:p>
        </w:tc>
        <w:tc>
          <w:tcPr>
            <w:vAlign w:val="center"/>
          </w:tcPr>
          <w:p>
            <w:pPr>
              <w:jc w:val="center"/>
            </w:pPr>
            <w:r>
              <w:rPr>
                <w:color w:val="000000"/>
                <w:sz w:val="24"/>
              </w:rPr>
              <w:t>2019-12-13</w:t>
            </w:r>
          </w:p>
        </w:tc>
        <w:tc>
          <w:tcPr>
            <w:vAlign w:val="center"/>
          </w:tcPr>
          <w:p>
            <w:pPr>
              <w:jc w:val="center"/>
            </w:pPr>
            <w:r>
              <w:rPr>
                <w:color w:val="000000"/>
                <w:sz w:val="24"/>
              </w:rPr>
              <w:t>-</w:t>
            </w:r>
          </w:p>
        </w:tc>
        <w:tc>
          <w:tcPr>
            <w:vAlign w:val="center"/>
          </w:tcPr>
          <w:p>
            <w:pPr>
              <w:jc w:val="center"/>
            </w:pPr>
            <w:r>
              <w:rPr>
                <w:color w:val="000000"/>
                <w:sz w:val="24"/>
              </w:rPr>
              <w:t>12年</w:t>
            </w:r>
          </w:p>
        </w:tc>
        <w:tc>
          <w:tcPr>
            <w:vAlign w:val="center"/>
          </w:tcPr>
          <w:p>
            <w:pPr>
              <w:jc w:val="both"/>
            </w:pPr>
            <w:r>
              <w:rPr>
                <w:color w:val="000000"/>
                <w:sz w:val="24"/>
              </w:rPr>
              <w:t>黄莹洁女士，香港大学工商管理硕士、北京大学经济学、管理学双学士。历任中海基金管理有限公司交易员。2012年加入交银施罗德基金管理有限公司，历任中央交易室交易员。2015年7月25日至2018年3月18日担任交银施罗德丰泽收益债券型证券投资基金的基金经理。2015年5月27日至2019年8月2日担任交银施罗德货币市场证券投资基金、交银施罗德现金宝货币市场基金的基金经理。2016年12月7日至2019年8月2日担任交银施罗德天鑫宝货币市场基金的基金经理。2015年12月29日至2019年10月23日担任交银施罗德裕通纯债债券型证券投资基金的基金经理。2015年5月27日至2020年7月27日担任转型前的交银施罗德理财21天债券型证券投资基金的基金经理。</w:t>
            </w:r>
          </w:p>
        </w:tc>
      </w:tr>
    </w:tbl>
    <w:p w:rsidP="007C14DF" w:rsidR="009238DB" w:rsidRDefault="00062E1F" w:rsidRPr="007F52FA">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P="007C14DF" w:rsidR="005C7D00" w:rsidRDefault="005C7D00" w:rsidRPr="007F52FA">
      <w:pPr>
        <w:pStyle w:val="20"/>
        <w:spacing w:before="29" w:line="288" w:lineRule="auto"/>
        <w:ind w:firstLine="0" w:firstLineChars="0"/>
        <w:rPr>
          <w:rFonts w:ascii="Times New Roman" w:eastAsiaTheme="minorEastAsia" w:hAnsi="Times New Roman"/>
          <w:color w:val="auto"/>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P="007C14DF" w:rsidR="009238DB" w:rsidRDefault="00323F25" w:rsidRPr="007F52FA">
      <w:pPr>
        <w:spacing w:before="29" w:line="288" w:lineRule="auto"/>
        <w:ind w:firstLine="480" w:firstLineChars="20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P="007C14DF" w:rsidR="00D15733" w:rsidRDefault="00D15733" w:rsidRPr="007F52FA">
      <w:pPr>
        <w:spacing w:before="29" w:line="288" w:lineRule="auto"/>
        <w:rPr>
          <w:sz w:val="24"/>
        </w:rPr>
      </w:pPr>
      <w:smartTag w:element="chsdate" w:uri="urn:schemas-microsoft-com:office:smarttags">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本公司制定了严格的投资控制制度和公平交易监控制度来保证旗下基金运作的公平，旗下所管理的所有资产组合，包括证券投资基金和私募资产管理计划均严格遵循制度进行公平交易。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价格优先、时间优先”的原则，全部通过交易系统进行比例分配；对于非集中竞价交易、以公司名义进行的场外交易，遵循公平交易分配原则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7C14DF" w:rsidR="00D15733" w:rsidRDefault="00323F25" w:rsidRPr="007F52FA">
      <w:pPr>
        <w:spacing w:before="29" w:line="288" w:lineRule="auto"/>
        <w:ind w:firstLine="480" w:firstLineChars="200"/>
        <w:rPr>
          <w:color w:val="000000"/>
          <w:sz w:val="24"/>
        </w:rPr>
      </w:pPr>
      <w:r w:rsidRPr="007F52FA">
        <w:rPr>
          <w:color w:val="000000"/>
          <w:sz w:val="24"/>
        </w:rPr>
        <w:t>报告期内本公司严格执行公平交易制度，公平对待旗下各投资组合，未发现任何违反公平交易的行为。</w:t>
      </w:r>
    </w:p>
    <w:p w:rsidP="007C14DF" w:rsidR="00D15733" w:rsidRDefault="00D15733" w:rsidRPr="007F52FA">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P="007C14DF" w:rsidR="00D15733" w:rsidRDefault="00323F25" w:rsidRPr="007F52FA">
      <w:pPr>
        <w:spacing w:before="29" w:line="288" w:lineRule="auto"/>
        <w:ind w:firstLine="480" w:firstLineChars="20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pPr>
        <w:spacing w:before="29" w:line="288" w:lineRule="auto"/>
        <w:ind w:firstLine="480" w:firstLineChars="200"/>
        <w:rPr>
          <w:color w:val="000000"/>
          <w:sz w:val="24"/>
        </w:rPr>
      </w:pPr>
      <w:r>
        <w:rPr>
          <w:color w:val="000000"/>
          <w:sz w:val="24"/>
        </w:rPr>
        <w:t>本报告期内，债券市场收益率先在经济数据透露出“结构隐忧”和四季度供需结构优化的双重作用下，小幅下行。之后央行重提总闸门引发货币政策进一步收紧的预期，叠加部分信用债违约风险事件，信用债和短久期利率债经历了大幅下跌。11月下旬随着央行超预期投放流动性，经济工作会议精神明确不会“急转弯”，债券市场在配置力量带动下，收益率转而下行。</w:t>
      </w:r>
    </w:p>
    <w:p>
      <w:pPr>
        <w:spacing w:before="29" w:line="288" w:lineRule="auto"/>
        <w:ind w:firstLine="480" w:firstLineChars="200"/>
        <w:rPr>
          <w:color w:val="000000"/>
          <w:sz w:val="24"/>
        </w:rPr>
      </w:pPr>
      <w:r>
        <w:rPr>
          <w:color w:val="000000"/>
          <w:sz w:val="24"/>
        </w:rPr>
        <w:t>由于央行MLF的超额投放和年底大量的跨年公开市场操作，资金面年底前呈现宽松态势，股份制存款存单收益率也在11月底最高达到3.2%附近见顶后，出现明显的下行，年底下至2.6%附近。</w:t>
      </w:r>
    </w:p>
    <w:p>
      <w:pPr>
        <w:spacing w:before="29" w:line="288" w:lineRule="auto"/>
        <w:ind w:firstLine="480" w:firstLineChars="200"/>
        <w:rPr>
          <w:color w:val="000000"/>
          <w:sz w:val="24"/>
        </w:rPr>
      </w:pPr>
      <w:r>
        <w:rPr>
          <w:color w:val="000000"/>
          <w:sz w:val="24"/>
        </w:rPr>
        <w:t>基金操作方面，本基金仍然是以信用债票息策略为主，维持一个中性的久期水平。具体配置方面仍以1-3年中高等级信用债为底仓，鉴于我们对2021年信用环境偏紧缩的判断，我们适当减持了组合中长久期低等级信用债。中高等级信用债尤其是优质城投具有较好的配置价值，持有策略仍然占优，是我们配置的重点方向。</w:t>
      </w:r>
    </w:p>
    <w:p w:rsidP="007C14DF" w:rsidR="00952A72" w:rsidRDefault="00323F25" w:rsidRPr="007F52FA">
      <w:pPr>
        <w:spacing w:before="29" w:line="288" w:lineRule="auto"/>
        <w:ind w:firstLine="480" w:firstLineChars="200"/>
        <w:rPr>
          <w:color w:val="000000"/>
          <w:sz w:val="24"/>
        </w:rPr>
      </w:pPr>
      <w:r w:rsidRPr="007F52FA">
        <w:rPr>
          <w:color w:val="000000"/>
          <w:sz w:val="24"/>
        </w:rPr>
        <w:t>展望2021年一季度，基本面延续边际改善趋势，债市核心交易要素还是资金面，在央行流动性呵护下此前超调的短债、中高等级信用债近期表现较好，需要关注通胀是否超预期上行从而引致货币政策的边际收紧。中期来看，经济依然延续改善，大宗价格明显上涨，债市仍然难现趋势性行情，但以社融见顶的逻辑推演来看，收益率已经接近顶部区域，大概率是一个磨顶的过程，但低等级信用债则需规避信用利差走扩的风险。债券的趋势性拐点则需要紧密跟踪信用收缩对实体经济的负反馈，以及海外供需缺口变化对我国出口的负面拖累。组合操作方面，组合仍将以中高等级信用债为底仓，根据对宏观经济、货币政策的判断，适时调整组合久期，采取票息策略为主的思路。在严控信用风险的基础上，对各类债券品种精耕细作，加强收益挖掘。同时，在融资成本相对较低的情况下，短端资金和资产收益利差空间仍然较为显著，我们会辅以合理杠杆水平以期增厚组合收益。</w:t>
      </w:r>
    </w:p>
    <w:p w:rsidP="007C14DF" w:rsidR="00EC41BC" w:rsidRDefault="00EC41BC" w:rsidRPr="007F52FA">
      <w:pPr>
        <w:spacing w:before="29" w:line="288" w:lineRule="auto"/>
        <w:ind w:firstLine="480" w:firstLineChars="200"/>
        <w:rPr>
          <w:color w:val="00000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P="007C14DF" w:rsidR="00952A72" w:rsidRDefault="00323F25" w:rsidRPr="007F52FA">
      <w:pPr>
        <w:spacing w:before="29" w:line="288" w:lineRule="auto"/>
        <w:ind w:firstLine="480" w:firstLineChars="200"/>
        <w:rPr>
          <w:color w:val="000000"/>
          <w:sz w:val="24"/>
        </w:rPr>
      </w:pPr>
      <w:r w:rsidRPr="007F52FA">
        <w:rPr>
          <w:color w:val="000000"/>
          <w:sz w:val="24"/>
        </w:rPr>
        <w:t>本基金（各类）份额净值及业绩表现请见“3.1主要财务指标” 及“3.2.1 本报告期基金份额净值增长率及其与同期业绩比较基准收益率的比较”部分披露。</w:t>
      </w:r>
    </w:p>
    <w:p w:rsidP="007C14DF" w:rsidR="00400FA6" w:rsidRDefault="00400FA6" w:rsidRPr="007F52FA">
      <w:pPr>
        <w:spacing w:before="29" w:line="288" w:lineRule="auto"/>
        <w:ind w:firstLine="480" w:firstLineChars="200"/>
        <w:rPr>
          <w:color w:val="000000"/>
          <w:sz w:val="24"/>
        </w:rPr>
      </w:pPr>
    </w:p>
    <w:p w:rsidP="00274444" w:rsidR="00274444" w:rsidRDefault="00274444"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274444" w:rsidR="00274444" w:rsidRDefault="00274444">
      <w:pPr>
        <w:spacing w:before="29" w:line="288" w:lineRule="auto"/>
        <w:ind w:firstLine="480" w:firstLineChars="200"/>
        <w:rPr>
          <w:color w:val="000000"/>
          <w:sz w:val="24"/>
        </w:rPr>
      </w:pPr>
      <w:r w:rsidRPr="002070B4">
        <w:rPr>
          <w:color w:val="000000"/>
          <w:sz w:val="24"/>
        </w:rPr>
        <w:t>本基金本报告期内无需预警说明。</w:t>
      </w:r>
    </w:p>
    <w:p w:rsidP="007C14DF" w:rsidR="00400FA6" w:rsidRDefault="00400FA6" w:rsidRPr="007F52FA">
      <w:pPr>
        <w:spacing w:before="29" w:line="288" w:lineRule="auto"/>
        <w:ind w:firstLine="480" w:firstLineChars="200"/>
        <w:rPr>
          <w:color w:val="000000"/>
          <w:sz w:val="24"/>
        </w:rPr>
      </w:pPr>
    </w:p>
    <w:p w:rsidP="000A2988" w:rsidR="009238DB" w:rsidRDefault="009238DB" w:rsidRPr="007C6127">
      <w:pPr>
        <w:pStyle w:val="1"/>
        <w:spacing w:after="312" w:afterLines="100" w:before="312" w:beforeLines="100" w:line="288" w:lineRule="auto"/>
        <w:jc w:val="center"/>
        <w:rPr>
          <w:rFonts w:eastAsiaTheme="minorEastAsia"/>
          <w:color w:val="000000"/>
          <w:kern w:val="0"/>
          <w:sz w:val="24"/>
          <w:szCs w:val="24"/>
        </w:rPr>
      </w:pPr>
      <w:r w:rsidRPr="007C6127">
        <w:rPr>
          <w:rFonts w:eastAsiaTheme="minorEastAsia"/>
          <w:color w:val="000000"/>
          <w:kern w:val="0"/>
          <w:sz w:val="24"/>
          <w:szCs w:val="24"/>
        </w:rPr>
        <w:lastRenderedPageBreak/>
        <w:t xml:space="preserve">§5  </w:t>
      </w:r>
      <w:r w:rsidRPr="007C6127">
        <w:rPr>
          <w:rFonts w:eastAsiaTheme="minorEastAsia"/>
          <w:color w:val="000000"/>
          <w:kern w:val="0"/>
          <w:sz w:val="24"/>
          <w:szCs w:val="24"/>
        </w:rPr>
        <w:t>投资组合报告</w:t>
      </w:r>
    </w:p>
    <w:p w:rsidP="00C51B4E" w:rsidR="00C51B4E" w:rsidRDefault="00C51B4E">
      <w:pPr>
        <w:autoSpaceDE w:val="0"/>
        <w:autoSpaceDN w:val="0"/>
        <w:adjustRightInd w:val="0"/>
        <w:spacing w:line="360" w:lineRule="auto"/>
        <w:jc w:val="left"/>
        <w:rPr>
          <w:rFonts w:eastAsiaTheme="minorEastAsia"/>
          <w:b/>
          <w:color w:themeColor="text1" w:val="000000"/>
          <w:kern w:val="0"/>
          <w:sz w:val="24"/>
        </w:rPr>
      </w:pPr>
      <w:r w:rsidRPr="0028293E">
        <w:rPr>
          <w:rFonts w:eastAsiaTheme="minorEastAsia"/>
          <w:b/>
          <w:color w:themeColor="text1" w:val="000000"/>
          <w:kern w:val="0"/>
          <w:sz w:val="24"/>
        </w:rPr>
        <w:t xml:space="preserve">5.1 </w:t>
      </w:r>
      <w:r w:rsidRPr="0028293E">
        <w:rPr>
          <w:rFonts w:eastAsiaTheme="minorEastAsia"/>
          <w:b/>
          <w:color w:themeColor="text1" w:val="000000"/>
          <w:kern w:val="0"/>
          <w:sz w:val="24"/>
        </w:rPr>
        <w:t>报告期末基金资产组合情况</w:t>
      </w:r>
    </w:p>
    <w:p w:rsidP="001A5E45" w:rsidR="00610880" w:rsidRDefault="001A5E45" w:rsidRPr="0028293E">
      <w:pPr>
        <w:autoSpaceDE w:val="0"/>
        <w:autoSpaceDN w:val="0"/>
        <w:adjustRightInd w:val="0"/>
        <w:spacing w:line="360" w:lineRule="auto"/>
        <w:jc w:val="right"/>
        <w:rPr>
          <w:rFonts w:eastAsiaTheme="minorEastAsia"/>
          <w:b/>
          <w:color w:themeColor="text1" w:val="000000"/>
          <w:kern w:val="0"/>
          <w:sz w:val="24"/>
        </w:rPr>
      </w:pPr>
      <w:r w:rsidRPr="001A5E45">
        <w:rPr>
          <w:rFonts w:hint="eastAsia"/>
          <w:color w:val="000000"/>
          <w:kern w:val="0"/>
        </w:rPr>
        <w:t/>
      </w:r>
      <w:r w:rsidRPr="001A5E45">
        <w:rPr>
          <w:rFonts w:hint="eastAsia"/>
          <w:color w:val="000000"/>
          <w:kern w:val="0"/>
        </w:rPr>
        <w:t>金额单位：人民币元</w:t>
      </w:r>
    </w:p>
    <w:tbl>
      <w:tblPr>
        <w:tblStyle w:val="af2"/>
        <w:tblW w:type="dxa" w:w="8897"/>
        <w:tblInd w:type="dxa" w:w="108"/>
        <w:tblLayout w:type="fixed"/>
        <w:tblLook w:firstColumn="1" w:firstRow="1" w:lastColumn="0" w:lastRow="0" w:noHBand="0" w:noVBand="1" w:val="04A0"/>
      </w:tblPr>
      <w:tblGrid>
        <w:gridCol w:w="720"/>
        <w:gridCol w:w="2824"/>
        <w:gridCol w:w="2552"/>
        <w:gridCol w:w="2801"/>
      </w:tblGrid>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序号</w:t>
            </w:r>
          </w:p>
        </w:tc>
        <w:tc>
          <w:tcPr>
            <w:tcW w:type="dxa" w:w="2824"/>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项目</w:t>
            </w:r>
          </w:p>
        </w:tc>
        <w:tc>
          <w:tcPr>
            <w:tcW w:type="dxa" w:w="2552"/>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金额</w:t>
            </w:r>
          </w:p>
        </w:tc>
        <w:tc>
          <w:tcPr>
            <w:tcW w:type="dxa" w:w="2801"/>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占基金总资产的比例</w:t>
            </w:r>
            <w:r w:rsidR="005D2D89">
              <w:rPr>
                <w:rFonts w:eastAsiaTheme="minorEastAsia" w:hint="eastAsia"/>
                <w:color w:themeColor="text1" w:val="000000"/>
                <w:sz w:val="24"/>
              </w:rPr>
              <w:t>（</w:t>
            </w:r>
            <w:r w:rsidR="005D2D89">
              <w:rPr>
                <w:rFonts w:eastAsiaTheme="minorEastAsia" w:hint="eastAsia"/>
                <w:color w:themeColor="text1" w:val="000000"/>
                <w:sz w:val="24"/>
              </w:rPr>
              <w:t>%</w:t>
            </w:r>
            <w:r w:rsidR="005D2D89">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1</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权益投资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其中：股票</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2</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ascii="宋体" w:hAnsi="宋体" w:hint="eastAsia"/>
                <w:sz w:val="24"/>
              </w:rPr>
              <w:t>基金投资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3</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固定收益投资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1,279,456,300.00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98.32</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其中：债券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1,232,468,000.00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94.71</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8293E" w:rsidR="00C51B4E" w:rsidRDefault="00C51B4E" w:rsidRPr="0028293E">
            <w:pPr>
              <w:autoSpaceDE w:val="0"/>
              <w:autoSpaceDN w:val="0"/>
              <w:adjustRightInd w:val="0"/>
              <w:spacing w:before="29" w:line="360" w:lineRule="auto"/>
              <w:ind w:firstLine="720" w:firstLineChars="300" w:left="17"/>
              <w:jc w:val="left"/>
              <w:rPr>
                <w:rFonts w:eastAsiaTheme="minorEastAsia"/>
                <w:color w:themeColor="text1" w:val="000000"/>
                <w:sz w:val="24"/>
              </w:rPr>
            </w:pPr>
            <w:r w:rsidRPr="0028293E">
              <w:rPr>
                <w:rFonts w:eastAsiaTheme="minorEastAsia"/>
                <w:color w:themeColor="text1" w:val="000000"/>
                <w:sz w:val="24"/>
              </w:rPr>
              <w:t>资产支持证券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46,988,300.00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3.61</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4</w:t>
            </w:r>
          </w:p>
        </w:tc>
        <w:tc>
          <w:tcPr>
            <w:tcW w:type="dxa" w:w="2824"/>
            <w:vAlign w:val="center"/>
          </w:tcPr>
          <w:p w:rsidP="002D2971" w:rsidR="00C51B4E" w:rsidRDefault="00C51B4E" w:rsidRPr="0028293E">
            <w:pPr>
              <w:spacing w:before="29" w:line="360" w:lineRule="auto"/>
              <w:ind w:left="105" w:leftChars="50"/>
              <w:rPr>
                <w:rFonts w:eastAsiaTheme="minorEastAsia"/>
                <w:color w:themeColor="text1" w:val="000000"/>
                <w:sz w:val="24"/>
              </w:rPr>
            </w:pPr>
            <w:r w:rsidRPr="0028293E">
              <w:rPr>
                <w:rFonts w:eastAsiaTheme="minorEastAsia"/>
                <w:color w:themeColor="text1" w:val="000000"/>
                <w:sz w:val="24"/>
              </w:rPr>
              <w:t>贵金属投资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
            </w:r>
            <w:r w:rsidRPr="0028293E">
              <w:rPr>
                <w:rFonts w:eastAsiaTheme="minorEastAsia"/>
                <w:color w:themeColor="text1" w:val="000000"/>
                <w:sz w:val="24"/>
              </w:rPr>
              <w:lastRenderedPageBreak/>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lastRenderedPageBreak/>
              <w:t/>
            </w:r>
            <w:r w:rsidRPr="0028293E">
              <w:rPr>
                <w:rFonts w:eastAsiaTheme="minorEastAsia"/>
                <w:color w:themeColor="text1" w:val="000000"/>
                <w:sz w:val="24"/>
              </w:rPr>
              <w:lastRenderedPageBreak/>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lastRenderedPageBreak/>
              <w:t>5</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金融衍生品投资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6</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其中：买断式回购的买入返售金融资产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7</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银行存款和结算备付金合计</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950,009.78</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0.07</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8</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其他各项资产</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20,884,961.18</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1.60</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9</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合计</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1,301,291,270.96</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100.00</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P="001A5D39" w:rsidR="001A5D39" w:rsidRDefault="001A5D39">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1A5D39" w:rsidR="001A5D39" w:rsidRDefault="001A5D39"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BE251D">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1A5D39" w:rsidR="001A5D39" w:rsidRDefault="001A5D39">
      <w:pPr>
        <w:spacing w:before="29" w:line="360" w:lineRule="auto"/>
        <w:ind w:left="17"/>
        <w:rPr>
          <w:color w:val="000000"/>
          <w:sz w:val="24"/>
        </w:rPr>
      </w:pPr>
      <w:r w:rsidRPr="00FF0BBF">
        <w:rPr>
          <w:color w:val="000000"/>
          <w:sz w:val="24"/>
        </w:rPr>
        <w:t>本基金本报告期末未持有通过港股通投资的股票。</w:t>
      </w:r>
    </w:p>
    <w:p w:rsidP="007C14DF" w:rsidR="009238DB" w:rsidRDefault="009238DB" w:rsidRPr="001A5D39">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P="001A5E45" w:rsidR="008220BF" w:rsidRDefault="001A5E45" w:rsidRPr="008220BF">
      <w:pPr>
        <w:autoSpaceDE w:val="0"/>
        <w:autoSpaceDN w:val="0"/>
        <w:adjustRightInd w:val="0"/>
        <w:spacing w:before="29" w:line="288" w:lineRule="auto"/>
        <w:jc w:val="right"/>
        <w:rPr>
          <w:color w:val="000000"/>
          <w:kern w:val="0"/>
          <w:sz w:val="24"/>
        </w:rPr>
      </w:pPr>
      <w:r w:rsidRPr="001A5E45">
        <w:rPr>
          <w:rFonts w:hint="eastAsia"/>
          <w:color w:val="000000"/>
          <w:kern w:val="0"/>
          <w:sz w:val="24"/>
        </w:rPr>
        <w:t/>
      </w:r>
      <w:r w:rsidRPr="001A5E45">
        <w:rPr>
          <w:rFonts w:hint="eastAsia"/>
          <w:color w:val="000000"/>
          <w:kern w:val="0"/>
          <w:sz w:val="24"/>
        </w:rPr>
        <w:t>金额单位：人民币元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850"/>
        <w:gridCol w:w="3390"/>
        <w:gridCol w:w="2948"/>
        <w:gridCol w:w="1680"/>
      </w:tblGrid>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序号</w:t>
            </w:r>
          </w:p>
        </w:tc>
        <w:tc>
          <w:tcPr>
            <w:tcW w:type="dxa" w:w="3260"/>
            <w:vAlign w:val="center"/>
          </w:tcPr>
          <w:p w:rsidP="007C14DF" w:rsidR="00296E4A" w:rsidRDefault="00296E4A" w:rsidRPr="007F52FA">
            <w:pPr>
              <w:spacing w:before="29" w:line="288" w:lineRule="auto"/>
              <w:ind w:left="17"/>
              <w:jc w:val="center"/>
              <w:rPr>
                <w:color w:val="000000"/>
                <w:sz w:val="24"/>
              </w:rPr>
            </w:pPr>
            <w:r w:rsidRPr="007F52FA">
              <w:rPr>
                <w:color w:val="000000"/>
                <w:sz w:val="24"/>
              </w:rPr>
              <w:t>债券品种</w:t>
            </w:r>
            <w:r w:rsidR="00EB58F5" w:rsidRPr="007F52FA">
              <w:rPr>
                <w:color w:val="000000"/>
                <w:sz w:val="24"/>
              </w:rPr>
              <w:t/>
            </w:r>
          </w:p>
        </w:tc>
        <w:tc>
          <w:tcPr>
            <w:tcW w:type="dxa" w:w="2835"/>
            <w:vAlign w:val="center"/>
          </w:tcPr>
          <w:p w:rsidP="007C14DF" w:rsidR="00296E4A" w:rsidRDefault="00296E4A" w:rsidRPr="007F52FA">
            <w:pPr>
              <w:spacing w:before="29" w:line="288" w:lineRule="auto"/>
              <w:ind w:left="17"/>
              <w:jc w:val="center"/>
              <w:rPr>
                <w:color w:val="000000"/>
                <w:sz w:val="24"/>
              </w:rPr>
            </w:pPr>
            <w:r w:rsidRPr="007F52FA">
              <w:rPr>
                <w:color w:val="000000"/>
                <w:sz w:val="24"/>
              </w:rPr>
              <w:t>公允价值</w:t>
            </w:r>
          </w:p>
        </w:tc>
        <w:tc>
          <w:tcPr>
            <w:tcW w:type="dxa" w:w="1616"/>
            <w:vAlign w:val="center"/>
          </w:tcPr>
          <w:p w:rsidP="007C14DF" w:rsidR="00296E4A" w:rsidRDefault="00296E4A" w:rsidRPr="007F52FA">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1</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国家债券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lastRenderedPageBreak/>
              <w:t/>
            </w:r>
            <w:r w:rsidRPr="007F52FA">
              <w:rPr>
                <w:color w:val="000000"/>
                <w:sz w:val="24"/>
              </w:rPr>
              <w:lastRenderedPageBreak/>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lastRenderedPageBreak/>
              <w:t>2</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央行票据</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3</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金融债券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59,974,000.00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5.58</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其中：政策性金融债</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59,974,000.00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5.58</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4</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29,808,000.00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2.77</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5</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50,169,000.00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4.66</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lastRenderedPageBreak/>
              <w:t>6</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中期票据</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1,092,517,000.00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101.59</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t>7</w:t>
            </w:r>
          </w:p>
        </w:tc>
        <w:tc>
          <w:tcPr>
            <w:tcW w:type="dxa" w:w="3260"/>
            <w:vAlign w:val="center"/>
          </w:tcPr>
          <w:p w:rsidP="007F50FB" w:rsidR="00686943" w:rsidRDefault="00686943" w:rsidRPr="007F52FA">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type="dxa" w:w="817"/>
            <w:vAlign w:val="center"/>
          </w:tcPr>
          <w:p w:rsidP="007C14DF" w:rsidR="00514118" w:rsidRDefault="00514118" w:rsidRPr="007F52FA">
            <w:pPr>
              <w:spacing w:before="29" w:line="288" w:lineRule="auto"/>
              <w:ind w:left="17"/>
              <w:jc w:val="center"/>
              <w:rPr>
                <w:color w:val="000000"/>
                <w:sz w:val="24"/>
              </w:rPr>
            </w:pPr>
            <w:r>
              <w:rPr>
                <w:rFonts w:hint="eastAsia"/>
                <w:color w:val="000000"/>
                <w:sz w:val="24"/>
              </w:rPr>
              <w:t>8</w:t>
            </w:r>
          </w:p>
        </w:tc>
        <w:tc>
          <w:tcPr>
            <w:tcW w:type="dxa" w:w="3260"/>
            <w:vAlign w:val="center"/>
          </w:tcPr>
          <w:p w:rsidP="007C14DF" w:rsidR="00514118" w:rsidRDefault="00B279B6" w:rsidRPr="007F52FA">
            <w:pPr>
              <w:spacing w:before="29" w:line="288" w:lineRule="auto"/>
              <w:ind w:left="17"/>
              <w:jc w:val="left"/>
              <w:rPr>
                <w:color w:val="000000"/>
                <w:sz w:val="24"/>
              </w:rPr>
            </w:pPr>
            <w:r w:rsidRPr="00AF0CAB">
              <w:rPr>
                <w:rFonts w:hint="eastAsia"/>
                <w:color w:val="000000"/>
                <w:sz w:val="24"/>
              </w:rPr>
              <w:t>同业存单</w:t>
            </w:r>
          </w:p>
        </w:tc>
        <w:tc>
          <w:tcPr>
            <w:tcW w:type="dxa" w:w="2835"/>
            <w:vAlign w:val="center"/>
          </w:tcPr>
          <w:p w:rsidP="007C14DF" w:rsidR="00514118" w:rsidRDefault="001936D7"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c>
          <w:tcPr>
            <w:tcW w:type="dxa" w:w="1616"/>
            <w:vAlign w:val="center"/>
          </w:tcPr>
          <w:p w:rsidP="007C14DF" w:rsidR="00514118" w:rsidRDefault="00FC6F53"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9</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其他</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10</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合计</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1,232,468,000.00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114.60</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P="001A5E45" w:rsidR="00D21CE9" w:rsidRDefault="001A5E45" w:rsidRPr="00D21CE9">
      <w:pPr>
        <w:autoSpaceDE w:val="0"/>
        <w:autoSpaceDN w:val="0"/>
        <w:adjustRightInd w:val="0"/>
        <w:spacing w:before="29" w:line="288" w:lineRule="auto"/>
        <w:jc w:val="right"/>
        <w:rPr>
          <w:color w:val="000000"/>
          <w:kern w:val="0"/>
          <w:sz w:val="24"/>
        </w:rPr>
      </w:pPr>
      <w:r w:rsidRPr="001A5E45">
        <w:rPr>
          <w:rFonts w:hint="eastAsia"/>
          <w:color w:val="000000"/>
          <w:kern w:val="0"/>
          <w:sz w:val="24"/>
        </w:rPr>
        <w:lastRenderedPageBreak/>
        <w:t/>
      </w:r>
      <w:r w:rsidRPr="001A5E45">
        <w:rPr>
          <w:rFonts w:hint="eastAsia"/>
          <w:color w:val="000000"/>
          <w:kern w:val="0"/>
          <w:sz w:val="24"/>
        </w:rPr>
        <w:t>金额单位：人民币元</w:t>
      </w:r>
    </w:p>
    <w:tbl>
      <w:tblPr>
        <w:tblStyle w:val="af2"/>
        <w:tblW w:type="dxa" w:w="8868"/>
        <w:jc w:val="center"/>
        <w:tblLayout w:type="fixed"/>
        <w:tblCellMar>
          <w:top w:type="dxa" w:w="57"/>
          <w:bottom w:type="dxa" w:w="57"/>
        </w:tblCellMar>
        <w:tblLook w:firstColumn="1" w:firstRow="1" w:lastColumn="0" w:lastRow="0" w:noHBand="0" w:noVBand="1" w:val="04A0"/>
      </w:tblPr>
      <w:tblGrid>
        <w:gridCol w:w="1075"/>
        <w:gridCol w:w="1533"/>
        <w:gridCol w:w="1533"/>
        <w:gridCol w:w="1394"/>
        <w:gridCol w:w="1944"/>
        <w:gridCol w:w="1389"/>
      </w:tblGrid>
      <w:tr w:rsidR="00685FFC" w:rsidRPr="007F52FA" w:rsidTr="00B236A5">
        <w:trPr>
          <w:jc w:val="center"/>
        </w:trPr>
        <w:tc>
          <w:tcPr>
            <w:tcW w:type="dxa" w:w="109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type="dxa" w:w="1420"/>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type="dxa" w:w="198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type="dxa" w:w="141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102002101</w:t>
            </w:r>
          </w:p>
        </w:tc>
        <w:tc>
          <w:tcPr>
            <w:vAlign w:val="center"/>
          </w:tcPr>
          <w:p>
            <w:pPr>
              <w:jc w:val="center"/>
            </w:pPr>
            <w:r>
              <w:rPr>
                <w:color w:val="000000"/>
                <w:sz w:val="24"/>
              </w:rPr>
              <w:t>20科学广州MTN001</w:t>
            </w:r>
          </w:p>
        </w:tc>
        <w:tc>
          <w:tcPr>
            <w:vAlign w:val="center"/>
          </w:tcPr>
          <w:p>
            <w:pPr>
              <w:jc w:val="right"/>
            </w:pPr>
            <w:r>
              <w:rPr>
                <w:color w:val="000000"/>
                <w:sz w:val="24"/>
              </w:rPr>
              <w:t>500,000</w:t>
            </w:r>
          </w:p>
        </w:tc>
        <w:tc>
          <w:tcPr>
            <w:vAlign w:val="center"/>
          </w:tcPr>
          <w:p>
            <w:pPr>
              <w:jc w:val="right"/>
            </w:pPr>
            <w:r>
              <w:rPr>
                <w:color w:val="000000"/>
                <w:sz w:val="24"/>
              </w:rPr>
              <w:t>49,835,000.00</w:t>
            </w:r>
          </w:p>
        </w:tc>
        <w:tc>
          <w:tcPr>
            <w:vAlign w:val="center"/>
          </w:tcPr>
          <w:p>
            <w:pPr>
              <w:jc w:val="right"/>
            </w:pPr>
            <w:r>
              <w:rPr>
                <w:color w:val="000000"/>
                <w:sz w:val="24"/>
              </w:rPr>
              <w:t>4.63</w:t>
            </w:r>
          </w:p>
        </w:tc>
      </w:tr>
      <w:tr>
        <w:tc>
          <w:tcPr>
            <w:vAlign w:val="center"/>
          </w:tcPr>
          <w:p>
            <w:pPr>
              <w:jc w:val="center"/>
            </w:pPr>
            <w:r>
              <w:rPr>
                <w:color w:val="000000"/>
                <w:sz w:val="24"/>
              </w:rPr>
              <w:t>2</w:t>
            </w:r>
          </w:p>
        </w:tc>
        <w:tc>
          <w:tcPr>
            <w:vAlign w:val="center"/>
          </w:tcPr>
          <w:p>
            <w:pPr>
              <w:jc w:val="center"/>
            </w:pPr>
            <w:r>
              <w:rPr>
                <w:color w:val="000000"/>
                <w:sz w:val="24"/>
              </w:rPr>
              <w:t>200309</w:t>
            </w:r>
          </w:p>
        </w:tc>
        <w:tc>
          <w:tcPr>
            <w:vAlign w:val="center"/>
          </w:tcPr>
          <w:p>
            <w:pPr>
              <w:jc w:val="center"/>
            </w:pPr>
            <w:r>
              <w:rPr>
                <w:color w:val="000000"/>
                <w:sz w:val="24"/>
              </w:rPr>
              <w:t>20进出09</w:t>
            </w:r>
          </w:p>
        </w:tc>
        <w:tc>
          <w:tcPr>
            <w:vAlign w:val="center"/>
          </w:tcPr>
          <w:p>
            <w:pPr>
              <w:jc w:val="right"/>
            </w:pPr>
            <w:r>
              <w:rPr>
                <w:color w:val="000000"/>
                <w:sz w:val="24"/>
              </w:rPr>
              <w:t>400,000</w:t>
            </w:r>
          </w:p>
        </w:tc>
        <w:tc>
          <w:tcPr>
            <w:vAlign w:val="center"/>
          </w:tcPr>
          <w:p>
            <w:pPr>
              <w:jc w:val="right"/>
            </w:pPr>
            <w:r>
              <w:rPr>
                <w:color w:val="000000"/>
                <w:sz w:val="24"/>
              </w:rPr>
              <w:t>39,992,000.00</w:t>
            </w:r>
          </w:p>
        </w:tc>
        <w:tc>
          <w:tcPr>
            <w:vAlign w:val="center"/>
          </w:tcPr>
          <w:p>
            <w:pPr>
              <w:jc w:val="right"/>
            </w:pPr>
            <w:r>
              <w:rPr>
                <w:color w:val="000000"/>
                <w:sz w:val="24"/>
              </w:rPr>
              <w:t>3.72</w:t>
            </w:r>
          </w:p>
        </w:tc>
      </w:tr>
      <w:tr>
        <w:tc>
          <w:tcPr>
            <w:vAlign w:val="center"/>
          </w:tcPr>
          <w:p>
            <w:pPr>
              <w:jc w:val="center"/>
            </w:pPr>
            <w:r>
              <w:rPr>
                <w:color w:val="000000"/>
                <w:sz w:val="24"/>
              </w:rPr>
              <w:t>3</w:t>
            </w:r>
          </w:p>
        </w:tc>
        <w:tc>
          <w:tcPr>
            <w:vAlign w:val="center"/>
          </w:tcPr>
          <w:p>
            <w:pPr>
              <w:jc w:val="center"/>
            </w:pPr>
            <w:r>
              <w:rPr>
                <w:color w:val="000000"/>
                <w:sz w:val="24"/>
              </w:rPr>
              <w:t>102001953</w:t>
            </w:r>
          </w:p>
        </w:tc>
        <w:tc>
          <w:tcPr>
            <w:vAlign w:val="center"/>
          </w:tcPr>
          <w:p>
            <w:pPr>
              <w:jc w:val="center"/>
            </w:pPr>
            <w:r>
              <w:rPr>
                <w:color w:val="000000"/>
                <w:sz w:val="24"/>
              </w:rPr>
              <w:t>20浦口康居MTN005</w:t>
            </w:r>
          </w:p>
        </w:tc>
        <w:tc>
          <w:tcPr>
            <w:vAlign w:val="center"/>
          </w:tcPr>
          <w:p>
            <w:pPr>
              <w:jc w:val="right"/>
            </w:pPr>
            <w:r>
              <w:rPr>
                <w:color w:val="000000"/>
                <w:sz w:val="24"/>
              </w:rPr>
              <w:t>400,000</w:t>
            </w:r>
          </w:p>
        </w:tc>
        <w:tc>
          <w:tcPr>
            <w:vAlign w:val="center"/>
          </w:tcPr>
          <w:p>
            <w:pPr>
              <w:jc w:val="right"/>
            </w:pPr>
            <w:r>
              <w:rPr>
                <w:color w:val="000000"/>
                <w:sz w:val="24"/>
              </w:rPr>
              <w:t>39,712,000.00</w:t>
            </w:r>
          </w:p>
        </w:tc>
        <w:tc>
          <w:tcPr>
            <w:vAlign w:val="center"/>
          </w:tcPr>
          <w:p>
            <w:pPr>
              <w:jc w:val="right"/>
            </w:pPr>
            <w:r>
              <w:rPr>
                <w:color w:val="000000"/>
                <w:sz w:val="24"/>
              </w:rPr>
              <w:t>3.69</w:t>
            </w:r>
          </w:p>
        </w:tc>
      </w:tr>
      <w:tr>
        <w:tc>
          <w:tcPr>
            <w:vAlign w:val="center"/>
          </w:tcPr>
          <w:p>
            <w:pPr>
              <w:jc w:val="center"/>
            </w:pPr>
            <w:r>
              <w:rPr>
                <w:color w:val="000000"/>
                <w:sz w:val="24"/>
              </w:rPr>
              <w:t>4</w:t>
            </w:r>
          </w:p>
        </w:tc>
        <w:tc>
          <w:tcPr>
            <w:vAlign w:val="center"/>
          </w:tcPr>
          <w:p>
            <w:pPr>
              <w:jc w:val="center"/>
            </w:pPr>
            <w:r>
              <w:rPr>
                <w:color w:val="000000"/>
                <w:sz w:val="24"/>
              </w:rPr>
              <w:t>102000560</w:t>
            </w:r>
          </w:p>
        </w:tc>
        <w:tc>
          <w:tcPr>
            <w:vAlign w:val="center"/>
          </w:tcPr>
          <w:p>
            <w:pPr>
              <w:jc w:val="center"/>
            </w:pPr>
            <w:r>
              <w:rPr>
                <w:color w:val="000000"/>
                <w:sz w:val="24"/>
              </w:rPr>
              <w:t>20镜湖开发MTN001</w:t>
            </w:r>
          </w:p>
        </w:tc>
        <w:tc>
          <w:tcPr>
            <w:vAlign w:val="center"/>
          </w:tcPr>
          <w:p>
            <w:pPr>
              <w:jc w:val="right"/>
            </w:pPr>
            <w:r>
              <w:rPr>
                <w:color w:val="000000"/>
                <w:sz w:val="24"/>
              </w:rPr>
              <w:t>400,000</w:t>
            </w:r>
          </w:p>
        </w:tc>
        <w:tc>
          <w:tcPr>
            <w:vAlign w:val="center"/>
          </w:tcPr>
          <w:p>
            <w:pPr>
              <w:jc w:val="right"/>
            </w:pPr>
            <w:r>
              <w:rPr>
                <w:color w:val="000000"/>
                <w:sz w:val="24"/>
              </w:rPr>
              <w:t>39,512,000.00</w:t>
            </w:r>
          </w:p>
        </w:tc>
        <w:tc>
          <w:tcPr>
            <w:vAlign w:val="center"/>
          </w:tcPr>
          <w:p>
            <w:pPr>
              <w:jc w:val="right"/>
            </w:pPr>
            <w:r>
              <w:rPr>
                <w:color w:val="000000"/>
                <w:sz w:val="24"/>
              </w:rPr>
              <w:t>3.67</w:t>
            </w:r>
          </w:p>
        </w:tc>
      </w:tr>
      <w:tr>
        <w:tc>
          <w:tcPr>
            <w:vAlign w:val="center"/>
          </w:tcPr>
          <w:p>
            <w:pPr>
              <w:jc w:val="center"/>
            </w:pPr>
            <w:r>
              <w:rPr>
                <w:color w:val="000000"/>
                <w:sz w:val="24"/>
              </w:rPr>
              <w:t>5</w:t>
            </w:r>
          </w:p>
        </w:tc>
        <w:tc>
          <w:tcPr>
            <w:vAlign w:val="center"/>
          </w:tcPr>
          <w:p>
            <w:pPr>
              <w:jc w:val="center"/>
            </w:pPr>
            <w:r>
              <w:rPr>
                <w:color w:val="000000"/>
                <w:sz w:val="24"/>
              </w:rPr>
              <w:t>102001966</w:t>
            </w:r>
          </w:p>
        </w:tc>
        <w:tc>
          <w:tcPr>
            <w:vAlign w:val="center"/>
          </w:tcPr>
          <w:p>
            <w:pPr>
              <w:jc w:val="center"/>
            </w:pPr>
            <w:r>
              <w:rPr>
                <w:color w:val="000000"/>
                <w:sz w:val="24"/>
              </w:rPr>
              <w:t>20连云城建MTN004</w:t>
            </w:r>
          </w:p>
        </w:tc>
        <w:tc>
          <w:tcPr>
            <w:vAlign w:val="center"/>
          </w:tcPr>
          <w:p>
            <w:pPr>
              <w:jc w:val="right"/>
            </w:pPr>
            <w:r>
              <w:rPr>
                <w:color w:val="000000"/>
                <w:sz w:val="24"/>
              </w:rPr>
              <w:t>400,000</w:t>
            </w:r>
          </w:p>
        </w:tc>
        <w:tc>
          <w:tcPr>
            <w:vAlign w:val="center"/>
          </w:tcPr>
          <w:p>
            <w:pPr>
              <w:jc w:val="right"/>
            </w:pPr>
            <w:r>
              <w:rPr>
                <w:color w:val="000000"/>
                <w:sz w:val="24"/>
              </w:rPr>
              <w:t>39,504,000.00</w:t>
            </w:r>
          </w:p>
        </w:tc>
        <w:tc>
          <w:tcPr>
            <w:vAlign w:val="center"/>
          </w:tcPr>
          <w:p>
            <w:pPr>
              <w:jc w:val="right"/>
            </w:pPr>
            <w:r>
              <w:rPr>
                <w:color w:val="000000"/>
                <w:sz w:val="24"/>
              </w:rPr>
              <w:t>3.67</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P="00085115" w:rsidR="00085115" w:rsidRDefault="00085115" w:rsidRPr="00085115">
      <w:pPr>
        <w:autoSpaceDE w:val="0"/>
        <w:autoSpaceDN w:val="0"/>
        <w:adjustRightInd w:val="0"/>
        <w:spacing w:before="29" w:line="288" w:lineRule="auto"/>
        <w:jc w:val="right"/>
        <w:rPr>
          <w:color w:val="000000"/>
          <w:kern w:val="0"/>
          <w:sz w:val="24"/>
        </w:rPr>
      </w:pPr>
      <w:r w:rsidRPr="00085115">
        <w:rPr>
          <w:rFonts w:hint="eastAsia"/>
          <w:color w:val="000000"/>
          <w:kern w:val="0"/>
          <w:sz w:val="24"/>
        </w:rPr>
        <w:t/>
      </w:r>
      <w:r w:rsidRPr="00085115">
        <w:rPr>
          <w:rFonts w:hint="eastAsia"/>
          <w:color w:val="000000"/>
          <w:kern w:val="0"/>
          <w:sz w:val="24"/>
        </w:rPr>
        <w:t>金额单位：人民币元</w:t>
      </w:r>
    </w:p>
    <w:tbl>
      <w:tblPr>
        <w:tblStyle w:val="af2"/>
        <w:tblW w:type="dxa" w:w="8868"/>
        <w:jc w:val="center"/>
        <w:tblCellMar>
          <w:top w:type="dxa" w:w="57"/>
          <w:bottom w:type="dxa" w:w="57"/>
        </w:tblCellMar>
        <w:tblLook w:firstColumn="1" w:firstRow="1" w:lastColumn="0" w:lastRow="0" w:noHBand="0" w:noVBand="1" w:val="04A0"/>
      </w:tblPr>
      <w:tblGrid>
        <w:gridCol w:w="1491"/>
        <w:gridCol w:w="1491"/>
        <w:gridCol w:w="1491"/>
        <w:gridCol w:w="1599"/>
        <w:gridCol w:w="1599"/>
        <w:gridCol w:w="1571"/>
      </w:tblGrid>
      <w:tr w:rsidR="009A0513" w:rsidRPr="007F52FA" w:rsidTr="00B236A5">
        <w:trPr>
          <w:jc w:val="center"/>
        </w:trPr>
        <w:tc>
          <w:tcPr>
            <w:tcW w:type="dxa" w:w="1504"/>
            <w:vAlign w:val="center"/>
          </w:tcPr>
          <w:p w:rsidP="007C14DF" w:rsidR="009A0513" w:rsidRDefault="009A0513"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type="dxa" w:w="1504"/>
            <w:vAlign w:val="center"/>
          </w:tcPr>
          <w:p w:rsidP="007C14DF" w:rsidR="009A0513" w:rsidRDefault="009A0513"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type="dxa" w:w="1504"/>
            <w:vAlign w:val="center"/>
          </w:tcPr>
          <w:p w:rsidP="007C14DF" w:rsidR="009A0513" w:rsidRDefault="009A0513"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type="dxa" w:w="1503"/>
            <w:vAlign w:val="center"/>
          </w:tcPr>
          <w:p w:rsidP="005324E6" w:rsidR="009A0513" w:rsidRDefault="009A0513"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1315E1">
              <w:rPr>
                <w:rFonts w:hint="eastAsia"/>
                <w:color w:val="000000"/>
                <w:kern w:val="0"/>
                <w:sz w:val="24"/>
              </w:rPr>
              <w:t>(</w:t>
            </w:r>
            <w:r w:rsidR="001315E1">
              <w:rPr>
                <w:rFonts w:hint="eastAsia"/>
                <w:color w:val="000000"/>
                <w:kern w:val="0"/>
                <w:sz w:val="24"/>
              </w:rPr>
              <w:t>份</w:t>
            </w:r>
            <w:r w:rsidR="001315E1">
              <w:rPr>
                <w:rFonts w:hint="eastAsia"/>
                <w:color w:val="000000"/>
                <w:kern w:val="0"/>
                <w:sz w:val="24"/>
              </w:rPr>
              <w:t>)</w:t>
            </w:r>
          </w:p>
        </w:tc>
        <w:tc>
          <w:tcPr>
            <w:tcW w:type="dxa" w:w="1503"/>
            <w:vAlign w:val="center"/>
          </w:tcPr>
          <w:p w:rsidP="00430A5C" w:rsidR="009A0513" w:rsidRDefault="009A0513"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430A5C">
              <w:rPr>
                <w:rFonts w:hint="eastAsia"/>
                <w:color w:val="000000"/>
                <w:kern w:val="0"/>
                <w:sz w:val="24"/>
              </w:rPr>
              <w:t>(</w:t>
            </w:r>
            <w:r w:rsidR="00430A5C">
              <w:rPr>
                <w:rFonts w:hint="eastAsia"/>
                <w:color w:val="000000"/>
                <w:kern w:val="0"/>
                <w:sz w:val="24"/>
              </w:rPr>
              <w:t>元</w:t>
            </w:r>
            <w:r w:rsidR="00430A5C">
              <w:rPr>
                <w:color w:val="000000"/>
                <w:kern w:val="0"/>
                <w:sz w:val="24"/>
              </w:rPr>
              <w:t>)</w:t>
            </w:r>
          </w:p>
        </w:tc>
        <w:tc>
          <w:tcPr>
            <w:tcW w:type="dxa" w:w="1503"/>
            <w:vAlign w:val="center"/>
          </w:tcPr>
          <w:p w:rsidP="007C14DF" w:rsidR="009A0513" w:rsidRDefault="009A0513"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87122">
              <w:rPr>
                <w:rFonts w:hint="eastAsia"/>
                <w:color w:val="000000"/>
                <w:kern w:val="0"/>
                <w:sz w:val="24"/>
              </w:rPr>
              <w:t>(</w:t>
            </w:r>
            <w:r w:rsidR="00187122">
              <w:rPr>
                <w:color w:val="000000"/>
                <w:kern w:val="0"/>
                <w:sz w:val="24"/>
              </w:rPr>
              <w:t>%</w:t>
            </w:r>
            <w:r w:rsidR="00187122">
              <w:rPr>
                <w:rFonts w:hint="eastAsia"/>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169525</w:t>
            </w:r>
          </w:p>
        </w:tc>
        <w:tc>
          <w:tcPr>
            <w:vAlign w:val="center"/>
          </w:tcPr>
          <w:p>
            <w:pPr>
              <w:jc w:val="center"/>
            </w:pPr>
            <w:r>
              <w:rPr>
                <w:color w:val="000000"/>
                <w:sz w:val="24"/>
              </w:rPr>
              <w:t>兴辰03A</w:t>
            </w:r>
          </w:p>
        </w:tc>
        <w:tc>
          <w:tcPr>
            <w:vAlign w:val="center"/>
          </w:tcPr>
          <w:p>
            <w:pPr>
              <w:jc w:val="right"/>
            </w:pPr>
            <w:r>
              <w:rPr>
                <w:color w:val="000000"/>
                <w:sz w:val="24"/>
              </w:rPr>
              <w:t>300,000</w:t>
            </w:r>
          </w:p>
        </w:tc>
        <w:tc>
          <w:tcPr>
            <w:vAlign w:val="center"/>
          </w:tcPr>
          <w:p>
            <w:pPr>
              <w:jc w:val="right"/>
            </w:pPr>
            <w:r>
              <w:rPr>
                <w:color w:val="000000"/>
                <w:sz w:val="24"/>
              </w:rPr>
              <w:t>30,027,000.00</w:t>
            </w:r>
          </w:p>
        </w:tc>
        <w:tc>
          <w:tcPr>
            <w:vAlign w:val="center"/>
          </w:tcPr>
          <w:p>
            <w:pPr>
              <w:jc w:val="right"/>
            </w:pPr>
            <w:r>
              <w:rPr>
                <w:color w:val="000000"/>
                <w:sz w:val="24"/>
              </w:rPr>
              <w:t>2.79</w:t>
            </w:r>
          </w:p>
        </w:tc>
      </w:tr>
      <w:tr>
        <w:tc>
          <w:tcPr>
            <w:vAlign w:val="center"/>
          </w:tcPr>
          <w:p>
            <w:pPr>
              <w:jc w:val="center"/>
            </w:pPr>
            <w:r>
              <w:rPr>
                <w:color w:val="000000"/>
                <w:sz w:val="24"/>
              </w:rPr>
              <w:t>2</w:t>
            </w:r>
          </w:p>
        </w:tc>
        <w:tc>
          <w:tcPr>
            <w:vAlign w:val="center"/>
          </w:tcPr>
          <w:p>
            <w:pPr>
              <w:jc w:val="center"/>
            </w:pPr>
            <w:r>
              <w:rPr>
                <w:color w:val="000000"/>
                <w:sz w:val="24"/>
              </w:rPr>
              <w:t>169616</w:t>
            </w:r>
          </w:p>
        </w:tc>
        <w:tc>
          <w:tcPr>
            <w:vAlign w:val="center"/>
          </w:tcPr>
          <w:p>
            <w:pPr>
              <w:jc w:val="center"/>
            </w:pPr>
            <w:r>
              <w:rPr>
                <w:color w:val="000000"/>
                <w:sz w:val="24"/>
              </w:rPr>
              <w:t>20安吉8A</w:t>
            </w:r>
          </w:p>
        </w:tc>
        <w:tc>
          <w:tcPr>
            <w:vAlign w:val="center"/>
          </w:tcPr>
          <w:p>
            <w:pPr>
              <w:jc w:val="right"/>
            </w:pPr>
            <w:r>
              <w:rPr>
                <w:color w:val="000000"/>
                <w:sz w:val="24"/>
              </w:rPr>
              <w:t>190,000</w:t>
            </w:r>
          </w:p>
        </w:tc>
        <w:tc>
          <w:tcPr>
            <w:vAlign w:val="center"/>
          </w:tcPr>
          <w:p>
            <w:pPr>
              <w:jc w:val="right"/>
            </w:pPr>
            <w:r>
              <w:rPr>
                <w:color w:val="000000"/>
                <w:sz w:val="24"/>
              </w:rPr>
              <w:t>16,961,300.00</w:t>
            </w:r>
          </w:p>
        </w:tc>
        <w:tc>
          <w:tcPr>
            <w:vAlign w:val="center"/>
          </w:tcPr>
          <w:p>
            <w:pPr>
              <w:jc w:val="right"/>
            </w:pPr>
            <w:r>
              <w:rPr>
                <w:color w:val="000000"/>
                <w:sz w:val="24"/>
              </w:rPr>
              <w:t>1.58</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P="007C14DF" w:rsidR="00680BCE" w:rsidRDefault="00680BCE" w:rsidRPr="007F52FA">
      <w:pPr>
        <w:autoSpaceDE w:val="0"/>
        <w:autoSpaceDN w:val="0"/>
        <w:adjustRightInd w:val="0"/>
        <w:spacing w:before="29" w:line="288" w:lineRule="auto"/>
        <w:ind w:firstLine="120" w:firstLineChars="50"/>
        <w:jc w:val="left"/>
        <w:rPr>
          <w:sz w:val="24"/>
        </w:rPr>
      </w:pPr>
      <w:r w:rsidRPr="007F52FA">
        <w:rPr>
          <w:sz w:val="24"/>
        </w:rPr>
        <w:t>本基金本报告期末未持有贵金属。</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A621E1" w:rsidRPr="007F52FA">
      <w:pPr>
        <w:autoSpaceDE w:val="0"/>
        <w:autoSpaceDN w:val="0"/>
        <w:adjustRightInd w:val="0"/>
        <w:spacing w:before="29" w:line="288" w:lineRule="auto"/>
        <w:jc w:val="left"/>
        <w:rPr>
          <w:b/>
          <w:color w:val="000000"/>
          <w:kern w:val="0"/>
          <w:sz w:val="24"/>
        </w:rPr>
      </w:pPr>
      <w:r w:rsidRPr="007F52FA">
        <w:rPr>
          <w:b/>
          <w:color w:val="000000"/>
          <w:kern w:val="0"/>
          <w:sz w:val="24"/>
        </w:rPr>
        <w:t/>
      </w:r>
      <w:r w:rsidR="001D5CD0" w:rsidRPr="007F52FA">
        <w:rPr>
          <w:b/>
          <w:color w:val="000000"/>
          <w:kern w:val="0"/>
          <w:sz w:val="24"/>
        </w:rPr>
        <w:t>5</w:t>
      </w:r>
      <w:r w:rsidR="009238DB" w:rsidRPr="007F52FA">
        <w:rPr>
          <w:b/>
          <w:color w:val="000000"/>
          <w:kern w:val="0"/>
          <w:sz w:val="24"/>
        </w:rPr>
        <w:t>.</w:t>
      </w:r>
      <w:r w:rsidR="001D5CD0" w:rsidRPr="007F52FA">
        <w:rPr>
          <w:b/>
          <w:color w:val="000000"/>
          <w:kern w:val="0"/>
          <w:sz w:val="24"/>
        </w:rPr>
        <w:t/>
      </w:r>
      <w:r w:rsidR="00680BCE" w:rsidRPr="007F52FA">
        <w:rPr>
          <w:b/>
          <w:color w:val="000000"/>
          <w:kern w:val="0"/>
          <w:sz w:val="24"/>
        </w:rPr>
        <w:t/>
      </w:r>
      <w:r w:rsidR="001D5CD0"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P="007C14DF" w:rsidR="00C260A2" w:rsidRDefault="00C260A2" w:rsidRPr="007F52FA">
      <w:pPr>
        <w:autoSpaceDE w:val="0"/>
        <w:autoSpaceDN w:val="0"/>
        <w:adjustRightInd w:val="0"/>
        <w:spacing w:before="29" w:line="288" w:lineRule="auto"/>
        <w:jc w:val="left"/>
        <w:rPr>
          <w:color w:val="000000"/>
          <w:sz w:val="24"/>
        </w:rPr>
      </w:pPr>
      <w:r w:rsidRPr="007F52FA">
        <w:rPr>
          <w:color w:val="000000"/>
          <w:sz w:val="24"/>
        </w:rPr>
        <w:t/>
      </w:r>
      <w:r w:rsidR="00407F66" w:rsidRPr="007F52FA">
        <w:rPr>
          <w:color w:val="000000"/>
          <w:sz w:val="24"/>
        </w:rPr>
        <w:t/>
      </w:r>
      <w:r w:rsidRPr="007F52FA">
        <w:rPr>
          <w:color w:val="000000"/>
          <w:sz w:val="24"/>
        </w:rPr>
        <w:t>本基金本报告期末未持有权证。</w:t>
      </w:r>
    </w:p>
    <w:p w:rsidP="007C14DF" w:rsidR="001D5CD0" w:rsidRDefault="001D5CD0" w:rsidRPr="007F52FA">
      <w:pPr>
        <w:autoSpaceDE w:val="0"/>
        <w:autoSpaceDN w:val="0"/>
        <w:adjustRightInd w:val="0"/>
        <w:spacing w:before="29" w:line="288" w:lineRule="auto"/>
        <w:jc w:val="left"/>
        <w:rPr>
          <w:rFonts w:eastAsiaTheme="minorEastAsia"/>
          <w:color w:val="000000"/>
          <w:kern w:val="0"/>
          <w:sz w:val="24"/>
        </w:rPr>
      </w:pPr>
    </w:p>
    <w:p w:rsidP="007C14DF" w:rsidR="001D5CD0" w:rsidRDefault="001D5CD0" w:rsidRPr="007F52FA">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P="007C14DF" w:rsidR="001D5CD0" w:rsidRDefault="001D5CD0" w:rsidRPr="007F52FA">
      <w:pPr>
        <w:autoSpaceDE w:val="0"/>
        <w:autoSpaceDN w:val="0"/>
        <w:adjustRightInd w:val="0"/>
        <w:spacing w:before="29" w:line="288" w:lineRule="auto"/>
        <w:jc w:val="left"/>
        <w:rPr>
          <w:sz w:val="24"/>
        </w:rPr>
      </w:pPr>
      <w:r w:rsidRPr="007F52FA">
        <w:rPr>
          <w:sz w:val="24"/>
        </w:rPr>
        <w:t>本基金本报告期末未持有股指期货。</w:t>
      </w:r>
    </w:p>
    <w:p w:rsidP="007C14DF" w:rsidR="001D5CD0" w:rsidRDefault="001D5CD0" w:rsidRPr="007F52FA">
      <w:pPr>
        <w:autoSpaceDE w:val="0"/>
        <w:autoSpaceDN w:val="0"/>
        <w:adjustRightInd w:val="0"/>
        <w:spacing w:before="29" w:line="288" w:lineRule="auto"/>
        <w:jc w:val="left"/>
        <w:rPr>
          <w:b/>
          <w:sz w:val="24"/>
        </w:rPr>
      </w:pPr>
    </w:p>
    <w:p w:rsidP="007C14DF" w:rsidR="00A7062E" w:rsidRDefault="001D5CD0" w:rsidRPr="007F52FA">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P="007C14DF" w:rsidR="00DB56EC" w:rsidRDefault="00DB56EC" w:rsidRPr="007F52FA">
      <w:pPr>
        <w:autoSpaceDE w:val="0"/>
        <w:autoSpaceDN w:val="0"/>
        <w:adjustRightInd w:val="0"/>
        <w:spacing w:before="29" w:line="288" w:lineRule="auto"/>
        <w:jc w:val="left"/>
        <w:rPr>
          <w:rFonts w:eastAsiaTheme="minorEastAsia"/>
          <w:sz w:val="24"/>
        </w:rPr>
      </w:pPr>
    </w:p>
    <w:p w:rsidP="007C14DF" w:rsidR="001D5CD0" w:rsidRDefault="001D5CD0" w:rsidRPr="007F52FA">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P="00A0678E" w:rsidR="00384E65" w:rsidRDefault="00384E65" w:rsidRPr="00384E65">
      <w:pPr>
        <w:autoSpaceDE w:val="0"/>
        <w:autoSpaceDN w:val="0"/>
        <w:adjustRightInd w:val="0"/>
        <w:spacing w:before="29" w:line="288" w:lineRule="auto"/>
        <w:rPr>
          <w:kern w:val="0"/>
          <w:sz w:val="24"/>
        </w:rPr>
      </w:pPr>
      <w:r w:rsidRPr="00885AD9">
        <w:rPr>
          <w:b/>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P="00A0678E" w:rsidR="00384E65" w:rsidRDefault="00384E65" w:rsidRPr="00384E65">
      <w:pPr>
        <w:autoSpaceDE w:val="0"/>
        <w:autoSpaceDN w:val="0"/>
        <w:adjustRightInd w:val="0"/>
        <w:spacing w:before="29" w:line="288" w:lineRule="auto"/>
        <w:rPr>
          <w:kern w:val="0"/>
          <w:sz w:val="24"/>
        </w:rPr>
      </w:pPr>
      <w:r w:rsidRPr="00885AD9">
        <w:rPr>
          <w:b/>
          <w:kern w:val="0"/>
          <w:sz w:val="24"/>
        </w:rPr>
        <w:t>5.11.2</w:t>
      </w:r>
      <w:r w:rsidRPr="00384E65">
        <w:rPr>
          <w:kern w:val="0"/>
          <w:sz w:val="24"/>
        </w:rPr>
        <w:t>本基金投资的前十名股票中，没有超出基金合同规定的备选股票库之外的股票。</w:t>
      </w:r>
    </w:p>
    <w:p w:rsidP="007C14DF" w:rsidR="001D5CD0" w:rsidRDefault="001D5CD0">
      <w:pPr>
        <w:autoSpaceDE w:val="0"/>
        <w:autoSpaceDN w:val="0"/>
        <w:adjustRightInd w:val="0"/>
        <w:spacing w:before="29" w:line="288" w:lineRule="auto"/>
        <w:rPr>
          <w:kern w:val="0"/>
          <w:sz w:val="24"/>
        </w:rPr>
      </w:pPr>
      <w:bookmarkStart w:id="2" w:name="_GoBack"/>
      <w:r w:rsidRPr="00885AD9">
        <w:rPr>
          <w:b/>
          <w:kern w:val="0"/>
          <w:sz w:val="24"/>
        </w:rPr>
        <w:t>5.11.3</w:t>
      </w:r>
      <w:bookmarkEnd w:id="2"/>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P="006B32A4" w:rsidR="006B32A4" w:rsidRDefault="00C33577" w:rsidRPr="007F52FA">
      <w:pPr>
        <w:autoSpaceDE w:val="0"/>
        <w:autoSpaceDN w:val="0"/>
        <w:adjustRightInd w:val="0"/>
        <w:spacing w:before="29" w:line="288" w:lineRule="auto"/>
        <w:jc w:val="right"/>
        <w:rPr>
          <w:kern w:val="0"/>
          <w:sz w:val="24"/>
        </w:rPr>
      </w:pPr>
      <w:r w:rsidRPr="00C33577">
        <w:rPr>
          <w:rFonts w:hint="eastAsia"/>
          <w:kern w:val="0"/>
          <w:sz w:val="24"/>
        </w:rPr>
        <w:t/>
      </w:r>
      <w:r w:rsidRPr="00C33577">
        <w:rPr>
          <w:rFonts w:hint="eastAsia"/>
          <w:kern w:val="0"/>
          <w:sz w:val="24"/>
        </w:rPr>
        <w:t>金额单位：人民币元</w:t>
      </w:r>
    </w:p>
    <w:tbl>
      <w:tblPr>
        <w:tblStyle w:val="af2"/>
        <w:tblW w:type="dxa" w:w="8868"/>
        <w:jc w:val="center"/>
        <w:tblLook w:firstColumn="1" w:firstRow="1" w:lastColumn="0" w:lastRow="0" w:noHBand="0" w:noVBand="1" w:val="04A0"/>
      </w:tblPr>
      <w:tblGrid>
        <w:gridCol w:w="1260"/>
        <w:gridCol w:w="2706"/>
        <w:gridCol w:w="4902"/>
      </w:tblGrid>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type="dxa" w:w="281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type="dxa" w:w="490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lastRenderedPageBreak/>
              <w:t>2</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3</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4</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18,964,357.77</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5</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1,920,603.41</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6</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7</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8</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9</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20,884,961.18</w:t>
            </w:r>
          </w:p>
        </w:tc>
      </w:tr>
    </w:tbl>
    <w:p w:rsidP="007C14DF" w:rsidR="001D5CD0" w:rsidRDefault="001D5CD0" w:rsidRPr="007F52FA">
      <w:pPr>
        <w:autoSpaceDE w:val="0"/>
        <w:autoSpaceDN w:val="0"/>
        <w:adjustRightInd w:val="0"/>
        <w:spacing w:before="29" w:line="288" w:lineRule="auto"/>
        <w:jc w:val="left"/>
        <w:rPr>
          <w:sz w:val="24"/>
        </w:rPr>
      </w:pPr>
    </w:p>
    <w:p w:rsidP="007C14DF" w:rsidR="001D5CD0" w:rsidRDefault="001D5CD0" w:rsidRPr="00143E9C">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P="007C14DF" w:rsidR="001D5CD0" w:rsidRDefault="001D5CD0" w:rsidRPr="00143E9C">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期末前十名股票中存在流通受限情况的说明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lastRenderedPageBreak/>
        <w:t>本基金本报告期末未持有股票。</w:t>
      </w:r>
    </w:p>
    <w:p w:rsidP="007C14DF" w:rsidR="001D5CD0" w:rsidRDefault="001D5CD0" w:rsidRPr="00901A22">
      <w:pPr>
        <w:spacing w:before="29" w:line="288" w:lineRule="auto"/>
        <w:rPr>
          <w:rFonts w:eastAsiaTheme="minorEastAsia"/>
          <w:b/>
          <w:color w:val="000000"/>
          <w:kern w:val="0"/>
          <w:sz w:val="24"/>
        </w:rPr>
      </w:pPr>
      <w:r w:rsidRPr="00901A22">
        <w:rPr>
          <w:rFonts w:eastAsiaTheme="minorEastAsia"/>
          <w:b/>
          <w:color w:val="000000"/>
          <w:kern w:val="0"/>
          <w:sz w:val="24"/>
        </w:rPr>
        <w:t/>
      </w: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P="00A0678E" w:rsidR="001D5CD0" w:rsidRDefault="001D5CD0" w:rsidRPr="007F52FA">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P="007C14DF" w:rsidR="00EB27DE" w:rsidRDefault="00EB27DE" w:rsidRPr="007F52FA">
      <w:pPr>
        <w:spacing w:before="29" w:line="288" w:lineRule="auto"/>
        <w:rPr>
          <w:rFonts w:eastAsiaTheme="minorEastAsia"/>
          <w:color w:val="000000"/>
          <w:sz w:val="24"/>
        </w:rPr>
      </w:pPr>
    </w:p>
    <w:p w:rsidP="000A2988" w:rsidR="009238DB" w:rsidRDefault="00C51B4E" w:rsidRPr="007F52FA">
      <w:pPr>
        <w:pStyle w:val="1"/>
        <w:spacing w:after="312" w:afterLines="100" w:before="312" w:beforeLines="100" w:line="288" w:lineRule="auto"/>
        <w:jc w:val="center"/>
        <w:rPr>
          <w:rFonts w:eastAsiaTheme="minorEastAsia"/>
          <w:color w:val="000000"/>
          <w:kern w:val="0"/>
          <w:sz w:val="24"/>
          <w:szCs w:val="24"/>
        </w:rPr>
      </w:pPr>
      <w:r w:rsidRPr="00C51B4E">
        <w:rPr>
          <w:rFonts w:eastAsiaTheme="minorEastAsia"/>
          <w:color w:themeColor="text1" w:val="000000"/>
          <w:kern w:val="0"/>
          <w:sz w:val="21"/>
          <w:szCs w:val="21"/>
        </w:rPr>
        <w:t>§6</w:t>
      </w:r>
      <w:r w:rsidRPr="00C51B4E">
        <w:rPr>
          <w:rFonts w:eastAsiaTheme="minorEastAsia" w:hint="eastAsia"/>
          <w:color w:themeColor="text1" w:val="000000"/>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P="007C14DF" w:rsidR="009238DB" w:rsidRDefault="009238DB" w:rsidRPr="007F52FA">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type="dxa" w:w="8868"/>
        <w:jc w:val="center"/>
        <w:tblLayout w:type="fixed"/>
        <w:tblLook w:firstColumn="0" w:firstRow="0" w:lastColumn="0" w:lastRow="0" w:noHBand="0" w:noVBand="0" w:val="0000"/>
      </w:tblPr>
      <w:tblGrid>
        <w:gridCol w:w="4006"/>
        <w:gridCol w:w="2431"/>
        <w:gridCol w:w="2431"/>
      </w:tblGrid>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2785F" w:rsidRPr="007F52FA">
              <w:rPr>
                <w:rFonts w:eastAsiaTheme="minorEastAsia"/>
                <w:sz w:val="24"/>
              </w:rPr>
              <w:t>交银稳利中短债债券A</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D614E" w:rsidRPr="007F52FA">
              <w:rPr>
                <w:rFonts w:eastAsiaTheme="minorEastAsia"/>
                <w:sz w:val="24"/>
              </w:rPr>
              <w:t/>
            </w:r>
            <w:r w:rsidR="0042785F" w:rsidRPr="007F52FA">
              <w:rPr>
                <w:rFonts w:eastAsiaTheme="minorEastAsia"/>
                <w:sz w:val="24"/>
              </w:rPr>
              <w:t>交银稳利中短债债券C</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42785F" w:rsidRPr="007F52FA">
              <w:rPr>
                <w:rFonts w:eastAsiaTheme="minorEastAsia"/>
                <w:color w:val="000000"/>
                <w:sz w:val="24"/>
              </w:rPr>
              <w:t>880,945,854.33</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EA1D33" w:rsidRPr="007F52FA">
              <w:rPr>
                <w:rFonts w:eastAsiaTheme="minorEastAsia"/>
                <w:color w:val="000000"/>
                <w:sz w:val="24"/>
              </w:rPr>
              <w:t/>
            </w:r>
            <w:r w:rsidR="0042785F" w:rsidRPr="007F52FA">
              <w:rPr>
                <w:rFonts w:eastAsiaTheme="minorEastAsia"/>
                <w:color w:val="000000"/>
                <w:sz w:val="24"/>
              </w:rPr>
              <w:t>26,699,948.61</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276,366,450.76</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21,706,156.40</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140,230,879.13</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22,973,371.18</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896AC6"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
            </w:r>
            <w:r w:rsidR="0042785F" w:rsidRPr="007F52FA">
              <w:rPr>
                <w:rFonts w:eastAsiaTheme="minorEastAsia"/>
                <w:color w:val="000000"/>
                <w:sz w:val="24"/>
              </w:rPr>
              <w:lastRenderedPageBreak/>
              <w:t>1,017,081,425.96</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lastRenderedPageBreak/>
              <w:t/>
            </w:r>
            <w:r w:rsidR="004D614E" w:rsidRPr="007F52FA">
              <w:rPr>
                <w:rFonts w:eastAsiaTheme="minorEastAsia"/>
                <w:color w:val="000000"/>
                <w:sz w:val="24"/>
              </w:rPr>
              <w:t/>
            </w:r>
            <w:r w:rsidR="004D614E" w:rsidRPr="007F52FA">
              <w:rPr>
                <w:rFonts w:eastAsiaTheme="minorEastAsia"/>
                <w:color w:val="000000"/>
                <w:sz w:val="24"/>
              </w:rPr>
              <w:lastRenderedPageBreak/>
              <w:t/>
            </w:r>
            <w:r w:rsidR="0042785F" w:rsidRPr="007F52FA">
              <w:rPr>
                <w:rFonts w:eastAsiaTheme="minorEastAsia"/>
                <w:color w:val="000000"/>
                <w:sz w:val="24"/>
              </w:rPr>
              <w:t>25,432,733.83</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注：1、如果本报告期间发生转换入、红利再投业务，则总申购份额中包含该业务；</w:t>
      </w:r>
    </w:p>
    <w:p w:rsidP="007C14DF" w:rsidR="00FB3C94" w:rsidRDefault="00FB3C94"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lastRenderedPageBreak/>
        <w:t>2、如果本报告期间发生转换出业务，则总赎回份额中包含该业务。</w:t>
      </w:r>
    </w:p>
    <w:p w:rsidP="007C14DF" w:rsidR="00426568" w:rsidRDefault="00426568">
      <w:pPr>
        <w:autoSpaceDE w:val="0"/>
        <w:autoSpaceDN w:val="0"/>
        <w:adjustRightInd w:val="0"/>
        <w:spacing w:before="29" w:line="288" w:lineRule="auto"/>
        <w:jc w:val="left"/>
        <w:rPr>
          <w:rFonts w:eastAsiaTheme="minorEastAsia"/>
          <w:color w:val="000000"/>
          <w:sz w:val="24"/>
        </w:rPr>
      </w:pPr>
    </w:p>
    <w:p w:rsidP="000A2988" w:rsidR="000673DA" w:rsidRDefault="00C51B4E" w:rsidRPr="000673DA">
      <w:pPr>
        <w:pStyle w:val="1"/>
        <w:tabs>
          <w:tab w:pos="4156" w:val="center"/>
          <w:tab w:pos="8312" w:val="right"/>
        </w:tabs>
        <w:spacing w:after="312" w:afterLines="100" w:before="312" w:beforeLines="100" w:line="288" w:lineRule="auto"/>
        <w:jc w:val="center"/>
        <w:rPr>
          <w:sz w:val="24"/>
          <w:szCs w:val="24"/>
        </w:rPr>
      </w:pPr>
      <w:r>
        <w:rPr>
          <w:color w:val="000000"/>
          <w:kern w:val="0"/>
          <w:sz w:val="24"/>
          <w:szCs w:val="24"/>
        </w:rPr>
        <w:t>§</w:t>
      </w:r>
      <w:r>
        <w:rPr>
          <w:rFonts w:hint="eastAsia"/>
          <w:color w:val="000000"/>
          <w:kern w:val="0"/>
          <w:sz w:val="24"/>
          <w:szCs w:val="24"/>
        </w:rPr>
        <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P="007C14DF" w:rsidR="000673DA" w:rsidRDefault="000673DA" w:rsidRPr="000673DA">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P="007C14DF" w:rsidR="008A3BCC" w:rsidRDefault="00AE55CC" w:rsidRPr="00AE55CC">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P="007C14DF" w:rsidR="008A3BCC" w:rsidRDefault="008A3BCC">
      <w:pPr>
        <w:autoSpaceDE w:val="0"/>
        <w:autoSpaceDN w:val="0"/>
        <w:adjustRightInd w:val="0"/>
        <w:spacing w:before="29" w:line="288" w:lineRule="auto"/>
        <w:jc w:val="left"/>
        <w:rPr>
          <w:color w:val="000000"/>
          <w:sz w:val="24"/>
        </w:rPr>
      </w:pPr>
    </w:p>
    <w:p w:rsidP="00646AEE" w:rsidR="008A3BCC" w:rsidRDefault="000673DA" w:rsidRPr="008A3BCC">
      <w:pPr>
        <w:autoSpaceDE w:val="0"/>
        <w:autoSpaceDN w:val="0"/>
        <w:adjustRightInd w:val="0"/>
        <w:spacing w:before="29" w:line="288" w:lineRule="auto"/>
        <w:jc w:val="left"/>
        <w:rPr>
          <w:b/>
          <w:color w:val="000000"/>
          <w:sz w:val="24"/>
        </w:rPr>
      </w:pPr>
      <w:r w:rsidRPr="008A3BCC">
        <w:rPr>
          <w:b/>
          <w:sz w:val="24"/>
        </w:rPr>
        <w:t/>
      </w: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P="007C14DF" w:rsidR="00285618" w:rsidRDefault="00285618"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P="007C14DF" w:rsidR="00F2646E" w:rsidRDefault="00F2646E" w:rsidRPr="007F52FA">
      <w:pPr>
        <w:autoSpaceDE w:val="0"/>
        <w:autoSpaceDN w:val="0"/>
        <w:adjustRightInd w:val="0"/>
        <w:spacing w:before="29" w:line="288" w:lineRule="auto"/>
        <w:jc w:val="left"/>
        <w:rPr>
          <w:rFonts w:eastAsiaTheme="minorEastAsia"/>
          <w:color w:val="000000"/>
          <w:sz w:val="24"/>
        </w:rPr>
      </w:pPr>
    </w:p>
    <w:p w:rsidP="000A2988" w:rsidR="00ED0E09" w:rsidRDefault="00ED0E09">
      <w:pPr>
        <w:pStyle w:val="1"/>
        <w:spacing w:after="312" w:afterLines="100" w:before="312" w:beforeLines="100" w:line="360" w:lineRule="auto"/>
        <w:jc w:val="center"/>
        <w:rPr>
          <w:rFonts w:eastAsiaTheme="minorEastAsia"/>
          <w:color w:themeColor="text1" w:val="000000"/>
          <w:kern w:val="0"/>
          <w:sz w:val="21"/>
          <w:szCs w:val="21"/>
        </w:rPr>
      </w:pPr>
      <w:r>
        <w:rPr>
          <w:rFonts w:eastAsiaTheme="minorEastAsia"/>
          <w:color w:themeColor="text1" w:val="000000"/>
          <w:kern w:val="0"/>
          <w:sz w:val="21"/>
          <w:szCs w:val="21"/>
        </w:rPr>
        <w:t xml:space="preserve">§8 </w:t>
      </w:r>
      <w:r w:rsidR="00F139D5">
        <w:rPr>
          <w:rFonts w:eastAsiaTheme="minorEastAsia"/>
          <w:color w:themeColor="text1" w:val="000000"/>
          <w:kern w:val="0"/>
          <w:sz w:val="21"/>
          <w:szCs w:val="21"/>
        </w:rPr>
        <w:t xml:space="preserve"> </w:t>
      </w:r>
      <w:r>
        <w:rPr>
          <w:rFonts w:eastAsiaTheme="minorEastAsia" w:hint="eastAsia"/>
          <w:color w:themeColor="text1" w:val="000000"/>
          <w:kern w:val="0"/>
          <w:sz w:val="21"/>
          <w:szCs w:val="21"/>
        </w:rPr>
        <w:t>影响投资者决策的其他重要信息</w:t>
      </w:r>
    </w:p>
    <w:p w:rsidP="00ED0E09" w:rsidR="00ED0E09" w:rsidRDefault="00ED0E09">
      <w:pPr>
        <w:autoSpaceDE w:val="0"/>
        <w:autoSpaceDN w:val="0"/>
        <w:adjustRightInd w:val="0"/>
        <w:spacing w:line="360" w:lineRule="auto"/>
        <w:jc w:val="left"/>
        <w:rPr>
          <w:rFonts w:ascii="宋体" w:hAnsi="宋体"/>
          <w:b/>
          <w:bCs/>
          <w:color w:val="000000"/>
          <w:kern w:val="0"/>
          <w:szCs w:val="21"/>
        </w:rPr>
      </w:pPr>
      <w:r>
        <w:rPr>
          <w:rFonts w:ascii="宋体" w:hAnsi="宋体" w:hint="eastAsia"/>
          <w:b/>
          <w:color w:val="000000"/>
          <w:kern w:val="0"/>
          <w:szCs w:val="21"/>
        </w:rPr>
        <w:t/>
      </w:r>
      <w:r>
        <w:rPr>
          <w:rFonts w:ascii="宋体" w:hAnsi="宋体" w:hint="eastAsia"/>
          <w:b/>
          <w:bCs/>
          <w:color w:val="000000"/>
          <w:kern w:val="0"/>
          <w:szCs w:val="21"/>
        </w:rPr>
        <w:t>8.1 报告期内单一投资者持有基金份额比例达到或超过20%的情况</w:t>
      </w:r>
    </w:p>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92"/>
        <w:gridCol w:w="991"/>
        <w:gridCol w:w="1843"/>
        <w:gridCol w:w="851"/>
        <w:gridCol w:w="850"/>
        <w:gridCol w:w="1134"/>
        <w:gridCol w:w="1419"/>
        <w:gridCol w:w="1130"/>
      </w:tblGrid>
      <w:tr w:rsidR="00ED0E09" w:rsidTr="00ED0E09">
        <w:tc>
          <w:tcPr>
            <w:tcW w:type="dxa" w:w="993"/>
            <w:vMerge w:val="restart"/>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type="dxa" w:w="5670"/>
            <w:gridSpan w:val="5"/>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type="dxa" w:w="2549"/>
            <w:gridSpan w:val="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type="dxa" w:w="993"/>
            <w:vMerge/>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left"/>
              <w:rPr>
                <w:rFonts w:ascii="宋体" w:hAnsi="宋体"/>
                <w:b/>
                <w:bCs/>
                <w:color w:val="000000"/>
                <w:kern w:val="0"/>
                <w:szCs w:val="21"/>
              </w:rPr>
            </w:pPr>
          </w:p>
        </w:tc>
        <w:tc>
          <w:tcPr>
            <w:tcW w:type="dxa" w:w="99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type="dxa" w:w="1843"/>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type="dxa" w:w="851"/>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type="dxa" w:w="850"/>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type="dxa" w:w="1134"/>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type="dxa" w:w="1419"/>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type="dxa" w:w="1130"/>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tc>
          <w:tcPr>
            <w:vMerge w:val="restart"/>
          </w:tcPr>
          <w:p/>
          <w:p>
            <w:r>
              <w:rPr>
                <w:rFonts w:ascii="宋体" w:hAnsi="宋体" w:hint="eastAsia"/>
                <w:bCs/>
                <w:color w:val="000000"/>
                <w:kern w:val="0"/>
                <w:szCs w:val="21"/>
              </w:rPr>
              <w:t>机构</w:t>
            </w:r>
          </w:p>
        </w:tc>
        <w:tc>
          <w:tcPr>
            <w:vAlign w:val="center"/>
          </w:tcPr>
          <w:p>
            <w:pPr>
              <w:jc w:val="center"/>
            </w:pPr>
            <w:r>
              <w:rPr>
                <w:rFonts w:ascii="宋体" w:hAnsi="宋体" w:hint="eastAsia"/>
                <w:color w:val="000000"/>
                <w:kern w:val="0"/>
                <w:szCs w:val="21"/>
              </w:rPr>
              <w:t>1</w:t>
            </w:r>
          </w:p>
        </w:tc>
        <w:tc>
          <w:tcPr>
            <w:vAlign w:val="center"/>
          </w:tcPr>
          <w:p>
            <w:pPr>
              <w:jc w:val="center"/>
            </w:pPr>
            <w:r>
              <w:rPr>
                <w:rFonts w:ascii="宋体" w:hAnsi="宋体" w:hint="eastAsia"/>
                <w:color w:val="000000"/>
                <w:kern w:val="0"/>
                <w:szCs w:val="21"/>
              </w:rPr>
              <w:t>2020/10/1-2020/12/31</w:t>
            </w:r>
          </w:p>
        </w:tc>
        <w:tc>
          <w:tcPr>
            <w:vAlign w:val="center"/>
          </w:tcPr>
          <w:p>
            <w:pPr>
              <w:jc w:val="center"/>
            </w:pPr>
            <w:r>
              <w:rPr>
                <w:rFonts w:ascii="宋体" w:hAnsi="宋体" w:hint="eastAsia"/>
                <w:color w:val="000000"/>
                <w:kern w:val="0"/>
                <w:szCs w:val="21"/>
              </w:rPr>
              <w:t>292,767,639.31</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292,767,639.31</w:t>
            </w:r>
          </w:p>
        </w:tc>
        <w:tc>
          <w:tcPr>
            <w:vAlign w:val="center"/>
          </w:tcPr>
          <w:p>
            <w:pPr>
              <w:jc w:val="center"/>
            </w:pPr>
            <w:r>
              <w:rPr>
                <w:rFonts w:ascii="宋体" w:hAnsi="宋体" w:hint="eastAsia"/>
                <w:color w:val="000000"/>
                <w:kern w:val="0"/>
                <w:szCs w:val="21"/>
              </w:rPr>
              <w:t>28.08%</w:t>
            </w:r>
          </w:p>
        </w:tc>
      </w:tr>
      <w:tr>
        <w:tc>
          <w:tcPr>
            <w:vMerge/>
          </w:tcPr>
          <w:p/>
        </w:tc>
        <w:tc>
          <w:tcPr>
            <w:vAlign w:val="center"/>
          </w:tcPr>
          <w:p>
            <w:pPr>
              <w:jc w:val="center"/>
            </w:pPr>
            <w:r>
              <w:rPr>
                <w:rFonts w:ascii="宋体" w:hAnsi="宋体" w:hint="eastAsia"/>
                <w:color w:val="000000"/>
                <w:kern w:val="0"/>
                <w:szCs w:val="21"/>
              </w:rPr>
              <w:t>2</w:t>
            </w:r>
          </w:p>
        </w:tc>
        <w:tc>
          <w:tcPr>
            <w:vAlign w:val="center"/>
          </w:tcPr>
          <w:p>
            <w:pPr>
              <w:jc w:val="center"/>
            </w:pPr>
            <w:r>
              <w:rPr>
                <w:rFonts w:ascii="宋体" w:hAnsi="宋体" w:hint="eastAsia"/>
                <w:color w:val="000000"/>
                <w:kern w:val="0"/>
                <w:szCs w:val="21"/>
              </w:rPr>
              <w:t>2020/10/1-2020/12/31</w:t>
            </w:r>
          </w:p>
        </w:tc>
        <w:tc>
          <w:tcPr>
            <w:vAlign w:val="center"/>
          </w:tcPr>
          <w:p>
            <w:pPr>
              <w:jc w:val="center"/>
            </w:pPr>
            <w:r>
              <w:rPr>
                <w:rFonts w:ascii="宋体" w:hAnsi="宋体" w:hint="eastAsia"/>
                <w:color w:val="000000"/>
                <w:kern w:val="0"/>
                <w:szCs w:val="21"/>
              </w:rPr>
              <w:t>215,082,396.33</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215,082,396.33</w:t>
            </w:r>
          </w:p>
        </w:tc>
        <w:tc>
          <w:tcPr>
            <w:vAlign w:val="center"/>
          </w:tcPr>
          <w:p>
            <w:pPr>
              <w:jc w:val="center"/>
            </w:pPr>
            <w:r>
              <w:rPr>
                <w:rFonts w:ascii="宋体" w:hAnsi="宋体" w:hint="eastAsia"/>
                <w:color w:val="000000"/>
                <w:kern w:val="0"/>
                <w:szCs w:val="21"/>
              </w:rPr>
              <w:t>20.63%</w:t>
            </w:r>
          </w:p>
        </w:tc>
      </w:tr>
    </w:tbl>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210"/>
      </w:tblGrid>
      <w:tr w:rsidR="00ED0E09" w:rsidTr="00ED0E09">
        <w:tc>
          <w:tcPr>
            <w:tcW w:type="dxa" w:w="921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r>
              <w:rPr>
                <w:rFonts w:ascii="宋体" w:hAnsi="宋体" w:hint="eastAsia"/>
                <w:kern w:val="0"/>
                <w:szCs w:val="21"/>
              </w:rPr>
              <w:t/>
            </w:r>
          </w:p>
        </w:tc>
      </w:tr>
      <w:tr w:rsidR="00ED0E09" w:rsidTr="00ED0E09">
        <w:tc>
          <w:tcPr>
            <w:tcW w:type="dxa" w:w="921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P="000A2988" w:rsidR="00175E3A" w:rsidRDefault="009238DB" w:rsidRPr="007032A6">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
      </w:r>
      <w:r w:rsidR="00D13A01" w:rsidRPr="007F52FA">
        <w:rPr>
          <w:rFonts w:eastAsiaTheme="minorEastAsia"/>
          <w:color w:val="000000"/>
          <w:kern w:val="0"/>
          <w:sz w:val="24"/>
          <w:szCs w:val="24"/>
        </w:rPr>
        <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P="007C14DF" w:rsidR="00FB3C94" w:rsidRDefault="00A14399"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
      </w:r>
      <w:r w:rsidR="00D13A01" w:rsidRPr="007F52FA">
        <w:rPr>
          <w:rFonts w:eastAsiaTheme="minorEastAsia"/>
          <w:b/>
          <w:bCs/>
          <w:color w:val="000000"/>
          <w:kern w:val="0"/>
          <w:sz w:val="24"/>
        </w:rPr>
        <w:t/>
      </w: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pPr>
        <w:spacing w:before="29" w:line="288" w:lineRule="auto"/>
        <w:ind w:firstLine="480" w:firstLineChars="200"/>
        <w:rPr>
          <w:rFonts w:eastAsiaTheme="minorEastAsia"/>
          <w:color w:val="000000"/>
          <w:sz w:val="24"/>
        </w:rPr>
      </w:pPr>
      <w:r>
        <w:rPr>
          <w:rFonts w:eastAsiaTheme="minorEastAsia"/>
          <w:color w:val="000000"/>
          <w:sz w:val="24"/>
        </w:rPr>
        <w:t xml:space="preserve">1、中国证监会准予交银施罗德稳利中短债债券型证券投资基金募集注册的文件； </w:t>
      </w:r>
    </w:p>
    <w:p>
      <w:pPr>
        <w:spacing w:before="29" w:line="288" w:lineRule="auto"/>
        <w:ind w:firstLine="480" w:firstLineChars="200"/>
        <w:rPr>
          <w:rFonts w:eastAsiaTheme="minorEastAsia"/>
          <w:color w:val="000000"/>
          <w:sz w:val="24"/>
        </w:rPr>
      </w:pPr>
      <w:r>
        <w:rPr>
          <w:rFonts w:eastAsiaTheme="minorEastAsia"/>
          <w:color w:val="000000"/>
          <w:sz w:val="24"/>
        </w:rPr>
        <w:t xml:space="preserve">2、《交银施罗德稳利中短债债券型证券投资基金基金合同》； </w:t>
      </w:r>
    </w:p>
    <w:p>
      <w:pPr>
        <w:spacing w:before="29" w:line="288" w:lineRule="auto"/>
        <w:ind w:firstLine="480" w:firstLineChars="200"/>
        <w:rPr>
          <w:rFonts w:eastAsiaTheme="minorEastAsia"/>
          <w:color w:val="000000"/>
          <w:sz w:val="24"/>
        </w:rPr>
      </w:pPr>
      <w:r>
        <w:rPr>
          <w:rFonts w:eastAsiaTheme="minorEastAsia"/>
          <w:color w:val="000000"/>
          <w:sz w:val="24"/>
        </w:rPr>
        <w:t xml:space="preserve">3、《交银施罗德稳利中短债债券型证券投资基金招募说明书》； </w:t>
      </w:r>
    </w:p>
    <w:p>
      <w:pPr>
        <w:spacing w:before="29" w:line="288" w:lineRule="auto"/>
        <w:ind w:firstLine="480" w:firstLineChars="200"/>
        <w:rPr>
          <w:rFonts w:eastAsiaTheme="minorEastAsia"/>
          <w:color w:val="000000"/>
          <w:sz w:val="24"/>
        </w:rPr>
      </w:pPr>
      <w:r>
        <w:rPr>
          <w:rFonts w:eastAsiaTheme="minorEastAsia"/>
          <w:color w:val="000000"/>
          <w:sz w:val="24"/>
        </w:rPr>
        <w:t xml:space="preserve">4、《交银施罗德稳利中短债债券型证券投资基金托管协议》； </w:t>
      </w:r>
    </w:p>
    <w:p>
      <w:pPr>
        <w:spacing w:before="29" w:line="288" w:lineRule="auto"/>
        <w:ind w:firstLine="480" w:firstLineChars="200"/>
        <w:rPr>
          <w:rFonts w:eastAsiaTheme="minorEastAsia"/>
          <w:color w:val="000000"/>
          <w:sz w:val="24"/>
        </w:rPr>
      </w:pPr>
      <w:r>
        <w:rPr>
          <w:rFonts w:eastAsiaTheme="minorEastAsia"/>
          <w:color w:val="000000"/>
          <w:sz w:val="24"/>
        </w:rPr>
        <w:t xml:space="preserve">5、关于申请募集注册交银施罗德稳利中短债债券型证券投资基金的法律意见书； </w:t>
      </w:r>
    </w:p>
    <w:p>
      <w:pPr>
        <w:spacing w:before="29" w:line="288" w:lineRule="auto"/>
        <w:ind w:firstLine="480" w:firstLineChars="200"/>
        <w:rPr>
          <w:rFonts w:eastAsiaTheme="minorEastAsia"/>
          <w:color w:val="000000"/>
          <w:sz w:val="24"/>
        </w:rPr>
      </w:pPr>
      <w:r>
        <w:rPr>
          <w:rFonts w:eastAsiaTheme="minorEastAsia"/>
          <w:color w:val="000000"/>
          <w:sz w:val="24"/>
        </w:rPr>
        <w:t xml:space="preserve">6、基金管理人业务资格批件、营业执照； </w:t>
      </w:r>
    </w:p>
    <w:p>
      <w:pPr>
        <w:spacing w:before="29" w:line="288" w:lineRule="auto"/>
        <w:ind w:firstLine="480" w:firstLineChars="200"/>
        <w:rPr>
          <w:rFonts w:eastAsiaTheme="minorEastAsia"/>
          <w:color w:val="000000"/>
          <w:sz w:val="24"/>
        </w:rPr>
      </w:pPr>
      <w:r>
        <w:rPr>
          <w:rFonts w:eastAsiaTheme="minorEastAsia"/>
          <w:color w:val="000000"/>
          <w:sz w:val="24"/>
        </w:rPr>
        <w:t xml:space="preserve">7、基金托管人业务资格批件、营业执照； </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8、报告期内交银施罗德稳利中短债债券型证券投资基金在指定报刊上各项公告的原稿。</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lastRenderedPageBreak/>
        <w:t>9.2</w:t>
      </w:r>
      <w:r w:rsidR="00FB3C94" w:rsidRPr="007F52FA">
        <w:rPr>
          <w:rFonts w:eastAsiaTheme="minorEastAsia"/>
          <w:b/>
          <w:bCs/>
          <w:color w:val="000000"/>
          <w:kern w:val="0"/>
          <w:sz w:val="24"/>
        </w:rPr>
        <w:t>存放地点</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备查文件存放于基金管理人的办公场所。</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pPr>
        <w:spacing w:before="29" w:line="288" w:lineRule="auto"/>
        <w:ind w:firstLine="480" w:firstLineChars="200"/>
        <w:rPr>
          <w:rFonts w:eastAsiaTheme="minorEastAsia"/>
          <w:color w:val="000000"/>
          <w:sz w:val="24"/>
        </w:rPr>
      </w:pPr>
      <w:r>
        <w:rPr>
          <w:rFonts w:eastAsiaTheme="minorEastAsia"/>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7C14DF" w:rsidR="009238DB"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投资者对本报告书如有疑问，可咨询本基金管理人交银施罗德基金管理有限公司。本公司客户服务中心电话：400-700-5000（免长途话费），021-61055000，电子邮件：services@jysld.com。</w:t>
      </w:r>
    </w:p>
    <w:p w:rsidP="007C14DF" w:rsidR="004D36DF" w:rsidRDefault="004D36DF" w:rsidRPr="007F52FA">
      <w:pPr>
        <w:spacing w:before="29" w:line="288" w:lineRule="auto"/>
        <w:ind w:firstLine="480" w:firstLineChars="200"/>
        <w:rPr>
          <w:rFonts w:eastAsiaTheme="minorEastAsia"/>
          <w:color w:val="000000"/>
          <w:sz w:val="24"/>
        </w:rPr>
      </w:pPr>
    </w:p>
    <w:sectPr w:rsidR="004D36DF" w:rsidRPr="007F52FA" w:rsidSect="007A5233">
      <w:footerReference r:id="rId16" w:type="even"/>
      <w:pgSz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AD1" w:rsidRDefault="00685AD1">
      <w:r>
        <w:separator/>
      </w:r>
    </w:p>
  </w:endnote>
  <w:endnote w:type="continuationSeparator" w:id="0">
    <w:p w:rsidR="00685AD1" w:rsidRDefault="0068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F7094A" w:rsidR="007F50FB" w:rsidRDefault="007F50FB" w:rsidRPr="001D0DB0">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885AD9">
      <w:rPr>
        <w:noProof/>
        <w:kern w:val="0"/>
        <w:szCs w:val="21"/>
      </w:rPr>
      <w:t>19</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885AD9">
      <w:rPr>
        <w:noProof/>
        <w:kern w:val="0"/>
        <w:szCs w:val="21"/>
      </w:rPr>
      <w:t>27</w:t>
    </w:r>
    <w:r w:rsidR="0042114A">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6"/>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F50FB" w:rsidRDefault="0042114A">
    <w:pPr>
      <w:pStyle w:val="a6"/>
      <w:framePr w:hAnchor="margin" w:vAnchor="text" w:wrap="around"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R="00685AD1" w:rsidRDefault="00685AD1">
      <w:r>
        <w:separator/>
      </w:r>
    </w:p>
  </w:footnote>
  <w:footnote w:id="0" w:type="continuationSeparator">
    <w:p w:rsidR="00685AD1" w:rsidRDefault="00685AD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D3445F" w:rsidR="007F50FB" w:rsidRDefault="00D3445F" w:rsidRPr="00D3445F">
    <w:pPr>
      <w:spacing w:before="29" w:line="288" w:lineRule="auto"/>
      <w:jc w:val="right"/>
      <w:rPr>
        <w:rFonts w:eastAsiaTheme="minorEastAsia"/>
        <w:sz w:val="24"/>
      </w:rPr>
    </w:pPr>
    <w:r w:rsidRPr="00D3445F">
      <w:rPr>
        <w:rFonts w:eastAsiaTheme="minorEastAsia"/>
        <w:sz w:val="24"/>
      </w:rPr>
      <w:t>交银施罗德稳利中短债债券型证券投资基金2020年第4季度报告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cs="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15:restartNumberingAfterBreak="0" w:abstractNumId="1">
    <w:nsid w:val="2A93165E"/>
    <w:multiLevelType w:val="hybridMultilevel"/>
    <w:tmpl w:val="8F54F77E"/>
    <w:lvl w:ilvl="0" w:tplc="8996D53A">
      <w:start w:val="1"/>
      <w:numFmt w:val="japaneseCounting"/>
      <w:lvlText w:val="（%1）"/>
      <w:lvlJc w:val="left"/>
      <w:pPr>
        <w:tabs>
          <w:tab w:pos="1200" w:val="num"/>
        </w:tabs>
        <w:ind w:hanging="720" w:left="1200"/>
      </w:pPr>
      <w:rPr>
        <w:rFonts w:hAnsi="宋体" w:hint="default"/>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2">
    <w:nsid w:val="32C43FA3"/>
    <w:multiLevelType w:val="hybridMultilevel"/>
    <w:tmpl w:val="2658615A"/>
    <w:lvl w:ilvl="0" w:tplc="04090001">
      <w:start w:val="1"/>
      <w:numFmt w:val="bullet"/>
      <w:lvlText w:val=""/>
      <w:lvlJc w:val="left"/>
      <w:pPr>
        <w:tabs>
          <w:tab w:pos="420" w:val="num"/>
        </w:tabs>
        <w:ind w:hanging="420" w:left="420"/>
      </w:pPr>
      <w:rPr>
        <w:rFonts w:ascii="Wingdings" w:hAnsi="Wingdings" w:hint="default"/>
      </w:rPr>
    </w:lvl>
    <w:lvl w:ilvl="1" w:tentative="1" w:tplc="04090003">
      <w:start w:val="1"/>
      <w:numFmt w:val="bullet"/>
      <w:lvlText w:val=""/>
      <w:lvlJc w:val="left"/>
      <w:pPr>
        <w:tabs>
          <w:tab w:pos="840" w:val="num"/>
        </w:tabs>
        <w:ind w:hanging="420" w:left="840"/>
      </w:pPr>
      <w:rPr>
        <w:rFonts w:ascii="Wingdings" w:hAnsi="Wingdings" w:hint="default"/>
      </w:rPr>
    </w:lvl>
    <w:lvl w:ilvl="2" w:tentative="1" w:tplc="04090005">
      <w:start w:val="1"/>
      <w:numFmt w:val="bullet"/>
      <w:lvlText w:val=""/>
      <w:lvlJc w:val="left"/>
      <w:pPr>
        <w:tabs>
          <w:tab w:pos="1260" w:val="num"/>
        </w:tabs>
        <w:ind w:hanging="420" w:left="1260"/>
      </w:pPr>
      <w:rPr>
        <w:rFonts w:ascii="Wingdings" w:hAnsi="Wingdings" w:hint="default"/>
      </w:rPr>
    </w:lvl>
    <w:lvl w:ilvl="3" w:tentative="1" w:tplc="04090001">
      <w:start w:val="1"/>
      <w:numFmt w:val="bullet"/>
      <w:lvlText w:val=""/>
      <w:lvlJc w:val="left"/>
      <w:pPr>
        <w:tabs>
          <w:tab w:pos="1680" w:val="num"/>
        </w:tabs>
        <w:ind w:hanging="420" w:left="1680"/>
      </w:pPr>
      <w:rPr>
        <w:rFonts w:ascii="Wingdings" w:hAnsi="Wingdings" w:hint="default"/>
      </w:rPr>
    </w:lvl>
    <w:lvl w:ilvl="4" w:tentative="1" w:tplc="04090003">
      <w:start w:val="1"/>
      <w:numFmt w:val="bullet"/>
      <w:lvlText w:val=""/>
      <w:lvlJc w:val="left"/>
      <w:pPr>
        <w:tabs>
          <w:tab w:pos="2100" w:val="num"/>
        </w:tabs>
        <w:ind w:hanging="420" w:left="2100"/>
      </w:pPr>
      <w:rPr>
        <w:rFonts w:ascii="Wingdings" w:hAnsi="Wingdings" w:hint="default"/>
      </w:rPr>
    </w:lvl>
    <w:lvl w:ilvl="5" w:tentative="1" w:tplc="04090005">
      <w:start w:val="1"/>
      <w:numFmt w:val="bullet"/>
      <w:lvlText w:val=""/>
      <w:lvlJc w:val="left"/>
      <w:pPr>
        <w:tabs>
          <w:tab w:pos="2520" w:val="num"/>
        </w:tabs>
        <w:ind w:hanging="420" w:left="2520"/>
      </w:pPr>
      <w:rPr>
        <w:rFonts w:ascii="Wingdings" w:hAnsi="Wingdings" w:hint="default"/>
      </w:rPr>
    </w:lvl>
    <w:lvl w:ilvl="6" w:tentative="1" w:tplc="04090001">
      <w:start w:val="1"/>
      <w:numFmt w:val="bullet"/>
      <w:lvlText w:val=""/>
      <w:lvlJc w:val="left"/>
      <w:pPr>
        <w:tabs>
          <w:tab w:pos="2940" w:val="num"/>
        </w:tabs>
        <w:ind w:hanging="420" w:left="2940"/>
      </w:pPr>
      <w:rPr>
        <w:rFonts w:ascii="Wingdings" w:hAnsi="Wingdings" w:hint="default"/>
      </w:rPr>
    </w:lvl>
    <w:lvl w:ilvl="7" w:tentative="1" w:tplc="04090003">
      <w:start w:val="1"/>
      <w:numFmt w:val="bullet"/>
      <w:lvlText w:val=""/>
      <w:lvlJc w:val="left"/>
      <w:pPr>
        <w:tabs>
          <w:tab w:pos="3360" w:val="num"/>
        </w:tabs>
        <w:ind w:hanging="420" w:left="3360"/>
      </w:pPr>
      <w:rPr>
        <w:rFonts w:ascii="Wingdings" w:hAnsi="Wingdings" w:hint="default"/>
      </w:rPr>
    </w:lvl>
    <w:lvl w:ilvl="8" w:tentative="1" w:tplc="04090005">
      <w:start w:val="1"/>
      <w:numFmt w:val="bullet"/>
      <w:lvlText w:val=""/>
      <w:lvlJc w:val="left"/>
      <w:pPr>
        <w:tabs>
          <w:tab w:pos="3780" w:val="num"/>
        </w:tabs>
        <w:ind w:hanging="420" w:left="3780"/>
      </w:pPr>
      <w:rPr>
        <w:rFonts w:ascii="Wingdings" w:hAnsi="Wingdings" w:hint="default"/>
      </w:rPr>
    </w:lvl>
  </w:abstractNum>
  <w:abstractNum w15:restartNumberingAfterBreak="0" w:abstractNumId="3">
    <w:nsid w:val="45342383"/>
    <w:multiLevelType w:val="multilevel"/>
    <w:tmpl w:val="0409001D"/>
    <w:styleLink w:val="5"/>
    <w:lvl w:ilvl="0">
      <w:start w:val="1"/>
      <w:numFmt w:val="decimal"/>
      <w:lvlText w:val="%1"/>
      <w:lvlJc w:val="left"/>
      <w:pPr>
        <w:tabs>
          <w:tab w:pos="425" w:val="num"/>
        </w:tabs>
        <w:ind w:hanging="425" w:left="425"/>
      </w:pPr>
    </w:lvl>
    <w:lvl w:ilvl="1">
      <w:start w:val="1"/>
      <w:numFmt w:val="decimal"/>
      <w:lvlText w:val="%1.%2"/>
      <w:lvlJc w:val="left"/>
      <w:pPr>
        <w:tabs>
          <w:tab w:pos="992" w:val="num"/>
        </w:tabs>
        <w:ind w:hanging="567" w:left="992"/>
      </w:pPr>
    </w:lvl>
    <w:lvl w:ilvl="2">
      <w:start w:val="1"/>
      <w:numFmt w:val="decimal"/>
      <w:lvlText w:val="%1.%2.%3"/>
      <w:lvlJc w:val="left"/>
      <w:pPr>
        <w:tabs>
          <w:tab w:pos="1418" w:val="num"/>
        </w:tabs>
        <w:ind w:hanging="567" w:left="1418"/>
      </w:pPr>
    </w:lvl>
    <w:lvl w:ilvl="3">
      <w:start w:val="1"/>
      <w:numFmt w:val="decimal"/>
      <w:lvlText w:val="%1.%2.%3.%4"/>
      <w:lvlJc w:val="left"/>
      <w:pPr>
        <w:tabs>
          <w:tab w:pos="1984" w:val="num"/>
        </w:tabs>
        <w:ind w:hanging="708" w:left="1984"/>
      </w:pPr>
    </w:lvl>
    <w:lvl w:ilvl="4">
      <w:start w:val="1"/>
      <w:numFmt w:val="decimal"/>
      <w:lvlText w:val="%1.%2.%3.%4.%5"/>
      <w:lvlJc w:val="left"/>
      <w:pPr>
        <w:tabs>
          <w:tab w:pos="2551" w:val="num"/>
        </w:tabs>
        <w:ind w:hanging="850" w:left="2551"/>
      </w:pPr>
    </w:lvl>
    <w:lvl w:ilvl="5">
      <w:start w:val="1"/>
      <w:numFmt w:val="decimal"/>
      <w:lvlText w:val="%1.%2.%3.%4.%5.%6"/>
      <w:lvlJc w:val="left"/>
      <w:pPr>
        <w:tabs>
          <w:tab w:pos="3260" w:val="num"/>
        </w:tabs>
        <w:ind w:hanging="1134" w:left="3260"/>
      </w:pPr>
    </w:lvl>
    <w:lvl w:ilvl="6">
      <w:start w:val="1"/>
      <w:numFmt w:val="decimal"/>
      <w:lvlText w:val="%1.%2.%3.%4.%5.%6.%7"/>
      <w:lvlJc w:val="left"/>
      <w:pPr>
        <w:tabs>
          <w:tab w:pos="3827" w:val="num"/>
        </w:tabs>
        <w:ind w:hanging="1276" w:left="3827"/>
      </w:pPr>
    </w:lvl>
    <w:lvl w:ilvl="7">
      <w:start w:val="1"/>
      <w:numFmt w:val="decimal"/>
      <w:lvlText w:val="%1.%2.%3.%4.%5.%6.%7.%8"/>
      <w:lvlJc w:val="left"/>
      <w:pPr>
        <w:tabs>
          <w:tab w:pos="4394" w:val="num"/>
        </w:tabs>
        <w:ind w:hanging="1418" w:left="4394"/>
      </w:pPr>
    </w:lvl>
    <w:lvl w:ilvl="8">
      <w:start w:val="1"/>
      <w:numFmt w:val="decimal"/>
      <w:lvlText w:val="%1.%2.%3.%4.%5.%6.%7.%8.%9"/>
      <w:lvlJc w:val="left"/>
      <w:pPr>
        <w:tabs>
          <w:tab w:pos="5102" w:val="num"/>
        </w:tabs>
        <w:ind w:hanging="1700" w:left="5102"/>
      </w:pPr>
    </w:lvl>
  </w:abstractNum>
  <w:abstractNum w15:restartNumberingAfterBreak="0" w:abstractNumId="4">
    <w:nsid w:val="57E8240C"/>
    <w:multiLevelType w:val="hybridMultilevel"/>
    <w:tmpl w:val="300A7112"/>
    <w:lvl w:ilvl="0" w:tplc="3782FDB8">
      <w:start w:val="1"/>
      <w:numFmt w:val="decimal"/>
      <w:lvlText w:val="（%1）"/>
      <w:lvlJc w:val="left"/>
      <w:pPr>
        <w:tabs>
          <w:tab w:pos="1200" w:val="num"/>
        </w:tabs>
        <w:ind w:hanging="720" w:left="1200"/>
      </w:pPr>
      <w:rPr>
        <w:rFonts w:hint="eastAsia"/>
        <w:sz w:val="24"/>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5">
    <w:nsid w:val="64C22724"/>
    <w:multiLevelType w:val="multilevel"/>
    <w:tmpl w:val="0409001D"/>
    <w:numStyleLink w:val="5"/>
  </w:abstractNum>
  <w:abstractNum w15:restartNumberingAfterBreak="0" w:abstractNumId="6">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pos="992" w:val="num"/>
          </w:tabs>
          <w:ind w:hanging="567" w:left="992"/>
        </w:pPr>
      </w:lvl>
    </w:lvlOverride>
    <w:lvlOverride w:ilvl="2">
      <w:lvl w:ilvl="2">
        <w:start w:val="1"/>
        <w:numFmt w:val="decimal"/>
        <w:lvlText w:val="%1.%2.%3"/>
        <w:lvlJc w:val="left"/>
        <w:pPr>
          <w:tabs>
            <w:tab w:pos="1418" w:val="num"/>
          </w:tabs>
          <w:ind w:hanging="567" w:left="1418"/>
        </w:pPr>
      </w:lvl>
    </w:lvlOverride>
  </w:num>
  <w:num w:numId="8">
    <w:abstractNumId w:val="3"/>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printPostScriptOverText/>
  <w:bordersDoNotSurroundHeader/>
  <w:bordersDoNotSurroundFooter/>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AD1"/>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0963"/>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5AD9"/>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0F55"/>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2049" v:ext="edit"/>
    <o:shapelayout v:ext="edit">
      <o:idmap data="1" v:ext="edit"/>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0" w:defUnhideWhenUsed="0">
    <w:lsdException w:name="Normal" w:qFormat="1"/>
    <w:lsdException w:name="heading 1" w:qFormat="1" w:uiPriority="99"/>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6A4828"/>
    <w:pPr>
      <w:widowControl w:val="0"/>
      <w:jc w:val="both"/>
    </w:pPr>
    <w:rPr>
      <w:kern w:val="2"/>
      <w:sz w:val="21"/>
      <w:szCs w:val="24"/>
    </w:rPr>
  </w:style>
  <w:style w:styleId="1" w:type="paragraph">
    <w:name w:val="heading 1"/>
    <w:basedOn w:val="a"/>
    <w:next w:val="a"/>
    <w:link w:val="1Char"/>
    <w:uiPriority w:val="99"/>
    <w:qFormat/>
    <w:rsid w:val="00180952"/>
    <w:pPr>
      <w:keepNext/>
      <w:keepLines/>
      <w:spacing w:after="330" w:before="340" w:line="578" w:lineRule="auto"/>
      <w:outlineLvl w:val="0"/>
    </w:pPr>
    <w:rPr>
      <w:b/>
      <w:bCs/>
      <w:kern w:val="44"/>
      <w:sz w:val="44"/>
      <w:szCs w:val="44"/>
    </w:rPr>
  </w:style>
  <w:style w:styleId="2" w:type="paragraph">
    <w:name w:val="heading 2"/>
    <w:basedOn w:val="a"/>
    <w:next w:val="a0"/>
    <w:qFormat/>
    <w:rsid w:val="006A4828"/>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uiPriority w:val="99"/>
    <w:rsid w:val="006A4828"/>
    <w:pPr>
      <w:ind w:firstLine="420" w:firstLineChars="200"/>
    </w:pPr>
  </w:style>
  <w:style w:styleId="a4" w:type="paragraph">
    <w:name w:val="Body Text Indent"/>
    <w:basedOn w:val="a"/>
    <w:rsid w:val="006A4828"/>
    <w:pPr>
      <w:widowControl/>
      <w:spacing w:after="100" w:afterAutospacing="1" w:before="100" w:beforeAutospacing="1"/>
      <w:jc w:val="left"/>
    </w:pPr>
    <w:rPr>
      <w:rFonts w:ascii="Arial Unicode MS" w:cs="Arial Unicode MS" w:eastAsia="Arial Unicode MS" w:hAnsi="Arial Unicode MS"/>
      <w:kern w:val="0"/>
      <w:sz w:val="24"/>
    </w:rPr>
  </w:style>
  <w:style w:styleId="a5" w:type="paragraph">
    <w:name w:val="Plain Text"/>
    <w:basedOn w:val="a"/>
    <w:link w:val="Char"/>
    <w:uiPriority w:val="99"/>
    <w:rsid w:val="006A4828"/>
    <w:rPr>
      <w:rFonts w:ascii="宋体" w:hAnsi="Courier New"/>
      <w:szCs w:val="21"/>
    </w:rPr>
  </w:style>
  <w:style w:styleId="20" w:type="paragraph">
    <w:name w:val="Body Text Indent 2"/>
    <w:basedOn w:val="a"/>
    <w:rsid w:val="006A4828"/>
    <w:pPr>
      <w:spacing w:line="560" w:lineRule="exact"/>
      <w:ind w:firstLine="480" w:firstLineChars="200"/>
    </w:pPr>
    <w:rPr>
      <w:rFonts w:ascii="宋体" w:hAnsi="宋体"/>
      <w:color w:val="FF0000"/>
      <w:sz w:val="24"/>
    </w:rPr>
  </w:style>
  <w:style w:styleId="a6" w:type="paragraph">
    <w:name w:val="footer"/>
    <w:basedOn w:val="a"/>
    <w:rsid w:val="006A4828"/>
    <w:pPr>
      <w:tabs>
        <w:tab w:pos="4153" w:val="center"/>
        <w:tab w:pos="8306" w:val="right"/>
      </w:tabs>
      <w:snapToGrid w:val="0"/>
      <w:jc w:val="left"/>
    </w:pPr>
    <w:rPr>
      <w:sz w:val="18"/>
      <w:szCs w:val="18"/>
    </w:rPr>
  </w:style>
  <w:style w:styleId="a7" w:type="character">
    <w:name w:val="page number"/>
    <w:basedOn w:val="a1"/>
    <w:rsid w:val="006A4828"/>
  </w:style>
  <w:style w:styleId="a8" w:type="character">
    <w:name w:val="Hyperlink"/>
    <w:basedOn w:val="a1"/>
    <w:rsid w:val="006A4828"/>
    <w:rPr>
      <w:color w:val="0000FF"/>
      <w:u w:val="single"/>
    </w:rPr>
  </w:style>
  <w:style w:styleId="3" w:type="paragraph">
    <w:name w:val="Body Text Indent 3"/>
    <w:basedOn w:val="a"/>
    <w:rsid w:val="006A4828"/>
    <w:pPr>
      <w:spacing w:line="560" w:lineRule="exact"/>
      <w:ind w:firstLine="420" w:firstLineChars="200"/>
    </w:pPr>
    <w:rPr>
      <w:rFonts w:ascii="Arial" w:cs="Arial" w:hAnsi="Arial"/>
      <w:color w:val="FF0000"/>
    </w:rPr>
  </w:style>
  <w:style w:styleId="a9" w:type="paragraph">
    <w:name w:val="header"/>
    <w:basedOn w:val="a"/>
    <w:link w:val="Char0"/>
    <w:uiPriority w:val="99"/>
    <w:rsid w:val="006A4828"/>
    <w:pPr>
      <w:pBdr>
        <w:bottom w:color="auto" w:space="1" w:sz="6" w:val="single"/>
      </w:pBdr>
      <w:tabs>
        <w:tab w:pos="4153" w:val="center"/>
        <w:tab w:pos="8306" w:val="right"/>
      </w:tabs>
      <w:snapToGrid w:val="0"/>
      <w:jc w:val="center"/>
    </w:pPr>
    <w:rPr>
      <w:sz w:val="18"/>
      <w:szCs w:val="18"/>
    </w:rPr>
  </w:style>
  <w:style w:customStyle="1" w:styleId="10" w:type="character">
    <w:name w:val="已访问的超链接1"/>
    <w:basedOn w:val="a1"/>
    <w:rsid w:val="006A4828"/>
    <w:rPr>
      <w:color w:val="800080"/>
      <w:u w:val="single"/>
    </w:rPr>
  </w:style>
  <w:style w:styleId="aa" w:type="paragraph">
    <w:name w:val="List"/>
    <w:basedOn w:val="ab"/>
    <w:rsid w:val="006A4828"/>
    <w:pPr>
      <w:spacing w:after="220" w:line="220" w:lineRule="atLeast"/>
      <w:ind w:hanging="360" w:left="1440"/>
    </w:pPr>
    <w:rPr>
      <w:szCs w:val="20"/>
    </w:rPr>
  </w:style>
  <w:style w:styleId="ab" w:type="paragraph">
    <w:name w:val="Body Text"/>
    <w:basedOn w:val="a"/>
    <w:rsid w:val="006A4828"/>
    <w:pPr>
      <w:spacing w:after="120"/>
    </w:pPr>
  </w:style>
  <w:style w:styleId="ac" w:type="paragraph">
    <w:name w:val="Date"/>
    <w:basedOn w:val="a"/>
    <w:next w:val="a"/>
    <w:link w:val="Char1"/>
    <w:rsid w:val="006A4828"/>
    <w:rPr>
      <w:sz w:val="24"/>
      <w:szCs w:val="20"/>
    </w:rPr>
  </w:style>
  <w:style w:customStyle="1" w:styleId="c1" w:type="character">
    <w:name w:val="c1"/>
    <w:basedOn w:val="a1"/>
    <w:rsid w:val="006A4828"/>
    <w:rPr>
      <w:color w:val="000000"/>
      <w:sz w:val="18"/>
      <w:szCs w:val="18"/>
    </w:rPr>
  </w:style>
  <w:style w:styleId="11" w:type="paragraph">
    <w:name w:val="index 1"/>
    <w:basedOn w:val="a"/>
    <w:next w:val="a"/>
    <w:autoRedefine/>
    <w:semiHidden/>
    <w:rsid w:val="006A4828"/>
    <w:pPr>
      <w:jc w:val="right"/>
    </w:pPr>
    <w:rPr>
      <w:color w:val="008000"/>
    </w:rPr>
  </w:style>
  <w:style w:customStyle="1" w:styleId="font5" w:type="paragraph">
    <w:name w:val="font5"/>
    <w:basedOn w:val="a"/>
    <w:rsid w:val="006A4828"/>
    <w:pPr>
      <w:widowControl/>
      <w:spacing w:after="100" w:afterAutospacing="1" w:before="100" w:beforeAutospacing="1"/>
      <w:jc w:val="left"/>
    </w:pPr>
    <w:rPr>
      <w:rFonts w:ascii="宋体" w:cs="Arial Unicode MS" w:hAnsi="宋体" w:hint="eastAsia"/>
      <w:kern w:val="0"/>
      <w:sz w:val="18"/>
      <w:szCs w:val="18"/>
    </w:rPr>
  </w:style>
  <w:style w:customStyle="1" w:styleId="xl24" w:type="paragraph">
    <w:name w:val="xl24"/>
    <w:basedOn w:val="a"/>
    <w:rsid w:val="006A4828"/>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d" w:type="paragraph">
    <w:name w:val="Balloon Text"/>
    <w:basedOn w:val="a"/>
    <w:semiHidden/>
    <w:rsid w:val="006A4828"/>
    <w:rPr>
      <w:sz w:val="18"/>
      <w:szCs w:val="18"/>
    </w:rPr>
  </w:style>
  <w:style w:styleId="ae" w:type="character">
    <w:name w:val="annotation reference"/>
    <w:basedOn w:val="a1"/>
    <w:uiPriority w:val="99"/>
    <w:semiHidden/>
    <w:rsid w:val="006A4828"/>
    <w:rPr>
      <w:sz w:val="21"/>
      <w:szCs w:val="21"/>
    </w:rPr>
  </w:style>
  <w:style w:styleId="af" w:type="paragraph">
    <w:name w:val="annotation text"/>
    <w:basedOn w:val="a"/>
    <w:link w:val="Char2"/>
    <w:uiPriority w:val="99"/>
    <w:semiHidden/>
    <w:rsid w:val="006A4828"/>
    <w:pPr>
      <w:jc w:val="left"/>
    </w:pPr>
  </w:style>
  <w:style w:styleId="af0" w:type="paragraph">
    <w:name w:val="annotation subject"/>
    <w:basedOn w:val="af"/>
    <w:next w:val="af"/>
    <w:semiHidden/>
    <w:rsid w:val="006A4828"/>
    <w:rPr>
      <w:b/>
      <w:bCs/>
    </w:rPr>
  </w:style>
  <w:style w:customStyle="1" w:styleId="Char3" w:type="paragraph">
    <w:name w:val="Char"/>
    <w:basedOn w:val="a"/>
    <w:rsid w:val="006A4828"/>
  </w:style>
  <w:style w:styleId="af1" w:type="paragraph">
    <w:name w:val="Document Map"/>
    <w:basedOn w:val="a"/>
    <w:semiHidden/>
    <w:rsid w:val="000A549A"/>
    <w:pPr>
      <w:shd w:color="auto" w:fill="000080" w:val="clear"/>
    </w:pPr>
  </w:style>
  <w:style w:styleId="af2" w:type="table">
    <w:name w:val="Table Grid"/>
    <w:basedOn w:val="a2"/>
    <w:qFormat/>
    <w:rsid w:val="009A31AF"/>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3" w:type="paragraph">
    <w:name w:val="footnote text"/>
    <w:basedOn w:val="a"/>
    <w:link w:val="Char4"/>
    <w:rsid w:val="000B251E"/>
    <w:pPr>
      <w:snapToGrid w:val="0"/>
      <w:jc w:val="left"/>
    </w:pPr>
    <w:rPr>
      <w:sz w:val="18"/>
      <w:szCs w:val="18"/>
    </w:rPr>
  </w:style>
  <w:style w:styleId="af4" w:type="character">
    <w:name w:val="footnote reference"/>
    <w:basedOn w:val="a1"/>
    <w:rsid w:val="000B251E"/>
    <w:rPr>
      <w:vertAlign w:val="superscript"/>
    </w:rPr>
  </w:style>
  <w:style w:styleId="af5" w:type="paragraph">
    <w:name w:val="Normal (Web)"/>
    <w:basedOn w:val="a"/>
    <w:rsid w:val="00B25807"/>
    <w:pPr>
      <w:widowControl/>
      <w:spacing w:after="100" w:afterAutospacing="1" w:before="100" w:beforeAutospacing="1"/>
      <w:jc w:val="left"/>
    </w:pPr>
    <w:rPr>
      <w:rFonts w:ascii="宋体" w:hAnsi="宋体"/>
      <w:kern w:val="0"/>
      <w:sz w:val="24"/>
    </w:rPr>
  </w:style>
  <w:style w:customStyle="1" w:styleId="Char5" w:type="paragraph">
    <w:name w:val="Char"/>
    <w:basedOn w:val="a"/>
    <w:rsid w:val="00D97213"/>
  </w:style>
  <w:style w:customStyle="1" w:styleId="5" w:type="numbering">
    <w:name w:val="样式5"/>
    <w:rsid w:val="00952A72"/>
    <w:pPr>
      <w:numPr>
        <w:numId w:val="8"/>
      </w:numPr>
    </w:pPr>
  </w:style>
  <w:style w:customStyle="1" w:styleId="t1" w:type="character">
    <w:name w:val="t1"/>
    <w:basedOn w:val="a1"/>
    <w:rsid w:val="002D2A00"/>
    <w:rPr>
      <w:color w:val="990000"/>
    </w:rPr>
  </w:style>
  <w:style w:customStyle="1" w:styleId="Char" w:type="character">
    <w:name w:val="纯文本 Char"/>
    <w:basedOn w:val="a1"/>
    <w:link w:val="a5"/>
    <w:uiPriority w:val="99"/>
    <w:rsid w:val="009A045B"/>
    <w:rPr>
      <w:rFonts w:ascii="宋体" w:hAnsi="Courier New"/>
      <w:kern w:val="2"/>
      <w:sz w:val="21"/>
      <w:szCs w:val="21"/>
    </w:rPr>
  </w:style>
  <w:style w:customStyle="1" w:styleId="Char4" w:type="character">
    <w:name w:val="脚注文本 Char"/>
    <w:basedOn w:val="a1"/>
    <w:link w:val="af3"/>
    <w:rsid w:val="00CB481C"/>
    <w:rPr>
      <w:kern w:val="2"/>
      <w:sz w:val="18"/>
      <w:szCs w:val="18"/>
    </w:rPr>
  </w:style>
  <w:style w:customStyle="1" w:styleId="Default" w:type="paragraph">
    <w:name w:val="Default"/>
    <w:rsid w:val="00CB481C"/>
    <w:pPr>
      <w:widowControl w:val="0"/>
      <w:autoSpaceDE w:val="0"/>
      <w:autoSpaceDN w:val="0"/>
      <w:adjustRightInd w:val="0"/>
    </w:pPr>
    <w:rPr>
      <w:rFonts w:ascii="FangSong" w:cs="FangSong" w:hAnsi="FangSong"/>
      <w:color w:val="000000"/>
      <w:sz w:val="24"/>
      <w:szCs w:val="24"/>
    </w:rPr>
  </w:style>
  <w:style w:customStyle="1" w:styleId="Char0" w:type="character">
    <w:name w:val="页眉 Char"/>
    <w:basedOn w:val="a1"/>
    <w:link w:val="a9"/>
    <w:uiPriority w:val="99"/>
    <w:rsid w:val="001207F2"/>
    <w:rPr>
      <w:kern w:val="2"/>
      <w:sz w:val="18"/>
      <w:szCs w:val="18"/>
    </w:rPr>
  </w:style>
  <w:style w:customStyle="1" w:styleId="1Char" w:type="character">
    <w:name w:val="标题 1 Char"/>
    <w:basedOn w:val="a1"/>
    <w:link w:val="1"/>
    <w:uiPriority w:val="99"/>
    <w:rsid w:val="00180952"/>
    <w:rPr>
      <w:b/>
      <w:bCs/>
      <w:kern w:val="44"/>
      <w:sz w:val="44"/>
      <w:szCs w:val="44"/>
    </w:rPr>
  </w:style>
  <w:style w:customStyle="1" w:styleId="Char1" w:type="character">
    <w:name w:val="日期 Char"/>
    <w:basedOn w:val="a1"/>
    <w:link w:val="ac"/>
    <w:rsid w:val="00D66685"/>
    <w:rPr>
      <w:kern w:val="2"/>
      <w:sz w:val="24"/>
    </w:rPr>
  </w:style>
  <w:style w:styleId="af6" w:type="character">
    <w:name w:val="Strong"/>
    <w:basedOn w:val="a1"/>
    <w:uiPriority w:val="22"/>
    <w:qFormat/>
    <w:rsid w:val="00C02900"/>
    <w:rPr>
      <w:b/>
      <w:bCs/>
    </w:rPr>
  </w:style>
  <w:style w:customStyle="1" w:styleId="Char2" w:type="character">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media/image2.jpeg" Type="http://schemas.openxmlformats.org/officeDocument/2006/relationships/image"/>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Administrator/Desktop/abc&#23395;&#25253;.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82FB8-C167-4963-8B27-9929FDC0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254</TotalTime>
  <Pages>27</Pages>
  <Words>4295</Words>
  <Characters>24488</Characters>
  <Application>Microsoft Office Word</Application>
  <DocSecurity>0</DocSecurity>
  <Lines>204</Lines>
  <Paragraphs>57</Paragraphs>
  <ScaleCrop>false</ScaleCrop>
  <Company>TRT. Ltd. Co.</Company>
  <LinksUpToDate>false</LinksUpToDate>
  <CharactersWithSpaces>28726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2014-01-17T06:19:00Z</dcterms:created>
  <dc:creator>bonnieliu</dc:creator>
  <cp:lastModifiedBy>业务系统</cp:lastModifiedBy>
  <cp:lastPrinted>2007-07-19T00:46:00Z</cp:lastPrinted>
  <dcterms:modified xsi:type="dcterms:W3CDTF">2020-03-05T08:23:00Z</dcterms:modified>
  <cp:revision>404</cp:revision>
</cp:coreProperties>
</file>