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0C1E17" w:rsidRDefault="000C1E17" w:rsidRPr="00414345">
      <w:pPr>
        <w:autoSpaceDE w:val="0"/>
        <w:autoSpaceDN w:val="0"/>
        <w:adjustRightInd w:val="0"/>
        <w:spacing w:before="29" w:line="288" w:lineRule="auto"/>
        <w:jc w:val="left"/>
        <w:rPr>
          <w:color w:val="000000"/>
          <w:kern w:val="0"/>
          <w:sz w:val="24"/>
          <w:szCs w:val="24"/>
        </w:rPr>
      </w:pPr>
    </w:p>
    <w:p w:rsidP="00C15CAC" w:rsidR="000C1E17" w:rsidRDefault="000C1E17" w:rsidRPr="00414345">
      <w:pPr>
        <w:autoSpaceDE w:val="0"/>
        <w:autoSpaceDN w:val="0"/>
        <w:adjustRightInd w:val="0"/>
        <w:spacing w:before="29" w:line="288" w:lineRule="auto"/>
        <w:jc w:val="left"/>
        <w:rPr>
          <w:color w:val="000000"/>
          <w:kern w:val="0"/>
          <w:sz w:val="24"/>
          <w:szCs w:val="24"/>
        </w:rPr>
      </w:pPr>
    </w:p>
    <w:p w:rsidP="00C15CAC" w:rsidR="002279D3" w:rsidRDefault="002279D3" w:rsidRPr="0081286B">
      <w:pPr>
        <w:spacing w:before="29" w:line="288" w:lineRule="auto"/>
        <w:jc w:val="center"/>
        <w:rPr>
          <w:b/>
          <w:sz w:val="36"/>
          <w:szCs w:val="36"/>
        </w:rPr>
      </w:pPr>
      <w:r w:rsidRPr="0081286B">
        <w:rPr>
          <w:b/>
          <w:sz w:val="36"/>
          <w:szCs w:val="36"/>
        </w:rPr>
        <w:t>交银施罗德信用添利债券证券投资基金（LOF）</w:t>
      </w:r>
    </w:p>
    <w:p w:rsidP="00C15CAC" w:rsidR="002279D3" w:rsidRDefault="002279D3" w:rsidRPr="0081286B">
      <w:pPr>
        <w:spacing w:before="29" w:line="288" w:lineRule="auto"/>
        <w:jc w:val="center"/>
        <w:rPr>
          <w:b/>
          <w:sz w:val="36"/>
          <w:szCs w:val="36"/>
        </w:rPr>
      </w:pPr>
      <w:r w:rsidRPr="0081286B">
        <w:rPr>
          <w:b/>
          <w:sz w:val="36"/>
          <w:szCs w:val="36"/>
        </w:rPr>
        <w:t>2020年第4季度报告</w:t>
      </w:r>
    </w:p>
    <w:p w:rsidP="00C15CAC" w:rsidR="004061AC" w:rsidRDefault="00655CD8" w:rsidRPr="0081286B">
      <w:pPr>
        <w:spacing w:before="29" w:line="288" w:lineRule="auto"/>
        <w:jc w:val="center"/>
        <w:rPr>
          <w:b/>
          <w:sz w:val="36"/>
          <w:szCs w:val="36"/>
        </w:rPr>
      </w:pPr>
      <w:r w:rsidRPr="0081286B">
        <w:rPr>
          <w:b/>
          <w:sz w:val="36"/>
          <w:szCs w:val="36"/>
        </w:rPr>
        <w:t>2020年12月31日</w:t>
      </w: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625BFC" w:rsidRDefault="004061AC" w:rsidRPr="0081286B">
      <w:pPr>
        <w:spacing w:before="29" w:line="288" w:lineRule="auto"/>
        <w:ind w:firstLine="2168" w:firstLineChars="900"/>
        <w:rPr>
          <w:b/>
          <w:color w:val="000000"/>
          <w:sz w:val="24"/>
          <w:szCs w:val="24"/>
        </w:rPr>
      </w:pPr>
      <w:r w:rsidRPr="0081286B">
        <w:rPr>
          <w:b/>
          <w:color w:val="000000"/>
          <w:sz w:val="24"/>
          <w:szCs w:val="24"/>
        </w:rPr>
        <w:t>基金管理人：</w:t>
      </w:r>
      <w:r w:rsidRPr="0081286B">
        <w:rPr>
          <w:b/>
          <w:color w:val="000000"/>
          <w:sz w:val="24"/>
          <w:szCs w:val="24"/>
        </w:rPr>
        <w:t>交银施罗德基金管理有限公司</w:t>
      </w:r>
    </w:p>
    <w:p w:rsidP="00C15CAC" w:rsidR="00625BFC" w:rsidRDefault="004061AC" w:rsidRPr="0081286B">
      <w:pPr>
        <w:spacing w:before="29" w:line="288" w:lineRule="auto"/>
        <w:ind w:firstLine="2168" w:firstLineChars="900"/>
        <w:rPr>
          <w:b/>
          <w:color w:val="000000"/>
          <w:sz w:val="24"/>
          <w:szCs w:val="24"/>
        </w:rPr>
      </w:pPr>
      <w:r w:rsidRPr="0081286B">
        <w:rPr>
          <w:b/>
          <w:color w:val="000000"/>
          <w:sz w:val="24"/>
          <w:szCs w:val="24"/>
        </w:rPr>
        <w:t>基金托管人：</w:t>
      </w:r>
      <w:r w:rsidRPr="0081286B">
        <w:rPr>
          <w:b/>
          <w:color w:val="000000"/>
          <w:sz w:val="24"/>
          <w:szCs w:val="24"/>
        </w:rPr>
        <w:t>中国农业银行股份有限公司</w:t>
      </w:r>
    </w:p>
    <w:p w:rsidP="00C15CAC" w:rsidR="004061AC" w:rsidRDefault="004061AC" w:rsidRPr="0081286B">
      <w:pPr>
        <w:spacing w:before="29" w:line="288" w:lineRule="auto"/>
        <w:ind w:firstLine="2168" w:firstLineChars="900"/>
        <w:rPr>
          <w:b/>
          <w:color w:val="000000"/>
          <w:sz w:val="24"/>
          <w:szCs w:val="24"/>
        </w:rPr>
        <w:sectPr w:rsidR="004061AC" w:rsidRPr="0081286B" w:rsidSect="00DC456F">
          <w:headerReference r:id="rId8" w:type="even"/>
          <w:headerReference r:id="rId9" w:type="default"/>
          <w:footerReference r:id="rId10" w:type="even"/>
          <w:footerReference r:id="rId11" w:type="default"/>
          <w:headerReference r:id="rId12" w:type="first"/>
          <w:footerReference r:id="rId13" w:type="first"/>
          <w:pgSz w:h="15840" w:w="11926"/>
          <w:pgMar w:bottom="851" w:footer="992" w:gutter="0" w:header="851" w:left="1440" w:right="1440" w:top="1418"/>
          <w:cols w:space="720"/>
          <w:noEndnote/>
          <w:titlePg/>
          <w:docGrid w:linePitch="286"/>
        </w:sectPr>
      </w:pPr>
      <w:r w:rsidRPr="0081286B">
        <w:rPr>
          <w:b/>
          <w:color w:val="000000"/>
          <w:sz w:val="24"/>
          <w:szCs w:val="24"/>
        </w:rPr>
        <w:t>报告送出日期：</w:t>
      </w:r>
      <w:r w:rsidR="00F16E3F" w:rsidRPr="0081286B">
        <w:rPr>
          <w:b/>
          <w:color w:val="000000"/>
          <w:sz w:val="24"/>
          <w:szCs w:val="24"/>
        </w:rPr>
        <w:t/>
      </w:r>
      <w:r w:rsidR="0042009D" w:rsidRPr="0081286B">
        <w:rPr>
          <w:b/>
          <w:color w:val="000000"/>
          <w:sz w:val="24"/>
          <w:szCs w:val="24"/>
        </w:rPr>
        <w:t/>
      </w:r>
      <w:r w:rsidR="00F16E3F" w:rsidRPr="0081286B">
        <w:rPr>
          <w:b/>
          <w:color w:val="000000"/>
          <w:sz w:val="24"/>
          <w:szCs w:val="24"/>
        </w:rPr>
        <w:t>二〇二一年一月二十一日</w:t>
      </w:r>
    </w:p>
    <w:p w:rsidP="0011537B" w:rsidR="004061AC" w:rsidRDefault="004061AC" w:rsidRPr="00414345">
      <w:pPr>
        <w:pStyle w:val="1"/>
        <w:spacing w:after="312" w:afterLines="100" w:before="312" w:beforeLines="100" w:line="288" w:lineRule="auto"/>
        <w:jc w:val="center"/>
        <w:rPr>
          <w:b w:val="0"/>
          <w:bCs w:val="0"/>
          <w:color w:val="000000"/>
          <w:kern w:val="0"/>
          <w:sz w:val="24"/>
          <w:szCs w:val="24"/>
        </w:rPr>
      </w:pPr>
      <w:r w:rsidRPr="00414345">
        <w:rPr>
          <w:color w:val="000000"/>
          <w:kern w:val="0"/>
          <w:sz w:val="24"/>
          <w:szCs w:val="24"/>
        </w:rPr>
        <w:lastRenderedPageBreak/>
        <w:t xml:space="preserve">§1  </w:t>
      </w:r>
      <w:r w:rsidRPr="00414345">
        <w:rPr>
          <w:color w:val="000000"/>
          <w:kern w:val="0"/>
          <w:sz w:val="24"/>
          <w:szCs w:val="24"/>
        </w:rPr>
        <w:t>重要提示</w:t>
      </w:r>
    </w:p>
    <w:p>
      <w:pPr>
        <w:spacing w:before="29" w:line="288" w:lineRule="auto"/>
        <w:ind w:firstLine="480" w:firstLineChars="200"/>
        <w:rPr>
          <w:color w:val="000000"/>
          <w:sz w:val="24"/>
          <w:szCs w:val="24"/>
        </w:rPr>
      </w:pPr>
      <w:r>
        <w:rPr>
          <w:color w:val="000000"/>
          <w:sz w:val="24"/>
          <w:szCs w:val="24"/>
        </w:rPr>
        <w:t xml:space="preserve">基金管理人的董事会及董事保证本报告所载资料不存在虚假记载、误导性陈述或重大遗漏，并对其内容的真实性、准确性和完整性承担个别及连带责任。 </w:t>
      </w:r>
    </w:p>
    <w:p>
      <w:pPr>
        <w:spacing w:before="29" w:line="288" w:lineRule="auto"/>
        <w:ind w:firstLine="480" w:firstLineChars="200"/>
        <w:rPr>
          <w:color w:val="000000"/>
          <w:sz w:val="24"/>
          <w:szCs w:val="24"/>
        </w:rPr>
      </w:pPr>
      <w:r>
        <w:rPr>
          <w:color w:val="000000"/>
          <w:sz w:val="24"/>
          <w:szCs w:val="24"/>
        </w:rPr>
        <w:t xml:space="preserve">基金托管人中国农业银行股份有限公司根据本基金合同规定，于2021年1月20日复核了本报告中的财务指标、净值表现和投资组合报告等内容，保证复核内容不存在虚假记载、误导性陈述或者重大遗漏。 </w:t>
      </w:r>
    </w:p>
    <w:p>
      <w:pPr>
        <w:spacing w:before="29" w:line="288" w:lineRule="auto"/>
        <w:ind w:firstLine="480" w:firstLineChars="200"/>
        <w:rPr>
          <w:color w:val="000000"/>
          <w:sz w:val="24"/>
          <w:szCs w:val="24"/>
        </w:rPr>
      </w:pPr>
      <w:r>
        <w:rPr>
          <w:color w:val="000000"/>
          <w:sz w:val="24"/>
          <w:szCs w:val="24"/>
        </w:rPr>
        <w:t xml:space="preserve">基金管理人承诺以诚实信用、勤勉尽责的原则管理和运用基金资产，但不保证基金一定盈利。 </w:t>
      </w:r>
    </w:p>
    <w:p>
      <w:pPr>
        <w:spacing w:before="29" w:line="288" w:lineRule="auto"/>
        <w:ind w:firstLine="480" w:firstLineChars="200"/>
        <w:rPr>
          <w:color w:val="000000"/>
          <w:sz w:val="24"/>
          <w:szCs w:val="24"/>
        </w:rPr>
      </w:pPr>
      <w:r>
        <w:rPr>
          <w:color w:val="000000"/>
          <w:sz w:val="24"/>
          <w:szCs w:val="24"/>
        </w:rPr>
        <w:t xml:space="preserve">基金的过往业绩并不代表其未来表现。投资有风险，投资者在作出投资决策前应仔细阅读本基金的招募说明书。 </w:t>
      </w:r>
    </w:p>
    <w:p>
      <w:pPr>
        <w:spacing w:before="29" w:line="288" w:lineRule="auto"/>
        <w:ind w:firstLine="480" w:firstLineChars="200"/>
        <w:rPr>
          <w:color w:val="000000"/>
          <w:sz w:val="24"/>
          <w:szCs w:val="24"/>
        </w:rPr>
      </w:pPr>
      <w:r>
        <w:rPr>
          <w:color w:val="000000"/>
          <w:sz w:val="24"/>
          <w:szCs w:val="24"/>
        </w:rPr>
        <w:t>本报告中财务资料未经审计。</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本报告期自2020年10月1日起至12月31日止。</w:t>
      </w:r>
    </w:p>
    <w:p w:rsidP="00C15CAC" w:rsidR="00627E2D" w:rsidRDefault="00627E2D" w:rsidRPr="00414345">
      <w:pPr>
        <w:spacing w:before="29" w:line="288" w:lineRule="auto"/>
        <w:ind w:firstLine="480" w:firstLineChars="200"/>
        <w:rPr>
          <w:color w:val="000000"/>
          <w:sz w:val="24"/>
          <w:szCs w:val="24"/>
        </w:rPr>
      </w:pPr>
    </w:p>
    <w:p w:rsidP="0011537B" w:rsidR="004061AC" w:rsidRDefault="004061AC" w:rsidRPr="00414345">
      <w:pPr>
        <w:pStyle w:val="1"/>
        <w:spacing w:after="312" w:afterLines="100" w:before="312" w:beforeLines="100" w:line="288" w:lineRule="auto"/>
        <w:jc w:val="center"/>
        <w:rPr>
          <w:color w:val="000000"/>
          <w:kern w:val="0"/>
          <w:sz w:val="24"/>
          <w:szCs w:val="24"/>
        </w:rPr>
      </w:pPr>
      <w:r w:rsidRPr="00414345">
        <w:rPr>
          <w:color w:val="000000"/>
          <w:kern w:val="0"/>
          <w:sz w:val="24"/>
          <w:szCs w:val="24"/>
        </w:rPr>
        <w:t xml:space="preserve">§2  </w:t>
      </w:r>
      <w:r w:rsidRPr="00414345">
        <w:rPr>
          <w:color w:val="000000"/>
          <w:kern w:val="0"/>
          <w:sz w:val="24"/>
          <w:szCs w:val="24"/>
        </w:rPr>
        <w:t>基金产品概况</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1" w:lastRow="1" w:noHBand="0" w:noVBand="0" w:val="01E0"/>
      </w:tblPr>
      <w:tblGrid>
        <w:gridCol w:w="3023"/>
        <w:gridCol w:w="2922"/>
        <w:gridCol w:w="2923"/>
      </w:tblGrid>
      <w:tr w:rsidR="004061AC" w:rsidRPr="00414345" w:rsidTr="006E6726">
        <w:trPr>
          <w:jc w:val="center"/>
        </w:trPr>
        <w:tc>
          <w:tcPr>
            <w:tcW w:type="dxa" w:w="3023"/>
            <w:vAlign w:val="center"/>
          </w:tcPr>
          <w:p w:rsidP="00C15CAC" w:rsidR="004061AC" w:rsidRDefault="004061AC" w:rsidRPr="00414345">
            <w:pPr>
              <w:adjustRightInd w:val="0"/>
              <w:spacing w:before="29" w:line="288" w:lineRule="auto"/>
              <w:ind w:left="17"/>
              <w:jc w:val="left"/>
              <w:rPr>
                <w:kern w:val="0"/>
                <w:sz w:val="24"/>
                <w:szCs w:val="24"/>
              </w:rPr>
            </w:pPr>
            <w:r w:rsidRPr="00414345">
              <w:rPr>
                <w:kern w:val="0"/>
                <w:sz w:val="24"/>
                <w:szCs w:val="24"/>
              </w:rPr>
              <w:t>基金简称</w:t>
            </w:r>
          </w:p>
        </w:tc>
        <w:tc>
          <w:tcPr>
            <w:tcW w:type="dxa" w:w="5845"/>
            <w:gridSpan w:val="2"/>
            <w:vAlign w:val="center"/>
          </w:tcPr>
          <w:p w:rsidP="00C15CAC" w:rsidR="004061AC" w:rsidRDefault="004061AC" w:rsidRPr="00414345">
            <w:pPr>
              <w:adjustRightInd w:val="0"/>
              <w:spacing w:before="29" w:line="288" w:lineRule="auto"/>
              <w:ind w:left="17"/>
              <w:jc w:val="left"/>
              <w:rPr>
                <w:color w:val="000000"/>
                <w:kern w:val="0"/>
                <w:sz w:val="24"/>
                <w:szCs w:val="24"/>
              </w:rPr>
            </w:pPr>
            <w:r w:rsidRPr="00414345">
              <w:rPr>
                <w:color w:val="000000"/>
                <w:kern w:val="0"/>
                <w:sz w:val="24"/>
                <w:szCs w:val="24"/>
              </w:rPr>
              <w:t>交银信用添利债券（LOF）</w:t>
            </w:r>
          </w:p>
        </w:tc>
      </w:tr>
      <w:tr w:rsidR="006E6726" w:rsidRPr="00414345" w:rsidTr="006E6726">
        <w:trPr>
          <w:jc w:val="center"/>
        </w:trPr>
        <w:tc>
          <w:tcPr>
            <w:tcW w:type="dxa" w:w="3023"/>
            <w:vAlign w:val="center"/>
          </w:tcPr>
          <w:p w:rsidR="006E6726" w:rsidRDefault="006E6726">
            <w:pPr>
              <w:adjustRightInd w:val="0"/>
              <w:spacing w:before="29" w:line="288" w:lineRule="auto"/>
              <w:ind w:left="17"/>
              <w:jc w:val="left"/>
              <w:rPr>
                <w:kern w:val="0"/>
                <w:sz w:val="24"/>
                <w:szCs w:val="24"/>
              </w:rPr>
            </w:pPr>
            <w:r>
              <w:rPr>
                <w:rFonts w:hint="eastAsia"/>
                <w:kern w:val="0"/>
                <w:sz w:val="24"/>
              </w:rPr>
              <w:t>场内简称</w:t>
            </w:r>
          </w:p>
        </w:tc>
        <w:tc>
          <w:tcPr>
            <w:tcW w:type="dxa" w:w="5845"/>
            <w:gridSpan w:val="2"/>
            <w:vAlign w:val="center"/>
          </w:tcPr>
          <w:p w:rsidR="006E6726" w:rsidRDefault="006E6726">
            <w:pPr>
              <w:adjustRightInd w:val="0"/>
              <w:spacing w:before="29" w:line="288" w:lineRule="auto"/>
              <w:ind w:left="17"/>
              <w:jc w:val="left"/>
              <w:rPr>
                <w:color w:val="000000"/>
                <w:kern w:val="0"/>
                <w:sz w:val="24"/>
                <w:szCs w:val="24"/>
              </w:rPr>
            </w:pPr>
            <w:r>
              <w:rPr>
                <w:color w:val="000000"/>
                <w:kern w:val="0"/>
                <w:sz w:val="24"/>
              </w:rPr>
              <w:t>交银添利</w:t>
            </w:r>
          </w:p>
        </w:tc>
      </w:tr>
      <w:tr w:rsidR="00D94B8D" w:rsidRPr="00414345" w:rsidTr="006E6726">
        <w:trPr>
          <w:jc w:val="center"/>
        </w:trPr>
        <w:tc>
          <w:tcPr>
            <w:tcW w:type="dxa" w:w="3023"/>
            <w:tcBorders>
              <w:top w:color="auto" w:space="0" w:sz="4" w:val="single"/>
              <w:left w:color="auto" w:space="0" w:sz="4" w:val="single"/>
              <w:bottom w:color="auto" w:space="0" w:sz="4" w:val="single"/>
              <w:right w:color="auto" w:space="0" w:sz="4" w:val="single"/>
            </w:tcBorders>
            <w:vAlign w:val="center"/>
            <w:hideMark/>
          </w:tcPr>
          <w:p w:rsidP="00C15CAC" w:rsidR="00D94B8D" w:rsidRDefault="00D94B8D" w:rsidRPr="00414345">
            <w:pPr>
              <w:adjustRightInd w:val="0"/>
              <w:spacing w:before="29" w:line="288" w:lineRule="auto"/>
              <w:ind w:left="17"/>
              <w:jc w:val="left"/>
              <w:rPr>
                <w:kern w:val="0"/>
                <w:sz w:val="24"/>
                <w:szCs w:val="24"/>
              </w:rPr>
            </w:pPr>
            <w:r w:rsidRPr="00414345">
              <w:rPr>
                <w:kern w:val="0"/>
                <w:sz w:val="24"/>
                <w:szCs w:val="24"/>
              </w:rPr>
              <w:t>基金主代码</w:t>
            </w:r>
          </w:p>
        </w:tc>
        <w:tc>
          <w:tcPr>
            <w:tcW w:type="dxa" w:w="5845"/>
            <w:gridSpan w:val="2"/>
            <w:tcBorders>
              <w:top w:color="auto" w:space="0" w:sz="4" w:val="single"/>
              <w:left w:color="auto" w:space="0" w:sz="4" w:val="single"/>
              <w:bottom w:color="auto" w:space="0" w:sz="4" w:val="single"/>
              <w:right w:color="auto" w:space="0" w:sz="4" w:val="single"/>
            </w:tcBorders>
            <w:vAlign w:val="center"/>
            <w:hideMark/>
          </w:tcPr>
          <w:p w:rsidP="00C15CAC" w:rsidR="00D94B8D" w:rsidRDefault="00D94B8D" w:rsidRPr="00414345">
            <w:pPr>
              <w:adjustRightInd w:val="0"/>
              <w:spacing w:before="29" w:line="288" w:lineRule="auto"/>
              <w:ind w:left="17"/>
              <w:jc w:val="left"/>
              <w:rPr>
                <w:color w:val="000000"/>
                <w:kern w:val="0"/>
                <w:sz w:val="24"/>
                <w:szCs w:val="24"/>
              </w:rPr>
            </w:pPr>
            <w:r w:rsidRPr="00414345">
              <w:rPr>
                <w:color w:val="000000"/>
                <w:kern w:val="0"/>
                <w:sz w:val="24"/>
                <w:szCs w:val="24"/>
              </w:rPr>
              <w:t>164902</w:t>
            </w:r>
          </w:p>
        </w:tc>
      </w:tr>
      <w:tr w:rsidR="001B2F35" w:rsidRPr="00414345" w:rsidTr="006E6726">
        <w:trPr>
          <w:jc w:val="center"/>
        </w:trPr>
        <w:tc>
          <w:tcPr>
            <w:tcW w:type="dxa" w:w="3023"/>
            <w:tcBorders>
              <w:top w:color="auto" w:space="0" w:sz="4" w:val="single"/>
              <w:left w:color="auto" w:space="0" w:sz="4" w:val="single"/>
              <w:bottom w:color="auto" w:space="0" w:sz="4" w:val="single"/>
              <w:right w:color="auto" w:space="0" w:sz="4" w:val="single"/>
            </w:tcBorders>
            <w:vAlign w:val="center"/>
            <w:hideMark/>
          </w:tcPr>
          <w:p w:rsidP="00C15CAC" w:rsidR="001B2F35" w:rsidRDefault="001B2F35" w:rsidRPr="00414345">
            <w:pPr>
              <w:adjustRightInd w:val="0"/>
              <w:spacing w:before="29" w:line="288" w:lineRule="auto"/>
              <w:ind w:left="17"/>
              <w:jc w:val="left"/>
              <w:rPr>
                <w:kern w:val="0"/>
                <w:sz w:val="24"/>
                <w:szCs w:val="24"/>
              </w:rPr>
            </w:pPr>
            <w:r w:rsidRPr="00414345">
              <w:rPr>
                <w:kern w:val="0"/>
                <w:sz w:val="24"/>
                <w:szCs w:val="24"/>
              </w:rPr>
              <w:t>交易代码</w:t>
            </w:r>
          </w:p>
        </w:tc>
        <w:tc>
          <w:tcPr>
            <w:tcW w:type="dxa" w:w="2922"/>
            <w:tcBorders>
              <w:top w:color="auto" w:space="0" w:sz="4" w:val="single"/>
              <w:left w:color="auto" w:space="0" w:sz="4" w:val="single"/>
              <w:bottom w:color="auto" w:space="0" w:sz="4" w:val="single"/>
              <w:right w:color="auto" w:space="0" w:sz="4" w:val="single"/>
            </w:tcBorders>
            <w:vAlign w:val="center"/>
            <w:hideMark/>
          </w:tcPr>
          <w:p w:rsidP="00C15CAC" w:rsidR="001B2F35" w:rsidRDefault="001B2F35" w:rsidRPr="00414345">
            <w:pPr>
              <w:adjustRightInd w:val="0"/>
              <w:spacing w:before="29" w:line="288" w:lineRule="auto"/>
              <w:ind w:left="17"/>
              <w:jc w:val="left"/>
              <w:rPr>
                <w:color w:val="000000"/>
                <w:kern w:val="0"/>
                <w:sz w:val="24"/>
                <w:szCs w:val="24"/>
              </w:rPr>
            </w:pPr>
            <w:r w:rsidRPr="00414345">
              <w:rPr>
                <w:color w:val="000000"/>
                <w:kern w:val="0"/>
                <w:sz w:val="24"/>
                <w:szCs w:val="24"/>
              </w:rPr>
              <w:t>164902</w:t>
            </w:r>
            <w:r w:rsidR="004216D2" w:rsidRPr="00414345">
              <w:rPr>
                <w:color w:val="000000"/>
                <w:kern w:val="0"/>
                <w:sz w:val="24"/>
              </w:rPr>
              <w:t>(</w:t>
            </w:r>
            <w:r w:rsidR="004216D2" w:rsidRPr="00414345">
              <w:rPr>
                <w:color w:val="000000"/>
                <w:kern w:val="0"/>
                <w:sz w:val="24"/>
              </w:rPr>
              <w:t>前端</w:t>
            </w:r>
            <w:r w:rsidR="004216D2" w:rsidRPr="00414345">
              <w:rPr>
                <w:color w:val="000000"/>
                <w:kern w:val="0"/>
                <w:sz w:val="24"/>
              </w:rPr>
              <w:t>)</w:t>
            </w:r>
          </w:p>
        </w:tc>
        <w:tc>
          <w:tcPr>
            <w:tcW w:type="dxa" w:w="2923"/>
            <w:tcBorders>
              <w:top w:color="auto" w:space="0" w:sz="4" w:val="single"/>
              <w:left w:color="auto" w:space="0" w:sz="4" w:val="single"/>
              <w:bottom w:color="auto" w:space="0" w:sz="4" w:val="single"/>
              <w:right w:color="auto" w:space="0" w:sz="4" w:val="single"/>
            </w:tcBorders>
            <w:vAlign w:val="center"/>
            <w:hideMark/>
          </w:tcPr>
          <w:p w:rsidP="00C15CAC" w:rsidR="001B2F35" w:rsidRDefault="001B2F35" w:rsidRPr="00414345">
            <w:pPr>
              <w:adjustRightInd w:val="0"/>
              <w:spacing w:before="29" w:line="288" w:lineRule="auto"/>
              <w:ind w:left="17"/>
              <w:jc w:val="left"/>
              <w:rPr>
                <w:color w:val="000000"/>
                <w:kern w:val="0"/>
                <w:sz w:val="24"/>
                <w:szCs w:val="24"/>
              </w:rPr>
            </w:pPr>
            <w:r w:rsidRPr="00414345">
              <w:rPr>
                <w:color w:val="000000"/>
                <w:kern w:val="0"/>
                <w:sz w:val="24"/>
                <w:szCs w:val="24"/>
              </w:rPr>
              <w:t>164903</w:t>
            </w:r>
            <w:r w:rsidR="00604E50" w:rsidRPr="00414345">
              <w:rPr>
                <w:color w:val="000000"/>
                <w:kern w:val="0"/>
                <w:sz w:val="24"/>
              </w:rPr>
              <w:t>(</w:t>
            </w:r>
            <w:r w:rsidR="00604E50" w:rsidRPr="00414345">
              <w:rPr>
                <w:color w:val="000000"/>
                <w:kern w:val="0"/>
                <w:sz w:val="24"/>
              </w:rPr>
              <w:t>后端</w:t>
            </w:r>
            <w:r w:rsidR="00604E50" w:rsidRPr="00414345">
              <w:rPr>
                <w:color w:val="000000"/>
                <w:kern w:val="0"/>
                <w:sz w:val="24"/>
              </w:rPr>
              <w:t>)</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基金运作方式</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上市契约型开放式</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基金合同生效日</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2011年1月27日</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报告期末基金份额总额</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2,742,244,969.46</w:t>
            </w:r>
            <w:r w:rsidRPr="00414345">
              <w:rPr>
                <w:color w:val="000000"/>
                <w:kern w:val="0"/>
                <w:sz w:val="24"/>
                <w:szCs w:val="24"/>
              </w:rPr>
              <w:t>份</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投资目标</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本基金根据宏观经济运行状况和金融市场的运行趋势，自上而下进行宏观分析，自下而上精选个券，在控制信用风险、利率风险和流动性风险前提下，力求通过主动承担适度信用风险获得持续投资收益，谋求基金资产的长期稳定增长。</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投资策略</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本基金充分发挥基金管理人的研究优势，将规范化的基本面研究、严谨的信用分析与积极主动的投资风格相结合，在分析和判断宏观经济运行状况和金融市场运行趋势的基础上，动态调整大类金融资产比例，自上而下决定债券组合久期及债券类属配置；在严谨深入的信用分析基础上，综合考量信用债券的信用评级，以及各类债券的流动性、供求关系和收益率水平等，自下而上地精选个券。同时，本基金也会关注股票一级市场、权证一级市场等其它相关市场存在的投资机会，力争实现基金总体风险收益特征保持不变前提下的基金资产增值最大化。</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业绩比较基准</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80%×中债企业债总全价指数收益率+20%×中债国债总全价指数收益率</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风险收益特征</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本基金是一只债券型基金，属于证券投资基金中中等风险的品种，其长期平均的预期收益和风险高于货币市场基金，低于混合型基金和股票型基金。</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基金管理人</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交银施罗德基金管理有限公司</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基金托管人</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中国农业银行股份有限公司</w:t>
            </w:r>
          </w:p>
        </w:tc>
      </w:tr>
    </w:tbl>
    <w:p w:rsidP="00C15CAC" w:rsidR="004061AC" w:rsidRDefault="00A5612C"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注：根据本基金《基金合同》及《招募说明书》的相关规定，本基金在基金合同生效之日起三年(含三年)的期间内，采取封闭式运作，在深圳证券交易所上市交易，封闭期结束后转为上市开放式基金（LOF）。本基金封闭期自2011年1月27日(基金合同生效日)起至2014年1月27日止，自2014年1月28日起基金运作方式转为“上市契约型开放式”，并于同日起开放本基金的申购、赎回业务。本基金在募集期仅开通前端基金份额的认购，转为上市开放式基金（LOF）后同时开通前端基金份额和后端基金份额的申购和赎回。</w:t>
      </w:r>
    </w:p>
    <w:p w:rsidP="00C15CAC" w:rsidR="005910BF" w:rsidRDefault="005910BF" w:rsidRPr="00414345">
      <w:pPr>
        <w:autoSpaceDE w:val="0"/>
        <w:autoSpaceDN w:val="0"/>
        <w:adjustRightInd w:val="0"/>
        <w:spacing w:before="29" w:line="288" w:lineRule="auto"/>
        <w:jc w:val="left"/>
        <w:rPr>
          <w:color w:val="000000"/>
          <w:kern w:val="0"/>
          <w:sz w:val="24"/>
          <w:szCs w:val="24"/>
        </w:rPr>
      </w:pPr>
    </w:p>
    <w:p w:rsidP="0011537B" w:rsidR="004061AC" w:rsidRDefault="004061AC" w:rsidRPr="00414345">
      <w:pPr>
        <w:pStyle w:val="1"/>
        <w:spacing w:after="312" w:afterLines="100" w:before="312" w:beforeLines="100" w:line="288" w:lineRule="auto"/>
        <w:jc w:val="center"/>
        <w:rPr>
          <w:color w:val="000000"/>
          <w:kern w:val="0"/>
          <w:sz w:val="24"/>
          <w:szCs w:val="24"/>
        </w:rPr>
      </w:pPr>
      <w:r w:rsidRPr="00414345">
        <w:rPr>
          <w:color w:val="000000"/>
          <w:kern w:val="0"/>
          <w:sz w:val="24"/>
          <w:szCs w:val="24"/>
        </w:rPr>
        <w:t xml:space="preserve">§3  </w:t>
      </w:r>
      <w:r w:rsidRPr="00414345">
        <w:rPr>
          <w:color w:val="000000"/>
          <w:kern w:val="0"/>
          <w:sz w:val="24"/>
          <w:szCs w:val="24"/>
        </w:rPr>
        <w:t>主要财务指标和基金净值表现</w:t>
      </w: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3.1 </w:t>
      </w:r>
      <w:r w:rsidRPr="00414345">
        <w:rPr>
          <w:b/>
          <w:bCs/>
          <w:color w:val="000000"/>
          <w:kern w:val="0"/>
          <w:sz w:val="24"/>
          <w:szCs w:val="24"/>
        </w:rPr>
        <w:t>主要财务指标</w:t>
      </w:r>
    </w:p>
    <w:p w:rsidP="00C15CAC" w:rsidR="004061AC" w:rsidRDefault="004061AC" w:rsidRPr="00414345">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单位：人民币元</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0" w:firstRow="0" w:lastColumn="0" w:lastRow="0" w:noHBand="0" w:noVBand="0" w:val="0000"/>
      </w:tblPr>
      <w:tblGrid>
        <w:gridCol w:w="3607"/>
        <w:gridCol w:w="2706"/>
        <w:gridCol w:w="2555"/>
      </w:tblGrid>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jc w:val="center"/>
              <w:rPr>
                <w:kern w:val="0"/>
                <w:sz w:val="24"/>
                <w:szCs w:val="24"/>
              </w:rPr>
            </w:pPr>
            <w:r w:rsidRPr="00414345">
              <w:rPr>
                <w:kern w:val="0"/>
                <w:sz w:val="24"/>
                <w:szCs w:val="24"/>
              </w:rPr>
              <w:t>主要财务指标</w:t>
            </w:r>
            <w:r w:rsidR="00D96C8D" w:rsidRPr="00414345">
              <w:rPr>
                <w:kern w:val="0"/>
                <w:sz w:val="24"/>
                <w:szCs w:val="24"/>
              </w:rPr>
              <w:t/>
            </w:r>
          </w:p>
        </w:tc>
        <w:tc>
          <w:tcPr>
            <w:tcW w:type="dxa" w:w="4962"/>
            <w:hMerge w:val="restart"/>
            <w:vAlign w:val="center"/>
          </w:tcPr>
          <w:p w:rsidP="00C15CAC" w:rsidR="009C60F7" w:rsidRDefault="009C60F7" w:rsidRPr="00414345">
            <w:pPr>
              <w:adjustRightInd w:val="0"/>
              <w:spacing w:before="29" w:line="288" w:lineRule="auto"/>
              <w:ind w:left="17"/>
              <w:jc w:val="center"/>
              <w:rPr>
                <w:color w:val="000000"/>
                <w:sz w:val="24"/>
                <w:szCs w:val="24"/>
              </w:rPr>
            </w:pPr>
            <w:r w:rsidRPr="00414345">
              <w:rPr>
                <w:color w:val="000000"/>
                <w:sz w:val="24"/>
                <w:szCs w:val="24"/>
              </w:rPr>
              <w:t>报告期</w:t>
            </w:r>
          </w:p>
          <w:p w:rsidP="00C15CAC" w:rsidR="00C21520" w:rsidRDefault="009C60F7" w:rsidRPr="00414345">
            <w:pPr>
              <w:adjustRightInd w:val="0"/>
              <w:spacing w:before="29" w:line="288" w:lineRule="auto"/>
              <w:ind w:left="17"/>
              <w:jc w:val="center"/>
              <w:rPr>
                <w:color w:val="000000"/>
                <w:sz w:val="24"/>
                <w:szCs w:val="24"/>
              </w:rPr>
            </w:pPr>
            <w:r w:rsidRPr="00414345">
              <w:rPr>
                <w:color w:val="000000"/>
                <w:sz w:val="24"/>
                <w:szCs w:val="24"/>
              </w:rPr>
              <w:t>(2020年10月1日-2020年12月31日)</w:t>
            </w:r>
          </w:p>
        </w:tc>
        <w:tc>
          <w:tcPr>
            <w:tcW w:type="dxa" w:w="2410"/>
            <w:hMerge/>
            <w:vAlign w:val="center"/>
          </w:tcPr>
          <w:p w:rsidP="00C15CAC" w:rsidR="00C21520" w:rsidRDefault="00C21520" w:rsidRPr="00414345">
            <w:pPr>
              <w:adjustRightInd w:val="0"/>
              <w:spacing w:before="29" w:line="288" w:lineRule="auto"/>
              <w:ind w:left="17"/>
              <w:jc w:val="center"/>
              <w:rPr>
                <w:color w:val="000000"/>
                <w:sz w:val="24"/>
                <w:szCs w:val="24"/>
              </w:rPr>
            </w:pPr>
            <w:r w:rsidRPr="00414345">
              <w:rPr>
                <w:color w:val="000000"/>
                <w:sz w:val="24"/>
                <w:szCs w:val="24"/>
              </w:rPr>
              <w:t>上期金额</w:t>
            </w:r>
            <w:r w:rsidR="006A7AF1" w:rsidRPr="00414345">
              <w:rPr>
                <w:color w:val="000000"/>
                <w:sz w:val="24"/>
                <w:szCs w:val="24"/>
              </w:rPr>
              <w:t/>
            </w:r>
          </w:p>
        </w:tc>
      </w:tr>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lastRenderedPageBreak/>
              <w:t>1.</w:t>
            </w:r>
            <w:r w:rsidRPr="00414345">
              <w:rPr>
                <w:kern w:val="0"/>
                <w:sz w:val="24"/>
                <w:szCs w:val="24"/>
              </w:rPr>
              <w:t>本期已实现收益</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13,338,101.98</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t>2.</w:t>
            </w:r>
            <w:r w:rsidRPr="00414345">
              <w:rPr>
                <w:kern w:val="0"/>
                <w:sz w:val="24"/>
                <w:szCs w:val="24"/>
              </w:rPr>
              <w:t>本期利润</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3,871,944.33</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t>3.</w:t>
            </w:r>
            <w:r w:rsidRPr="00414345">
              <w:rPr>
                <w:kern w:val="0"/>
                <w:sz w:val="24"/>
                <w:szCs w:val="24"/>
              </w:rPr>
              <w:t>加权平均基金份额本期利润</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0.0013</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t>4.</w:t>
            </w:r>
            <w:r w:rsidRPr="00414345">
              <w:rPr>
                <w:kern w:val="0"/>
                <w:sz w:val="24"/>
                <w:szCs w:val="24"/>
              </w:rPr>
              <w:t>期末基金资产净值</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3,203,696,607.00</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trHeight w:val="158"/>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t>5.</w:t>
            </w:r>
            <w:r w:rsidRPr="00414345">
              <w:rPr>
                <w:kern w:val="0"/>
                <w:sz w:val="24"/>
                <w:szCs w:val="24"/>
              </w:rPr>
              <w:t>期末基金份额净值</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1.1683</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bl>
    <w:p>
      <w:pPr>
        <w:autoSpaceDE w:val="0"/>
        <w:autoSpaceDN w:val="0"/>
        <w:adjustRightInd w:val="0"/>
        <w:spacing w:before="29" w:line="288" w:lineRule="auto"/>
        <w:jc w:val="left"/>
        <w:rPr>
          <w:color w:val="000000"/>
          <w:sz w:val="24"/>
          <w:szCs w:val="24"/>
        </w:rPr>
      </w:pPr>
      <w:r>
        <w:rPr>
          <w:color w:val="000000"/>
          <w:sz w:val="24"/>
          <w:szCs w:val="24"/>
        </w:rPr>
        <w:t>注：1、上述基金业绩指标不包括持有人认购或交易基金的各项费用，计入费用后的实际收益水平要低于所列数字；</w:t>
      </w:r>
    </w:p>
    <w:p w:rsidP="00C15CAC" w:rsidR="004061AC" w:rsidRDefault="00A5612C"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 xml:space="preserve">    2、本期已实现收益指基金本期利息收入、投资收益、其他收入（不含公允价值变动收益）扣除相关费用后的余额，本期利润为本期已实现收益加上本期公允价值变动收益。</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 </w:t>
      </w:r>
      <w:r w:rsidRPr="00414345">
        <w:rPr>
          <w:b/>
          <w:bCs/>
          <w:color w:val="000000"/>
          <w:kern w:val="0"/>
          <w:sz w:val="24"/>
          <w:szCs w:val="24"/>
        </w:rPr>
        <w:t>基金净值表现</w:t>
      </w:r>
    </w:p>
    <w:p w:rsidP="00C15CAC" w:rsidR="00CF6572"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3.2.1 </w:t>
      </w:r>
      <w:r w:rsidRPr="00414345">
        <w:rPr>
          <w:b/>
          <w:bCs/>
          <w:color w:val="000000"/>
          <w:kern w:val="0"/>
          <w:sz w:val="24"/>
          <w:szCs w:val="24"/>
        </w:rPr>
        <w:t>本报告期基金份额净值增长率及其与同期业绩比较基准收益率的比较</w:t>
      </w:r>
    </w:p>
    <w:tbl>
      <w:tblPr>
        <w:tblStyle w:val="af7"/>
        <w:tblW w:type="dxa" w:w="8868"/>
        <w:jc w:val="center"/>
        <w:tblLayout w:type="fixed"/>
        <w:tblCellMar>
          <w:top w:type="dxa" w:w="57"/>
          <w:bottom w:type="dxa" w:w="57"/>
        </w:tblCellMar>
        <w:tblLook w:firstColumn="1" w:firstRow="1" w:lastColumn="0" w:lastRow="0" w:noHBand="0" w:noVBand="1" w:val="04A0"/>
      </w:tblPr>
      <w:tblGrid>
        <w:gridCol w:w="1701"/>
        <w:gridCol w:w="1045"/>
        <w:gridCol w:w="1344"/>
        <w:gridCol w:w="1194"/>
        <w:gridCol w:w="1492"/>
        <w:gridCol w:w="1194"/>
        <w:gridCol w:w="898"/>
      </w:tblGrid>
      <w:tr w:rsidR="00EF6FA5" w:rsidRPr="00414345" w:rsidTr="00A324F4">
        <w:trPr>
          <w:jc w:val="center"/>
        </w:trPr>
        <w:tc>
          <w:tcPr>
            <w:tcW w:type="dxa" w:w="1614"/>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阶段</w:t>
            </w:r>
            <w:r w:rsidR="00200FAB" w:rsidRPr="00414345">
              <w:rPr>
                <w:color w:val="000000"/>
                <w:sz w:val="24"/>
                <w:szCs w:val="24"/>
              </w:rPr>
              <w:t/>
            </w:r>
          </w:p>
        </w:tc>
        <w:tc>
          <w:tcPr>
            <w:tcW w:type="dxa" w:w="992"/>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w:t>
            </w:r>
            <w:r w:rsidRPr="00414345">
              <w:rPr>
                <w:rFonts w:hAnsi="宋体"/>
                <w:color w:val="000000"/>
                <w:sz w:val="24"/>
                <w:szCs w:val="24"/>
              </w:rPr>
              <w:t>①</w:t>
            </w:r>
          </w:p>
        </w:tc>
        <w:tc>
          <w:tcPr>
            <w:tcW w:type="dxa" w:w="1276"/>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净值增长率标准差</w:t>
            </w:r>
            <w:r w:rsidRPr="00414345">
              <w:rPr>
                <w:rFonts w:hAnsi="宋体"/>
                <w:color w:val="000000"/>
                <w:sz w:val="24"/>
                <w:szCs w:val="24"/>
              </w:rPr>
              <w:t>②</w:t>
            </w:r>
          </w:p>
        </w:tc>
        <w:tc>
          <w:tcPr>
            <w:tcW w:type="dxa" w:w="1134"/>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w:t>
            </w:r>
            <w:r w:rsidRPr="00414345">
              <w:rPr>
                <w:rFonts w:hAnsi="宋体"/>
                <w:color w:val="000000"/>
                <w:sz w:val="24"/>
                <w:szCs w:val="24"/>
              </w:rPr>
              <w:t>③</w:t>
            </w:r>
          </w:p>
        </w:tc>
        <w:tc>
          <w:tcPr>
            <w:tcW w:type="dxa" w:w="1417"/>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业绩比较基准收益率标准差</w:t>
            </w:r>
            <w:r w:rsidRPr="00414345">
              <w:rPr>
                <w:rFonts w:hAnsi="宋体"/>
                <w:color w:val="000000"/>
                <w:sz w:val="24"/>
                <w:szCs w:val="24"/>
              </w:rPr>
              <w:t>④</w:t>
            </w:r>
          </w:p>
        </w:tc>
        <w:tc>
          <w:tcPr>
            <w:tcW w:type="dxa" w:w="1134"/>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①</w:t>
            </w:r>
            <w:r w:rsidRPr="00414345">
              <w:rPr>
                <w:color w:val="000000"/>
                <w:sz w:val="24"/>
                <w:szCs w:val="24"/>
              </w:rPr>
              <w:t>-</w:t>
            </w:r>
            <w:r w:rsidRPr="00414345">
              <w:rPr>
                <w:rFonts w:hAnsi="宋体"/>
                <w:color w:val="000000"/>
                <w:sz w:val="24"/>
                <w:szCs w:val="24"/>
              </w:rPr>
              <w:t>③</w:t>
            </w:r>
          </w:p>
        </w:tc>
        <w:tc>
          <w:tcPr>
            <w:tcW w:type="dxa" w:w="853"/>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②</w:t>
            </w:r>
            <w:r w:rsidRPr="00414345">
              <w:rPr>
                <w:color w:val="000000"/>
                <w:sz w:val="24"/>
                <w:szCs w:val="24"/>
              </w:rPr>
              <w:t>-</w:t>
            </w:r>
            <w:r w:rsidRPr="00414345">
              <w:rPr>
                <w:rFonts w:hAnsi="宋体"/>
                <w:color w:val="000000"/>
                <w:sz w:val="24"/>
                <w:szCs w:val="24"/>
              </w:rPr>
              <w:t>④</w:t>
            </w:r>
          </w:p>
        </w:tc>
      </w:tr>
      <w:tr>
        <w:tc>
          <w:tcPr>
            <w:vAlign w:val="center"/>
          </w:tcPr>
          <w:p>
            <w:pPr>
              <w:jc w:val="left"/>
            </w:pPr>
            <w:r>
              <w:rPr>
                <w:color w:val="000000"/>
                <w:sz w:val="24"/>
                <w:szCs w:val="24"/>
              </w:rPr>
              <w:t>过去三个月</w:t>
            </w:r>
          </w:p>
        </w:tc>
        <w:tc>
          <w:tcPr>
            <w:vAlign w:val="center"/>
          </w:tcPr>
          <w:p>
            <w:pPr>
              <w:jc w:val="center"/>
            </w:pPr>
            <w:r>
              <w:rPr>
                <w:color w:val="000000"/>
                <w:sz w:val="24"/>
                <w:szCs w:val="24"/>
              </w:rPr>
              <w:t>0.14%</w:t>
            </w:r>
          </w:p>
        </w:tc>
        <w:tc>
          <w:tcPr>
            <w:vAlign w:val="center"/>
          </w:tcPr>
          <w:p>
            <w:pPr>
              <w:jc w:val="center"/>
            </w:pPr>
            <w:r>
              <w:rPr>
                <w:color w:val="000000"/>
                <w:sz w:val="24"/>
                <w:szCs w:val="24"/>
              </w:rPr>
              <w:t>0.05%</w:t>
            </w:r>
          </w:p>
        </w:tc>
        <w:tc>
          <w:tcPr>
            <w:vAlign w:val="center"/>
          </w:tcPr>
          <w:p>
            <w:pPr>
              <w:jc w:val="center"/>
            </w:pPr>
            <w:r>
              <w:rPr>
                <w:color w:val="000000"/>
                <w:sz w:val="24"/>
                <w:szCs w:val="24"/>
              </w:rPr>
              <w:t>-0.14%</w:t>
            </w:r>
          </w:p>
        </w:tc>
        <w:tc>
          <w:tcPr>
            <w:vAlign w:val="center"/>
          </w:tcPr>
          <w:p>
            <w:pPr>
              <w:jc w:val="center"/>
            </w:pPr>
            <w:r>
              <w:rPr>
                <w:color w:val="000000"/>
                <w:sz w:val="24"/>
                <w:szCs w:val="24"/>
              </w:rPr>
              <w:t>0.04%</w:t>
            </w:r>
          </w:p>
        </w:tc>
        <w:tc>
          <w:tcPr>
            <w:vAlign w:val="center"/>
          </w:tcPr>
          <w:p>
            <w:pPr>
              <w:jc w:val="center"/>
            </w:pPr>
            <w:r>
              <w:rPr>
                <w:color w:val="000000"/>
                <w:sz w:val="24"/>
                <w:szCs w:val="24"/>
              </w:rPr>
              <w:t>0.28%</w:t>
            </w:r>
          </w:p>
        </w:tc>
        <w:tc>
          <w:tcPr>
            <w:vAlign w:val="center"/>
          </w:tcPr>
          <w:p>
            <w:pPr>
              <w:jc w:val="center"/>
            </w:pPr>
            <w:r>
              <w:rPr>
                <w:color w:val="000000"/>
                <w:sz w:val="24"/>
                <w:szCs w:val="24"/>
              </w:rPr>
              <w:t>0.01%</w:t>
            </w:r>
          </w:p>
        </w:tc>
      </w:tr>
      <w:tr>
        <w:tc>
          <w:tcPr>
            <w:vAlign w:val="center"/>
          </w:tcPr>
          <w:p>
            <w:pPr>
              <w:jc w:val="left"/>
            </w:pPr>
            <w:r>
              <w:rPr>
                <w:color w:val="000000"/>
                <w:sz w:val="24"/>
                <w:szCs w:val="24"/>
              </w:rPr>
              <w:t>过去六个月</w:t>
            </w:r>
          </w:p>
        </w:tc>
        <w:tc>
          <w:tcPr>
            <w:vAlign w:val="center"/>
          </w:tcPr>
          <w:p>
            <w:pPr>
              <w:jc w:val="center"/>
            </w:pPr>
            <w:r>
              <w:rPr>
                <w:color w:val="000000"/>
                <w:sz w:val="24"/>
                <w:szCs w:val="24"/>
              </w:rPr>
              <w:t>0.28%</w:t>
            </w:r>
          </w:p>
        </w:tc>
        <w:tc>
          <w:tcPr>
            <w:vAlign w:val="center"/>
          </w:tcPr>
          <w:p>
            <w:pPr>
              <w:jc w:val="center"/>
            </w:pPr>
            <w:r>
              <w:rPr>
                <w:color w:val="000000"/>
                <w:sz w:val="24"/>
                <w:szCs w:val="24"/>
              </w:rPr>
              <w:t>0.06%</w:t>
            </w:r>
          </w:p>
        </w:tc>
        <w:tc>
          <w:tcPr>
            <w:vAlign w:val="center"/>
          </w:tcPr>
          <w:p>
            <w:pPr>
              <w:jc w:val="center"/>
            </w:pPr>
            <w:r>
              <w:rPr>
                <w:color w:val="000000"/>
                <w:sz w:val="24"/>
                <w:szCs w:val="24"/>
              </w:rPr>
              <w:t>-1.16%</w:t>
            </w:r>
          </w:p>
        </w:tc>
        <w:tc>
          <w:tcPr>
            <w:vAlign w:val="center"/>
          </w:tcPr>
          <w:p>
            <w:pPr>
              <w:jc w:val="center"/>
            </w:pPr>
            <w:r>
              <w:rPr>
                <w:color w:val="000000"/>
                <w:sz w:val="24"/>
                <w:szCs w:val="24"/>
              </w:rPr>
              <w:t>0.05%</w:t>
            </w:r>
          </w:p>
        </w:tc>
        <w:tc>
          <w:tcPr>
            <w:vAlign w:val="center"/>
          </w:tcPr>
          <w:p>
            <w:pPr>
              <w:jc w:val="center"/>
            </w:pPr>
            <w:r>
              <w:rPr>
                <w:color w:val="000000"/>
                <w:sz w:val="24"/>
                <w:szCs w:val="24"/>
              </w:rPr>
              <w:t>1.44%</w:t>
            </w:r>
          </w:p>
        </w:tc>
        <w:tc>
          <w:tcPr>
            <w:vAlign w:val="center"/>
          </w:tcPr>
          <w:p>
            <w:pPr>
              <w:jc w:val="center"/>
            </w:pPr>
            <w:r>
              <w:rPr>
                <w:color w:val="000000"/>
                <w:sz w:val="24"/>
                <w:szCs w:val="24"/>
              </w:rPr>
              <w:t>0.01%</w:t>
            </w:r>
          </w:p>
        </w:tc>
      </w:tr>
      <w:tr>
        <w:tc>
          <w:tcPr>
            <w:vAlign w:val="center"/>
          </w:tcPr>
          <w:p>
            <w:pPr>
              <w:jc w:val="left"/>
            </w:pPr>
            <w:r>
              <w:rPr>
                <w:color w:val="000000"/>
                <w:sz w:val="24"/>
                <w:szCs w:val="24"/>
              </w:rPr>
              <w:t>过去一年</w:t>
            </w:r>
          </w:p>
        </w:tc>
        <w:tc>
          <w:tcPr>
            <w:vAlign w:val="center"/>
          </w:tcPr>
          <w:p>
            <w:pPr>
              <w:jc w:val="center"/>
            </w:pPr>
            <w:r>
              <w:rPr>
                <w:color w:val="000000"/>
                <w:sz w:val="24"/>
                <w:szCs w:val="24"/>
              </w:rPr>
              <w:t>2.03%</w:t>
            </w:r>
          </w:p>
        </w:tc>
        <w:tc>
          <w:tcPr>
            <w:vAlign w:val="center"/>
          </w:tcPr>
          <w:p>
            <w:pPr>
              <w:jc w:val="center"/>
            </w:pPr>
            <w:r>
              <w:rPr>
                <w:color w:val="000000"/>
                <w:sz w:val="24"/>
                <w:szCs w:val="24"/>
              </w:rPr>
              <w:t>0.07%</w:t>
            </w:r>
          </w:p>
        </w:tc>
        <w:tc>
          <w:tcPr>
            <w:vAlign w:val="center"/>
          </w:tcPr>
          <w:p>
            <w:pPr>
              <w:jc w:val="center"/>
            </w:pPr>
            <w:r>
              <w:rPr>
                <w:color w:val="000000"/>
                <w:sz w:val="24"/>
                <w:szCs w:val="24"/>
              </w:rPr>
              <w:t>-1.03%</w:t>
            </w:r>
          </w:p>
        </w:tc>
        <w:tc>
          <w:tcPr>
            <w:vAlign w:val="center"/>
          </w:tcPr>
          <w:p>
            <w:pPr>
              <w:jc w:val="center"/>
            </w:pPr>
            <w:r>
              <w:rPr>
                <w:color w:val="000000"/>
                <w:sz w:val="24"/>
                <w:szCs w:val="24"/>
              </w:rPr>
              <w:t>0.07%</w:t>
            </w:r>
          </w:p>
        </w:tc>
        <w:tc>
          <w:tcPr>
            <w:vAlign w:val="center"/>
          </w:tcPr>
          <w:p>
            <w:pPr>
              <w:jc w:val="center"/>
            </w:pPr>
            <w:r>
              <w:rPr>
                <w:color w:val="000000"/>
                <w:sz w:val="24"/>
                <w:szCs w:val="24"/>
              </w:rPr>
              <w:t>3.06%</w:t>
            </w:r>
          </w:p>
        </w:tc>
        <w:tc>
          <w:tcPr>
            <w:vAlign w:val="center"/>
          </w:tcPr>
          <w:p>
            <w:pPr>
              <w:jc w:val="center"/>
            </w:pPr>
            <w:r>
              <w:rPr>
                <w:color w:val="000000"/>
                <w:sz w:val="24"/>
                <w:szCs w:val="24"/>
              </w:rPr>
              <w:t>0.00%</w:t>
            </w:r>
          </w:p>
        </w:tc>
      </w:tr>
      <w:tr>
        <w:tc>
          <w:tcPr>
            <w:vAlign w:val="center"/>
          </w:tcPr>
          <w:p>
            <w:pPr>
              <w:jc w:val="left"/>
            </w:pPr>
            <w:r>
              <w:rPr>
                <w:color w:val="000000"/>
                <w:sz w:val="24"/>
                <w:szCs w:val="24"/>
              </w:rPr>
              <w:t>过去三年</w:t>
            </w:r>
          </w:p>
        </w:tc>
        <w:tc>
          <w:tcPr>
            <w:vAlign w:val="center"/>
          </w:tcPr>
          <w:p>
            <w:pPr>
              <w:jc w:val="center"/>
            </w:pPr>
            <w:r>
              <w:rPr>
                <w:color w:val="000000"/>
                <w:sz w:val="24"/>
                <w:szCs w:val="24"/>
              </w:rPr>
              <w:t>13.11%</w:t>
            </w:r>
          </w:p>
        </w:tc>
        <w:tc>
          <w:tcPr>
            <w:vAlign w:val="center"/>
          </w:tcPr>
          <w:p>
            <w:pPr>
              <w:jc w:val="center"/>
            </w:pPr>
            <w:r>
              <w:rPr>
                <w:color w:val="000000"/>
                <w:sz w:val="24"/>
                <w:szCs w:val="24"/>
              </w:rPr>
              <w:t>0.08%</w:t>
            </w:r>
          </w:p>
        </w:tc>
        <w:tc>
          <w:tcPr>
            <w:vAlign w:val="center"/>
          </w:tcPr>
          <w:p>
            <w:pPr>
              <w:jc w:val="center"/>
            </w:pPr>
            <w:r>
              <w:rPr>
                <w:color w:val="000000"/>
                <w:sz w:val="24"/>
                <w:szCs w:val="24"/>
              </w:rPr>
              <w:t>2.91%</w:t>
            </w:r>
          </w:p>
        </w:tc>
        <w:tc>
          <w:tcPr>
            <w:vAlign w:val="center"/>
          </w:tcPr>
          <w:p>
            <w:pPr>
              <w:jc w:val="center"/>
            </w:pPr>
            <w:r>
              <w:rPr>
                <w:color w:val="000000"/>
                <w:sz w:val="24"/>
                <w:szCs w:val="24"/>
              </w:rPr>
              <w:t>0.06%</w:t>
            </w:r>
          </w:p>
        </w:tc>
        <w:tc>
          <w:tcPr>
            <w:vAlign w:val="center"/>
          </w:tcPr>
          <w:p>
            <w:pPr>
              <w:jc w:val="center"/>
            </w:pPr>
            <w:r>
              <w:rPr>
                <w:color w:val="000000"/>
                <w:sz w:val="24"/>
                <w:szCs w:val="24"/>
              </w:rPr>
              <w:t>10.20%</w:t>
            </w:r>
          </w:p>
        </w:tc>
        <w:tc>
          <w:tcPr>
            <w:vAlign w:val="center"/>
          </w:tcPr>
          <w:p>
            <w:pPr>
              <w:jc w:val="center"/>
            </w:pPr>
            <w:r>
              <w:rPr>
                <w:color w:val="000000"/>
                <w:sz w:val="24"/>
                <w:szCs w:val="24"/>
              </w:rPr>
              <w:t>0.02%</w:t>
            </w:r>
          </w:p>
        </w:tc>
      </w:tr>
      <w:tr>
        <w:tc>
          <w:tcPr>
            <w:vAlign w:val="center"/>
          </w:tcPr>
          <w:p>
            <w:pPr>
              <w:jc w:val="left"/>
            </w:pPr>
            <w:r>
              <w:rPr>
                <w:color w:val="000000"/>
                <w:sz w:val="24"/>
                <w:szCs w:val="24"/>
              </w:rPr>
              <w:t>过去五年</w:t>
            </w:r>
          </w:p>
        </w:tc>
        <w:tc>
          <w:tcPr>
            <w:vAlign w:val="center"/>
          </w:tcPr>
          <w:p>
            <w:pPr>
              <w:jc w:val="center"/>
            </w:pPr>
            <w:r>
              <w:rPr>
                <w:color w:val="000000"/>
                <w:sz w:val="24"/>
                <w:szCs w:val="24"/>
              </w:rPr>
              <w:t>17.88%</w:t>
            </w:r>
          </w:p>
        </w:tc>
        <w:tc>
          <w:tcPr>
            <w:vAlign w:val="center"/>
          </w:tcPr>
          <w:p>
            <w:pPr>
              <w:jc w:val="center"/>
            </w:pPr>
            <w:r>
              <w:rPr>
                <w:color w:val="000000"/>
                <w:sz w:val="24"/>
                <w:szCs w:val="24"/>
              </w:rPr>
              <w:t>0.08%</w:t>
            </w:r>
          </w:p>
        </w:tc>
        <w:tc>
          <w:tcPr>
            <w:vAlign w:val="center"/>
          </w:tcPr>
          <w:p>
            <w:pPr>
              <w:jc w:val="center"/>
            </w:pPr>
            <w:r>
              <w:rPr>
                <w:color w:val="000000"/>
                <w:sz w:val="24"/>
                <w:szCs w:val="24"/>
              </w:rPr>
              <w:t>-12.41%</w:t>
            </w:r>
          </w:p>
        </w:tc>
        <w:tc>
          <w:tcPr>
            <w:vAlign w:val="center"/>
          </w:tcPr>
          <w:p>
            <w:pPr>
              <w:jc w:val="center"/>
            </w:pPr>
            <w:r>
              <w:rPr>
                <w:color w:val="000000"/>
                <w:sz w:val="24"/>
                <w:szCs w:val="24"/>
              </w:rPr>
              <w:t>0.08%</w:t>
            </w:r>
          </w:p>
        </w:tc>
        <w:tc>
          <w:tcPr>
            <w:vAlign w:val="center"/>
          </w:tcPr>
          <w:p>
            <w:pPr>
              <w:jc w:val="center"/>
            </w:pPr>
            <w:r>
              <w:rPr>
                <w:color w:val="000000"/>
                <w:sz w:val="24"/>
                <w:szCs w:val="24"/>
              </w:rPr>
              <w:t>30.29%</w:t>
            </w:r>
          </w:p>
        </w:tc>
        <w:tc>
          <w:tcPr>
            <w:vAlign w:val="center"/>
          </w:tcPr>
          <w:p>
            <w:pPr>
              <w:jc w:val="center"/>
            </w:pPr>
            <w:r>
              <w:rPr>
                <w:color w:val="000000"/>
                <w:sz w:val="24"/>
                <w:szCs w:val="24"/>
              </w:rPr>
              <w:t>0.00%</w:t>
            </w:r>
          </w:p>
        </w:tc>
      </w:tr>
      <w:tr>
        <w:tc>
          <w:tcPr>
            <w:vAlign w:val="center"/>
          </w:tcPr>
          <w:p>
            <w:pPr>
              <w:jc w:val="left"/>
            </w:pPr>
            <w:r>
              <w:rPr>
                <w:color w:val="000000"/>
                <w:sz w:val="24"/>
                <w:szCs w:val="24"/>
              </w:rPr>
              <w:t>自基金合同生效起至今</w:t>
            </w:r>
          </w:p>
        </w:tc>
        <w:tc>
          <w:tcPr>
            <w:vAlign w:val="center"/>
          </w:tcPr>
          <w:p>
            <w:pPr>
              <w:jc w:val="center"/>
            </w:pPr>
            <w:r>
              <w:rPr>
                <w:color w:val="000000"/>
                <w:sz w:val="24"/>
                <w:szCs w:val="24"/>
              </w:rPr>
              <w:t>73.69%</w:t>
            </w:r>
          </w:p>
        </w:tc>
        <w:tc>
          <w:tcPr>
            <w:vAlign w:val="center"/>
          </w:tcPr>
          <w:p>
            <w:pPr>
              <w:jc w:val="center"/>
            </w:pPr>
            <w:r>
              <w:rPr>
                <w:color w:val="000000"/>
                <w:sz w:val="24"/>
                <w:szCs w:val="24"/>
              </w:rPr>
              <w:t>0.22%</w:t>
            </w:r>
          </w:p>
        </w:tc>
        <w:tc>
          <w:tcPr>
            <w:vAlign w:val="center"/>
          </w:tcPr>
          <w:p>
            <w:pPr>
              <w:jc w:val="center"/>
            </w:pPr>
            <w:r>
              <w:rPr>
                <w:color w:val="000000"/>
                <w:sz w:val="24"/>
                <w:szCs w:val="24"/>
              </w:rPr>
              <w:t>-6.33%</w:t>
            </w:r>
          </w:p>
        </w:tc>
        <w:tc>
          <w:tcPr>
            <w:vAlign w:val="center"/>
          </w:tcPr>
          <w:p>
            <w:pPr>
              <w:jc w:val="center"/>
            </w:pPr>
            <w:r>
              <w:rPr>
                <w:color w:val="000000"/>
                <w:sz w:val="24"/>
                <w:szCs w:val="24"/>
              </w:rPr>
              <w:t>0.09%</w:t>
            </w:r>
          </w:p>
        </w:tc>
        <w:tc>
          <w:tcPr>
            <w:vAlign w:val="center"/>
          </w:tcPr>
          <w:p>
            <w:pPr>
              <w:jc w:val="center"/>
            </w:pPr>
            <w:r>
              <w:rPr>
                <w:color w:val="000000"/>
                <w:sz w:val="24"/>
                <w:szCs w:val="24"/>
              </w:rPr>
              <w:t>80.02%</w:t>
            </w:r>
          </w:p>
        </w:tc>
        <w:tc>
          <w:tcPr>
            <w:vAlign w:val="center"/>
          </w:tcPr>
          <w:p>
            <w:pPr>
              <w:jc w:val="center"/>
            </w:pPr>
            <w:r>
              <w:rPr>
                <w:color w:val="000000"/>
                <w:sz w:val="24"/>
                <w:szCs w:val="24"/>
              </w:rPr>
              <w:t>0.13%</w:t>
            </w:r>
          </w:p>
        </w:tc>
      </w:tr>
    </w:tbl>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3.2.2</w:t>
      </w:r>
      <w:r w:rsidR="000824E7" w:rsidRPr="00F81917">
        <w:rPr>
          <w:rFonts w:hint="eastAsia"/>
          <w:b/>
          <w:bCs/>
          <w:color w:val="000000"/>
          <w:kern w:val="0"/>
          <w:sz w:val="24"/>
          <w:szCs w:val="24"/>
        </w:rPr>
        <w:t>自基金合同生效以来</w:t>
      </w:r>
      <w:r w:rsidR="00C6002A" w:rsidRPr="00F81917">
        <w:rPr>
          <w:b/>
          <w:bCs/>
          <w:color w:val="000000"/>
          <w:kern w:val="0"/>
          <w:sz w:val="24"/>
          <w:szCs w:val="24"/>
        </w:rPr>
        <w:t>基</w:t>
      </w:r>
      <w:r w:rsidR="00C6002A" w:rsidRPr="00414345">
        <w:rPr>
          <w:b/>
          <w:bCs/>
          <w:color w:val="000000"/>
          <w:sz w:val="24"/>
        </w:rPr>
        <w:t>金份额累计净值增长率变动及其与同期业绩比较基准收益率变动的比较</w:t>
      </w:r>
    </w:p>
    <w:p w:rsidP="00C15CAC" w:rsidR="008606B6" w:rsidRDefault="008606B6" w:rsidRPr="00414345">
      <w:pPr>
        <w:spacing w:before="29" w:line="288" w:lineRule="auto"/>
        <w:jc w:val="center"/>
        <w:rPr>
          <w:color w:val="000000"/>
          <w:sz w:val="24"/>
          <w:szCs w:val="24"/>
        </w:rPr>
      </w:pPr>
      <w:r w:rsidRPr="00414345">
        <w:rPr>
          <w:color w:val="000000"/>
          <w:sz w:val="24"/>
          <w:szCs w:val="24"/>
        </w:rPr>
        <w:t>交银施罗德信用添利债券证券投资基金（LOF）</w:t>
      </w:r>
    </w:p>
    <w:p w:rsidP="00C15CAC" w:rsidR="004061AC" w:rsidRDefault="00B56F53" w:rsidRPr="00414345">
      <w:pPr>
        <w:pStyle w:val="a5"/>
        <w:snapToGrid w:val="0"/>
        <w:spacing w:before="29" w:line="288" w:lineRule="auto"/>
        <w:jc w:val="center"/>
        <w:rPr>
          <w:rFonts w:ascii="Times New Roman" w:cs="Times New Roman" w:hAnsi="Times New Roman"/>
          <w:color w:val="000000"/>
          <w:sz w:val="24"/>
          <w:szCs w:val="24"/>
        </w:rPr>
      </w:pPr>
      <w:r w:rsidRPr="00414345">
        <w:rPr>
          <w:rFonts w:ascii="Times New Roman" w:cs="Times New Roman" w:hAnsi="Times New Roman"/>
          <w:color w:val="000000"/>
          <w:sz w:val="24"/>
          <w:szCs w:val="24"/>
        </w:rPr>
        <w:t>份额累计净值增长率与业绩比较基准收益率历史走势对比图</w:t>
      </w:r>
    </w:p>
    <w:p w:rsidP="00C15CAC" w:rsidR="00AE7962" w:rsidRDefault="00DE4B43" w:rsidRPr="00414345">
      <w:pPr>
        <w:pStyle w:val="a5"/>
        <w:snapToGrid w:val="0"/>
        <w:spacing w:before="29" w:line="288" w:lineRule="auto"/>
        <w:ind w:firstLine="480"/>
        <w:jc w:val="center"/>
        <w:rPr>
          <w:rFonts w:ascii="Times New Roman" w:cs="Times New Roman" w:hAnsi="Times New Roman"/>
          <w:sz w:val="24"/>
          <w:szCs w:val="24"/>
        </w:rPr>
      </w:pPr>
      <w:r w:rsidRPr="00414345">
        <w:rPr>
          <w:rFonts w:ascii="Times New Roman" w:cs="Times New Roman" w:hAnsi="Times New Roman"/>
          <w:color w:val="000000"/>
          <w:sz w:val="24"/>
          <w:szCs w:val="24"/>
        </w:rPr>
        <w:lastRenderedPageBreak/>
        <w:t>（</w:t>
      </w:r>
      <w:r w:rsidR="0042009D" w:rsidRPr="00414345">
        <w:rPr>
          <w:rFonts w:ascii="Times New Roman" w:cs="Times New Roman" w:hAnsi="Times New Roman"/>
          <w:sz w:val="24"/>
          <w:szCs w:val="24"/>
        </w:rPr>
        <w:t>2011年1月27日</w:t>
      </w:r>
      <w:r w:rsidR="00AE7962" w:rsidRPr="00414345">
        <w:rPr>
          <w:rFonts w:ascii="Times New Roman" w:cs="Times New Roman" w:hAnsi="Times New Roman"/>
          <w:sz w:val="24"/>
          <w:szCs w:val="24"/>
        </w:rPr>
        <w:t>至</w:t>
      </w:r>
      <w:r w:rsidR="00AE7962" w:rsidRPr="00414345">
        <w:rPr>
          <w:rFonts w:ascii="Times New Roman" w:cs="Times New Roman" w:hAnsi="Times New Roman"/>
          <w:sz w:val="24"/>
          <w:szCs w:val="24"/>
        </w:rPr>
        <w:t>2020年12月31日</w:t>
      </w:r>
      <w:r w:rsidRPr="00414345">
        <w:rPr>
          <w:rFonts w:ascii="Times New Roman" w:cs="Times New Roman" w:hAnsi="Times New Roman"/>
          <w:color w:val="000000"/>
          <w:sz w:val="24"/>
          <w:szCs w:val="24"/>
        </w:rPr>
        <w:t>）</w:t>
      </w:r>
    </w:p>
    <w:p w:rsidP="00C15CAC" w:rsidR="004061AC" w:rsidRDefault="00B816A7" w:rsidRPr="00414345">
      <w:pPr>
        <w:pStyle w:val="a5"/>
        <w:snapToGrid w:val="0"/>
        <w:spacing w:before="29" w:line="288" w:lineRule="auto"/>
        <w:jc w:val="center"/>
        <w:rPr>
          <w:rFonts w:ascii="Times New Roman" w:cs="Times New Roman" w:hAnsi="Times New Roman"/>
          <w:color w:val="000000"/>
          <w:sz w:val="24"/>
          <w:szCs w:val="24"/>
        </w:rPr>
      </w:pPr>
      <w:r w:rsidRPr="00414345">
        <w:rPr>
          <w:rFonts w:ascii="Times New Roman" w:cs="Times New Roman" w:hAnsi="Times New Roman"/>
          <w:noProof/>
          <w:color w:val="000000"/>
          <w:sz w:val="24"/>
          <w:szCs w:val="24"/>
        </w:rPr>
        <w:drawing>
          <wp:inline distB="0" distL="0" distR="0" distT="0">
            <wp:extent cx="5731510" cy="3356610"/>
            <wp:effectExtent b="0" l="19050" r="2540" t="0"/>
            <wp:docPr descr="走势图1.jpg"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cstate="print" r:embed="rId14"/>
                    <a:stretch>
                      <a:fillRect/>
                    </a:stretch>
                  </pic:blipFill>
                  <pic:spPr>
                    <a:xfrm>
                      <a:off x="0" y="0"/>
                      <a:ext cx="5731510" cy="3356610"/>
                    </a:xfrm>
                    <a:prstGeom prst="rect">
                      <a:avLst/>
                    </a:prstGeom>
                  </pic:spPr>
                </pic:pic>
              </a:graphicData>
            </a:graphic>
          </wp:inline>
        </w:drawing>
      </w:r>
    </w:p>
    <w:p w:rsidP="00C15CAC" w:rsidR="004061AC" w:rsidRDefault="001C79F2"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8700EC" w:rsidRPr="00414345">
        <w:rPr>
          <w:color w:val="000000"/>
          <w:sz w:val="24"/>
          <w:szCs w:val="24"/>
        </w:rPr>
        <w:t/>
      </w:r>
      <w:r w:rsidRPr="00414345">
        <w:rPr>
          <w:color w:val="000000"/>
          <w:sz w:val="24"/>
          <w:szCs w:val="24"/>
        </w:rPr>
        <w:t/>
      </w:r>
      <w:r w:rsidR="004061AC" w:rsidRPr="00414345">
        <w:rPr>
          <w:color w:val="000000"/>
          <w:sz w:val="24"/>
          <w:szCs w:val="24"/>
        </w:rPr>
        <w:t>注：本基金建仓期为自基金合同生效日起的6个月。截至建仓期结束，本基金各项资产配置比例符合基金合同及招募说明书有关投资比例的约定。</w:t>
      </w:r>
    </w:p>
    <w:p w:rsidP="00C15CAC" w:rsidR="00957594" w:rsidRDefault="00957594" w:rsidRPr="00414345">
      <w:pPr>
        <w:tabs>
          <w:tab w:pos="1800" w:val="left"/>
        </w:tabs>
        <w:spacing w:before="29" w:line="288" w:lineRule="auto"/>
        <w:rPr>
          <w:color w:val="000000"/>
          <w:sz w:val="24"/>
          <w:szCs w:val="24"/>
        </w:rPr>
      </w:pPr>
    </w:p>
    <w:p w:rsidP="00C15CAC" w:rsidR="00693843" w:rsidRDefault="00693843" w:rsidRPr="00414345">
      <w:pPr>
        <w:tabs>
          <w:tab w:pos="1800" w:val="left"/>
        </w:tabs>
        <w:spacing w:before="29" w:line="288" w:lineRule="auto"/>
        <w:rPr>
          <w:color w:val="000000"/>
          <w:sz w:val="24"/>
          <w:szCs w:val="24"/>
        </w:rPr>
      </w:pPr>
    </w:p>
    <w:p w:rsidP="0011537B" w:rsidR="004061AC" w:rsidRDefault="004061AC" w:rsidRPr="00414345">
      <w:pPr>
        <w:pStyle w:val="1"/>
        <w:spacing w:after="312" w:afterLines="100" w:before="312" w:beforeLines="100" w:line="288" w:lineRule="auto"/>
        <w:jc w:val="center"/>
        <w:rPr>
          <w:color w:val="000000"/>
          <w:kern w:val="0"/>
          <w:sz w:val="24"/>
          <w:szCs w:val="24"/>
        </w:rPr>
      </w:pPr>
      <w:r w:rsidRPr="00414345">
        <w:rPr>
          <w:color w:val="000000"/>
          <w:kern w:val="0"/>
          <w:sz w:val="24"/>
          <w:szCs w:val="24"/>
        </w:rPr>
        <w:t xml:space="preserve">§4  </w:t>
      </w:r>
      <w:r w:rsidRPr="00414345">
        <w:rPr>
          <w:color w:val="000000"/>
          <w:kern w:val="0"/>
          <w:sz w:val="24"/>
          <w:szCs w:val="24"/>
        </w:rPr>
        <w:t>管理人报告</w:t>
      </w:r>
    </w:p>
    <w:p w:rsidP="00C15CAC" w:rsidR="00B12B7D"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4.1 </w:t>
      </w:r>
      <w:r w:rsidRPr="00414345">
        <w:rPr>
          <w:b/>
          <w:bCs/>
          <w:color w:val="000000"/>
          <w:kern w:val="0"/>
          <w:sz w:val="24"/>
          <w:szCs w:val="24"/>
        </w:rPr>
        <w:t>基金经理</w:t>
      </w:r>
      <w:r w:rsidR="00333AD0" w:rsidRPr="00414345">
        <w:rPr>
          <w:b/>
          <w:color w:val="000000"/>
          <w:kern w:val="0"/>
          <w:sz w:val="24"/>
        </w:rPr>
        <w:t>（</w:t>
      </w:r>
      <w:r w:rsidRPr="00414345">
        <w:rPr>
          <w:b/>
          <w:bCs/>
          <w:color w:val="000000"/>
          <w:kern w:val="0"/>
          <w:sz w:val="24"/>
          <w:szCs w:val="24"/>
        </w:rPr>
        <w:t>或基金经理小组</w:t>
      </w:r>
      <w:r w:rsidR="00333AD0" w:rsidRPr="00414345">
        <w:rPr>
          <w:b/>
          <w:color w:val="000000"/>
          <w:kern w:val="0"/>
          <w:sz w:val="24"/>
        </w:rPr>
        <w:t>）</w:t>
      </w:r>
      <w:r w:rsidRPr="00414345">
        <w:rPr>
          <w:b/>
          <w:bCs/>
          <w:color w:val="000000"/>
          <w:kern w:val="0"/>
          <w:sz w:val="24"/>
          <w:szCs w:val="24"/>
        </w:rPr>
        <w:t>简介</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0" w:val="00A0"/>
      </w:tblPr>
      <w:tblGrid>
        <w:gridCol w:w="846"/>
        <w:gridCol w:w="845"/>
        <w:gridCol w:w="1549"/>
        <w:gridCol w:w="1548"/>
        <w:gridCol w:w="1407"/>
        <w:gridCol w:w="2673"/>
      </w:tblGrid>
      <w:tr w:rsidR="00286BEF" w:rsidRPr="00414345" w:rsidTr="006A10AB">
        <w:trPr>
          <w:trHeight w:val="292"/>
          <w:jc w:val="center"/>
        </w:trPr>
        <w:tc>
          <w:tcPr>
            <w:tcW w:type="dxa" w:w="851"/>
            <w:vMerge w:val="restart"/>
            <w:vAlign w:val="center"/>
          </w:tcPr>
          <w:p w:rsidP="00C15CAC" w:rsidR="004061AC" w:rsidRDefault="004061AC" w:rsidRPr="00414345">
            <w:pPr>
              <w:widowControl/>
              <w:spacing w:before="29" w:line="288" w:lineRule="auto"/>
              <w:ind w:left="17"/>
              <w:jc w:val="center"/>
              <w:rPr>
                <w:color w:val="000000"/>
                <w:kern w:val="0"/>
                <w:sz w:val="24"/>
                <w:szCs w:val="24"/>
              </w:rPr>
            </w:pPr>
            <w:r w:rsidRPr="00414345">
              <w:rPr>
                <w:color w:val="000000"/>
                <w:kern w:val="0"/>
                <w:sz w:val="24"/>
                <w:szCs w:val="24"/>
              </w:rPr>
              <w:t>姓名</w:t>
            </w:r>
          </w:p>
        </w:tc>
        <w:tc>
          <w:tcPr>
            <w:tcW w:type="dxa" w:w="850"/>
            <w:vMerge w:val="restart"/>
            <w:vAlign w:val="center"/>
          </w:tcPr>
          <w:p w:rsidP="00C15CAC" w:rsidR="004061AC" w:rsidRDefault="004061AC" w:rsidRPr="00414345">
            <w:pPr>
              <w:widowControl/>
              <w:spacing w:before="29" w:line="288" w:lineRule="auto"/>
              <w:ind w:left="17"/>
              <w:jc w:val="center"/>
              <w:rPr>
                <w:color w:val="000000"/>
                <w:kern w:val="0"/>
                <w:sz w:val="24"/>
                <w:szCs w:val="24"/>
              </w:rPr>
            </w:pPr>
            <w:r w:rsidRPr="00414345">
              <w:rPr>
                <w:color w:val="000000"/>
                <w:kern w:val="0"/>
                <w:sz w:val="24"/>
                <w:szCs w:val="24"/>
              </w:rPr>
              <w:t>职务</w:t>
            </w:r>
          </w:p>
        </w:tc>
        <w:tc>
          <w:tcPr>
            <w:tcW w:type="dxa" w:w="3119"/>
            <w:gridSpan w:val="2"/>
            <w:vAlign w:val="center"/>
          </w:tcPr>
          <w:p w:rsidP="00C15CAC" w:rsidR="004061AC" w:rsidRDefault="004061AC" w:rsidRPr="00414345">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任本基金的基金经理期限</w:t>
            </w:r>
          </w:p>
        </w:tc>
        <w:tc>
          <w:tcPr>
            <w:tcW w:type="dxa" w:w="1417"/>
            <w:vMerge w:val="restart"/>
            <w:vAlign w:val="center"/>
          </w:tcPr>
          <w:p w:rsidP="00C15CAC" w:rsidR="004061AC" w:rsidRDefault="004061AC" w:rsidRPr="00414345">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证券从业</w:t>
            </w:r>
            <w:r w:rsidRPr="00414345">
              <w:rPr>
                <w:color w:val="000000"/>
                <w:kern w:val="0"/>
                <w:sz w:val="24"/>
                <w:szCs w:val="24"/>
              </w:rPr>
              <w:lastRenderedPageBreak/>
              <w:t>年限</w:t>
            </w:r>
          </w:p>
        </w:tc>
        <w:tc>
          <w:tcPr>
            <w:tcW w:type="dxa" w:w="2694"/>
            <w:vMerge w:val="restart"/>
            <w:vAlign w:val="center"/>
          </w:tcPr>
          <w:p w:rsidP="00C15CAC" w:rsidR="004061AC" w:rsidRDefault="004061AC" w:rsidRPr="00414345">
            <w:pPr>
              <w:widowControl/>
              <w:spacing w:before="29" w:line="288" w:lineRule="auto"/>
              <w:ind w:left="17"/>
              <w:jc w:val="center"/>
              <w:rPr>
                <w:color w:val="000000"/>
                <w:kern w:val="0"/>
                <w:sz w:val="24"/>
                <w:szCs w:val="24"/>
              </w:rPr>
            </w:pPr>
            <w:r w:rsidRPr="00414345">
              <w:rPr>
                <w:color w:val="000000"/>
                <w:kern w:val="0"/>
                <w:sz w:val="24"/>
                <w:szCs w:val="24"/>
              </w:rPr>
              <w:lastRenderedPageBreak/>
              <w:t>说明</w:t>
            </w:r>
          </w:p>
        </w:tc>
      </w:tr>
      <w:tr w:rsidR="00D13737" w:rsidRPr="00414345" w:rsidTr="006A10AB">
        <w:trPr>
          <w:jc w:val="center"/>
        </w:trPr>
        <w:tc>
          <w:tcPr>
            <w:tcW w:type="dxa" w:w="851"/>
            <w:vMerge/>
            <w:vAlign w:val="center"/>
          </w:tcPr>
          <w:p w:rsidP="00C15CAC" w:rsidR="004061AC" w:rsidRDefault="004061AC" w:rsidRPr="00414345">
            <w:pPr>
              <w:widowControl/>
              <w:spacing w:before="29" w:line="288" w:lineRule="auto"/>
              <w:jc w:val="left"/>
              <w:rPr>
                <w:color w:val="000000"/>
                <w:kern w:val="0"/>
                <w:sz w:val="24"/>
                <w:szCs w:val="24"/>
              </w:rPr>
            </w:pPr>
          </w:p>
        </w:tc>
        <w:tc>
          <w:tcPr>
            <w:tcW w:type="dxa" w:w="850"/>
            <w:vMerge/>
            <w:vAlign w:val="center"/>
          </w:tcPr>
          <w:p w:rsidP="00C15CAC" w:rsidR="004061AC" w:rsidRDefault="004061AC" w:rsidRPr="00414345">
            <w:pPr>
              <w:widowControl/>
              <w:spacing w:before="29" w:line="288" w:lineRule="auto"/>
              <w:jc w:val="left"/>
              <w:rPr>
                <w:color w:val="000000"/>
                <w:kern w:val="0"/>
                <w:sz w:val="24"/>
                <w:szCs w:val="24"/>
              </w:rPr>
            </w:pPr>
          </w:p>
        </w:tc>
        <w:tc>
          <w:tcPr>
            <w:tcW w:type="dxa" w:w="1560"/>
            <w:vAlign w:val="center"/>
          </w:tcPr>
          <w:p w:rsidP="00C15CAC" w:rsidR="004061AC" w:rsidRDefault="004061AC" w:rsidRPr="00414345">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任职日期</w:t>
            </w:r>
          </w:p>
        </w:tc>
        <w:tc>
          <w:tcPr>
            <w:tcW w:type="dxa" w:w="1559"/>
            <w:vAlign w:val="center"/>
          </w:tcPr>
          <w:p w:rsidP="00C15CAC" w:rsidR="004061AC" w:rsidRDefault="004061AC" w:rsidRPr="00414345">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离任日期</w:t>
            </w:r>
          </w:p>
        </w:tc>
        <w:tc>
          <w:tcPr>
            <w:tcW w:type="dxa" w:w="1417"/>
            <w:vMerge/>
            <w:vAlign w:val="center"/>
          </w:tcPr>
          <w:p w:rsidP="00C15CAC" w:rsidR="004061AC" w:rsidRDefault="004061AC" w:rsidRPr="00414345">
            <w:pPr>
              <w:widowControl/>
              <w:spacing w:before="29" w:line="288" w:lineRule="auto"/>
              <w:jc w:val="left"/>
              <w:rPr>
                <w:color w:val="000000"/>
                <w:kern w:val="0"/>
                <w:sz w:val="24"/>
                <w:szCs w:val="24"/>
              </w:rPr>
            </w:pPr>
          </w:p>
        </w:tc>
        <w:tc>
          <w:tcPr>
            <w:tcW w:type="dxa" w:w="2694"/>
            <w:vMerge/>
            <w:vAlign w:val="center"/>
          </w:tcPr>
          <w:p w:rsidP="00C15CAC" w:rsidR="004061AC" w:rsidRDefault="004061AC" w:rsidRPr="00414345">
            <w:pPr>
              <w:widowControl/>
              <w:spacing w:before="29" w:line="288" w:lineRule="auto"/>
              <w:jc w:val="left"/>
              <w:rPr>
                <w:color w:val="000000"/>
                <w:kern w:val="0"/>
                <w:sz w:val="24"/>
                <w:szCs w:val="24"/>
              </w:rPr>
            </w:pPr>
          </w:p>
        </w:tc>
      </w:tr>
      <w:tr>
        <w:tc>
          <w:tcPr>
            <w:vAlign w:val="center"/>
          </w:tcPr>
          <w:p>
            <w:pPr>
              <w:jc w:val="center"/>
            </w:pPr>
            <w:r>
              <w:rPr>
                <w:color w:val="000000"/>
                <w:sz w:val="24"/>
                <w:szCs w:val="24"/>
              </w:rPr>
              <w:t>唐赟</w:t>
            </w:r>
          </w:p>
        </w:tc>
        <w:tc>
          <w:tcPr>
            <w:vAlign w:val="center"/>
          </w:tcPr>
          <w:p>
            <w:pPr>
              <w:jc w:val="center"/>
            </w:pPr>
            <w:r>
              <w:rPr>
                <w:color w:val="000000"/>
                <w:sz w:val="24"/>
                <w:szCs w:val="24"/>
              </w:rPr>
              <w:t>交银信用添利债券(LOF)、交银双利债券、交银双轮动债券、交银定期支付月月丰债券、交银增强收益债券、交银强化回报债券、交银荣鑫灵活配置混合、交银稳固收益债券的基金经理</w:t>
            </w:r>
          </w:p>
        </w:tc>
        <w:tc>
          <w:tcPr>
            <w:vAlign w:val="center"/>
          </w:tcPr>
          <w:p>
            <w:pPr>
              <w:jc w:val="center"/>
            </w:pPr>
            <w:r>
              <w:rPr>
                <w:color w:val="000000"/>
                <w:sz w:val="24"/>
                <w:szCs w:val="24"/>
              </w:rPr>
              <w:t>2015-08-04</w:t>
            </w:r>
          </w:p>
        </w:tc>
        <w:tc>
          <w:tcPr>
            <w:vAlign w:val="center"/>
          </w:tcPr>
          <w:p>
            <w:pPr>
              <w:jc w:val="center"/>
            </w:pPr>
            <w:r>
              <w:rPr>
                <w:color w:val="000000"/>
                <w:sz w:val="24"/>
                <w:szCs w:val="24"/>
              </w:rPr>
              <w:t>-</w:t>
            </w:r>
          </w:p>
        </w:tc>
        <w:tc>
          <w:tcPr>
            <w:vAlign w:val="center"/>
          </w:tcPr>
          <w:p>
            <w:pPr>
              <w:jc w:val="center"/>
            </w:pPr>
            <w:r>
              <w:rPr>
                <w:color w:val="000000"/>
                <w:sz w:val="24"/>
                <w:szCs w:val="24"/>
              </w:rPr>
              <w:t>10年</w:t>
            </w:r>
          </w:p>
        </w:tc>
        <w:tc>
          <w:tcPr>
            <w:vAlign w:val="center"/>
          </w:tcPr>
          <w:p>
            <w:pPr>
              <w:jc w:val="both"/>
            </w:pPr>
            <w:r>
              <w:rPr>
                <w:color w:val="000000"/>
                <w:sz w:val="24"/>
                <w:szCs w:val="24"/>
              </w:rPr>
              <w:t>唐赟先生，香港城市大学电子工程硕士。历任渣打银行环球企业部助理客户经理、平安资产管理公司信用分析员。2012年加入交银施罗德基金管理有限公司，历任固定收益研究员、基金经理助理。2015年11月7日至2018年6月1日担任转型前的交银施罗德荣和保本混合型证券投资基金的基金经理。2017年3月31日至2019年10月23日担任交银施罗德裕通纯债债券型证券投资基金的基金经理。2018年6月2日至2019年12月13日担任交银施罗德安心收益债券型证券投资基金的基金经理。</w:t>
            </w:r>
          </w:p>
        </w:tc>
      </w:tr>
    </w:tbl>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注：基金经理（或基金经理小组）期后变动（如有）敬请关注基金管理人发布的相关公告。</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4.2 </w:t>
      </w:r>
      <w:r w:rsidRPr="00414345">
        <w:rPr>
          <w:b/>
          <w:bCs/>
          <w:color w:val="000000"/>
          <w:kern w:val="0"/>
          <w:sz w:val="24"/>
          <w:szCs w:val="24"/>
        </w:rPr>
        <w:t>管理人对报告期内本基金运作遵规守信情况的说明</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4.3 </w:t>
      </w:r>
      <w:r w:rsidRPr="00414345">
        <w:rPr>
          <w:b/>
          <w:bCs/>
          <w:color w:val="000000"/>
          <w:kern w:val="0"/>
          <w:sz w:val="24"/>
          <w:szCs w:val="24"/>
        </w:rPr>
        <w:t>公平交易专项说明</w:t>
      </w:r>
    </w:p>
    <w:p w:rsidP="00C15CAC" w:rsidR="004061AC" w:rsidRDefault="004061AC" w:rsidRPr="00414345">
      <w:pPr>
        <w:spacing w:before="29" w:line="288" w:lineRule="auto"/>
        <w:rPr>
          <w:color w:val="000000"/>
          <w:sz w:val="24"/>
          <w:szCs w:val="24"/>
        </w:rPr>
      </w:pPr>
      <w:r w:rsidRPr="00414345">
        <w:rPr>
          <w:color w:val="000000"/>
          <w:sz w:val="24"/>
          <w:szCs w:val="24"/>
        </w:rPr>
        <w:t xml:space="preserve">4.3.1 </w:t>
      </w:r>
      <w:r w:rsidRPr="00414345">
        <w:rPr>
          <w:color w:val="000000"/>
          <w:sz w:val="24"/>
          <w:szCs w:val="24"/>
        </w:rPr>
        <w:t>公平交易制度的执行情况</w:t>
      </w:r>
    </w:p>
    <w:p>
      <w:pPr>
        <w:spacing w:before="29" w:line="288" w:lineRule="auto"/>
        <w:ind w:firstLine="480" w:firstLineChars="200"/>
        <w:rPr>
          <w:color w:val="000000"/>
          <w:sz w:val="24"/>
          <w:szCs w:val="24"/>
        </w:rPr>
      </w:pPr>
      <w:r>
        <w:rPr>
          <w:color w:val="000000"/>
          <w:sz w:val="24"/>
          <w:szCs w:val="24"/>
        </w:rPr>
        <w:t>本公司制定了严格的投资控制制度和公平交易监控制度来保证旗下基金运作的公平，旗下所管理的所有资产组合，包括证券投资基金和私募资产管理计划均严格遵循制度进行公平交易。</w:t>
      </w:r>
    </w:p>
    <w:p>
      <w:pPr>
        <w:spacing w:before="29" w:line="288" w:lineRule="auto"/>
        <w:ind w:firstLine="480" w:firstLineChars="200"/>
        <w:rPr>
          <w:color w:val="000000"/>
          <w:sz w:val="24"/>
          <w:szCs w:val="24"/>
        </w:rPr>
      </w:pPr>
      <w:r>
        <w:rPr>
          <w:color w:val="000000"/>
          <w:sz w:val="24"/>
          <w:szCs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价格优先、时间优先”的原则，全部通过交易系统进行比例分配；对于非集中竞价交易、以公司名义进行的场外交易，遵循公平交易分配原则对交易结果进行分配。</w:t>
      </w:r>
    </w:p>
    <w:p>
      <w:pPr>
        <w:spacing w:before="29" w:line="288" w:lineRule="auto"/>
        <w:ind w:firstLine="480" w:firstLineChars="200"/>
        <w:rPr>
          <w:color w:val="000000"/>
          <w:sz w:val="24"/>
          <w:szCs w:val="24"/>
        </w:rPr>
      </w:pPr>
      <w:r>
        <w:rPr>
          <w:color w:val="000000"/>
          <w:sz w:val="24"/>
          <w:szCs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
      </w:r>
      <w:r w:rsidR="00957594" w:rsidRPr="00414345">
        <w:rPr>
          <w:color w:val="000000"/>
          <w:sz w:val="24"/>
          <w:szCs w:val="24"/>
        </w:rPr>
        <w:t/>
      </w:r>
      <w:r w:rsidRPr="00414345">
        <w:rPr>
          <w:color w:val="000000"/>
          <w:sz w:val="24"/>
          <w:szCs w:val="24"/>
        </w:rPr>
        <w:t>报告期内本公司严格执行公平交易制度，公平对待旗下各投资组合，未发现任何违反公平交易的行为。</w:t>
      </w:r>
    </w:p>
    <w:p w:rsidP="00C15CAC" w:rsidR="004061AC" w:rsidRDefault="004061AC" w:rsidRPr="00414345">
      <w:pPr>
        <w:spacing w:before="29" w:line="288" w:lineRule="auto"/>
        <w:rPr>
          <w:color w:val="000000"/>
          <w:sz w:val="24"/>
          <w:szCs w:val="24"/>
        </w:rPr>
      </w:pPr>
      <w:r w:rsidRPr="00414345">
        <w:rPr>
          <w:color w:val="000000"/>
          <w:sz w:val="24"/>
          <w:szCs w:val="24"/>
        </w:rPr>
        <w:t xml:space="preserve">4.3.2 </w:t>
      </w:r>
      <w:r w:rsidRPr="00414345">
        <w:rPr>
          <w:color w:val="000000"/>
          <w:sz w:val="24"/>
          <w:szCs w:val="24"/>
        </w:rPr>
        <w:t>异常交易行为的专项说明</w:t>
      </w:r>
    </w:p>
    <w:p w:rsidP="00C15CAC" w:rsidR="004061AC" w:rsidRDefault="00957594" w:rsidRPr="00414345">
      <w:pPr>
        <w:spacing w:before="29" w:line="288" w:lineRule="auto"/>
        <w:ind w:firstLine="480" w:firstLineChars="200"/>
        <w:rPr>
          <w:color w:val="000000"/>
          <w:sz w:val="24"/>
          <w:szCs w:val="24"/>
        </w:rPr>
      </w:pPr>
      <w:r w:rsidRPr="00414345">
        <w:rPr>
          <w:color w:val="000000"/>
          <w:sz w:val="24"/>
          <w:szCs w:val="24"/>
        </w:rPr>
        <w:t>本基金于本报告期内不存在异常交易行为。本报告期内，本公司管理的所有投资组合参与的交易所公开竞价同日反向交易成交较少的单边交易量没有超过该证券当日总成交量5%的情形，本基金与本公司管理的其他投资组合在不同时间窗下（如日内、3日内、5日内）同向交易的交易价差未出现异常。</w:t>
      </w:r>
    </w:p>
    <w:p w:rsidP="00C15CAC" w:rsidR="004061AC" w:rsidRDefault="004061AC" w:rsidRPr="00414345">
      <w:pPr>
        <w:spacing w:before="29" w:line="288" w:lineRule="auto"/>
        <w:ind w:firstLine="480" w:firstLineChars="200"/>
        <w:rPr>
          <w:color w:val="000000"/>
          <w:sz w:val="24"/>
          <w:szCs w:val="24"/>
        </w:rPr>
      </w:pPr>
    </w:p>
    <w:p w:rsidP="00C15CAC" w:rsidR="004061AC" w:rsidRDefault="00D44EE8" w:rsidRPr="00414345">
      <w:pPr>
        <w:spacing w:before="29" w:line="288" w:lineRule="auto"/>
        <w:rPr>
          <w:sz w:val="24"/>
          <w:szCs w:val="24"/>
        </w:rPr>
      </w:pPr>
      <w:r w:rsidRPr="00414345">
        <w:rPr>
          <w:b/>
          <w:color w:val="000000"/>
          <w:kern w:val="0"/>
          <w:sz w:val="24"/>
        </w:rPr>
        <w:t xml:space="preserve">4.4 </w:t>
      </w:r>
      <w:r w:rsidRPr="00414345">
        <w:rPr>
          <w:rFonts w:hAnsi="宋体"/>
          <w:b/>
          <w:bCs/>
          <w:color w:val="000000"/>
          <w:sz w:val="24"/>
        </w:rPr>
        <w:t>报告期内基金的投资策略和运作分析</w:t>
      </w:r>
    </w:p>
    <w:p>
      <w:pPr>
        <w:spacing w:before="29" w:line="288" w:lineRule="auto"/>
        <w:ind w:firstLine="480" w:firstLineChars="200"/>
        <w:rPr>
          <w:color w:val="000000"/>
          <w:sz w:val="24"/>
          <w:szCs w:val="24"/>
        </w:rPr>
      </w:pPr>
      <w:r>
        <w:rPr>
          <w:color w:val="000000"/>
          <w:sz w:val="24"/>
          <w:szCs w:val="24"/>
        </w:rPr>
        <w:t>2020年四季度债券市场总体呈现出收益率先上后下的震荡行情。进入十月后，央行重提总闸门引发货币政策进一步收紧的预期，收益率小幅震荡上行。十一月上旬，部分信用债超预期违约事件爆发，引起市场对于弱资质国企信用风险的一致担忧，信用债和利率债均经历了一波大幅下跌。当月下旬开始到年底，随着金稳委出面强调坚决打击逃废债行为，央行配合超预期投放流动性，加上经济工作会议表态不会出现政策“急转弯”，债券市场在配置和交易力量的共同带动下，收益率转而下行，市场情绪明显缓和。</w:t>
      </w:r>
    </w:p>
    <w:p>
      <w:pPr>
        <w:spacing w:before="29" w:line="288" w:lineRule="auto"/>
        <w:ind w:firstLine="480" w:firstLineChars="200"/>
        <w:rPr>
          <w:color w:val="000000"/>
          <w:sz w:val="24"/>
          <w:szCs w:val="24"/>
        </w:rPr>
      </w:pPr>
      <w:r>
        <w:rPr>
          <w:color w:val="000000"/>
          <w:sz w:val="24"/>
          <w:szCs w:val="24"/>
        </w:rPr>
        <w:t>报告期内，我们前期基本维持组合的杠杆和久期水平，板块上保持侧重于中短久期中等评级城投债品种的配置方向，信用债违约事件发生之后，我们降低了偏低等级债券的占比，同时提升了高等级债券占比，提高持仓个券的流动性以保持组合的灵活度。</w:t>
      </w:r>
    </w:p>
    <w:p>
      <w:pPr>
        <w:spacing w:before="29" w:line="288" w:lineRule="auto"/>
        <w:ind w:firstLine="480" w:firstLineChars="200"/>
        <w:rPr>
          <w:color w:val="000000"/>
          <w:sz w:val="24"/>
          <w:szCs w:val="24"/>
        </w:rPr>
      </w:pPr>
      <w:r>
        <w:rPr>
          <w:color w:val="000000"/>
          <w:sz w:val="24"/>
          <w:szCs w:val="24"/>
        </w:rPr>
        <w:t>展望2021年一季度，经济增长动能将从疫情后以基建、地产等逆周期因素拉动，继续逐步切换到以消费、制造业为支柱的顺周期方向，同时出口受到疫苗接种和海外复苏影响，韧性相对较强，预计2021年的经济运行将回归正常轨道。节奏上，环比增长预计先稳后弱，下半年增长压力或将大于上半年。宏观政策方面，在稳定宏观杠杆率和政策不急转弯的大环境下，2021年或呈现信用环境边际收紧、货币条件先紧后松、通胀趋势先上后稳的格局。对于债券市场，我们认为明年整体机会大于风险。节奏上，预计在二季度前后，经济环比增长动力将边际趋弱，届时债券市场的趋势性配置价值或将显现。同时，2021年信用环境边际收缩、叠加信用债到期压力较大，预计低等级信用债券的信用利差存在持续走扩压力。</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组合策略方面，我们计划维持中性的杠杆水平，严格控制组合久期风险。在信用债的操作上，将严格控制信用风险，规避短期债务到期压力较大、再融资不畅的弱资质国企，以及非标融资占比较高、债券负担较重的城投平台。同时，保持对长端利率的波段交易机会的关注，寻找合适的介入时机，以期提升组合收益表现。</w:t>
      </w:r>
    </w:p>
    <w:p w:rsidP="00C15CAC" w:rsidR="00627E2D" w:rsidRDefault="00627E2D" w:rsidRPr="00414345">
      <w:pPr>
        <w:spacing w:before="29" w:line="288" w:lineRule="auto"/>
        <w:ind w:firstLine="480" w:firstLineChars="200"/>
        <w:rPr>
          <w:color w:val="000000"/>
          <w:sz w:val="24"/>
          <w:szCs w:val="24"/>
        </w:rPr>
      </w:pPr>
    </w:p>
    <w:p w:rsidP="00C15CAC" w:rsidR="004061AC" w:rsidRDefault="00D44EE8" w:rsidRPr="00414345">
      <w:pPr>
        <w:spacing w:before="29" w:line="288" w:lineRule="auto"/>
        <w:rPr>
          <w:sz w:val="24"/>
          <w:szCs w:val="24"/>
        </w:rPr>
      </w:pPr>
      <w:r w:rsidRPr="00414345">
        <w:rPr>
          <w:b/>
          <w:color w:val="000000"/>
          <w:kern w:val="0"/>
          <w:sz w:val="24"/>
        </w:rPr>
        <w:t>4.5</w:t>
      </w:r>
      <w:r w:rsidRPr="00414345">
        <w:rPr>
          <w:b/>
          <w:color w:val="000000"/>
          <w:kern w:val="0"/>
          <w:sz w:val="24"/>
        </w:rPr>
        <w:t>报告期内基金的业绩表现</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本基金（各类）份额净值及业绩表现请见“3.1主要财务指标” 及“3.2.1 本报告期基金份额净值增长率及其与同期业绩比较基准收益率的比较”部分披露。</w:t>
      </w:r>
    </w:p>
    <w:p w:rsidP="00C15CAC" w:rsidR="009C5186" w:rsidRDefault="009C5186" w:rsidRPr="00414345">
      <w:pPr>
        <w:spacing w:before="29" w:line="288" w:lineRule="auto"/>
        <w:ind w:firstLine="480" w:firstLineChars="200"/>
        <w:rPr>
          <w:color w:val="000000"/>
          <w:sz w:val="24"/>
          <w:szCs w:val="24"/>
        </w:rPr>
      </w:pPr>
    </w:p>
    <w:p w:rsidP="00421CD2" w:rsidR="00421CD2" w:rsidRDefault="00421CD2" w:rsidRPr="002070B4">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P="00421CD2" w:rsidR="00421CD2" w:rsidRDefault="00421CD2">
      <w:pPr>
        <w:spacing w:before="29" w:line="288" w:lineRule="auto"/>
        <w:ind w:firstLine="480" w:firstLineChars="200"/>
        <w:rPr>
          <w:color w:val="000000"/>
          <w:sz w:val="24"/>
        </w:rPr>
      </w:pPr>
      <w:r w:rsidRPr="002070B4">
        <w:rPr>
          <w:color w:val="000000"/>
          <w:sz w:val="24"/>
        </w:rPr>
        <w:t>本基金本报告期内无需预警说明。</w:t>
      </w:r>
    </w:p>
    <w:p w:rsidP="0011537B" w:rsidR="004061AC" w:rsidRDefault="004061AC" w:rsidRPr="00414345">
      <w:pPr>
        <w:pStyle w:val="1"/>
        <w:spacing w:after="312" w:afterLines="100" w:before="312" w:beforeLines="100" w:line="288" w:lineRule="auto"/>
        <w:jc w:val="center"/>
        <w:rPr>
          <w:color w:val="000000"/>
          <w:kern w:val="0"/>
          <w:sz w:val="24"/>
          <w:szCs w:val="24"/>
        </w:rPr>
      </w:pPr>
      <w:r w:rsidRPr="00414345">
        <w:rPr>
          <w:color w:val="000000"/>
          <w:kern w:val="0"/>
          <w:sz w:val="24"/>
          <w:szCs w:val="24"/>
        </w:rPr>
        <w:t>§</w:t>
      </w:r>
      <w:r w:rsidR="001C0993" w:rsidRPr="00414345">
        <w:rPr>
          <w:color w:val="000000"/>
          <w:kern w:val="0"/>
          <w:sz w:val="24"/>
          <w:szCs w:val="24"/>
        </w:rPr>
        <w:t>5</w:t>
      </w:r>
      <w:r w:rsidR="00834E74">
        <w:rPr>
          <w:color w:val="000000"/>
          <w:kern w:val="0"/>
          <w:sz w:val="24"/>
          <w:szCs w:val="24"/>
        </w:rPr>
        <w:t xml:space="preserve">  </w:t>
      </w:r>
      <w:r w:rsidRPr="00414345">
        <w:rPr>
          <w:color w:val="000000"/>
          <w:kern w:val="0"/>
          <w:sz w:val="24"/>
          <w:szCs w:val="24"/>
        </w:rPr>
        <w:t>投资组合报告</w:t>
      </w:r>
    </w:p>
    <w:p w:rsidP="00BF0019" w:rsidR="00BF0019" w:rsidRDefault="00BF0019">
      <w:pPr>
        <w:autoSpaceDE w:val="0"/>
        <w:autoSpaceDN w:val="0"/>
        <w:adjustRightInd w:val="0"/>
        <w:spacing w:line="360" w:lineRule="auto"/>
        <w:jc w:val="left"/>
        <w:rPr>
          <w:rFonts w:eastAsiaTheme="minorEastAsia"/>
          <w:b/>
          <w:color w:themeColor="text1" w:val="000000"/>
          <w:kern w:val="0"/>
          <w:sz w:val="24"/>
          <w:szCs w:val="24"/>
        </w:rPr>
      </w:pPr>
      <w:r w:rsidRPr="007B5F21">
        <w:rPr>
          <w:rFonts w:eastAsiaTheme="minorEastAsia"/>
          <w:b/>
          <w:color w:themeColor="text1" w:val="000000"/>
          <w:kern w:val="0"/>
          <w:sz w:val="24"/>
          <w:szCs w:val="24"/>
        </w:rPr>
        <w:t xml:space="preserve">5.1 </w:t>
      </w:r>
      <w:r w:rsidRPr="007B5F21">
        <w:rPr>
          <w:rFonts w:eastAsiaTheme="minorEastAsia"/>
          <w:b/>
          <w:color w:themeColor="text1" w:val="000000"/>
          <w:kern w:val="0"/>
          <w:sz w:val="24"/>
          <w:szCs w:val="24"/>
        </w:rPr>
        <w:t>报告期末基金资产组合情况</w:t>
      </w:r>
    </w:p>
    <w:p w:rsidP="009C1009" w:rsidR="006B5F69" w:rsidRDefault="009C1009" w:rsidRPr="007B5F21">
      <w:pPr>
        <w:autoSpaceDE w:val="0"/>
        <w:autoSpaceDN w:val="0"/>
        <w:adjustRightInd w:val="0"/>
        <w:spacing w:line="360" w:lineRule="auto"/>
        <w:jc w:val="right"/>
        <w:rPr>
          <w:rFonts w:eastAsiaTheme="minorEastAsia"/>
          <w:b/>
          <w:color w:themeColor="text1" w:val="000000"/>
          <w:kern w:val="0"/>
          <w:sz w:val="24"/>
          <w:szCs w:val="24"/>
        </w:rPr>
      </w:pPr>
      <w:r w:rsidRPr="009C1009">
        <w:rPr>
          <w:rFonts w:hint="eastAsia"/>
          <w:color w:val="000000"/>
          <w:kern w:val="0"/>
        </w:rPr>
        <w:t/>
      </w:r>
      <w:r w:rsidRPr="009C1009">
        <w:rPr>
          <w:rFonts w:hint="eastAsia"/>
          <w:color w:val="000000"/>
          <w:kern w:val="0"/>
        </w:rPr>
        <w:t>金额单位：人民币元</w:t>
      </w:r>
    </w:p>
    <w:tbl>
      <w:tblPr>
        <w:tblStyle w:val="af7"/>
        <w:tblW w:type="dxa" w:w="8897"/>
        <w:tblInd w:type="dxa" w:w="108"/>
        <w:tblLayout w:type="fixed"/>
        <w:tblLook w:firstColumn="1" w:firstRow="1" w:lastColumn="0" w:lastRow="0" w:noHBand="0" w:noVBand="1" w:val="04A0"/>
      </w:tblPr>
      <w:tblGrid>
        <w:gridCol w:w="720"/>
        <w:gridCol w:w="2682"/>
        <w:gridCol w:w="2552"/>
        <w:gridCol w:w="2943"/>
      </w:tblGrid>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序号</w:t>
            </w:r>
          </w:p>
        </w:tc>
        <w:tc>
          <w:tcPr>
            <w:tcW w:type="dxa" w:w="2682"/>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项目</w:t>
            </w:r>
          </w:p>
        </w:tc>
        <w:tc>
          <w:tcPr>
            <w:tcW w:type="dxa" w:w="2552"/>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金额</w:t>
            </w:r>
          </w:p>
        </w:tc>
        <w:tc>
          <w:tcPr>
            <w:tcW w:type="dxa" w:w="2943"/>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占基金总资产的比例</w:t>
            </w:r>
            <w:r w:rsidR="0018138B">
              <w:rPr>
                <w:rFonts w:eastAsiaTheme="minorEastAsia" w:hint="eastAsia"/>
                <w:color w:themeColor="text1" w:val="000000"/>
                <w:sz w:val="24"/>
                <w:szCs w:val="24"/>
              </w:rPr>
              <w:t>(</w:t>
            </w:r>
            <w:r w:rsidR="0018138B">
              <w:rPr>
                <w:rFonts w:eastAsiaTheme="minorEastAsia"/>
                <w:color w:themeColor="text1" w:val="000000"/>
                <w:sz w:val="24"/>
                <w:szCs w:val="24"/>
              </w:rPr>
              <w:t>%</w:t>
            </w:r>
            <w:r w:rsidR="0018138B">
              <w:rPr>
                <w:rFonts w:eastAsiaTheme="minorEastAsia" w:hint="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lastRenderedPageBreak/>
              <w:t>1</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权益投资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其中：股票</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2</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ascii="宋体" w:hAnsi="宋体" w:hint="eastAsia"/>
                <w:sz w:val="24"/>
                <w:szCs w:val="24"/>
              </w:rPr>
              <w:t>基金投资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hint="eastAsia"/>
                <w:color w:themeColor="text1" w:val="000000"/>
                <w:sz w:val="24"/>
                <w:szCs w:val="24"/>
              </w:rPr>
              <w:t/>
            </w:r>
            <w:r w:rsidRPr="007B5F21">
              <w:rPr>
                <w:rFonts w:eastAsiaTheme="minorEastAsia"/>
                <w:color w:themeColor="text1" w:val="000000"/>
                <w:sz w:val="24"/>
                <w:szCs w:val="24"/>
              </w:rPr>
              <w:t/>
            </w:r>
            <w:r w:rsidRPr="007B5F21">
              <w:rPr>
                <w:rFonts w:eastAsiaTheme="minorEastAsia" w:hint="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hint="eastAsia"/>
                <w:color w:themeColor="text1" w:val="000000"/>
                <w:sz w:val="24"/>
                <w:szCs w:val="24"/>
              </w:rPr>
              <w:t/>
            </w:r>
            <w:r w:rsidRPr="007B5F21">
              <w:rPr>
                <w:rFonts w:eastAsiaTheme="minorEastAsia"/>
                <w:color w:themeColor="text1" w:val="000000"/>
                <w:sz w:val="24"/>
                <w:szCs w:val="24"/>
              </w:rPr>
              <w:t/>
            </w:r>
            <w:r w:rsidRPr="007B5F21">
              <w:rPr>
                <w:rFonts w:eastAsiaTheme="minorEastAsia" w:hint="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3</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固定收益投资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3,575,386,327.60</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97.58</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其中：债券</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3,515,323,327.60</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95.94</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p>
        </w:tc>
        <w:tc>
          <w:tcPr>
            <w:tcW w:type="dxa" w:w="2682"/>
            <w:vAlign w:val="center"/>
          </w:tcPr>
          <w:p w:rsidP="007B5F21" w:rsidR="00BF0019" w:rsidRDefault="00BF0019" w:rsidRPr="007B5F21">
            <w:pPr>
              <w:autoSpaceDE w:val="0"/>
              <w:autoSpaceDN w:val="0"/>
              <w:adjustRightInd w:val="0"/>
              <w:spacing w:before="29" w:line="360" w:lineRule="auto"/>
              <w:ind w:firstLine="720" w:firstLineChars="300" w:left="17"/>
              <w:jc w:val="left"/>
              <w:rPr>
                <w:rFonts w:eastAsiaTheme="minorEastAsia"/>
                <w:color w:themeColor="text1" w:val="000000"/>
                <w:sz w:val="24"/>
                <w:szCs w:val="24"/>
              </w:rPr>
            </w:pPr>
            <w:r w:rsidRPr="007B5F21">
              <w:rPr>
                <w:rFonts w:eastAsiaTheme="minorEastAsia"/>
                <w:color w:themeColor="text1" w:val="000000"/>
                <w:sz w:val="24"/>
                <w:szCs w:val="24"/>
              </w:rPr>
              <w:t>资产支持证券</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60,063,000.00</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1.64</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4</w:t>
            </w:r>
          </w:p>
        </w:tc>
        <w:tc>
          <w:tcPr>
            <w:tcW w:type="dxa" w:w="2682"/>
            <w:vAlign w:val="center"/>
          </w:tcPr>
          <w:p w:rsidP="002D2971" w:rsidR="00BF0019" w:rsidRDefault="00BF0019" w:rsidRPr="007B5F21">
            <w:pPr>
              <w:spacing w:before="29" w:line="360" w:lineRule="auto"/>
              <w:ind w:left="105" w:leftChars="50"/>
              <w:rPr>
                <w:rFonts w:eastAsiaTheme="minorEastAsia"/>
                <w:color w:themeColor="text1" w:val="000000"/>
                <w:sz w:val="24"/>
                <w:szCs w:val="24"/>
              </w:rPr>
            </w:pPr>
            <w:r w:rsidRPr="007B5F21">
              <w:rPr>
                <w:rFonts w:eastAsiaTheme="minorEastAsia"/>
                <w:color w:themeColor="text1" w:val="000000"/>
                <w:sz w:val="24"/>
                <w:szCs w:val="24"/>
              </w:rPr>
              <w:t>贵金属投资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5</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金融衍生品投资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6</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买入返售金融资产</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
            </w:r>
            <w:r w:rsidRPr="007B5F21">
              <w:rPr>
                <w:rFonts w:eastAsiaTheme="minorEastAsia"/>
                <w:color w:themeColor="text1" w:val="000000"/>
                <w:sz w:val="24"/>
                <w:szCs w:val="24"/>
              </w:rPr>
              <w:lastRenderedPageBreak/>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lastRenderedPageBreak/>
              <w:t/>
            </w:r>
            <w:r w:rsidRPr="007B5F21">
              <w:rPr>
                <w:rFonts w:eastAsiaTheme="minorEastAsia"/>
                <w:color w:themeColor="text1" w:val="000000"/>
                <w:sz w:val="24"/>
                <w:szCs w:val="24"/>
              </w:rPr>
              <w:lastRenderedPageBreak/>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其中：买断式回购的买入返售金融资产</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7</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银行存款和结算备付金合计</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16,526,962.43</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0.45</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
            </w:r>
            <w:r w:rsidRPr="007B5F21">
              <w:rPr>
                <w:rFonts w:eastAsiaTheme="minorEastAsia" w:hint="eastAsia"/>
                <w:color w:themeColor="text1" w:val="000000"/>
                <w:sz w:val="24"/>
                <w:szCs w:val="24"/>
              </w:rPr>
              <w:t/>
            </w:r>
            <w:r w:rsidRPr="007B5F21">
              <w:rPr>
                <w:rFonts w:eastAsiaTheme="minorEastAsia"/>
                <w:color w:themeColor="text1" w:val="000000"/>
                <w:sz w:val="24"/>
                <w:szCs w:val="24"/>
              </w:rPr>
              <w:t>8</w:t>
            </w:r>
          </w:p>
        </w:tc>
        <w:tc>
          <w:tcPr>
            <w:tcW w:type="dxa" w:w="2682"/>
            <w:vAlign w:val="center"/>
          </w:tcPr>
          <w:p w:rsidP="002D2971" w:rsidR="00BF0019" w:rsidRDefault="00BF0019" w:rsidRPr="007B5F21">
            <w:pPr>
              <w:spacing w:line="360" w:lineRule="auto"/>
              <w:rPr>
                <w:rFonts w:eastAsiaTheme="minorEastAsia"/>
                <w:color w:themeColor="text1" w:val="000000"/>
                <w:sz w:val="24"/>
                <w:szCs w:val="24"/>
              </w:rPr>
            </w:pPr>
            <w:r w:rsidRPr="007B5F21">
              <w:rPr>
                <w:rFonts w:eastAsiaTheme="minorEastAsia"/>
                <w:color w:themeColor="text1" w:val="000000"/>
                <w:sz w:val="24"/>
                <w:szCs w:val="24"/>
              </w:rPr>
              <w:t>其他各项资产</w:t>
            </w:r>
          </w:p>
        </w:tc>
        <w:tc>
          <w:tcPr>
            <w:tcW w:type="dxa" w:w="2552"/>
            <w:vAlign w:val="center"/>
          </w:tcPr>
          <w:p w:rsidP="002D2971" w:rsidR="00BF0019" w:rsidRDefault="00BF0019" w:rsidRPr="007B5F21">
            <w:pPr>
              <w:spacing w:line="360" w:lineRule="auto"/>
              <w:jc w:val="right"/>
              <w:rPr>
                <w:rFonts w:eastAsiaTheme="minorEastAsia"/>
                <w:color w:themeColor="text1" w:val="000000"/>
                <w:sz w:val="24"/>
                <w:szCs w:val="24"/>
              </w:rPr>
            </w:pPr>
            <w:r w:rsidRPr="007B5F21">
              <w:rPr>
                <w:rFonts w:eastAsiaTheme="minorEastAsia"/>
                <w:color w:themeColor="text1" w:val="000000"/>
                <w:sz w:val="24"/>
                <w:szCs w:val="24"/>
              </w:rPr>
              <w:t>72,063,490.94</w:t>
            </w:r>
          </w:p>
        </w:tc>
        <w:tc>
          <w:tcPr>
            <w:tcW w:type="dxa" w:w="2943"/>
            <w:vAlign w:val="center"/>
          </w:tcPr>
          <w:p w:rsidP="002D2971" w:rsidR="00BF0019" w:rsidRDefault="00BF0019" w:rsidRPr="007B5F21">
            <w:pPr>
              <w:spacing w:line="360" w:lineRule="auto"/>
              <w:jc w:val="right"/>
              <w:rPr>
                <w:rFonts w:eastAsiaTheme="minorEastAsia"/>
                <w:color w:themeColor="text1" w:val="000000"/>
                <w:sz w:val="24"/>
                <w:szCs w:val="24"/>
              </w:rPr>
            </w:pPr>
            <w:r w:rsidRPr="007B5F21">
              <w:rPr>
                <w:rFonts w:eastAsiaTheme="minorEastAsia"/>
                <w:color w:themeColor="text1" w:val="000000"/>
                <w:sz w:val="24"/>
                <w:szCs w:val="24"/>
              </w:rPr>
              <w:t>1.97</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
            </w:r>
            <w:r w:rsidRPr="007B5F21">
              <w:rPr>
                <w:rFonts w:eastAsiaTheme="minorEastAsia" w:hint="eastAsia"/>
                <w:color w:themeColor="text1" w:val="000000"/>
                <w:sz w:val="24"/>
                <w:szCs w:val="24"/>
              </w:rPr>
              <w:t/>
            </w:r>
            <w:r w:rsidRPr="007B5F21">
              <w:rPr>
                <w:rFonts w:eastAsiaTheme="minorEastAsia"/>
                <w:color w:themeColor="text1" w:val="000000"/>
                <w:sz w:val="24"/>
                <w:szCs w:val="24"/>
              </w:rPr>
              <w:t>9</w:t>
            </w:r>
          </w:p>
        </w:tc>
        <w:tc>
          <w:tcPr>
            <w:tcW w:type="dxa" w:w="2682"/>
            <w:vAlign w:val="center"/>
          </w:tcPr>
          <w:p w:rsidP="002D2971" w:rsidR="00BF0019" w:rsidRDefault="00BF0019" w:rsidRPr="007B5F21">
            <w:pPr>
              <w:spacing w:line="360" w:lineRule="auto"/>
              <w:rPr>
                <w:rFonts w:eastAsiaTheme="minorEastAsia"/>
                <w:color w:themeColor="text1" w:val="000000"/>
                <w:sz w:val="24"/>
                <w:szCs w:val="24"/>
              </w:rPr>
            </w:pPr>
            <w:r w:rsidRPr="007B5F21">
              <w:rPr>
                <w:rFonts w:eastAsiaTheme="minorEastAsia"/>
                <w:color w:themeColor="text1" w:val="000000"/>
                <w:sz w:val="24"/>
                <w:szCs w:val="24"/>
              </w:rPr>
              <w:t>合计</w:t>
            </w:r>
          </w:p>
        </w:tc>
        <w:tc>
          <w:tcPr>
            <w:tcW w:type="dxa" w:w="2552"/>
            <w:vAlign w:val="center"/>
          </w:tcPr>
          <w:p w:rsidP="002D2971" w:rsidR="00BF0019" w:rsidRDefault="00BF0019" w:rsidRPr="007B5F21">
            <w:pPr>
              <w:spacing w:line="360" w:lineRule="auto"/>
              <w:jc w:val="right"/>
              <w:rPr>
                <w:rFonts w:eastAsiaTheme="minorEastAsia"/>
                <w:color w:themeColor="text1" w:val="000000"/>
                <w:sz w:val="24"/>
                <w:szCs w:val="24"/>
              </w:rPr>
            </w:pPr>
            <w:r w:rsidRPr="007B5F21">
              <w:rPr>
                <w:rFonts w:eastAsiaTheme="minorEastAsia"/>
                <w:color w:themeColor="text1" w:val="000000"/>
                <w:sz w:val="24"/>
                <w:szCs w:val="24"/>
              </w:rPr>
              <w:t>3,663,976,780.97</w:t>
            </w:r>
          </w:p>
        </w:tc>
        <w:tc>
          <w:tcPr>
            <w:tcW w:type="dxa" w:w="2943"/>
            <w:vAlign w:val="center"/>
          </w:tcPr>
          <w:p w:rsidP="002D2971" w:rsidR="00BF0019" w:rsidRDefault="00BF0019" w:rsidRPr="007B5F21">
            <w:pPr>
              <w:spacing w:line="360" w:lineRule="auto"/>
              <w:jc w:val="right"/>
              <w:rPr>
                <w:rFonts w:eastAsiaTheme="minorEastAsia"/>
                <w:color w:themeColor="text1" w:val="000000"/>
                <w:sz w:val="24"/>
                <w:szCs w:val="24"/>
              </w:rPr>
            </w:pPr>
            <w:r w:rsidRPr="007B5F21">
              <w:rPr>
                <w:rFonts w:eastAsiaTheme="minorEastAsia"/>
                <w:color w:themeColor="text1" w:val="000000"/>
                <w:sz w:val="24"/>
                <w:szCs w:val="24"/>
              </w:rPr>
              <w:t>100.00</w:t>
            </w:r>
          </w:p>
        </w:tc>
      </w:tr>
    </w:tbl>
    <w:p w:rsidP="00C15CAC" w:rsidR="004061AC" w:rsidRDefault="004061AC" w:rsidRPr="00414345">
      <w:pPr>
        <w:autoSpaceDE w:val="0"/>
        <w:autoSpaceDN w:val="0"/>
        <w:adjustRightInd w:val="0"/>
        <w:spacing w:before="29" w:line="288" w:lineRule="auto"/>
        <w:jc w:val="left"/>
        <w:rPr>
          <w:color w:val="000000"/>
          <w:sz w:val="24"/>
          <w:szCs w:val="24"/>
        </w:rPr>
      </w:pPr>
    </w:p>
    <w:p w:rsidP="00C15CAC" w:rsidR="004061AC" w:rsidRDefault="004061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5.2 </w:t>
      </w:r>
      <w:r w:rsidRPr="00414345">
        <w:rPr>
          <w:b/>
          <w:bCs/>
          <w:color w:val="000000"/>
          <w:kern w:val="0"/>
          <w:sz w:val="24"/>
          <w:szCs w:val="24"/>
        </w:rPr>
        <w:t>报告期末按行业分类的股票投资组合</w:t>
      </w:r>
    </w:p>
    <w:p w:rsidP="00F51C4E" w:rsidR="00F51C4E" w:rsidRDefault="00F51C4E">
      <w:pPr>
        <w:rPr>
          <w:rFonts w:eastAsiaTheme="minorEastAsia"/>
          <w:b/>
          <w:color w:themeColor="text1" w:val="000000"/>
          <w:kern w:val="0"/>
          <w:sz w:val="24"/>
        </w:rPr>
      </w:pPr>
      <w:r w:rsidRPr="004A3846">
        <w:rPr>
          <w:b/>
          <w:color w:themeColor="text1" w:val="000000"/>
          <w:sz w:val="24"/>
        </w:rPr>
        <w:t/>
      </w:r>
      <w:r w:rsidRPr="004A3846">
        <w:rPr>
          <w:rFonts w:eastAsiaTheme="minorEastAsia" w:hint="eastAsia"/>
          <w:b/>
          <w:color w:themeColor="text1" w:val="000000"/>
          <w:kern w:val="0"/>
          <w:sz w:val="24"/>
        </w:rPr>
        <w:t>5.2.1</w:t>
      </w:r>
      <w:r w:rsidRPr="004A3846">
        <w:rPr>
          <w:rFonts w:eastAsiaTheme="minorEastAsia" w:hint="eastAsia"/>
          <w:b/>
          <w:color w:themeColor="text1" w:val="000000"/>
          <w:kern w:val="0"/>
          <w:sz w:val="24"/>
        </w:rPr>
        <w:t>报告期末按行业分类的境内股票投资组合</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本基金本报告期末未持有股票。</w:t>
      </w:r>
    </w:p>
    <w:p w:rsidP="00F51C4E" w:rsidR="00F51C4E" w:rsidRDefault="00F51C4E" w:rsidRPr="008A409E">
      <w:pPr>
        <w:jc w:val="left"/>
        <w:rPr>
          <w:rFonts w:asciiTheme="minorEastAsia" w:eastAsiaTheme="minorEastAsia" w:hAnsiTheme="minorEastAsia"/>
          <w:b/>
          <w:bCs/>
          <w:color w:themeColor="text1" w:val="000000"/>
          <w:kern w:val="0"/>
          <w:sz w:val="24"/>
        </w:rPr>
      </w:pPr>
      <w:r w:rsidRPr="008A409E">
        <w:rPr>
          <w:rFonts w:asciiTheme="minorEastAsia" w:eastAsiaTheme="minorEastAsia" w:hAnsiTheme="minorEastAsia"/>
          <w:b/>
          <w:bCs/>
          <w:color w:themeColor="text1" w:val="000000"/>
          <w:kern w:val="0"/>
          <w:sz w:val="24"/>
        </w:rPr>
        <w:t/>
      </w:r>
      <w:r w:rsidRPr="008A409E">
        <w:rPr>
          <w:rFonts w:asciiTheme="minorEastAsia" w:eastAsiaTheme="minorEastAsia" w:hAnsiTheme="minorEastAsia" w:hint="eastAsia"/>
          <w:b/>
          <w:bCs/>
          <w:color w:themeColor="text1" w:val="000000"/>
          <w:kern w:val="0"/>
          <w:sz w:val="24"/>
        </w:rPr>
        <w:t>5.2.2报告期末按行业分类的</w:t>
      </w:r>
      <w:r w:rsidR="00EE49FE">
        <w:rPr>
          <w:rFonts w:asciiTheme="minorEastAsia" w:eastAsiaTheme="minorEastAsia" w:hAnsiTheme="minorEastAsia" w:hint="eastAsia"/>
          <w:b/>
          <w:bCs/>
          <w:color w:themeColor="text1" w:val="000000"/>
          <w:kern w:val="0"/>
          <w:sz w:val="24"/>
        </w:rPr>
        <w:t>港股通</w:t>
      </w:r>
      <w:r w:rsidRPr="008A409E">
        <w:rPr>
          <w:rFonts w:asciiTheme="minorEastAsia" w:eastAsiaTheme="minorEastAsia" w:hAnsiTheme="minorEastAsia" w:hint="eastAsia"/>
          <w:b/>
          <w:bCs/>
          <w:color w:themeColor="text1" w:val="000000"/>
          <w:kern w:val="0"/>
          <w:sz w:val="24"/>
        </w:rPr>
        <w:t>投资股票投资组合</w:t>
      </w:r>
    </w:p>
    <w:p w:rsidP="00F51C4E" w:rsidR="00F51C4E" w:rsidRDefault="00F51C4E">
      <w:pPr>
        <w:spacing w:before="29" w:line="360" w:lineRule="auto"/>
        <w:ind w:left="17"/>
        <w:rPr>
          <w:color w:val="000000"/>
          <w:sz w:val="24"/>
        </w:rPr>
      </w:pPr>
      <w:r w:rsidRPr="00FF0BBF">
        <w:rPr>
          <w:color w:val="000000"/>
          <w:sz w:val="24"/>
        </w:rPr>
        <w:t>本基金本报告期末未持有通过港股通投资的股票。</w:t>
      </w:r>
    </w:p>
    <w:p w:rsidP="00C15CAC" w:rsidR="004061AC" w:rsidRDefault="004061AC" w:rsidRPr="00F51C4E">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5.3 </w:t>
      </w:r>
      <w:r w:rsidRPr="00414345">
        <w:rPr>
          <w:b/>
          <w:bCs/>
          <w:color w:val="000000"/>
          <w:kern w:val="0"/>
          <w:sz w:val="24"/>
          <w:szCs w:val="24"/>
        </w:rPr>
        <w:t>报告期末按公允价值占基金资产净值比例大小排序的前十名股票投资明细</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本基金本报告期末未持有股票。</w:t>
      </w:r>
    </w:p>
    <w:p w:rsidP="00C15CAC" w:rsidR="004061AC" w:rsidRDefault="004061AC" w:rsidRPr="00414345">
      <w:pPr>
        <w:autoSpaceDE w:val="0"/>
        <w:autoSpaceDN w:val="0"/>
        <w:adjustRightInd w:val="0"/>
        <w:spacing w:before="29" w:line="288" w:lineRule="auto"/>
        <w:jc w:val="left"/>
        <w:rPr>
          <w:b/>
          <w:bCs/>
          <w:color w:val="000000"/>
          <w:kern w:val="0"/>
          <w:sz w:val="24"/>
          <w:szCs w:val="24"/>
        </w:rPr>
      </w:pPr>
    </w:p>
    <w:p w:rsidP="00C15CAC" w:rsidR="004061AC" w:rsidRDefault="004061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5.4 </w:t>
      </w:r>
      <w:r w:rsidRPr="00414345">
        <w:rPr>
          <w:b/>
          <w:bCs/>
          <w:color w:val="000000"/>
          <w:kern w:val="0"/>
          <w:sz w:val="24"/>
          <w:szCs w:val="24"/>
        </w:rPr>
        <w:t>报告期末按债券品种分类的债券投资组合</w:t>
      </w:r>
    </w:p>
    <w:p w:rsidP="009C1009" w:rsidR="00CE7169" w:rsidRDefault="009C1009" w:rsidRPr="00CE7169">
      <w:pPr>
        <w:autoSpaceDE w:val="0"/>
        <w:autoSpaceDN w:val="0"/>
        <w:adjustRightInd w:val="0"/>
        <w:spacing w:before="29" w:line="288" w:lineRule="auto"/>
        <w:jc w:val="right"/>
        <w:rPr>
          <w:bCs/>
          <w:color w:val="000000"/>
          <w:kern w:val="0"/>
          <w:sz w:val="24"/>
          <w:szCs w:val="24"/>
        </w:rPr>
      </w:pPr>
      <w:r w:rsidRPr="009C1009">
        <w:rPr>
          <w:rFonts w:hint="eastAsia"/>
          <w:bCs/>
          <w:color w:val="000000"/>
          <w:kern w:val="0"/>
          <w:sz w:val="24"/>
          <w:szCs w:val="24"/>
        </w:rPr>
        <w:t/>
      </w:r>
      <w:r w:rsidRPr="009C1009">
        <w:rPr>
          <w:rFonts w:hint="eastAsia"/>
          <w:bCs/>
          <w:color w:val="000000"/>
          <w:kern w:val="0"/>
          <w:sz w:val="24"/>
          <w:szCs w:val="24"/>
        </w:rPr>
        <w:t>金额单位：人民币元</w:t>
      </w:r>
    </w:p>
    <w:tbl>
      <w:tblPr>
        <w:tblStyle w:val="af7"/>
        <w:tblW w:type="dxa" w:w="8868"/>
        <w:jc w:val="center"/>
        <w:tblLayout w:type="fixed"/>
        <w:tblLook w:firstColumn="1" w:firstRow="1" w:lastColumn="0" w:lastRow="0" w:noHBand="0" w:noVBand="1" w:val="04A0"/>
      </w:tblPr>
      <w:tblGrid>
        <w:gridCol w:w="828"/>
        <w:gridCol w:w="3302"/>
        <w:gridCol w:w="2987"/>
        <w:gridCol w:w="1751"/>
      </w:tblGrid>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序号</w:t>
            </w:r>
          </w:p>
        </w:tc>
        <w:tc>
          <w:tcPr>
            <w:tcW w:type="dxa" w:w="3302"/>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债券品种</w:t>
            </w:r>
            <w:r w:rsidR="00F71057" w:rsidRPr="00414345">
              <w:rPr>
                <w:color w:val="000000"/>
                <w:sz w:val="24"/>
                <w:szCs w:val="24"/>
              </w:rPr>
              <w:t/>
            </w:r>
          </w:p>
        </w:tc>
        <w:tc>
          <w:tcPr>
            <w:tcW w:type="dxa" w:w="2987"/>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公允价值</w:t>
            </w:r>
          </w:p>
        </w:tc>
        <w:tc>
          <w:tcPr>
            <w:tcW w:type="dxa" w:w="1751"/>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占基金资产净值比例</w:t>
            </w:r>
            <w:r w:rsidR="003F0956">
              <w:rPr>
                <w:rFonts w:hint="eastAsia"/>
                <w:color w:val="000000"/>
                <w:sz w:val="24"/>
              </w:rPr>
              <w:t>(</w:t>
            </w:r>
            <w:r w:rsidR="003F0956">
              <w:rPr>
                <w:color w:val="000000"/>
                <w:sz w:val="24"/>
              </w:rPr>
              <w:t>%)</w:t>
            </w:r>
          </w:p>
        </w:tc>
      </w:tr>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1</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国家债券</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
            </w:r>
            <w:r w:rsidRPr="00414345">
              <w:rPr>
                <w:color w:val="000000"/>
                <w:sz w:val="24"/>
                <w:szCs w:val="24"/>
              </w:rPr>
              <w:lastRenderedPageBreak/>
              <w:t>-</w:t>
            </w:r>
          </w:p>
        </w:tc>
      </w:tr>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lastRenderedPageBreak/>
              <w:t>2</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央行票据</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3</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金融债券</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250,924,000.00</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7.83</w:t>
            </w:r>
          </w:p>
        </w:tc>
      </w:tr>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其中：政策性金融债</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169,896,000.00</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5.30</w:t>
            </w:r>
          </w:p>
        </w:tc>
      </w:tr>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4</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企业债券</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637,396,500.00</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19.90</w:t>
            </w:r>
          </w:p>
        </w:tc>
      </w:tr>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5</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企业短期融资</w:t>
            </w:r>
            <w:r w:rsidR="00963F40" w:rsidRPr="00414345">
              <w:rPr>
                <w:color w:val="000000"/>
                <w:sz w:val="24"/>
                <w:szCs w:val="24"/>
              </w:rPr>
              <w:t>券</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389,986,000.00</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12.17</w:t>
            </w:r>
          </w:p>
        </w:tc>
      </w:tr>
      <w:tr w:rsidR="00FB41D3" w:rsidRPr="00414345" w:rsidTr="00F323FF">
        <w:trPr>
          <w:jc w:val="center"/>
        </w:trPr>
        <w:tc>
          <w:tcPr>
            <w:tcW w:type="dxa" w:w="828"/>
            <w:vAlign w:val="center"/>
          </w:tcPr>
          <w:p w:rsidP="00C15CAC" w:rsidR="00FB41D3" w:rsidRDefault="00FB41D3" w:rsidRPr="00414345">
            <w:pPr>
              <w:spacing w:before="29" w:line="288" w:lineRule="auto"/>
              <w:ind w:left="17"/>
              <w:jc w:val="center"/>
              <w:rPr>
                <w:color w:val="000000"/>
                <w:sz w:val="24"/>
                <w:szCs w:val="24"/>
              </w:rPr>
            </w:pPr>
            <w:r w:rsidRPr="00414345">
              <w:rPr>
                <w:color w:val="000000"/>
                <w:sz w:val="24"/>
                <w:szCs w:val="24"/>
              </w:rPr>
              <w:t>6</w:t>
            </w:r>
          </w:p>
        </w:tc>
        <w:tc>
          <w:tcPr>
            <w:tcW w:type="dxa" w:w="3302"/>
            <w:vAlign w:val="center"/>
          </w:tcPr>
          <w:p w:rsidP="00C15CAC" w:rsidR="00FB41D3" w:rsidRDefault="00FB41D3" w:rsidRPr="00414345">
            <w:pPr>
              <w:spacing w:before="29" w:line="288" w:lineRule="auto"/>
              <w:ind w:left="17"/>
              <w:jc w:val="left"/>
              <w:rPr>
                <w:color w:val="000000"/>
                <w:sz w:val="24"/>
                <w:szCs w:val="24"/>
              </w:rPr>
            </w:pPr>
            <w:r w:rsidRPr="00414345">
              <w:rPr>
                <w:color w:val="000000"/>
                <w:sz w:val="24"/>
                <w:szCs w:val="24"/>
              </w:rPr>
              <w:t>中期票据</w:t>
            </w:r>
          </w:p>
        </w:tc>
        <w:tc>
          <w:tcPr>
            <w:tcW w:type="dxa" w:w="2987"/>
            <w:vAlign w:val="center"/>
          </w:tcPr>
          <w:p w:rsidP="00C15CAC" w:rsidR="00FB41D3" w:rsidRDefault="00FB41D3" w:rsidRPr="00414345">
            <w:pPr>
              <w:spacing w:before="29" w:line="288" w:lineRule="auto"/>
              <w:ind w:left="17"/>
              <w:jc w:val="right"/>
              <w:rPr>
                <w:color w:val="000000"/>
                <w:sz w:val="24"/>
                <w:szCs w:val="24"/>
              </w:rPr>
            </w:pPr>
            <w:r w:rsidRPr="00414345">
              <w:rPr>
                <w:color w:val="000000"/>
                <w:sz w:val="24"/>
                <w:szCs w:val="24"/>
              </w:rPr>
              <w:t>2,235,319,000.00</w:t>
            </w:r>
          </w:p>
        </w:tc>
        <w:tc>
          <w:tcPr>
            <w:tcW w:type="dxa" w:w="1751"/>
            <w:vAlign w:val="center"/>
          </w:tcPr>
          <w:p w:rsidP="00C15CAC" w:rsidR="00FB41D3" w:rsidRDefault="00FB41D3" w:rsidRPr="00414345">
            <w:pPr>
              <w:spacing w:before="29" w:line="288" w:lineRule="auto"/>
              <w:ind w:left="17"/>
              <w:jc w:val="right"/>
              <w:rPr>
                <w:color w:val="000000"/>
                <w:sz w:val="24"/>
                <w:szCs w:val="24"/>
              </w:rPr>
            </w:pPr>
            <w:r w:rsidRPr="00414345">
              <w:rPr>
                <w:color w:val="000000"/>
                <w:sz w:val="24"/>
                <w:szCs w:val="24"/>
              </w:rPr>
              <w:t/>
            </w:r>
            <w:r w:rsidRPr="00414345">
              <w:rPr>
                <w:color w:val="000000"/>
                <w:sz w:val="24"/>
                <w:szCs w:val="24"/>
              </w:rPr>
              <w:lastRenderedPageBreak/>
              <w:t>69.77</w:t>
            </w:r>
          </w:p>
        </w:tc>
      </w:tr>
      <w:tr w:rsidR="00AC592E" w:rsidRPr="00414345" w:rsidTr="00F323FF">
        <w:trPr>
          <w:jc w:val="center"/>
        </w:trPr>
        <w:tc>
          <w:tcPr>
            <w:tcW w:type="dxa" w:w="828"/>
            <w:vAlign w:val="center"/>
          </w:tcPr>
          <w:p w:rsidP="00C15CAC" w:rsidR="00AC592E" w:rsidRDefault="00FB41D3" w:rsidRPr="00414345">
            <w:pPr>
              <w:spacing w:before="29" w:line="288" w:lineRule="auto"/>
              <w:ind w:left="17"/>
              <w:jc w:val="center"/>
              <w:rPr>
                <w:color w:val="000000"/>
                <w:sz w:val="24"/>
                <w:szCs w:val="24"/>
              </w:rPr>
            </w:pPr>
            <w:r w:rsidRPr="00414345">
              <w:rPr>
                <w:color w:val="000000"/>
                <w:sz w:val="24"/>
                <w:szCs w:val="24"/>
              </w:rPr>
              <w:lastRenderedPageBreak/>
              <w:t>7</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可转债</w:t>
            </w:r>
            <w:r w:rsidR="00AB6E79">
              <w:rPr>
                <w:rFonts w:hint="eastAsia"/>
                <w:sz w:val="24"/>
              </w:rPr>
              <w:t>（可交换债）</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1,697,827.60</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0.05</w:t>
            </w:r>
          </w:p>
        </w:tc>
      </w:tr>
      <w:tr w:rsidR="00F323FF" w:rsidRPr="00414345" w:rsidTr="0006711A">
        <w:trPr>
          <w:jc w:val="center"/>
        </w:trPr>
        <w:tc>
          <w:tcPr>
            <w:tcW w:type="dxa" w:w="828"/>
            <w:vAlign w:val="center"/>
          </w:tcPr>
          <w:p w:rsidP="0006711A" w:rsidR="00F323FF" w:rsidRDefault="00F323FF" w:rsidRPr="007A70C2">
            <w:pPr>
              <w:spacing w:before="29" w:line="288" w:lineRule="auto"/>
              <w:ind w:left="17"/>
              <w:jc w:val="center"/>
              <w:rPr>
                <w:color w:val="000000"/>
                <w:sz w:val="24"/>
                <w:szCs w:val="24"/>
              </w:rPr>
            </w:pPr>
            <w:r w:rsidRPr="007A70C2">
              <w:rPr>
                <w:rFonts w:hint="eastAsia"/>
                <w:color w:val="000000"/>
                <w:sz w:val="24"/>
                <w:szCs w:val="24"/>
              </w:rPr>
              <w:t>8</w:t>
            </w:r>
          </w:p>
        </w:tc>
        <w:tc>
          <w:tcPr>
            <w:tcW w:type="dxa" w:w="3302"/>
            <w:vAlign w:val="center"/>
          </w:tcPr>
          <w:p w:rsidP="0006711A" w:rsidR="00F323FF" w:rsidRDefault="00F323FF" w:rsidRPr="007A70C2">
            <w:pPr>
              <w:spacing w:before="29" w:line="288" w:lineRule="auto"/>
              <w:ind w:left="17"/>
              <w:jc w:val="left"/>
              <w:rPr>
                <w:color w:val="000000"/>
                <w:sz w:val="24"/>
                <w:szCs w:val="24"/>
              </w:rPr>
            </w:pPr>
            <w:r w:rsidRPr="007A70C2">
              <w:rPr>
                <w:rFonts w:hint="eastAsia"/>
                <w:color w:val="000000"/>
                <w:sz w:val="24"/>
                <w:szCs w:val="24"/>
              </w:rPr>
              <w:t>同业存单</w:t>
            </w:r>
          </w:p>
        </w:tc>
        <w:tc>
          <w:tcPr>
            <w:tcW w:type="dxa" w:w="2987"/>
            <w:vAlign w:val="center"/>
          </w:tcPr>
          <w:p w:rsidP="0006711A" w:rsidR="00F323FF" w:rsidRDefault="00F323FF" w:rsidRPr="007A70C2">
            <w:pPr>
              <w:spacing w:before="29" w:line="288" w:lineRule="auto"/>
              <w:ind w:left="17"/>
              <w:jc w:val="right"/>
              <w:rPr>
                <w:color w:val="000000"/>
                <w:sz w:val="24"/>
                <w:szCs w:val="24"/>
              </w:rPr>
            </w:pPr>
            <w:r w:rsidRPr="007A70C2">
              <w:rPr>
                <w:rFonts w:hint="eastAsia"/>
                <w:color w:val="000000"/>
                <w:sz w:val="24"/>
                <w:szCs w:val="24"/>
              </w:rPr>
              <w:t/>
            </w:r>
            <w:r w:rsidRPr="007A70C2">
              <w:rPr>
                <w:color w:val="000000"/>
                <w:sz w:val="24"/>
                <w:szCs w:val="24"/>
              </w:rPr>
              <w:t/>
            </w:r>
            <w:r w:rsidRPr="007A70C2">
              <w:rPr>
                <w:rFonts w:hint="eastAsia"/>
                <w:color w:val="000000"/>
                <w:sz w:val="24"/>
                <w:szCs w:val="24"/>
              </w:rPr>
              <w:t>-</w:t>
            </w:r>
          </w:p>
        </w:tc>
        <w:tc>
          <w:tcPr>
            <w:tcW w:type="dxa" w:w="1751"/>
            <w:vAlign w:val="center"/>
          </w:tcPr>
          <w:p w:rsidP="0006711A" w:rsidR="00F323FF" w:rsidRDefault="00F323FF" w:rsidRPr="007A70C2">
            <w:pPr>
              <w:spacing w:before="29" w:line="288" w:lineRule="auto"/>
              <w:ind w:left="17"/>
              <w:jc w:val="right"/>
              <w:rPr>
                <w:color w:val="000000"/>
                <w:sz w:val="24"/>
                <w:szCs w:val="24"/>
              </w:rPr>
            </w:pPr>
            <w:r w:rsidRPr="007A70C2">
              <w:rPr>
                <w:rFonts w:hint="eastAsia"/>
                <w:color w:val="000000"/>
                <w:sz w:val="24"/>
                <w:szCs w:val="24"/>
              </w:rPr>
              <w:t/>
            </w:r>
            <w:r w:rsidRPr="007A70C2">
              <w:rPr>
                <w:color w:val="000000"/>
                <w:sz w:val="24"/>
                <w:szCs w:val="24"/>
              </w:rPr>
              <w:t/>
            </w:r>
            <w:r w:rsidRPr="007A70C2">
              <w:rPr>
                <w:rFonts w:hint="eastAsia"/>
                <w:color w:val="000000"/>
                <w:sz w:val="24"/>
                <w:szCs w:val="24"/>
              </w:rPr>
              <w:t>-</w:t>
            </w:r>
          </w:p>
        </w:tc>
      </w:tr>
      <w:tr w:rsidR="00AC592E" w:rsidRPr="00414345" w:rsidTr="00F323FF">
        <w:trPr>
          <w:jc w:val="center"/>
        </w:trPr>
        <w:tc>
          <w:tcPr>
            <w:tcW w:type="dxa" w:w="828"/>
            <w:vAlign w:val="center"/>
          </w:tcPr>
          <w:p w:rsidP="00F323FF" w:rsidR="00AC592E" w:rsidRDefault="00AC592E" w:rsidRPr="00414345">
            <w:pPr>
              <w:spacing w:before="29" w:line="288" w:lineRule="auto"/>
              <w:ind w:left="17"/>
              <w:jc w:val="center"/>
              <w:rPr>
                <w:color w:val="000000"/>
                <w:sz w:val="24"/>
                <w:szCs w:val="24"/>
              </w:rPr>
            </w:pPr>
            <w:r w:rsidRPr="00414345">
              <w:rPr>
                <w:color w:val="000000"/>
                <w:sz w:val="24"/>
                <w:szCs w:val="24"/>
              </w:rPr>
              <w:t/>
            </w:r>
            <w:r w:rsidR="00F323FF">
              <w:rPr>
                <w:rFonts w:hint="eastAsia"/>
                <w:color w:val="000000"/>
                <w:sz w:val="24"/>
                <w:szCs w:val="24"/>
              </w:rPr>
              <w:t/>
            </w:r>
            <w:r w:rsidRPr="00414345">
              <w:rPr>
                <w:color w:val="000000"/>
                <w:sz w:val="24"/>
                <w:szCs w:val="24"/>
              </w:rPr>
              <w:t>9</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其他</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type="dxa" w:w="828"/>
            <w:vAlign w:val="center"/>
          </w:tcPr>
          <w:p w:rsidP="00F323FF" w:rsidR="00AC592E" w:rsidRDefault="00AC592E" w:rsidRPr="00414345">
            <w:pPr>
              <w:spacing w:before="29" w:line="288" w:lineRule="auto"/>
              <w:ind w:left="17"/>
              <w:jc w:val="center"/>
              <w:rPr>
                <w:color w:val="000000"/>
                <w:sz w:val="24"/>
                <w:szCs w:val="24"/>
              </w:rPr>
            </w:pPr>
            <w:r w:rsidRPr="00414345">
              <w:rPr>
                <w:color w:val="000000"/>
                <w:sz w:val="24"/>
                <w:szCs w:val="24"/>
              </w:rPr>
              <w:t/>
            </w:r>
            <w:r w:rsidR="00F323FF">
              <w:rPr>
                <w:rFonts w:hint="eastAsia"/>
                <w:color w:val="000000"/>
                <w:sz w:val="24"/>
                <w:szCs w:val="24"/>
              </w:rPr>
              <w:t/>
            </w:r>
            <w:r w:rsidRPr="00414345">
              <w:rPr>
                <w:color w:val="000000"/>
                <w:sz w:val="24"/>
                <w:szCs w:val="24"/>
              </w:rPr>
              <w:t>10</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合计</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3,515,323,327.60</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109.73</w:t>
            </w:r>
          </w:p>
        </w:tc>
      </w:tr>
    </w:tbl>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5.5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的前五名债券投资明细</w:t>
      </w:r>
    </w:p>
    <w:p w:rsidP="009C1009" w:rsidR="005B4C8F" w:rsidRDefault="009C1009" w:rsidRPr="005B4C8F">
      <w:pPr>
        <w:autoSpaceDE w:val="0"/>
        <w:autoSpaceDN w:val="0"/>
        <w:adjustRightInd w:val="0"/>
        <w:spacing w:before="29" w:line="288" w:lineRule="auto"/>
        <w:jc w:val="right"/>
        <w:rPr>
          <w:bCs/>
          <w:color w:val="000000"/>
          <w:kern w:val="0"/>
          <w:sz w:val="24"/>
          <w:szCs w:val="24"/>
        </w:rPr>
      </w:pPr>
      <w:r w:rsidRPr="009C1009">
        <w:rPr>
          <w:rFonts w:hint="eastAsia"/>
          <w:bCs/>
          <w:color w:val="000000"/>
          <w:kern w:val="0"/>
          <w:sz w:val="24"/>
          <w:szCs w:val="24"/>
        </w:rPr>
        <w:t/>
      </w:r>
      <w:r w:rsidRPr="009C1009">
        <w:rPr>
          <w:rFonts w:hint="eastAsia"/>
          <w:bCs/>
          <w:color w:val="000000"/>
          <w:kern w:val="0"/>
          <w:sz w:val="24"/>
          <w:szCs w:val="24"/>
        </w:rPr>
        <w:t>金额单位：人民币元</w:t>
      </w:r>
    </w:p>
    <w:tbl>
      <w:tblPr>
        <w:tblStyle w:val="af7"/>
        <w:tblW w:type="dxa" w:w="8868"/>
        <w:jc w:val="center"/>
        <w:tblLayout w:type="fixed"/>
        <w:tblCellMar>
          <w:top w:type="dxa" w:w="57"/>
          <w:bottom w:type="dxa" w:w="57"/>
        </w:tblCellMar>
        <w:tblLook w:firstColumn="1" w:firstRow="1" w:lastColumn="0" w:lastRow="0" w:noHBand="0" w:noVBand="1" w:val="04A0"/>
      </w:tblPr>
      <w:tblGrid>
        <w:gridCol w:w="850"/>
        <w:gridCol w:w="1475"/>
        <w:gridCol w:w="1769"/>
        <w:gridCol w:w="1387"/>
        <w:gridCol w:w="2150"/>
        <w:gridCol w:w="1237"/>
      </w:tblGrid>
      <w:tr w:rsidR="00D57B7C" w:rsidRPr="00414345" w:rsidTr="00A324F4">
        <w:trPr>
          <w:jc w:val="center"/>
        </w:trPr>
        <w:tc>
          <w:tcPr>
            <w:tcW w:type="dxa" w:w="817"/>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序号</w:t>
            </w:r>
          </w:p>
        </w:tc>
        <w:tc>
          <w:tcPr>
            <w:tcW w:type="dxa" w:w="1418"/>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债券代码</w:t>
            </w:r>
          </w:p>
        </w:tc>
        <w:tc>
          <w:tcPr>
            <w:tcW w:type="dxa" w:w="1701"/>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债券名称</w:t>
            </w:r>
          </w:p>
        </w:tc>
        <w:tc>
          <w:tcPr>
            <w:tcW w:type="dxa" w:w="1334"/>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数量</w:t>
            </w:r>
            <w:r w:rsidR="009D1BD9">
              <w:rPr>
                <w:rFonts w:hint="eastAsia"/>
                <w:color w:val="000000"/>
                <w:sz w:val="24"/>
              </w:rPr>
              <w:t>(</w:t>
            </w:r>
            <w:r w:rsidR="009D1BD9">
              <w:rPr>
                <w:rFonts w:hint="eastAsia"/>
                <w:color w:val="000000"/>
                <w:sz w:val="24"/>
              </w:rPr>
              <w:t>张</w:t>
            </w:r>
            <w:r w:rsidR="009D1BD9">
              <w:rPr>
                <w:color w:val="000000"/>
                <w:sz w:val="24"/>
              </w:rPr>
              <w:t>)</w:t>
            </w:r>
          </w:p>
        </w:tc>
        <w:tc>
          <w:tcPr>
            <w:tcW w:type="dxa" w:w="2068"/>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公允价值</w:t>
            </w:r>
          </w:p>
        </w:tc>
        <w:tc>
          <w:tcPr>
            <w:tcW w:type="dxa" w:w="1190"/>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占基金资产净值比</w:t>
            </w:r>
            <w:r w:rsidRPr="00414345">
              <w:rPr>
                <w:color w:val="000000"/>
                <w:sz w:val="24"/>
                <w:szCs w:val="24"/>
              </w:rPr>
              <w:lastRenderedPageBreak/>
              <w:t>例</w:t>
            </w:r>
            <w:r w:rsidR="003B3494" w:rsidRPr="00414345">
              <w:rPr>
                <w:color w:val="000000"/>
                <w:sz w:val="24"/>
              </w:rPr>
              <w:t>（％）</w:t>
            </w:r>
          </w:p>
        </w:tc>
      </w:tr>
      <w:tr>
        <w:tc>
          <w:tcPr>
            <w:vAlign w:val="center"/>
          </w:tcPr>
          <w:p>
            <w:pPr>
              <w:jc w:val="center"/>
            </w:pPr>
            <w:r>
              <w:rPr>
                <w:color w:val="000000"/>
                <w:sz w:val="24"/>
                <w:szCs w:val="24"/>
              </w:rPr>
              <w:t>1</w:t>
            </w:r>
          </w:p>
        </w:tc>
        <w:tc>
          <w:tcPr>
            <w:vAlign w:val="center"/>
          </w:tcPr>
          <w:p>
            <w:pPr>
              <w:jc w:val="center"/>
            </w:pPr>
            <w:r>
              <w:rPr>
                <w:color w:val="000000"/>
                <w:sz w:val="24"/>
                <w:szCs w:val="24"/>
              </w:rPr>
              <w:t>102000710</w:t>
            </w:r>
          </w:p>
        </w:tc>
        <w:tc>
          <w:tcPr>
            <w:vAlign w:val="center"/>
          </w:tcPr>
          <w:p>
            <w:pPr>
              <w:jc w:val="center"/>
            </w:pPr>
            <w:r>
              <w:rPr>
                <w:color w:val="000000"/>
                <w:sz w:val="24"/>
                <w:szCs w:val="24"/>
              </w:rPr>
              <w:t>20南京浦口MTN002</w:t>
            </w:r>
          </w:p>
        </w:tc>
        <w:tc>
          <w:tcPr>
            <w:vAlign w:val="center"/>
          </w:tcPr>
          <w:p>
            <w:pPr>
              <w:jc w:val="right"/>
            </w:pPr>
            <w:r>
              <w:rPr>
                <w:color w:val="000000"/>
                <w:sz w:val="24"/>
                <w:szCs w:val="24"/>
              </w:rPr>
              <w:t>700,000</w:t>
            </w:r>
          </w:p>
        </w:tc>
        <w:tc>
          <w:tcPr>
            <w:vAlign w:val="center"/>
          </w:tcPr>
          <w:p>
            <w:pPr>
              <w:jc w:val="right"/>
            </w:pPr>
            <w:r>
              <w:rPr>
                <w:color w:val="000000"/>
                <w:sz w:val="24"/>
                <w:szCs w:val="24"/>
              </w:rPr>
              <w:t>68,831,000.00</w:t>
            </w:r>
          </w:p>
        </w:tc>
        <w:tc>
          <w:tcPr>
            <w:vAlign w:val="center"/>
          </w:tcPr>
          <w:p>
            <w:pPr>
              <w:jc w:val="right"/>
            </w:pPr>
            <w:r>
              <w:rPr>
                <w:color w:val="000000"/>
                <w:sz w:val="24"/>
                <w:szCs w:val="24"/>
              </w:rPr>
              <w:t>2.15</w:t>
            </w:r>
          </w:p>
        </w:tc>
      </w:tr>
      <w:tr>
        <w:tc>
          <w:tcPr>
            <w:vAlign w:val="center"/>
          </w:tcPr>
          <w:p>
            <w:pPr>
              <w:jc w:val="center"/>
            </w:pPr>
            <w:r>
              <w:rPr>
                <w:color w:val="000000"/>
                <w:sz w:val="24"/>
                <w:szCs w:val="24"/>
              </w:rPr>
              <w:t>2</w:t>
            </w:r>
          </w:p>
        </w:tc>
        <w:tc>
          <w:tcPr>
            <w:vAlign w:val="center"/>
          </w:tcPr>
          <w:p>
            <w:pPr>
              <w:jc w:val="center"/>
            </w:pPr>
            <w:r>
              <w:rPr>
                <w:color w:val="000000"/>
                <w:sz w:val="24"/>
                <w:szCs w:val="24"/>
              </w:rPr>
              <w:t>1728022</w:t>
            </w:r>
          </w:p>
        </w:tc>
        <w:tc>
          <w:tcPr>
            <w:vAlign w:val="center"/>
          </w:tcPr>
          <w:p>
            <w:pPr>
              <w:jc w:val="center"/>
            </w:pPr>
            <w:r>
              <w:rPr>
                <w:color w:val="000000"/>
                <w:sz w:val="24"/>
                <w:szCs w:val="24"/>
              </w:rPr>
              <w:t>17工商银行二级02</w:t>
            </w:r>
          </w:p>
        </w:tc>
        <w:tc>
          <w:tcPr>
            <w:vAlign w:val="center"/>
          </w:tcPr>
          <w:p>
            <w:pPr>
              <w:jc w:val="right"/>
            </w:pPr>
            <w:r>
              <w:rPr>
                <w:color w:val="000000"/>
                <w:sz w:val="24"/>
                <w:szCs w:val="24"/>
              </w:rPr>
              <w:t>600,000</w:t>
            </w:r>
          </w:p>
        </w:tc>
        <w:tc>
          <w:tcPr>
            <w:vAlign w:val="center"/>
          </w:tcPr>
          <w:p>
            <w:pPr>
              <w:jc w:val="right"/>
            </w:pPr>
            <w:r>
              <w:rPr>
                <w:color w:val="000000"/>
                <w:sz w:val="24"/>
                <w:szCs w:val="24"/>
              </w:rPr>
              <w:t>60,852,000.00</w:t>
            </w:r>
          </w:p>
        </w:tc>
        <w:tc>
          <w:tcPr>
            <w:vAlign w:val="center"/>
          </w:tcPr>
          <w:p>
            <w:pPr>
              <w:jc w:val="right"/>
            </w:pPr>
            <w:r>
              <w:rPr>
                <w:color w:val="000000"/>
                <w:sz w:val="24"/>
                <w:szCs w:val="24"/>
              </w:rPr>
              <w:t>1.90</w:t>
            </w:r>
          </w:p>
        </w:tc>
      </w:tr>
      <w:tr>
        <w:tc>
          <w:tcPr>
            <w:vAlign w:val="center"/>
          </w:tcPr>
          <w:p>
            <w:pPr>
              <w:jc w:val="center"/>
            </w:pPr>
            <w:r>
              <w:rPr>
                <w:color w:val="000000"/>
                <w:sz w:val="24"/>
                <w:szCs w:val="24"/>
              </w:rPr>
              <w:t>3</w:t>
            </w:r>
          </w:p>
        </w:tc>
        <w:tc>
          <w:tcPr>
            <w:vAlign w:val="center"/>
          </w:tcPr>
          <w:p>
            <w:pPr>
              <w:jc w:val="center"/>
            </w:pPr>
            <w:r>
              <w:rPr>
                <w:color w:val="000000"/>
                <w:sz w:val="24"/>
                <w:szCs w:val="24"/>
              </w:rPr>
              <w:t>200216</w:t>
            </w:r>
          </w:p>
        </w:tc>
        <w:tc>
          <w:tcPr>
            <w:vAlign w:val="center"/>
          </w:tcPr>
          <w:p>
            <w:pPr>
              <w:jc w:val="center"/>
            </w:pPr>
            <w:r>
              <w:rPr>
                <w:color w:val="000000"/>
                <w:sz w:val="24"/>
                <w:szCs w:val="24"/>
              </w:rPr>
              <w:t>20国开16</w:t>
            </w:r>
          </w:p>
        </w:tc>
        <w:tc>
          <w:tcPr>
            <w:vAlign w:val="center"/>
          </w:tcPr>
          <w:p>
            <w:pPr>
              <w:jc w:val="right"/>
            </w:pPr>
            <w:r>
              <w:rPr>
                <w:color w:val="000000"/>
                <w:sz w:val="24"/>
                <w:szCs w:val="24"/>
              </w:rPr>
              <w:t>600,000</w:t>
            </w:r>
          </w:p>
        </w:tc>
        <w:tc>
          <w:tcPr>
            <w:vAlign w:val="center"/>
          </w:tcPr>
          <w:p>
            <w:pPr>
              <w:jc w:val="right"/>
            </w:pPr>
            <w:r>
              <w:rPr>
                <w:color w:val="000000"/>
                <w:sz w:val="24"/>
                <w:szCs w:val="24"/>
              </w:rPr>
              <w:t>60,102,000.00</w:t>
            </w:r>
          </w:p>
        </w:tc>
        <w:tc>
          <w:tcPr>
            <w:vAlign w:val="center"/>
          </w:tcPr>
          <w:p>
            <w:pPr>
              <w:jc w:val="right"/>
            </w:pPr>
            <w:r>
              <w:rPr>
                <w:color w:val="000000"/>
                <w:sz w:val="24"/>
                <w:szCs w:val="24"/>
              </w:rPr>
              <w:t>1.88</w:t>
            </w:r>
          </w:p>
        </w:tc>
      </w:tr>
      <w:tr>
        <w:tc>
          <w:tcPr>
            <w:vAlign w:val="center"/>
          </w:tcPr>
          <w:p>
            <w:pPr>
              <w:jc w:val="center"/>
            </w:pPr>
            <w:r>
              <w:rPr>
                <w:color w:val="000000"/>
                <w:sz w:val="24"/>
                <w:szCs w:val="24"/>
              </w:rPr>
              <w:t>4</w:t>
            </w:r>
          </w:p>
        </w:tc>
        <w:tc>
          <w:tcPr>
            <w:vAlign w:val="center"/>
          </w:tcPr>
          <w:p>
            <w:pPr>
              <w:jc w:val="center"/>
            </w:pPr>
            <w:r>
              <w:rPr>
                <w:color w:val="000000"/>
                <w:sz w:val="24"/>
                <w:szCs w:val="24"/>
              </w:rPr>
              <w:t>127418</w:t>
            </w:r>
          </w:p>
        </w:tc>
        <w:tc>
          <w:tcPr>
            <w:vAlign w:val="center"/>
          </w:tcPr>
          <w:p>
            <w:pPr>
              <w:jc w:val="center"/>
            </w:pPr>
            <w:r>
              <w:rPr>
                <w:color w:val="000000"/>
                <w:sz w:val="24"/>
                <w:szCs w:val="24"/>
              </w:rPr>
              <w:t>PR启交通</w:t>
            </w:r>
          </w:p>
        </w:tc>
        <w:tc>
          <w:tcPr>
            <w:vAlign w:val="center"/>
          </w:tcPr>
          <w:p>
            <w:pPr>
              <w:jc w:val="right"/>
            </w:pPr>
            <w:r>
              <w:rPr>
                <w:color w:val="000000"/>
                <w:sz w:val="24"/>
                <w:szCs w:val="24"/>
              </w:rPr>
              <w:t>1,000,000</w:t>
            </w:r>
          </w:p>
        </w:tc>
        <w:tc>
          <w:tcPr>
            <w:vAlign w:val="center"/>
          </w:tcPr>
          <w:p>
            <w:pPr>
              <w:jc w:val="right"/>
            </w:pPr>
            <w:r>
              <w:rPr>
                <w:color w:val="000000"/>
                <w:sz w:val="24"/>
                <w:szCs w:val="24"/>
              </w:rPr>
              <w:t>59,960,000.00</w:t>
            </w:r>
          </w:p>
        </w:tc>
        <w:tc>
          <w:tcPr>
            <w:vAlign w:val="center"/>
          </w:tcPr>
          <w:p>
            <w:pPr>
              <w:jc w:val="right"/>
            </w:pPr>
            <w:r>
              <w:rPr>
                <w:color w:val="000000"/>
                <w:sz w:val="24"/>
                <w:szCs w:val="24"/>
              </w:rPr>
              <w:t>1.87</w:t>
            </w:r>
          </w:p>
        </w:tc>
      </w:tr>
      <w:tr>
        <w:tc>
          <w:tcPr>
            <w:vAlign w:val="center"/>
          </w:tcPr>
          <w:p>
            <w:pPr>
              <w:jc w:val="center"/>
            </w:pPr>
            <w:r>
              <w:rPr>
                <w:color w:val="000000"/>
                <w:sz w:val="24"/>
                <w:szCs w:val="24"/>
              </w:rPr>
              <w:t>5</w:t>
            </w:r>
          </w:p>
        </w:tc>
        <w:tc>
          <w:tcPr>
            <w:vAlign w:val="center"/>
          </w:tcPr>
          <w:p>
            <w:pPr>
              <w:jc w:val="center"/>
            </w:pPr>
            <w:r>
              <w:rPr>
                <w:color w:val="000000"/>
                <w:sz w:val="24"/>
                <w:szCs w:val="24"/>
              </w:rPr>
              <w:t>200308</w:t>
            </w:r>
          </w:p>
        </w:tc>
        <w:tc>
          <w:tcPr>
            <w:vAlign w:val="center"/>
          </w:tcPr>
          <w:p>
            <w:pPr>
              <w:jc w:val="center"/>
            </w:pPr>
            <w:r>
              <w:rPr>
                <w:color w:val="000000"/>
                <w:sz w:val="24"/>
                <w:szCs w:val="24"/>
              </w:rPr>
              <w:t>20进出08</w:t>
            </w:r>
          </w:p>
        </w:tc>
        <w:tc>
          <w:tcPr>
            <w:vAlign w:val="center"/>
          </w:tcPr>
          <w:p>
            <w:pPr>
              <w:jc w:val="right"/>
            </w:pPr>
            <w:r>
              <w:rPr>
                <w:color w:val="000000"/>
                <w:sz w:val="24"/>
                <w:szCs w:val="24"/>
              </w:rPr>
              <w:t>600,000</w:t>
            </w:r>
          </w:p>
        </w:tc>
        <w:tc>
          <w:tcPr>
            <w:vAlign w:val="center"/>
          </w:tcPr>
          <w:p>
            <w:pPr>
              <w:jc w:val="right"/>
            </w:pPr>
            <w:r>
              <w:rPr>
                <w:color w:val="000000"/>
                <w:sz w:val="24"/>
                <w:szCs w:val="24"/>
              </w:rPr>
              <w:t>59,910,000.00</w:t>
            </w:r>
          </w:p>
        </w:tc>
        <w:tc>
          <w:tcPr>
            <w:vAlign w:val="center"/>
          </w:tcPr>
          <w:p>
            <w:pPr>
              <w:jc w:val="right"/>
            </w:pPr>
            <w:r>
              <w:rPr>
                <w:color w:val="000000"/>
                <w:sz w:val="24"/>
                <w:szCs w:val="24"/>
              </w:rPr>
              <w:t>1.87</w:t>
            </w:r>
          </w:p>
        </w:tc>
      </w:tr>
    </w:tbl>
    <w:p w:rsidP="00C15CAC" w:rsidR="004061AC" w:rsidRDefault="004061AC" w:rsidRPr="00414345">
      <w:pPr>
        <w:autoSpaceDE w:val="0"/>
        <w:autoSpaceDN w:val="0"/>
        <w:adjustRightInd w:val="0"/>
        <w:spacing w:before="29" w:line="288" w:lineRule="auto"/>
        <w:jc w:val="left"/>
        <w:rPr>
          <w:b/>
          <w:bCs/>
          <w:color w:val="000000"/>
          <w:kern w:val="0"/>
          <w:sz w:val="24"/>
          <w:szCs w:val="24"/>
        </w:rPr>
      </w:pPr>
    </w:p>
    <w:p w:rsidP="00C15CAC" w:rsidR="004061AC" w:rsidRDefault="004061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5.6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的前十名资产支持证券投资明细</w:t>
      </w:r>
    </w:p>
    <w:p w:rsidP="00D03EB3" w:rsidR="00D03EB3" w:rsidRDefault="00D03EB3" w:rsidRPr="00D03EB3">
      <w:pPr>
        <w:autoSpaceDE w:val="0"/>
        <w:autoSpaceDN w:val="0"/>
        <w:adjustRightInd w:val="0"/>
        <w:spacing w:before="29" w:line="288" w:lineRule="auto"/>
        <w:jc w:val="right"/>
        <w:rPr>
          <w:bCs/>
          <w:color w:val="000000"/>
          <w:kern w:val="0"/>
          <w:sz w:val="24"/>
          <w:szCs w:val="24"/>
        </w:rPr>
      </w:pPr>
      <w:r w:rsidRPr="00D03EB3">
        <w:rPr>
          <w:rFonts w:hint="eastAsia"/>
          <w:bCs/>
          <w:color w:val="000000"/>
          <w:kern w:val="0"/>
          <w:sz w:val="24"/>
          <w:szCs w:val="24"/>
        </w:rPr>
        <w:t/>
      </w:r>
      <w:r w:rsidRPr="00D03EB3">
        <w:rPr>
          <w:rFonts w:hint="eastAsia"/>
          <w:bCs/>
          <w:color w:val="000000"/>
          <w:kern w:val="0"/>
          <w:sz w:val="24"/>
          <w:szCs w:val="24"/>
        </w:rPr>
        <w:t>金额单位：人民币元</w:t>
      </w:r>
    </w:p>
    <w:tbl>
      <w:tblPr>
        <w:tblStyle w:val="af7"/>
        <w:tblW w:type="dxa" w:w="8868"/>
        <w:jc w:val="center"/>
        <w:tblLayout w:type="fixed"/>
        <w:tblCellMar>
          <w:top w:type="dxa" w:w="57"/>
          <w:bottom w:type="dxa" w:w="57"/>
        </w:tblCellMar>
        <w:tblLook w:firstColumn="1" w:firstRow="1" w:lastColumn="0" w:lastRow="0" w:noHBand="0" w:noVBand="1" w:val="04A0"/>
      </w:tblPr>
      <w:tblGrid>
        <w:gridCol w:w="1295"/>
        <w:gridCol w:w="1339"/>
        <w:gridCol w:w="1322"/>
        <w:gridCol w:w="1567"/>
        <w:gridCol w:w="1660"/>
        <w:gridCol w:w="1685"/>
      </w:tblGrid>
      <w:tr w:rsidR="00D57B7C" w:rsidRPr="00414345" w:rsidTr="00A324F4">
        <w:trPr>
          <w:jc w:val="center"/>
        </w:trPr>
        <w:tc>
          <w:tcPr>
            <w:tcW w:type="dxa" w:w="1246"/>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序号</w:t>
            </w:r>
          </w:p>
        </w:tc>
        <w:tc>
          <w:tcPr>
            <w:tcW w:type="dxa" w:w="1288"/>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证券代码</w:t>
            </w:r>
          </w:p>
        </w:tc>
        <w:tc>
          <w:tcPr>
            <w:tcW w:type="dxa" w:w="1271"/>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证券名称</w:t>
            </w:r>
          </w:p>
        </w:tc>
        <w:tc>
          <w:tcPr>
            <w:tcW w:type="dxa" w:w="1507"/>
            <w:vAlign w:val="center"/>
          </w:tcPr>
          <w:p w:rsidP="00C15CAC" w:rsidR="00D03EB3" w:rsidRDefault="003E62FB">
            <w:pPr>
              <w:spacing w:before="29" w:line="288" w:lineRule="auto"/>
              <w:ind w:left="17"/>
              <w:jc w:val="center"/>
              <w:rPr>
                <w:color w:val="000000"/>
                <w:sz w:val="24"/>
                <w:szCs w:val="24"/>
              </w:rPr>
            </w:pPr>
            <w:r w:rsidRPr="00414345">
              <w:rPr>
                <w:color w:val="000000"/>
                <w:sz w:val="24"/>
                <w:szCs w:val="24"/>
              </w:rPr>
              <w:t>数量</w:t>
            </w:r>
          </w:p>
          <w:p w:rsidP="00C15CAC" w:rsidR="003E62FB" w:rsidRDefault="00D57B7C" w:rsidRPr="00414345">
            <w:pPr>
              <w:spacing w:before="29" w:line="288" w:lineRule="auto"/>
              <w:ind w:left="17"/>
              <w:jc w:val="center"/>
              <w:rPr>
                <w:color w:val="000000"/>
                <w:sz w:val="24"/>
                <w:szCs w:val="24"/>
              </w:rPr>
            </w:pPr>
            <w:r w:rsidRPr="00414345">
              <w:rPr>
                <w:color w:val="000000"/>
                <w:sz w:val="24"/>
                <w:szCs w:val="24"/>
              </w:rPr>
              <w:t>(</w:t>
            </w:r>
            <w:r w:rsidR="003E62FB" w:rsidRPr="00414345">
              <w:rPr>
                <w:color w:val="000000"/>
                <w:sz w:val="24"/>
                <w:szCs w:val="24"/>
              </w:rPr>
              <w:t>份</w:t>
            </w:r>
            <w:r w:rsidRPr="00414345">
              <w:rPr>
                <w:color w:val="000000"/>
                <w:sz w:val="24"/>
                <w:szCs w:val="24"/>
              </w:rPr>
              <w:t>)</w:t>
            </w:r>
          </w:p>
        </w:tc>
        <w:tc>
          <w:tcPr>
            <w:tcW w:type="dxa" w:w="1596"/>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type="dxa" w:w="1620"/>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占基金资产净值比例</w:t>
            </w:r>
            <w:r w:rsidR="00D57B7C" w:rsidRPr="00414345">
              <w:rPr>
                <w:color w:val="000000"/>
                <w:sz w:val="24"/>
                <w:szCs w:val="24"/>
              </w:rPr>
              <w:t>(</w:t>
            </w:r>
            <w:r w:rsidRPr="00414345">
              <w:rPr>
                <w:color w:val="000000"/>
                <w:sz w:val="24"/>
                <w:szCs w:val="24"/>
              </w:rPr>
              <w:t>％</w:t>
            </w:r>
            <w:r w:rsidR="00D57B7C" w:rsidRPr="00414345">
              <w:rPr>
                <w:color w:val="000000"/>
                <w:sz w:val="24"/>
                <w:szCs w:val="24"/>
              </w:rPr>
              <w:t>)</w:t>
            </w:r>
          </w:p>
        </w:tc>
      </w:tr>
      <w:tr>
        <w:tc>
          <w:tcPr>
            <w:vAlign w:val="center"/>
          </w:tcPr>
          <w:p>
            <w:pPr>
              <w:jc w:val="center"/>
            </w:pPr>
            <w:r>
              <w:rPr>
                <w:color w:val="000000"/>
                <w:sz w:val="24"/>
                <w:szCs w:val="24"/>
              </w:rPr>
              <w:t>1</w:t>
            </w:r>
          </w:p>
        </w:tc>
        <w:tc>
          <w:tcPr>
            <w:vAlign w:val="center"/>
          </w:tcPr>
          <w:p>
            <w:pPr>
              <w:jc w:val="center"/>
            </w:pPr>
            <w:r>
              <w:rPr>
                <w:color w:val="000000"/>
                <w:sz w:val="24"/>
                <w:szCs w:val="24"/>
              </w:rPr>
              <w:t>169422</w:t>
            </w:r>
          </w:p>
        </w:tc>
        <w:tc>
          <w:tcPr>
            <w:vAlign w:val="center"/>
          </w:tcPr>
          <w:p>
            <w:pPr>
              <w:jc w:val="center"/>
            </w:pPr>
            <w:r>
              <w:rPr>
                <w:color w:val="000000"/>
                <w:sz w:val="24"/>
                <w:szCs w:val="24"/>
              </w:rPr>
              <w:t>霄驰01A</w:t>
            </w:r>
          </w:p>
        </w:tc>
        <w:tc>
          <w:tcPr>
            <w:vAlign w:val="center"/>
          </w:tcPr>
          <w:p>
            <w:pPr>
              <w:jc w:val="right"/>
            </w:pPr>
            <w:r>
              <w:rPr>
                <w:color w:val="000000"/>
                <w:sz w:val="24"/>
                <w:szCs w:val="24"/>
              </w:rPr>
              <w:t>300,000</w:t>
            </w:r>
          </w:p>
        </w:tc>
        <w:tc>
          <w:tcPr>
            <w:vAlign w:val="center"/>
          </w:tcPr>
          <w:p>
            <w:pPr>
              <w:jc w:val="right"/>
            </w:pPr>
            <w:r>
              <w:rPr>
                <w:color w:val="000000"/>
                <w:sz w:val="24"/>
                <w:szCs w:val="24"/>
              </w:rPr>
              <w:t>30,036,000.00</w:t>
            </w:r>
          </w:p>
        </w:tc>
        <w:tc>
          <w:tcPr>
            <w:vAlign w:val="center"/>
          </w:tcPr>
          <w:p>
            <w:pPr>
              <w:jc w:val="right"/>
            </w:pPr>
            <w:r>
              <w:rPr>
                <w:color w:val="000000"/>
                <w:sz w:val="24"/>
                <w:szCs w:val="24"/>
              </w:rPr>
              <w:t>0.94</w:t>
            </w:r>
          </w:p>
        </w:tc>
      </w:tr>
      <w:tr>
        <w:tc>
          <w:tcPr>
            <w:vAlign w:val="center"/>
          </w:tcPr>
          <w:p>
            <w:pPr>
              <w:jc w:val="center"/>
            </w:pPr>
            <w:r>
              <w:rPr>
                <w:color w:val="000000"/>
                <w:sz w:val="24"/>
                <w:szCs w:val="24"/>
              </w:rPr>
              <w:t>2</w:t>
            </w:r>
          </w:p>
        </w:tc>
        <w:tc>
          <w:tcPr>
            <w:vAlign w:val="center"/>
          </w:tcPr>
          <w:p>
            <w:pPr>
              <w:jc w:val="center"/>
            </w:pPr>
            <w:r>
              <w:rPr>
                <w:color w:val="000000"/>
                <w:sz w:val="24"/>
                <w:szCs w:val="24"/>
              </w:rPr>
              <w:t>169525</w:t>
            </w:r>
          </w:p>
        </w:tc>
        <w:tc>
          <w:tcPr>
            <w:vAlign w:val="center"/>
          </w:tcPr>
          <w:p>
            <w:pPr>
              <w:jc w:val="center"/>
            </w:pPr>
            <w:r>
              <w:rPr>
                <w:color w:val="000000"/>
                <w:sz w:val="24"/>
                <w:szCs w:val="24"/>
              </w:rPr>
              <w:t>兴辰03A</w:t>
            </w:r>
          </w:p>
        </w:tc>
        <w:tc>
          <w:tcPr>
            <w:vAlign w:val="center"/>
          </w:tcPr>
          <w:p>
            <w:pPr>
              <w:jc w:val="right"/>
            </w:pPr>
            <w:r>
              <w:rPr>
                <w:color w:val="000000"/>
                <w:sz w:val="24"/>
                <w:szCs w:val="24"/>
              </w:rPr>
              <w:t>300,000</w:t>
            </w:r>
          </w:p>
        </w:tc>
        <w:tc>
          <w:tcPr>
            <w:vAlign w:val="center"/>
          </w:tcPr>
          <w:p>
            <w:pPr>
              <w:jc w:val="right"/>
            </w:pPr>
            <w:r>
              <w:rPr>
                <w:color w:val="000000"/>
                <w:sz w:val="24"/>
                <w:szCs w:val="24"/>
              </w:rPr>
              <w:t>30,027,000.00</w:t>
            </w:r>
          </w:p>
        </w:tc>
        <w:tc>
          <w:tcPr>
            <w:vAlign w:val="center"/>
          </w:tcPr>
          <w:p>
            <w:pPr>
              <w:jc w:val="right"/>
            </w:pPr>
            <w:r>
              <w:rPr>
                <w:color w:val="000000"/>
                <w:sz w:val="24"/>
                <w:szCs w:val="24"/>
              </w:rPr>
              <w:t>0.94</w:t>
            </w:r>
          </w:p>
        </w:tc>
      </w:tr>
    </w:tbl>
    <w:p w:rsidP="00C15CAC" w:rsidR="00A54C7D" w:rsidRDefault="00A54C7D" w:rsidRPr="00414345">
      <w:pPr>
        <w:autoSpaceDE w:val="0"/>
        <w:autoSpaceDN w:val="0"/>
        <w:adjustRightInd w:val="0"/>
        <w:spacing w:before="29" w:line="288" w:lineRule="auto"/>
        <w:jc w:val="left"/>
        <w:rPr>
          <w:color w:val="000000"/>
          <w:sz w:val="24"/>
          <w:szCs w:val="24"/>
        </w:rPr>
      </w:pPr>
    </w:p>
    <w:p w:rsidP="00C15CAC" w:rsidR="00A54C7D" w:rsidRDefault="00A54C7D" w:rsidRPr="00414345">
      <w:pPr>
        <w:autoSpaceDE w:val="0"/>
        <w:autoSpaceDN w:val="0"/>
        <w:adjustRightInd w:val="0"/>
        <w:spacing w:before="29" w:line="288" w:lineRule="auto"/>
        <w:jc w:val="left"/>
        <w:rPr>
          <w:color w:val="000000"/>
          <w:kern w:val="0"/>
          <w:sz w:val="24"/>
          <w:szCs w:val="24"/>
        </w:rPr>
      </w:pPr>
      <w:r w:rsidRPr="00414345">
        <w:rPr>
          <w:b/>
          <w:bCs/>
          <w:color w:val="000000"/>
          <w:kern w:val="0"/>
          <w:sz w:val="24"/>
          <w:szCs w:val="24"/>
        </w:rPr>
        <w:t>5.7</w:t>
      </w:r>
      <w:r w:rsidRPr="00414345">
        <w:rPr>
          <w:rFonts w:hAnsi="宋体"/>
          <w:b/>
          <w:bCs/>
          <w:color w:val="000000"/>
          <w:kern w:val="0"/>
          <w:sz w:val="24"/>
          <w:szCs w:val="24"/>
        </w:rPr>
        <w:t>报告期末按公允价值占基金资产净值比例大小排序的前五名贵金属投资明细</w:t>
      </w:r>
    </w:p>
    <w:p w:rsidP="00C15CAC" w:rsidR="00632B0F" w:rsidRDefault="00632B0F" w:rsidRPr="00414345">
      <w:pPr>
        <w:widowControl/>
        <w:spacing w:line="288" w:lineRule="auto"/>
        <w:jc w:val="left"/>
        <w:rPr>
          <w:sz w:val="24"/>
          <w:szCs w:val="24"/>
        </w:rPr>
      </w:pPr>
      <w:r w:rsidRPr="00414345">
        <w:rPr>
          <w:sz w:val="24"/>
          <w:szCs w:val="24"/>
        </w:rPr>
        <w:t>本基金本报告期末未持有贵金属。</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A917BF"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336EAF" w:rsidRPr="00414345">
        <w:rPr>
          <w:b/>
          <w:bCs/>
          <w:color w:val="000000"/>
          <w:kern w:val="0"/>
          <w:sz w:val="24"/>
          <w:szCs w:val="24"/>
        </w:rPr>
        <w:t/>
      </w:r>
      <w:r w:rsidRPr="00414345">
        <w:rPr>
          <w:b/>
          <w:bCs/>
          <w:color w:val="000000"/>
          <w:kern w:val="0"/>
          <w:sz w:val="24"/>
          <w:szCs w:val="24"/>
        </w:rPr>
        <w:t>8</w:t>
      </w:r>
      <w:r w:rsidR="004061AC"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004061AC" w:rsidRPr="00414345">
        <w:rPr>
          <w:b/>
          <w:bCs/>
          <w:color w:val="000000"/>
          <w:kern w:val="0"/>
          <w:sz w:val="24"/>
          <w:szCs w:val="24"/>
        </w:rPr>
        <w:t>的前五名权证投资明细</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
      </w:r>
      <w:r w:rsidR="00315D5D" w:rsidRPr="00414345">
        <w:rPr>
          <w:color w:val="000000"/>
          <w:sz w:val="24"/>
          <w:szCs w:val="24"/>
        </w:rPr>
        <w:t/>
      </w:r>
      <w:r w:rsidR="004061AC" w:rsidRPr="00414345">
        <w:rPr>
          <w:color w:val="000000"/>
          <w:sz w:val="24"/>
          <w:szCs w:val="24"/>
        </w:rPr>
        <w:t>本基金本报告期末未持有权证。</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275745" w:rsidRDefault="00CD5707"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A83500" w:rsidRPr="00414345">
        <w:rPr>
          <w:b/>
          <w:bCs/>
          <w:color w:val="000000"/>
          <w:kern w:val="0"/>
          <w:sz w:val="24"/>
          <w:szCs w:val="24"/>
        </w:rPr>
        <w:t/>
      </w:r>
      <w:r w:rsidR="003259C8" w:rsidRPr="00414345">
        <w:rPr>
          <w:b/>
          <w:bCs/>
          <w:color w:val="000000"/>
          <w:kern w:val="0"/>
          <w:sz w:val="24"/>
          <w:szCs w:val="24"/>
        </w:rPr>
        <w:t>5</w:t>
      </w:r>
      <w:r w:rsidR="00A917BF" w:rsidRPr="00414345">
        <w:rPr>
          <w:b/>
          <w:bCs/>
          <w:color w:val="000000"/>
          <w:kern w:val="0"/>
          <w:sz w:val="24"/>
          <w:szCs w:val="24"/>
        </w:rPr>
        <w:t>.</w:t>
      </w:r>
      <w:r w:rsidR="0059076B" w:rsidRPr="00414345">
        <w:rPr>
          <w:b/>
          <w:bCs/>
          <w:color w:val="000000"/>
          <w:kern w:val="0"/>
          <w:sz w:val="24"/>
          <w:szCs w:val="24"/>
        </w:rPr>
        <w:t>9</w:t>
      </w:r>
      <w:r w:rsidR="00275745" w:rsidRPr="00414345">
        <w:rPr>
          <w:b/>
          <w:bCs/>
          <w:color w:val="000000"/>
          <w:kern w:val="0"/>
          <w:sz w:val="24"/>
          <w:szCs w:val="24"/>
        </w:rPr>
        <w:t>报告期末本基金投资的股指期货交易情况说明</w:t>
      </w:r>
    </w:p>
    <w:p w:rsidP="00C15CAC" w:rsidR="00275745" w:rsidRDefault="00AA3A38" w:rsidRPr="00414345">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本基金本报告期末未持有股指期货。</w:t>
      </w:r>
    </w:p>
    <w:p w:rsidP="00C15CAC" w:rsidR="00AA3A38" w:rsidRDefault="00AA3A38" w:rsidRPr="00414345">
      <w:pPr>
        <w:adjustRightInd w:val="0"/>
        <w:snapToGrid w:val="0"/>
        <w:spacing w:before="29" w:line="288" w:lineRule="auto"/>
        <w:rPr>
          <w:sz w:val="24"/>
          <w:szCs w:val="24"/>
        </w:rPr>
      </w:pPr>
    </w:p>
    <w:p w:rsidP="00C15CAC" w:rsidR="00A669FC" w:rsidRDefault="00312A9F"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5.10</w:t>
      </w:r>
      <w:r w:rsidRPr="00414345">
        <w:rPr>
          <w:b/>
          <w:bCs/>
          <w:color w:val="000000"/>
          <w:kern w:val="0"/>
          <w:sz w:val="24"/>
          <w:szCs w:val="24"/>
        </w:rPr>
        <w:t>报告期末本基金投资的国债期货交易情况说明</w:t>
      </w:r>
    </w:p>
    <w:p w:rsidP="00C15CAC" w:rsidR="00312A9F" w:rsidRDefault="00312A9F" w:rsidRPr="00414345">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本基金本报告期末未持有国债期货。</w:t>
      </w:r>
    </w:p>
    <w:p w:rsidP="00C15CAC" w:rsidR="00426096" w:rsidRDefault="00426096" w:rsidRPr="00414345">
      <w:pPr>
        <w:autoSpaceDE w:val="0"/>
        <w:autoSpaceDN w:val="0"/>
        <w:adjustRightInd w:val="0"/>
        <w:spacing w:before="29" w:line="288" w:lineRule="auto"/>
        <w:jc w:val="left"/>
        <w:rPr>
          <w:color w:val="000000"/>
          <w:sz w:val="24"/>
          <w:szCs w:val="24"/>
        </w:rPr>
      </w:pPr>
    </w:p>
    <w:p w:rsidP="00C15CAC" w:rsidR="004061AC" w:rsidRDefault="003259C8"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275745" w:rsidRPr="00414345">
        <w:rPr>
          <w:b/>
          <w:bCs/>
          <w:color w:val="000000"/>
          <w:kern w:val="0"/>
          <w:sz w:val="24"/>
          <w:szCs w:val="24"/>
        </w:rPr>
        <w:t>.</w:t>
      </w:r>
      <w:r w:rsidR="0059076B" w:rsidRPr="00414345">
        <w:rPr>
          <w:b/>
          <w:bCs/>
          <w:color w:val="000000"/>
          <w:kern w:val="0"/>
          <w:sz w:val="24"/>
          <w:szCs w:val="24"/>
        </w:rPr>
        <w:t>11</w:t>
      </w:r>
      <w:r w:rsidR="004061AC" w:rsidRPr="00414345">
        <w:rPr>
          <w:b/>
          <w:bCs/>
          <w:color w:val="000000"/>
          <w:kern w:val="0"/>
          <w:sz w:val="24"/>
          <w:szCs w:val="24"/>
        </w:rPr>
        <w:t>投资组合报告附注</w:t>
      </w:r>
    </w:p>
    <w:p w:rsidP="00E40D31" w:rsidR="00BE5388" w:rsidRDefault="00BE5388" w:rsidRPr="00B34FB5">
      <w:pPr>
        <w:autoSpaceDE w:val="0"/>
        <w:autoSpaceDN w:val="0"/>
        <w:adjustRightInd w:val="0"/>
        <w:spacing w:before="29" w:line="288" w:lineRule="auto"/>
        <w:jc w:val="left"/>
        <w:rPr>
          <w:b/>
          <w:bCs/>
          <w:color w:val="000000"/>
          <w:kern w:val="0"/>
          <w:sz w:val="24"/>
          <w:szCs w:val="24"/>
        </w:rPr>
      </w:pPr>
      <w:r w:rsidRPr="00B34FB5">
        <w:rPr>
          <w:b/>
          <w:bCs/>
          <w:color w:val="000000"/>
          <w:kern w:val="0"/>
          <w:sz w:val="24"/>
          <w:szCs w:val="24"/>
        </w:rPr>
        <w:t>5.11.1</w:t>
      </w:r>
      <w:r w:rsidRPr="00AA3969">
        <w:rPr>
          <w:bCs/>
          <w:color w:val="000000"/>
          <w:kern w:val="0"/>
          <w:sz w:val="24"/>
          <w:szCs w:val="24"/>
        </w:rPr>
        <w:t>报告期内本基金投资的前十名证券的发行主体未被监管部门立案调查，在本报告编制日前一年内本基金投资的前十名证券的发行主体未受到公开谴责和处罚。</w:t>
      </w:r>
    </w:p>
    <w:p w:rsidP="00E40D31" w:rsidR="00BE5388" w:rsidRDefault="00BE5388" w:rsidRPr="00AA3969">
      <w:pPr>
        <w:autoSpaceDE w:val="0"/>
        <w:autoSpaceDN w:val="0"/>
        <w:adjustRightInd w:val="0"/>
        <w:spacing w:before="29" w:line="288" w:lineRule="auto"/>
        <w:jc w:val="left"/>
        <w:rPr>
          <w:bCs/>
          <w:color w:val="000000"/>
          <w:kern w:val="0"/>
          <w:sz w:val="24"/>
          <w:szCs w:val="24"/>
        </w:rPr>
      </w:pPr>
      <w:r w:rsidRPr="00B34FB5">
        <w:rPr>
          <w:b/>
          <w:bCs/>
          <w:color w:val="000000"/>
          <w:kern w:val="0"/>
          <w:sz w:val="24"/>
          <w:szCs w:val="24"/>
        </w:rPr>
        <w:t>5.11.2</w:t>
      </w:r>
      <w:bookmarkStart w:id="2" w:name="_GoBack"/>
      <w:r w:rsidRPr="00AA3969">
        <w:rPr>
          <w:bCs/>
          <w:color w:val="000000"/>
          <w:kern w:val="0"/>
          <w:sz w:val="24"/>
          <w:szCs w:val="24"/>
        </w:rPr>
        <w:t>本基金投资的前十名股票中，没有超出基金合同规定的备选股票库之外的股票。</w:t>
      </w:r>
    </w:p>
    <w:bookmarkEnd w:id="2"/>
    <w:p w:rsidP="00C15CAC" w:rsidR="004061AC" w:rsidRDefault="003259C8" w:rsidRPr="006B0D08">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275745" w:rsidRPr="006B0D08">
        <w:rPr>
          <w:b/>
          <w:bCs/>
          <w:color w:val="000000"/>
          <w:kern w:val="0"/>
          <w:sz w:val="24"/>
          <w:szCs w:val="24"/>
        </w:rPr>
        <w:t>.</w:t>
      </w:r>
      <w:r w:rsidR="0059076B" w:rsidRPr="006B0D08">
        <w:rPr>
          <w:b/>
          <w:bCs/>
          <w:color w:val="000000"/>
          <w:kern w:val="0"/>
          <w:sz w:val="24"/>
          <w:szCs w:val="24"/>
        </w:rPr>
        <w:t>11.3</w:t>
      </w:r>
      <w:r w:rsidR="0035383E" w:rsidRPr="006B0D08">
        <w:rPr>
          <w:b/>
          <w:bCs/>
          <w:color w:val="000000"/>
          <w:kern w:val="0"/>
          <w:sz w:val="24"/>
          <w:szCs w:val="24"/>
        </w:rPr>
        <w:t>其他</w:t>
      </w:r>
      <w:r w:rsidR="004061AC" w:rsidRPr="006B0D08">
        <w:rPr>
          <w:b/>
          <w:bCs/>
          <w:color w:val="000000"/>
          <w:kern w:val="0"/>
          <w:sz w:val="24"/>
          <w:szCs w:val="24"/>
        </w:rPr>
        <w:t>资产构成</w:t>
      </w:r>
    </w:p>
    <w:p w:rsidP="00DD7A00" w:rsidR="00DD7A00" w:rsidRDefault="004A0AA9" w:rsidRPr="00414345">
      <w:pPr>
        <w:autoSpaceDE w:val="0"/>
        <w:autoSpaceDN w:val="0"/>
        <w:adjustRightInd w:val="0"/>
        <w:spacing w:before="29" w:line="288" w:lineRule="auto"/>
        <w:jc w:val="right"/>
        <w:rPr>
          <w:bCs/>
          <w:color w:val="000000"/>
          <w:kern w:val="0"/>
          <w:sz w:val="24"/>
          <w:szCs w:val="24"/>
        </w:rPr>
      </w:pPr>
      <w:r w:rsidRPr="004A0AA9">
        <w:rPr>
          <w:rFonts w:hint="eastAsia"/>
          <w:bCs/>
          <w:color w:val="000000"/>
          <w:kern w:val="0"/>
          <w:sz w:val="24"/>
          <w:szCs w:val="24"/>
        </w:rPr>
        <w:t/>
      </w:r>
      <w:r w:rsidRPr="004A0AA9">
        <w:rPr>
          <w:rFonts w:hint="eastAsia"/>
          <w:bCs/>
          <w:color w:val="000000"/>
          <w:kern w:val="0"/>
          <w:sz w:val="24"/>
          <w:szCs w:val="24"/>
        </w:rPr>
        <w:t>金额单位：人民币元</w:t>
      </w:r>
    </w:p>
    <w:tbl>
      <w:tblPr>
        <w:tblStyle w:val="af7"/>
        <w:tblpPr w:horzAnchor="margin" w:leftFromText="180" w:rightFromText="180" w:tblpXSpec="center" w:tblpY="265" w:vertAnchor="text"/>
        <w:tblW w:type="dxa" w:w="8868"/>
        <w:jc w:val="center"/>
        <w:tblLayout w:type="fixed"/>
        <w:tblCellMar>
          <w:top w:type="dxa" w:w="-1"/>
          <w:bottom w:type="dxa" w:w="-1"/>
        </w:tblCellMar>
        <w:tblLook w:firstColumn="1" w:firstRow="1" w:lastColumn="0" w:lastRow="0" w:noHBand="0" w:noVBand="1" w:val="04A0"/>
      </w:tblPr>
      <w:tblGrid>
        <w:gridCol w:w="1287"/>
        <w:gridCol w:w="2573"/>
        <w:gridCol w:w="5008"/>
      </w:tblGrid>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序号</w:t>
            </w:r>
          </w:p>
        </w:tc>
        <w:tc>
          <w:tcPr>
            <w:tcW w:type="dxa" w:w="2470"/>
            <w:vAlign w:val="center"/>
          </w:tcPr>
          <w:p w:rsidP="00C15CAC" w:rsidR="004C0914" w:rsidRDefault="004C0914"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名称</w:t>
            </w:r>
          </w:p>
        </w:tc>
        <w:tc>
          <w:tcPr>
            <w:tcW w:type="dxa" w:w="4808"/>
            <w:vAlign w:val="center"/>
          </w:tcPr>
          <w:p w:rsidP="00C15CAC" w:rsidR="004C0914" w:rsidRDefault="004C0914"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金额</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1</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存出保证金</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14,157.02</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lastRenderedPageBreak/>
              <w:t>2</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应收证券清算款</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3</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应收股利</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4</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应收利息</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64,112,107.85</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5</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应收申购款</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7,937,226.07</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6</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其他应收款</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7</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待摊费用</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8</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其他</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9</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合计</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72,063,490.94</w:t>
            </w:r>
          </w:p>
        </w:tc>
      </w:tr>
    </w:tbl>
    <w:p w:rsidP="00C15CAC" w:rsidR="002918E3" w:rsidRDefault="002918E3" w:rsidRPr="00414345">
      <w:pPr>
        <w:autoSpaceDE w:val="0"/>
        <w:autoSpaceDN w:val="0"/>
        <w:adjustRightInd w:val="0"/>
        <w:spacing w:before="29" w:line="288" w:lineRule="auto"/>
        <w:rPr>
          <w:color w:val="000000"/>
          <w:sz w:val="24"/>
          <w:szCs w:val="24"/>
        </w:rPr>
      </w:pPr>
    </w:p>
    <w:p w:rsidP="00C15CAC" w:rsidR="004061AC" w:rsidRDefault="003259C8" w:rsidRPr="006B0D08">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275745" w:rsidRPr="006B0D08">
        <w:rPr>
          <w:b/>
          <w:bCs/>
          <w:color w:val="000000"/>
          <w:kern w:val="0"/>
          <w:sz w:val="24"/>
          <w:szCs w:val="24"/>
        </w:rPr>
        <w:t>.</w:t>
      </w:r>
      <w:r w:rsidR="0059076B" w:rsidRPr="006B0D08">
        <w:rPr>
          <w:b/>
          <w:bCs/>
          <w:color w:val="000000"/>
          <w:kern w:val="0"/>
          <w:sz w:val="24"/>
          <w:szCs w:val="24"/>
        </w:rPr>
        <w:t>11.4</w:t>
      </w:r>
      <w:r w:rsidR="004061AC" w:rsidRPr="006B0D08">
        <w:rPr>
          <w:b/>
          <w:bCs/>
          <w:color w:val="000000"/>
          <w:kern w:val="0"/>
          <w:sz w:val="24"/>
          <w:szCs w:val="24"/>
        </w:rPr>
        <w:t>报告期末持有的处于转股期的可转换债券明细</w:t>
      </w:r>
    </w:p>
    <w:p w:rsidP="00173B44" w:rsidR="00173B44" w:rsidRDefault="00173B44" w:rsidRPr="00414345">
      <w:pPr>
        <w:autoSpaceDE w:val="0"/>
        <w:autoSpaceDN w:val="0"/>
        <w:adjustRightInd w:val="0"/>
        <w:spacing w:before="29" w:line="288" w:lineRule="auto"/>
        <w:jc w:val="right"/>
        <w:rPr>
          <w:bCs/>
          <w:color w:val="000000"/>
          <w:kern w:val="0"/>
          <w:sz w:val="24"/>
          <w:szCs w:val="24"/>
        </w:rPr>
      </w:pPr>
      <w:r w:rsidRPr="00173B44">
        <w:rPr>
          <w:rFonts w:hint="eastAsia"/>
          <w:bCs/>
          <w:color w:val="000000"/>
          <w:kern w:val="0"/>
          <w:sz w:val="24"/>
          <w:szCs w:val="24"/>
        </w:rPr>
        <w:t/>
      </w:r>
      <w:r w:rsidRPr="00173B44">
        <w:rPr>
          <w:rFonts w:hint="eastAsia"/>
          <w:bCs/>
          <w:color w:val="000000"/>
          <w:kern w:val="0"/>
          <w:sz w:val="24"/>
          <w:szCs w:val="24"/>
        </w:rPr>
        <w:t>金额单位：人民币元</w:t>
      </w:r>
    </w:p>
    <w:tbl>
      <w:tblPr>
        <w:tblStyle w:val="af7"/>
        <w:tblW w:type="dxa" w:w="8868"/>
        <w:jc w:val="center"/>
        <w:tblLayout w:type="fixed"/>
        <w:tblCellMar>
          <w:top w:type="dxa" w:w="57"/>
          <w:bottom w:type="dxa" w:w="57"/>
        </w:tblCellMar>
        <w:tblLook w:firstColumn="1" w:firstRow="1" w:lastColumn="0" w:lastRow="0" w:noHBand="0" w:noVBand="1" w:val="04A0"/>
      </w:tblPr>
      <w:tblGrid>
        <w:gridCol w:w="1883"/>
        <w:gridCol w:w="1801"/>
        <w:gridCol w:w="1727"/>
        <w:gridCol w:w="1768"/>
        <w:gridCol w:w="1689"/>
      </w:tblGrid>
      <w:tr w:rsidR="003E62FB" w:rsidRPr="00414345" w:rsidTr="00A324F4">
        <w:trPr>
          <w:jc w:val="center"/>
        </w:trPr>
        <w:tc>
          <w:tcPr>
            <w:tcW w:type="dxa" w:w="1808"/>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序号</w:t>
            </w:r>
          </w:p>
        </w:tc>
        <w:tc>
          <w:tcPr>
            <w:tcW w:type="dxa" w:w="1729"/>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债券代码</w:t>
            </w:r>
          </w:p>
        </w:tc>
        <w:tc>
          <w:tcPr>
            <w:tcW w:type="dxa" w:w="1658"/>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债券名称</w:t>
            </w:r>
          </w:p>
        </w:tc>
        <w:tc>
          <w:tcPr>
            <w:tcW w:type="dxa" w:w="1697"/>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公允价值</w:t>
            </w:r>
          </w:p>
        </w:tc>
        <w:tc>
          <w:tcPr>
            <w:tcW w:type="dxa" w:w="1621"/>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占基金资产净值比例</w:t>
            </w:r>
            <w:r w:rsidR="009D1BD9">
              <w:rPr>
                <w:rFonts w:hint="eastAsia"/>
                <w:color w:val="000000"/>
                <w:sz w:val="24"/>
                <w:szCs w:val="24"/>
              </w:rPr>
              <w:t>(</w:t>
            </w:r>
            <w:r w:rsidR="009D1BD9">
              <w:rPr>
                <w:color w:val="000000"/>
                <w:sz w:val="24"/>
                <w:szCs w:val="24"/>
              </w:rPr>
              <w:t>%</w:t>
            </w:r>
            <w:r w:rsidR="009D1BD9">
              <w:rPr>
                <w:rFonts w:hint="eastAsia"/>
                <w:color w:val="000000"/>
                <w:sz w:val="24"/>
                <w:szCs w:val="24"/>
              </w:rPr>
              <w:t>)</w:t>
            </w:r>
          </w:p>
        </w:tc>
      </w:tr>
      <w:tr>
        <w:tc>
          <w:tcPr>
            <w:vAlign w:val="center"/>
          </w:tcPr>
          <w:p>
            <w:pPr>
              <w:jc w:val="center"/>
            </w:pPr>
            <w:r>
              <w:rPr>
                <w:color w:val="000000"/>
                <w:sz w:val="24"/>
                <w:szCs w:val="24"/>
              </w:rPr>
              <w:t>1</w:t>
            </w:r>
          </w:p>
        </w:tc>
        <w:tc>
          <w:tcPr>
            <w:vAlign w:val="center"/>
          </w:tcPr>
          <w:p>
            <w:pPr>
              <w:jc w:val="center"/>
            </w:pPr>
            <w:r>
              <w:rPr>
                <w:color w:val="000000"/>
                <w:sz w:val="24"/>
                <w:szCs w:val="24"/>
              </w:rPr>
              <w:t>123055</w:t>
            </w:r>
          </w:p>
        </w:tc>
        <w:tc>
          <w:tcPr>
            <w:vAlign w:val="center"/>
          </w:tcPr>
          <w:p>
            <w:pPr>
              <w:jc w:val="center"/>
            </w:pPr>
            <w:r>
              <w:rPr>
                <w:color w:val="000000"/>
                <w:sz w:val="24"/>
                <w:szCs w:val="24"/>
              </w:rPr>
              <w:t>晨光转债</w:t>
            </w:r>
          </w:p>
        </w:tc>
        <w:tc>
          <w:tcPr>
            <w:vAlign w:val="center"/>
          </w:tcPr>
          <w:p>
            <w:pPr>
              <w:jc w:val="right"/>
            </w:pPr>
            <w:r>
              <w:rPr>
                <w:color w:val="000000"/>
                <w:sz w:val="24"/>
                <w:szCs w:val="24"/>
              </w:rPr>
              <w:t>1,555.80</w:t>
            </w:r>
          </w:p>
        </w:tc>
        <w:tc>
          <w:tcPr>
            <w:vAlign w:val="center"/>
          </w:tcPr>
          <w:p>
            <w:pPr>
              <w:jc w:val="right"/>
            </w:pPr>
            <w:r>
              <w:rPr>
                <w:color w:val="000000"/>
                <w:sz w:val="24"/>
                <w:szCs w:val="24"/>
              </w:rPr>
              <w:t>0.00</w:t>
            </w:r>
          </w:p>
        </w:tc>
      </w:tr>
    </w:tbl>
    <w:p w:rsidP="00C15CAC" w:rsidR="002918E3" w:rsidRDefault="002918E3" w:rsidRPr="00414345">
      <w:pPr>
        <w:autoSpaceDE w:val="0"/>
        <w:autoSpaceDN w:val="0"/>
        <w:adjustRightInd w:val="0"/>
        <w:spacing w:before="29" w:line="288" w:lineRule="auto"/>
        <w:rPr>
          <w:color w:val="000000"/>
          <w:sz w:val="24"/>
          <w:szCs w:val="24"/>
        </w:rPr>
      </w:pPr>
    </w:p>
    <w:p w:rsidP="00C15CAC" w:rsidR="004061AC" w:rsidRDefault="003259C8" w:rsidRPr="006B0D08">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4061AC" w:rsidRPr="006B0D08">
        <w:rPr>
          <w:b/>
          <w:bCs/>
          <w:color w:val="000000"/>
          <w:kern w:val="0"/>
          <w:sz w:val="24"/>
          <w:szCs w:val="24"/>
        </w:rPr>
        <w:t>.</w:t>
      </w:r>
      <w:r w:rsidR="0059076B" w:rsidRPr="006B0D08">
        <w:rPr>
          <w:b/>
          <w:bCs/>
          <w:color w:val="000000"/>
          <w:kern w:val="0"/>
          <w:sz w:val="24"/>
          <w:szCs w:val="24"/>
        </w:rPr>
        <w:t>11.5</w:t>
      </w:r>
      <w:r w:rsidR="004061AC" w:rsidRPr="006B0D08">
        <w:rPr>
          <w:b/>
          <w:bCs/>
          <w:color w:val="000000"/>
          <w:kern w:val="0"/>
          <w:sz w:val="24"/>
          <w:szCs w:val="24"/>
        </w:rPr>
        <w:t>报告期末前十名股票中存在流通受限情况的说明</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lastRenderedPageBreak/>
        <w:t/>
      </w:r>
      <w:r w:rsidR="004061AC" w:rsidRPr="00414345">
        <w:rPr>
          <w:color w:val="000000"/>
          <w:sz w:val="24"/>
          <w:szCs w:val="24"/>
        </w:rPr>
        <w:t/>
      </w:r>
      <w:r w:rsidR="008E326D" w:rsidRPr="00414345">
        <w:rPr>
          <w:color w:val="000000"/>
          <w:sz w:val="24"/>
          <w:szCs w:val="24"/>
        </w:rPr>
        <w:t/>
      </w:r>
      <w:r w:rsidR="004061AC" w:rsidRPr="00414345">
        <w:rPr>
          <w:color w:val="000000"/>
          <w:sz w:val="24"/>
          <w:szCs w:val="24"/>
        </w:rPr>
        <w:t>本基金本报告期末未持有股票。</w:t>
      </w:r>
    </w:p>
    <w:p w:rsidP="00C15CAC" w:rsidR="004061AC" w:rsidRDefault="00D02347" w:rsidRPr="006B0D08">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
      </w:r>
      <w:r w:rsidR="003259C8" w:rsidRPr="006B0D08">
        <w:rPr>
          <w:b/>
          <w:bCs/>
          <w:color w:val="000000"/>
          <w:kern w:val="0"/>
          <w:sz w:val="24"/>
          <w:szCs w:val="24"/>
        </w:rPr>
        <w:t>5</w:t>
      </w:r>
      <w:r w:rsidR="004061AC" w:rsidRPr="006B0D08">
        <w:rPr>
          <w:b/>
          <w:bCs/>
          <w:color w:val="000000"/>
          <w:kern w:val="0"/>
          <w:sz w:val="24"/>
          <w:szCs w:val="24"/>
        </w:rPr>
        <w:t>.</w:t>
      </w:r>
      <w:r w:rsidR="0059076B" w:rsidRPr="006B0D08">
        <w:rPr>
          <w:b/>
          <w:bCs/>
          <w:color w:val="000000"/>
          <w:kern w:val="0"/>
          <w:sz w:val="24"/>
          <w:szCs w:val="24"/>
        </w:rPr>
        <w:t>11.6</w:t>
      </w:r>
      <w:r w:rsidR="001675CD" w:rsidRPr="006B0D08">
        <w:rPr>
          <w:b/>
          <w:bCs/>
          <w:color w:val="000000"/>
          <w:kern w:val="0"/>
          <w:sz w:val="24"/>
          <w:szCs w:val="24"/>
        </w:rPr>
        <w:t>投资组合报告附注的其他文字描述部分</w:t>
      </w:r>
    </w:p>
    <w:p w:rsidP="00E40D31" w:rsidR="006B2FF6" w:rsidRDefault="004061AC" w:rsidRPr="00414345">
      <w:pPr>
        <w:spacing w:before="29" w:line="288" w:lineRule="auto"/>
        <w:rPr>
          <w:color w:val="000000"/>
          <w:sz w:val="24"/>
          <w:szCs w:val="24"/>
        </w:rPr>
      </w:pPr>
      <w:r w:rsidRPr="00414345">
        <w:rPr>
          <w:color w:val="000000"/>
          <w:sz w:val="24"/>
          <w:szCs w:val="24"/>
        </w:rPr>
        <w:t/>
      </w:r>
      <w:r w:rsidR="001675CD" w:rsidRPr="00414345">
        <w:rPr>
          <w:color w:val="000000"/>
          <w:sz w:val="24"/>
          <w:szCs w:val="24"/>
        </w:rPr>
        <w:t/>
      </w:r>
      <w:r w:rsidRPr="00414345">
        <w:rPr>
          <w:color w:val="000000"/>
          <w:sz w:val="24"/>
          <w:szCs w:val="24"/>
        </w:rPr>
        <w:t>由于四舍五入的原因，分项之和与合计项之间可能存在尾差。</w:t>
      </w:r>
    </w:p>
    <w:p w:rsidP="00C15CAC" w:rsidR="006B2FF6" w:rsidRDefault="006B2FF6">
      <w:pPr>
        <w:spacing w:before="29" w:line="288" w:lineRule="auto"/>
        <w:ind w:firstLine="480" w:firstLineChars="200"/>
        <w:rPr>
          <w:color w:val="000000"/>
          <w:sz w:val="24"/>
          <w:szCs w:val="24"/>
        </w:rPr>
      </w:pPr>
    </w:p>
    <w:p w:rsidP="00C15CAC" w:rsidR="001F3E2A" w:rsidRDefault="001F3E2A">
      <w:pPr>
        <w:spacing w:before="29" w:line="288" w:lineRule="auto"/>
        <w:ind w:firstLine="480" w:firstLineChars="200"/>
        <w:rPr>
          <w:color w:val="000000"/>
          <w:sz w:val="24"/>
          <w:szCs w:val="24"/>
        </w:rPr>
      </w:pPr>
    </w:p>
    <w:p w:rsidP="00C15CAC" w:rsidR="001F3E2A" w:rsidRDefault="001F3E2A" w:rsidRPr="00414345">
      <w:pPr>
        <w:spacing w:before="29" w:line="288" w:lineRule="auto"/>
        <w:ind w:firstLine="480" w:firstLineChars="200"/>
        <w:rPr>
          <w:color w:val="000000"/>
          <w:sz w:val="24"/>
          <w:szCs w:val="24"/>
        </w:rPr>
      </w:pPr>
    </w:p>
    <w:p w:rsidP="0011537B" w:rsidR="004061AC" w:rsidRDefault="0072794E" w:rsidRPr="005A3D62">
      <w:pPr>
        <w:pStyle w:val="1"/>
        <w:spacing w:after="312" w:afterLines="100" w:before="312" w:beforeLines="100" w:line="360" w:lineRule="auto"/>
        <w:jc w:val="center"/>
        <w:rPr>
          <w:rFonts w:eastAsiaTheme="minorEastAsia"/>
          <w:color w:themeColor="text1" w:val="000000"/>
          <w:kern w:val="0"/>
          <w:sz w:val="24"/>
          <w:szCs w:val="24"/>
        </w:rPr>
      </w:pPr>
      <w:r w:rsidRPr="005A3D62">
        <w:rPr>
          <w:rFonts w:eastAsiaTheme="minorEastAsia"/>
          <w:color w:themeColor="text1" w:val="000000"/>
          <w:kern w:val="0"/>
          <w:sz w:val="24"/>
          <w:szCs w:val="24"/>
        </w:rPr>
        <w:t/>
      </w:r>
      <w:r w:rsidR="004061AC" w:rsidRPr="005A3D62">
        <w:rPr>
          <w:rFonts w:eastAsiaTheme="minorEastAsia"/>
          <w:color w:themeColor="text1" w:val="000000"/>
          <w:kern w:val="0"/>
          <w:sz w:val="24"/>
          <w:szCs w:val="24"/>
        </w:rPr>
        <w:t>§</w:t>
      </w:r>
      <w:r w:rsidRPr="005A3D62">
        <w:rPr>
          <w:rFonts w:eastAsiaTheme="minorEastAsia"/>
          <w:color w:themeColor="text1" w:val="000000"/>
          <w:kern w:val="0"/>
          <w:sz w:val="24"/>
          <w:szCs w:val="24"/>
        </w:rPr>
        <w:t>6</w:t>
      </w:r>
      <w:r w:rsidR="004061AC" w:rsidRPr="005A3D62">
        <w:rPr>
          <w:rFonts w:eastAsiaTheme="minorEastAsia"/>
          <w:color w:themeColor="text1" w:val="000000"/>
          <w:kern w:val="0"/>
          <w:sz w:val="24"/>
          <w:szCs w:val="24"/>
        </w:rPr>
        <w:t xml:space="preserve">  </w:t>
      </w:r>
      <w:r w:rsidR="004061AC" w:rsidRPr="005A3D62">
        <w:rPr>
          <w:rFonts w:eastAsiaTheme="minorEastAsia"/>
          <w:color w:themeColor="text1" w:val="000000"/>
          <w:kern w:val="0"/>
          <w:sz w:val="24"/>
          <w:szCs w:val="24"/>
        </w:rPr>
        <w:t>开放式基金份额变动</w:t>
      </w:r>
    </w:p>
    <w:p w:rsidP="00C15CAC" w:rsidR="004061AC" w:rsidRDefault="004061AC" w:rsidRPr="00414345">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单位：份</w:t>
      </w:r>
    </w:p>
    <w:tbl>
      <w:tblPr>
        <w:tblW w:type="dxa" w:w="8868"/>
        <w:jc w:val="center"/>
        <w:tblLayout w:type="fixed"/>
        <w:tblCellMar>
          <w:top w:type="dxa" w:w="-1"/>
          <w:bottom w:type="dxa" w:w="-1"/>
        </w:tblCellMar>
        <w:tblLook w:firstColumn="0" w:firstRow="0" w:lastColumn="0" w:lastRow="0" w:noHBand="0" w:noVBand="0" w:val="0000"/>
      </w:tblPr>
      <w:tblGrid>
        <w:gridCol w:w="4734"/>
        <w:gridCol w:w="4134"/>
      </w:tblGrid>
      <w:tr w:rsidR="004061AC"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报告期期初基金份额总额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4061AC" w:rsidRDefault="008F60F2"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
            </w:r>
            <w:r w:rsidR="006D7FF8" w:rsidRPr="00414345">
              <w:rPr>
                <w:color w:val="000000"/>
                <w:sz w:val="24"/>
                <w:szCs w:val="24"/>
              </w:rPr>
              <w:t/>
            </w:r>
            <w:r w:rsidR="00355364" w:rsidRPr="00414345">
              <w:rPr>
                <w:color w:val="000000"/>
                <w:sz w:val="24"/>
                <w:szCs w:val="24"/>
              </w:rPr>
              <w:t/>
            </w:r>
            <w:r w:rsidR="006D7FF8" w:rsidRPr="00414345">
              <w:rPr>
                <w:color w:val="000000"/>
                <w:sz w:val="24"/>
                <w:szCs w:val="24"/>
              </w:rPr>
              <w:t>3,061,980,974.20</w:t>
            </w:r>
          </w:p>
        </w:tc>
      </w:tr>
      <w:tr w:rsidR="004061AC"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C15CAC" w:rsidR="004061AC" w:rsidRDefault="00FE179F"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基金总申购份额</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353,903,750.74</w:t>
            </w:r>
          </w:p>
        </w:tc>
      </w:tr>
      <w:tr w:rsidR="004061AC"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减：</w:t>
            </w:r>
            <w:r w:rsidR="00FE179F" w:rsidRPr="00414345">
              <w:rPr>
                <w:color w:val="000000"/>
                <w:kern w:val="0"/>
                <w:sz w:val="24"/>
                <w:szCs w:val="24"/>
              </w:rPr>
              <w:t>本报告期</w:t>
            </w:r>
            <w:r w:rsidR="00F31B0C">
              <w:rPr>
                <w:rFonts w:hint="eastAsia"/>
                <w:color w:val="000000"/>
                <w:kern w:val="0"/>
                <w:sz w:val="24"/>
                <w:szCs w:val="24"/>
              </w:rPr>
              <w:t>期间</w:t>
            </w:r>
            <w:r w:rsidRPr="00414345">
              <w:rPr>
                <w:color w:val="000000"/>
                <w:kern w:val="0"/>
                <w:sz w:val="24"/>
                <w:szCs w:val="24"/>
              </w:rPr>
              <w:t>基金总赎回份额</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673,639,755.48</w:t>
            </w:r>
          </w:p>
        </w:tc>
      </w:tr>
      <w:tr w:rsidR="004061AC"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35076C" w:rsidR="004061AC" w:rsidRDefault="00FE179F"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基金拆分变动份额</w:t>
            </w:r>
            <w:r w:rsidR="00F31B0C" w:rsidRPr="006664D2">
              <w:rPr>
                <w:rFonts w:hint="eastAsia"/>
                <w:color w:val="000000"/>
                <w:kern w:val="0"/>
                <w:sz w:val="24"/>
              </w:rPr>
              <w:t>（份额减少以</w:t>
            </w:r>
            <w:r w:rsidR="00F31B0C" w:rsidRPr="004D5D71">
              <w:rPr>
                <w:color w:val="000000"/>
              </w:rPr>
              <w:t>“-”</w:t>
            </w:r>
            <w:r w:rsidR="00F31B0C" w:rsidRPr="006664D2">
              <w:rPr>
                <w:rFonts w:hint="eastAsia"/>
                <w:color w:val="000000"/>
                <w:kern w:val="0"/>
                <w:sz w:val="24"/>
              </w:rPr>
              <w:t>填列）</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6D7FF8"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C15CAC" w:rsidR="006D7FF8" w:rsidRDefault="006D7FF8"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报告期期末基金份额总额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6D7FF8" w:rsidRDefault="006D7FF8"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
            </w:r>
            <w:r w:rsidR="00355364" w:rsidRPr="00414345">
              <w:rPr>
                <w:color w:val="000000"/>
                <w:sz w:val="24"/>
                <w:szCs w:val="24"/>
              </w:rPr>
              <w:t/>
            </w:r>
            <w:r w:rsidRPr="00414345">
              <w:rPr>
                <w:color w:val="000000"/>
                <w:sz w:val="24"/>
                <w:szCs w:val="24"/>
              </w:rPr>
              <w:t>2,742,244,969.46</w:t>
            </w:r>
          </w:p>
        </w:tc>
      </w:tr>
    </w:tbl>
    <w:p>
      <w:pPr>
        <w:autoSpaceDE w:val="0"/>
        <w:autoSpaceDN w:val="0"/>
        <w:adjustRightInd w:val="0"/>
        <w:spacing w:before="29" w:line="288" w:lineRule="auto"/>
        <w:jc w:val="left"/>
        <w:rPr>
          <w:color w:val="000000"/>
          <w:sz w:val="24"/>
          <w:szCs w:val="24"/>
        </w:rPr>
      </w:pPr>
      <w:r>
        <w:rPr>
          <w:color w:val="000000"/>
          <w:sz w:val="24"/>
          <w:szCs w:val="24"/>
        </w:rPr>
        <w:t xml:space="preserve">注：1、如果本报告期间发生转换入、红利再投业务，则总申购份额中包含该业务；     </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 xml:space="preserve">    2、如果本报告期间发生转换出业务，则总赎回份额中包含该业务。</w:t>
      </w:r>
    </w:p>
    <w:p w:rsidP="00C15CAC" w:rsidR="00320E90" w:rsidRDefault="00320E90">
      <w:pPr>
        <w:autoSpaceDE w:val="0"/>
        <w:autoSpaceDN w:val="0"/>
        <w:adjustRightInd w:val="0"/>
        <w:spacing w:before="29" w:line="288" w:lineRule="auto"/>
        <w:jc w:val="left"/>
        <w:rPr>
          <w:color w:val="000000"/>
          <w:sz w:val="24"/>
          <w:szCs w:val="24"/>
        </w:rPr>
      </w:pPr>
    </w:p>
    <w:p w:rsidP="0011537B" w:rsidR="00ED2620" w:rsidRDefault="00ED2620" w:rsidRPr="00ED2620">
      <w:pPr>
        <w:pStyle w:val="1"/>
        <w:tabs>
          <w:tab w:pos="4156" w:val="center"/>
          <w:tab w:pos="8312" w:val="right"/>
        </w:tabs>
        <w:spacing w:after="312" w:afterLines="100" w:before="312" w:beforeLines="100" w:line="288" w:lineRule="auto"/>
        <w:jc w:val="center"/>
        <w:rPr>
          <w:sz w:val="24"/>
          <w:szCs w:val="24"/>
        </w:rPr>
      </w:pPr>
      <w:r w:rsidRPr="00ED2620">
        <w:rPr>
          <w:rFonts w:eastAsiaTheme="minorEastAsia"/>
          <w:color w:val="000000"/>
          <w:kern w:val="0"/>
          <w:sz w:val="24"/>
          <w:szCs w:val="24"/>
        </w:rPr>
        <w:t/>
      </w:r>
      <w:r w:rsidR="000A2FC0" w:rsidRPr="00414345">
        <w:rPr>
          <w:color w:val="000000"/>
          <w:kern w:val="0"/>
          <w:sz w:val="24"/>
          <w:szCs w:val="24"/>
        </w:rPr>
        <w:t>§</w:t>
      </w:r>
      <w:r w:rsidR="00406DA6">
        <w:rPr>
          <w:rFonts w:eastAsiaTheme="minorEastAsia"/>
          <w:color w:val="000000"/>
          <w:kern w:val="0"/>
          <w:sz w:val="24"/>
          <w:szCs w:val="24"/>
        </w:rPr>
        <w:t/>
      </w:r>
      <w:r w:rsidR="00406DA6">
        <w:rPr>
          <w:rFonts w:eastAsiaTheme="minorEastAsia" w:hint="eastAsia"/>
          <w:color w:val="000000"/>
          <w:kern w:val="0"/>
          <w:sz w:val="24"/>
          <w:szCs w:val="24"/>
        </w:rPr>
        <w:t/>
      </w:r>
      <w:r w:rsidRPr="00ED2620">
        <w:rPr>
          <w:rFonts w:eastAsiaTheme="minorEastAsia"/>
          <w:color w:val="000000"/>
          <w:kern w:val="0"/>
          <w:sz w:val="24"/>
          <w:szCs w:val="24"/>
        </w:rPr>
        <w:t xml:space="preserve">7  </w:t>
      </w:r>
      <w:r w:rsidRPr="00ED2620">
        <w:rPr>
          <w:sz w:val="24"/>
          <w:szCs w:val="24"/>
        </w:rPr>
        <w:t>基金管理人运用固有资金投资本基金情况</w:t>
      </w:r>
    </w:p>
    <w:p w:rsidP="00C15CAC" w:rsidR="00ED2620" w:rsidRDefault="00ED2620" w:rsidRPr="00ED2620">
      <w:pPr>
        <w:spacing w:line="288" w:lineRule="auto"/>
        <w:jc w:val="left"/>
        <w:rPr>
          <w:sz w:val="24"/>
          <w:szCs w:val="24"/>
        </w:rPr>
      </w:pPr>
      <w:r w:rsidRPr="00ED2620">
        <w:rPr>
          <w:b/>
          <w:sz w:val="24"/>
        </w:rPr>
        <w:t xml:space="preserve">7.1 </w:t>
      </w:r>
      <w:r w:rsidRPr="00ED2620">
        <w:rPr>
          <w:b/>
          <w:sz w:val="24"/>
        </w:rPr>
        <w:t>基金管理人持有本基金份额变动情况</w:t>
      </w:r>
    </w:p>
    <w:p w:rsidP="00C15CAC" w:rsidR="00410630" w:rsidRDefault="00ED2620">
      <w:pPr>
        <w:autoSpaceDE w:val="0"/>
        <w:autoSpaceDN w:val="0"/>
        <w:adjustRightInd w:val="0"/>
        <w:spacing w:before="29" w:line="288" w:lineRule="auto"/>
        <w:jc w:val="left"/>
        <w:rPr>
          <w:rFonts w:eastAsiaTheme="minorEastAsia"/>
          <w:color w:val="000000"/>
          <w:sz w:val="24"/>
        </w:rPr>
      </w:pPr>
      <w:r w:rsidRPr="00ED2620">
        <w:rPr>
          <w:rFonts w:eastAsiaTheme="minorEastAsia"/>
          <w:color w:val="000000"/>
          <w:sz w:val="24"/>
        </w:rPr>
        <w:t/>
      </w:r>
      <w:r w:rsidR="006075E6">
        <w:rPr>
          <w:rFonts w:eastAsiaTheme="minorEastAsia" w:hint="eastAsia"/>
          <w:color w:val="000000"/>
          <w:sz w:val="24"/>
        </w:rPr>
        <w:t/>
      </w:r>
      <w:r w:rsidRPr="00ED2620">
        <w:rPr>
          <w:rFonts w:eastAsiaTheme="minorEastAsia"/>
          <w:color w:val="000000"/>
          <w:sz w:val="24"/>
        </w:rPr>
        <w:t>本报告期内未发生基金管理人运用固有资金投资本基金的情况。</w:t>
      </w:r>
    </w:p>
    <w:p w:rsidP="00C15CAC" w:rsidR="00410630" w:rsidRDefault="00410630">
      <w:pPr>
        <w:autoSpaceDE w:val="0"/>
        <w:autoSpaceDN w:val="0"/>
        <w:adjustRightInd w:val="0"/>
        <w:spacing w:before="29" w:line="288" w:lineRule="auto"/>
        <w:jc w:val="left"/>
        <w:rPr>
          <w:rFonts w:eastAsiaTheme="minorEastAsia"/>
          <w:color w:val="000000"/>
          <w:sz w:val="24"/>
        </w:rPr>
      </w:pPr>
    </w:p>
    <w:p w:rsidP="00BB5E0E" w:rsidR="00410630" w:rsidRDefault="00410630" w:rsidRPr="00BB5E0E">
      <w:pPr>
        <w:spacing w:line="288" w:lineRule="auto"/>
        <w:jc w:val="left"/>
        <w:rPr>
          <w:b/>
          <w:sz w:val="24"/>
        </w:rPr>
      </w:pPr>
      <w:r w:rsidRPr="00410630">
        <w:rPr>
          <w:b/>
          <w:sz w:val="24"/>
        </w:rPr>
        <w:t>7.2</w:t>
      </w:r>
      <w:r w:rsidRPr="00410630">
        <w:rPr>
          <w:rFonts w:hint="eastAsia"/>
          <w:b/>
          <w:sz w:val="24"/>
        </w:rPr>
        <w:t>基金管理人运用固有资金投资本基金交易明细</w:t>
      </w:r>
    </w:p>
    <w:p w:rsidP="00C15CAC" w:rsidR="00320300" w:rsidRDefault="00320300" w:rsidRPr="00414345">
      <w:pPr>
        <w:autoSpaceDE w:val="0"/>
        <w:autoSpaceDN w:val="0"/>
        <w:adjustRightInd w:val="0"/>
        <w:spacing w:before="29" w:line="288" w:lineRule="auto"/>
        <w:jc w:val="left"/>
        <w:rPr>
          <w:color w:val="000000"/>
          <w:sz w:val="24"/>
        </w:rPr>
      </w:pPr>
      <w:r w:rsidRPr="00414345">
        <w:rPr>
          <w:color w:val="000000"/>
          <w:sz w:val="24"/>
        </w:rPr>
        <w:t>本基金管理人本报告期内未进行本基金的申购、赎回、红利再投等。</w:t>
      </w:r>
    </w:p>
    <w:p w:rsidP="00C15CAC" w:rsidR="00480B35" w:rsidRDefault="00480B35" w:rsidRPr="00414345">
      <w:pPr>
        <w:autoSpaceDE w:val="0"/>
        <w:autoSpaceDN w:val="0"/>
        <w:adjustRightInd w:val="0"/>
        <w:spacing w:before="29" w:line="288" w:lineRule="auto"/>
        <w:jc w:val="left"/>
        <w:rPr>
          <w:color w:val="000000"/>
          <w:sz w:val="24"/>
        </w:rPr>
      </w:pPr>
    </w:p>
    <w:p w:rsidP="0011537B" w:rsidR="00B22DEE" w:rsidRDefault="004061AC" w:rsidRPr="00E02660">
      <w:pPr>
        <w:pStyle w:val="1"/>
        <w:spacing w:after="312" w:afterLines="100" w:before="312" w:beforeLines="100" w:line="288" w:lineRule="auto"/>
        <w:jc w:val="center"/>
        <w:rPr>
          <w:color w:val="000000"/>
          <w:kern w:val="0"/>
          <w:sz w:val="24"/>
          <w:szCs w:val="24"/>
        </w:rPr>
      </w:pPr>
      <w:r w:rsidRPr="00414345">
        <w:rPr>
          <w:color w:val="000000"/>
          <w:kern w:val="0"/>
          <w:sz w:val="24"/>
          <w:szCs w:val="24"/>
        </w:rPr>
        <w:t>§</w:t>
      </w:r>
      <w:r w:rsidR="00D02347" w:rsidRPr="00414345">
        <w:rPr>
          <w:color w:val="000000"/>
          <w:kern w:val="0"/>
          <w:sz w:val="24"/>
          <w:szCs w:val="24"/>
        </w:rPr>
        <w:t/>
      </w:r>
      <w:r w:rsidR="00676095" w:rsidRPr="00414345">
        <w:rPr>
          <w:color w:val="000000"/>
          <w:kern w:val="0"/>
          <w:sz w:val="24"/>
          <w:szCs w:val="24"/>
        </w:rPr>
        <w:t/>
      </w:r>
      <w:r w:rsidR="00D02347" w:rsidRPr="00414345">
        <w:rPr>
          <w:color w:val="000000"/>
          <w:kern w:val="0"/>
          <w:sz w:val="24"/>
          <w:szCs w:val="24"/>
        </w:rPr>
        <w:t>8</w:t>
      </w:r>
      <w:r w:rsidR="00834E74">
        <w:rPr>
          <w:color w:val="000000"/>
          <w:kern w:val="0"/>
          <w:sz w:val="24"/>
          <w:szCs w:val="24"/>
        </w:rPr>
        <w:t xml:space="preserve">  </w:t>
      </w:r>
      <w:r w:rsidRPr="00414345">
        <w:rPr>
          <w:color w:val="000000"/>
          <w:kern w:val="0"/>
          <w:sz w:val="24"/>
          <w:szCs w:val="24"/>
        </w:rPr>
        <w:t>备查文件目录</w:t>
      </w:r>
    </w:p>
    <w:p w:rsidP="00C15CAC" w:rsidR="004061AC" w:rsidRDefault="00D02347"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676095" w:rsidRPr="00414345">
        <w:rPr>
          <w:b/>
          <w:bCs/>
          <w:color w:val="000000"/>
          <w:kern w:val="0"/>
          <w:sz w:val="24"/>
          <w:szCs w:val="24"/>
        </w:rPr>
        <w:t/>
      </w:r>
      <w:r w:rsidRPr="00414345">
        <w:rPr>
          <w:b/>
          <w:bCs/>
          <w:color w:val="000000"/>
          <w:kern w:val="0"/>
          <w:sz w:val="24"/>
          <w:szCs w:val="24"/>
        </w:rPr>
        <w:t>8</w:t>
      </w:r>
      <w:r w:rsidR="004061AC" w:rsidRPr="00414345">
        <w:rPr>
          <w:b/>
          <w:bCs/>
          <w:color w:val="000000"/>
          <w:kern w:val="0"/>
          <w:sz w:val="24"/>
          <w:szCs w:val="24"/>
        </w:rPr>
        <w:t>.</w:t>
      </w:r>
      <w:r w:rsidR="00676095" w:rsidRPr="00414345">
        <w:rPr>
          <w:b/>
          <w:bCs/>
          <w:color w:val="000000"/>
          <w:kern w:val="0"/>
          <w:sz w:val="24"/>
          <w:szCs w:val="24"/>
        </w:rPr>
        <w:t>1</w:t>
      </w:r>
      <w:r w:rsidR="004061AC" w:rsidRPr="00414345">
        <w:rPr>
          <w:b/>
          <w:bCs/>
          <w:color w:val="000000"/>
          <w:kern w:val="0"/>
          <w:sz w:val="24"/>
          <w:szCs w:val="24"/>
        </w:rPr>
        <w:t>备查文件目录</w:t>
      </w:r>
    </w:p>
    <w:p>
      <w:pPr>
        <w:spacing w:before="29" w:line="288" w:lineRule="auto"/>
        <w:ind w:firstLine="480" w:firstLineChars="200"/>
        <w:rPr>
          <w:color w:val="000000"/>
          <w:sz w:val="24"/>
          <w:szCs w:val="24"/>
        </w:rPr>
      </w:pPr>
      <w:r>
        <w:rPr>
          <w:color w:val="000000"/>
          <w:sz w:val="24"/>
          <w:szCs w:val="24"/>
        </w:rPr>
        <w:t xml:space="preserve">1、中国证监会核准交银施罗德信用添利债券证券投资基金募集的文件； </w:t>
      </w:r>
    </w:p>
    <w:p>
      <w:pPr>
        <w:spacing w:before="29" w:line="288" w:lineRule="auto"/>
        <w:ind w:firstLine="480" w:firstLineChars="200"/>
        <w:rPr>
          <w:color w:val="000000"/>
          <w:sz w:val="24"/>
          <w:szCs w:val="24"/>
        </w:rPr>
      </w:pPr>
      <w:r>
        <w:rPr>
          <w:color w:val="000000"/>
          <w:sz w:val="24"/>
          <w:szCs w:val="24"/>
        </w:rPr>
        <w:t>2、《交银施罗德信用添利债券证券投资基金基金合同》；</w:t>
      </w:r>
    </w:p>
    <w:p>
      <w:pPr>
        <w:spacing w:before="29" w:line="288" w:lineRule="auto"/>
        <w:ind w:firstLine="480" w:firstLineChars="200"/>
        <w:rPr>
          <w:color w:val="000000"/>
          <w:sz w:val="24"/>
          <w:szCs w:val="24"/>
        </w:rPr>
      </w:pPr>
      <w:r>
        <w:rPr>
          <w:color w:val="000000"/>
          <w:sz w:val="24"/>
          <w:szCs w:val="24"/>
        </w:rPr>
        <w:t xml:space="preserve">3、《交银施罗德信用添利债券证券投资基金招募说明书》； </w:t>
      </w:r>
    </w:p>
    <w:p>
      <w:pPr>
        <w:spacing w:before="29" w:line="288" w:lineRule="auto"/>
        <w:ind w:firstLine="480" w:firstLineChars="200"/>
        <w:rPr>
          <w:color w:val="000000"/>
          <w:sz w:val="24"/>
          <w:szCs w:val="24"/>
        </w:rPr>
      </w:pPr>
      <w:r>
        <w:rPr>
          <w:color w:val="000000"/>
          <w:sz w:val="24"/>
          <w:szCs w:val="24"/>
        </w:rPr>
        <w:t xml:space="preserve">4、《交银施罗德信用添利债券证券投资基金托管协议》； </w:t>
      </w:r>
    </w:p>
    <w:p>
      <w:pPr>
        <w:spacing w:before="29" w:line="288" w:lineRule="auto"/>
        <w:ind w:firstLine="480" w:firstLineChars="200"/>
        <w:rPr>
          <w:color w:val="000000"/>
          <w:sz w:val="24"/>
          <w:szCs w:val="24"/>
        </w:rPr>
      </w:pPr>
      <w:r>
        <w:rPr>
          <w:color w:val="000000"/>
          <w:sz w:val="24"/>
          <w:szCs w:val="24"/>
        </w:rPr>
        <w:t>5、基金管理人业务资格批件、营业执照；</w:t>
      </w:r>
    </w:p>
    <w:p>
      <w:pPr>
        <w:spacing w:before="29" w:line="288" w:lineRule="auto"/>
        <w:ind w:firstLine="480" w:firstLineChars="200"/>
        <w:rPr>
          <w:color w:val="000000"/>
          <w:sz w:val="24"/>
          <w:szCs w:val="24"/>
        </w:rPr>
      </w:pPr>
      <w:r>
        <w:rPr>
          <w:color w:val="000000"/>
          <w:sz w:val="24"/>
          <w:szCs w:val="24"/>
        </w:rPr>
        <w:t>6、基金托管人业务资格批件、营业执照；</w:t>
      </w:r>
    </w:p>
    <w:p>
      <w:pPr>
        <w:spacing w:before="29" w:line="288" w:lineRule="auto"/>
        <w:ind w:firstLine="480" w:firstLineChars="200"/>
        <w:rPr>
          <w:color w:val="000000"/>
          <w:sz w:val="24"/>
          <w:szCs w:val="24"/>
        </w:rPr>
      </w:pPr>
      <w:r>
        <w:rPr>
          <w:color w:val="000000"/>
          <w:sz w:val="24"/>
          <w:szCs w:val="24"/>
        </w:rPr>
        <w:t>7、关于申请募集交银施罗德信用添利债券证券投资基金之法律意见书；</w:t>
      </w:r>
    </w:p>
    <w:p w:rsidP="00C15CAC" w:rsidR="004061AC" w:rsidRDefault="006D7FF8" w:rsidRPr="00414345">
      <w:pPr>
        <w:spacing w:before="29" w:line="288" w:lineRule="auto"/>
        <w:ind w:firstLine="480" w:firstLineChars="200"/>
        <w:rPr>
          <w:color w:val="000000"/>
          <w:sz w:val="24"/>
          <w:szCs w:val="24"/>
        </w:rPr>
      </w:pPr>
      <w:r w:rsidRPr="00414345">
        <w:rPr>
          <w:color w:val="000000"/>
          <w:sz w:val="24"/>
          <w:szCs w:val="24"/>
        </w:rPr>
        <w:t>8、报告期内交银施罗德信用添利债券证券投资基金在指定报刊上各项公告的原稿。</w:t>
      </w:r>
    </w:p>
    <w:p w:rsidP="00C15CAC" w:rsidR="006A48FD" w:rsidRDefault="006A48FD" w:rsidRPr="00414345">
      <w:pPr>
        <w:spacing w:before="29" w:line="288" w:lineRule="auto"/>
        <w:ind w:firstLine="480" w:firstLineChars="200"/>
        <w:rPr>
          <w:color w:val="000000"/>
          <w:sz w:val="24"/>
          <w:szCs w:val="24"/>
        </w:rPr>
      </w:pPr>
    </w:p>
    <w:p w:rsidP="00C15CAC" w:rsidR="004061AC" w:rsidRDefault="00D02347"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676095" w:rsidRPr="00414345">
        <w:rPr>
          <w:b/>
          <w:bCs/>
          <w:color w:val="000000"/>
          <w:kern w:val="0"/>
          <w:sz w:val="24"/>
          <w:szCs w:val="24"/>
        </w:rPr>
        <w:t/>
      </w:r>
      <w:r w:rsidRPr="00414345">
        <w:rPr>
          <w:b/>
          <w:bCs/>
          <w:color w:val="000000"/>
          <w:kern w:val="0"/>
          <w:sz w:val="24"/>
          <w:szCs w:val="24"/>
        </w:rPr>
        <w:t>8</w:t>
      </w:r>
      <w:r w:rsidR="004061AC" w:rsidRPr="00414345">
        <w:rPr>
          <w:b/>
          <w:bCs/>
          <w:color w:val="000000"/>
          <w:kern w:val="0"/>
          <w:sz w:val="24"/>
          <w:szCs w:val="24"/>
        </w:rPr>
        <w:t>.</w:t>
      </w:r>
      <w:r w:rsidR="00676095" w:rsidRPr="00414345">
        <w:rPr>
          <w:b/>
          <w:bCs/>
          <w:color w:val="000000"/>
          <w:kern w:val="0"/>
          <w:sz w:val="24"/>
          <w:szCs w:val="24"/>
        </w:rPr>
        <w:t>2</w:t>
      </w:r>
      <w:r w:rsidR="004061AC" w:rsidRPr="00414345">
        <w:rPr>
          <w:b/>
          <w:bCs/>
          <w:color w:val="000000"/>
          <w:kern w:val="0"/>
          <w:sz w:val="24"/>
          <w:szCs w:val="24"/>
        </w:rPr>
        <w:t>存放地点</w:t>
      </w:r>
    </w:p>
    <w:p w:rsidP="00C15CAC" w:rsidR="004061AC" w:rsidRDefault="006D7FF8" w:rsidRPr="00414345">
      <w:pPr>
        <w:spacing w:before="29" w:line="288" w:lineRule="auto"/>
        <w:ind w:firstLine="480" w:firstLineChars="200"/>
        <w:rPr>
          <w:color w:val="000000"/>
          <w:sz w:val="24"/>
          <w:szCs w:val="24"/>
        </w:rPr>
      </w:pPr>
      <w:r w:rsidRPr="00414345">
        <w:rPr>
          <w:color w:val="000000"/>
          <w:sz w:val="24"/>
          <w:szCs w:val="24"/>
        </w:rPr>
        <w:t>备查文件存放于基金管理人的办公场所。</w:t>
      </w:r>
    </w:p>
    <w:p w:rsidP="00C15CAC" w:rsidR="006A48FD" w:rsidRDefault="006A48FD" w:rsidRPr="00414345">
      <w:pPr>
        <w:spacing w:before="29" w:line="288" w:lineRule="auto"/>
        <w:ind w:firstLine="480" w:firstLineChars="200"/>
        <w:rPr>
          <w:color w:val="000000"/>
          <w:sz w:val="24"/>
          <w:szCs w:val="24"/>
        </w:rPr>
      </w:pPr>
    </w:p>
    <w:p w:rsidP="00C15CAC" w:rsidR="004061AC" w:rsidRDefault="00D02347"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676095" w:rsidRPr="00414345">
        <w:rPr>
          <w:b/>
          <w:bCs/>
          <w:color w:val="000000"/>
          <w:kern w:val="0"/>
          <w:sz w:val="24"/>
          <w:szCs w:val="24"/>
        </w:rPr>
        <w:t/>
      </w:r>
      <w:r w:rsidRPr="00414345">
        <w:rPr>
          <w:b/>
          <w:bCs/>
          <w:color w:val="000000"/>
          <w:kern w:val="0"/>
          <w:sz w:val="24"/>
          <w:szCs w:val="24"/>
        </w:rPr>
        <w:t>8</w:t>
      </w:r>
      <w:r w:rsidR="004061AC" w:rsidRPr="00414345">
        <w:rPr>
          <w:b/>
          <w:bCs/>
          <w:color w:val="000000"/>
          <w:kern w:val="0"/>
          <w:sz w:val="24"/>
          <w:szCs w:val="24"/>
        </w:rPr>
        <w:t>.</w:t>
      </w:r>
      <w:r w:rsidR="00676095" w:rsidRPr="00414345">
        <w:rPr>
          <w:b/>
          <w:bCs/>
          <w:color w:val="000000"/>
          <w:kern w:val="0"/>
          <w:sz w:val="24"/>
          <w:szCs w:val="24"/>
        </w:rPr>
        <w:t>3</w:t>
      </w:r>
      <w:r w:rsidR="004061AC" w:rsidRPr="00414345">
        <w:rPr>
          <w:b/>
          <w:bCs/>
          <w:color w:val="000000"/>
          <w:kern w:val="0"/>
          <w:sz w:val="24"/>
          <w:szCs w:val="24"/>
        </w:rPr>
        <w:t>查阅方式</w:t>
      </w:r>
    </w:p>
    <w:p>
      <w:pPr>
        <w:spacing w:before="29" w:line="288" w:lineRule="auto"/>
        <w:ind w:firstLine="480" w:firstLineChars="200"/>
        <w:rPr>
          <w:color w:val="000000"/>
          <w:sz w:val="24"/>
          <w:szCs w:val="24"/>
        </w:rPr>
      </w:pPr>
      <w:r>
        <w:rPr>
          <w:color w:val="000000"/>
          <w:sz w:val="24"/>
          <w:szCs w:val="24"/>
        </w:rPr>
        <w:t xml:space="preserve">投资者可在办公时间内至基金管理人的办公场所免费查阅备查文件，或者登录基金管理人的网站(www.fund001.com)查阅。在支付工本费后，投资者可在合理时间内取得上述文件的复制件或复印件。 </w:t>
      </w:r>
    </w:p>
    <w:p w:rsidP="00C15CAC" w:rsidR="00A90049" w:rsidRDefault="006D7FF8" w:rsidRPr="00414345">
      <w:pPr>
        <w:spacing w:before="29" w:line="288" w:lineRule="auto"/>
        <w:ind w:firstLine="480" w:firstLineChars="200"/>
        <w:rPr>
          <w:color w:val="000000"/>
          <w:sz w:val="24"/>
          <w:szCs w:val="24"/>
        </w:rPr>
      </w:pPr>
      <w:r w:rsidRPr="00414345">
        <w:rPr>
          <w:color w:val="000000"/>
          <w:sz w:val="24"/>
          <w:szCs w:val="24"/>
        </w:rPr>
        <w:t>投资者对本报告书如有疑问，可咨询本基金管理人交银施罗德基金管理有限公司。本公司客户服务中心电话：400-700-5000（免长途话费），021-61055000，电子邮件：services@jysld.com。</w:t>
      </w:r>
    </w:p>
    <w:p w:rsidP="00C15CAC" w:rsidR="002C3C7A" w:rsidRDefault="002C3C7A" w:rsidRPr="00414345">
      <w:pPr>
        <w:spacing w:before="29" w:line="288" w:lineRule="auto"/>
        <w:ind w:firstLine="480" w:firstLineChars="200"/>
        <w:rPr>
          <w:color w:val="000000"/>
          <w:sz w:val="24"/>
          <w:szCs w:val="24"/>
        </w:rPr>
      </w:pPr>
    </w:p>
    <w:sectPr w:rsidR="002C3C7A" w:rsidRPr="00414345" w:rsidSect="00000678">
      <w:pgSz w:code="9" w:h="16838" w:w="11906"/>
      <w:pgMar w:bottom="1440" w:footer="992" w:gutter="0" w:header="851" w:left="1440" w:right="1440" w:top="1440"/>
      <w:cols w:space="425"/>
      <w:docGrid w:linePitch="312" w:type="line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AA1" w:rsidRDefault="00C11AA1" w:rsidP="00876D65">
      <w:r>
        <w:separator/>
      </w:r>
    </w:p>
  </w:endnote>
  <w:endnote w:type="continuationSeparator" w:id="0">
    <w:p w:rsidR="00C11AA1" w:rsidRDefault="00C11AA1" w:rsidP="008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angSong">
    <w:altName w:val="黑体"/>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80E0000" w:usb2="00000000" w:usb3="00000000" w:csb0="00040000"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D9393A" w:rsidRDefault="00D9393A">
    <w:pPr>
      <w:pStyle w:val="a6"/>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P="004D340C" w:rsidR="004D340C" w:rsidRDefault="004D340C" w:rsidRPr="001D0DB0">
    <w:pPr>
      <w:pStyle w:val="a6"/>
      <w:jc w:val="center"/>
    </w:pPr>
    <w:r>
      <w:rPr>
        <w:rFonts w:hint="eastAsia"/>
        <w:kern w:val="0"/>
        <w:szCs w:val="21"/>
      </w:rPr>
      <w:t>第</w:t>
    </w:r>
    <w:r w:rsidR="00381EE8">
      <w:rPr>
        <w:kern w:val="0"/>
        <w:szCs w:val="21"/>
      </w:rPr>
      <w:fldChar w:fldCharType="begin"/>
    </w:r>
    <w:r>
      <w:rPr>
        <w:kern w:val="0"/>
        <w:szCs w:val="21"/>
      </w:rPr>
      <w:instrText xml:space="preserve"> PAGE </w:instrText>
    </w:r>
    <w:r w:rsidR="00381EE8">
      <w:rPr>
        <w:kern w:val="0"/>
        <w:szCs w:val="21"/>
      </w:rPr>
      <w:fldChar w:fldCharType="separate"/>
    </w:r>
    <w:r w:rsidR="00AA3969">
      <w:rPr>
        <w:noProof/>
        <w:kern w:val="0"/>
        <w:szCs w:val="21"/>
      </w:rPr>
      <w:t>17</w:t>
    </w:r>
    <w:r w:rsidR="00381EE8">
      <w:rPr>
        <w:kern w:val="0"/>
        <w:szCs w:val="21"/>
      </w:rPr>
      <w:fldChar w:fldCharType="end"/>
    </w:r>
    <w:r>
      <w:rPr>
        <w:rFonts w:hint="eastAsia"/>
        <w:kern w:val="0"/>
        <w:szCs w:val="21"/>
      </w:rPr>
      <w:t>页共</w:t>
    </w:r>
    <w:r w:rsidR="00381EE8">
      <w:rPr>
        <w:kern w:val="0"/>
        <w:szCs w:val="21"/>
      </w:rPr>
      <w:fldChar w:fldCharType="begin"/>
    </w:r>
    <w:r>
      <w:rPr>
        <w:kern w:val="0"/>
        <w:szCs w:val="21"/>
      </w:rPr>
      <w:instrText xml:space="preserve"> NUMPAGES </w:instrText>
    </w:r>
    <w:r w:rsidR="00381EE8">
      <w:rPr>
        <w:kern w:val="0"/>
        <w:szCs w:val="21"/>
      </w:rPr>
      <w:fldChar w:fldCharType="separate"/>
    </w:r>
    <w:r w:rsidR="00AA3969">
      <w:rPr>
        <w:noProof/>
        <w:kern w:val="0"/>
        <w:szCs w:val="21"/>
      </w:rPr>
      <w:t>24</w:t>
    </w:r>
    <w:r w:rsidR="00381EE8">
      <w:rPr>
        <w:kern w:val="0"/>
        <w:szCs w:val="21"/>
      </w:rPr>
      <w:fldChar w:fldCharType="end"/>
    </w:r>
    <w:r>
      <w:rPr>
        <w:rFonts w:hint="eastAsia"/>
        <w:kern w:val="0"/>
        <w:szCs w:val="21"/>
      </w:rPr>
      <w:t>页</w:t>
    </w: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D9393A" w:rsidRDefault="00D9393A">
    <w:pPr>
      <w:pStyle w:val="a6"/>
    </w:pP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rsidP="00876D65" w:rsidR="00C11AA1" w:rsidRDefault="00C11AA1">
      <w:r>
        <w:separator/>
      </w:r>
    </w:p>
  </w:footnote>
  <w:footnote w:id="0" w:type="continuationSeparator">
    <w:p w:rsidP="00876D65" w:rsidR="00C11AA1" w:rsidRDefault="00C11AA1">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D9393A" w:rsidRDefault="00D9393A">
    <w:pPr>
      <w:pStyle w:val="a9"/>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P="00090A26" w:rsidR="00171EF0" w:rsidRDefault="00DC456F" w:rsidRPr="00DC456F">
    <w:pPr>
      <w:pStyle w:val="a9"/>
      <w:pBdr>
        <w:bottom w:color="auto" w:space="0" w:sz="6" w:val="single"/>
      </w:pBdr>
      <w:jc w:val="right"/>
      <w:rPr>
        <w:sz w:val="24"/>
        <w:szCs w:val="24"/>
      </w:rPr>
    </w:pPr>
    <w:r w:rsidRPr="003E676C">
      <w:rPr>
        <w:sz w:val="24"/>
        <w:szCs w:val="24"/>
      </w:rPr>
      <w:t>交银施罗德信用添利债券证券投资基金（LOF）2020年第4季度报告</w:t>
    </w: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D9393A" w:rsidRDefault="00D9393A">
    <w:pPr>
      <w:pStyle w:val="a9"/>
    </w:pP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15:restartNumberingAfterBreak="0" w:abstractNumId="0">
    <w:nsid w:val="17055987"/>
    <w:multiLevelType w:val="hybridMultilevel"/>
    <w:tmpl w:val="6DACDB38"/>
    <w:lvl w:ilvl="0" w:tplc="307C87E8">
      <w:start w:val="2006"/>
      <w:numFmt w:val="bullet"/>
      <w:lvlText w:val="●"/>
      <w:lvlJc w:val="left"/>
      <w:pPr>
        <w:tabs>
          <w:tab w:pos="780" w:val="num"/>
        </w:tabs>
        <w:ind w:hanging="360" w:left="780"/>
      </w:pPr>
      <w:rPr>
        <w:rFonts w:ascii="Times New Roman" w:eastAsia="宋体" w:hAnsi="Times New Roman" w:hint="default"/>
      </w:rPr>
    </w:lvl>
    <w:lvl w:ilvl="1" w:tplc="04090003">
      <w:start w:val="1"/>
      <w:numFmt w:val="bullet"/>
      <w:lvlText w:val=""/>
      <w:lvlJc w:val="left"/>
      <w:pPr>
        <w:tabs>
          <w:tab w:pos="1260" w:val="num"/>
        </w:tabs>
        <w:ind w:hanging="420" w:left="1260"/>
      </w:pPr>
      <w:rPr>
        <w:rFonts w:ascii="Wingdings" w:cs="Wingdings" w:hAnsi="Wingdings" w:hint="default"/>
      </w:rPr>
    </w:lvl>
    <w:lvl w:ilvl="2" w:tplc="04090005">
      <w:start w:val="1"/>
      <w:numFmt w:val="bullet"/>
      <w:lvlText w:val=""/>
      <w:lvlJc w:val="left"/>
      <w:pPr>
        <w:tabs>
          <w:tab w:pos="1680" w:val="num"/>
        </w:tabs>
        <w:ind w:hanging="420" w:left="1680"/>
      </w:pPr>
      <w:rPr>
        <w:rFonts w:ascii="Wingdings" w:cs="Wingdings" w:hAnsi="Wingdings" w:hint="default"/>
      </w:rPr>
    </w:lvl>
    <w:lvl w:ilvl="3" w:tplc="04090001">
      <w:start w:val="1"/>
      <w:numFmt w:val="bullet"/>
      <w:lvlText w:val=""/>
      <w:lvlJc w:val="left"/>
      <w:pPr>
        <w:tabs>
          <w:tab w:pos="2100" w:val="num"/>
        </w:tabs>
        <w:ind w:hanging="420" w:left="2100"/>
      </w:pPr>
      <w:rPr>
        <w:rFonts w:ascii="Wingdings" w:cs="Wingdings" w:hAnsi="Wingdings" w:hint="default"/>
      </w:rPr>
    </w:lvl>
    <w:lvl w:ilvl="4" w:tplc="04090003">
      <w:start w:val="1"/>
      <w:numFmt w:val="bullet"/>
      <w:lvlText w:val=""/>
      <w:lvlJc w:val="left"/>
      <w:pPr>
        <w:tabs>
          <w:tab w:pos="2520" w:val="num"/>
        </w:tabs>
        <w:ind w:hanging="420" w:left="2520"/>
      </w:pPr>
      <w:rPr>
        <w:rFonts w:ascii="Wingdings" w:cs="Wingdings" w:hAnsi="Wingdings" w:hint="default"/>
      </w:rPr>
    </w:lvl>
    <w:lvl w:ilvl="5" w:tplc="04090005">
      <w:start w:val="1"/>
      <w:numFmt w:val="bullet"/>
      <w:lvlText w:val=""/>
      <w:lvlJc w:val="left"/>
      <w:pPr>
        <w:tabs>
          <w:tab w:pos="2940" w:val="num"/>
        </w:tabs>
        <w:ind w:hanging="420" w:left="2940"/>
      </w:pPr>
      <w:rPr>
        <w:rFonts w:ascii="Wingdings" w:cs="Wingdings" w:hAnsi="Wingdings" w:hint="default"/>
      </w:rPr>
    </w:lvl>
    <w:lvl w:ilvl="6" w:tplc="04090001">
      <w:start w:val="1"/>
      <w:numFmt w:val="bullet"/>
      <w:lvlText w:val=""/>
      <w:lvlJc w:val="left"/>
      <w:pPr>
        <w:tabs>
          <w:tab w:pos="3360" w:val="num"/>
        </w:tabs>
        <w:ind w:hanging="420" w:left="3360"/>
      </w:pPr>
      <w:rPr>
        <w:rFonts w:ascii="Wingdings" w:cs="Wingdings" w:hAnsi="Wingdings" w:hint="default"/>
      </w:rPr>
    </w:lvl>
    <w:lvl w:ilvl="7" w:tplc="04090003">
      <w:start w:val="1"/>
      <w:numFmt w:val="bullet"/>
      <w:lvlText w:val=""/>
      <w:lvlJc w:val="left"/>
      <w:pPr>
        <w:tabs>
          <w:tab w:pos="3780" w:val="num"/>
        </w:tabs>
        <w:ind w:hanging="420" w:left="3780"/>
      </w:pPr>
      <w:rPr>
        <w:rFonts w:ascii="Wingdings" w:cs="Wingdings" w:hAnsi="Wingdings" w:hint="default"/>
      </w:rPr>
    </w:lvl>
    <w:lvl w:ilvl="8" w:tplc="04090005">
      <w:start w:val="1"/>
      <w:numFmt w:val="bullet"/>
      <w:lvlText w:val=""/>
      <w:lvlJc w:val="left"/>
      <w:pPr>
        <w:tabs>
          <w:tab w:pos="4200" w:val="num"/>
        </w:tabs>
        <w:ind w:hanging="420" w:left="4200"/>
      </w:pPr>
      <w:rPr>
        <w:rFonts w:ascii="Wingdings" w:cs="Wingdings" w:hAnsi="Wingdings" w:hint="default"/>
      </w:rPr>
    </w:lvl>
  </w:abstractNum>
  <w:abstractNum w15:restartNumberingAfterBreak="0" w:abstractNumId="1">
    <w:nsid w:val="57E8240C"/>
    <w:multiLevelType w:val="hybridMultilevel"/>
    <w:tmpl w:val="300A7112"/>
    <w:lvl w:ilvl="0" w:tplc="3782FDB8">
      <w:start w:val="1"/>
      <w:numFmt w:val="decimal"/>
      <w:lvlText w:val="（%1）"/>
      <w:lvlJc w:val="left"/>
      <w:pPr>
        <w:tabs>
          <w:tab w:pos="1200" w:val="num"/>
        </w:tabs>
        <w:ind w:hanging="720" w:left="1200"/>
      </w:pPr>
      <w:rPr>
        <w:rFonts w:hint="eastAsia"/>
        <w:sz w:val="24"/>
        <w:szCs w:val="24"/>
      </w:rPr>
    </w:lvl>
    <w:lvl w:ilvl="1" w:tplc="04090019">
      <w:start w:val="1"/>
      <w:numFmt w:val="lowerLetter"/>
      <w:lvlText w:val="%2)"/>
      <w:lvlJc w:val="left"/>
      <w:pPr>
        <w:tabs>
          <w:tab w:pos="1320" w:val="num"/>
        </w:tabs>
        <w:ind w:hanging="420" w:left="1320"/>
      </w:pPr>
    </w:lvl>
    <w:lvl w:ilvl="2" w:tplc="0409001B">
      <w:start w:val="1"/>
      <w:numFmt w:val="lowerRoman"/>
      <w:lvlText w:val="%3."/>
      <w:lvlJc w:val="right"/>
      <w:pPr>
        <w:tabs>
          <w:tab w:pos="1740" w:val="num"/>
        </w:tabs>
        <w:ind w:hanging="420" w:left="1740"/>
      </w:pPr>
    </w:lvl>
    <w:lvl w:ilvl="3" w:tplc="0409000F">
      <w:start w:val="1"/>
      <w:numFmt w:val="decimal"/>
      <w:lvlText w:val="%4."/>
      <w:lvlJc w:val="left"/>
      <w:pPr>
        <w:tabs>
          <w:tab w:pos="2160" w:val="num"/>
        </w:tabs>
        <w:ind w:hanging="420" w:left="2160"/>
      </w:pPr>
    </w:lvl>
    <w:lvl w:ilvl="4" w:tplc="04090019">
      <w:start w:val="1"/>
      <w:numFmt w:val="lowerLetter"/>
      <w:lvlText w:val="%5)"/>
      <w:lvlJc w:val="left"/>
      <w:pPr>
        <w:tabs>
          <w:tab w:pos="2580" w:val="num"/>
        </w:tabs>
        <w:ind w:hanging="420" w:left="2580"/>
      </w:pPr>
    </w:lvl>
    <w:lvl w:ilvl="5" w:tplc="0409001B">
      <w:start w:val="1"/>
      <w:numFmt w:val="lowerRoman"/>
      <w:lvlText w:val="%6."/>
      <w:lvlJc w:val="right"/>
      <w:pPr>
        <w:tabs>
          <w:tab w:pos="3000" w:val="num"/>
        </w:tabs>
        <w:ind w:hanging="420" w:left="3000"/>
      </w:pPr>
    </w:lvl>
    <w:lvl w:ilvl="6" w:tplc="0409000F">
      <w:start w:val="1"/>
      <w:numFmt w:val="decimal"/>
      <w:lvlText w:val="%7."/>
      <w:lvlJc w:val="left"/>
      <w:pPr>
        <w:tabs>
          <w:tab w:pos="3420" w:val="num"/>
        </w:tabs>
        <w:ind w:hanging="420" w:left="3420"/>
      </w:pPr>
    </w:lvl>
    <w:lvl w:ilvl="7" w:tplc="04090019">
      <w:start w:val="1"/>
      <w:numFmt w:val="lowerLetter"/>
      <w:lvlText w:val="%8)"/>
      <w:lvlJc w:val="left"/>
      <w:pPr>
        <w:tabs>
          <w:tab w:pos="3840" w:val="num"/>
        </w:tabs>
        <w:ind w:hanging="420" w:left="3840"/>
      </w:pPr>
    </w:lvl>
    <w:lvl w:ilvl="8" w:tplc="0409001B">
      <w:start w:val="1"/>
      <w:numFmt w:val="lowerRoman"/>
      <w:lvlText w:val="%9."/>
      <w:lvlJc w:val="right"/>
      <w:pPr>
        <w:tabs>
          <w:tab w:pos="4260" w:val="num"/>
        </w:tabs>
        <w:ind w:hanging="420" w:left="4260"/>
      </w:pPr>
    </w:lvl>
  </w:abstractNum>
  <w:abstractNum w15:restartNumberingAfterBreak="0" w:abstractNumId="2">
    <w:nsid w:val="7EC34207"/>
    <w:multiLevelType w:val="hybridMultilevel"/>
    <w:tmpl w:val="58FC50DE"/>
    <w:lvl w:ilvl="0" w:tplc="788C0680">
      <w:start w:val="1"/>
      <w:numFmt w:val="japaneseCounting"/>
      <w:lvlText w:val="%1、"/>
      <w:lvlJc w:val="left"/>
      <w:pPr>
        <w:tabs>
          <w:tab w:pos="480" w:val="num"/>
        </w:tabs>
        <w:ind w:hanging="480" w:left="480"/>
      </w:pPr>
      <w:rPr>
        <w:rFonts w:eastAsia="宋体" w:hint="eastAsia"/>
        <w:color w:val="auto"/>
      </w:rPr>
    </w:lvl>
    <w:lvl w:ilvl="1" w:tplc="D5ACC954">
      <w:start w:val="1"/>
      <w:numFmt w:val="japaneseCounting"/>
      <w:lvlText w:val="(%2)"/>
      <w:lvlJc w:val="left"/>
      <w:pPr>
        <w:tabs>
          <w:tab w:pos="810" w:val="num"/>
        </w:tabs>
        <w:ind w:hanging="390" w:left="810"/>
      </w:pPr>
      <w:rPr>
        <w:rFonts w:hint="eastAsia"/>
      </w:rPr>
    </w:lvl>
    <w:lvl w:ilvl="2" w:tplc="E2F6B948">
      <w:start w:val="1"/>
      <w:numFmt w:val="decimal"/>
      <w:lvlText w:val="%3、"/>
      <w:lvlJc w:val="left"/>
      <w:pPr>
        <w:tabs>
          <w:tab w:pos="1200" w:val="num"/>
        </w:tabs>
        <w:ind w:hanging="360" w:left="1200"/>
      </w:pPr>
      <w:rPr>
        <w:rFonts w:hint="eastAsia"/>
      </w:rPr>
    </w:lvl>
    <w:lvl w:ilvl="3" w:tplc="0409000F">
      <w:start w:val="1"/>
      <w:numFmt w:val="decimal"/>
      <w:lvlText w:val="%4."/>
      <w:lvlJc w:val="left"/>
      <w:pPr>
        <w:tabs>
          <w:tab w:pos="1680" w:val="num"/>
        </w:tabs>
        <w:ind w:hanging="420" w:left="1680"/>
      </w:pPr>
    </w:lvl>
    <w:lvl w:ilvl="4" w:tplc="04090019">
      <w:start w:val="1"/>
      <w:numFmt w:val="lowerLetter"/>
      <w:lvlText w:val="%5)"/>
      <w:lvlJc w:val="left"/>
      <w:pPr>
        <w:tabs>
          <w:tab w:pos="2100" w:val="num"/>
        </w:tabs>
        <w:ind w:hanging="420" w:left="2100"/>
      </w:pPr>
    </w:lvl>
    <w:lvl w:ilvl="5" w:tplc="0409001B">
      <w:start w:val="1"/>
      <w:numFmt w:val="lowerRoman"/>
      <w:lvlText w:val="%6."/>
      <w:lvlJc w:val="right"/>
      <w:pPr>
        <w:tabs>
          <w:tab w:pos="2520" w:val="num"/>
        </w:tabs>
        <w:ind w:hanging="420" w:left="2520"/>
      </w:pPr>
    </w:lvl>
    <w:lvl w:ilvl="6" w:tplc="0409000F">
      <w:start w:val="1"/>
      <w:numFmt w:val="decimal"/>
      <w:lvlText w:val="%7."/>
      <w:lvlJc w:val="left"/>
      <w:pPr>
        <w:tabs>
          <w:tab w:pos="2940" w:val="num"/>
        </w:tabs>
        <w:ind w:hanging="420" w:left="2940"/>
      </w:pPr>
    </w:lvl>
    <w:lvl w:ilvl="7" w:tplc="04090019">
      <w:start w:val="1"/>
      <w:numFmt w:val="lowerLetter"/>
      <w:lvlText w:val="%8)"/>
      <w:lvlJc w:val="left"/>
      <w:pPr>
        <w:tabs>
          <w:tab w:pos="3360" w:val="num"/>
        </w:tabs>
        <w:ind w:hanging="420" w:left="3360"/>
      </w:pPr>
    </w:lvl>
    <w:lvl w:ilvl="8" w:tplc="0409001B">
      <w:start w:val="1"/>
      <w:numFmt w:val="lowerRoman"/>
      <w:lvlText w:val="%9."/>
      <w:lvlJc w:val="right"/>
      <w:pPr>
        <w:tabs>
          <w:tab w:pos="3780" w:val="num"/>
        </w:tabs>
        <w:ind w:hanging="420" w:left="378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spidmax="2049" v:ext="edi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00678"/>
    <w:rsid w:val="00006A28"/>
    <w:rsid w:val="00014099"/>
    <w:rsid w:val="000160C5"/>
    <w:rsid w:val="000210E7"/>
    <w:rsid w:val="000243BD"/>
    <w:rsid w:val="00024F7F"/>
    <w:rsid w:val="00031EBB"/>
    <w:rsid w:val="00033B8D"/>
    <w:rsid w:val="0004308C"/>
    <w:rsid w:val="00043852"/>
    <w:rsid w:val="000450DD"/>
    <w:rsid w:val="000463DE"/>
    <w:rsid w:val="0006147E"/>
    <w:rsid w:val="000625ED"/>
    <w:rsid w:val="00064D40"/>
    <w:rsid w:val="00066A97"/>
    <w:rsid w:val="000815C0"/>
    <w:rsid w:val="000824E7"/>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5DA5"/>
    <w:rsid w:val="000E7E5E"/>
    <w:rsid w:val="000F6CC8"/>
    <w:rsid w:val="00111261"/>
    <w:rsid w:val="0011537B"/>
    <w:rsid w:val="00133015"/>
    <w:rsid w:val="00137452"/>
    <w:rsid w:val="00137B31"/>
    <w:rsid w:val="00144F93"/>
    <w:rsid w:val="00147376"/>
    <w:rsid w:val="0015450B"/>
    <w:rsid w:val="00154BE1"/>
    <w:rsid w:val="0015710B"/>
    <w:rsid w:val="00160EDC"/>
    <w:rsid w:val="00162D61"/>
    <w:rsid w:val="001675CD"/>
    <w:rsid w:val="0017126E"/>
    <w:rsid w:val="001717D5"/>
    <w:rsid w:val="00171EF0"/>
    <w:rsid w:val="00173B44"/>
    <w:rsid w:val="001761D2"/>
    <w:rsid w:val="00176C21"/>
    <w:rsid w:val="0018138B"/>
    <w:rsid w:val="001830D7"/>
    <w:rsid w:val="00185A34"/>
    <w:rsid w:val="001934F6"/>
    <w:rsid w:val="00196E6C"/>
    <w:rsid w:val="001A280A"/>
    <w:rsid w:val="001A73E8"/>
    <w:rsid w:val="001B0A62"/>
    <w:rsid w:val="001B2F35"/>
    <w:rsid w:val="001B4DD6"/>
    <w:rsid w:val="001B5607"/>
    <w:rsid w:val="001C0993"/>
    <w:rsid w:val="001C79F2"/>
    <w:rsid w:val="001D6A4B"/>
    <w:rsid w:val="001E4630"/>
    <w:rsid w:val="001F0964"/>
    <w:rsid w:val="001F30DA"/>
    <w:rsid w:val="001F3E2A"/>
    <w:rsid w:val="001F5DC5"/>
    <w:rsid w:val="00200FAB"/>
    <w:rsid w:val="00213821"/>
    <w:rsid w:val="00213DFB"/>
    <w:rsid w:val="00217B92"/>
    <w:rsid w:val="0022309F"/>
    <w:rsid w:val="00224294"/>
    <w:rsid w:val="002279D3"/>
    <w:rsid w:val="00240248"/>
    <w:rsid w:val="0024363B"/>
    <w:rsid w:val="00246049"/>
    <w:rsid w:val="00247332"/>
    <w:rsid w:val="00253578"/>
    <w:rsid w:val="00261111"/>
    <w:rsid w:val="00264E55"/>
    <w:rsid w:val="00270744"/>
    <w:rsid w:val="002731EC"/>
    <w:rsid w:val="00275745"/>
    <w:rsid w:val="0027688F"/>
    <w:rsid w:val="00276E44"/>
    <w:rsid w:val="00285DB3"/>
    <w:rsid w:val="00285F38"/>
    <w:rsid w:val="00286BEF"/>
    <w:rsid w:val="00286FA2"/>
    <w:rsid w:val="002902E9"/>
    <w:rsid w:val="002918E3"/>
    <w:rsid w:val="00295CD0"/>
    <w:rsid w:val="002973A9"/>
    <w:rsid w:val="002B1D1A"/>
    <w:rsid w:val="002C2834"/>
    <w:rsid w:val="002C3C7A"/>
    <w:rsid w:val="002C5F95"/>
    <w:rsid w:val="002C657A"/>
    <w:rsid w:val="002D48DF"/>
    <w:rsid w:val="002D6872"/>
    <w:rsid w:val="002D6FB6"/>
    <w:rsid w:val="002E3B09"/>
    <w:rsid w:val="002E52B3"/>
    <w:rsid w:val="00301559"/>
    <w:rsid w:val="00302816"/>
    <w:rsid w:val="00304A12"/>
    <w:rsid w:val="00305636"/>
    <w:rsid w:val="00311662"/>
    <w:rsid w:val="00312A9F"/>
    <w:rsid w:val="00315D5D"/>
    <w:rsid w:val="00316484"/>
    <w:rsid w:val="00316E01"/>
    <w:rsid w:val="00320300"/>
    <w:rsid w:val="00320E90"/>
    <w:rsid w:val="00324508"/>
    <w:rsid w:val="003259C8"/>
    <w:rsid w:val="003307FE"/>
    <w:rsid w:val="00333AD0"/>
    <w:rsid w:val="00336EAF"/>
    <w:rsid w:val="00345A47"/>
    <w:rsid w:val="003470E2"/>
    <w:rsid w:val="0035076C"/>
    <w:rsid w:val="00352719"/>
    <w:rsid w:val="0035383E"/>
    <w:rsid w:val="00355364"/>
    <w:rsid w:val="00364CCB"/>
    <w:rsid w:val="00365798"/>
    <w:rsid w:val="00372F16"/>
    <w:rsid w:val="00381EE8"/>
    <w:rsid w:val="0039085F"/>
    <w:rsid w:val="00394069"/>
    <w:rsid w:val="00396809"/>
    <w:rsid w:val="003A58DC"/>
    <w:rsid w:val="003A6061"/>
    <w:rsid w:val="003B3494"/>
    <w:rsid w:val="003B5E08"/>
    <w:rsid w:val="003B6FBC"/>
    <w:rsid w:val="003C32C0"/>
    <w:rsid w:val="003C50AD"/>
    <w:rsid w:val="003D2269"/>
    <w:rsid w:val="003D742E"/>
    <w:rsid w:val="003E62FB"/>
    <w:rsid w:val="003E6867"/>
    <w:rsid w:val="003F0956"/>
    <w:rsid w:val="003F09B5"/>
    <w:rsid w:val="003F1ECB"/>
    <w:rsid w:val="003F39DF"/>
    <w:rsid w:val="003F63BE"/>
    <w:rsid w:val="004003F8"/>
    <w:rsid w:val="004033ED"/>
    <w:rsid w:val="004061AC"/>
    <w:rsid w:val="00406DA6"/>
    <w:rsid w:val="00410630"/>
    <w:rsid w:val="00414345"/>
    <w:rsid w:val="004149AC"/>
    <w:rsid w:val="0042009D"/>
    <w:rsid w:val="004216D2"/>
    <w:rsid w:val="00421CD2"/>
    <w:rsid w:val="00426096"/>
    <w:rsid w:val="00426A8F"/>
    <w:rsid w:val="00427F58"/>
    <w:rsid w:val="00433805"/>
    <w:rsid w:val="00442F8D"/>
    <w:rsid w:val="00443869"/>
    <w:rsid w:val="00443ABF"/>
    <w:rsid w:val="00460575"/>
    <w:rsid w:val="00463EC0"/>
    <w:rsid w:val="00464787"/>
    <w:rsid w:val="00471408"/>
    <w:rsid w:val="00480B35"/>
    <w:rsid w:val="004858E0"/>
    <w:rsid w:val="00487A40"/>
    <w:rsid w:val="004917C3"/>
    <w:rsid w:val="00491C81"/>
    <w:rsid w:val="004934E9"/>
    <w:rsid w:val="004943C2"/>
    <w:rsid w:val="004949F3"/>
    <w:rsid w:val="004A0AA9"/>
    <w:rsid w:val="004A11A7"/>
    <w:rsid w:val="004A459C"/>
    <w:rsid w:val="004A6731"/>
    <w:rsid w:val="004A7B1D"/>
    <w:rsid w:val="004B2AF4"/>
    <w:rsid w:val="004C0914"/>
    <w:rsid w:val="004C20CA"/>
    <w:rsid w:val="004C702F"/>
    <w:rsid w:val="004D340C"/>
    <w:rsid w:val="004D495A"/>
    <w:rsid w:val="004E5975"/>
    <w:rsid w:val="004E790A"/>
    <w:rsid w:val="004F1A4E"/>
    <w:rsid w:val="004F50FD"/>
    <w:rsid w:val="00500A03"/>
    <w:rsid w:val="00512200"/>
    <w:rsid w:val="005143CD"/>
    <w:rsid w:val="005144F2"/>
    <w:rsid w:val="00516618"/>
    <w:rsid w:val="00517989"/>
    <w:rsid w:val="005242A5"/>
    <w:rsid w:val="0052479B"/>
    <w:rsid w:val="005249DD"/>
    <w:rsid w:val="00524D96"/>
    <w:rsid w:val="00530ABE"/>
    <w:rsid w:val="00531BA5"/>
    <w:rsid w:val="00531F10"/>
    <w:rsid w:val="00532E86"/>
    <w:rsid w:val="00536432"/>
    <w:rsid w:val="005401DB"/>
    <w:rsid w:val="00540818"/>
    <w:rsid w:val="00542434"/>
    <w:rsid w:val="00542470"/>
    <w:rsid w:val="00542546"/>
    <w:rsid w:val="005454FB"/>
    <w:rsid w:val="005608EF"/>
    <w:rsid w:val="005659E4"/>
    <w:rsid w:val="00570842"/>
    <w:rsid w:val="00572784"/>
    <w:rsid w:val="00572D9F"/>
    <w:rsid w:val="00573097"/>
    <w:rsid w:val="00575270"/>
    <w:rsid w:val="005761EE"/>
    <w:rsid w:val="00582D99"/>
    <w:rsid w:val="00585263"/>
    <w:rsid w:val="005866D3"/>
    <w:rsid w:val="0059076B"/>
    <w:rsid w:val="005910BF"/>
    <w:rsid w:val="005A0A33"/>
    <w:rsid w:val="005A0F1F"/>
    <w:rsid w:val="005A3D62"/>
    <w:rsid w:val="005A6675"/>
    <w:rsid w:val="005B04A5"/>
    <w:rsid w:val="005B09FA"/>
    <w:rsid w:val="005B2E9C"/>
    <w:rsid w:val="005B3CC0"/>
    <w:rsid w:val="005B4C8F"/>
    <w:rsid w:val="005B4F93"/>
    <w:rsid w:val="005B73D2"/>
    <w:rsid w:val="005D2B36"/>
    <w:rsid w:val="005E475E"/>
    <w:rsid w:val="005F118D"/>
    <w:rsid w:val="005F1F22"/>
    <w:rsid w:val="005F3996"/>
    <w:rsid w:val="005F3B86"/>
    <w:rsid w:val="005F6AF6"/>
    <w:rsid w:val="00604E50"/>
    <w:rsid w:val="006054CF"/>
    <w:rsid w:val="006066D2"/>
    <w:rsid w:val="006075E6"/>
    <w:rsid w:val="0061286A"/>
    <w:rsid w:val="00613BB8"/>
    <w:rsid w:val="00614CC4"/>
    <w:rsid w:val="0062025E"/>
    <w:rsid w:val="00625BFC"/>
    <w:rsid w:val="00626998"/>
    <w:rsid w:val="006269FB"/>
    <w:rsid w:val="00627E2D"/>
    <w:rsid w:val="00627EDE"/>
    <w:rsid w:val="00631ED8"/>
    <w:rsid w:val="006326E3"/>
    <w:rsid w:val="00632B0F"/>
    <w:rsid w:val="00636DB7"/>
    <w:rsid w:val="0063783A"/>
    <w:rsid w:val="00641048"/>
    <w:rsid w:val="006423B9"/>
    <w:rsid w:val="00642FA0"/>
    <w:rsid w:val="00653458"/>
    <w:rsid w:val="00654B0D"/>
    <w:rsid w:val="0065599B"/>
    <w:rsid w:val="00655CD8"/>
    <w:rsid w:val="00655E1C"/>
    <w:rsid w:val="006571DC"/>
    <w:rsid w:val="00660D4B"/>
    <w:rsid w:val="00664ECC"/>
    <w:rsid w:val="00670547"/>
    <w:rsid w:val="00670989"/>
    <w:rsid w:val="00672A26"/>
    <w:rsid w:val="006742DC"/>
    <w:rsid w:val="006757DC"/>
    <w:rsid w:val="00676095"/>
    <w:rsid w:val="006823C3"/>
    <w:rsid w:val="006928F1"/>
    <w:rsid w:val="00693843"/>
    <w:rsid w:val="0069426C"/>
    <w:rsid w:val="00694DFB"/>
    <w:rsid w:val="006A0893"/>
    <w:rsid w:val="006A10AB"/>
    <w:rsid w:val="006A1C62"/>
    <w:rsid w:val="006A48FD"/>
    <w:rsid w:val="006A5EA9"/>
    <w:rsid w:val="006A61EE"/>
    <w:rsid w:val="006A67F8"/>
    <w:rsid w:val="006A7AF1"/>
    <w:rsid w:val="006B0D08"/>
    <w:rsid w:val="006B11BB"/>
    <w:rsid w:val="006B2FF6"/>
    <w:rsid w:val="006B5457"/>
    <w:rsid w:val="006B5F69"/>
    <w:rsid w:val="006C12B8"/>
    <w:rsid w:val="006C2C1B"/>
    <w:rsid w:val="006C37FC"/>
    <w:rsid w:val="006C7EA3"/>
    <w:rsid w:val="006D2F96"/>
    <w:rsid w:val="006D39E9"/>
    <w:rsid w:val="006D3BE3"/>
    <w:rsid w:val="006D7004"/>
    <w:rsid w:val="006D789D"/>
    <w:rsid w:val="006D7FF8"/>
    <w:rsid w:val="006E042A"/>
    <w:rsid w:val="006E6726"/>
    <w:rsid w:val="006F5E68"/>
    <w:rsid w:val="00706D60"/>
    <w:rsid w:val="007075E3"/>
    <w:rsid w:val="00707F66"/>
    <w:rsid w:val="00710AE0"/>
    <w:rsid w:val="00713A1A"/>
    <w:rsid w:val="00713B5F"/>
    <w:rsid w:val="00720D28"/>
    <w:rsid w:val="00722509"/>
    <w:rsid w:val="00723CB2"/>
    <w:rsid w:val="0072794E"/>
    <w:rsid w:val="00727DD8"/>
    <w:rsid w:val="00727FCD"/>
    <w:rsid w:val="007311DB"/>
    <w:rsid w:val="00733DDD"/>
    <w:rsid w:val="00750CDF"/>
    <w:rsid w:val="00752BA5"/>
    <w:rsid w:val="00755D86"/>
    <w:rsid w:val="007570FE"/>
    <w:rsid w:val="00767C98"/>
    <w:rsid w:val="00770971"/>
    <w:rsid w:val="00772547"/>
    <w:rsid w:val="00775B61"/>
    <w:rsid w:val="007815D8"/>
    <w:rsid w:val="00794090"/>
    <w:rsid w:val="00796CA8"/>
    <w:rsid w:val="007972F5"/>
    <w:rsid w:val="00797305"/>
    <w:rsid w:val="007A0693"/>
    <w:rsid w:val="007A093F"/>
    <w:rsid w:val="007B035B"/>
    <w:rsid w:val="007B2639"/>
    <w:rsid w:val="007B4C04"/>
    <w:rsid w:val="007B5AFB"/>
    <w:rsid w:val="007B5F21"/>
    <w:rsid w:val="007C395A"/>
    <w:rsid w:val="007C5862"/>
    <w:rsid w:val="007D0922"/>
    <w:rsid w:val="007D100C"/>
    <w:rsid w:val="007E2686"/>
    <w:rsid w:val="007E57C0"/>
    <w:rsid w:val="007F29B1"/>
    <w:rsid w:val="007F6DD1"/>
    <w:rsid w:val="007F7F0B"/>
    <w:rsid w:val="008014F9"/>
    <w:rsid w:val="0080358B"/>
    <w:rsid w:val="008059BD"/>
    <w:rsid w:val="0081286B"/>
    <w:rsid w:val="00812D46"/>
    <w:rsid w:val="008148E0"/>
    <w:rsid w:val="00815769"/>
    <w:rsid w:val="00815A38"/>
    <w:rsid w:val="0082103F"/>
    <w:rsid w:val="00821235"/>
    <w:rsid w:val="00824239"/>
    <w:rsid w:val="008279FE"/>
    <w:rsid w:val="00831259"/>
    <w:rsid w:val="0083208A"/>
    <w:rsid w:val="0083218A"/>
    <w:rsid w:val="00832A00"/>
    <w:rsid w:val="00834E74"/>
    <w:rsid w:val="00837845"/>
    <w:rsid w:val="00843513"/>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868F3"/>
    <w:rsid w:val="00891261"/>
    <w:rsid w:val="008A21B2"/>
    <w:rsid w:val="008A3DAA"/>
    <w:rsid w:val="008A5B20"/>
    <w:rsid w:val="008B2FDD"/>
    <w:rsid w:val="008B3C7E"/>
    <w:rsid w:val="008B4A75"/>
    <w:rsid w:val="008C15BF"/>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200F6"/>
    <w:rsid w:val="00921735"/>
    <w:rsid w:val="00921AC7"/>
    <w:rsid w:val="00924582"/>
    <w:rsid w:val="00931291"/>
    <w:rsid w:val="0093367D"/>
    <w:rsid w:val="009431FA"/>
    <w:rsid w:val="00945AF6"/>
    <w:rsid w:val="009550BE"/>
    <w:rsid w:val="00955531"/>
    <w:rsid w:val="00955BE8"/>
    <w:rsid w:val="00957594"/>
    <w:rsid w:val="00963F40"/>
    <w:rsid w:val="009730B8"/>
    <w:rsid w:val="009734BB"/>
    <w:rsid w:val="0097424F"/>
    <w:rsid w:val="0098122D"/>
    <w:rsid w:val="00986596"/>
    <w:rsid w:val="00990685"/>
    <w:rsid w:val="009A0ABE"/>
    <w:rsid w:val="009A4E5D"/>
    <w:rsid w:val="009B2D4B"/>
    <w:rsid w:val="009C1009"/>
    <w:rsid w:val="009C5186"/>
    <w:rsid w:val="009C60F7"/>
    <w:rsid w:val="009D0952"/>
    <w:rsid w:val="009D1BD9"/>
    <w:rsid w:val="009E19A9"/>
    <w:rsid w:val="009E31DA"/>
    <w:rsid w:val="009E402C"/>
    <w:rsid w:val="009E7C6A"/>
    <w:rsid w:val="009F27F9"/>
    <w:rsid w:val="009F3659"/>
    <w:rsid w:val="009F4861"/>
    <w:rsid w:val="009F61BE"/>
    <w:rsid w:val="009F7643"/>
    <w:rsid w:val="009F7ED4"/>
    <w:rsid w:val="00A03AAC"/>
    <w:rsid w:val="00A047D1"/>
    <w:rsid w:val="00A21300"/>
    <w:rsid w:val="00A22AD0"/>
    <w:rsid w:val="00A22DA8"/>
    <w:rsid w:val="00A3030E"/>
    <w:rsid w:val="00A31574"/>
    <w:rsid w:val="00A31671"/>
    <w:rsid w:val="00A324F4"/>
    <w:rsid w:val="00A36930"/>
    <w:rsid w:val="00A45320"/>
    <w:rsid w:val="00A504C9"/>
    <w:rsid w:val="00A54C7D"/>
    <w:rsid w:val="00A5612C"/>
    <w:rsid w:val="00A5689C"/>
    <w:rsid w:val="00A57AE4"/>
    <w:rsid w:val="00A63A97"/>
    <w:rsid w:val="00A63F19"/>
    <w:rsid w:val="00A669FC"/>
    <w:rsid w:val="00A66F42"/>
    <w:rsid w:val="00A76625"/>
    <w:rsid w:val="00A81F53"/>
    <w:rsid w:val="00A83500"/>
    <w:rsid w:val="00A8721A"/>
    <w:rsid w:val="00A90049"/>
    <w:rsid w:val="00A917BF"/>
    <w:rsid w:val="00A96A94"/>
    <w:rsid w:val="00AA3969"/>
    <w:rsid w:val="00AA3A38"/>
    <w:rsid w:val="00AA4F94"/>
    <w:rsid w:val="00AA6513"/>
    <w:rsid w:val="00AB047E"/>
    <w:rsid w:val="00AB4DB6"/>
    <w:rsid w:val="00AB6E79"/>
    <w:rsid w:val="00AC063D"/>
    <w:rsid w:val="00AC592E"/>
    <w:rsid w:val="00AC6C10"/>
    <w:rsid w:val="00AC7BC6"/>
    <w:rsid w:val="00AD24AA"/>
    <w:rsid w:val="00AE7962"/>
    <w:rsid w:val="00AF0A7F"/>
    <w:rsid w:val="00AF1BA1"/>
    <w:rsid w:val="00AF3AB2"/>
    <w:rsid w:val="00AF6FFB"/>
    <w:rsid w:val="00B11A78"/>
    <w:rsid w:val="00B11BE5"/>
    <w:rsid w:val="00B11F31"/>
    <w:rsid w:val="00B12B7D"/>
    <w:rsid w:val="00B16985"/>
    <w:rsid w:val="00B22DEE"/>
    <w:rsid w:val="00B27479"/>
    <w:rsid w:val="00B32AA7"/>
    <w:rsid w:val="00B34678"/>
    <w:rsid w:val="00B34FB5"/>
    <w:rsid w:val="00B35024"/>
    <w:rsid w:val="00B371B4"/>
    <w:rsid w:val="00B40CF0"/>
    <w:rsid w:val="00B40F64"/>
    <w:rsid w:val="00B42A76"/>
    <w:rsid w:val="00B47982"/>
    <w:rsid w:val="00B56F53"/>
    <w:rsid w:val="00B61C8A"/>
    <w:rsid w:val="00B62AC1"/>
    <w:rsid w:val="00B64723"/>
    <w:rsid w:val="00B7378D"/>
    <w:rsid w:val="00B7444D"/>
    <w:rsid w:val="00B816A7"/>
    <w:rsid w:val="00B82413"/>
    <w:rsid w:val="00B83A00"/>
    <w:rsid w:val="00B85352"/>
    <w:rsid w:val="00B86CD8"/>
    <w:rsid w:val="00B87214"/>
    <w:rsid w:val="00B92FF5"/>
    <w:rsid w:val="00B959E6"/>
    <w:rsid w:val="00BA604D"/>
    <w:rsid w:val="00BB5DA7"/>
    <w:rsid w:val="00BB5E0E"/>
    <w:rsid w:val="00BC14B3"/>
    <w:rsid w:val="00BC216C"/>
    <w:rsid w:val="00BC4585"/>
    <w:rsid w:val="00BC50F1"/>
    <w:rsid w:val="00BC73E5"/>
    <w:rsid w:val="00BD0031"/>
    <w:rsid w:val="00BD05E0"/>
    <w:rsid w:val="00BD70E0"/>
    <w:rsid w:val="00BD7473"/>
    <w:rsid w:val="00BD7703"/>
    <w:rsid w:val="00BE14ED"/>
    <w:rsid w:val="00BE420D"/>
    <w:rsid w:val="00BE5388"/>
    <w:rsid w:val="00BF0019"/>
    <w:rsid w:val="00C012F9"/>
    <w:rsid w:val="00C102E6"/>
    <w:rsid w:val="00C11AA1"/>
    <w:rsid w:val="00C15CAC"/>
    <w:rsid w:val="00C21520"/>
    <w:rsid w:val="00C222B2"/>
    <w:rsid w:val="00C225FB"/>
    <w:rsid w:val="00C23547"/>
    <w:rsid w:val="00C2499B"/>
    <w:rsid w:val="00C451A3"/>
    <w:rsid w:val="00C46B88"/>
    <w:rsid w:val="00C47163"/>
    <w:rsid w:val="00C5218C"/>
    <w:rsid w:val="00C52191"/>
    <w:rsid w:val="00C53472"/>
    <w:rsid w:val="00C53D1B"/>
    <w:rsid w:val="00C5642F"/>
    <w:rsid w:val="00C6002A"/>
    <w:rsid w:val="00C6209F"/>
    <w:rsid w:val="00C629B1"/>
    <w:rsid w:val="00C63554"/>
    <w:rsid w:val="00C678B0"/>
    <w:rsid w:val="00C7047C"/>
    <w:rsid w:val="00C71497"/>
    <w:rsid w:val="00C72F5B"/>
    <w:rsid w:val="00C73BCD"/>
    <w:rsid w:val="00C74E5E"/>
    <w:rsid w:val="00C77AEF"/>
    <w:rsid w:val="00C85A6E"/>
    <w:rsid w:val="00C87129"/>
    <w:rsid w:val="00C91E1B"/>
    <w:rsid w:val="00C9613D"/>
    <w:rsid w:val="00C9690F"/>
    <w:rsid w:val="00CA574C"/>
    <w:rsid w:val="00CA5FD5"/>
    <w:rsid w:val="00CA7703"/>
    <w:rsid w:val="00CB0F92"/>
    <w:rsid w:val="00CD4E6D"/>
    <w:rsid w:val="00CD4F19"/>
    <w:rsid w:val="00CD5707"/>
    <w:rsid w:val="00CD7702"/>
    <w:rsid w:val="00CE29EA"/>
    <w:rsid w:val="00CE39AB"/>
    <w:rsid w:val="00CE473F"/>
    <w:rsid w:val="00CE7169"/>
    <w:rsid w:val="00CF04CF"/>
    <w:rsid w:val="00CF2D3E"/>
    <w:rsid w:val="00CF6572"/>
    <w:rsid w:val="00D01FE6"/>
    <w:rsid w:val="00D02347"/>
    <w:rsid w:val="00D03EB3"/>
    <w:rsid w:val="00D046DB"/>
    <w:rsid w:val="00D04755"/>
    <w:rsid w:val="00D1076E"/>
    <w:rsid w:val="00D1116B"/>
    <w:rsid w:val="00D13737"/>
    <w:rsid w:val="00D1638E"/>
    <w:rsid w:val="00D2061C"/>
    <w:rsid w:val="00D21FFF"/>
    <w:rsid w:val="00D2206B"/>
    <w:rsid w:val="00D272A5"/>
    <w:rsid w:val="00D346D9"/>
    <w:rsid w:val="00D43AFB"/>
    <w:rsid w:val="00D44EE8"/>
    <w:rsid w:val="00D57B7C"/>
    <w:rsid w:val="00D65B44"/>
    <w:rsid w:val="00D75E69"/>
    <w:rsid w:val="00D8099B"/>
    <w:rsid w:val="00D866A8"/>
    <w:rsid w:val="00D91E06"/>
    <w:rsid w:val="00D9393A"/>
    <w:rsid w:val="00D94B8D"/>
    <w:rsid w:val="00D96C8D"/>
    <w:rsid w:val="00D974EF"/>
    <w:rsid w:val="00DA0C61"/>
    <w:rsid w:val="00DA14B0"/>
    <w:rsid w:val="00DA2876"/>
    <w:rsid w:val="00DA66D0"/>
    <w:rsid w:val="00DC0B51"/>
    <w:rsid w:val="00DC141F"/>
    <w:rsid w:val="00DC28F1"/>
    <w:rsid w:val="00DC456F"/>
    <w:rsid w:val="00DC6B55"/>
    <w:rsid w:val="00DD7A00"/>
    <w:rsid w:val="00DE27F7"/>
    <w:rsid w:val="00DE4B43"/>
    <w:rsid w:val="00E02660"/>
    <w:rsid w:val="00E04BE1"/>
    <w:rsid w:val="00E12DBF"/>
    <w:rsid w:val="00E20C3C"/>
    <w:rsid w:val="00E215BA"/>
    <w:rsid w:val="00E36549"/>
    <w:rsid w:val="00E40D31"/>
    <w:rsid w:val="00E41260"/>
    <w:rsid w:val="00E44E18"/>
    <w:rsid w:val="00E45584"/>
    <w:rsid w:val="00E52DBC"/>
    <w:rsid w:val="00E54301"/>
    <w:rsid w:val="00E54BF5"/>
    <w:rsid w:val="00E554A1"/>
    <w:rsid w:val="00E55ABD"/>
    <w:rsid w:val="00E60817"/>
    <w:rsid w:val="00E609C6"/>
    <w:rsid w:val="00E62DE5"/>
    <w:rsid w:val="00E705CC"/>
    <w:rsid w:val="00E84C7E"/>
    <w:rsid w:val="00E85E4B"/>
    <w:rsid w:val="00E8670B"/>
    <w:rsid w:val="00EA1826"/>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E49FE"/>
    <w:rsid w:val="00EF17AB"/>
    <w:rsid w:val="00EF6FA5"/>
    <w:rsid w:val="00F04FC3"/>
    <w:rsid w:val="00F11104"/>
    <w:rsid w:val="00F11BB5"/>
    <w:rsid w:val="00F16E3F"/>
    <w:rsid w:val="00F2070B"/>
    <w:rsid w:val="00F22499"/>
    <w:rsid w:val="00F22B0F"/>
    <w:rsid w:val="00F24B42"/>
    <w:rsid w:val="00F24F73"/>
    <w:rsid w:val="00F27299"/>
    <w:rsid w:val="00F31B0C"/>
    <w:rsid w:val="00F31F6E"/>
    <w:rsid w:val="00F323FF"/>
    <w:rsid w:val="00F3389C"/>
    <w:rsid w:val="00F375F2"/>
    <w:rsid w:val="00F45C47"/>
    <w:rsid w:val="00F51C4E"/>
    <w:rsid w:val="00F534A2"/>
    <w:rsid w:val="00F53B0E"/>
    <w:rsid w:val="00F54EAE"/>
    <w:rsid w:val="00F66A51"/>
    <w:rsid w:val="00F71057"/>
    <w:rsid w:val="00F71A4B"/>
    <w:rsid w:val="00F728CF"/>
    <w:rsid w:val="00F743D4"/>
    <w:rsid w:val="00F80AC3"/>
    <w:rsid w:val="00F81917"/>
    <w:rsid w:val="00F83B17"/>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F213A"/>
    <w:rsid w:val="00FF3F27"/>
    <w:rsid w:val="00FF469F"/>
    <w:rsid w:val="00FF5196"/>
    <w:rsid w:val="00FF6E8F"/>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docId w15:val="{FB5B536B-9DA6-4920-8EA4-43C10A5F3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EastAsia" w:hAnsiTheme="minorHAnsi"/>
        <w:kern w:val="2"/>
        <w:sz w:val="21"/>
        <w:szCs w:val="22"/>
        <w:lang w:bidi="ar-SA" w:eastAsia="zh-CN" w:val="en-US"/>
      </w:rPr>
    </w:rPrDefault>
    <w:pPrDefault/>
  </w:docDefaults>
  <w:latentStyles w:count="371" w:defLockedState="0" w:defQFormat="0" w:defSemiHidden="0" w:defUIPriority="99" w:defUnhideWhenUsed="0">
    <w:lsdException w:name="Normal" w:qFormat="1" w:uiPriority="0"/>
    <w:lsdException w:name="heading 1" w:qFormat="1"/>
    <w:lsdException w:name="heading 2" w:qFormat="1" w:semiHidden="1" w:unhideWhenUsed="1"/>
    <w:lsdException w:name="heading 3" w:qFormat="1" w:semiHidden="1"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a" w:type="paragraph">
    <w:name w:val="Normal"/>
    <w:qFormat/>
    <w:rsid w:val="004061AC"/>
    <w:pPr>
      <w:widowControl w:val="0"/>
      <w:jc w:val="both"/>
    </w:pPr>
    <w:rPr>
      <w:rFonts w:ascii="Times New Roman" w:cs="Times New Roman" w:eastAsia="宋体" w:hAnsi="Times New Roman"/>
      <w:szCs w:val="21"/>
    </w:rPr>
  </w:style>
  <w:style w:styleId="1" w:type="paragraph">
    <w:name w:val="heading 1"/>
    <w:basedOn w:val="a"/>
    <w:next w:val="a"/>
    <w:link w:val="1Char"/>
    <w:uiPriority w:val="99"/>
    <w:qFormat/>
    <w:rsid w:val="004061AC"/>
    <w:pPr>
      <w:keepNext/>
      <w:keepLines/>
      <w:spacing w:after="330" w:before="340" w:line="578" w:lineRule="auto"/>
      <w:outlineLvl w:val="0"/>
    </w:pPr>
    <w:rPr>
      <w:b/>
      <w:bCs/>
      <w:kern w:val="44"/>
      <w:sz w:val="44"/>
      <w:szCs w:val="44"/>
    </w:rPr>
  </w:style>
  <w:style w:styleId="2" w:type="paragraph">
    <w:name w:val="heading 2"/>
    <w:basedOn w:val="a"/>
    <w:next w:val="a0"/>
    <w:link w:val="2Char"/>
    <w:uiPriority w:val="99"/>
    <w:qFormat/>
    <w:rsid w:val="004061AC"/>
    <w:pPr>
      <w:keepNext/>
      <w:keepLines/>
      <w:spacing w:after="260" w:before="260" w:line="360" w:lineRule="auto"/>
      <w:outlineLvl w:val="1"/>
    </w:pPr>
    <w:rPr>
      <w:rFonts w:ascii="Arial" w:cs="Arial" w:hAnsi="Arial"/>
      <w:b/>
      <w:bCs/>
      <w:sz w:val="24"/>
      <w:szCs w:val="24"/>
    </w:rPr>
  </w:style>
  <w:style w:styleId="3" w:type="paragraph">
    <w:name w:val="heading 3"/>
    <w:basedOn w:val="a"/>
    <w:next w:val="a"/>
    <w:link w:val="3Char"/>
    <w:uiPriority w:val="99"/>
    <w:qFormat/>
    <w:rsid w:val="004061AC"/>
    <w:pPr>
      <w:keepNext/>
      <w:keepLines/>
      <w:spacing w:after="260" w:before="260" w:line="416" w:lineRule="auto"/>
      <w:outlineLvl w:val="2"/>
    </w:pPr>
    <w:rPr>
      <w:b/>
      <w:bCs/>
      <w:sz w:val="32"/>
      <w:szCs w:val="32"/>
    </w:rPr>
  </w:style>
  <w:style w:default="1" w:styleId="a1" w:type="character">
    <w:name w:val="Default Paragraph Font"/>
    <w:uiPriority w:val="1"/>
    <w:semiHidden/>
    <w:unhideWhenUsed/>
  </w:style>
  <w:style w:default="1" w:styleId="a2" w:type="table">
    <w:name w:val="Normal Table"/>
    <w:uiPriority w:val="99"/>
    <w:semiHidden/>
    <w:unhideWhenUsed/>
    <w:tblPr>
      <w:tblInd w:type="dxa" w:w="0"/>
      <w:tblCellMar>
        <w:top w:type="dxa" w:w="0"/>
        <w:left w:type="dxa" w:w="108"/>
        <w:bottom w:type="dxa" w:w="0"/>
        <w:right w:type="dxa" w:w="108"/>
      </w:tblCellMar>
    </w:tblPr>
  </w:style>
  <w:style w:default="1" w:styleId="a3" w:type="numbering">
    <w:name w:val="No List"/>
    <w:uiPriority w:val="99"/>
    <w:semiHidden/>
    <w:unhideWhenUsed/>
  </w:style>
  <w:style w:customStyle="1" w:styleId="1Char" w:type="character">
    <w:name w:val="标题 1 Char"/>
    <w:basedOn w:val="a1"/>
    <w:link w:val="1"/>
    <w:uiPriority w:val="99"/>
    <w:rsid w:val="004061AC"/>
    <w:rPr>
      <w:rFonts w:ascii="Times New Roman" w:cs="Times New Roman" w:eastAsia="宋体" w:hAnsi="Times New Roman"/>
      <w:b/>
      <w:bCs/>
      <w:kern w:val="44"/>
      <w:sz w:val="44"/>
      <w:szCs w:val="44"/>
    </w:rPr>
  </w:style>
  <w:style w:customStyle="1" w:styleId="2Char" w:type="character">
    <w:name w:val="标题 2 Char"/>
    <w:basedOn w:val="a1"/>
    <w:link w:val="2"/>
    <w:uiPriority w:val="99"/>
    <w:rsid w:val="004061AC"/>
    <w:rPr>
      <w:rFonts w:ascii="Arial" w:cs="Arial" w:eastAsia="宋体" w:hAnsi="Arial"/>
      <w:b/>
      <w:bCs/>
      <w:sz w:val="24"/>
      <w:szCs w:val="24"/>
    </w:rPr>
  </w:style>
  <w:style w:customStyle="1" w:styleId="3Char" w:type="character">
    <w:name w:val="标题 3 Char"/>
    <w:basedOn w:val="a1"/>
    <w:link w:val="3"/>
    <w:uiPriority w:val="99"/>
    <w:rsid w:val="004061AC"/>
    <w:rPr>
      <w:rFonts w:ascii="Times New Roman" w:cs="Times New Roman" w:eastAsia="宋体" w:hAnsi="Times New Roman"/>
      <w:b/>
      <w:bCs/>
      <w:sz w:val="32"/>
      <w:szCs w:val="32"/>
    </w:rPr>
  </w:style>
  <w:style w:styleId="a0" w:type="paragraph">
    <w:name w:val="Normal Indent"/>
    <w:basedOn w:val="a"/>
    <w:uiPriority w:val="99"/>
    <w:rsid w:val="004061AC"/>
    <w:pPr>
      <w:ind w:firstLine="420" w:firstLineChars="200"/>
    </w:pPr>
  </w:style>
  <w:style w:styleId="a4" w:type="paragraph">
    <w:name w:val="Body Text Indent"/>
    <w:basedOn w:val="a"/>
    <w:link w:val="Char"/>
    <w:uiPriority w:val="99"/>
    <w:rsid w:val="004061AC"/>
    <w:pPr>
      <w:widowControl/>
      <w:spacing w:after="100" w:afterAutospacing="1" w:before="100" w:beforeAutospacing="1"/>
      <w:jc w:val="left"/>
    </w:pPr>
    <w:rPr>
      <w:rFonts w:ascii="Arial Unicode MS" w:cs="Arial Unicode MS" w:eastAsia="Arial Unicode MS" w:hAnsi="Arial Unicode MS"/>
      <w:kern w:val="0"/>
      <w:sz w:val="24"/>
      <w:szCs w:val="24"/>
    </w:rPr>
  </w:style>
  <w:style w:customStyle="1" w:styleId="Char" w:type="character">
    <w:name w:val="正文文本缩进 Char"/>
    <w:basedOn w:val="a1"/>
    <w:link w:val="a4"/>
    <w:uiPriority w:val="99"/>
    <w:rsid w:val="004061AC"/>
    <w:rPr>
      <w:rFonts w:ascii="Arial Unicode MS" w:cs="Arial Unicode MS" w:eastAsia="Arial Unicode MS" w:hAnsi="Arial Unicode MS"/>
      <w:kern w:val="0"/>
      <w:sz w:val="24"/>
      <w:szCs w:val="24"/>
    </w:rPr>
  </w:style>
  <w:style w:styleId="a5" w:type="paragraph">
    <w:name w:val="Plain Text"/>
    <w:basedOn w:val="a"/>
    <w:link w:val="Char0"/>
    <w:uiPriority w:val="99"/>
    <w:rsid w:val="004061AC"/>
    <w:rPr>
      <w:rFonts w:ascii="宋体" w:cs="宋体" w:hAnsi="Courier New"/>
    </w:rPr>
  </w:style>
  <w:style w:customStyle="1" w:styleId="Char0" w:type="character">
    <w:name w:val="纯文本 Char"/>
    <w:basedOn w:val="a1"/>
    <w:link w:val="a5"/>
    <w:uiPriority w:val="99"/>
    <w:rsid w:val="004061AC"/>
    <w:rPr>
      <w:rFonts w:ascii="宋体" w:cs="宋体" w:eastAsia="宋体" w:hAnsi="Courier New"/>
      <w:szCs w:val="21"/>
    </w:rPr>
  </w:style>
  <w:style w:styleId="20" w:type="paragraph">
    <w:name w:val="Body Text Indent 2"/>
    <w:basedOn w:val="a"/>
    <w:link w:val="2Char0"/>
    <w:uiPriority w:val="99"/>
    <w:rsid w:val="004061AC"/>
    <w:pPr>
      <w:spacing w:line="560" w:lineRule="exact"/>
      <w:ind w:firstLine="480" w:firstLineChars="200"/>
    </w:pPr>
    <w:rPr>
      <w:rFonts w:ascii="宋体" w:cs="宋体" w:hAnsi="宋体"/>
      <w:color w:val="FF0000"/>
      <w:sz w:val="24"/>
      <w:szCs w:val="24"/>
    </w:rPr>
  </w:style>
  <w:style w:customStyle="1" w:styleId="2Char0" w:type="character">
    <w:name w:val="正文文本缩进 2 Char"/>
    <w:basedOn w:val="a1"/>
    <w:link w:val="20"/>
    <w:uiPriority w:val="99"/>
    <w:rsid w:val="004061AC"/>
    <w:rPr>
      <w:rFonts w:ascii="宋体" w:cs="宋体" w:eastAsia="宋体" w:hAnsi="宋体"/>
      <w:color w:val="FF0000"/>
      <w:sz w:val="24"/>
      <w:szCs w:val="24"/>
    </w:rPr>
  </w:style>
  <w:style w:styleId="a6" w:type="paragraph">
    <w:name w:val="footer"/>
    <w:basedOn w:val="a"/>
    <w:link w:val="Char1"/>
    <w:rsid w:val="004061AC"/>
    <w:pPr>
      <w:tabs>
        <w:tab w:pos="4153" w:val="center"/>
        <w:tab w:pos="8306" w:val="right"/>
      </w:tabs>
      <w:snapToGrid w:val="0"/>
      <w:jc w:val="left"/>
    </w:pPr>
    <w:rPr>
      <w:sz w:val="18"/>
      <w:szCs w:val="18"/>
    </w:rPr>
  </w:style>
  <w:style w:customStyle="1" w:styleId="Char1" w:type="character">
    <w:name w:val="页脚 Char"/>
    <w:basedOn w:val="a1"/>
    <w:link w:val="a6"/>
    <w:uiPriority w:val="99"/>
    <w:rsid w:val="004061AC"/>
    <w:rPr>
      <w:rFonts w:ascii="Times New Roman" w:cs="Times New Roman" w:eastAsia="宋体" w:hAnsi="Times New Roman"/>
      <w:sz w:val="18"/>
      <w:szCs w:val="18"/>
    </w:rPr>
  </w:style>
  <w:style w:styleId="a7" w:type="character">
    <w:name w:val="page number"/>
    <w:basedOn w:val="a1"/>
    <w:uiPriority w:val="99"/>
    <w:rsid w:val="004061AC"/>
  </w:style>
  <w:style w:styleId="a8" w:type="character">
    <w:name w:val="Hyperlink"/>
    <w:basedOn w:val="a1"/>
    <w:uiPriority w:val="99"/>
    <w:rsid w:val="004061AC"/>
    <w:rPr>
      <w:color w:val="0000FF"/>
      <w:u w:val="single"/>
    </w:rPr>
  </w:style>
  <w:style w:styleId="30" w:type="paragraph">
    <w:name w:val="Body Text Indent 3"/>
    <w:basedOn w:val="a"/>
    <w:link w:val="3Char0"/>
    <w:uiPriority w:val="99"/>
    <w:rsid w:val="004061AC"/>
    <w:pPr>
      <w:spacing w:line="560" w:lineRule="exact"/>
      <w:ind w:firstLine="420" w:firstLineChars="200"/>
    </w:pPr>
    <w:rPr>
      <w:rFonts w:ascii="Arial" w:cs="Arial" w:hAnsi="Arial"/>
      <w:color w:val="FF0000"/>
    </w:rPr>
  </w:style>
  <w:style w:customStyle="1" w:styleId="3Char0" w:type="character">
    <w:name w:val="正文文本缩进 3 Char"/>
    <w:basedOn w:val="a1"/>
    <w:link w:val="30"/>
    <w:uiPriority w:val="99"/>
    <w:rsid w:val="004061AC"/>
    <w:rPr>
      <w:rFonts w:ascii="Arial" w:cs="Arial" w:eastAsia="宋体" w:hAnsi="Arial"/>
      <w:color w:val="FF0000"/>
      <w:szCs w:val="21"/>
    </w:rPr>
  </w:style>
  <w:style w:styleId="a9" w:type="paragraph">
    <w:name w:val="header"/>
    <w:basedOn w:val="a"/>
    <w:link w:val="Char2"/>
    <w:uiPriority w:val="99"/>
    <w:rsid w:val="004061AC"/>
    <w:pPr>
      <w:pBdr>
        <w:bottom w:color="auto" w:space="1" w:sz="6" w:val="single"/>
      </w:pBdr>
      <w:tabs>
        <w:tab w:pos="4153" w:val="center"/>
        <w:tab w:pos="8306" w:val="right"/>
      </w:tabs>
      <w:snapToGrid w:val="0"/>
      <w:jc w:val="center"/>
    </w:pPr>
    <w:rPr>
      <w:sz w:val="18"/>
      <w:szCs w:val="18"/>
    </w:rPr>
  </w:style>
  <w:style w:customStyle="1" w:styleId="Char2" w:type="character">
    <w:name w:val="页眉 Char"/>
    <w:basedOn w:val="a1"/>
    <w:link w:val="a9"/>
    <w:uiPriority w:val="99"/>
    <w:rsid w:val="004061AC"/>
    <w:rPr>
      <w:rFonts w:ascii="Times New Roman" w:cs="Times New Roman" w:eastAsia="宋体" w:hAnsi="Times New Roman"/>
      <w:sz w:val="18"/>
      <w:szCs w:val="18"/>
    </w:rPr>
  </w:style>
  <w:style w:styleId="aa" w:type="character">
    <w:name w:val="FollowedHyperlink"/>
    <w:basedOn w:val="a1"/>
    <w:uiPriority w:val="99"/>
    <w:rsid w:val="004061AC"/>
    <w:rPr>
      <w:color w:val="800080"/>
      <w:u w:val="single"/>
    </w:rPr>
  </w:style>
  <w:style w:styleId="ab" w:type="paragraph">
    <w:name w:val="List"/>
    <w:basedOn w:val="ac"/>
    <w:uiPriority w:val="99"/>
    <w:rsid w:val="004061AC"/>
    <w:pPr>
      <w:spacing w:after="220" w:line="220" w:lineRule="atLeast"/>
      <w:ind w:hanging="360" w:left="1440"/>
    </w:pPr>
  </w:style>
  <w:style w:styleId="ac" w:type="paragraph">
    <w:name w:val="Body Text"/>
    <w:basedOn w:val="a"/>
    <w:link w:val="Char3"/>
    <w:uiPriority w:val="99"/>
    <w:rsid w:val="004061AC"/>
    <w:pPr>
      <w:spacing w:after="120"/>
    </w:pPr>
  </w:style>
  <w:style w:customStyle="1" w:styleId="Char3" w:type="character">
    <w:name w:val="正文文本 Char"/>
    <w:basedOn w:val="a1"/>
    <w:link w:val="ac"/>
    <w:uiPriority w:val="99"/>
    <w:rsid w:val="004061AC"/>
    <w:rPr>
      <w:rFonts w:ascii="Times New Roman" w:cs="Times New Roman" w:eastAsia="宋体" w:hAnsi="Times New Roman"/>
      <w:szCs w:val="21"/>
    </w:rPr>
  </w:style>
  <w:style w:styleId="ad" w:type="paragraph">
    <w:name w:val="Date"/>
    <w:basedOn w:val="a"/>
    <w:next w:val="a"/>
    <w:link w:val="Char4"/>
    <w:rsid w:val="004061AC"/>
    <w:rPr>
      <w:sz w:val="24"/>
      <w:szCs w:val="24"/>
    </w:rPr>
  </w:style>
  <w:style w:customStyle="1" w:styleId="Char4" w:type="character">
    <w:name w:val="日期 Char"/>
    <w:basedOn w:val="a1"/>
    <w:link w:val="ad"/>
    <w:rsid w:val="004061AC"/>
    <w:rPr>
      <w:rFonts w:ascii="Times New Roman" w:cs="Times New Roman" w:eastAsia="宋体" w:hAnsi="Times New Roman"/>
      <w:sz w:val="24"/>
      <w:szCs w:val="24"/>
    </w:rPr>
  </w:style>
  <w:style w:customStyle="1" w:styleId="c1" w:type="character">
    <w:name w:val="c1"/>
    <w:basedOn w:val="a1"/>
    <w:uiPriority w:val="99"/>
    <w:rsid w:val="004061AC"/>
    <w:rPr>
      <w:color w:val="000000"/>
      <w:sz w:val="18"/>
      <w:szCs w:val="18"/>
    </w:rPr>
  </w:style>
  <w:style w:styleId="10" w:type="paragraph">
    <w:name w:val="index 1"/>
    <w:basedOn w:val="a"/>
    <w:next w:val="a"/>
    <w:autoRedefine/>
    <w:uiPriority w:val="99"/>
    <w:semiHidden/>
    <w:rsid w:val="004061AC"/>
    <w:pPr>
      <w:jc w:val="right"/>
    </w:pPr>
    <w:rPr>
      <w:color w:val="008000"/>
    </w:rPr>
  </w:style>
  <w:style w:customStyle="1" w:styleId="font5" w:type="paragraph">
    <w:name w:val="font5"/>
    <w:basedOn w:val="a"/>
    <w:uiPriority w:val="99"/>
    <w:rsid w:val="004061AC"/>
    <w:pPr>
      <w:widowControl/>
      <w:spacing w:after="100" w:afterAutospacing="1" w:before="100" w:beforeAutospacing="1"/>
      <w:jc w:val="left"/>
    </w:pPr>
    <w:rPr>
      <w:rFonts w:ascii="宋体" w:cs="宋体" w:hAnsi="宋体"/>
      <w:kern w:val="0"/>
      <w:sz w:val="18"/>
      <w:szCs w:val="18"/>
    </w:rPr>
  </w:style>
  <w:style w:customStyle="1" w:styleId="xl24" w:type="paragraph">
    <w:name w:val="xl24"/>
    <w:basedOn w:val="a"/>
    <w:uiPriority w:val="99"/>
    <w:rsid w:val="004061AC"/>
    <w:pPr>
      <w:widowControl/>
      <w:pBdr>
        <w:top w:color="000000" w:space="0" w:sz="6" w:val="doub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0000FF"/>
      <w:kern w:val="0"/>
      <w:sz w:val="29"/>
      <w:szCs w:val="29"/>
    </w:rPr>
  </w:style>
  <w:style w:customStyle="1" w:styleId="xl25" w:type="paragraph">
    <w:name w:val="xl25"/>
    <w:basedOn w:val="a"/>
    <w:uiPriority w:val="99"/>
    <w:rsid w:val="004061AC"/>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left"/>
    </w:pPr>
    <w:rPr>
      <w:rFonts w:ascii="Arial Unicode MS" w:cs="Arial Unicode MS" w:eastAsia="Arial Unicode MS" w:hAnsi="Arial Unicode MS"/>
      <w:b/>
      <w:bCs/>
      <w:color w:val="000000"/>
      <w:kern w:val="0"/>
      <w:sz w:val="24"/>
      <w:szCs w:val="24"/>
    </w:rPr>
  </w:style>
  <w:style w:customStyle="1" w:styleId="xl26" w:type="paragraph">
    <w:name w:val="xl26"/>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27" w:type="paragraph">
    <w:name w:val="xl27"/>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12"/>
      <w:szCs w:val="12"/>
    </w:rPr>
  </w:style>
  <w:style w:customStyle="1" w:styleId="xl28" w:type="paragraph">
    <w:name w:val="xl28"/>
    <w:basedOn w:val="a"/>
    <w:uiPriority w:val="99"/>
    <w:rsid w:val="004061AC"/>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29" w:type="paragraph">
    <w:name w:val="xl29"/>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30" w:type="paragraph">
    <w:name w:val="xl30"/>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31" w:type="paragraph">
    <w:name w:val="xl31"/>
    <w:basedOn w:val="a"/>
    <w:uiPriority w:val="99"/>
    <w:rsid w:val="004061AC"/>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2" w:type="paragraph">
    <w:name w:val="xl32"/>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3" w:type="paragraph">
    <w:name w:val="xl33"/>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color w:val="000000"/>
      <w:kern w:val="0"/>
      <w:sz w:val="22"/>
      <w:szCs w:val="22"/>
    </w:rPr>
  </w:style>
  <w:style w:customStyle="1" w:styleId="xl34" w:type="paragraph">
    <w:name w:val="xl34"/>
    <w:basedOn w:val="a"/>
    <w:uiPriority w:val="99"/>
    <w:rsid w:val="004061AC"/>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5" w:type="paragraph">
    <w:name w:val="xl35"/>
    <w:basedOn w:val="a"/>
    <w:uiPriority w:val="99"/>
    <w:rsid w:val="004061AC"/>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000000"/>
      <w:kern w:val="0"/>
      <w:sz w:val="23"/>
      <w:szCs w:val="23"/>
    </w:rPr>
  </w:style>
  <w:style w:customStyle="1" w:styleId="xl36" w:type="paragraph">
    <w:name w:val="xl36"/>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xl37" w:type="paragraph">
    <w:name w:val="xl37"/>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FF0000"/>
      <w:kern w:val="0"/>
      <w:sz w:val="23"/>
      <w:szCs w:val="23"/>
    </w:rPr>
  </w:style>
  <w:style w:customStyle="1" w:styleId="xl38" w:type="paragraph">
    <w:name w:val="xl38"/>
    <w:basedOn w:val="a"/>
    <w:uiPriority w:val="99"/>
    <w:rsid w:val="004061AC"/>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styleId="ae" w:type="paragraph">
    <w:name w:val="Balloon Text"/>
    <w:basedOn w:val="a"/>
    <w:link w:val="Char5"/>
    <w:uiPriority w:val="99"/>
    <w:semiHidden/>
    <w:rsid w:val="004061AC"/>
    <w:rPr>
      <w:sz w:val="18"/>
      <w:szCs w:val="18"/>
    </w:rPr>
  </w:style>
  <w:style w:customStyle="1" w:styleId="Char5" w:type="character">
    <w:name w:val="批注框文本 Char"/>
    <w:basedOn w:val="a1"/>
    <w:link w:val="ae"/>
    <w:uiPriority w:val="99"/>
    <w:semiHidden/>
    <w:rsid w:val="004061AC"/>
    <w:rPr>
      <w:rFonts w:ascii="Times New Roman" w:cs="Times New Roman" w:eastAsia="宋体" w:hAnsi="Times New Roman"/>
      <w:sz w:val="18"/>
      <w:szCs w:val="18"/>
    </w:rPr>
  </w:style>
  <w:style w:styleId="af" w:type="character">
    <w:name w:val="annotation reference"/>
    <w:basedOn w:val="a1"/>
    <w:uiPriority w:val="99"/>
    <w:semiHidden/>
    <w:rsid w:val="004061AC"/>
    <w:rPr>
      <w:sz w:val="21"/>
      <w:szCs w:val="21"/>
    </w:rPr>
  </w:style>
  <w:style w:styleId="af0" w:type="paragraph">
    <w:name w:val="annotation text"/>
    <w:basedOn w:val="a"/>
    <w:link w:val="Char6"/>
    <w:uiPriority w:val="99"/>
    <w:semiHidden/>
    <w:rsid w:val="004061AC"/>
    <w:pPr>
      <w:jc w:val="left"/>
    </w:pPr>
  </w:style>
  <w:style w:customStyle="1" w:styleId="Char6" w:type="character">
    <w:name w:val="批注文字 Char"/>
    <w:basedOn w:val="a1"/>
    <w:link w:val="af0"/>
    <w:uiPriority w:val="99"/>
    <w:semiHidden/>
    <w:rsid w:val="004061AC"/>
    <w:rPr>
      <w:rFonts w:ascii="Times New Roman" w:cs="Times New Roman" w:eastAsia="宋体" w:hAnsi="Times New Roman"/>
      <w:szCs w:val="21"/>
    </w:rPr>
  </w:style>
  <w:style w:styleId="af1" w:type="paragraph">
    <w:name w:val="annotation subject"/>
    <w:basedOn w:val="af0"/>
    <w:next w:val="af0"/>
    <w:link w:val="Char7"/>
    <w:uiPriority w:val="99"/>
    <w:semiHidden/>
    <w:rsid w:val="004061AC"/>
    <w:rPr>
      <w:b/>
      <w:bCs/>
    </w:rPr>
  </w:style>
  <w:style w:customStyle="1" w:styleId="Char7" w:type="character">
    <w:name w:val="批注主题 Char"/>
    <w:basedOn w:val="Char6"/>
    <w:link w:val="af1"/>
    <w:uiPriority w:val="99"/>
    <w:semiHidden/>
    <w:rsid w:val="004061AC"/>
    <w:rPr>
      <w:rFonts w:ascii="Times New Roman" w:cs="Times New Roman" w:eastAsia="宋体" w:hAnsi="Times New Roman"/>
      <w:b/>
      <w:bCs/>
      <w:szCs w:val="21"/>
    </w:rPr>
  </w:style>
  <w:style w:customStyle="1" w:styleId="Char8" w:type="paragraph">
    <w:name w:val="Char"/>
    <w:basedOn w:val="a"/>
    <w:uiPriority w:val="99"/>
    <w:rsid w:val="004061AC"/>
  </w:style>
  <w:style w:styleId="af2" w:type="paragraph">
    <w:name w:val="Document Map"/>
    <w:basedOn w:val="a"/>
    <w:link w:val="Char9"/>
    <w:uiPriority w:val="99"/>
    <w:semiHidden/>
    <w:rsid w:val="004061AC"/>
    <w:pPr>
      <w:shd w:color="auto" w:fill="000080" w:val="clear"/>
    </w:pPr>
  </w:style>
  <w:style w:customStyle="1" w:styleId="Char9" w:type="character">
    <w:name w:val="文档结构图 Char"/>
    <w:basedOn w:val="a1"/>
    <w:link w:val="af2"/>
    <w:uiPriority w:val="99"/>
    <w:semiHidden/>
    <w:rsid w:val="004061AC"/>
    <w:rPr>
      <w:rFonts w:ascii="Times New Roman" w:cs="Times New Roman" w:eastAsia="宋体" w:hAnsi="Times New Roman"/>
      <w:szCs w:val="21"/>
      <w:shd w:color="auto" w:fill="000080" w:val="clear"/>
    </w:rPr>
  </w:style>
  <w:style w:customStyle="1" w:styleId="af3" w:type="paragraph">
    <w:name w:val="正文 + (符号) 宋体"/>
    <w:aliases w:val="小四,紧缩量  0.2 磅"/>
    <w:basedOn w:val="a"/>
    <w:uiPriority w:val="99"/>
    <w:rsid w:val="004061AC"/>
    <w:pPr>
      <w:autoSpaceDE w:val="0"/>
      <w:autoSpaceDN w:val="0"/>
      <w:adjustRightInd w:val="0"/>
      <w:ind w:firstLine="1229" w:firstLineChars="512" w:right="1409" w:rightChars="671"/>
      <w:jc w:val="distribute"/>
    </w:pPr>
    <w:rPr>
      <w:sz w:val="24"/>
      <w:szCs w:val="24"/>
    </w:rPr>
  </w:style>
  <w:style w:styleId="af4" w:type="paragraph">
    <w:name w:val="footnote text"/>
    <w:basedOn w:val="a"/>
    <w:link w:val="Chara"/>
    <w:rsid w:val="004061AC"/>
    <w:pPr>
      <w:snapToGrid w:val="0"/>
      <w:jc w:val="left"/>
    </w:pPr>
    <w:rPr>
      <w:sz w:val="18"/>
      <w:szCs w:val="18"/>
    </w:rPr>
  </w:style>
  <w:style w:customStyle="1" w:styleId="Chara" w:type="character">
    <w:name w:val="脚注文本 Char"/>
    <w:basedOn w:val="a1"/>
    <w:link w:val="af4"/>
    <w:rsid w:val="004061AC"/>
    <w:rPr>
      <w:rFonts w:ascii="Times New Roman" w:cs="Times New Roman" w:eastAsia="宋体" w:hAnsi="Times New Roman"/>
      <w:sz w:val="18"/>
      <w:szCs w:val="18"/>
    </w:rPr>
  </w:style>
  <w:style w:styleId="af5" w:type="character">
    <w:name w:val="footnote reference"/>
    <w:basedOn w:val="a1"/>
    <w:rsid w:val="004061AC"/>
    <w:rPr>
      <w:vertAlign w:val="superscript"/>
    </w:rPr>
  </w:style>
  <w:style w:styleId="af6" w:type="paragraph">
    <w:name w:val="Normal (Web)"/>
    <w:basedOn w:val="a"/>
    <w:uiPriority w:val="99"/>
    <w:rsid w:val="004061AC"/>
    <w:pPr>
      <w:widowControl/>
      <w:spacing w:after="100" w:afterAutospacing="1" w:before="100" w:beforeAutospacing="1"/>
      <w:jc w:val="left"/>
    </w:pPr>
    <w:rPr>
      <w:rFonts w:ascii="宋体" w:cs="宋体" w:hAnsi="宋体"/>
      <w:kern w:val="0"/>
      <w:sz w:val="24"/>
      <w:szCs w:val="24"/>
    </w:rPr>
  </w:style>
  <w:style w:styleId="af7" w:type="table">
    <w:name w:val="Table Grid"/>
    <w:basedOn w:val="a2"/>
    <w:qFormat/>
    <w:rsid w:val="004061AC"/>
    <w:pPr>
      <w:widowControl w:val="0"/>
      <w:jc w:val="both"/>
    </w:pPr>
    <w:rPr>
      <w:rFonts w:ascii="Times New Roman" w:cs="Times New Roman" w:eastAsia="宋体" w:hAnsi="Times New Roman"/>
      <w:kern w:val="0"/>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Char10" w:type="paragraph">
    <w:name w:val="Char1"/>
    <w:basedOn w:val="a"/>
    <w:uiPriority w:val="99"/>
    <w:rsid w:val="004061AC"/>
  </w:style>
  <w:style w:customStyle="1" w:styleId="CharCharCharCharCharChar1CharCharChar" w:type="paragraph">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customStyle="1" w:styleId="CharCharCharCharCharChar1CharCharChar2" w:type="paragraph">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styleId="af8" w:type="paragraph">
    <w:name w:val="Title"/>
    <w:basedOn w:val="a"/>
    <w:next w:val="a"/>
    <w:link w:val="Charb"/>
    <w:uiPriority w:val="99"/>
    <w:qFormat/>
    <w:rsid w:val="004061AC"/>
    <w:pPr>
      <w:spacing w:after="60" w:before="240"/>
      <w:jc w:val="center"/>
      <w:outlineLvl w:val="0"/>
    </w:pPr>
    <w:rPr>
      <w:rFonts w:ascii="Cambria" w:cs="Cambria" w:hAnsi="Cambria"/>
      <w:b/>
      <w:bCs/>
      <w:sz w:val="32"/>
      <w:szCs w:val="32"/>
    </w:rPr>
  </w:style>
  <w:style w:customStyle="1" w:styleId="Charb" w:type="character">
    <w:name w:val="标题 Char"/>
    <w:basedOn w:val="a1"/>
    <w:link w:val="af8"/>
    <w:uiPriority w:val="99"/>
    <w:rsid w:val="004061AC"/>
    <w:rPr>
      <w:rFonts w:ascii="Cambria" w:cs="Cambria" w:eastAsia="宋体" w:hAnsi="Cambria"/>
      <w:b/>
      <w:bCs/>
      <w:sz w:val="32"/>
      <w:szCs w:val="32"/>
    </w:rPr>
  </w:style>
  <w:style w:customStyle="1" w:styleId="CharCharCharCharCharChar1CharCharChar1" w:type="paragraph">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styleId="af9" w:type="paragraph">
    <w:name w:val="No Spacing"/>
    <w:link w:val="Charc"/>
    <w:uiPriority w:val="1"/>
    <w:qFormat/>
    <w:rsid w:val="004061AC"/>
    <w:rPr>
      <w:rFonts w:ascii="Calibri" w:cs="Calibri" w:eastAsia="宋体" w:hAnsi="Calibri"/>
      <w:kern w:val="0"/>
      <w:sz w:val="22"/>
    </w:rPr>
  </w:style>
  <w:style w:customStyle="1" w:styleId="Charc" w:type="character">
    <w:name w:val="无间隔 Char"/>
    <w:basedOn w:val="a1"/>
    <w:link w:val="af9"/>
    <w:uiPriority w:val="1"/>
    <w:locked/>
    <w:rsid w:val="004061AC"/>
    <w:rPr>
      <w:rFonts w:ascii="Calibri" w:cs="Calibri" w:eastAsia="宋体" w:hAnsi="Calibri"/>
      <w:kern w:val="0"/>
      <w:sz w:val="22"/>
    </w:rPr>
  </w:style>
  <w:style w:customStyle="1" w:styleId="t1" w:type="character">
    <w:name w:val="t1"/>
    <w:basedOn w:val="a1"/>
    <w:uiPriority w:val="99"/>
    <w:rsid w:val="004061AC"/>
    <w:rPr>
      <w:color w:val="auto"/>
    </w:rPr>
  </w:style>
  <w:style w:styleId="afa" w:type="paragraph">
    <w:name w:val="List Paragraph"/>
    <w:basedOn w:val="a"/>
    <w:uiPriority w:val="34"/>
    <w:qFormat/>
    <w:rsid w:val="00154BE1"/>
    <w:pPr>
      <w:ind w:firstLine="420" w:firstLineChars="200"/>
    </w:pPr>
  </w:style>
  <w:style w:customStyle="1" w:styleId="Default" w:type="paragraph">
    <w:name w:val="Default"/>
    <w:rsid w:val="00275745"/>
    <w:pPr>
      <w:widowControl w:val="0"/>
      <w:autoSpaceDE w:val="0"/>
      <w:autoSpaceDN w:val="0"/>
      <w:adjustRightInd w:val="0"/>
    </w:pPr>
    <w:rPr>
      <w:rFonts w:ascii="FangSong" w:cs="FangSong" w:eastAsia="宋体" w:hAnsi="FangSong"/>
      <w:color w:val="000000"/>
      <w:kern w:val="0"/>
      <w:sz w:val="24"/>
      <w:szCs w:val="24"/>
    </w:rPr>
  </w:style>
  <w:style w:styleId="afb" w:type="character">
    <w:name w:val="Strong"/>
    <w:basedOn w:val="a1"/>
    <w:uiPriority w:val="22"/>
    <w:qFormat/>
    <w:rsid w:val="00E52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499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media/image1.jpeg" Type="http://schemas.openxmlformats.org/officeDocument/2006/relationships/image"/>
<Relationship Id="rId15" Target="fontTable.xml" Type="http://schemas.openxmlformats.org/officeDocument/2006/relationships/fontTable"/>
<Relationship Id="rId16"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24F61-935D-4852-8DB9-16A24A127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1828</TotalTime>
  <Pages>24</Pages>
  <Words>3807</Words>
  <Characters>21700</Characters>
  <Application>Microsoft Office Word</Application>
  <DocSecurity>0</DocSecurity>
  <Lines>180</Lines>
  <Paragraphs>50</Paragraphs>
  <ScaleCrop>false</ScaleCrop>
  <Company/>
  <LinksUpToDate>false</LinksUpToDate>
  <CharactersWithSpaces>25457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2012-10-16T06:07:00Z</dcterms:created>
  <cp:lastModifiedBy>业务系统</cp:lastModifiedBy>
  <dcterms:modified xsi:type="dcterms:W3CDTF">2020-01-17T03:03:00Z</dcterms:modified>
  <cp:revision>600</cp:revision>
</cp:coreProperties>
</file>