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交银施罗德信用添利债券证券投资基金（LOF）</w:t>
      </w:r>
    </w:p>
    <w:p w:rsidP="00C15CAC" w:rsidR="002279D3" w:rsidRDefault="002279D3" w:rsidRPr="0081286B">
      <w:pPr>
        <w:spacing w:before="29" w:line="288" w:lineRule="auto"/>
        <w:jc w:val="center"/>
        <w:rPr>
          <w:b/>
          <w:sz w:val="36"/>
          <w:szCs w:val="36"/>
        </w:rPr>
      </w:pPr>
      <w:r w:rsidRPr="0081286B">
        <w:rPr>
          <w:b/>
          <w:sz w:val="36"/>
          <w:szCs w:val="36"/>
        </w:rPr>
        <w:t>2020年第4季度报告</w:t>
      </w:r>
    </w:p>
    <w:p w:rsidP="00C15CAC" w:rsidR="004061AC" w:rsidRDefault="00655CD8" w:rsidRPr="0081286B">
      <w:pPr>
        <w:spacing w:before="29" w:line="288" w:lineRule="auto"/>
        <w:jc w:val="center"/>
        <w:rPr>
          <w:b/>
          <w:sz w:val="36"/>
          <w:szCs w:val="36"/>
        </w:rPr>
      </w:pPr>
      <w:r w:rsidRPr="0081286B">
        <w:rPr>
          <w:b/>
          <w:sz w:val="36"/>
          <w:szCs w:val="36"/>
        </w:rPr>
        <w:t>2020年12月31日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中国农业银行股份有限公司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二〇二一年一月二十一日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基金托管人中国农业银行股份有限公司根据本基金合同规定，于2021年1月20日复核了本报告中的财务指标、净值表现和投资组合报告等内容，保证复核内容不存在虚假记载、误导性陈述或者重大遗漏。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本报告期自2020年10月1日起至12月31日止。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交银信用添利债券（LOF）</w:t>
            </w:r>
          </w:p>
        </w:tc>
      </w:tr>
      <w:tr w:rsidR="006E6726" w:rsidRPr="00414345" w:rsidTr="006E6726">
        <w:trPr>
          <w:jc w:val="center"/>
        </w:trPr>
        <w:tc>
          <w:tcPr>
            <w:tcW w:type="dxa" w:w="3023"/>
            <w:vAlign w:val="center"/>
          </w:tcPr>
          <w:p w:rsidR="006E6726" w:rsidRDefault="006E6726">
            <w:pPr>
              <w:adjustRightInd w:val="0"/>
              <w:spacing w:before="29" w:line="288" w:lineRule="auto"/>
              <w:ind w:left="17"/>
              <w:jc w:val="left"/>
              <w:rPr>
                <w:kern w:val="0"/>
                <w:sz w:val="24"/>
                <w:szCs w:val="24"/>
              </w:rPr>
            </w:pPr>
            <w:r>
              <w:rPr>
                <w:rFonts w:hint="eastAsia"/>
                <w:kern w:val="0"/>
                <w:sz w:val="24"/>
              </w:rPr>
              <w:t>场内简称</w:t>
            </w:r>
          </w:p>
        </w:tc>
        <w:tc>
          <w:tcPr>
            <w:tcW w:type="dxa" w:w="5845"/>
            <w:gridSpan w:val="2"/>
            <w:vAlign w:val="center"/>
          </w:tcPr>
          <w:p w:rsidR="006E6726" w:rsidRDefault="006E6726">
            <w:pPr>
              <w:adjustRightInd w:val="0"/>
              <w:spacing w:before="29" w:line="288" w:lineRule="auto"/>
              <w:ind w:left="17"/>
              <w:jc w:val="left"/>
              <w:rPr>
                <w:color w:val="000000"/>
                <w:kern w:val="0"/>
                <w:sz w:val="24"/>
                <w:szCs w:val="24"/>
              </w:rPr>
            </w:pPr>
            <w:r>
              <w:rPr>
                <w:color w:val="000000"/>
                <w:kern w:val="0"/>
                <w:sz w:val="24"/>
              </w:rPr>
              <w:t>交银添利</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164902</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2922"/>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164902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type="dxa" w:w="29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164903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上市契约型开放式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2011年1月27日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2,742,244,969.46</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根据宏观经济运行状况和金融市场的运行趋势，自上而下进行宏观分析，自下而上精选个券，在控制信用风险、利率风险和流动性风险前提下，力求通过主动承担适度信用风险获得持续投资收益，谋求基金资产的长期稳定增长。</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以及各类债券的流动性、供求关系和收益率水平等，自下而上地精选个券。同时，本基金也会关注股票一级市场、权证一级市场等其它相关市场存在的投资机会，力争实现基金总体风险收益特征保持不变前提下的基金资产增值最大化。</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80%×中债企业债总全价指数收益率+20%×中债国债总全价指数收益率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本基金是一只债券型基金，属于证券投资基金中中等风险的品种，其长期平均的预期收益和风险高于货币市场基金，低于混合型基金和股票型基金。</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根据本基金《基金合同》及《招募说明书》的相关规定，本基金在基金合同生效之日起三年(含三年)的期间内，采取封闭式运作，在深圳证券交易所上市交易，封闭期结束后转为上市开放式基金（LOF）。本基金封闭期自2011年1月27日(基金合同生效日)起至2014年1月27日止，自2014年1月28日起基金运作方式转为“上市契约型开放式”，并于同日起开放本基金的申购、赎回业务。本基金在募集期仅开通前端基金份额的认购，转为上市开放式基金（LOF）后同时开通前端基金份额和后端基金份额的申购和赎回。</w:t>
      </w:r>
    </w:p>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(2020年10月1日-2020年12月31日)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13,338,101.98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3,871,944.33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0.0013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3,203,696,607.00</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1.1683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注：1、上述基金业绩指标不包括持有人认购或交易基金的各项费用，计入费用后的实际收益水平要低于所列数字；</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0.14%</w:t>
            </w:r>
          </w:p>
        </w:tc>
        <w:tc>
          <w:tcPr>
            <w:vAlign w:val="center"/>
          </w:tcPr>
          <w:p>
            <w:pPr>
              <w:jc w:val="center"/>
            </w:pPr>
            <w:r>
              <w:rPr>
                <w:color w:val="000000"/>
                <w:sz w:val="24"/>
                <w:szCs w:val="24"/>
              </w:rPr>
              <w:t>0.05%</w:t>
            </w:r>
          </w:p>
        </w:tc>
        <w:tc>
          <w:tcPr>
            <w:vAlign w:val="center"/>
          </w:tcPr>
          <w:p>
            <w:pPr>
              <w:jc w:val="center"/>
            </w:pPr>
            <w:r>
              <w:rPr>
                <w:color w:val="000000"/>
                <w:sz w:val="24"/>
                <w:szCs w:val="24"/>
              </w:rPr>
              <w:t>-0.14%</w:t>
            </w:r>
          </w:p>
        </w:tc>
        <w:tc>
          <w:tcPr>
            <w:vAlign w:val="center"/>
          </w:tcPr>
          <w:p>
            <w:pPr>
              <w:jc w:val="center"/>
            </w:pPr>
            <w:r>
              <w:rPr>
                <w:color w:val="000000"/>
                <w:sz w:val="24"/>
                <w:szCs w:val="24"/>
              </w:rPr>
              <w:t>0.04%</w:t>
            </w:r>
          </w:p>
        </w:tc>
        <w:tc>
          <w:tcPr>
            <w:vAlign w:val="center"/>
          </w:tcPr>
          <w:p>
            <w:pPr>
              <w:jc w:val="center"/>
            </w:pPr>
            <w:r>
              <w:rPr>
                <w:color w:val="000000"/>
                <w:sz w:val="24"/>
                <w:szCs w:val="24"/>
              </w:rPr>
              <w:t>0.28%</w:t>
            </w:r>
          </w:p>
        </w:tc>
        <w:tc>
          <w:tcPr>
            <w:vAlign w:val="center"/>
          </w:tcPr>
          <w:p>
            <w:pPr>
              <w:jc w:val="center"/>
            </w:pPr>
            <w:r>
              <w:rPr>
                <w:color w:val="000000"/>
                <w:sz w:val="24"/>
                <w:szCs w:val="24"/>
              </w:rPr>
              <w:t>0.01%</w:t>
            </w:r>
          </w:p>
        </w:tc>
      </w:tr>
      <w:tr>
        <w:tc>
          <w:tcPr>
            <w:vAlign w:val="center"/>
          </w:tcPr>
          <w:p>
            <w:pPr>
              <w:jc w:val="left"/>
            </w:pPr>
            <w:r>
              <w:rPr>
                <w:color w:val="000000"/>
                <w:sz w:val="24"/>
                <w:szCs w:val="24"/>
              </w:rPr>
              <w:t>过去六个月</w:t>
            </w:r>
          </w:p>
        </w:tc>
        <w:tc>
          <w:tcPr>
            <w:vAlign w:val="center"/>
          </w:tcPr>
          <w:p>
            <w:pPr>
              <w:jc w:val="center"/>
            </w:pPr>
            <w:r>
              <w:rPr>
                <w:color w:val="000000"/>
                <w:sz w:val="24"/>
                <w:szCs w:val="24"/>
              </w:rPr>
              <w:t>0.28%</w:t>
            </w:r>
          </w:p>
        </w:tc>
        <w:tc>
          <w:tcPr>
            <w:vAlign w:val="center"/>
          </w:tcPr>
          <w:p>
            <w:pPr>
              <w:jc w:val="center"/>
            </w:pPr>
            <w:r>
              <w:rPr>
                <w:color w:val="000000"/>
                <w:sz w:val="24"/>
                <w:szCs w:val="24"/>
              </w:rPr>
              <w:t>0.06%</w:t>
            </w:r>
          </w:p>
        </w:tc>
        <w:tc>
          <w:tcPr>
            <w:vAlign w:val="center"/>
          </w:tcPr>
          <w:p>
            <w:pPr>
              <w:jc w:val="center"/>
            </w:pPr>
            <w:r>
              <w:rPr>
                <w:color w:val="000000"/>
                <w:sz w:val="24"/>
                <w:szCs w:val="24"/>
              </w:rPr>
              <w:t>-1.16%</w:t>
            </w:r>
          </w:p>
        </w:tc>
        <w:tc>
          <w:tcPr>
            <w:vAlign w:val="center"/>
          </w:tcPr>
          <w:p>
            <w:pPr>
              <w:jc w:val="center"/>
            </w:pPr>
            <w:r>
              <w:rPr>
                <w:color w:val="000000"/>
                <w:sz w:val="24"/>
                <w:szCs w:val="24"/>
              </w:rPr>
              <w:t>0.05%</w:t>
            </w:r>
          </w:p>
        </w:tc>
        <w:tc>
          <w:tcPr>
            <w:vAlign w:val="center"/>
          </w:tcPr>
          <w:p>
            <w:pPr>
              <w:jc w:val="center"/>
            </w:pPr>
            <w:r>
              <w:rPr>
                <w:color w:val="000000"/>
                <w:sz w:val="24"/>
                <w:szCs w:val="24"/>
              </w:rPr>
              <w:t>1.44%</w:t>
            </w:r>
          </w:p>
        </w:tc>
        <w:tc>
          <w:tcPr>
            <w:vAlign w:val="center"/>
          </w:tcPr>
          <w:p>
            <w:pPr>
              <w:jc w:val="center"/>
            </w:pPr>
            <w:r>
              <w:rPr>
                <w:color w:val="000000"/>
                <w:sz w:val="24"/>
                <w:szCs w:val="24"/>
              </w:rPr>
              <w:t>0.01%</w:t>
            </w:r>
          </w:p>
        </w:tc>
      </w:tr>
      <w:tr>
        <w:tc>
          <w:tcPr>
            <w:vAlign w:val="center"/>
          </w:tcPr>
          <w:p>
            <w:pPr>
              <w:jc w:val="left"/>
            </w:pPr>
            <w:r>
              <w:rPr>
                <w:color w:val="000000"/>
                <w:sz w:val="24"/>
                <w:szCs w:val="24"/>
              </w:rPr>
              <w:t>过去一年</w:t>
            </w:r>
          </w:p>
        </w:tc>
        <w:tc>
          <w:tcPr>
            <w:vAlign w:val="center"/>
          </w:tcPr>
          <w:p>
            <w:pPr>
              <w:jc w:val="center"/>
            </w:pPr>
            <w:r>
              <w:rPr>
                <w:color w:val="000000"/>
                <w:sz w:val="24"/>
                <w:szCs w:val="24"/>
              </w:rPr>
              <w:t>2.03%</w:t>
            </w:r>
          </w:p>
        </w:tc>
        <w:tc>
          <w:tcPr>
            <w:vAlign w:val="center"/>
          </w:tcPr>
          <w:p>
            <w:pPr>
              <w:jc w:val="center"/>
            </w:pPr>
            <w:r>
              <w:rPr>
                <w:color w:val="000000"/>
                <w:sz w:val="24"/>
                <w:szCs w:val="24"/>
              </w:rPr>
              <w:t>0.07%</w:t>
            </w:r>
          </w:p>
        </w:tc>
        <w:tc>
          <w:tcPr>
            <w:vAlign w:val="center"/>
          </w:tcPr>
          <w:p>
            <w:pPr>
              <w:jc w:val="center"/>
            </w:pPr>
            <w:r>
              <w:rPr>
                <w:color w:val="000000"/>
                <w:sz w:val="24"/>
                <w:szCs w:val="24"/>
              </w:rPr>
              <w:t>-1.03%</w:t>
            </w:r>
          </w:p>
        </w:tc>
        <w:tc>
          <w:tcPr>
            <w:vAlign w:val="center"/>
          </w:tcPr>
          <w:p>
            <w:pPr>
              <w:jc w:val="center"/>
            </w:pPr>
            <w:r>
              <w:rPr>
                <w:color w:val="000000"/>
                <w:sz w:val="24"/>
                <w:szCs w:val="24"/>
              </w:rPr>
              <w:t>0.07%</w:t>
            </w:r>
          </w:p>
        </w:tc>
        <w:tc>
          <w:tcPr>
            <w:vAlign w:val="center"/>
          </w:tcPr>
          <w:p>
            <w:pPr>
              <w:jc w:val="center"/>
            </w:pPr>
            <w:r>
              <w:rPr>
                <w:color w:val="000000"/>
                <w:sz w:val="24"/>
                <w:szCs w:val="24"/>
              </w:rPr>
              <w:t>3.06%</w:t>
            </w:r>
          </w:p>
        </w:tc>
        <w:tc>
          <w:tcPr>
            <w:vAlign w:val="center"/>
          </w:tcPr>
          <w:p>
            <w:pPr>
              <w:jc w:val="center"/>
            </w:pPr>
            <w:r>
              <w:rPr>
                <w:color w:val="000000"/>
                <w:sz w:val="24"/>
                <w:szCs w:val="24"/>
              </w:rPr>
              <w:t>0.00%</w:t>
            </w:r>
          </w:p>
        </w:tc>
      </w:tr>
      <w:tr>
        <w:tc>
          <w:tcPr>
            <w:vAlign w:val="center"/>
          </w:tcPr>
          <w:p>
            <w:pPr>
              <w:jc w:val="left"/>
            </w:pPr>
            <w:r>
              <w:rPr>
                <w:color w:val="000000"/>
                <w:sz w:val="24"/>
                <w:szCs w:val="24"/>
              </w:rPr>
              <w:t>过去三年</w:t>
            </w:r>
          </w:p>
        </w:tc>
        <w:tc>
          <w:tcPr>
            <w:vAlign w:val="center"/>
          </w:tcPr>
          <w:p>
            <w:pPr>
              <w:jc w:val="center"/>
            </w:pPr>
            <w:r>
              <w:rPr>
                <w:color w:val="000000"/>
                <w:sz w:val="24"/>
                <w:szCs w:val="24"/>
              </w:rPr>
              <w:t>13.11%</w:t>
            </w:r>
          </w:p>
        </w:tc>
        <w:tc>
          <w:tcPr>
            <w:vAlign w:val="center"/>
          </w:tcPr>
          <w:p>
            <w:pPr>
              <w:jc w:val="center"/>
            </w:pPr>
            <w:r>
              <w:rPr>
                <w:color w:val="000000"/>
                <w:sz w:val="24"/>
                <w:szCs w:val="24"/>
              </w:rPr>
              <w:t>0.08%</w:t>
            </w:r>
          </w:p>
        </w:tc>
        <w:tc>
          <w:tcPr>
            <w:vAlign w:val="center"/>
          </w:tcPr>
          <w:p>
            <w:pPr>
              <w:jc w:val="center"/>
            </w:pPr>
            <w:r>
              <w:rPr>
                <w:color w:val="000000"/>
                <w:sz w:val="24"/>
                <w:szCs w:val="24"/>
              </w:rPr>
              <w:t>2.91%</w:t>
            </w:r>
          </w:p>
        </w:tc>
        <w:tc>
          <w:tcPr>
            <w:vAlign w:val="center"/>
          </w:tcPr>
          <w:p>
            <w:pPr>
              <w:jc w:val="center"/>
            </w:pPr>
            <w:r>
              <w:rPr>
                <w:color w:val="000000"/>
                <w:sz w:val="24"/>
                <w:szCs w:val="24"/>
              </w:rPr>
              <w:t>0.06%</w:t>
            </w:r>
          </w:p>
        </w:tc>
        <w:tc>
          <w:tcPr>
            <w:vAlign w:val="center"/>
          </w:tcPr>
          <w:p>
            <w:pPr>
              <w:jc w:val="center"/>
            </w:pPr>
            <w:r>
              <w:rPr>
                <w:color w:val="000000"/>
                <w:sz w:val="24"/>
                <w:szCs w:val="24"/>
              </w:rPr>
              <w:t>10.20%</w:t>
            </w:r>
          </w:p>
        </w:tc>
        <w:tc>
          <w:tcPr>
            <w:vAlign w:val="center"/>
          </w:tcPr>
          <w:p>
            <w:pPr>
              <w:jc w:val="center"/>
            </w:pPr>
            <w:r>
              <w:rPr>
                <w:color w:val="000000"/>
                <w:sz w:val="24"/>
                <w:szCs w:val="24"/>
              </w:rPr>
              <w:t>0.02%</w:t>
            </w:r>
          </w:p>
        </w:tc>
      </w:tr>
      <w:tr>
        <w:tc>
          <w:tcPr>
            <w:vAlign w:val="center"/>
          </w:tcPr>
          <w:p>
            <w:pPr>
              <w:jc w:val="left"/>
            </w:pPr>
            <w:r>
              <w:rPr>
                <w:color w:val="000000"/>
                <w:sz w:val="24"/>
                <w:szCs w:val="24"/>
              </w:rPr>
              <w:t>过去五年</w:t>
            </w:r>
          </w:p>
        </w:tc>
        <w:tc>
          <w:tcPr>
            <w:vAlign w:val="center"/>
          </w:tcPr>
          <w:p>
            <w:pPr>
              <w:jc w:val="center"/>
            </w:pPr>
            <w:r>
              <w:rPr>
                <w:color w:val="000000"/>
                <w:sz w:val="24"/>
                <w:szCs w:val="24"/>
              </w:rPr>
              <w:t>17.88%</w:t>
            </w:r>
          </w:p>
        </w:tc>
        <w:tc>
          <w:tcPr>
            <w:vAlign w:val="center"/>
          </w:tcPr>
          <w:p>
            <w:pPr>
              <w:jc w:val="center"/>
            </w:pPr>
            <w:r>
              <w:rPr>
                <w:color w:val="000000"/>
                <w:sz w:val="24"/>
                <w:szCs w:val="24"/>
              </w:rPr>
              <w:t>0.08%</w:t>
            </w:r>
          </w:p>
        </w:tc>
        <w:tc>
          <w:tcPr>
            <w:vAlign w:val="center"/>
          </w:tcPr>
          <w:p>
            <w:pPr>
              <w:jc w:val="center"/>
            </w:pPr>
            <w:r>
              <w:rPr>
                <w:color w:val="000000"/>
                <w:sz w:val="24"/>
                <w:szCs w:val="24"/>
              </w:rPr>
              <w:t>-12.41%</w:t>
            </w:r>
          </w:p>
        </w:tc>
        <w:tc>
          <w:tcPr>
            <w:vAlign w:val="center"/>
          </w:tcPr>
          <w:p>
            <w:pPr>
              <w:jc w:val="center"/>
            </w:pPr>
            <w:r>
              <w:rPr>
                <w:color w:val="000000"/>
                <w:sz w:val="24"/>
                <w:szCs w:val="24"/>
              </w:rPr>
              <w:t>0.08%</w:t>
            </w:r>
          </w:p>
        </w:tc>
        <w:tc>
          <w:tcPr>
            <w:vAlign w:val="center"/>
          </w:tcPr>
          <w:p>
            <w:pPr>
              <w:jc w:val="center"/>
            </w:pPr>
            <w:r>
              <w:rPr>
                <w:color w:val="000000"/>
                <w:sz w:val="24"/>
                <w:szCs w:val="24"/>
              </w:rPr>
              <w:t>30.29%</w:t>
            </w:r>
          </w:p>
        </w:tc>
        <w:tc>
          <w:tcPr>
            <w:vAlign w:val="center"/>
          </w:tcPr>
          <w:p>
            <w:pPr>
              <w:jc w:val="center"/>
            </w:pPr>
            <w:r>
              <w:rPr>
                <w:color w:val="000000"/>
                <w:sz w:val="24"/>
                <w:szCs w:val="24"/>
              </w:rPr>
              <w:t>0.00%</w:t>
            </w:r>
          </w:p>
        </w:tc>
      </w:tr>
      <w:tr>
        <w:tc>
          <w:tcPr>
            <w:vAlign w:val="center"/>
          </w:tcPr>
          <w:p>
            <w:pPr>
              <w:jc w:val="left"/>
            </w:pPr>
            <w:r>
              <w:rPr>
                <w:color w:val="000000"/>
                <w:sz w:val="24"/>
                <w:szCs w:val="24"/>
              </w:rPr>
              <w:t>自基金合同生效起至今</w:t>
            </w:r>
          </w:p>
        </w:tc>
        <w:tc>
          <w:tcPr>
            <w:vAlign w:val="center"/>
          </w:tcPr>
          <w:p>
            <w:pPr>
              <w:jc w:val="center"/>
            </w:pPr>
            <w:r>
              <w:rPr>
                <w:color w:val="000000"/>
                <w:sz w:val="24"/>
                <w:szCs w:val="24"/>
              </w:rPr>
              <w:t>73.69%</w:t>
            </w:r>
          </w:p>
        </w:tc>
        <w:tc>
          <w:tcPr>
            <w:vAlign w:val="center"/>
          </w:tcPr>
          <w:p>
            <w:pPr>
              <w:jc w:val="center"/>
            </w:pPr>
            <w:r>
              <w:rPr>
                <w:color w:val="000000"/>
                <w:sz w:val="24"/>
                <w:szCs w:val="24"/>
              </w:rPr>
              <w:t>0.22%</w:t>
            </w:r>
          </w:p>
        </w:tc>
        <w:tc>
          <w:tcPr>
            <w:vAlign w:val="center"/>
          </w:tcPr>
          <w:p>
            <w:pPr>
              <w:jc w:val="center"/>
            </w:pPr>
            <w:r>
              <w:rPr>
                <w:color w:val="000000"/>
                <w:sz w:val="24"/>
                <w:szCs w:val="24"/>
              </w:rPr>
              <w:t>-6.33%</w:t>
            </w:r>
          </w:p>
        </w:tc>
        <w:tc>
          <w:tcPr>
            <w:vAlign w:val="center"/>
          </w:tcPr>
          <w:p>
            <w:pPr>
              <w:jc w:val="center"/>
            </w:pPr>
            <w:r>
              <w:rPr>
                <w:color w:val="000000"/>
                <w:sz w:val="24"/>
                <w:szCs w:val="24"/>
              </w:rPr>
              <w:t>0.09%</w:t>
            </w:r>
          </w:p>
        </w:tc>
        <w:tc>
          <w:tcPr>
            <w:vAlign w:val="center"/>
          </w:tcPr>
          <w:p>
            <w:pPr>
              <w:jc w:val="center"/>
            </w:pPr>
            <w:r>
              <w:rPr>
                <w:color w:val="000000"/>
                <w:sz w:val="24"/>
                <w:szCs w:val="24"/>
              </w:rPr>
              <w:t>80.02%</w:t>
            </w:r>
          </w:p>
        </w:tc>
        <w:tc>
          <w:tcPr>
            <w:vAlign w:val="center"/>
          </w:tcPr>
          <w:p>
            <w:pPr>
              <w:jc w:val="center"/>
            </w:pPr>
            <w:r>
              <w:rPr>
                <w:color w:val="000000"/>
                <w:sz w:val="24"/>
                <w:szCs w:val="24"/>
              </w:rPr>
              <w:t>0.13%</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交银施罗德信用添利债券证券投资基金（LOF）</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2011年1月27日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2020年12月31日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唐赟</w:t>
            </w:r>
          </w:p>
        </w:tc>
        <w:tc>
          <w:tcPr>
            <w:vAlign w:val="center"/>
          </w:tcPr>
          <w:p>
            <w:pPr>
              <w:jc w:val="center"/>
            </w:pPr>
            <w:r>
              <w:rPr>
                <w:color w:val="000000"/>
                <w:sz w:val="24"/>
                <w:szCs w:val="24"/>
              </w:rPr>
              <w:t>交银信用添利债券(LOF)、交银双利债券、交银双轮动债券、交银定期支付月月丰债券、交银增强收益债券、交银强化回报债券、交银荣鑫灵活配置混合、交银稳固收益债券的基金经理</w:t>
            </w:r>
          </w:p>
        </w:tc>
        <w:tc>
          <w:tcPr>
            <w:vAlign w:val="center"/>
          </w:tcPr>
          <w:p>
            <w:pPr>
              <w:jc w:val="center"/>
            </w:pPr>
            <w:r>
              <w:rPr>
                <w:color w:val="000000"/>
                <w:sz w:val="24"/>
                <w:szCs w:val="24"/>
              </w:rPr>
              <w:t>2015-08-04</w:t>
            </w:r>
          </w:p>
        </w:tc>
        <w:tc>
          <w:tcPr>
            <w:vAlign w:val="center"/>
          </w:tcPr>
          <w:p>
            <w:pPr>
              <w:jc w:val="center"/>
            </w:pPr>
            <w:r>
              <w:rPr>
                <w:color w:val="000000"/>
                <w:sz w:val="24"/>
                <w:szCs w:val="24"/>
              </w:rPr>
              <w:t>-</w:t>
            </w:r>
          </w:p>
        </w:tc>
        <w:tc>
          <w:tcPr>
            <w:vAlign w:val="center"/>
          </w:tcPr>
          <w:p>
            <w:pPr>
              <w:jc w:val="center"/>
            </w:pPr>
            <w:r>
              <w:rPr>
                <w:color w:val="000000"/>
                <w:sz w:val="24"/>
                <w:szCs w:val="24"/>
              </w:rPr>
              <w:t>10年</w:t>
            </w:r>
          </w:p>
        </w:tc>
        <w:tc>
          <w:tcPr>
            <w:vAlign w:val="center"/>
          </w:tcPr>
          <w:p>
            <w:pPr>
              <w:jc w:val="both"/>
            </w:pPr>
            <w:r>
              <w:rPr>
                <w:color w:val="000000"/>
                <w:sz w:val="24"/>
                <w:szCs w:val="24"/>
              </w:rPr>
              <w:t>唐赟先生，香港城市大学电子工程硕士。历任渣打银行环球企业部助理客户经理、平安资产管理公司信用分析员。2012年加入交银施罗德基金管理有限公司，历任固定收益研究员、基金经理助理。2015年11月7日至2018年6月1日担任转型前的交银施罗德荣和保本混合型证券投资基金的基金经理。2017年3月31日至2019年10月23日担任交银施罗德裕通纯债债券型证券投资基金的基金经理。2018年6月2日至2019年12月13日担任交银施罗德安心收益债券型证券投资基金的基金经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本公司制定了严格的投资控制制度和公平交易监控制度来保证旗下基金运作的公平，旗下所管理的所有资产组合，包括证券投资基金和私募资产管理计划均严格遵循制度进行公平交易。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价格优先、时间优先”的原则，全部通过交易系统进行比例分配；对于非集中竞价交易、以公司名义进行的场外交易，遵循公平交易分配原则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2020年四季度债券市场总体呈现出收益率先上后下的震荡行情。进入十月后，央行重提总闸门引发货币政策进一步收紧的预期，收益率小幅震荡上行。十一月上旬，部分信用债超预期违约事件爆发，引起市场对于弱资质国企信用风险的一致担忧，信用债和利率债均经历了一波大幅下跌。当月下旬开始到年底，随着金稳委出面强调坚决打击逃废债行为，央行配合超预期投放流动性，加上经济工作会议表态不会出现政策“急转弯”，债券市场在配置和交易力量的共同带动下，收益率转而下行，市场情绪明显缓和。</w:t>
      </w:r>
    </w:p>
    <w:p>
      <w:pPr>
        <w:spacing w:before="29" w:line="288" w:lineRule="auto"/>
        <w:ind w:firstLine="480" w:firstLineChars="200"/>
        <w:rPr>
          <w:color w:val="000000"/>
          <w:sz w:val="24"/>
          <w:szCs w:val="24"/>
        </w:rPr>
      </w:pPr>
      <w:r>
        <w:rPr>
          <w:color w:val="000000"/>
          <w:sz w:val="24"/>
          <w:szCs w:val="24"/>
        </w:rPr>
        <w:t>报告期内，我们前期基本维持组合的杠杆和久期水平，板块上保持侧重于中短久期中等评级城投债品种的配置方向，信用债违约事件发生之后，我们降低了偏低等级债券的占比，同时提升了高等级债券占比，提高持仓个券的流动性以保持组合的灵活度。</w:t>
      </w:r>
    </w:p>
    <w:p>
      <w:pPr>
        <w:spacing w:before="29" w:line="288" w:lineRule="auto"/>
        <w:ind w:firstLine="480" w:firstLineChars="200"/>
        <w:rPr>
          <w:color w:val="000000"/>
          <w:sz w:val="24"/>
          <w:szCs w:val="24"/>
        </w:rPr>
      </w:pPr>
      <w:r>
        <w:rPr>
          <w:color w:val="000000"/>
          <w:sz w:val="24"/>
          <w:szCs w:val="24"/>
        </w:rPr>
        <w:t>展望2021年一季度，经济增长动能将从疫情后以基建、地产等逆周期因素拉动，继续逐步切换到以消费、制造业为支柱的顺周期方向，同时出口受到疫苗接种和海外复苏影响，韧性相对较强，预计2021年的经济运行将回归正常轨道。节奏上，环比增长预计先稳后弱，下半年增长压力或将大于上半年。宏观政策方面，在稳定宏观杠杆率和政策不急转弯的大环境下，2021年或呈现信用环境边际收紧、货币条件先紧后松、通胀趋势先上后稳的格局。对于债券市场，我们认为明年整体机会大于风险。节奏上，预计在二季度前后，经济环比增长动力将边际趋弱，届时债券市场的趋势性配置价值或将显现。同时，2021年信用环境边际收缩、叠加信用债到期压力较大，预计低等级信用债券的信用利差存在持续走扩压力。</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组合策略方面，我们计划维持中性的杠杆水平，严格控制组合久期风险。在信用债的操作上，将严格控制信用风险，规避短期债务到期压力较大、再融资不畅的弱资质国企，以及非标融资占比较高、债券负担较重的城投平台。同时，保持对长端利率的波段交易机会的关注，寻找合适的介入时机，以期提升组合收益表现。</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3,575,386,327.60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97.58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3,515,323,327.60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95.94</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60,063,000.00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1.64</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16,526,962.43</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0.45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72,063,490.94</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1.97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3,663,976,780.97</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本基金本报告期末未持有股票。</w:t>
      </w:r>
    </w:p>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本基金本报告期末未持有股票。</w:t>
      </w:r>
    </w:p>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250,924,000.00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7.83</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169,896,000.00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5.30</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637,396,500.00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19.90</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389,986,000.00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12.17</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2,235,319,000.00</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69.77</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1,697,827.60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0.05</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3,515,323,327.60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109.73</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102000710</w:t>
            </w:r>
          </w:p>
        </w:tc>
        <w:tc>
          <w:tcPr>
            <w:vAlign w:val="center"/>
          </w:tcPr>
          <w:p>
            <w:pPr>
              <w:jc w:val="center"/>
            </w:pPr>
            <w:r>
              <w:rPr>
                <w:color w:val="000000"/>
                <w:sz w:val="24"/>
                <w:szCs w:val="24"/>
              </w:rPr>
              <w:t>20南京浦口MTN002</w:t>
            </w:r>
          </w:p>
        </w:tc>
        <w:tc>
          <w:tcPr>
            <w:vAlign w:val="center"/>
          </w:tcPr>
          <w:p>
            <w:pPr>
              <w:jc w:val="right"/>
            </w:pPr>
            <w:r>
              <w:rPr>
                <w:color w:val="000000"/>
                <w:sz w:val="24"/>
                <w:szCs w:val="24"/>
              </w:rPr>
              <w:t>700,000</w:t>
            </w:r>
          </w:p>
        </w:tc>
        <w:tc>
          <w:tcPr>
            <w:vAlign w:val="center"/>
          </w:tcPr>
          <w:p>
            <w:pPr>
              <w:jc w:val="right"/>
            </w:pPr>
            <w:r>
              <w:rPr>
                <w:color w:val="000000"/>
                <w:sz w:val="24"/>
                <w:szCs w:val="24"/>
              </w:rPr>
              <w:t>68,831,000.00</w:t>
            </w:r>
          </w:p>
        </w:tc>
        <w:tc>
          <w:tcPr>
            <w:vAlign w:val="center"/>
          </w:tcPr>
          <w:p>
            <w:pPr>
              <w:jc w:val="right"/>
            </w:pPr>
            <w:r>
              <w:rPr>
                <w:color w:val="000000"/>
                <w:sz w:val="24"/>
                <w:szCs w:val="24"/>
              </w:rPr>
              <w:t>2.15</w:t>
            </w:r>
          </w:p>
        </w:tc>
      </w:tr>
      <w:tr>
        <w:tc>
          <w:tcPr>
            <w:vAlign w:val="center"/>
          </w:tcPr>
          <w:p>
            <w:pPr>
              <w:jc w:val="center"/>
            </w:pPr>
            <w:r>
              <w:rPr>
                <w:color w:val="000000"/>
                <w:sz w:val="24"/>
                <w:szCs w:val="24"/>
              </w:rPr>
              <w:t>2</w:t>
            </w:r>
          </w:p>
        </w:tc>
        <w:tc>
          <w:tcPr>
            <w:vAlign w:val="center"/>
          </w:tcPr>
          <w:p>
            <w:pPr>
              <w:jc w:val="center"/>
            </w:pPr>
            <w:r>
              <w:rPr>
                <w:color w:val="000000"/>
                <w:sz w:val="24"/>
                <w:szCs w:val="24"/>
              </w:rPr>
              <w:t>1728022</w:t>
            </w:r>
          </w:p>
        </w:tc>
        <w:tc>
          <w:tcPr>
            <w:vAlign w:val="center"/>
          </w:tcPr>
          <w:p>
            <w:pPr>
              <w:jc w:val="center"/>
            </w:pPr>
            <w:r>
              <w:rPr>
                <w:color w:val="000000"/>
                <w:sz w:val="24"/>
                <w:szCs w:val="24"/>
              </w:rPr>
              <w:t>17工商银行二级02</w:t>
            </w:r>
          </w:p>
        </w:tc>
        <w:tc>
          <w:tcPr>
            <w:vAlign w:val="center"/>
          </w:tcPr>
          <w:p>
            <w:pPr>
              <w:jc w:val="right"/>
            </w:pPr>
            <w:r>
              <w:rPr>
                <w:color w:val="000000"/>
                <w:sz w:val="24"/>
                <w:szCs w:val="24"/>
              </w:rPr>
              <w:t>600,000</w:t>
            </w:r>
          </w:p>
        </w:tc>
        <w:tc>
          <w:tcPr>
            <w:vAlign w:val="center"/>
          </w:tcPr>
          <w:p>
            <w:pPr>
              <w:jc w:val="right"/>
            </w:pPr>
            <w:r>
              <w:rPr>
                <w:color w:val="000000"/>
                <w:sz w:val="24"/>
                <w:szCs w:val="24"/>
              </w:rPr>
              <w:t>60,852,000.00</w:t>
            </w:r>
          </w:p>
        </w:tc>
        <w:tc>
          <w:tcPr>
            <w:vAlign w:val="center"/>
          </w:tcPr>
          <w:p>
            <w:pPr>
              <w:jc w:val="right"/>
            </w:pPr>
            <w:r>
              <w:rPr>
                <w:color w:val="000000"/>
                <w:sz w:val="24"/>
                <w:szCs w:val="24"/>
              </w:rPr>
              <w:t>1.90</w:t>
            </w:r>
          </w:p>
        </w:tc>
      </w:tr>
      <w:tr>
        <w:tc>
          <w:tcPr>
            <w:vAlign w:val="center"/>
          </w:tcPr>
          <w:p>
            <w:pPr>
              <w:jc w:val="center"/>
            </w:pPr>
            <w:r>
              <w:rPr>
                <w:color w:val="000000"/>
                <w:sz w:val="24"/>
                <w:szCs w:val="24"/>
              </w:rPr>
              <w:t>3</w:t>
            </w:r>
          </w:p>
        </w:tc>
        <w:tc>
          <w:tcPr>
            <w:vAlign w:val="center"/>
          </w:tcPr>
          <w:p>
            <w:pPr>
              <w:jc w:val="center"/>
            </w:pPr>
            <w:r>
              <w:rPr>
                <w:color w:val="000000"/>
                <w:sz w:val="24"/>
                <w:szCs w:val="24"/>
              </w:rPr>
              <w:t>200216</w:t>
            </w:r>
          </w:p>
        </w:tc>
        <w:tc>
          <w:tcPr>
            <w:vAlign w:val="center"/>
          </w:tcPr>
          <w:p>
            <w:pPr>
              <w:jc w:val="center"/>
            </w:pPr>
            <w:r>
              <w:rPr>
                <w:color w:val="000000"/>
                <w:sz w:val="24"/>
                <w:szCs w:val="24"/>
              </w:rPr>
              <w:t>20国开16</w:t>
            </w:r>
          </w:p>
        </w:tc>
        <w:tc>
          <w:tcPr>
            <w:vAlign w:val="center"/>
          </w:tcPr>
          <w:p>
            <w:pPr>
              <w:jc w:val="right"/>
            </w:pPr>
            <w:r>
              <w:rPr>
                <w:color w:val="000000"/>
                <w:sz w:val="24"/>
                <w:szCs w:val="24"/>
              </w:rPr>
              <w:t>600,000</w:t>
            </w:r>
          </w:p>
        </w:tc>
        <w:tc>
          <w:tcPr>
            <w:vAlign w:val="center"/>
          </w:tcPr>
          <w:p>
            <w:pPr>
              <w:jc w:val="right"/>
            </w:pPr>
            <w:r>
              <w:rPr>
                <w:color w:val="000000"/>
                <w:sz w:val="24"/>
                <w:szCs w:val="24"/>
              </w:rPr>
              <w:t>60,102,000.00</w:t>
            </w:r>
          </w:p>
        </w:tc>
        <w:tc>
          <w:tcPr>
            <w:vAlign w:val="center"/>
          </w:tcPr>
          <w:p>
            <w:pPr>
              <w:jc w:val="right"/>
            </w:pPr>
            <w:r>
              <w:rPr>
                <w:color w:val="000000"/>
                <w:sz w:val="24"/>
                <w:szCs w:val="24"/>
              </w:rPr>
              <w:t>1.88</w:t>
            </w:r>
          </w:p>
        </w:tc>
      </w:tr>
      <w:tr>
        <w:tc>
          <w:tcPr>
            <w:vAlign w:val="center"/>
          </w:tcPr>
          <w:p>
            <w:pPr>
              <w:jc w:val="center"/>
            </w:pPr>
            <w:r>
              <w:rPr>
                <w:color w:val="000000"/>
                <w:sz w:val="24"/>
                <w:szCs w:val="24"/>
              </w:rPr>
              <w:t>4</w:t>
            </w:r>
          </w:p>
        </w:tc>
        <w:tc>
          <w:tcPr>
            <w:vAlign w:val="center"/>
          </w:tcPr>
          <w:p>
            <w:pPr>
              <w:jc w:val="center"/>
            </w:pPr>
            <w:r>
              <w:rPr>
                <w:color w:val="000000"/>
                <w:sz w:val="24"/>
                <w:szCs w:val="24"/>
              </w:rPr>
              <w:t>127418</w:t>
            </w:r>
          </w:p>
        </w:tc>
        <w:tc>
          <w:tcPr>
            <w:vAlign w:val="center"/>
          </w:tcPr>
          <w:p>
            <w:pPr>
              <w:jc w:val="center"/>
            </w:pPr>
            <w:r>
              <w:rPr>
                <w:color w:val="000000"/>
                <w:sz w:val="24"/>
                <w:szCs w:val="24"/>
              </w:rPr>
              <w:t>PR启交通</w:t>
            </w:r>
          </w:p>
        </w:tc>
        <w:tc>
          <w:tcPr>
            <w:vAlign w:val="center"/>
          </w:tcPr>
          <w:p>
            <w:pPr>
              <w:jc w:val="right"/>
            </w:pPr>
            <w:r>
              <w:rPr>
                <w:color w:val="000000"/>
                <w:sz w:val="24"/>
                <w:szCs w:val="24"/>
              </w:rPr>
              <w:t>1,000,000</w:t>
            </w:r>
          </w:p>
        </w:tc>
        <w:tc>
          <w:tcPr>
            <w:vAlign w:val="center"/>
          </w:tcPr>
          <w:p>
            <w:pPr>
              <w:jc w:val="right"/>
            </w:pPr>
            <w:r>
              <w:rPr>
                <w:color w:val="000000"/>
                <w:sz w:val="24"/>
                <w:szCs w:val="24"/>
              </w:rPr>
              <w:t>59,960,000.00</w:t>
            </w:r>
          </w:p>
        </w:tc>
        <w:tc>
          <w:tcPr>
            <w:vAlign w:val="center"/>
          </w:tcPr>
          <w:p>
            <w:pPr>
              <w:jc w:val="right"/>
            </w:pPr>
            <w:r>
              <w:rPr>
                <w:color w:val="000000"/>
                <w:sz w:val="24"/>
                <w:szCs w:val="24"/>
              </w:rPr>
              <w:t>1.87</w:t>
            </w:r>
          </w:p>
        </w:tc>
      </w:tr>
      <w:tr>
        <w:tc>
          <w:tcPr>
            <w:vAlign w:val="center"/>
          </w:tcPr>
          <w:p>
            <w:pPr>
              <w:jc w:val="center"/>
            </w:pPr>
            <w:r>
              <w:rPr>
                <w:color w:val="000000"/>
                <w:sz w:val="24"/>
                <w:szCs w:val="24"/>
              </w:rPr>
              <w:t>5</w:t>
            </w:r>
          </w:p>
        </w:tc>
        <w:tc>
          <w:tcPr>
            <w:vAlign w:val="center"/>
          </w:tcPr>
          <w:p>
            <w:pPr>
              <w:jc w:val="center"/>
            </w:pPr>
            <w:r>
              <w:rPr>
                <w:color w:val="000000"/>
                <w:sz w:val="24"/>
                <w:szCs w:val="24"/>
              </w:rPr>
              <w:t>200308</w:t>
            </w:r>
          </w:p>
        </w:tc>
        <w:tc>
          <w:tcPr>
            <w:vAlign w:val="center"/>
          </w:tcPr>
          <w:p>
            <w:pPr>
              <w:jc w:val="center"/>
            </w:pPr>
            <w:r>
              <w:rPr>
                <w:color w:val="000000"/>
                <w:sz w:val="24"/>
                <w:szCs w:val="24"/>
              </w:rPr>
              <w:t>20进出08</w:t>
            </w:r>
          </w:p>
        </w:tc>
        <w:tc>
          <w:tcPr>
            <w:vAlign w:val="center"/>
          </w:tcPr>
          <w:p>
            <w:pPr>
              <w:jc w:val="right"/>
            </w:pPr>
            <w:r>
              <w:rPr>
                <w:color w:val="000000"/>
                <w:sz w:val="24"/>
                <w:szCs w:val="24"/>
              </w:rPr>
              <w:t>600,000</w:t>
            </w:r>
          </w:p>
        </w:tc>
        <w:tc>
          <w:tcPr>
            <w:vAlign w:val="center"/>
          </w:tcPr>
          <w:p>
            <w:pPr>
              <w:jc w:val="right"/>
            </w:pPr>
            <w:r>
              <w:rPr>
                <w:color w:val="000000"/>
                <w:sz w:val="24"/>
                <w:szCs w:val="24"/>
              </w:rPr>
              <w:t>59,910,000.00</w:t>
            </w:r>
          </w:p>
        </w:tc>
        <w:tc>
          <w:tcPr>
            <w:vAlign w:val="center"/>
          </w:tcPr>
          <w:p>
            <w:pPr>
              <w:jc w:val="right"/>
            </w:pPr>
            <w:r>
              <w:rPr>
                <w:color w:val="000000"/>
                <w:sz w:val="24"/>
                <w:szCs w:val="24"/>
              </w:rPr>
              <w:t>1.87</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D03EB3" w:rsidR="00D03EB3" w:rsidRDefault="00D03EB3" w:rsidRPr="00D03EB3">
      <w:pPr>
        <w:autoSpaceDE w:val="0"/>
        <w:autoSpaceDN w:val="0"/>
        <w:adjustRightInd w:val="0"/>
        <w:spacing w:before="29" w:line="288" w:lineRule="auto"/>
        <w:jc w:val="right"/>
        <w:rPr>
          <w:bCs/>
          <w:color w:val="000000"/>
          <w:kern w:val="0"/>
          <w:sz w:val="24"/>
          <w:szCs w:val="24"/>
        </w:rPr>
      </w:pPr>
      <w:r w:rsidRPr="00D03EB3">
        <w:rPr>
          <w:rFonts w:hint="eastAsia"/>
          <w:bCs/>
          <w:color w:val="000000"/>
          <w:kern w:val="0"/>
          <w:sz w:val="24"/>
          <w:szCs w:val="24"/>
        </w:rPr>
        <w:t/>
      </w:r>
      <w:r w:rsidRPr="00D03EB3">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1295"/>
        <w:gridCol w:w="1339"/>
        <w:gridCol w:w="1322"/>
        <w:gridCol w:w="1567"/>
        <w:gridCol w:w="1660"/>
        <w:gridCol w:w="1685"/>
      </w:tblGrid>
      <w:tr w:rsidR="00D57B7C" w:rsidRPr="00414345" w:rsidTr="00A324F4">
        <w:trPr>
          <w:jc w:val="center"/>
        </w:trPr>
        <w:tc>
          <w:tcPr>
            <w:tcW w:type="dxa" w:w="1246"/>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28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证券代码</w:t>
            </w:r>
          </w:p>
        </w:tc>
        <w:tc>
          <w:tcPr>
            <w:tcW w:type="dxa" w:w="127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证券名称</w:t>
            </w:r>
          </w:p>
        </w:tc>
        <w:tc>
          <w:tcPr>
            <w:tcW w:type="dxa" w:w="1507"/>
            <w:vAlign w:val="center"/>
          </w:tcPr>
          <w:p w:rsidP="00C15CAC" w:rsidR="00D03EB3" w:rsidRDefault="003E62FB">
            <w:pPr>
              <w:spacing w:before="29" w:line="288" w:lineRule="auto"/>
              <w:ind w:left="17"/>
              <w:jc w:val="center"/>
              <w:rPr>
                <w:color w:val="000000"/>
                <w:sz w:val="24"/>
                <w:szCs w:val="24"/>
              </w:rPr>
            </w:pPr>
            <w:r w:rsidRPr="00414345">
              <w:rPr>
                <w:color w:val="000000"/>
                <w:sz w:val="24"/>
                <w:szCs w:val="24"/>
              </w:rPr>
              <w:t>数量</w:t>
            </w:r>
          </w:p>
          <w:p w:rsidP="00C15CAC" w:rsidR="003E62FB" w:rsidRDefault="00D57B7C" w:rsidRPr="00414345">
            <w:pPr>
              <w:spacing w:before="29" w:line="288" w:lineRule="auto"/>
              <w:ind w:left="17"/>
              <w:jc w:val="center"/>
              <w:rPr>
                <w:color w:val="000000"/>
                <w:sz w:val="24"/>
                <w:szCs w:val="24"/>
              </w:rPr>
            </w:pPr>
            <w:r w:rsidRPr="00414345">
              <w:rPr>
                <w:color w:val="000000"/>
                <w:sz w:val="24"/>
                <w:szCs w:val="24"/>
              </w:rPr>
              <w:t>(</w:t>
            </w:r>
            <w:r w:rsidR="003E62FB" w:rsidRPr="00414345">
              <w:rPr>
                <w:color w:val="000000"/>
                <w:sz w:val="24"/>
                <w:szCs w:val="24"/>
              </w:rPr>
              <w:t>份</w:t>
            </w:r>
            <w:r w:rsidRPr="00414345">
              <w:rPr>
                <w:color w:val="000000"/>
                <w:sz w:val="24"/>
                <w:szCs w:val="24"/>
              </w:rPr>
              <w:t>)</w:t>
            </w:r>
          </w:p>
        </w:tc>
        <w:tc>
          <w:tcPr>
            <w:tcW w:type="dxa" w:w="1596"/>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2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D57B7C" w:rsidRPr="00414345">
              <w:rPr>
                <w:color w:val="000000"/>
                <w:sz w:val="24"/>
                <w:szCs w:val="24"/>
              </w:rPr>
              <w:t>(</w:t>
            </w:r>
            <w:r w:rsidRPr="00414345">
              <w:rPr>
                <w:color w:val="000000"/>
                <w:sz w:val="24"/>
                <w:szCs w:val="24"/>
              </w:rPr>
              <w:t>％</w:t>
            </w:r>
            <w:r w:rsidR="00D57B7C" w:rsidRPr="00414345">
              <w:rPr>
                <w:color w:val="000000"/>
                <w:sz w:val="24"/>
                <w:szCs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169422</w:t>
            </w:r>
          </w:p>
        </w:tc>
        <w:tc>
          <w:tcPr>
            <w:vAlign w:val="center"/>
          </w:tcPr>
          <w:p>
            <w:pPr>
              <w:jc w:val="center"/>
            </w:pPr>
            <w:r>
              <w:rPr>
                <w:color w:val="000000"/>
                <w:sz w:val="24"/>
                <w:szCs w:val="24"/>
              </w:rPr>
              <w:t>霄驰01A</w:t>
            </w:r>
          </w:p>
        </w:tc>
        <w:tc>
          <w:tcPr>
            <w:vAlign w:val="center"/>
          </w:tcPr>
          <w:p>
            <w:pPr>
              <w:jc w:val="right"/>
            </w:pPr>
            <w:r>
              <w:rPr>
                <w:color w:val="000000"/>
                <w:sz w:val="24"/>
                <w:szCs w:val="24"/>
              </w:rPr>
              <w:t>300,000</w:t>
            </w:r>
          </w:p>
        </w:tc>
        <w:tc>
          <w:tcPr>
            <w:vAlign w:val="center"/>
          </w:tcPr>
          <w:p>
            <w:pPr>
              <w:jc w:val="right"/>
            </w:pPr>
            <w:r>
              <w:rPr>
                <w:color w:val="000000"/>
                <w:sz w:val="24"/>
                <w:szCs w:val="24"/>
              </w:rPr>
              <w:t>30,036,000.00</w:t>
            </w:r>
          </w:p>
        </w:tc>
        <w:tc>
          <w:tcPr>
            <w:vAlign w:val="center"/>
          </w:tcPr>
          <w:p>
            <w:pPr>
              <w:jc w:val="right"/>
            </w:pPr>
            <w:r>
              <w:rPr>
                <w:color w:val="000000"/>
                <w:sz w:val="24"/>
                <w:szCs w:val="24"/>
              </w:rPr>
              <w:t>0.94</w:t>
            </w:r>
          </w:p>
        </w:tc>
      </w:tr>
      <w:tr>
        <w:tc>
          <w:tcPr>
            <w:vAlign w:val="center"/>
          </w:tcPr>
          <w:p>
            <w:pPr>
              <w:jc w:val="center"/>
            </w:pPr>
            <w:r>
              <w:rPr>
                <w:color w:val="000000"/>
                <w:sz w:val="24"/>
                <w:szCs w:val="24"/>
              </w:rPr>
              <w:t>2</w:t>
            </w:r>
          </w:p>
        </w:tc>
        <w:tc>
          <w:tcPr>
            <w:vAlign w:val="center"/>
          </w:tcPr>
          <w:p>
            <w:pPr>
              <w:jc w:val="center"/>
            </w:pPr>
            <w:r>
              <w:rPr>
                <w:color w:val="000000"/>
                <w:sz w:val="24"/>
                <w:szCs w:val="24"/>
              </w:rPr>
              <w:t>169525</w:t>
            </w:r>
          </w:p>
        </w:tc>
        <w:tc>
          <w:tcPr>
            <w:vAlign w:val="center"/>
          </w:tcPr>
          <w:p>
            <w:pPr>
              <w:jc w:val="center"/>
            </w:pPr>
            <w:r>
              <w:rPr>
                <w:color w:val="000000"/>
                <w:sz w:val="24"/>
                <w:szCs w:val="24"/>
              </w:rPr>
              <w:t>兴辰03A</w:t>
            </w:r>
          </w:p>
        </w:tc>
        <w:tc>
          <w:tcPr>
            <w:vAlign w:val="center"/>
          </w:tcPr>
          <w:p>
            <w:pPr>
              <w:jc w:val="right"/>
            </w:pPr>
            <w:r>
              <w:rPr>
                <w:color w:val="000000"/>
                <w:sz w:val="24"/>
                <w:szCs w:val="24"/>
              </w:rPr>
              <w:t>300,000</w:t>
            </w:r>
          </w:p>
        </w:tc>
        <w:tc>
          <w:tcPr>
            <w:vAlign w:val="center"/>
          </w:tcPr>
          <w:p>
            <w:pPr>
              <w:jc w:val="right"/>
            </w:pPr>
            <w:r>
              <w:rPr>
                <w:color w:val="000000"/>
                <w:sz w:val="24"/>
                <w:szCs w:val="24"/>
              </w:rPr>
              <w:t>30,027,000.00</w:t>
            </w:r>
          </w:p>
        </w:tc>
        <w:tc>
          <w:tcPr>
            <w:vAlign w:val="center"/>
          </w:tcPr>
          <w:p>
            <w:pPr>
              <w:jc w:val="right"/>
            </w:pPr>
            <w:r>
              <w:rPr>
                <w:color w:val="000000"/>
                <w:sz w:val="24"/>
                <w:szCs w:val="24"/>
              </w:rPr>
              <w:t>0.94</w:t>
            </w:r>
          </w:p>
        </w:tc>
      </w:tr>
    </w:tbl>
    <w:p w:rsidP="00C15CAC" w:rsidR="00A54C7D" w:rsidRDefault="00A54C7D" w:rsidRPr="00414345">
      <w:pPr>
        <w:autoSpaceDE w:val="0"/>
        <w:autoSpaceDN w:val="0"/>
        <w:adjustRightInd w:val="0"/>
        <w:spacing w:before="29" w:line="288" w:lineRule="auto"/>
        <w:jc w:val="left"/>
        <w:rPr>
          <w:color w:val="000000"/>
          <w:sz w:val="24"/>
          <w:szCs w:val="24"/>
        </w:rPr>
      </w:pP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34FB5">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P="00E40D31" w:rsidR="00BE5388" w:rsidRDefault="00BE5388" w:rsidRPr="00AA3969">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bookmarkStart w:id="2" w:name="_GoBack"/>
      <w:r w:rsidRPr="00AA3969">
        <w:rPr>
          <w:bCs/>
          <w:color w:val="000000"/>
          <w:kern w:val="0"/>
          <w:sz w:val="24"/>
          <w:szCs w:val="24"/>
        </w:rPr>
        <w:t>本基金投资的前十名股票中，没有超出基金合同规定的备选股票库之外的股票。</w:t>
      </w:r>
    </w:p>
    <w:bookmarkEnd w:id="2"/>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14,157.02</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64,112,107.85</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7,937,226.07</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72,063,490.94</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173B44" w:rsidR="00173B44" w:rsidRDefault="00173B44" w:rsidRPr="00414345">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
      </w:r>
      <w:r w:rsidRPr="00173B44">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1883"/>
        <w:gridCol w:w="1801"/>
        <w:gridCol w:w="1727"/>
        <w:gridCol w:w="1768"/>
        <w:gridCol w:w="1689"/>
      </w:tblGrid>
      <w:tr w:rsidR="003E62FB" w:rsidRPr="00414345" w:rsidTr="00A324F4">
        <w:trPr>
          <w:jc w:val="center"/>
        </w:trPr>
        <w:tc>
          <w:tcPr>
            <w:tcW w:type="dxa" w:w="180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729"/>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65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69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62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9D1BD9">
              <w:rPr>
                <w:rFonts w:hint="eastAsia"/>
                <w:color w:val="000000"/>
                <w:sz w:val="24"/>
                <w:szCs w:val="24"/>
              </w:rPr>
              <w:t>(</w:t>
            </w:r>
            <w:r w:rsidR="009D1BD9">
              <w:rPr>
                <w:color w:val="000000"/>
                <w:sz w:val="24"/>
                <w:szCs w:val="24"/>
              </w:rPr>
              <w:t>%</w:t>
            </w:r>
            <w:r w:rsidR="009D1BD9">
              <w:rPr>
                <w:rFonts w:hint="eastAsia"/>
                <w:color w:val="000000"/>
                <w:sz w:val="24"/>
                <w:szCs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123055</w:t>
            </w:r>
          </w:p>
        </w:tc>
        <w:tc>
          <w:tcPr>
            <w:vAlign w:val="center"/>
          </w:tcPr>
          <w:p>
            <w:pPr>
              <w:jc w:val="center"/>
            </w:pPr>
            <w:r>
              <w:rPr>
                <w:color w:val="000000"/>
                <w:sz w:val="24"/>
                <w:szCs w:val="24"/>
              </w:rPr>
              <w:t>晨光转债</w:t>
            </w:r>
          </w:p>
        </w:tc>
        <w:tc>
          <w:tcPr>
            <w:vAlign w:val="center"/>
          </w:tcPr>
          <w:p>
            <w:pPr>
              <w:jc w:val="right"/>
            </w:pPr>
            <w:r>
              <w:rPr>
                <w:color w:val="000000"/>
                <w:sz w:val="24"/>
                <w:szCs w:val="24"/>
              </w:rPr>
              <w:t>1,555.80</w:t>
            </w:r>
          </w:p>
        </w:tc>
        <w:tc>
          <w:tcPr>
            <w:vAlign w:val="center"/>
          </w:tcPr>
          <w:p>
            <w:pPr>
              <w:jc w:val="right"/>
            </w:pPr>
            <w:r>
              <w:rPr>
                <w:color w:val="000000"/>
                <w:sz w:val="24"/>
                <w:szCs w:val="24"/>
              </w:rPr>
              <w:t>0.00</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本基金本报告期末未持有股票。</w:t>
      </w:r>
    </w:p>
    <w:p w:rsidP="00C15CAC" w:rsidR="004061AC" w:rsidRDefault="00D02347"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3,061,980,974.20</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353,903,750.74</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673,639,755.48</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2,742,244,969.46</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1、中国证监会核准交银施罗德信用添利债券证券投资基金募集的文件； </w:t>
      </w:r>
    </w:p>
    <w:p>
      <w:pPr>
        <w:spacing w:before="29" w:line="288" w:lineRule="auto"/>
        <w:ind w:firstLine="480" w:firstLineChars="200"/>
        <w:rPr>
          <w:color w:val="000000"/>
          <w:sz w:val="24"/>
          <w:szCs w:val="24"/>
        </w:rPr>
      </w:pPr>
      <w:r>
        <w:rPr>
          <w:color w:val="000000"/>
          <w:sz w:val="24"/>
          <w:szCs w:val="24"/>
        </w:rPr>
        <w:t>2、《交银施罗德信用添利债券证券投资基金基金合同》；</w:t>
      </w:r>
    </w:p>
    <w:p>
      <w:pPr>
        <w:spacing w:before="29" w:line="288" w:lineRule="auto"/>
        <w:ind w:firstLine="480" w:firstLineChars="200"/>
        <w:rPr>
          <w:color w:val="000000"/>
          <w:sz w:val="24"/>
          <w:szCs w:val="24"/>
        </w:rPr>
      </w:pPr>
      <w:r>
        <w:rPr>
          <w:color w:val="000000"/>
          <w:sz w:val="24"/>
          <w:szCs w:val="24"/>
        </w:rPr>
        <w:t xml:space="preserve">3、《交银施罗德信用添利债券证券投资基金招募说明书》； </w:t>
      </w:r>
    </w:p>
    <w:p>
      <w:pPr>
        <w:spacing w:before="29" w:line="288" w:lineRule="auto"/>
        <w:ind w:firstLine="480" w:firstLineChars="200"/>
        <w:rPr>
          <w:color w:val="000000"/>
          <w:sz w:val="24"/>
          <w:szCs w:val="24"/>
        </w:rPr>
      </w:pPr>
      <w:r>
        <w:rPr>
          <w:color w:val="000000"/>
          <w:sz w:val="24"/>
          <w:szCs w:val="24"/>
        </w:rPr>
        <w:t xml:space="preserve">4、《交银施罗德信用添利债券证券投资基金托管协议》； </w:t>
      </w:r>
    </w:p>
    <w:p>
      <w:pPr>
        <w:spacing w:before="29" w:line="288" w:lineRule="auto"/>
        <w:ind w:firstLine="480" w:firstLineChars="200"/>
        <w:rPr>
          <w:color w:val="000000"/>
          <w:sz w:val="24"/>
          <w:szCs w:val="24"/>
        </w:rPr>
      </w:pPr>
      <w:r>
        <w:rPr>
          <w:color w:val="000000"/>
          <w:sz w:val="24"/>
          <w:szCs w:val="24"/>
        </w:rPr>
        <w:t>5、基金管理人业务资格批件、营业执照；</w:t>
      </w:r>
    </w:p>
    <w:p>
      <w:pPr>
        <w:spacing w:before="29" w:line="288" w:lineRule="auto"/>
        <w:ind w:firstLine="480" w:firstLineChars="200"/>
        <w:rPr>
          <w:color w:val="000000"/>
          <w:sz w:val="24"/>
          <w:szCs w:val="24"/>
        </w:rPr>
      </w:pPr>
      <w:r>
        <w:rPr>
          <w:color w:val="000000"/>
          <w:sz w:val="24"/>
          <w:szCs w:val="24"/>
        </w:rPr>
        <w:t>6、基金托管人业务资格批件、营业执照；</w:t>
      </w:r>
    </w:p>
    <w:p>
      <w:pPr>
        <w:spacing w:before="29" w:line="288" w:lineRule="auto"/>
        <w:ind w:firstLine="480" w:firstLineChars="200"/>
        <w:rPr>
          <w:color w:val="000000"/>
          <w:sz w:val="24"/>
          <w:szCs w:val="24"/>
        </w:rPr>
      </w:pPr>
      <w:r>
        <w:rPr>
          <w:color w:val="000000"/>
          <w:sz w:val="24"/>
          <w:szCs w:val="24"/>
        </w:rPr>
        <w:t>7、关于申请募集交银施罗德信用添利债券证券投资基金之法律意见书；</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8、报告期内交银施罗德信用添利债券证券投资基金在指定报刊上各项公告的原稿。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C11AA1" w:rsidRDefault="00C11AA1">
      <w:r>
        <w:separator/>
      </w:r>
    </w:p>
  </w:footnote>
  <w:footnote w:id="0" w:type="continuationSeparator">
    <w:p w:rsidP="00876D65" w:rsidR="00C11AA1" w:rsidRDefault="00C11AA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交银施罗德信用添利债券证券投资基金（LOF）2020年第4季度报告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4F61-935D-4852-8DB9-16A24A12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2020-01-17T03:03:00Z</dcterms:modified>
  <cp:revision>600</cp:revision>
</cp:coreProperties>
</file>