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交银施罗德养老目标日期2035三年持有期混合型基金中基金（FOF）</w:t>
      </w:r>
    </w:p>
    <w:p w:rsidP="00C15CAC" w:rsidR="002279D3" w:rsidRDefault="002279D3" w:rsidRPr="0081286B">
      <w:pPr>
        <w:spacing w:before="29" w:line="288" w:lineRule="auto"/>
        <w:jc w:val="center"/>
        <w:rPr>
          <w:b/>
          <w:sz w:val="36"/>
          <w:szCs w:val="36"/>
        </w:rPr>
      </w:pPr>
      <w:r w:rsidRPr="0081286B">
        <w:rPr>
          <w:b/>
          <w:sz w:val="36"/>
          <w:szCs w:val="36"/>
        </w:rPr>
        <w:t>2020年第4季度报告</w:t>
      </w:r>
    </w:p>
    <w:p w:rsidP="00C15CAC" w:rsidR="004061AC" w:rsidRDefault="00655CD8" w:rsidRPr="0081286B">
      <w:pPr>
        <w:spacing w:before="29" w:line="288" w:lineRule="auto"/>
        <w:jc w:val="center"/>
        <w:rPr>
          <w:b/>
          <w:sz w:val="36"/>
          <w:szCs w:val="36"/>
        </w:rPr>
      </w:pPr>
      <w:r w:rsidRPr="0081286B">
        <w:rPr>
          <w:b/>
          <w:sz w:val="36"/>
          <w:szCs w:val="36"/>
        </w:rPr>
        <w:t>2020年12月31日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交银养老2035三年</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008697</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008697</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2020年4月29日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749,414,110.38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本基金为基金中基金，依照下滑曲线进行大类资产配置，力争实现养老资产的长期稳健增值，满足养老资金理财需求。</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采用目标日期策略来进行投资品种的大类资产配置。随着所设定目标日期2035年的临近，逐步降低权益类资产的配置比例，增加非权益类资产的配置比例。从追求资本增值逐步转变为追求当期收益，通过全方位的定量和定性分析方法精选出优质基金组成投资组合，以期达到效用最大化，实现基金资产的长期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沪深300指数收益率×X+中债综合全价指数收益率×（1-X）</w:t>
            </w:r>
          </w:p>
          <w:p>
            <w:pPr>
              <w:adjustRightInd w:val="0"/>
              <w:spacing w:before="29" w:line="288" w:lineRule="auto"/>
              <w:ind w:left="17"/>
              <w:jc w:val="left"/>
              <w:rPr>
                <w:color w:val="000000"/>
                <w:sz w:val="24"/>
                <w:szCs w:val="24"/>
              </w:rPr>
            </w:pPr>
            <w:r>
              <w:rPr>
                <w:color w:val="000000"/>
                <w:kern w:val="0"/>
                <w:sz w:val="24"/>
                <w:szCs w:val="24"/>
              </w:rPr>
              <w:t>其中X的取值如下表列示：</w:t>
            </w:r>
          </w:p>
          <w:p>
            <w:pPr>
              <w:adjustRightInd w:val="0"/>
              <w:spacing w:before="29" w:line="288" w:lineRule="auto"/>
              <w:ind w:left="17"/>
              <w:jc w:val="left"/>
              <w:rPr>
                <w:color w:val="000000"/>
                <w:sz w:val="24"/>
                <w:szCs w:val="24"/>
              </w:rPr>
            </w:pPr>
            <w:r>
              <w:rPr>
                <w:color w:val="000000"/>
                <w:kern w:val="0"/>
                <w:sz w:val="24"/>
                <w:szCs w:val="24"/>
              </w:rPr>
              <w:t>年份	                         X的取值</w:t>
            </w:r>
          </w:p>
          <w:p>
            <w:pPr>
              <w:adjustRightInd w:val="0"/>
              <w:spacing w:before="29" w:line="288" w:lineRule="auto"/>
              <w:ind w:left="17"/>
              <w:jc w:val="left"/>
              <w:rPr>
                <w:color w:val="000000"/>
                <w:sz w:val="24"/>
                <w:szCs w:val="24"/>
              </w:rPr>
            </w:pPr>
            <w:r>
              <w:rPr>
                <w:color w:val="000000"/>
                <w:kern w:val="0"/>
                <w:sz w:val="24"/>
                <w:szCs w:val="24"/>
              </w:rPr>
              <w:t>基金合同生效之日至2020.12.31 53%</w:t>
            </w:r>
          </w:p>
          <w:p>
            <w:pPr>
              <w:adjustRightInd w:val="0"/>
              <w:spacing w:before="29" w:line="288" w:lineRule="auto"/>
              <w:ind w:left="17"/>
              <w:jc w:val="left"/>
              <w:rPr>
                <w:color w:val="000000"/>
                <w:sz w:val="24"/>
                <w:szCs w:val="24"/>
              </w:rPr>
            </w:pPr>
            <w:r>
              <w:rPr>
                <w:color w:val="000000"/>
                <w:kern w:val="0"/>
                <w:sz w:val="24"/>
                <w:szCs w:val="24"/>
              </w:rPr>
              <w:t>2021.1.1-2023.12.31 	         46%</w:t>
            </w:r>
          </w:p>
          <w:p>
            <w:pPr>
              <w:adjustRightInd w:val="0"/>
              <w:spacing w:before="29" w:line="288" w:lineRule="auto"/>
              <w:ind w:left="17"/>
              <w:jc w:val="left"/>
              <w:rPr>
                <w:color w:val="000000"/>
                <w:sz w:val="24"/>
                <w:szCs w:val="24"/>
              </w:rPr>
            </w:pPr>
            <w:r>
              <w:rPr>
                <w:color w:val="000000"/>
                <w:kern w:val="0"/>
                <w:sz w:val="24"/>
                <w:szCs w:val="24"/>
              </w:rPr>
              <w:t>2024.1.1-2026.12.31	          39%</w:t>
            </w:r>
          </w:p>
          <w:p>
            <w:pPr>
              <w:adjustRightInd w:val="0"/>
              <w:spacing w:before="29" w:line="288" w:lineRule="auto"/>
              <w:ind w:left="17"/>
              <w:jc w:val="left"/>
              <w:rPr>
                <w:color w:val="000000"/>
                <w:sz w:val="24"/>
                <w:szCs w:val="24"/>
              </w:rPr>
            </w:pPr>
            <w:r>
              <w:rPr>
                <w:color w:val="000000"/>
                <w:kern w:val="0"/>
                <w:sz w:val="24"/>
                <w:szCs w:val="24"/>
              </w:rPr>
              <w:t>2027.1.1-2029.12.31	          35%</w:t>
            </w:r>
          </w:p>
          <w:p>
            <w:pPr>
              <w:adjustRightInd w:val="0"/>
              <w:spacing w:before="29" w:line="288" w:lineRule="auto"/>
              <w:ind w:left="17"/>
              <w:jc w:val="left"/>
              <w:rPr>
                <w:color w:val="000000"/>
                <w:sz w:val="24"/>
                <w:szCs w:val="24"/>
              </w:rPr>
            </w:pPr>
            <w:r>
              <w:rPr>
                <w:color w:val="000000"/>
                <w:kern w:val="0"/>
                <w:sz w:val="24"/>
                <w:szCs w:val="24"/>
              </w:rPr>
              <w:t>2030.1.1-2032.12.31	          32%</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2033.1.1-2035.12.31	          29%</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(2020年10月1日-2020年12月31日)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59,566,885.47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57,506,043.21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0.0796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952,972,365.68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1.2716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2、本期已实现收益指基金本期利息收入、投资收益、其他收入（不含公允价值变动收益）扣除相关费用后的余额，本期利润为本期已实现收益加上本期公允价值变动收益；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6.74%</w:t>
            </w:r>
          </w:p>
        </w:tc>
        <w:tc>
          <w:tcPr>
            <w:vAlign w:val="center"/>
          </w:tcPr>
          <w:p>
            <w:pPr>
              <w:jc w:val="center"/>
            </w:pPr>
            <w:r>
              <w:rPr>
                <w:color w:val="000000"/>
                <w:sz w:val="24"/>
                <w:szCs w:val="24"/>
              </w:rPr>
              <w:t>0.64%</w:t>
            </w:r>
          </w:p>
        </w:tc>
        <w:tc>
          <w:tcPr>
            <w:vAlign w:val="center"/>
          </w:tcPr>
          <w:p>
            <w:pPr>
              <w:jc w:val="center"/>
            </w:pPr>
            <w:r>
              <w:rPr>
                <w:color w:val="000000"/>
                <w:sz w:val="24"/>
                <w:szCs w:val="24"/>
              </w:rPr>
              <w:t>7.39%</w:t>
            </w:r>
          </w:p>
        </w:tc>
        <w:tc>
          <w:tcPr>
            <w:vAlign w:val="center"/>
          </w:tcPr>
          <w:p>
            <w:pPr>
              <w:jc w:val="center"/>
            </w:pPr>
            <w:r>
              <w:rPr>
                <w:color w:val="000000"/>
                <w:sz w:val="24"/>
                <w:szCs w:val="24"/>
              </w:rPr>
              <w:t>0.52%</w:t>
            </w:r>
          </w:p>
        </w:tc>
        <w:tc>
          <w:tcPr>
            <w:vAlign w:val="center"/>
          </w:tcPr>
          <w:p>
            <w:pPr>
              <w:jc w:val="center"/>
            </w:pPr>
            <w:r>
              <w:rPr>
                <w:color w:val="000000"/>
                <w:sz w:val="24"/>
                <w:szCs w:val="24"/>
              </w:rPr>
              <w:t>-0.65%</w:t>
            </w:r>
          </w:p>
        </w:tc>
        <w:tc>
          <w:tcPr>
            <w:vAlign w:val="center"/>
          </w:tcPr>
          <w:p>
            <w:pPr>
              <w:jc w:val="center"/>
            </w:pPr>
            <w:r>
              <w:rPr>
                <w:color w:val="000000"/>
                <w:sz w:val="24"/>
                <w:szCs w:val="24"/>
              </w:rPr>
              <w:t>0.12%</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20.14%</w:t>
            </w:r>
          </w:p>
        </w:tc>
        <w:tc>
          <w:tcPr>
            <w:vAlign w:val="center"/>
          </w:tcPr>
          <w:p>
            <w:pPr>
              <w:jc w:val="center"/>
            </w:pPr>
            <w:r>
              <w:rPr>
                <w:color w:val="000000"/>
                <w:sz w:val="24"/>
                <w:szCs w:val="24"/>
              </w:rPr>
              <w:t>0.77%</w:t>
            </w:r>
          </w:p>
        </w:tc>
        <w:tc>
          <w:tcPr>
            <w:vAlign w:val="center"/>
          </w:tcPr>
          <w:p>
            <w:pPr>
              <w:jc w:val="center"/>
            </w:pPr>
            <w:r>
              <w:rPr>
                <w:color w:val="000000"/>
                <w:sz w:val="24"/>
                <w:szCs w:val="24"/>
              </w:rPr>
              <w:t>12.51%</w:t>
            </w:r>
          </w:p>
        </w:tc>
        <w:tc>
          <w:tcPr>
            <w:vAlign w:val="center"/>
          </w:tcPr>
          <w:p>
            <w:pPr>
              <w:jc w:val="center"/>
            </w:pPr>
            <w:r>
              <w:rPr>
                <w:color w:val="000000"/>
                <w:sz w:val="24"/>
                <w:szCs w:val="24"/>
              </w:rPr>
              <w:t>0.70%</w:t>
            </w:r>
          </w:p>
        </w:tc>
        <w:tc>
          <w:tcPr>
            <w:vAlign w:val="center"/>
          </w:tcPr>
          <w:p>
            <w:pPr>
              <w:jc w:val="center"/>
            </w:pPr>
            <w:r>
              <w:rPr>
                <w:color w:val="000000"/>
                <w:sz w:val="24"/>
                <w:szCs w:val="24"/>
              </w:rPr>
              <w:t>7.63%</w:t>
            </w:r>
          </w:p>
        </w:tc>
        <w:tc>
          <w:tcPr>
            <w:vAlign w:val="center"/>
          </w:tcPr>
          <w:p>
            <w:pPr>
              <w:jc w:val="center"/>
            </w:pPr>
            <w:r>
              <w:rPr>
                <w:color w:val="000000"/>
                <w:sz w:val="24"/>
                <w:szCs w:val="24"/>
              </w:rPr>
              <w:t>0.07%</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27.16%</w:t>
            </w:r>
          </w:p>
        </w:tc>
        <w:tc>
          <w:tcPr>
            <w:vAlign w:val="center"/>
          </w:tcPr>
          <w:p>
            <w:pPr>
              <w:jc w:val="center"/>
            </w:pPr>
            <w:r>
              <w:rPr>
                <w:color w:val="000000"/>
                <w:sz w:val="24"/>
                <w:szCs w:val="24"/>
              </w:rPr>
              <w:t>0.70%</w:t>
            </w:r>
          </w:p>
        </w:tc>
        <w:tc>
          <w:tcPr>
            <w:vAlign w:val="center"/>
          </w:tcPr>
          <w:p>
            <w:pPr>
              <w:jc w:val="center"/>
            </w:pPr>
            <w:r>
              <w:rPr>
                <w:color w:val="000000"/>
                <w:sz w:val="24"/>
                <w:szCs w:val="24"/>
              </w:rPr>
              <w:t>16.25%</w:t>
            </w:r>
          </w:p>
        </w:tc>
        <w:tc>
          <w:tcPr>
            <w:vAlign w:val="center"/>
          </w:tcPr>
          <w:p>
            <w:pPr>
              <w:jc w:val="center"/>
            </w:pPr>
            <w:r>
              <w:rPr>
                <w:color w:val="000000"/>
                <w:sz w:val="24"/>
                <w:szCs w:val="24"/>
              </w:rPr>
              <w:t>0.65%</w:t>
            </w:r>
          </w:p>
        </w:tc>
        <w:tc>
          <w:tcPr>
            <w:vAlign w:val="center"/>
          </w:tcPr>
          <w:p>
            <w:pPr>
              <w:jc w:val="center"/>
            </w:pPr>
            <w:r>
              <w:rPr>
                <w:color w:val="000000"/>
                <w:sz w:val="24"/>
                <w:szCs w:val="24"/>
              </w:rPr>
              <w:t>10.91%</w:t>
            </w:r>
          </w:p>
        </w:tc>
        <w:tc>
          <w:tcPr>
            <w:vAlign w:val="center"/>
          </w:tcPr>
          <w:p>
            <w:pPr>
              <w:jc w:val="center"/>
            </w:pPr>
            <w:r>
              <w:rPr>
                <w:color w:val="000000"/>
                <w:sz w:val="24"/>
                <w:szCs w:val="24"/>
              </w:rPr>
              <w:t>0.05%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交银施罗德养老目标日期2035三年持有期混合型基金中基金（FOF）</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2020年4月29日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2020年4月29日，基金合同生效日至报告期期末，本基金运作时间未满一年。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杨喆</w:t>
            </w:r>
          </w:p>
        </w:tc>
        <w:tc>
          <w:tcPr>
            <w:vAlign w:val="center"/>
          </w:tcPr>
          <w:p>
            <w:pPr>
              <w:jc w:val="center"/>
            </w:pPr>
            <w:r>
              <w:rPr>
                <w:color w:val="000000"/>
                <w:sz w:val="24"/>
                <w:szCs w:val="24"/>
              </w:rPr>
              <w:t>交银安享稳健养老一年、交银养老2035三年的基金经理，公司多元资产管理副总监。</w:t>
            </w:r>
          </w:p>
        </w:tc>
        <w:tc>
          <w:tcPr>
            <w:vAlign w:val="center"/>
          </w:tcPr>
          <w:p>
            <w:pPr>
              <w:jc w:val="center"/>
            </w:pPr>
            <w:r>
              <w:rPr>
                <w:color w:val="000000"/>
                <w:sz w:val="24"/>
                <w:szCs w:val="24"/>
              </w:rPr>
              <w:t>2020-04-29</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杨喆女士，同济大学金融学硕士。曾任国泰君安证券有限公司研究所金融工程与衍生品研究员。2013年加入交银施罗德基金管理有限公司。</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四季度，经济指标延续回升趋势，工业、服务业生产、内外需求都在加快改善。国内疫情防控取得了重大的阶段性成果，国内的消费环境在改善，消费信心在增强。权益市场整体呈现热点轮动的态势。十一月信用债市场由于受到信用违约事件的冲击，发生了较大幅度的调整，在近期有所修复。</w:t>
      </w:r>
    </w:p>
    <w:p>
      <w:pPr>
        <w:spacing w:before="29" w:line="288" w:lineRule="auto"/>
        <w:ind w:firstLine="480" w:firstLineChars="200"/>
        <w:rPr>
          <w:color w:val="000000"/>
          <w:sz w:val="24"/>
          <w:szCs w:val="24"/>
        </w:rPr>
      </w:pPr>
      <w:r>
        <w:rPr>
          <w:color w:val="000000"/>
          <w:sz w:val="24"/>
          <w:szCs w:val="24"/>
        </w:rPr>
        <w:t>报告期内，本基金灵活调整权益资产和固定收益资产的配置比例，在综合分析各类资产的投资性价比的基础上，积极把握权益市场上行机会和主题性投资机会，优选部分高弹性高成长基金以及中长期超额收益明显的优质基金加以配置，分享经济基本面改善和行业成长估值提升带来的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2021年一季度，疫情之后全球经济的共振复苏将成为资本市场的主要基调，欧美国家的需求回暖将带来显著的外部效应，疫苗的大规模落地使用对于供给的修复也将对经济起到一定刺激作用。低基数将促使未来经济增速进一步提升，在“双循环”发展格局和“需求侧改革”等新理念的指导下，经济改革、资本市场和产业政策都面临新的环境变化，并将催生出新的行业机遇。货币政策预计持续稳健，流动性维持合理充裕状态。我们将持续关注流动性和政策面，重点把握市场中潜在的结构性机会，防范风险，挖掘景气度高的行业和基本面改善的投资机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123,346,758.19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12.93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123,346,758.19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12.93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766,623,627.32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80.35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40,123,663.04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4.21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40,123,663.04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4.21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19,418,450.46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4,591,472.61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0.48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954,103,971.62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1,345,374.00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0.14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2,363,832.00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0.25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65,336,446.53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6.86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477,261.00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1,195,015.00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1,329,292.72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1,431,684.88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1,231,881.23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32,739,236.00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10,290,135.14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4,175,043.00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1,376,321.20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15,081.10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40,154.39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123,346,758.19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12.94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4,800</w:t>
            </w:r>
          </w:p>
        </w:tc>
        <w:tc>
          <w:tcPr>
            <w:vAlign w:val="center"/>
          </w:tcPr>
          <w:p>
            <w:pPr>
              <w:jc w:val="right"/>
            </w:pPr>
            <w:r>
              <w:rPr>
                <w:color w:val="000000"/>
                <w:sz w:val="24"/>
                <w:szCs w:val="24"/>
              </w:rPr>
              <w:t>9,590,400.00</w:t>
            </w:r>
          </w:p>
        </w:tc>
        <w:tc>
          <w:tcPr>
            <w:vAlign w:val="center"/>
          </w:tcPr>
          <w:p>
            <w:pPr>
              <w:jc w:val="right"/>
            </w:pPr>
            <w:r>
              <w:rPr>
                <w:color w:val="000000"/>
                <w:sz w:val="24"/>
                <w:szCs w:val="24"/>
              </w:rPr>
              <w:t>1.01</w:t>
            </w:r>
          </w:p>
        </w:tc>
      </w:tr>
      <w:tr>
        <w:tc>
          <w:tcPr>
            <w:vAlign w:val="center"/>
          </w:tcPr>
          <w:p>
            <w:pPr>
              <w:jc w:val="center"/>
            </w:pPr>
            <w:r>
              <w:rPr>
                <w:color w:val="000000"/>
                <w:sz w:val="24"/>
                <w:szCs w:val="24"/>
              </w:rPr>
              <w:t>2</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84,000</w:t>
            </w:r>
          </w:p>
        </w:tc>
        <w:tc>
          <w:tcPr>
            <w:vAlign w:val="center"/>
          </w:tcPr>
          <w:p>
            <w:pPr>
              <w:jc w:val="right"/>
            </w:pPr>
            <w:r>
              <w:rPr>
                <w:color w:val="000000"/>
                <w:sz w:val="24"/>
                <w:szCs w:val="24"/>
              </w:rPr>
              <w:t>7,306,320.00</w:t>
            </w:r>
          </w:p>
        </w:tc>
        <w:tc>
          <w:tcPr>
            <w:vAlign w:val="center"/>
          </w:tcPr>
          <w:p>
            <w:pPr>
              <w:jc w:val="right"/>
            </w:pPr>
            <w:r>
              <w:rPr>
                <w:color w:val="000000"/>
                <w:sz w:val="24"/>
                <w:szCs w:val="24"/>
              </w:rPr>
              <w:t>0.77</w:t>
            </w:r>
          </w:p>
        </w:tc>
      </w:tr>
      <w:tr>
        <w:tc>
          <w:tcPr>
            <w:vAlign w:val="center"/>
          </w:tcPr>
          <w:p>
            <w:pPr>
              <w:jc w:val="center"/>
            </w:pPr>
            <w:r>
              <w:rPr>
                <w:color w:val="000000"/>
                <w:sz w:val="24"/>
                <w:szCs w:val="24"/>
              </w:rPr>
              <w:t>3</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189,800</w:t>
            </w:r>
          </w:p>
        </w:tc>
        <w:tc>
          <w:tcPr>
            <w:vAlign w:val="center"/>
          </w:tcPr>
          <w:p>
            <w:pPr>
              <w:jc w:val="right"/>
            </w:pPr>
            <w:r>
              <w:rPr>
                <w:color w:val="000000"/>
                <w:sz w:val="24"/>
                <w:szCs w:val="24"/>
              </w:rPr>
              <w:t>5,447,260.00</w:t>
            </w:r>
          </w:p>
        </w:tc>
        <w:tc>
          <w:tcPr>
            <w:vAlign w:val="center"/>
          </w:tcPr>
          <w:p>
            <w:pPr>
              <w:jc w:val="right"/>
            </w:pPr>
            <w:r>
              <w:rPr>
                <w:color w:val="000000"/>
                <w:sz w:val="24"/>
                <w:szCs w:val="24"/>
              </w:rPr>
              <w:t>0.57</w:t>
            </w:r>
          </w:p>
        </w:tc>
      </w:tr>
      <w:tr>
        <w:tc>
          <w:tcPr>
            <w:vAlign w:val="center"/>
          </w:tcPr>
          <w:p>
            <w:pPr>
              <w:jc w:val="center"/>
            </w:pPr>
            <w:r>
              <w:rPr>
                <w:color w:val="000000"/>
                <w:sz w:val="24"/>
                <w:szCs w:val="24"/>
              </w:rPr>
              <w:t>4</w:t>
            </w:r>
          </w:p>
        </w:tc>
        <w:tc>
          <w:tcPr>
            <w:vAlign w:val="center"/>
          </w:tcPr>
          <w:p>
            <w:pPr>
              <w:jc w:val="center"/>
            </w:pPr>
            <w:r>
              <w:rPr>
                <w:color w:val="000000"/>
                <w:sz w:val="24"/>
                <w:szCs w:val="24"/>
              </w:rPr>
              <w:t>000333</w:t>
            </w:r>
          </w:p>
        </w:tc>
        <w:tc>
          <w:tcPr>
            <w:vAlign w:val="center"/>
          </w:tcPr>
          <w:p>
            <w:pPr>
              <w:jc w:val="center"/>
            </w:pPr>
            <w:r>
              <w:rPr>
                <w:color w:val="000000"/>
                <w:sz w:val="24"/>
                <w:szCs w:val="24"/>
              </w:rPr>
              <w:t>美的集团</w:t>
            </w:r>
          </w:p>
        </w:tc>
        <w:tc>
          <w:tcPr>
            <w:vAlign w:val="center"/>
          </w:tcPr>
          <w:p>
            <w:pPr>
              <w:jc w:val="right"/>
            </w:pPr>
            <w:r>
              <w:rPr>
                <w:color w:val="000000"/>
                <w:sz w:val="24"/>
                <w:szCs w:val="24"/>
              </w:rPr>
              <w:t>54,100</w:t>
            </w:r>
          </w:p>
        </w:tc>
        <w:tc>
          <w:tcPr>
            <w:vAlign w:val="center"/>
          </w:tcPr>
          <w:p>
            <w:pPr>
              <w:jc w:val="right"/>
            </w:pPr>
            <w:r>
              <w:rPr>
                <w:color w:val="000000"/>
                <w:sz w:val="24"/>
                <w:szCs w:val="24"/>
              </w:rPr>
              <w:t>5,325,604.00</w:t>
            </w:r>
          </w:p>
        </w:tc>
        <w:tc>
          <w:tcPr>
            <w:vAlign w:val="center"/>
          </w:tcPr>
          <w:p>
            <w:pPr>
              <w:jc w:val="right"/>
            </w:pPr>
            <w:r>
              <w:rPr>
                <w:color w:val="000000"/>
                <w:sz w:val="24"/>
                <w:szCs w:val="24"/>
              </w:rPr>
              <w:t>0.56</w:t>
            </w:r>
          </w:p>
        </w:tc>
      </w:tr>
      <w:tr>
        <w:tc>
          <w:tcPr>
            <w:vAlign w:val="center"/>
          </w:tcPr>
          <w:p>
            <w:pPr>
              <w:jc w:val="center"/>
            </w:pPr>
            <w:r>
              <w:rPr>
                <w:color w:val="000000"/>
                <w:sz w:val="24"/>
                <w:szCs w:val="24"/>
              </w:rPr>
              <w:t>5</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69,000</w:t>
            </w:r>
          </w:p>
        </w:tc>
        <w:tc>
          <w:tcPr>
            <w:vAlign w:val="center"/>
          </w:tcPr>
          <w:p>
            <w:pPr>
              <w:jc w:val="right"/>
            </w:pPr>
            <w:r>
              <w:rPr>
                <w:color w:val="000000"/>
                <w:sz w:val="24"/>
                <w:szCs w:val="24"/>
              </w:rPr>
              <w:t>4,273,860.00</w:t>
            </w:r>
          </w:p>
        </w:tc>
        <w:tc>
          <w:tcPr>
            <w:vAlign w:val="center"/>
          </w:tcPr>
          <w:p>
            <w:pPr>
              <w:jc w:val="right"/>
            </w:pPr>
            <w:r>
              <w:rPr>
                <w:color w:val="000000"/>
                <w:sz w:val="24"/>
                <w:szCs w:val="24"/>
              </w:rPr>
              <w:t>0.45</w:t>
            </w:r>
          </w:p>
        </w:tc>
      </w:tr>
      <w:tr>
        <w:tc>
          <w:tcPr>
            <w:vAlign w:val="center"/>
          </w:tcPr>
          <w:p>
            <w:pPr>
              <w:jc w:val="center"/>
            </w:pPr>
            <w:r>
              <w:rPr>
                <w:color w:val="000000"/>
                <w:sz w:val="24"/>
                <w:szCs w:val="24"/>
              </w:rPr>
              <w:t>6</w:t>
            </w:r>
          </w:p>
        </w:tc>
        <w:tc>
          <w:tcPr>
            <w:vAlign w:val="center"/>
          </w:tcPr>
          <w:p>
            <w:pPr>
              <w:jc w:val="center"/>
            </w:pPr>
            <w:r>
              <w:rPr>
                <w:color w:val="000000"/>
                <w:sz w:val="24"/>
                <w:szCs w:val="24"/>
              </w:rPr>
              <w:t>000001</w:t>
            </w:r>
          </w:p>
        </w:tc>
        <w:tc>
          <w:tcPr>
            <w:vAlign w:val="center"/>
          </w:tcPr>
          <w:p>
            <w:pPr>
              <w:jc w:val="center"/>
            </w:pPr>
            <w:r>
              <w:rPr>
                <w:color w:val="000000"/>
                <w:sz w:val="24"/>
                <w:szCs w:val="24"/>
              </w:rPr>
              <w:t>平安银行</w:t>
            </w:r>
          </w:p>
        </w:tc>
        <w:tc>
          <w:tcPr>
            <w:vAlign w:val="center"/>
          </w:tcPr>
          <w:p>
            <w:pPr>
              <w:jc w:val="right"/>
            </w:pPr>
            <w:r>
              <w:rPr>
                <w:color w:val="000000"/>
                <w:sz w:val="24"/>
                <w:szCs w:val="24"/>
              </w:rPr>
              <w:t>181,400</w:t>
            </w:r>
          </w:p>
        </w:tc>
        <w:tc>
          <w:tcPr>
            <w:vAlign w:val="center"/>
          </w:tcPr>
          <w:p>
            <w:pPr>
              <w:jc w:val="right"/>
            </w:pPr>
            <w:r>
              <w:rPr>
                <w:color w:val="000000"/>
                <w:sz w:val="24"/>
                <w:szCs w:val="24"/>
              </w:rPr>
              <w:t>3,508,276.00</w:t>
            </w:r>
          </w:p>
        </w:tc>
        <w:tc>
          <w:tcPr>
            <w:vAlign w:val="center"/>
          </w:tcPr>
          <w:p>
            <w:pPr>
              <w:jc w:val="right"/>
            </w:pPr>
            <w:r>
              <w:rPr>
                <w:color w:val="000000"/>
                <w:sz w:val="24"/>
                <w:szCs w:val="24"/>
              </w:rPr>
              <w:t>0.37</w:t>
            </w:r>
          </w:p>
        </w:tc>
      </w:tr>
      <w:tr>
        <w:tc>
          <w:tcPr>
            <w:vAlign w:val="center"/>
          </w:tcPr>
          <w:p>
            <w:pPr>
              <w:jc w:val="center"/>
            </w:pPr>
            <w:r>
              <w:rPr>
                <w:color w:val="000000"/>
                <w:sz w:val="24"/>
                <w:szCs w:val="24"/>
              </w:rPr>
              <w:t>7</w:t>
            </w:r>
          </w:p>
        </w:tc>
        <w:tc>
          <w:tcPr>
            <w:vAlign w:val="center"/>
          </w:tcPr>
          <w:p>
            <w:pPr>
              <w:jc w:val="center"/>
            </w:pPr>
            <w:r>
              <w:rPr>
                <w:color w:val="000000"/>
                <w:sz w:val="24"/>
                <w:szCs w:val="24"/>
              </w:rPr>
              <w:t>600036</w:t>
            </w:r>
          </w:p>
        </w:tc>
        <w:tc>
          <w:tcPr>
            <w:vAlign w:val="center"/>
          </w:tcPr>
          <w:p>
            <w:pPr>
              <w:jc w:val="center"/>
            </w:pPr>
            <w:r>
              <w:rPr>
                <w:color w:val="000000"/>
                <w:sz w:val="24"/>
                <w:szCs w:val="24"/>
              </w:rPr>
              <w:t>招商银行</w:t>
            </w:r>
          </w:p>
        </w:tc>
        <w:tc>
          <w:tcPr>
            <w:vAlign w:val="center"/>
          </w:tcPr>
          <w:p>
            <w:pPr>
              <w:jc w:val="right"/>
            </w:pPr>
            <w:r>
              <w:rPr>
                <w:color w:val="000000"/>
                <w:sz w:val="24"/>
                <w:szCs w:val="24"/>
              </w:rPr>
              <w:t>73,000</w:t>
            </w:r>
          </w:p>
        </w:tc>
        <w:tc>
          <w:tcPr>
            <w:vAlign w:val="center"/>
          </w:tcPr>
          <w:p>
            <w:pPr>
              <w:jc w:val="right"/>
            </w:pPr>
            <w:r>
              <w:rPr>
                <w:color w:val="000000"/>
                <w:sz w:val="24"/>
                <w:szCs w:val="24"/>
              </w:rPr>
              <w:t>3,208,350.00</w:t>
            </w:r>
          </w:p>
        </w:tc>
        <w:tc>
          <w:tcPr>
            <w:vAlign w:val="center"/>
          </w:tcPr>
          <w:p>
            <w:pPr>
              <w:jc w:val="right"/>
            </w:pPr>
            <w:r>
              <w:rPr>
                <w:color w:val="000000"/>
                <w:sz w:val="24"/>
                <w:szCs w:val="24"/>
              </w:rPr>
              <w:t>0.34</w:t>
            </w:r>
          </w:p>
        </w:tc>
      </w:tr>
      <w:tr>
        <w:tc>
          <w:tcPr>
            <w:vAlign w:val="center"/>
          </w:tcPr>
          <w:p>
            <w:pPr>
              <w:jc w:val="center"/>
            </w:pPr>
            <w:r>
              <w:rPr>
                <w:color w:val="000000"/>
                <w:sz w:val="24"/>
                <w:szCs w:val="24"/>
              </w:rPr>
              <w:t>8</w:t>
            </w:r>
          </w:p>
        </w:tc>
        <w:tc>
          <w:tcPr>
            <w:vAlign w:val="center"/>
          </w:tcPr>
          <w:p>
            <w:pPr>
              <w:jc w:val="center"/>
            </w:pPr>
            <w:r>
              <w:rPr>
                <w:color w:val="000000"/>
                <w:sz w:val="24"/>
                <w:szCs w:val="24"/>
              </w:rPr>
              <w:t>000100</w:t>
            </w:r>
          </w:p>
        </w:tc>
        <w:tc>
          <w:tcPr>
            <w:vAlign w:val="center"/>
          </w:tcPr>
          <w:p>
            <w:pPr>
              <w:jc w:val="center"/>
            </w:pPr>
            <w:r>
              <w:rPr>
                <w:color w:val="000000"/>
                <w:sz w:val="24"/>
                <w:szCs w:val="24"/>
              </w:rPr>
              <w:t>TCL科技</w:t>
            </w:r>
          </w:p>
        </w:tc>
        <w:tc>
          <w:tcPr>
            <w:vAlign w:val="center"/>
          </w:tcPr>
          <w:p>
            <w:pPr>
              <w:jc w:val="right"/>
            </w:pPr>
            <w:r>
              <w:rPr>
                <w:color w:val="000000"/>
                <w:sz w:val="24"/>
                <w:szCs w:val="24"/>
              </w:rPr>
              <w:t>406,200</w:t>
            </w:r>
          </w:p>
        </w:tc>
        <w:tc>
          <w:tcPr>
            <w:vAlign w:val="center"/>
          </w:tcPr>
          <w:p>
            <w:pPr>
              <w:jc w:val="right"/>
            </w:pPr>
            <w:r>
              <w:rPr>
                <w:color w:val="000000"/>
                <w:sz w:val="24"/>
                <w:szCs w:val="24"/>
              </w:rPr>
              <w:t>2,875,896.00</w:t>
            </w:r>
          </w:p>
        </w:tc>
        <w:tc>
          <w:tcPr>
            <w:vAlign w:val="center"/>
          </w:tcPr>
          <w:p>
            <w:pPr>
              <w:jc w:val="right"/>
            </w:pPr>
            <w:r>
              <w:rPr>
                <w:color w:val="000000"/>
                <w:sz w:val="24"/>
                <w:szCs w:val="24"/>
              </w:rPr>
              <w:t>0.30</w:t>
            </w:r>
          </w:p>
        </w:tc>
      </w:tr>
      <w:tr>
        <w:tc>
          <w:tcPr>
            <w:vAlign w:val="center"/>
          </w:tcPr>
          <w:p>
            <w:pPr>
              <w:jc w:val="center"/>
            </w:pPr>
            <w:r>
              <w:rPr>
                <w:color w:val="000000"/>
                <w:sz w:val="24"/>
                <w:szCs w:val="24"/>
              </w:rPr>
              <w:t>9</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24,900</w:t>
            </w:r>
          </w:p>
        </w:tc>
        <w:tc>
          <w:tcPr>
            <w:vAlign w:val="center"/>
          </w:tcPr>
          <w:p>
            <w:pPr>
              <w:jc w:val="right"/>
            </w:pPr>
            <w:r>
              <w:rPr>
                <w:color w:val="000000"/>
                <w:sz w:val="24"/>
                <w:szCs w:val="24"/>
              </w:rPr>
              <w:t>2,775,354.00</w:t>
            </w:r>
          </w:p>
        </w:tc>
        <w:tc>
          <w:tcPr>
            <w:vAlign w:val="center"/>
          </w:tcPr>
          <w:p>
            <w:pPr>
              <w:jc w:val="right"/>
            </w:pPr>
            <w:r>
              <w:rPr>
                <w:color w:val="000000"/>
                <w:sz w:val="24"/>
                <w:szCs w:val="24"/>
              </w:rPr>
              <w:t>0.29</w:t>
            </w:r>
          </w:p>
        </w:tc>
      </w:tr>
      <w:tr>
        <w:tc>
          <w:tcPr>
            <w:vAlign w:val="center"/>
          </w:tcPr>
          <w:p>
            <w:pPr>
              <w:jc w:val="center"/>
            </w:pPr>
            <w:r>
              <w:rPr>
                <w:color w:val="000000"/>
                <w:sz w:val="24"/>
                <w:szCs w:val="24"/>
              </w:rPr>
              <w:t>10</w:t>
            </w:r>
          </w:p>
        </w:tc>
        <w:tc>
          <w:tcPr>
            <w:vAlign w:val="center"/>
          </w:tcPr>
          <w:p>
            <w:pPr>
              <w:jc w:val="center"/>
            </w:pPr>
            <w:r>
              <w:rPr>
                <w:color w:val="000000"/>
                <w:sz w:val="24"/>
                <w:szCs w:val="24"/>
              </w:rPr>
              <w:t>601888</w:t>
            </w:r>
          </w:p>
        </w:tc>
        <w:tc>
          <w:tcPr>
            <w:vAlign w:val="center"/>
          </w:tcPr>
          <w:p>
            <w:pPr>
              <w:jc w:val="center"/>
            </w:pPr>
            <w:r>
              <w:rPr>
                <w:color w:val="000000"/>
                <w:sz w:val="24"/>
                <w:szCs w:val="24"/>
              </w:rPr>
              <w:t>中国中免</w:t>
            </w:r>
          </w:p>
        </w:tc>
        <w:tc>
          <w:tcPr>
            <w:vAlign w:val="center"/>
          </w:tcPr>
          <w:p>
            <w:pPr>
              <w:jc w:val="right"/>
            </w:pPr>
            <w:r>
              <w:rPr>
                <w:color w:val="000000"/>
                <w:sz w:val="24"/>
                <w:szCs w:val="24"/>
              </w:rPr>
              <w:t>9,300</w:t>
            </w:r>
          </w:p>
        </w:tc>
        <w:tc>
          <w:tcPr>
            <w:vAlign w:val="center"/>
          </w:tcPr>
          <w:p>
            <w:pPr>
              <w:jc w:val="right"/>
            </w:pPr>
            <w:r>
              <w:rPr>
                <w:color w:val="000000"/>
                <w:sz w:val="24"/>
                <w:szCs w:val="24"/>
              </w:rPr>
              <w:t>2,626,785.00</w:t>
            </w:r>
          </w:p>
        </w:tc>
        <w:tc>
          <w:tcPr>
            <w:vAlign w:val="center"/>
          </w:tcPr>
          <w:p>
            <w:pPr>
              <w:jc w:val="right"/>
            </w:pPr>
            <w:r>
              <w:rPr>
                <w:color w:val="000000"/>
                <w:sz w:val="24"/>
                <w:szCs w:val="24"/>
              </w:rPr>
              <w:t>0.28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39,992,000.00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39,992,000.00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131,663.04</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0.01</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40,123,663.04</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200309</w:t>
            </w:r>
          </w:p>
        </w:tc>
        <w:tc>
          <w:tcPr>
            <w:vAlign w:val="center"/>
          </w:tcPr>
          <w:p>
            <w:pPr>
              <w:jc w:val="center"/>
            </w:pPr>
            <w:r>
              <w:rPr>
                <w:color w:val="000000"/>
                <w:sz w:val="24"/>
                <w:szCs w:val="24"/>
              </w:rPr>
              <w:t>20进出09</w:t>
            </w:r>
          </w:p>
        </w:tc>
        <w:tc>
          <w:tcPr>
            <w:vAlign w:val="center"/>
          </w:tcPr>
          <w:p>
            <w:pPr>
              <w:jc w:val="right"/>
            </w:pPr>
            <w:r>
              <w:rPr>
                <w:color w:val="000000"/>
                <w:sz w:val="24"/>
                <w:szCs w:val="24"/>
              </w:rPr>
              <w:t>400,000</w:t>
            </w:r>
          </w:p>
        </w:tc>
        <w:tc>
          <w:tcPr>
            <w:vAlign w:val="center"/>
          </w:tcPr>
          <w:p>
            <w:pPr>
              <w:jc w:val="right"/>
            </w:pPr>
            <w:r>
              <w:rPr>
                <w:color w:val="000000"/>
                <w:sz w:val="24"/>
                <w:szCs w:val="24"/>
              </w:rPr>
              <w:t>39,992,000.00</w:t>
            </w:r>
          </w:p>
        </w:tc>
        <w:tc>
          <w:tcPr>
            <w:vAlign w:val="center"/>
          </w:tcPr>
          <w:p>
            <w:pPr>
              <w:jc w:val="right"/>
            </w:pPr>
            <w:r>
              <w:rPr>
                <w:color w:val="000000"/>
                <w:sz w:val="24"/>
                <w:szCs w:val="24"/>
              </w:rPr>
              <w:t>4.20</w:t>
            </w:r>
          </w:p>
        </w:tc>
      </w:tr>
      <w:tr>
        <w:tc>
          <w:tcPr>
            <w:vAlign w:val="center"/>
          </w:tcPr>
          <w:p>
            <w:pPr>
              <w:jc w:val="center"/>
            </w:pPr>
            <w:r>
              <w:rPr>
                <w:color w:val="000000"/>
                <w:sz w:val="24"/>
                <w:szCs w:val="24"/>
              </w:rPr>
              <w:t>2</w:t>
            </w:r>
          </w:p>
        </w:tc>
        <w:tc>
          <w:tcPr>
            <w:vAlign w:val="center"/>
          </w:tcPr>
          <w:p>
            <w:pPr>
              <w:jc w:val="center"/>
            </w:pPr>
            <w:r>
              <w:rPr>
                <w:color w:val="000000"/>
                <w:sz w:val="24"/>
                <w:szCs w:val="24"/>
              </w:rPr>
              <w:t>128136</w:t>
            </w:r>
          </w:p>
        </w:tc>
        <w:tc>
          <w:tcPr>
            <w:vAlign w:val="center"/>
          </w:tcPr>
          <w:p>
            <w:pPr>
              <w:jc w:val="center"/>
            </w:pPr>
            <w:r>
              <w:rPr>
                <w:color w:val="000000"/>
                <w:sz w:val="24"/>
                <w:szCs w:val="24"/>
              </w:rPr>
              <w:t>立讯转债</w:t>
            </w:r>
          </w:p>
        </w:tc>
        <w:tc>
          <w:tcPr>
            <w:vAlign w:val="center"/>
          </w:tcPr>
          <w:p>
            <w:pPr>
              <w:jc w:val="right"/>
            </w:pPr>
            <w:r>
              <w:rPr>
                <w:color w:val="000000"/>
                <w:sz w:val="24"/>
                <w:szCs w:val="24"/>
              </w:rPr>
              <w:t>493</w:t>
            </w:r>
          </w:p>
        </w:tc>
        <w:tc>
          <w:tcPr>
            <w:vAlign w:val="center"/>
          </w:tcPr>
          <w:p>
            <w:pPr>
              <w:jc w:val="right"/>
            </w:pPr>
            <w:r>
              <w:rPr>
                <w:color w:val="000000"/>
                <w:sz w:val="24"/>
                <w:szCs w:val="24"/>
              </w:rPr>
              <w:t>62,699.74</w:t>
            </w:r>
          </w:p>
        </w:tc>
        <w:tc>
          <w:tcPr>
            <w:vAlign w:val="center"/>
          </w:tcPr>
          <w:p>
            <w:pPr>
              <w:jc w:val="right"/>
            </w:pPr>
            <w:r>
              <w:rPr>
                <w:color w:val="000000"/>
                <w:sz w:val="24"/>
                <w:szCs w:val="24"/>
              </w:rPr>
              <w:t>0.01</w:t>
            </w:r>
          </w:p>
        </w:tc>
      </w:tr>
      <w:tr>
        <w:tc>
          <w:tcPr>
            <w:vAlign w:val="center"/>
          </w:tcPr>
          <w:p>
            <w:pPr>
              <w:jc w:val="center"/>
            </w:pPr>
            <w:r>
              <w:rPr>
                <w:color w:val="000000"/>
                <w:sz w:val="24"/>
                <w:szCs w:val="24"/>
              </w:rPr>
              <w:t>3</w:t>
            </w:r>
          </w:p>
        </w:tc>
        <w:tc>
          <w:tcPr>
            <w:vAlign w:val="center"/>
          </w:tcPr>
          <w:p>
            <w:pPr>
              <w:jc w:val="center"/>
            </w:pPr>
            <w:r>
              <w:rPr>
                <w:color w:val="000000"/>
                <w:sz w:val="24"/>
                <w:szCs w:val="24"/>
              </w:rPr>
              <w:t>113602</w:t>
            </w:r>
          </w:p>
        </w:tc>
        <w:tc>
          <w:tcPr>
            <w:vAlign w:val="center"/>
          </w:tcPr>
          <w:p>
            <w:pPr>
              <w:jc w:val="center"/>
            </w:pPr>
            <w:r>
              <w:rPr>
                <w:color w:val="000000"/>
                <w:sz w:val="24"/>
                <w:szCs w:val="24"/>
              </w:rPr>
              <w:t>景20转债</w:t>
            </w:r>
          </w:p>
        </w:tc>
        <w:tc>
          <w:tcPr>
            <w:vAlign w:val="center"/>
          </w:tcPr>
          <w:p>
            <w:pPr>
              <w:jc w:val="right"/>
            </w:pPr>
            <w:r>
              <w:rPr>
                <w:color w:val="000000"/>
                <w:sz w:val="24"/>
                <w:szCs w:val="24"/>
              </w:rPr>
              <w:t>370</w:t>
            </w:r>
          </w:p>
        </w:tc>
        <w:tc>
          <w:tcPr>
            <w:vAlign w:val="center"/>
          </w:tcPr>
          <w:p>
            <w:pPr>
              <w:jc w:val="right"/>
            </w:pPr>
            <w:r>
              <w:rPr>
                <w:color w:val="000000"/>
                <w:sz w:val="24"/>
                <w:szCs w:val="24"/>
              </w:rPr>
              <w:t>43,064.30</w:t>
            </w:r>
          </w:p>
        </w:tc>
        <w:tc>
          <w:tcPr>
            <w:vAlign w:val="center"/>
          </w:tcPr>
          <w:p>
            <w:pPr>
              <w:jc w:val="right"/>
            </w:pPr>
            <w:r>
              <w:rPr>
                <w:color w:val="000000"/>
                <w:sz w:val="24"/>
                <w:szCs w:val="24"/>
              </w:rPr>
              <w:t>0.00</w:t>
            </w:r>
          </w:p>
        </w:tc>
      </w:tr>
      <w:tr>
        <w:tc>
          <w:tcPr>
            <w:vAlign w:val="center"/>
          </w:tcPr>
          <w:p>
            <w:pPr>
              <w:jc w:val="center"/>
            </w:pPr>
            <w:r>
              <w:rPr>
                <w:color w:val="000000"/>
                <w:sz w:val="24"/>
                <w:szCs w:val="24"/>
              </w:rPr>
              <w:t>4</w:t>
            </w:r>
          </w:p>
        </w:tc>
        <w:tc>
          <w:tcPr>
            <w:vAlign w:val="center"/>
          </w:tcPr>
          <w:p>
            <w:pPr>
              <w:jc w:val="center"/>
            </w:pPr>
            <w:r>
              <w:rPr>
                <w:color w:val="000000"/>
                <w:sz w:val="24"/>
                <w:szCs w:val="24"/>
              </w:rPr>
              <w:t>113605</w:t>
            </w:r>
          </w:p>
        </w:tc>
        <w:tc>
          <w:tcPr>
            <w:vAlign w:val="center"/>
          </w:tcPr>
          <w:p>
            <w:pPr>
              <w:jc w:val="center"/>
            </w:pPr>
            <w:r>
              <w:rPr>
                <w:color w:val="000000"/>
                <w:sz w:val="24"/>
                <w:szCs w:val="24"/>
              </w:rPr>
              <w:t>大参转债</w:t>
            </w:r>
          </w:p>
        </w:tc>
        <w:tc>
          <w:tcPr>
            <w:vAlign w:val="center"/>
          </w:tcPr>
          <w:p>
            <w:pPr>
              <w:jc w:val="right"/>
            </w:pPr>
            <w:r>
              <w:rPr>
                <w:color w:val="000000"/>
                <w:sz w:val="24"/>
                <w:szCs w:val="24"/>
              </w:rPr>
              <w:t>130</w:t>
            </w:r>
          </w:p>
        </w:tc>
        <w:tc>
          <w:tcPr>
            <w:vAlign w:val="center"/>
          </w:tcPr>
          <w:p>
            <w:pPr>
              <w:jc w:val="right"/>
            </w:pPr>
            <w:r>
              <w:rPr>
                <w:color w:val="000000"/>
                <w:sz w:val="24"/>
                <w:szCs w:val="24"/>
              </w:rPr>
              <w:t>15,743.00</w:t>
            </w:r>
          </w:p>
        </w:tc>
        <w:tc>
          <w:tcPr>
            <w:vAlign w:val="center"/>
          </w:tcPr>
          <w:p>
            <w:pPr>
              <w:jc w:val="right"/>
            </w:pPr>
            <w:r>
              <w:rPr>
                <w:color w:val="000000"/>
                <w:sz w:val="24"/>
                <w:szCs w:val="24"/>
              </w:rPr>
              <w:t>0.00</w:t>
            </w:r>
          </w:p>
        </w:tc>
      </w:tr>
      <w:tr>
        <w:tc>
          <w:tcPr>
            <w:vAlign w:val="center"/>
          </w:tcPr>
          <w:p>
            <w:pPr>
              <w:jc w:val="center"/>
            </w:pPr>
            <w:r>
              <w:rPr>
                <w:color w:val="000000"/>
                <w:sz w:val="24"/>
                <w:szCs w:val="24"/>
              </w:rPr>
              <w:t>5</w:t>
            </w:r>
          </w:p>
        </w:tc>
        <w:tc>
          <w:tcPr>
            <w:vAlign w:val="center"/>
          </w:tcPr>
          <w:p>
            <w:pPr>
              <w:jc w:val="center"/>
            </w:pPr>
            <w:r>
              <w:rPr>
                <w:color w:val="000000"/>
                <w:sz w:val="24"/>
                <w:szCs w:val="24"/>
              </w:rPr>
              <w:t>110076</w:t>
            </w:r>
          </w:p>
        </w:tc>
        <w:tc>
          <w:tcPr>
            <w:vAlign w:val="center"/>
          </w:tcPr>
          <w:p>
            <w:pPr>
              <w:jc w:val="center"/>
            </w:pPr>
            <w:r>
              <w:rPr>
                <w:color w:val="000000"/>
                <w:sz w:val="24"/>
                <w:szCs w:val="24"/>
              </w:rPr>
              <w:t>华海转债</w:t>
            </w:r>
          </w:p>
        </w:tc>
        <w:tc>
          <w:tcPr>
            <w:vAlign w:val="center"/>
          </w:tcPr>
          <w:p>
            <w:pPr>
              <w:jc w:val="right"/>
            </w:pPr>
            <w:r>
              <w:rPr>
                <w:color w:val="000000"/>
                <w:sz w:val="24"/>
                <w:szCs w:val="24"/>
              </w:rPr>
              <w:t>80</w:t>
            </w:r>
          </w:p>
        </w:tc>
        <w:tc>
          <w:tcPr>
            <w:vAlign w:val="center"/>
          </w:tcPr>
          <w:p>
            <w:pPr>
              <w:jc w:val="right"/>
            </w:pPr>
            <w:r>
              <w:rPr>
                <w:color w:val="000000"/>
                <w:sz w:val="24"/>
                <w:szCs w:val="24"/>
              </w:rPr>
              <w:t>10,156.00</w:t>
            </w:r>
          </w:p>
        </w:tc>
        <w:tc>
          <w:tcPr>
            <w:vAlign w:val="center"/>
          </w:tcPr>
          <w:p>
            <w:pPr>
              <w:jc w:val="right"/>
            </w:pPr>
            <w:r>
              <w:rPr>
                <w:color w:val="000000"/>
                <w:sz w:val="24"/>
                <w:szCs w:val="24"/>
              </w:rPr>
              <w:t>0.00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74,038.69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3,765,588.99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194,683.73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440,502.28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116,419.80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239.12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4,591,472.61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4046D7" w:rsidR="004046D7" w:rsidRDefault="004046D7" w:rsidRPr="00575270">
      <w:pPr>
        <w:pStyle w:val="1"/>
        <w:spacing w:after="312" w:afterLines="100" w:before="312"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4046D7" w:rsidR="004046D7" w:rsidRDefault="004046D7"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tbl>
      <w:tblPr>
        <w:tblStyle w:val="af7"/>
        <w:tblW w:type="pct" w:w="5000"/>
        <w:tblLayout w:type="fixed"/>
        <w:tblLook w:firstColumn="1" w:firstRow="1" w:lastColumn="0" w:lastRow="0" w:noHBand="0" w:noVBand="1" w:val="04A0"/>
      </w:tblPr>
      <w:tblGrid>
        <w:gridCol w:w="835"/>
        <w:gridCol w:w="1159"/>
        <w:gridCol w:w="1161"/>
        <w:gridCol w:w="1161"/>
        <w:gridCol w:w="1159"/>
        <w:gridCol w:w="1305"/>
        <w:gridCol w:w="1161"/>
        <w:gridCol w:w="1301"/>
      </w:tblGrid>
      <w:tr w:rsidR="004046D7" w:rsidRPr="00575270" w:rsidTr="00B32CA0">
        <w:tc>
          <w:tcPr>
            <w:tcW w:type="pct" w:w="452"/>
            <w:vAlign w:val="center"/>
          </w:tcPr>
          <w:p w:rsidP="00F8289A" w:rsidR="004046D7" w:rsidRDefault="004046D7" w:rsidRPr="00575270">
            <w:pPr>
              <w:pStyle w:val="Default"/>
              <w:spacing w:line="276" w:lineRule="auto"/>
              <w:jc w:val="center"/>
              <w:rPr>
                <w:rFonts w:ascii="Times New Roman" w:cs="Times New Roman" w:hAnsi="Times New Roman"/>
              </w:rPr>
            </w:pPr>
            <w:r w:rsidRPr="00575270">
              <w:rPr>
                <w:rFonts w:ascii="Times New Roman" w:cs="Times New Roman" w:hAnsi="Times New Roman"/>
              </w:rPr>
              <w:t>序号</w:t>
            </w:r>
            <w:r w:rsidRPr="00575270">
              <w:rPr>
                <w:rFonts w:ascii="Times New Roman" w:cs="Times New Roman" w:eastAsiaTheme="minorEastAsia" w:hAnsi="Times New Roman"/>
                <w:color w:themeColor="text1" w:val="000000"/>
              </w:rPr>
              <w:t/>
            </w:r>
            <w:bookmarkStart w:id="2" w:name="_GoBack"/>
            <w:bookmarkEnd w:id="2"/>
          </w:p>
        </w:tc>
        <w:tc>
          <w:tcPr>
            <w:tcW w:type="pct" w:w="627"/>
            <w:vAlign w:val="center"/>
          </w:tcPr>
          <w:p w:rsidP="00B32CA0" w:rsidR="004046D7" w:rsidRDefault="004046D7" w:rsidRPr="00575270">
            <w:pPr>
              <w:pStyle w:val="Default"/>
              <w:spacing w:line="276" w:lineRule="auto"/>
              <w:jc w:val="center"/>
              <w:rPr>
                <w:rFonts w:ascii="Times New Roman" w:cs="Times New Roman" w:hAnsi="Times New Roman"/>
              </w:rPr>
            </w:pPr>
            <w:r w:rsidRPr="00575270">
              <w:rPr>
                <w:rFonts w:ascii="Times New Roman" w:cs="Times New Roman" w:hAnsi="Times New Roman"/>
              </w:rPr>
              <w:t>基金代码</w:t>
            </w:r>
          </w:p>
        </w:tc>
        <w:tc>
          <w:tcPr>
            <w:tcW w:type="pct" w:w="628"/>
            <w:vAlign w:val="center"/>
          </w:tcPr>
          <w:p w:rsidP="00B32CA0" w:rsidR="004046D7" w:rsidRDefault="004046D7" w:rsidRPr="00575270">
            <w:pPr>
              <w:pStyle w:val="Default"/>
              <w:spacing w:line="276" w:lineRule="auto"/>
              <w:jc w:val="center"/>
              <w:rPr>
                <w:rFonts w:ascii="Times New Roman" w:cs="Times New Roman" w:hAnsi="Times New Roman"/>
              </w:rPr>
            </w:pPr>
            <w:r w:rsidRPr="00575270">
              <w:rPr>
                <w:rFonts w:ascii="Times New Roman" w:cs="Times New Roman" w:hAnsi="Times New Roman"/>
              </w:rPr>
              <w:t>基金名称</w:t>
            </w:r>
          </w:p>
        </w:tc>
        <w:tc>
          <w:tcPr>
            <w:tcW w:type="pct" w:w="628"/>
            <w:vAlign w:val="center"/>
          </w:tcPr>
          <w:p w:rsidP="00B32CA0" w:rsidR="004046D7" w:rsidRDefault="004046D7" w:rsidRPr="00575270">
            <w:pPr>
              <w:pStyle w:val="Default"/>
              <w:spacing w:line="276" w:lineRule="auto"/>
              <w:jc w:val="center"/>
              <w:rPr>
                <w:rFonts w:ascii="Times New Roman" w:cs="Times New Roman" w:hAnsi="Times New Roman"/>
              </w:rPr>
            </w:pPr>
            <w:r w:rsidRPr="00575270">
              <w:rPr>
                <w:rFonts w:ascii="Times New Roman" w:cs="Times New Roman" w:hAnsi="Times New Roman"/>
              </w:rPr>
              <w:t>运作方式</w:t>
            </w:r>
          </w:p>
        </w:tc>
        <w:tc>
          <w:tcPr>
            <w:tcW w:type="pct" w:w="627"/>
            <w:vAlign w:val="center"/>
          </w:tcPr>
          <w:p w:rsidP="00B32CA0" w:rsidR="004046D7" w:rsidRDefault="004046D7" w:rsidRPr="00575270">
            <w:pPr>
              <w:pStyle w:val="Default"/>
              <w:spacing w:line="276" w:lineRule="auto"/>
              <w:jc w:val="center"/>
              <w:rPr>
                <w:rFonts w:ascii="Times New Roman" w:cs="Times New Roman" w:hAnsi="Times New Roman"/>
              </w:rPr>
            </w:pPr>
            <w:r w:rsidRPr="00575270">
              <w:rPr>
                <w:rFonts w:ascii="Times New Roman" w:cs="Times New Roman" w:hAnsi="Times New Roman"/>
              </w:rPr>
              <w:t>持有份额（份）</w:t>
            </w:r>
          </w:p>
        </w:tc>
        <w:tc>
          <w:tcPr>
            <w:tcW w:type="pct" w:w="706"/>
            <w:vAlign w:val="center"/>
          </w:tcPr>
          <w:p w:rsidP="00B32CA0" w:rsidR="004046D7" w:rsidRDefault="004046D7" w:rsidRPr="00575270">
            <w:pPr>
              <w:pStyle w:val="Default"/>
              <w:spacing w:line="276" w:lineRule="auto"/>
              <w:jc w:val="center"/>
              <w:rPr>
                <w:rFonts w:ascii="Times New Roman" w:cs="Times New Roman" w:hAnsi="Times New Roman"/>
              </w:rPr>
            </w:pPr>
            <w:r w:rsidRPr="00575270">
              <w:rPr>
                <w:rFonts w:ascii="Times New Roman" w:cs="Times New Roman" w:hAnsi="Times New Roman"/>
              </w:rPr>
              <w:t>公允价值（元）</w:t>
            </w:r>
          </w:p>
        </w:tc>
        <w:tc>
          <w:tcPr>
            <w:tcW w:type="pct" w:w="628"/>
            <w:vAlign w:val="center"/>
          </w:tcPr>
          <w:p w:rsidP="00B32CA0" w:rsidR="004046D7" w:rsidRDefault="004046D7" w:rsidRPr="00575270">
            <w:pPr>
              <w:pStyle w:val="Default"/>
              <w:spacing w:line="276" w:lineRule="auto"/>
              <w:rPr>
                <w:rFonts w:ascii="Times New Roman" w:cs="Times New Roman" w:hAnsi="Times New Roman"/>
              </w:rPr>
            </w:pPr>
            <w:r w:rsidRPr="00575270">
              <w:rPr>
                <w:rFonts w:ascii="Times New Roman" w:cs="Times New Roman" w:hAnsi="Times New Roman"/>
              </w:rPr>
              <w:t>占基金资产净值比例</w:t>
            </w:r>
            <w:r w:rsidR="004E5CD0">
              <w:rPr>
                <w:rFonts w:ascii="Times New Roman" w:cs="Times New Roman" w:hAnsi="Times New Roman"/>
              </w:rPr>
              <w:t>（</w:t>
            </w:r>
            <w:r w:rsidR="004E5CD0">
              <w:rPr>
                <w:rFonts w:ascii="Times New Roman" w:cs="Times New Roman" w:hAnsi="Times New Roman" w:hint="eastAsia"/>
              </w:rPr>
              <w:t>%</w:t>
            </w:r>
            <w:r w:rsidR="004E5CD0" w:rsidRPr="00575270">
              <w:rPr>
                <w:rFonts w:ascii="Times New Roman" w:cs="Times New Roman" w:hAnsi="Times New Roman"/>
              </w:rPr>
              <w:t>）</w:t>
            </w:r>
          </w:p>
        </w:tc>
        <w:tc>
          <w:tcPr>
            <w:tcW w:type="pct" w:w="704"/>
            <w:vAlign w:val="center"/>
          </w:tcPr>
          <w:p w:rsidP="00B32CA0" w:rsidR="004046D7" w:rsidRDefault="004046D7" w:rsidRPr="00575270">
            <w:pPr>
              <w:pStyle w:val="Default"/>
              <w:spacing w:line="276" w:lineRule="auto"/>
              <w:rPr>
                <w:rFonts w:ascii="Times New Roman" w:cs="Times New Roman" w:hAnsi="Times New Roman"/>
              </w:rPr>
            </w:pPr>
            <w:r w:rsidRPr="00575270">
              <w:rPr>
                <w:rFonts w:ascii="Times New Roman" w:cs="Times New Roman" w:hAnsi="Times New Roman"/>
              </w:rPr>
              <w:t>是否属于基金管理人及管理人关联方所管理的基金</w:t>
            </w:r>
          </w:p>
        </w:tc>
      </w:tr>
      <w:tr>
        <w:tc>
          <w:tcPr>
            <w:vAlign w:val="center"/>
          </w:tcPr>
          <w:p>
            <w:pPr>
              <w:jc w:val="center"/>
            </w:pPr>
            <w:r>
              <w:rPr>
                <w:sz w:val="24"/>
                <w:szCs w:val="24"/>
              </w:rPr>
              <w:t>1</w:t>
            </w:r>
          </w:p>
        </w:tc>
        <w:tc>
          <w:tcPr>
            <w:vAlign w:val="center"/>
          </w:tcPr>
          <w:p>
            <w:pPr>
              <w:jc w:val="center"/>
            </w:pPr>
            <w:r>
              <w:rPr>
                <w:sz w:val="24"/>
                <w:szCs w:val="24"/>
              </w:rPr>
              <w:t>006937</w:t>
            </w:r>
          </w:p>
        </w:tc>
        <w:tc>
          <w:tcPr>
            <w:vAlign w:val="center"/>
          </w:tcPr>
          <w:p>
            <w:pPr>
              <w:jc w:val="center"/>
            </w:pPr>
            <w:r>
              <w:rPr>
                <w:sz w:val="24"/>
                <w:szCs w:val="24"/>
              </w:rPr>
              <w:t>工银沪深300指数C</w:t>
            </w:r>
          </w:p>
        </w:tc>
        <w:tc>
          <w:tcPr>
            <w:vAlign w:val="center"/>
          </w:tcPr>
          <w:p>
            <w:pPr>
              <w:jc w:val="center"/>
            </w:pPr>
            <w:r>
              <w:rPr>
                <w:sz w:val="24"/>
                <w:szCs w:val="24"/>
              </w:rPr>
              <w:t>契约型开放式</w:t>
            </w:r>
          </w:p>
        </w:tc>
        <w:tc>
          <w:tcPr>
            <w:vAlign w:val="center"/>
          </w:tcPr>
          <w:p>
            <w:pPr>
              <w:jc w:val="center"/>
            </w:pPr>
            <w:r>
              <w:rPr>
                <w:sz w:val="24"/>
                <w:szCs w:val="24"/>
              </w:rPr>
              <w:t>48,643,167.51</w:t>
            </w:r>
          </w:p>
        </w:tc>
        <w:tc>
          <w:tcPr>
            <w:vAlign w:val="center"/>
          </w:tcPr>
          <w:p>
            <w:pPr>
              <w:jc w:val="center"/>
            </w:pPr>
            <w:r>
              <w:rPr>
                <w:sz w:val="24"/>
                <w:szCs w:val="24"/>
              </w:rPr>
              <w:t>65,400,738.72</w:t>
            </w:r>
          </w:p>
        </w:tc>
        <w:tc>
          <w:tcPr>
            <w:vAlign w:val="center"/>
          </w:tcPr>
          <w:p>
            <w:pPr>
              <w:jc w:val="center"/>
            </w:pPr>
            <w:r>
              <w:rPr>
                <w:sz w:val="24"/>
                <w:szCs w:val="24"/>
              </w:rPr>
              <w:t>6.86</w:t>
            </w:r>
          </w:p>
        </w:tc>
        <w:tc>
          <w:tcPr>
            <w:vAlign w:val="center"/>
          </w:tcPr>
          <w:p>
            <w:pPr>
              <w:jc w:val="center"/>
            </w:pPr>
            <w:r>
              <w:rPr>
                <w:sz w:val="24"/>
                <w:szCs w:val="24"/>
              </w:rPr>
              <w:t>否</w:t>
            </w:r>
          </w:p>
        </w:tc>
      </w:tr>
      <w:tr>
        <w:tc>
          <w:tcPr>
            <w:vAlign w:val="center"/>
          </w:tcPr>
          <w:p>
            <w:pPr>
              <w:jc w:val="center"/>
            </w:pPr>
            <w:r>
              <w:rPr>
                <w:sz w:val="24"/>
                <w:szCs w:val="24"/>
              </w:rPr>
              <w:t>2</w:t>
            </w:r>
          </w:p>
        </w:tc>
        <w:tc>
          <w:tcPr>
            <w:vAlign w:val="center"/>
          </w:tcPr>
          <w:p>
            <w:pPr>
              <w:jc w:val="center"/>
            </w:pPr>
            <w:r>
              <w:rPr>
                <w:sz w:val="24"/>
                <w:szCs w:val="24"/>
              </w:rPr>
              <w:t>005656</w:t>
            </w:r>
          </w:p>
        </w:tc>
        <w:tc>
          <w:tcPr>
            <w:vAlign w:val="center"/>
          </w:tcPr>
          <w:p>
            <w:pPr>
              <w:jc w:val="center"/>
            </w:pPr>
            <w:r>
              <w:rPr>
                <w:sz w:val="24"/>
                <w:szCs w:val="24"/>
              </w:rPr>
              <w:t>光大保德信安泽债券A</w:t>
            </w:r>
          </w:p>
        </w:tc>
        <w:tc>
          <w:tcPr>
            <w:vAlign w:val="center"/>
          </w:tcPr>
          <w:p>
            <w:pPr>
              <w:jc w:val="center"/>
            </w:pPr>
            <w:r>
              <w:rPr>
                <w:sz w:val="24"/>
                <w:szCs w:val="24"/>
              </w:rPr>
              <w:t>契约型开放式</w:t>
            </w:r>
          </w:p>
        </w:tc>
        <w:tc>
          <w:tcPr>
            <w:vAlign w:val="center"/>
          </w:tcPr>
          <w:p>
            <w:pPr>
              <w:jc w:val="center"/>
            </w:pPr>
            <w:r>
              <w:rPr>
                <w:sz w:val="24"/>
                <w:szCs w:val="24"/>
              </w:rPr>
              <w:t>45,022,253.25</w:t>
            </w:r>
          </w:p>
        </w:tc>
        <w:tc>
          <w:tcPr>
            <w:vAlign w:val="center"/>
          </w:tcPr>
          <w:p>
            <w:pPr>
              <w:jc w:val="center"/>
            </w:pPr>
            <w:r>
              <w:rPr>
                <w:sz w:val="24"/>
                <w:szCs w:val="24"/>
              </w:rPr>
              <w:t>50,285,354.65</w:t>
            </w:r>
          </w:p>
        </w:tc>
        <w:tc>
          <w:tcPr>
            <w:vAlign w:val="center"/>
          </w:tcPr>
          <w:p>
            <w:pPr>
              <w:jc w:val="center"/>
            </w:pPr>
            <w:r>
              <w:rPr>
                <w:sz w:val="24"/>
                <w:szCs w:val="24"/>
              </w:rPr>
              <w:t>5.28</w:t>
            </w:r>
          </w:p>
        </w:tc>
        <w:tc>
          <w:tcPr>
            <w:vAlign w:val="center"/>
          </w:tcPr>
          <w:p>
            <w:pPr>
              <w:jc w:val="center"/>
            </w:pPr>
            <w:r>
              <w:rPr>
                <w:sz w:val="24"/>
                <w:szCs w:val="24"/>
              </w:rPr>
              <w:t>否</w:t>
            </w:r>
          </w:p>
        </w:tc>
      </w:tr>
      <w:tr>
        <w:tc>
          <w:tcPr>
            <w:vAlign w:val="center"/>
          </w:tcPr>
          <w:p>
            <w:pPr>
              <w:jc w:val="center"/>
            </w:pPr>
            <w:r>
              <w:rPr>
                <w:sz w:val="24"/>
                <w:szCs w:val="24"/>
              </w:rPr>
              <w:t>3</w:t>
            </w:r>
          </w:p>
        </w:tc>
        <w:tc>
          <w:tcPr>
            <w:vAlign w:val="center"/>
          </w:tcPr>
          <w:p>
            <w:pPr>
              <w:jc w:val="center"/>
            </w:pPr>
            <w:r>
              <w:rPr>
                <w:sz w:val="24"/>
                <w:szCs w:val="24"/>
              </w:rPr>
              <w:t>161015</w:t>
            </w:r>
          </w:p>
        </w:tc>
        <w:tc>
          <w:tcPr>
            <w:vAlign w:val="center"/>
          </w:tcPr>
          <w:p>
            <w:pPr>
              <w:jc w:val="center"/>
            </w:pPr>
            <w:r>
              <w:rPr>
                <w:sz w:val="24"/>
                <w:szCs w:val="24"/>
              </w:rPr>
              <w:t>富国天盈债券(LOF)C</w:t>
            </w:r>
          </w:p>
        </w:tc>
        <w:tc>
          <w:tcPr>
            <w:vAlign w:val="center"/>
          </w:tcPr>
          <w:p>
            <w:pPr>
              <w:jc w:val="center"/>
            </w:pPr>
            <w:r>
              <w:rPr>
                <w:sz w:val="24"/>
                <w:szCs w:val="24"/>
              </w:rPr>
              <w:t>契约型开放式(LOF)</w:t>
            </w:r>
          </w:p>
        </w:tc>
        <w:tc>
          <w:tcPr>
            <w:vAlign w:val="center"/>
          </w:tcPr>
          <w:p>
            <w:pPr>
              <w:jc w:val="center"/>
            </w:pPr>
            <w:r>
              <w:rPr>
                <w:sz w:val="24"/>
                <w:szCs w:val="24"/>
              </w:rPr>
              <w:t>45,195,697.37</w:t>
            </w:r>
          </w:p>
        </w:tc>
        <w:tc>
          <w:tcPr>
            <w:vAlign w:val="center"/>
          </w:tcPr>
          <w:p>
            <w:pPr>
              <w:jc w:val="center"/>
            </w:pPr>
            <w:r>
              <w:rPr>
                <w:sz w:val="24"/>
                <w:szCs w:val="24"/>
              </w:rPr>
              <w:t>50,271,174.18</w:t>
            </w:r>
          </w:p>
        </w:tc>
        <w:tc>
          <w:tcPr>
            <w:vAlign w:val="center"/>
          </w:tcPr>
          <w:p>
            <w:pPr>
              <w:jc w:val="center"/>
            </w:pPr>
            <w:r>
              <w:rPr>
                <w:sz w:val="24"/>
                <w:szCs w:val="24"/>
              </w:rPr>
              <w:t>5.28</w:t>
            </w:r>
          </w:p>
        </w:tc>
        <w:tc>
          <w:tcPr>
            <w:vAlign w:val="center"/>
          </w:tcPr>
          <w:p>
            <w:pPr>
              <w:jc w:val="center"/>
            </w:pPr>
            <w:r>
              <w:rPr>
                <w:sz w:val="24"/>
                <w:szCs w:val="24"/>
              </w:rPr>
              <w:t>否</w:t>
            </w:r>
          </w:p>
        </w:tc>
      </w:tr>
      <w:tr>
        <w:tc>
          <w:tcPr>
            <w:vAlign w:val="center"/>
          </w:tcPr>
          <w:p>
            <w:pPr>
              <w:jc w:val="center"/>
            </w:pPr>
            <w:r>
              <w:rPr>
                <w:sz w:val="24"/>
                <w:szCs w:val="24"/>
              </w:rPr>
              <w:t>4</w:t>
            </w:r>
          </w:p>
        </w:tc>
        <w:tc>
          <w:tcPr>
            <w:vAlign w:val="center"/>
          </w:tcPr>
          <w:p>
            <w:pPr>
              <w:jc w:val="center"/>
            </w:pPr>
            <w:r>
              <w:rPr>
                <w:sz w:val="24"/>
                <w:szCs w:val="24"/>
              </w:rPr>
              <w:t>675100</w:t>
            </w:r>
          </w:p>
        </w:tc>
        <w:tc>
          <w:tcPr>
            <w:vAlign w:val="center"/>
          </w:tcPr>
          <w:p>
            <w:pPr>
              <w:jc w:val="center"/>
            </w:pPr>
            <w:r>
              <w:rPr>
                <w:sz w:val="24"/>
                <w:szCs w:val="24"/>
              </w:rPr>
              <w:t>西部利得得尊债券A</w:t>
            </w:r>
          </w:p>
        </w:tc>
        <w:tc>
          <w:tcPr>
            <w:vAlign w:val="center"/>
          </w:tcPr>
          <w:p>
            <w:pPr>
              <w:jc w:val="center"/>
            </w:pPr>
            <w:r>
              <w:rPr>
                <w:sz w:val="24"/>
                <w:szCs w:val="24"/>
              </w:rPr>
              <w:t>契约型开放式</w:t>
            </w:r>
          </w:p>
        </w:tc>
        <w:tc>
          <w:tcPr>
            <w:vAlign w:val="center"/>
          </w:tcPr>
          <w:p>
            <w:pPr>
              <w:jc w:val="center"/>
            </w:pPr>
            <w:r>
              <w:rPr>
                <w:sz w:val="24"/>
                <w:szCs w:val="24"/>
              </w:rPr>
              <w:t>42,061,979.99</w:t>
            </w:r>
          </w:p>
        </w:tc>
        <w:tc>
          <w:tcPr>
            <w:vAlign w:val="center"/>
          </w:tcPr>
          <w:p>
            <w:pPr>
              <w:jc w:val="center"/>
            </w:pPr>
            <w:r>
              <w:rPr>
                <w:sz w:val="24"/>
                <w:szCs w:val="24"/>
              </w:rPr>
              <w:t>50,133,673.95</w:t>
            </w:r>
          </w:p>
        </w:tc>
        <w:tc>
          <w:tcPr>
            <w:vAlign w:val="center"/>
          </w:tcPr>
          <w:p>
            <w:pPr>
              <w:jc w:val="center"/>
            </w:pPr>
            <w:r>
              <w:rPr>
                <w:sz w:val="24"/>
                <w:szCs w:val="24"/>
              </w:rPr>
              <w:t>5.26</w:t>
            </w:r>
          </w:p>
        </w:tc>
        <w:tc>
          <w:tcPr>
            <w:vAlign w:val="center"/>
          </w:tcPr>
          <w:p>
            <w:pPr>
              <w:jc w:val="center"/>
            </w:pPr>
            <w:r>
              <w:rPr>
                <w:sz w:val="24"/>
                <w:szCs w:val="24"/>
              </w:rPr>
              <w:t>否</w:t>
            </w:r>
          </w:p>
        </w:tc>
      </w:tr>
      <w:tr>
        <w:tc>
          <w:tcPr>
            <w:vAlign w:val="center"/>
          </w:tcPr>
          <w:p>
            <w:pPr>
              <w:jc w:val="center"/>
            </w:pPr>
            <w:r>
              <w:rPr>
                <w:sz w:val="24"/>
                <w:szCs w:val="24"/>
              </w:rPr>
              <w:t>5</w:t>
            </w:r>
          </w:p>
        </w:tc>
        <w:tc>
          <w:tcPr>
            <w:vAlign w:val="center"/>
          </w:tcPr>
          <w:p>
            <w:pPr>
              <w:jc w:val="center"/>
            </w:pPr>
            <w:r>
              <w:rPr>
                <w:sz w:val="24"/>
                <w:szCs w:val="24"/>
              </w:rPr>
              <w:t>004025</w:t>
            </w:r>
          </w:p>
        </w:tc>
        <w:tc>
          <w:tcPr>
            <w:vAlign w:val="center"/>
          </w:tcPr>
          <w:p>
            <w:pPr>
              <w:jc w:val="center"/>
            </w:pPr>
            <w:r>
              <w:rPr>
                <w:sz w:val="24"/>
                <w:szCs w:val="24"/>
              </w:rPr>
              <w:t>融通收益增强债券A</w:t>
            </w:r>
          </w:p>
        </w:tc>
        <w:tc>
          <w:tcPr>
            <w:vAlign w:val="center"/>
          </w:tcPr>
          <w:p>
            <w:pPr>
              <w:jc w:val="center"/>
            </w:pPr>
            <w:r>
              <w:rPr>
                <w:sz w:val="24"/>
                <w:szCs w:val="24"/>
              </w:rPr>
              <w:t>契约型开放式</w:t>
            </w:r>
          </w:p>
        </w:tc>
        <w:tc>
          <w:tcPr>
            <w:vAlign w:val="center"/>
          </w:tcPr>
          <w:p>
            <w:pPr>
              <w:jc w:val="center"/>
            </w:pPr>
            <w:r>
              <w:rPr>
                <w:sz w:val="24"/>
                <w:szCs w:val="24"/>
              </w:rPr>
              <w:t>36,528,767.12</w:t>
            </w:r>
          </w:p>
        </w:tc>
        <w:tc>
          <w:tcPr>
            <w:vAlign w:val="center"/>
          </w:tcPr>
          <w:p>
            <w:pPr>
              <w:jc w:val="center"/>
            </w:pPr>
            <w:r>
              <w:rPr>
                <w:sz w:val="24"/>
                <w:szCs w:val="24"/>
              </w:rPr>
              <w:t>41,018,152.60</w:t>
            </w:r>
          </w:p>
        </w:tc>
        <w:tc>
          <w:tcPr>
            <w:vAlign w:val="center"/>
          </w:tcPr>
          <w:p>
            <w:pPr>
              <w:jc w:val="center"/>
            </w:pPr>
            <w:r>
              <w:rPr>
                <w:sz w:val="24"/>
                <w:szCs w:val="24"/>
              </w:rPr>
              <w:t>4.30</w:t>
            </w:r>
          </w:p>
        </w:tc>
        <w:tc>
          <w:tcPr>
            <w:vAlign w:val="center"/>
          </w:tcPr>
          <w:p>
            <w:pPr>
              <w:jc w:val="center"/>
            </w:pPr>
            <w:r>
              <w:rPr>
                <w:sz w:val="24"/>
                <w:szCs w:val="24"/>
              </w:rPr>
              <w:t>否</w:t>
            </w:r>
          </w:p>
        </w:tc>
      </w:tr>
      <w:tr>
        <w:tc>
          <w:tcPr>
            <w:vAlign w:val="center"/>
          </w:tcPr>
          <w:p>
            <w:pPr>
              <w:jc w:val="center"/>
            </w:pPr>
            <w:r>
              <w:rPr>
                <w:sz w:val="24"/>
                <w:szCs w:val="24"/>
              </w:rPr>
              <w:t>6</w:t>
            </w:r>
          </w:p>
        </w:tc>
        <w:tc>
          <w:tcPr>
            <w:vAlign w:val="center"/>
          </w:tcPr>
          <w:p>
            <w:pPr>
              <w:jc w:val="center"/>
            </w:pPr>
            <w:r>
              <w:rPr>
                <w:sz w:val="24"/>
                <w:szCs w:val="24"/>
              </w:rPr>
              <w:t>121012</w:t>
            </w:r>
          </w:p>
        </w:tc>
        <w:tc>
          <w:tcPr>
            <w:vAlign w:val="center"/>
          </w:tcPr>
          <w:p>
            <w:pPr>
              <w:jc w:val="center"/>
            </w:pPr>
            <w:r>
              <w:rPr>
                <w:sz w:val="24"/>
                <w:szCs w:val="24"/>
              </w:rPr>
              <w:t>国投瑞银优化增强债券A/B</w:t>
            </w:r>
          </w:p>
        </w:tc>
        <w:tc>
          <w:tcPr>
            <w:vAlign w:val="center"/>
          </w:tcPr>
          <w:p>
            <w:pPr>
              <w:jc w:val="center"/>
            </w:pPr>
            <w:r>
              <w:rPr>
                <w:sz w:val="24"/>
                <w:szCs w:val="24"/>
              </w:rPr>
              <w:t>契约型开放式</w:t>
            </w:r>
          </w:p>
        </w:tc>
        <w:tc>
          <w:tcPr>
            <w:vAlign w:val="center"/>
          </w:tcPr>
          <w:p>
            <w:pPr>
              <w:jc w:val="center"/>
            </w:pPr>
            <w:r>
              <w:rPr>
                <w:sz w:val="24"/>
                <w:szCs w:val="24"/>
              </w:rPr>
              <w:t>24,539,263.80</w:t>
            </w:r>
          </w:p>
        </w:tc>
        <w:tc>
          <w:tcPr>
            <w:vAlign w:val="center"/>
          </w:tcPr>
          <w:p>
            <w:pPr>
              <w:jc w:val="center"/>
            </w:pPr>
            <w:r>
              <w:rPr>
                <w:sz w:val="24"/>
                <w:szCs w:val="24"/>
              </w:rPr>
              <w:t>40,931,492.02</w:t>
            </w:r>
          </w:p>
        </w:tc>
        <w:tc>
          <w:tcPr>
            <w:vAlign w:val="center"/>
          </w:tcPr>
          <w:p>
            <w:pPr>
              <w:jc w:val="center"/>
            </w:pPr>
            <w:r>
              <w:rPr>
                <w:sz w:val="24"/>
                <w:szCs w:val="24"/>
              </w:rPr>
              <w:t>4.30</w:t>
            </w:r>
          </w:p>
        </w:tc>
        <w:tc>
          <w:tcPr>
            <w:vAlign w:val="center"/>
          </w:tcPr>
          <w:p>
            <w:pPr>
              <w:jc w:val="center"/>
            </w:pPr>
            <w:r>
              <w:rPr>
                <w:sz w:val="24"/>
                <w:szCs w:val="24"/>
              </w:rPr>
              <w:t>否</w:t>
            </w:r>
          </w:p>
        </w:tc>
      </w:tr>
      <w:tr>
        <w:tc>
          <w:tcPr>
            <w:vAlign w:val="center"/>
          </w:tcPr>
          <w:p>
            <w:pPr>
              <w:jc w:val="center"/>
            </w:pPr>
            <w:r>
              <w:rPr>
                <w:sz w:val="24"/>
                <w:szCs w:val="24"/>
              </w:rPr>
              <w:t>7</w:t>
            </w:r>
          </w:p>
        </w:tc>
        <w:tc>
          <w:tcPr>
            <w:vAlign w:val="center"/>
          </w:tcPr>
          <w:p>
            <w:pPr>
              <w:jc w:val="center"/>
            </w:pPr>
            <w:r>
              <w:rPr>
                <w:sz w:val="24"/>
                <w:szCs w:val="24"/>
              </w:rPr>
              <w:t>000024</w:t>
            </w:r>
          </w:p>
        </w:tc>
        <w:tc>
          <w:tcPr>
            <w:vAlign w:val="center"/>
          </w:tcPr>
          <w:p>
            <w:pPr>
              <w:jc w:val="center"/>
            </w:pPr>
            <w:r>
              <w:rPr>
                <w:sz w:val="24"/>
                <w:szCs w:val="24"/>
              </w:rPr>
              <w:t>大摩双利增强债券A</w:t>
            </w:r>
          </w:p>
        </w:tc>
        <w:tc>
          <w:tcPr>
            <w:vAlign w:val="center"/>
          </w:tcPr>
          <w:p>
            <w:pPr>
              <w:jc w:val="center"/>
            </w:pPr>
            <w:r>
              <w:rPr>
                <w:sz w:val="24"/>
                <w:szCs w:val="24"/>
              </w:rPr>
              <w:t>契约型开放式</w:t>
            </w:r>
          </w:p>
        </w:tc>
        <w:tc>
          <w:tcPr>
            <w:vAlign w:val="center"/>
          </w:tcPr>
          <w:p>
            <w:pPr>
              <w:jc w:val="center"/>
            </w:pPr>
            <w:r>
              <w:rPr>
                <w:sz w:val="24"/>
                <w:szCs w:val="24"/>
              </w:rPr>
              <w:t>35,025,394.05</w:t>
            </w:r>
          </w:p>
        </w:tc>
        <w:tc>
          <w:tcPr>
            <w:vAlign w:val="center"/>
          </w:tcPr>
          <w:p>
            <w:pPr>
              <w:jc w:val="center"/>
            </w:pPr>
            <w:r>
              <w:rPr>
                <w:sz w:val="24"/>
                <w:szCs w:val="24"/>
              </w:rPr>
              <w:t>40,209,152.37</w:t>
            </w:r>
          </w:p>
        </w:tc>
        <w:tc>
          <w:tcPr>
            <w:vAlign w:val="center"/>
          </w:tcPr>
          <w:p>
            <w:pPr>
              <w:jc w:val="center"/>
            </w:pPr>
            <w:r>
              <w:rPr>
                <w:sz w:val="24"/>
                <w:szCs w:val="24"/>
              </w:rPr>
              <w:t>4.22</w:t>
            </w:r>
          </w:p>
        </w:tc>
        <w:tc>
          <w:tcPr>
            <w:vAlign w:val="center"/>
          </w:tcPr>
          <w:p>
            <w:pPr>
              <w:jc w:val="center"/>
            </w:pPr>
            <w:r>
              <w:rPr>
                <w:sz w:val="24"/>
                <w:szCs w:val="24"/>
              </w:rPr>
              <w:t>否</w:t>
            </w:r>
          </w:p>
        </w:tc>
      </w:tr>
      <w:tr>
        <w:tc>
          <w:tcPr>
            <w:vAlign w:val="center"/>
          </w:tcPr>
          <w:p>
            <w:pPr>
              <w:jc w:val="center"/>
            </w:pPr>
            <w:r>
              <w:rPr>
                <w:sz w:val="24"/>
                <w:szCs w:val="24"/>
              </w:rPr>
              <w:t>8</w:t>
            </w:r>
          </w:p>
        </w:tc>
        <w:tc>
          <w:tcPr>
            <w:vAlign w:val="center"/>
          </w:tcPr>
          <w:p>
            <w:pPr>
              <w:jc w:val="center"/>
            </w:pPr>
            <w:r>
              <w:rPr>
                <w:sz w:val="24"/>
                <w:szCs w:val="24"/>
              </w:rPr>
              <w:t>005004</w:t>
            </w:r>
          </w:p>
        </w:tc>
        <w:tc>
          <w:tcPr>
            <w:vAlign w:val="center"/>
          </w:tcPr>
          <w:p>
            <w:pPr>
              <w:jc w:val="center"/>
            </w:pPr>
            <w:r>
              <w:rPr>
                <w:sz w:val="24"/>
                <w:szCs w:val="24"/>
              </w:rPr>
              <w:t>交银品质升级混合</w:t>
            </w:r>
          </w:p>
        </w:tc>
        <w:tc>
          <w:tcPr>
            <w:vAlign w:val="center"/>
          </w:tcPr>
          <w:p>
            <w:pPr>
              <w:jc w:val="center"/>
            </w:pPr>
            <w:r>
              <w:rPr>
                <w:sz w:val="24"/>
                <w:szCs w:val="24"/>
              </w:rPr>
              <w:t>契约型开放式</w:t>
            </w:r>
          </w:p>
        </w:tc>
        <w:tc>
          <w:tcPr>
            <w:vAlign w:val="center"/>
          </w:tcPr>
          <w:p>
            <w:pPr>
              <w:jc w:val="center"/>
            </w:pPr>
            <w:r>
              <w:rPr>
                <w:sz w:val="24"/>
                <w:szCs w:val="24"/>
              </w:rPr>
              <w:t>17,603,698.04</w:t>
            </w:r>
          </w:p>
        </w:tc>
        <w:tc>
          <w:tcPr>
            <w:vAlign w:val="center"/>
          </w:tcPr>
          <w:p>
            <w:pPr>
              <w:jc w:val="center"/>
            </w:pPr>
            <w:r>
              <w:rPr>
                <w:sz w:val="24"/>
                <w:szCs w:val="24"/>
              </w:rPr>
              <w:t>38,207,066.23</w:t>
            </w:r>
          </w:p>
        </w:tc>
        <w:tc>
          <w:tcPr>
            <w:vAlign w:val="center"/>
          </w:tcPr>
          <w:p>
            <w:pPr>
              <w:jc w:val="center"/>
            </w:pPr>
            <w:r>
              <w:rPr>
                <w:sz w:val="24"/>
                <w:szCs w:val="24"/>
              </w:rPr>
              <w:t>4.01</w:t>
            </w:r>
          </w:p>
        </w:tc>
        <w:tc>
          <w:tcPr>
            <w:vAlign w:val="center"/>
          </w:tcPr>
          <w:p>
            <w:pPr>
              <w:jc w:val="center"/>
            </w:pPr>
            <w:r>
              <w:rPr>
                <w:sz w:val="24"/>
                <w:szCs w:val="24"/>
              </w:rPr>
              <w:t>是</w:t>
            </w:r>
          </w:p>
        </w:tc>
      </w:tr>
      <w:tr>
        <w:tc>
          <w:tcPr>
            <w:vAlign w:val="center"/>
          </w:tcPr>
          <w:p>
            <w:pPr>
              <w:jc w:val="center"/>
            </w:pPr>
            <w:r>
              <w:rPr>
                <w:sz w:val="24"/>
                <w:szCs w:val="24"/>
              </w:rPr>
              <w:t>9</w:t>
            </w:r>
          </w:p>
        </w:tc>
        <w:tc>
          <w:tcPr>
            <w:vAlign w:val="center"/>
          </w:tcPr>
          <w:p>
            <w:pPr>
              <w:jc w:val="center"/>
            </w:pPr>
            <w:r>
              <w:rPr>
                <w:sz w:val="24"/>
                <w:szCs w:val="24"/>
              </w:rPr>
              <w:t>001549</w:t>
            </w:r>
          </w:p>
        </w:tc>
        <w:tc>
          <w:tcPr>
            <w:vAlign w:val="center"/>
          </w:tcPr>
          <w:p>
            <w:pPr>
              <w:jc w:val="center"/>
            </w:pPr>
            <w:r>
              <w:rPr>
                <w:sz w:val="24"/>
                <w:szCs w:val="24"/>
              </w:rPr>
              <w:t>天弘上证50指数C</w:t>
            </w:r>
          </w:p>
        </w:tc>
        <w:tc>
          <w:tcPr>
            <w:vAlign w:val="center"/>
          </w:tcPr>
          <w:p>
            <w:pPr>
              <w:jc w:val="center"/>
            </w:pPr>
            <w:r>
              <w:rPr>
                <w:sz w:val="24"/>
                <w:szCs w:val="24"/>
              </w:rPr>
              <w:t>契约型开放式</w:t>
            </w:r>
          </w:p>
        </w:tc>
        <w:tc>
          <w:tcPr>
            <w:vAlign w:val="center"/>
          </w:tcPr>
          <w:p>
            <w:pPr>
              <w:jc w:val="center"/>
            </w:pPr>
            <w:r>
              <w:rPr>
                <w:sz w:val="24"/>
                <w:szCs w:val="24"/>
              </w:rPr>
              <w:t>24,324,265.22</w:t>
            </w:r>
          </w:p>
        </w:tc>
        <w:tc>
          <w:tcPr>
            <w:vAlign w:val="center"/>
          </w:tcPr>
          <w:p>
            <w:pPr>
              <w:jc w:val="center"/>
            </w:pPr>
            <w:r>
              <w:rPr>
                <w:sz w:val="24"/>
                <w:szCs w:val="24"/>
              </w:rPr>
              <w:t>37,765,854.18</w:t>
            </w:r>
          </w:p>
        </w:tc>
        <w:tc>
          <w:tcPr>
            <w:vAlign w:val="center"/>
          </w:tcPr>
          <w:p>
            <w:pPr>
              <w:jc w:val="center"/>
            </w:pPr>
            <w:r>
              <w:rPr>
                <w:sz w:val="24"/>
                <w:szCs w:val="24"/>
              </w:rPr>
              <w:t>3.96</w:t>
            </w:r>
          </w:p>
        </w:tc>
        <w:tc>
          <w:tcPr>
            <w:vAlign w:val="center"/>
          </w:tcPr>
          <w:p>
            <w:pPr>
              <w:jc w:val="center"/>
            </w:pPr>
            <w:r>
              <w:rPr>
                <w:sz w:val="24"/>
                <w:szCs w:val="24"/>
              </w:rPr>
              <w:t>否</w:t>
            </w:r>
          </w:p>
        </w:tc>
      </w:tr>
      <w:tr>
        <w:tc>
          <w:tcPr>
            <w:vAlign w:val="center"/>
          </w:tcPr>
          <w:p>
            <w:pPr>
              <w:jc w:val="center"/>
            </w:pPr>
            <w:r>
              <w:rPr>
                <w:sz w:val="24"/>
                <w:szCs w:val="24"/>
              </w:rPr>
              <w:t>10</w:t>
            </w:r>
          </w:p>
        </w:tc>
        <w:tc>
          <w:tcPr>
            <w:vAlign w:val="center"/>
          </w:tcPr>
          <w:p>
            <w:pPr>
              <w:jc w:val="center"/>
            </w:pPr>
            <w:r>
              <w:rPr>
                <w:sz w:val="24"/>
                <w:szCs w:val="24"/>
              </w:rPr>
              <w:t>000662</w:t>
            </w:r>
          </w:p>
        </w:tc>
        <w:tc>
          <w:tcPr>
            <w:vAlign w:val="center"/>
          </w:tcPr>
          <w:p>
            <w:pPr>
              <w:jc w:val="center"/>
            </w:pPr>
            <w:r>
              <w:rPr>
                <w:sz w:val="24"/>
                <w:szCs w:val="24"/>
              </w:rPr>
              <w:t>银华活钱宝货币F</w:t>
            </w:r>
          </w:p>
        </w:tc>
        <w:tc>
          <w:tcPr>
            <w:vAlign w:val="center"/>
          </w:tcPr>
          <w:p>
            <w:pPr>
              <w:jc w:val="center"/>
            </w:pPr>
            <w:r>
              <w:rPr>
                <w:sz w:val="24"/>
                <w:szCs w:val="24"/>
              </w:rPr>
              <w:t>契约型开放式</w:t>
            </w:r>
          </w:p>
        </w:tc>
        <w:tc>
          <w:tcPr>
            <w:vAlign w:val="center"/>
          </w:tcPr>
          <w:p>
            <w:pPr>
              <w:jc w:val="center"/>
            </w:pPr>
            <w:r>
              <w:rPr>
                <w:sz w:val="24"/>
                <w:szCs w:val="24"/>
              </w:rPr>
              <w:t>36,304,932.64</w:t>
            </w:r>
          </w:p>
        </w:tc>
        <w:tc>
          <w:tcPr>
            <w:vAlign w:val="center"/>
          </w:tcPr>
          <w:p>
            <w:pPr>
              <w:jc w:val="center"/>
            </w:pPr>
            <w:r>
              <w:rPr>
                <w:sz w:val="24"/>
                <w:szCs w:val="24"/>
              </w:rPr>
              <w:t>36,304,932.64</w:t>
            </w:r>
          </w:p>
        </w:tc>
        <w:tc>
          <w:tcPr>
            <w:vAlign w:val="center"/>
          </w:tcPr>
          <w:p>
            <w:pPr>
              <w:jc w:val="center"/>
            </w:pPr>
            <w:r>
              <w:rPr>
                <w:sz w:val="24"/>
                <w:szCs w:val="24"/>
              </w:rPr>
              <w:t>3.81</w:t>
            </w:r>
          </w:p>
        </w:tc>
        <w:tc>
          <w:tcPr>
            <w:vAlign w:val="center"/>
          </w:tcPr>
          <w:p>
            <w:pPr>
              <w:jc w:val="center"/>
            </w:pPr>
            <w:r>
              <w:rPr>
                <w:sz w:val="24"/>
                <w:szCs w:val="24"/>
              </w:rPr>
              <w:t>否</w:t>
            </w:r>
          </w:p>
        </w:tc>
      </w:tr>
    </w:tbl>
    <w:p w:rsidP="004046D7" w:rsidR="00484942" w:rsidRDefault="00484942" w:rsidRPr="00575270">
      <w:pPr>
        <w:autoSpaceDE w:val="0"/>
        <w:autoSpaceDN w:val="0"/>
        <w:adjustRightInd w:val="0"/>
        <w:spacing w:line="360" w:lineRule="auto"/>
        <w:ind w:firstLine="480" w:firstLineChars="200"/>
        <w:jc w:val="left"/>
        <w:rPr>
          <w:rFonts w:eastAsiaTheme="minorEastAsia"/>
          <w:color w:themeColor="text1" w:val="000000"/>
          <w:sz w:val="24"/>
          <w:szCs w:val="24"/>
        </w:rPr>
      </w:pPr>
    </w:p>
    <w:p w:rsidP="004046D7" w:rsidR="004046D7" w:rsidRDefault="004046D7" w:rsidRPr="00575270">
      <w:pPr>
        <w:adjustRightInd w:val="0"/>
        <w:snapToGrid w:val="0"/>
        <w:spacing w:before="156"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tbl>
      <w:tblPr>
        <w:tblStyle w:val="af7"/>
        <w:tblW w:type="auto" w:w="0"/>
        <w:tblLayout w:type="fixed"/>
        <w:tblLook w:firstColumn="1" w:firstRow="1" w:lastColumn="0" w:lastRow="0" w:noHBand="0" w:noVBand="1" w:val="04A0"/>
      </w:tblPr>
      <w:tblGrid>
        <w:gridCol w:w="3012"/>
        <w:gridCol w:w="3012"/>
        <w:gridCol w:w="3012"/>
      </w:tblGrid>
      <w:tr w:rsidR="004046D7" w:rsidRPr="00575270" w:rsidTr="00B32CA0">
        <w:tc>
          <w:tcPr>
            <w:tcW w:type="dxa" w:w="3012"/>
            <w:vAlign w:val="center"/>
          </w:tcPr>
          <w:p w:rsidP="00374293" w:rsidR="004046D7" w:rsidRDefault="004046D7" w:rsidRPr="00575270">
            <w:pPr>
              <w:adjustRightInd w:val="0"/>
              <w:snapToGrid w:val="0"/>
              <w:spacing w:before="156" w:beforeLines="50" w:line="276" w:lineRule="auto"/>
              <w:jc w:val="center"/>
              <w:rPr>
                <w:rFonts w:eastAsiaTheme="minorEastAsia"/>
                <w:color w:themeColor="text1" w:val="000000"/>
                <w:sz w:val="24"/>
                <w:szCs w:val="24"/>
              </w:rPr>
            </w:pPr>
            <w:r w:rsidRPr="00575270">
              <w:rPr>
                <w:sz w:val="24"/>
                <w:szCs w:val="24"/>
              </w:rPr>
              <w:t>项目</w:t>
            </w:r>
          </w:p>
        </w:tc>
        <w:tc>
          <w:tcPr>
            <w:tcW w:type="dxa" w:w="3012"/>
            <w:vAlign w:val="center"/>
          </w:tcPr>
          <w:p w:rsidP="00B32CA0" w:rsidR="004046D7" w:rsidRDefault="004046D7" w:rsidRPr="00575270">
            <w:pPr>
              <w:spacing w:line="276" w:lineRule="auto"/>
              <w:jc w:val="center"/>
              <w:rPr>
                <w:sz w:val="24"/>
                <w:szCs w:val="24"/>
              </w:rPr>
            </w:pPr>
            <w:r w:rsidRPr="00575270">
              <w:rPr>
                <w:sz w:val="24"/>
                <w:szCs w:val="24"/>
              </w:rPr>
              <w:t>本期费用</w:t>
            </w:r>
          </w:p>
        </w:tc>
        <w:tc>
          <w:tcPr>
            <w:tcW w:type="dxa" w:w="3012"/>
            <w:vAlign w:val="center"/>
          </w:tcPr>
          <w:p w:rsidP="00B32CA0" w:rsidR="004046D7" w:rsidRDefault="004046D7" w:rsidRPr="00575270">
            <w:pPr>
              <w:spacing w:line="276" w:lineRule="auto"/>
              <w:jc w:val="center"/>
              <w:rPr>
                <w:sz w:val="24"/>
                <w:szCs w:val="24"/>
              </w:rPr>
            </w:pPr>
            <w:r w:rsidRPr="00575270">
              <w:rPr>
                <w:sz w:val="24"/>
                <w:szCs w:val="24"/>
              </w:rPr>
              <w:t>其中：交易及持有基金管理人以及管理人关联方所管理基金产生的费用</w:t>
            </w:r>
          </w:p>
        </w:tc>
      </w:tr>
      <w:tr w:rsidR="004046D7" w:rsidRPr="00575270" w:rsidTr="00B32CA0">
        <w:tc>
          <w:tcPr>
            <w:tcW w:type="dxa" w:w="3012"/>
            <w:vAlign w:val="center"/>
          </w:tcPr>
          <w:p w:rsidP="00B32CA0" w:rsidR="004046D7" w:rsidRDefault="004046D7" w:rsidRPr="00575270">
            <w:pPr>
              <w:adjustRightInd w:val="0"/>
              <w:snapToGrid w:val="0"/>
              <w:spacing w:before="156" w:beforeLines="50" w:line="276" w:lineRule="auto"/>
              <w:rPr>
                <w:rFonts w:eastAsiaTheme="minorEastAsia"/>
                <w:color w:themeColor="text1" w:val="000000"/>
                <w:sz w:val="24"/>
                <w:szCs w:val="24"/>
              </w:rPr>
            </w:pPr>
            <w:r w:rsidRPr="00575270">
              <w:rPr>
                <w:sz w:val="24"/>
                <w:szCs w:val="24"/>
              </w:rPr>
              <w:t>当期交易基金产生的申购费</w:t>
            </w:r>
            <w:r w:rsidR="004C4960" w:rsidRPr="00575270">
              <w:rPr>
                <w:sz w:val="24"/>
                <w:szCs w:val="24"/>
              </w:rPr>
              <w:t>（元）</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4,000.00</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color w:themeColor="text1" w:val="000000"/>
                <w:sz w:val="24"/>
                <w:szCs w:val="24"/>
              </w:rPr>
              <w:lastRenderedPageBreak/>
              <w:t/>
            </w:r>
            <w:r w:rsidRPr="00575270">
              <w:rPr>
                <w:rFonts w:eastAsiaTheme="minorEastAsia" w:hint="eastAsia"/>
                <w:color w:themeColor="text1" w:val="000000"/>
                <w:sz w:val="24"/>
                <w:szCs w:val="24"/>
              </w:rPr>
              <w:t>-</w:t>
            </w:r>
          </w:p>
        </w:tc>
      </w:tr>
      <w:tr w:rsidR="004046D7" w:rsidRPr="00575270" w:rsidTr="00B32CA0">
        <w:tc>
          <w:tcPr>
            <w:tcW w:type="dxa" w:w="3012"/>
            <w:vAlign w:val="center"/>
          </w:tcPr>
          <w:p w:rsidP="00B32CA0" w:rsidR="004046D7" w:rsidRDefault="004046D7" w:rsidRPr="00575270">
            <w:pPr>
              <w:adjustRightInd w:val="0"/>
              <w:snapToGrid w:val="0"/>
              <w:spacing w:before="156" w:beforeLines="50" w:line="276" w:lineRule="auto"/>
              <w:rPr>
                <w:rFonts w:eastAsiaTheme="minorEastAsia"/>
                <w:color w:themeColor="text1" w:val="000000"/>
                <w:sz w:val="24"/>
                <w:szCs w:val="24"/>
              </w:rPr>
            </w:pPr>
            <w:r w:rsidRPr="00575270">
              <w:rPr>
                <w:sz w:val="24"/>
                <w:szCs w:val="24"/>
              </w:rPr>
              <w:lastRenderedPageBreak/>
              <w:t>当期交易基金产生的赎回费（元）</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631,532.17</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141,379.62</w:t>
            </w:r>
          </w:p>
        </w:tc>
      </w:tr>
      <w:tr w:rsidR="004046D7" w:rsidRPr="00575270" w:rsidTr="00B32CA0">
        <w:tc>
          <w:tcPr>
            <w:tcW w:type="dxa" w:w="3012"/>
            <w:vAlign w:val="center"/>
          </w:tcPr>
          <w:p w:rsidP="00B32CA0" w:rsidR="004046D7" w:rsidRDefault="004046D7" w:rsidRPr="00575270">
            <w:pPr>
              <w:adjustRightInd w:val="0"/>
              <w:snapToGrid w:val="0"/>
              <w:spacing w:before="156" w:beforeLines="50" w:line="276" w:lineRule="auto"/>
              <w:rPr>
                <w:rFonts w:eastAsiaTheme="minorEastAsia"/>
                <w:color w:themeColor="text1" w:val="000000"/>
                <w:sz w:val="24"/>
                <w:szCs w:val="24"/>
              </w:rPr>
            </w:pPr>
            <w:r w:rsidRPr="00575270">
              <w:rPr>
                <w:sz w:val="24"/>
                <w:szCs w:val="24"/>
              </w:rPr>
              <w:t>当期持有基金产生的应支付销售服务费（元）</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115,589.64</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239.12</w:t>
            </w:r>
          </w:p>
        </w:tc>
      </w:tr>
      <w:tr w:rsidR="004046D7" w:rsidRPr="00575270" w:rsidTr="00B32CA0">
        <w:tc>
          <w:tcPr>
            <w:tcW w:type="dxa" w:w="3012"/>
            <w:vAlign w:val="center"/>
          </w:tcPr>
          <w:p w:rsidP="00B32CA0" w:rsidR="004046D7" w:rsidRDefault="004046D7" w:rsidRPr="00575270">
            <w:pPr>
              <w:adjustRightInd w:val="0"/>
              <w:snapToGrid w:val="0"/>
              <w:spacing w:before="156" w:beforeLines="50" w:line="276" w:lineRule="auto"/>
              <w:rPr>
                <w:rFonts w:eastAsiaTheme="minorEastAsia"/>
                <w:color w:themeColor="text1" w:val="000000"/>
                <w:sz w:val="24"/>
                <w:szCs w:val="24"/>
              </w:rPr>
            </w:pPr>
            <w:r w:rsidRPr="00575270">
              <w:rPr>
                <w:sz w:val="24"/>
                <w:szCs w:val="24"/>
              </w:rPr>
              <w:t>当期持有基金产生的应支付管理费（元）</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1,657,046.33</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693,995.76</w:t>
            </w:r>
          </w:p>
        </w:tc>
      </w:tr>
      <w:tr w:rsidR="004046D7" w:rsidRPr="00575270" w:rsidTr="00B32CA0">
        <w:tc>
          <w:tcPr>
            <w:tcW w:type="dxa" w:w="3012"/>
            <w:vAlign w:val="center"/>
          </w:tcPr>
          <w:p w:rsidP="00B32CA0" w:rsidR="004046D7" w:rsidRDefault="004046D7" w:rsidRPr="00575270">
            <w:pPr>
              <w:adjustRightInd w:val="0"/>
              <w:snapToGrid w:val="0"/>
              <w:spacing w:before="156" w:beforeLines="50" w:line="276" w:lineRule="auto"/>
              <w:rPr>
                <w:rFonts w:eastAsiaTheme="minorEastAsia"/>
                <w:color w:themeColor="text1" w:val="000000"/>
                <w:sz w:val="24"/>
                <w:szCs w:val="24"/>
              </w:rPr>
            </w:pPr>
            <w:r w:rsidRPr="00575270">
              <w:rPr>
                <w:sz w:val="24"/>
                <w:szCs w:val="24"/>
              </w:rPr>
              <w:t>当期持有基金产生的应支付托管费（元）</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338,903.89</w:t>
            </w:r>
          </w:p>
        </w:tc>
        <w:tc>
          <w:tcPr>
            <w:tcW w:type="dxa" w:w="3012"/>
            <w:vAlign w:val="center"/>
          </w:tcPr>
          <w:p w:rsidP="00B32CA0" w:rsidR="004046D7" w:rsidRDefault="004046D7" w:rsidRPr="00575270">
            <w:pPr>
              <w:adjustRightInd w:val="0"/>
              <w:snapToGrid w:val="0"/>
              <w:spacing w:before="156" w:beforeLines="50" w:line="276" w:lineRule="auto"/>
              <w:jc w:val="right"/>
              <w:rPr>
                <w:rFonts w:eastAsiaTheme="minorEastAsia"/>
                <w:color w:themeColor="text1" w:val="000000"/>
                <w:sz w:val="24"/>
                <w:szCs w:val="24"/>
              </w:rPr>
            </w:pP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116,741.87</w:t>
            </w:r>
          </w:p>
        </w:tc>
      </w:tr>
    </w:tbl>
    <w:p>
      <w:pPr>
        <w:autoSpaceDE w:val="0"/>
        <w:autoSpaceDN w:val="0"/>
        <w:adjustRightInd w:val="0"/>
        <w:spacing w:line="360" w:lineRule="auto"/>
        <w:ind w:firstLine="480" w:firstLineChars="200"/>
        <w:jc w:val="left"/>
        <w:rPr>
          <w:rFonts w:eastAsiaTheme="minorEastAsia"/>
          <w:color w:themeColor="text1" w:val="000000"/>
          <w:sz w:val="24"/>
          <w:szCs w:val="24"/>
        </w:rPr>
      </w:pPr>
      <w:r>
        <w:rPr>
          <w:rFonts w:eastAsiaTheme="minorEastAsia"/>
          <w:color w:themeColor="text1" w:val="000000"/>
          <w:sz w:val="24"/>
          <w:szCs w:val="24"/>
        </w:rPr>
        <w:t>注：上述当期持有基金产生的应支付销售服务费、当期持有基金产生的应支付管理费、当期持有基金产生的应支付托管费，是根据被投资基金的实际持仓情况和被投资基金的基金合同约定费率估算得出。该三项费用根据被投资基金的基金合同约定已经作为费用计入被投资基金的基金份额净值，已在本基金所持有基金的净值中体现，不构成本基金的费用。</w:t>
      </w:r>
    </w:p>
    <w:p w:rsidP="004046D7" w:rsidR="004046D7" w:rsidRDefault="004046D7">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根据相关法律法规及本基金合同的约定，基金管理人不得对基金中基金财产中持有的自身管理的基金部分收取基金中基金的管理费，基金托管人不得对基金中基金财产中持有的自身托管的基金部分收取基金中基金的托管费。基金管理人运用本基金财产申购自身管理的其他基金的（ETF除外），应当通过直销渠道申购且不收取申购费、赎回费（按照相关法规、基金招募说明书约定应当收取，并计入基金资产的赎回费用除外）、销售服务费等销售费用，其中申购费、赎回费在实际申购、赎回时按上述规定执行，销售服务费由本基金管理人从被投资基金收取后返还至本基金基金资产。</w:t>
      </w:r>
    </w:p>
    <w:p w:rsidP="004046D7" w:rsidR="00484942" w:rsidRDefault="00484942" w:rsidRPr="00575270">
      <w:pPr>
        <w:autoSpaceDE w:val="0"/>
        <w:autoSpaceDN w:val="0"/>
        <w:adjustRightInd w:val="0"/>
        <w:spacing w:line="360" w:lineRule="auto"/>
        <w:ind w:firstLine="480" w:firstLineChars="200"/>
        <w:jc w:val="left"/>
        <w:rPr>
          <w:rFonts w:eastAsiaTheme="minorEastAsia"/>
          <w:color w:themeColor="text1" w:val="000000"/>
          <w:sz w:val="24"/>
          <w:szCs w:val="24"/>
        </w:rPr>
      </w:pPr>
    </w:p>
    <w:p w:rsidP="004046D7" w:rsidR="004046D7" w:rsidRDefault="004046D7" w:rsidRPr="00575270">
      <w:pPr>
        <w:adjustRightInd w:val="0"/>
        <w:snapToGrid w:val="0"/>
        <w:spacing w:before="156"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9242"/>
      </w:tblGrid>
      <w:tr w:rsidR="004046D7" w:rsidRPr="00575270" w:rsidTr="00B32CA0">
        <w:tc>
          <w:tcPr>
            <w:tcW w:type="dxa" w:w="9036"/>
          </w:tcPr>
          <w:p w:rsidP="00B32CA0" w:rsidR="004046D7" w:rsidRDefault="004046D7"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lastRenderedPageBreak/>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654,747,683.05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94,666,427.33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749,414,110.38</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§9</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9.1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1、中国证监会准予交银施罗德养老目标日期2035三年持有期混合型基金中基金（FOF）募集注册的文件； </w:t>
      </w:r>
    </w:p>
    <w:p>
      <w:pPr>
        <w:spacing w:before="29" w:line="288" w:lineRule="auto"/>
        <w:ind w:firstLine="480" w:firstLineChars="200"/>
        <w:rPr>
          <w:color w:val="000000"/>
          <w:sz w:val="24"/>
          <w:szCs w:val="24"/>
        </w:rPr>
      </w:pPr>
      <w:r>
        <w:rPr>
          <w:color w:val="000000"/>
          <w:sz w:val="24"/>
          <w:szCs w:val="24"/>
        </w:rPr>
        <w:t xml:space="preserve">2、《交银施罗德养老目标日期2035三年持有期混合型基金中基金（FOF）基金合同》； </w:t>
      </w:r>
    </w:p>
    <w:p>
      <w:pPr>
        <w:spacing w:before="29" w:line="288" w:lineRule="auto"/>
        <w:ind w:firstLine="480" w:firstLineChars="200"/>
        <w:rPr>
          <w:color w:val="000000"/>
          <w:sz w:val="24"/>
          <w:szCs w:val="24"/>
        </w:rPr>
      </w:pPr>
      <w:r>
        <w:rPr>
          <w:color w:val="000000"/>
          <w:sz w:val="24"/>
          <w:szCs w:val="24"/>
        </w:rPr>
        <w:t xml:space="preserve">3、《交银施罗德养老目标日期2035三年持有期混合型基金中基金（FOF）招募说明书》； </w:t>
      </w:r>
    </w:p>
    <w:p>
      <w:pPr>
        <w:spacing w:before="29" w:line="288" w:lineRule="auto"/>
        <w:ind w:firstLine="480" w:firstLineChars="200"/>
        <w:rPr>
          <w:color w:val="000000"/>
          <w:sz w:val="24"/>
          <w:szCs w:val="24"/>
        </w:rPr>
      </w:pPr>
      <w:r>
        <w:rPr>
          <w:color w:val="000000"/>
          <w:sz w:val="24"/>
          <w:szCs w:val="24"/>
        </w:rPr>
        <w:t xml:space="preserve">4、《交银施罗德养老目标日期2035三年持有期混合型基金中基金（FOF）托管协议》；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5、关于申请募集注册交银施罗德养老目标日期2035三年持有期混合型基金中基金（FOF）的法律意见书；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8、报告期内交银施罗德养老目标日期2035三年持有期混合型基金中基金（FOF）在指定报刊上各项公告的原稿。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C3F" w:rsidRDefault="009A4C3F" w:rsidP="00876D65">
      <w:r>
        <w:separator/>
      </w:r>
    </w:p>
  </w:endnote>
  <w:endnote w:type="continuationSeparator" w:id="0">
    <w:p w:rsidR="009A4C3F" w:rsidRDefault="009A4C3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F8289A">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F8289A">
      <w:rPr>
        <w:noProof/>
        <w:kern w:val="0"/>
        <w:szCs w:val="21"/>
      </w:rPr>
      <w:t>26</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9A4C3F" w:rsidRDefault="009A4C3F">
      <w:r>
        <w:separator/>
      </w:r>
    </w:p>
  </w:footnote>
  <w:footnote w:id="0" w:type="continuationSeparator">
    <w:p w:rsidP="00876D65" w:rsidR="009A4C3F" w:rsidRDefault="009A4C3F">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交银施罗德养老目标日期2035三年持有期混合型基金中基金（FOF）2020年第4季度报告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0CC"/>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74293"/>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46D7"/>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4942"/>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4960"/>
    <w:rsid w:val="004C702F"/>
    <w:rsid w:val="004D340C"/>
    <w:rsid w:val="004D495A"/>
    <w:rsid w:val="004E5975"/>
    <w:rsid w:val="004E5CD0"/>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02EC"/>
    <w:rsid w:val="00604E50"/>
    <w:rsid w:val="006054CF"/>
    <w:rsid w:val="006066D2"/>
    <w:rsid w:val="006075E6"/>
    <w:rsid w:val="006076AE"/>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C3F"/>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0A87"/>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0E54"/>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289A"/>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14A0-9906-4AE9-AE37-52BEDB7C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26</Pages>
  <Words>4165</Words>
  <Characters>23744</Characters>
  <Application>Microsoft Office Word</Application>
  <DocSecurity>0</DocSecurity>
  <Lines>197</Lines>
  <Paragraphs>55</Paragraphs>
  <ScaleCrop>false</ScaleCrop>
  <Company/>
  <LinksUpToDate>false</LinksUpToDate>
  <CharactersWithSpaces>27854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2019-11-29T02:14:00Z</dcterms:modified>
  <cp:revision>604</cp:revision>
</cp:coreProperties>
</file>