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2A7" w:rsidRDefault="006C62A7">
      <w:pPr>
        <w:autoSpaceDE w:val="0"/>
        <w:autoSpaceDN w:val="0"/>
        <w:adjustRightInd w:val="0"/>
        <w:spacing w:before="29" w:line="288" w:lineRule="auto"/>
        <w:jc w:val="left"/>
        <w:rPr>
          <w:color w:val="000000"/>
          <w:kern w:val="0"/>
          <w:sz w:val="24"/>
        </w:rPr>
      </w:pPr>
    </w:p>
    <w:p w:rsidR="006C62A7" w:rsidRDefault="006C62A7">
      <w:pPr>
        <w:autoSpaceDE w:val="0"/>
        <w:autoSpaceDN w:val="0"/>
        <w:adjustRightInd w:val="0"/>
        <w:spacing w:before="29" w:line="288" w:lineRule="auto"/>
        <w:jc w:val="left"/>
        <w:rPr>
          <w:color w:val="000000"/>
          <w:kern w:val="0"/>
          <w:sz w:val="24"/>
        </w:rPr>
      </w:pPr>
    </w:p>
    <w:p w:rsidR="006C62A7" w:rsidRDefault="006C62A7">
      <w:pPr>
        <w:autoSpaceDE w:val="0"/>
        <w:autoSpaceDN w:val="0"/>
        <w:adjustRightInd w:val="0"/>
        <w:spacing w:before="29" w:line="288" w:lineRule="auto"/>
        <w:jc w:val="left"/>
        <w:rPr>
          <w:color w:val="000000"/>
          <w:kern w:val="0"/>
          <w:sz w:val="24"/>
        </w:rPr>
      </w:pPr>
    </w:p>
    <w:p w:rsidR="006C62A7" w:rsidRDefault="006C62A7">
      <w:pPr>
        <w:autoSpaceDE w:val="0"/>
        <w:autoSpaceDN w:val="0"/>
        <w:adjustRightInd w:val="0"/>
        <w:spacing w:before="29" w:line="288" w:lineRule="auto"/>
        <w:jc w:val="left"/>
        <w:rPr>
          <w:color w:val="000000"/>
          <w:kern w:val="0"/>
          <w:sz w:val="24"/>
        </w:rPr>
      </w:pPr>
    </w:p>
    <w:p w:rsidR="006C62A7" w:rsidRDefault="005422E0">
      <w:pPr>
        <w:spacing w:before="29" w:line="288" w:lineRule="auto"/>
        <w:jc w:val="center"/>
        <w:rPr>
          <w:b/>
          <w:sz w:val="36"/>
          <w:szCs w:val="36"/>
        </w:rPr>
      </w:pPr>
      <w:r>
        <w:rPr>
          <w:b/>
          <w:sz w:val="36"/>
          <w:szCs w:val="36"/>
        </w:rPr>
        <w:t>交银施罗德中证海外中国互联网指数型证券投资基金</w:t>
      </w:r>
      <w:r>
        <w:rPr>
          <w:b/>
          <w:sz w:val="36"/>
          <w:szCs w:val="36"/>
        </w:rPr>
        <w:t>(LOF)</w:t>
      </w:r>
    </w:p>
    <w:p w:rsidR="006C62A7" w:rsidRDefault="005422E0">
      <w:pPr>
        <w:spacing w:before="29" w:line="288" w:lineRule="auto"/>
        <w:jc w:val="center"/>
        <w:rPr>
          <w:b/>
          <w:sz w:val="36"/>
          <w:szCs w:val="36"/>
        </w:rPr>
      </w:pPr>
      <w:r>
        <w:rPr>
          <w:b/>
          <w:sz w:val="36"/>
          <w:szCs w:val="36"/>
        </w:rPr>
        <w:t>2020</w:t>
      </w:r>
      <w:r>
        <w:rPr>
          <w:b/>
          <w:sz w:val="36"/>
          <w:szCs w:val="36"/>
        </w:rPr>
        <w:t>年第</w:t>
      </w:r>
      <w:r>
        <w:rPr>
          <w:b/>
          <w:sz w:val="36"/>
          <w:szCs w:val="36"/>
        </w:rPr>
        <w:t>4</w:t>
      </w:r>
      <w:r>
        <w:rPr>
          <w:b/>
          <w:sz w:val="36"/>
          <w:szCs w:val="36"/>
        </w:rPr>
        <w:t>季度报告</w:t>
      </w:r>
    </w:p>
    <w:p w:rsidR="006C62A7" w:rsidRDefault="005422E0">
      <w:pPr>
        <w:spacing w:before="29" w:line="288" w:lineRule="auto"/>
        <w:jc w:val="center"/>
        <w:rPr>
          <w:b/>
          <w:sz w:val="36"/>
          <w:szCs w:val="36"/>
        </w:rPr>
      </w:pPr>
      <w:r>
        <w:rPr>
          <w:b/>
          <w:sz w:val="36"/>
          <w:szCs w:val="36"/>
        </w:rPr>
        <w:t>2020</w:t>
      </w:r>
      <w:r>
        <w:rPr>
          <w:b/>
          <w:sz w:val="36"/>
          <w:szCs w:val="36"/>
        </w:rPr>
        <w:t>年</w:t>
      </w:r>
      <w:r>
        <w:rPr>
          <w:b/>
          <w:sz w:val="36"/>
          <w:szCs w:val="36"/>
        </w:rPr>
        <w:t>12</w:t>
      </w:r>
      <w:r>
        <w:rPr>
          <w:b/>
          <w:sz w:val="36"/>
          <w:szCs w:val="36"/>
        </w:rPr>
        <w:t>月</w:t>
      </w:r>
      <w:r>
        <w:rPr>
          <w:b/>
          <w:sz w:val="36"/>
          <w:szCs w:val="36"/>
        </w:rPr>
        <w:t>31</w:t>
      </w:r>
      <w:r>
        <w:rPr>
          <w:b/>
          <w:sz w:val="36"/>
          <w:szCs w:val="36"/>
        </w:rPr>
        <w:t>日</w:t>
      </w:r>
    </w:p>
    <w:p w:rsidR="006C62A7" w:rsidRDefault="006C62A7">
      <w:pPr>
        <w:spacing w:before="29" w:line="288" w:lineRule="auto"/>
        <w:jc w:val="center"/>
        <w:rPr>
          <w:b/>
          <w:color w:val="000000"/>
          <w:sz w:val="24"/>
        </w:rPr>
      </w:pPr>
      <w:bookmarkStart w:id="0" w:name="_GoBack"/>
      <w:bookmarkEnd w:id="0"/>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jc w:val="center"/>
        <w:rPr>
          <w:b/>
          <w:color w:val="000000"/>
          <w:sz w:val="24"/>
        </w:rPr>
      </w:pPr>
    </w:p>
    <w:p w:rsidR="006C62A7" w:rsidRDefault="006C62A7">
      <w:pPr>
        <w:spacing w:before="29" w:line="288" w:lineRule="auto"/>
        <w:ind w:firstLineChars="900" w:firstLine="2168"/>
        <w:rPr>
          <w:b/>
          <w:color w:val="000000"/>
          <w:sz w:val="24"/>
        </w:rPr>
      </w:pPr>
    </w:p>
    <w:p w:rsidR="006C62A7" w:rsidRDefault="005422E0">
      <w:pPr>
        <w:spacing w:before="29" w:line="288" w:lineRule="auto"/>
        <w:ind w:firstLineChars="900" w:firstLine="2168"/>
        <w:rPr>
          <w:b/>
          <w:color w:val="000000"/>
          <w:sz w:val="24"/>
        </w:rPr>
      </w:pPr>
      <w:r>
        <w:rPr>
          <w:b/>
          <w:color w:val="000000"/>
          <w:sz w:val="24"/>
        </w:rPr>
        <w:t>基金管理人：交银施罗德基金管理有限公司</w:t>
      </w:r>
    </w:p>
    <w:p w:rsidR="006C62A7" w:rsidRDefault="005422E0">
      <w:pPr>
        <w:spacing w:before="29" w:line="288" w:lineRule="auto"/>
        <w:ind w:firstLineChars="900" w:firstLine="2168"/>
        <w:rPr>
          <w:b/>
          <w:color w:val="000000"/>
          <w:sz w:val="24"/>
        </w:rPr>
      </w:pPr>
      <w:r>
        <w:rPr>
          <w:b/>
          <w:color w:val="000000"/>
          <w:sz w:val="24"/>
        </w:rPr>
        <w:t>基金托管人：中国农业银行股份有限公司</w:t>
      </w:r>
    </w:p>
    <w:p w:rsidR="006C62A7" w:rsidRDefault="005422E0">
      <w:pPr>
        <w:spacing w:before="29" w:line="288" w:lineRule="auto"/>
        <w:ind w:firstLineChars="900" w:firstLine="2168"/>
        <w:rPr>
          <w:b/>
          <w:color w:val="000000"/>
          <w:sz w:val="24"/>
        </w:rPr>
      </w:pPr>
      <w:r>
        <w:rPr>
          <w:b/>
          <w:color w:val="000000"/>
          <w:sz w:val="24"/>
        </w:rPr>
        <w:t>报告送出日期：二〇二一年一月二十一日</w:t>
      </w:r>
    </w:p>
    <w:p w:rsidR="006C62A7" w:rsidRDefault="006C62A7">
      <w:pPr>
        <w:spacing w:before="29" w:line="288" w:lineRule="auto"/>
        <w:ind w:firstLineChars="900" w:firstLine="2168"/>
        <w:rPr>
          <w:b/>
          <w:color w:val="000000"/>
          <w:sz w:val="24"/>
        </w:rPr>
        <w:sectPr w:rsidR="006C62A7">
          <w:headerReference w:type="even" r:id="rId7"/>
          <w:headerReference w:type="default" r:id="rId8"/>
          <w:footerReference w:type="even" r:id="rId9"/>
          <w:footerReference w:type="default" r:id="rId10"/>
          <w:headerReference w:type="first" r:id="rId11"/>
          <w:footerReference w:type="first" r:id="rId12"/>
          <w:pgSz w:w="11926" w:h="15840"/>
          <w:pgMar w:top="1418" w:right="1440" w:bottom="851" w:left="1440" w:header="851" w:footer="992" w:gutter="0"/>
          <w:cols w:space="720"/>
          <w:titlePg/>
          <w:docGrid w:linePitch="286"/>
        </w:sectPr>
      </w:pPr>
    </w:p>
    <w:p w:rsidR="006C62A7" w:rsidRDefault="005422E0">
      <w:pPr>
        <w:pStyle w:val="1"/>
        <w:spacing w:beforeLines="100" w:before="312" w:afterLines="100" w:after="312" w:line="288" w:lineRule="auto"/>
        <w:jc w:val="center"/>
        <w:rPr>
          <w:b w:val="0"/>
          <w:color w:val="000000"/>
          <w:kern w:val="0"/>
          <w:sz w:val="24"/>
          <w:szCs w:val="24"/>
        </w:rPr>
      </w:pPr>
      <w:r>
        <w:rPr>
          <w:color w:val="000000"/>
          <w:kern w:val="0"/>
          <w:sz w:val="24"/>
          <w:szCs w:val="24"/>
        </w:rPr>
        <w:lastRenderedPageBreak/>
        <w:t xml:space="preserve">§1  </w:t>
      </w:r>
      <w:r>
        <w:rPr>
          <w:color w:val="000000"/>
          <w:kern w:val="0"/>
          <w:sz w:val="24"/>
          <w:szCs w:val="24"/>
        </w:rPr>
        <w:t>重要提示</w:t>
      </w:r>
    </w:p>
    <w:p w:rsidR="006C62A7" w:rsidRDefault="005422E0">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C62A7" w:rsidRDefault="005422E0">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2021</w:t>
      </w:r>
      <w:r>
        <w:rPr>
          <w:color w:val="000000"/>
          <w:sz w:val="24"/>
        </w:rPr>
        <w:t>年</w:t>
      </w:r>
      <w:r>
        <w:rPr>
          <w:color w:val="000000"/>
          <w:sz w:val="24"/>
        </w:rPr>
        <w:t>1</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C62A7" w:rsidRDefault="005422E0">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C62A7" w:rsidRDefault="005422E0">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6C62A7" w:rsidRDefault="005422E0">
      <w:pPr>
        <w:spacing w:before="29" w:line="288" w:lineRule="auto"/>
        <w:ind w:firstLineChars="200" w:firstLine="480"/>
        <w:rPr>
          <w:color w:val="000000"/>
          <w:sz w:val="24"/>
        </w:rPr>
      </w:pPr>
      <w:r>
        <w:rPr>
          <w:color w:val="000000"/>
          <w:sz w:val="24"/>
        </w:rPr>
        <w:t>本报告中财务资料未经审计。</w:t>
      </w:r>
    </w:p>
    <w:p w:rsidR="006C62A7" w:rsidRDefault="005422E0">
      <w:pPr>
        <w:spacing w:before="29" w:line="288" w:lineRule="auto"/>
        <w:ind w:firstLineChars="200" w:firstLine="480"/>
        <w:rPr>
          <w:color w:val="000000"/>
          <w:sz w:val="24"/>
        </w:rPr>
      </w:pPr>
      <w:r>
        <w:rPr>
          <w:color w:val="000000"/>
          <w:sz w:val="24"/>
        </w:rPr>
        <w:t>本报告期自</w:t>
      </w:r>
      <w:r>
        <w:rPr>
          <w:color w:val="000000"/>
          <w:sz w:val="24"/>
        </w:rPr>
        <w:t>2020</w:t>
      </w:r>
      <w:r>
        <w:rPr>
          <w:color w:val="000000"/>
          <w:sz w:val="24"/>
        </w:rPr>
        <w:t>年</w:t>
      </w:r>
      <w:r>
        <w:rPr>
          <w:color w:val="000000"/>
          <w:sz w:val="24"/>
        </w:rPr>
        <w:t>10</w:t>
      </w:r>
      <w:r>
        <w:rPr>
          <w:color w:val="000000"/>
          <w:sz w:val="24"/>
        </w:rPr>
        <w:t>月</w:t>
      </w:r>
      <w:r>
        <w:rPr>
          <w:color w:val="000000"/>
          <w:sz w:val="24"/>
        </w:rPr>
        <w:t>1</w:t>
      </w:r>
      <w:r>
        <w:rPr>
          <w:color w:val="000000"/>
          <w:sz w:val="24"/>
        </w:rPr>
        <w:t>日起至</w:t>
      </w:r>
      <w:r>
        <w:rPr>
          <w:color w:val="000000"/>
          <w:sz w:val="24"/>
        </w:rPr>
        <w:t>12</w:t>
      </w:r>
      <w:r>
        <w:rPr>
          <w:color w:val="000000"/>
          <w:sz w:val="24"/>
        </w:rPr>
        <w:t>月</w:t>
      </w:r>
      <w:r>
        <w:rPr>
          <w:color w:val="000000"/>
          <w:sz w:val="24"/>
        </w:rPr>
        <w:t>31</w:t>
      </w:r>
      <w:r>
        <w:rPr>
          <w:color w:val="000000"/>
          <w:sz w:val="24"/>
        </w:rPr>
        <w:t>日止。</w:t>
      </w:r>
    </w:p>
    <w:p w:rsidR="006C62A7" w:rsidRDefault="006C62A7">
      <w:pPr>
        <w:spacing w:before="29" w:line="288" w:lineRule="auto"/>
        <w:ind w:firstLineChars="200" w:firstLine="480"/>
        <w:rPr>
          <w:color w:val="000000"/>
          <w:sz w:val="24"/>
        </w:rPr>
      </w:pPr>
    </w:p>
    <w:p w:rsidR="006C62A7" w:rsidRDefault="005422E0">
      <w:pPr>
        <w:pStyle w:val="1"/>
        <w:spacing w:beforeLines="100" w:before="312" w:afterLines="100" w:after="312" w:line="288" w:lineRule="auto"/>
        <w:jc w:val="center"/>
        <w:rPr>
          <w:color w:val="000000"/>
          <w:kern w:val="0"/>
          <w:sz w:val="24"/>
          <w:szCs w:val="24"/>
        </w:rPr>
      </w:pPr>
      <w:r>
        <w:rPr>
          <w:color w:val="000000"/>
          <w:kern w:val="0"/>
          <w:sz w:val="24"/>
          <w:szCs w:val="24"/>
        </w:rPr>
        <w:t xml:space="preserve">§2  </w:t>
      </w:r>
      <w:r>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5"/>
        <w:gridCol w:w="5733"/>
      </w:tblGrid>
      <w:tr w:rsidR="006C62A7">
        <w:trPr>
          <w:jc w:val="center"/>
        </w:trPr>
        <w:tc>
          <w:tcPr>
            <w:tcW w:w="3135" w:type="dxa"/>
            <w:vAlign w:val="center"/>
          </w:tcPr>
          <w:p w:rsidR="006C62A7" w:rsidRDefault="005422E0">
            <w:pPr>
              <w:adjustRightInd w:val="0"/>
              <w:spacing w:before="29" w:line="288" w:lineRule="auto"/>
              <w:ind w:left="17"/>
              <w:jc w:val="left"/>
              <w:rPr>
                <w:kern w:val="0"/>
                <w:sz w:val="24"/>
              </w:rPr>
            </w:pPr>
            <w:r>
              <w:rPr>
                <w:kern w:val="0"/>
                <w:sz w:val="24"/>
              </w:rPr>
              <w:t>基金简称</w:t>
            </w:r>
          </w:p>
        </w:tc>
        <w:tc>
          <w:tcPr>
            <w:tcW w:w="5733" w:type="dxa"/>
            <w:vAlign w:val="center"/>
          </w:tcPr>
          <w:p w:rsidR="006C62A7" w:rsidRDefault="005422E0">
            <w:pPr>
              <w:adjustRightInd w:val="0"/>
              <w:spacing w:before="29" w:line="288" w:lineRule="auto"/>
              <w:ind w:left="17"/>
              <w:jc w:val="left"/>
              <w:rPr>
                <w:color w:val="000000"/>
                <w:kern w:val="0"/>
                <w:sz w:val="24"/>
              </w:rPr>
            </w:pPr>
            <w:r>
              <w:rPr>
                <w:color w:val="000000"/>
                <w:kern w:val="0"/>
                <w:sz w:val="24"/>
              </w:rPr>
              <w:t>交银中证海外中国互联网指数</w:t>
            </w:r>
            <w:r>
              <w:rPr>
                <w:color w:val="000000"/>
                <w:kern w:val="0"/>
                <w:sz w:val="24"/>
              </w:rPr>
              <w:t>(QDII-LOF)</w:t>
            </w:r>
          </w:p>
        </w:tc>
      </w:tr>
      <w:tr w:rsidR="006C62A7">
        <w:trPr>
          <w:jc w:val="center"/>
        </w:trPr>
        <w:tc>
          <w:tcPr>
            <w:tcW w:w="3135" w:type="dxa"/>
            <w:vAlign w:val="center"/>
          </w:tcPr>
          <w:p w:rsidR="006C62A7" w:rsidRDefault="005422E0">
            <w:pPr>
              <w:adjustRightInd w:val="0"/>
              <w:spacing w:before="29" w:line="288" w:lineRule="auto"/>
              <w:ind w:left="17"/>
              <w:jc w:val="left"/>
              <w:rPr>
                <w:kern w:val="0"/>
                <w:sz w:val="24"/>
              </w:rPr>
            </w:pPr>
            <w:r>
              <w:rPr>
                <w:rFonts w:hint="eastAsia"/>
                <w:kern w:val="0"/>
                <w:sz w:val="24"/>
              </w:rPr>
              <w:t>场内简称</w:t>
            </w:r>
          </w:p>
        </w:tc>
        <w:tc>
          <w:tcPr>
            <w:tcW w:w="5733" w:type="dxa"/>
            <w:vAlign w:val="center"/>
          </w:tcPr>
          <w:p w:rsidR="006C62A7" w:rsidRDefault="005422E0">
            <w:pPr>
              <w:adjustRightInd w:val="0"/>
              <w:spacing w:before="29" w:line="288" w:lineRule="auto"/>
              <w:ind w:left="17"/>
              <w:jc w:val="left"/>
              <w:rPr>
                <w:color w:val="000000"/>
                <w:kern w:val="0"/>
                <w:sz w:val="24"/>
              </w:rPr>
            </w:pPr>
            <w:r>
              <w:rPr>
                <w:color w:val="000000"/>
                <w:kern w:val="0"/>
                <w:sz w:val="24"/>
              </w:rPr>
              <w:t>中国互联</w:t>
            </w:r>
          </w:p>
        </w:tc>
      </w:tr>
      <w:tr w:rsidR="006C62A7">
        <w:trPr>
          <w:jc w:val="center"/>
        </w:trPr>
        <w:tc>
          <w:tcPr>
            <w:tcW w:w="3135" w:type="dxa"/>
            <w:vAlign w:val="center"/>
          </w:tcPr>
          <w:p w:rsidR="006C62A7" w:rsidRDefault="005422E0">
            <w:pPr>
              <w:adjustRightInd w:val="0"/>
              <w:spacing w:before="29" w:line="288" w:lineRule="auto"/>
              <w:ind w:left="17"/>
              <w:jc w:val="left"/>
              <w:rPr>
                <w:kern w:val="0"/>
                <w:sz w:val="24"/>
              </w:rPr>
            </w:pPr>
            <w:r>
              <w:rPr>
                <w:kern w:val="0"/>
                <w:sz w:val="24"/>
              </w:rPr>
              <w:t>基金主代码</w:t>
            </w:r>
          </w:p>
        </w:tc>
        <w:tc>
          <w:tcPr>
            <w:tcW w:w="5733" w:type="dxa"/>
            <w:vAlign w:val="center"/>
          </w:tcPr>
          <w:p w:rsidR="006C62A7" w:rsidRDefault="005422E0">
            <w:pPr>
              <w:adjustRightInd w:val="0"/>
              <w:spacing w:before="29" w:line="288" w:lineRule="auto"/>
              <w:ind w:left="17"/>
              <w:jc w:val="left"/>
              <w:rPr>
                <w:color w:val="000000"/>
                <w:kern w:val="0"/>
                <w:sz w:val="24"/>
              </w:rPr>
            </w:pPr>
            <w:r>
              <w:rPr>
                <w:color w:val="000000"/>
                <w:kern w:val="0"/>
                <w:sz w:val="24"/>
              </w:rPr>
              <w:t>164906</w:t>
            </w:r>
          </w:p>
        </w:tc>
      </w:tr>
      <w:tr w:rsidR="006C62A7">
        <w:trPr>
          <w:jc w:val="center"/>
        </w:trPr>
        <w:tc>
          <w:tcPr>
            <w:tcW w:w="3135" w:type="dxa"/>
            <w:vAlign w:val="center"/>
          </w:tcPr>
          <w:p w:rsidR="006C62A7" w:rsidRDefault="005422E0">
            <w:pPr>
              <w:adjustRightInd w:val="0"/>
              <w:spacing w:before="29" w:line="288" w:lineRule="auto"/>
              <w:ind w:left="17"/>
              <w:jc w:val="left"/>
              <w:rPr>
                <w:kern w:val="0"/>
                <w:sz w:val="24"/>
              </w:rPr>
            </w:pPr>
            <w:r>
              <w:rPr>
                <w:kern w:val="0"/>
                <w:sz w:val="24"/>
              </w:rPr>
              <w:t>交易代码</w:t>
            </w:r>
          </w:p>
        </w:tc>
        <w:tc>
          <w:tcPr>
            <w:tcW w:w="5733" w:type="dxa"/>
            <w:vAlign w:val="center"/>
          </w:tcPr>
          <w:p w:rsidR="006C62A7" w:rsidRDefault="005422E0">
            <w:pPr>
              <w:adjustRightInd w:val="0"/>
              <w:spacing w:before="29" w:line="288" w:lineRule="auto"/>
              <w:ind w:left="17"/>
              <w:jc w:val="left"/>
              <w:rPr>
                <w:color w:val="000000"/>
                <w:kern w:val="0"/>
                <w:sz w:val="24"/>
              </w:rPr>
            </w:pPr>
            <w:r>
              <w:rPr>
                <w:kern w:val="0"/>
                <w:sz w:val="24"/>
              </w:rPr>
              <w:t>164906</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t>基金运作方式</w:t>
            </w:r>
          </w:p>
        </w:tc>
        <w:tc>
          <w:tcPr>
            <w:tcW w:w="5733" w:type="dxa"/>
            <w:vAlign w:val="center"/>
          </w:tcPr>
          <w:p w:rsidR="006C62A7" w:rsidRDefault="005422E0">
            <w:pPr>
              <w:adjustRightInd w:val="0"/>
              <w:spacing w:before="29" w:line="288" w:lineRule="auto"/>
              <w:ind w:left="17"/>
              <w:jc w:val="left"/>
              <w:rPr>
                <w:color w:val="000000"/>
                <w:sz w:val="24"/>
              </w:rPr>
            </w:pPr>
            <w:r>
              <w:rPr>
                <w:color w:val="000000"/>
                <w:kern w:val="0"/>
                <w:sz w:val="24"/>
              </w:rPr>
              <w:t>上市契约型开放式</w:t>
            </w:r>
            <w:r>
              <w:rPr>
                <w:color w:val="000000"/>
                <w:kern w:val="0"/>
                <w:sz w:val="24"/>
              </w:rPr>
              <w:t>(LOF)</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t>基金合同生效日</w:t>
            </w:r>
          </w:p>
        </w:tc>
        <w:tc>
          <w:tcPr>
            <w:tcW w:w="5733" w:type="dxa"/>
            <w:vAlign w:val="center"/>
          </w:tcPr>
          <w:p w:rsidR="006C62A7" w:rsidRDefault="005422E0">
            <w:pPr>
              <w:adjustRightInd w:val="0"/>
              <w:spacing w:before="29" w:line="288" w:lineRule="auto"/>
              <w:ind w:left="17"/>
              <w:jc w:val="left"/>
              <w:rPr>
                <w:color w:val="000000"/>
                <w:kern w:val="0"/>
                <w:sz w:val="24"/>
              </w:rPr>
            </w:pPr>
            <w:r>
              <w:rPr>
                <w:color w:val="000000"/>
                <w:kern w:val="0"/>
                <w:sz w:val="24"/>
              </w:rPr>
              <w:t>2015</w:t>
            </w:r>
            <w:r>
              <w:rPr>
                <w:color w:val="000000"/>
                <w:kern w:val="0"/>
                <w:sz w:val="24"/>
              </w:rPr>
              <w:t>年</w:t>
            </w:r>
            <w:r>
              <w:rPr>
                <w:color w:val="000000"/>
                <w:kern w:val="0"/>
                <w:sz w:val="24"/>
              </w:rPr>
              <w:t>5</w:t>
            </w:r>
            <w:r>
              <w:rPr>
                <w:color w:val="000000"/>
                <w:kern w:val="0"/>
                <w:sz w:val="24"/>
              </w:rPr>
              <w:t>月</w:t>
            </w:r>
            <w:r>
              <w:rPr>
                <w:color w:val="000000"/>
                <w:kern w:val="0"/>
                <w:sz w:val="24"/>
              </w:rPr>
              <w:t>27</w:t>
            </w:r>
            <w:r>
              <w:rPr>
                <w:color w:val="000000"/>
                <w:kern w:val="0"/>
                <w:sz w:val="24"/>
              </w:rPr>
              <w:t>日</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t>报告期末基金份额总额</w:t>
            </w:r>
          </w:p>
        </w:tc>
        <w:tc>
          <w:tcPr>
            <w:tcW w:w="5733" w:type="dxa"/>
            <w:vAlign w:val="center"/>
          </w:tcPr>
          <w:p w:rsidR="006C62A7" w:rsidRDefault="005422E0">
            <w:pPr>
              <w:adjustRightInd w:val="0"/>
              <w:spacing w:before="29" w:line="288" w:lineRule="auto"/>
              <w:ind w:left="17"/>
              <w:jc w:val="left"/>
              <w:rPr>
                <w:color w:val="000000"/>
                <w:sz w:val="24"/>
              </w:rPr>
            </w:pPr>
            <w:r>
              <w:rPr>
                <w:color w:val="000000"/>
                <w:kern w:val="0"/>
                <w:sz w:val="24"/>
              </w:rPr>
              <w:t>998,119,188.39</w:t>
            </w:r>
            <w:r>
              <w:rPr>
                <w:color w:val="000000"/>
                <w:kern w:val="0"/>
                <w:sz w:val="24"/>
              </w:rPr>
              <w:t>份</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t>投资目标</w:t>
            </w:r>
          </w:p>
        </w:tc>
        <w:tc>
          <w:tcPr>
            <w:tcW w:w="5733" w:type="dxa"/>
            <w:vAlign w:val="center"/>
          </w:tcPr>
          <w:p w:rsidR="006C62A7" w:rsidRDefault="005422E0">
            <w:pPr>
              <w:adjustRightInd w:val="0"/>
              <w:spacing w:before="29" w:line="288" w:lineRule="auto"/>
              <w:ind w:left="17"/>
              <w:jc w:val="left"/>
              <w:rPr>
                <w:color w:val="000000"/>
                <w:sz w:val="24"/>
              </w:rPr>
            </w:pPr>
            <w:r>
              <w:rPr>
                <w:color w:val="000000"/>
                <w:kern w:val="0"/>
                <w:sz w:val="24"/>
              </w:rPr>
              <w:t>本基金紧密跟踪标的指数，追求跟踪偏离度与跟踪误差最小化。本基金力争控制本基金日均跟踪偏离度的绝对值不超过</w:t>
            </w:r>
            <w:r>
              <w:rPr>
                <w:color w:val="000000"/>
                <w:kern w:val="0"/>
                <w:sz w:val="24"/>
              </w:rPr>
              <w:t>0.5%</w:t>
            </w:r>
            <w:r>
              <w:rPr>
                <w:color w:val="000000"/>
                <w:kern w:val="0"/>
                <w:sz w:val="24"/>
              </w:rPr>
              <w:t>，年跟踪误差不超过</w:t>
            </w:r>
            <w:r>
              <w:rPr>
                <w:color w:val="000000"/>
                <w:kern w:val="0"/>
                <w:sz w:val="24"/>
              </w:rPr>
              <w:t>5%</w:t>
            </w:r>
            <w:r>
              <w:rPr>
                <w:color w:val="000000"/>
                <w:kern w:val="0"/>
                <w:sz w:val="24"/>
              </w:rPr>
              <w:t>。</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t>投资策略</w:t>
            </w:r>
          </w:p>
        </w:tc>
        <w:tc>
          <w:tcPr>
            <w:tcW w:w="5733" w:type="dxa"/>
            <w:vAlign w:val="center"/>
          </w:tcPr>
          <w:p w:rsidR="006C62A7" w:rsidRDefault="005422E0">
            <w:pPr>
              <w:adjustRightInd w:val="0"/>
              <w:spacing w:before="29" w:line="288" w:lineRule="auto"/>
              <w:ind w:left="17"/>
              <w:jc w:val="left"/>
              <w:rPr>
                <w:color w:val="000000"/>
                <w:sz w:val="24"/>
              </w:rPr>
            </w:pPr>
            <w:r>
              <w:rPr>
                <w:color w:val="000000"/>
                <w:kern w:val="0"/>
                <w:sz w:val="24"/>
              </w:rPr>
              <w:t>本基金为指数型基金，原则上采用完全复制标的指数的方法跟踪标的指数，即按照中证海外中国互联网指数中的成份股组成及其权重构建股票投资组合，并根据标的指数成份股及其权重的变动进行相应调整。</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t>业绩比较基准</w:t>
            </w:r>
          </w:p>
        </w:tc>
        <w:tc>
          <w:tcPr>
            <w:tcW w:w="5733" w:type="dxa"/>
            <w:vAlign w:val="center"/>
          </w:tcPr>
          <w:p w:rsidR="006C62A7" w:rsidRDefault="005422E0">
            <w:pPr>
              <w:adjustRightInd w:val="0"/>
              <w:spacing w:before="29" w:line="288" w:lineRule="auto"/>
              <w:ind w:left="17"/>
              <w:jc w:val="left"/>
              <w:rPr>
                <w:color w:val="000000"/>
                <w:sz w:val="24"/>
              </w:rPr>
            </w:pPr>
            <w:r>
              <w:rPr>
                <w:color w:val="000000"/>
                <w:kern w:val="0"/>
                <w:sz w:val="24"/>
              </w:rPr>
              <w:t>中证海外中国互联网指数收益率</w:t>
            </w:r>
            <w:r>
              <w:rPr>
                <w:color w:val="000000"/>
                <w:kern w:val="0"/>
                <w:sz w:val="24"/>
              </w:rPr>
              <w:t>×95%</w:t>
            </w:r>
            <w:r>
              <w:rPr>
                <w:color w:val="000000"/>
                <w:kern w:val="0"/>
                <w:sz w:val="24"/>
              </w:rPr>
              <w:t>＋银行活期存款利率（税后）</w:t>
            </w:r>
            <w:r>
              <w:rPr>
                <w:color w:val="000000"/>
                <w:kern w:val="0"/>
                <w:sz w:val="24"/>
              </w:rPr>
              <w:t>×5%</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t>风险收益特征</w:t>
            </w:r>
          </w:p>
        </w:tc>
        <w:tc>
          <w:tcPr>
            <w:tcW w:w="5733" w:type="dxa"/>
            <w:vAlign w:val="center"/>
          </w:tcPr>
          <w:p w:rsidR="006C62A7" w:rsidRDefault="005422E0">
            <w:pPr>
              <w:adjustRightInd w:val="0"/>
              <w:spacing w:before="29" w:line="288" w:lineRule="auto"/>
              <w:ind w:left="17"/>
              <w:jc w:val="left"/>
              <w:rPr>
                <w:color w:val="000000"/>
                <w:sz w:val="24"/>
              </w:rPr>
            </w:pPr>
            <w:r>
              <w:rPr>
                <w:color w:val="000000"/>
                <w:kern w:val="0"/>
                <w:sz w:val="24"/>
              </w:rPr>
              <w:t>本基金是一只股票型基金，其预期风险与预期收益高于混合型基金、债券型基金和货币市场基金，属于承</w:t>
            </w:r>
            <w:r>
              <w:rPr>
                <w:color w:val="000000"/>
                <w:kern w:val="0"/>
                <w:sz w:val="24"/>
              </w:rPr>
              <w:lastRenderedPageBreak/>
              <w:t>担较高风险、预期收益较高的证券投资基金品种。同时本基金为指数型基金，具有与标的指数相似的风险收益特征。</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lastRenderedPageBreak/>
              <w:t>基金管理人</w:t>
            </w:r>
          </w:p>
        </w:tc>
        <w:tc>
          <w:tcPr>
            <w:tcW w:w="5733" w:type="dxa"/>
            <w:vAlign w:val="center"/>
          </w:tcPr>
          <w:p w:rsidR="006C62A7" w:rsidRDefault="005422E0">
            <w:pPr>
              <w:adjustRightInd w:val="0"/>
              <w:spacing w:before="29" w:line="288" w:lineRule="auto"/>
              <w:ind w:left="17"/>
              <w:jc w:val="left"/>
              <w:rPr>
                <w:color w:val="000000"/>
                <w:sz w:val="24"/>
              </w:rPr>
            </w:pPr>
            <w:r>
              <w:rPr>
                <w:color w:val="000000"/>
                <w:kern w:val="0"/>
                <w:sz w:val="24"/>
              </w:rPr>
              <w:t>交银施罗德基金管理有限公司</w:t>
            </w:r>
          </w:p>
        </w:tc>
      </w:tr>
      <w:tr w:rsidR="006C62A7">
        <w:trPr>
          <w:jc w:val="center"/>
        </w:trPr>
        <w:tc>
          <w:tcPr>
            <w:tcW w:w="3135" w:type="dxa"/>
            <w:vAlign w:val="center"/>
          </w:tcPr>
          <w:p w:rsidR="006C62A7" w:rsidRDefault="005422E0">
            <w:pPr>
              <w:adjustRightInd w:val="0"/>
              <w:spacing w:before="29" w:line="288" w:lineRule="auto"/>
              <w:ind w:left="17"/>
              <w:jc w:val="left"/>
              <w:rPr>
                <w:sz w:val="24"/>
              </w:rPr>
            </w:pPr>
            <w:r>
              <w:rPr>
                <w:kern w:val="0"/>
                <w:sz w:val="24"/>
              </w:rPr>
              <w:t>基金托管人</w:t>
            </w:r>
          </w:p>
        </w:tc>
        <w:tc>
          <w:tcPr>
            <w:tcW w:w="5733" w:type="dxa"/>
            <w:vAlign w:val="center"/>
          </w:tcPr>
          <w:p w:rsidR="006C62A7" w:rsidRDefault="005422E0">
            <w:pPr>
              <w:adjustRightInd w:val="0"/>
              <w:spacing w:before="29" w:line="288" w:lineRule="auto"/>
              <w:ind w:left="17"/>
              <w:jc w:val="left"/>
              <w:rPr>
                <w:color w:val="000000"/>
                <w:sz w:val="24"/>
              </w:rPr>
            </w:pPr>
            <w:r>
              <w:rPr>
                <w:color w:val="000000"/>
                <w:kern w:val="0"/>
                <w:sz w:val="24"/>
              </w:rPr>
              <w:t>中国农业银行股份有限公司</w:t>
            </w:r>
          </w:p>
        </w:tc>
      </w:tr>
      <w:tr w:rsidR="006C62A7">
        <w:trPr>
          <w:jc w:val="center"/>
        </w:trPr>
        <w:tc>
          <w:tcPr>
            <w:tcW w:w="3135" w:type="dxa"/>
            <w:vAlign w:val="center"/>
          </w:tcPr>
          <w:p w:rsidR="006C62A7" w:rsidRDefault="005422E0">
            <w:pPr>
              <w:adjustRightInd w:val="0"/>
              <w:spacing w:before="29" w:line="288" w:lineRule="auto"/>
              <w:ind w:left="17"/>
              <w:jc w:val="left"/>
              <w:rPr>
                <w:kern w:val="0"/>
                <w:sz w:val="24"/>
              </w:rPr>
            </w:pPr>
            <w:r>
              <w:rPr>
                <w:kern w:val="0"/>
                <w:sz w:val="24"/>
              </w:rPr>
              <w:t>境外资产托管人英文名称</w:t>
            </w:r>
          </w:p>
        </w:tc>
        <w:tc>
          <w:tcPr>
            <w:tcW w:w="5733" w:type="dxa"/>
            <w:vAlign w:val="center"/>
          </w:tcPr>
          <w:p w:rsidR="006C62A7" w:rsidRDefault="005422E0">
            <w:pPr>
              <w:adjustRightInd w:val="0"/>
              <w:spacing w:before="29" w:line="288" w:lineRule="auto"/>
              <w:ind w:left="17"/>
              <w:jc w:val="left"/>
              <w:rPr>
                <w:color w:val="000000"/>
                <w:kern w:val="0"/>
                <w:sz w:val="24"/>
              </w:rPr>
            </w:pPr>
            <w:r>
              <w:rPr>
                <w:color w:val="000000"/>
                <w:kern w:val="0"/>
                <w:sz w:val="24"/>
              </w:rPr>
              <w:t>JPMorgan Chase Bank, National Association HONG KONG BRANCH</w:t>
            </w:r>
          </w:p>
        </w:tc>
      </w:tr>
      <w:tr w:rsidR="006C62A7">
        <w:trPr>
          <w:jc w:val="center"/>
        </w:trPr>
        <w:tc>
          <w:tcPr>
            <w:tcW w:w="3135" w:type="dxa"/>
            <w:vAlign w:val="center"/>
          </w:tcPr>
          <w:p w:rsidR="006C62A7" w:rsidRDefault="005422E0">
            <w:pPr>
              <w:adjustRightInd w:val="0"/>
              <w:spacing w:before="29" w:line="288" w:lineRule="auto"/>
              <w:ind w:left="17"/>
              <w:jc w:val="left"/>
              <w:rPr>
                <w:kern w:val="0"/>
                <w:sz w:val="24"/>
              </w:rPr>
            </w:pPr>
            <w:r>
              <w:rPr>
                <w:kern w:val="0"/>
                <w:sz w:val="24"/>
              </w:rPr>
              <w:t>境外资产托管人中文名称</w:t>
            </w:r>
          </w:p>
        </w:tc>
        <w:tc>
          <w:tcPr>
            <w:tcW w:w="5733" w:type="dxa"/>
            <w:vAlign w:val="center"/>
          </w:tcPr>
          <w:p w:rsidR="006C62A7" w:rsidRDefault="005422E0">
            <w:pPr>
              <w:adjustRightInd w:val="0"/>
              <w:spacing w:before="29" w:line="288" w:lineRule="auto"/>
              <w:ind w:left="17"/>
              <w:jc w:val="left"/>
              <w:rPr>
                <w:color w:val="000000"/>
                <w:kern w:val="0"/>
                <w:sz w:val="24"/>
              </w:rPr>
            </w:pPr>
            <w:r>
              <w:rPr>
                <w:color w:val="000000"/>
                <w:kern w:val="0"/>
                <w:sz w:val="24"/>
              </w:rPr>
              <w:t>摩根大通银行香港分行</w:t>
            </w:r>
          </w:p>
        </w:tc>
      </w:tr>
    </w:tbl>
    <w:p w:rsidR="006C62A7" w:rsidRDefault="006C62A7">
      <w:pPr>
        <w:autoSpaceDE w:val="0"/>
        <w:autoSpaceDN w:val="0"/>
        <w:adjustRightInd w:val="0"/>
        <w:spacing w:before="29" w:line="288" w:lineRule="auto"/>
        <w:jc w:val="left"/>
        <w:rPr>
          <w:color w:val="000000"/>
          <w:sz w:val="24"/>
        </w:rPr>
      </w:pPr>
    </w:p>
    <w:p w:rsidR="006C62A7" w:rsidRDefault="005422E0">
      <w:pPr>
        <w:pStyle w:val="1"/>
        <w:spacing w:beforeLines="100" w:before="312" w:afterLines="100" w:after="312" w:line="288" w:lineRule="auto"/>
        <w:jc w:val="center"/>
        <w:rPr>
          <w:color w:val="000000"/>
          <w:kern w:val="0"/>
          <w:sz w:val="24"/>
          <w:szCs w:val="24"/>
        </w:rPr>
      </w:pPr>
      <w:r>
        <w:rPr>
          <w:color w:val="000000"/>
          <w:kern w:val="0"/>
          <w:sz w:val="24"/>
          <w:szCs w:val="24"/>
        </w:rPr>
        <w:t xml:space="preserve">§3  </w:t>
      </w:r>
      <w:r>
        <w:rPr>
          <w:color w:val="000000"/>
          <w:kern w:val="0"/>
          <w:sz w:val="24"/>
          <w:szCs w:val="24"/>
        </w:rPr>
        <w:t>主要财务指标和基金净值表现</w:t>
      </w: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 xml:space="preserve">3.1 </w:t>
      </w:r>
      <w:r>
        <w:rPr>
          <w:b/>
          <w:color w:val="000000"/>
          <w:kern w:val="0"/>
          <w:sz w:val="24"/>
        </w:rPr>
        <w:t>主要财务指标</w:t>
      </w:r>
    </w:p>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5261"/>
      </w:tblGrid>
      <w:tr w:rsidR="006C62A7">
        <w:trPr>
          <w:jc w:val="center"/>
        </w:trPr>
        <w:tc>
          <w:tcPr>
            <w:tcW w:w="3402" w:type="dxa"/>
            <w:vAlign w:val="center"/>
          </w:tcPr>
          <w:p w:rsidR="006C62A7" w:rsidRDefault="005422E0">
            <w:pPr>
              <w:adjustRightInd w:val="0"/>
              <w:spacing w:before="29" w:line="288" w:lineRule="auto"/>
              <w:ind w:left="17"/>
              <w:jc w:val="center"/>
              <w:rPr>
                <w:kern w:val="0"/>
                <w:sz w:val="24"/>
              </w:rPr>
            </w:pPr>
            <w:r>
              <w:rPr>
                <w:kern w:val="0"/>
                <w:sz w:val="24"/>
              </w:rPr>
              <w:t>主要财务指标</w:t>
            </w:r>
          </w:p>
        </w:tc>
        <w:tc>
          <w:tcPr>
            <w:tcW w:w="4962" w:type="dxa"/>
            <w:vAlign w:val="center"/>
          </w:tcPr>
          <w:p w:rsidR="006C62A7" w:rsidRDefault="005422E0">
            <w:pPr>
              <w:adjustRightInd w:val="0"/>
              <w:spacing w:before="29" w:line="288" w:lineRule="auto"/>
              <w:ind w:left="17"/>
              <w:jc w:val="center"/>
              <w:rPr>
                <w:color w:val="000000"/>
                <w:sz w:val="24"/>
              </w:rPr>
            </w:pPr>
            <w:r>
              <w:rPr>
                <w:color w:val="000000"/>
                <w:sz w:val="24"/>
              </w:rPr>
              <w:t>报告期</w:t>
            </w:r>
          </w:p>
          <w:p w:rsidR="006C62A7" w:rsidRDefault="005422E0">
            <w:pPr>
              <w:adjustRightInd w:val="0"/>
              <w:spacing w:before="29" w:line="288" w:lineRule="auto"/>
              <w:ind w:left="17"/>
              <w:jc w:val="center"/>
              <w:rPr>
                <w:color w:val="000000"/>
                <w:sz w:val="24"/>
              </w:rPr>
            </w:pPr>
            <w:r>
              <w:rPr>
                <w:color w:val="000000"/>
                <w:sz w:val="24"/>
              </w:rPr>
              <w:t>(2020</w:t>
            </w:r>
            <w:r>
              <w:rPr>
                <w:color w:val="000000"/>
                <w:sz w:val="24"/>
              </w:rPr>
              <w:t>年</w:t>
            </w:r>
            <w:r>
              <w:rPr>
                <w:color w:val="000000"/>
                <w:sz w:val="24"/>
              </w:rPr>
              <w:t>10</w:t>
            </w:r>
            <w:r>
              <w:rPr>
                <w:color w:val="000000"/>
                <w:sz w:val="24"/>
              </w:rPr>
              <w:t>月</w:t>
            </w:r>
            <w:r>
              <w:rPr>
                <w:color w:val="000000"/>
                <w:sz w:val="24"/>
              </w:rPr>
              <w:t>1</w:t>
            </w:r>
            <w:r>
              <w:rPr>
                <w:color w:val="000000"/>
                <w:sz w:val="24"/>
              </w:rPr>
              <w:t>日</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w:t>
            </w:r>
            <w:r>
              <w:rPr>
                <w:color w:val="000000"/>
                <w:sz w:val="24"/>
              </w:rPr>
              <w:t>)</w:t>
            </w:r>
          </w:p>
        </w:tc>
      </w:tr>
      <w:tr w:rsidR="006C62A7">
        <w:trPr>
          <w:jc w:val="center"/>
        </w:trPr>
        <w:tc>
          <w:tcPr>
            <w:tcW w:w="3402" w:type="dxa"/>
            <w:vAlign w:val="center"/>
          </w:tcPr>
          <w:p w:rsidR="006C62A7" w:rsidRDefault="005422E0">
            <w:pPr>
              <w:adjustRightInd w:val="0"/>
              <w:spacing w:before="29" w:line="288" w:lineRule="auto"/>
              <w:ind w:left="17"/>
              <w:rPr>
                <w:kern w:val="0"/>
                <w:sz w:val="24"/>
              </w:rPr>
            </w:pPr>
            <w:r>
              <w:rPr>
                <w:kern w:val="0"/>
                <w:sz w:val="24"/>
              </w:rPr>
              <w:t>1.</w:t>
            </w:r>
            <w:r>
              <w:rPr>
                <w:kern w:val="0"/>
                <w:sz w:val="24"/>
              </w:rPr>
              <w:t>本期已实现收益</w:t>
            </w:r>
          </w:p>
        </w:tc>
        <w:tc>
          <w:tcPr>
            <w:tcW w:w="4962" w:type="dxa"/>
            <w:vAlign w:val="center"/>
          </w:tcPr>
          <w:p w:rsidR="006C62A7" w:rsidRDefault="005422E0">
            <w:pPr>
              <w:adjustRightInd w:val="0"/>
              <w:spacing w:before="29" w:line="288" w:lineRule="auto"/>
              <w:ind w:left="17"/>
              <w:jc w:val="right"/>
              <w:rPr>
                <w:color w:val="000000"/>
                <w:sz w:val="24"/>
              </w:rPr>
            </w:pPr>
            <w:r>
              <w:rPr>
                <w:color w:val="000000"/>
                <w:sz w:val="24"/>
              </w:rPr>
              <w:t>119,348,123.05</w:t>
            </w:r>
          </w:p>
        </w:tc>
      </w:tr>
      <w:tr w:rsidR="006C62A7">
        <w:trPr>
          <w:jc w:val="center"/>
        </w:trPr>
        <w:tc>
          <w:tcPr>
            <w:tcW w:w="3402" w:type="dxa"/>
            <w:vAlign w:val="center"/>
          </w:tcPr>
          <w:p w:rsidR="006C62A7" w:rsidRDefault="005422E0">
            <w:pPr>
              <w:adjustRightInd w:val="0"/>
              <w:spacing w:before="29" w:line="288" w:lineRule="auto"/>
              <w:ind w:left="17"/>
              <w:rPr>
                <w:kern w:val="0"/>
                <w:sz w:val="24"/>
              </w:rPr>
            </w:pPr>
            <w:r>
              <w:rPr>
                <w:kern w:val="0"/>
                <w:sz w:val="24"/>
              </w:rPr>
              <w:t>2.</w:t>
            </w:r>
            <w:r>
              <w:rPr>
                <w:kern w:val="0"/>
                <w:sz w:val="24"/>
              </w:rPr>
              <w:t>本期利润</w:t>
            </w:r>
          </w:p>
        </w:tc>
        <w:tc>
          <w:tcPr>
            <w:tcW w:w="4962" w:type="dxa"/>
            <w:vAlign w:val="center"/>
          </w:tcPr>
          <w:p w:rsidR="006C62A7" w:rsidRDefault="005422E0">
            <w:pPr>
              <w:adjustRightInd w:val="0"/>
              <w:spacing w:before="29" w:line="288" w:lineRule="auto"/>
              <w:ind w:left="17"/>
              <w:jc w:val="right"/>
              <w:rPr>
                <w:color w:val="000000"/>
                <w:sz w:val="24"/>
              </w:rPr>
            </w:pPr>
            <w:r>
              <w:rPr>
                <w:color w:val="000000"/>
                <w:sz w:val="24"/>
              </w:rPr>
              <w:t>166,839,732.94</w:t>
            </w:r>
          </w:p>
        </w:tc>
      </w:tr>
      <w:tr w:rsidR="006C62A7">
        <w:trPr>
          <w:jc w:val="center"/>
        </w:trPr>
        <w:tc>
          <w:tcPr>
            <w:tcW w:w="3402" w:type="dxa"/>
            <w:vAlign w:val="center"/>
          </w:tcPr>
          <w:p w:rsidR="006C62A7" w:rsidRDefault="005422E0">
            <w:pPr>
              <w:adjustRightInd w:val="0"/>
              <w:spacing w:before="29" w:line="288" w:lineRule="auto"/>
              <w:ind w:left="17"/>
              <w:rPr>
                <w:kern w:val="0"/>
                <w:sz w:val="24"/>
              </w:rPr>
            </w:pPr>
            <w:r>
              <w:rPr>
                <w:kern w:val="0"/>
                <w:sz w:val="24"/>
              </w:rPr>
              <w:t>3.</w:t>
            </w:r>
            <w:r>
              <w:rPr>
                <w:kern w:val="0"/>
                <w:sz w:val="24"/>
              </w:rPr>
              <w:t>加权平均基金份额本期利润</w:t>
            </w:r>
          </w:p>
        </w:tc>
        <w:tc>
          <w:tcPr>
            <w:tcW w:w="4962" w:type="dxa"/>
            <w:vAlign w:val="center"/>
          </w:tcPr>
          <w:p w:rsidR="006C62A7" w:rsidRDefault="005422E0">
            <w:pPr>
              <w:adjustRightInd w:val="0"/>
              <w:spacing w:before="29" w:line="288" w:lineRule="auto"/>
              <w:ind w:left="17"/>
              <w:jc w:val="right"/>
              <w:rPr>
                <w:color w:val="000000"/>
                <w:sz w:val="24"/>
              </w:rPr>
            </w:pPr>
            <w:r>
              <w:rPr>
                <w:color w:val="000000"/>
                <w:sz w:val="24"/>
              </w:rPr>
              <w:t>0.1795</w:t>
            </w:r>
          </w:p>
        </w:tc>
      </w:tr>
      <w:tr w:rsidR="006C62A7">
        <w:trPr>
          <w:jc w:val="center"/>
        </w:trPr>
        <w:tc>
          <w:tcPr>
            <w:tcW w:w="3402" w:type="dxa"/>
            <w:vAlign w:val="center"/>
          </w:tcPr>
          <w:p w:rsidR="006C62A7" w:rsidRDefault="005422E0">
            <w:pPr>
              <w:adjustRightInd w:val="0"/>
              <w:spacing w:before="29" w:line="288" w:lineRule="auto"/>
              <w:ind w:left="17"/>
              <w:rPr>
                <w:kern w:val="0"/>
                <w:sz w:val="24"/>
              </w:rPr>
            </w:pPr>
            <w:r>
              <w:rPr>
                <w:kern w:val="0"/>
                <w:sz w:val="24"/>
              </w:rPr>
              <w:t>4.</w:t>
            </w:r>
            <w:r>
              <w:rPr>
                <w:kern w:val="0"/>
                <w:sz w:val="24"/>
              </w:rPr>
              <w:t>期末基金资产净值</w:t>
            </w:r>
          </w:p>
        </w:tc>
        <w:tc>
          <w:tcPr>
            <w:tcW w:w="4962" w:type="dxa"/>
            <w:vAlign w:val="center"/>
          </w:tcPr>
          <w:p w:rsidR="006C62A7" w:rsidRDefault="005422E0">
            <w:pPr>
              <w:adjustRightInd w:val="0"/>
              <w:spacing w:before="29" w:line="288" w:lineRule="auto"/>
              <w:ind w:left="17"/>
              <w:jc w:val="right"/>
              <w:rPr>
                <w:color w:val="000000"/>
                <w:sz w:val="24"/>
              </w:rPr>
            </w:pPr>
            <w:r>
              <w:rPr>
                <w:color w:val="000000"/>
                <w:sz w:val="24"/>
              </w:rPr>
              <w:t>1,981,335,928.20</w:t>
            </w:r>
          </w:p>
        </w:tc>
      </w:tr>
      <w:tr w:rsidR="006C62A7">
        <w:trPr>
          <w:trHeight w:val="158"/>
          <w:jc w:val="center"/>
        </w:trPr>
        <w:tc>
          <w:tcPr>
            <w:tcW w:w="3402" w:type="dxa"/>
            <w:vAlign w:val="center"/>
          </w:tcPr>
          <w:p w:rsidR="006C62A7" w:rsidRDefault="005422E0">
            <w:pPr>
              <w:adjustRightInd w:val="0"/>
              <w:spacing w:before="29" w:line="288" w:lineRule="auto"/>
              <w:ind w:left="17"/>
              <w:rPr>
                <w:kern w:val="0"/>
                <w:sz w:val="24"/>
              </w:rPr>
            </w:pPr>
            <w:r>
              <w:rPr>
                <w:kern w:val="0"/>
                <w:sz w:val="24"/>
              </w:rPr>
              <w:t>5.</w:t>
            </w:r>
            <w:r>
              <w:rPr>
                <w:kern w:val="0"/>
                <w:sz w:val="24"/>
              </w:rPr>
              <w:t>期末基金份额净值</w:t>
            </w:r>
          </w:p>
        </w:tc>
        <w:tc>
          <w:tcPr>
            <w:tcW w:w="4962" w:type="dxa"/>
            <w:vAlign w:val="center"/>
          </w:tcPr>
          <w:p w:rsidR="006C62A7" w:rsidRDefault="005422E0">
            <w:pPr>
              <w:adjustRightInd w:val="0"/>
              <w:spacing w:before="29" w:line="288" w:lineRule="auto"/>
              <w:ind w:left="17"/>
              <w:jc w:val="right"/>
              <w:rPr>
                <w:color w:val="000000"/>
                <w:sz w:val="24"/>
              </w:rPr>
            </w:pPr>
            <w:r>
              <w:rPr>
                <w:color w:val="000000"/>
                <w:sz w:val="24"/>
              </w:rPr>
              <w:t>1.985</w:t>
            </w:r>
          </w:p>
        </w:tc>
      </w:tr>
    </w:tbl>
    <w:p w:rsidR="006C62A7" w:rsidRDefault="005422E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6C62A7" w:rsidRDefault="005422E0">
      <w:pPr>
        <w:autoSpaceDE w:val="0"/>
        <w:autoSpaceDN w:val="0"/>
        <w:adjustRightInd w:val="0"/>
        <w:spacing w:before="29" w:line="288" w:lineRule="auto"/>
        <w:jc w:val="left"/>
        <w:rPr>
          <w:color w:val="000000"/>
          <w:sz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 xml:space="preserve">3.2 </w:t>
      </w:r>
      <w:r>
        <w:rPr>
          <w:b/>
          <w:color w:val="000000"/>
          <w:kern w:val="0"/>
          <w:sz w:val="24"/>
        </w:rPr>
        <w:t>基金净值表现</w:t>
      </w: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3.2.1</w:t>
      </w:r>
      <w:r>
        <w:rPr>
          <w:b/>
          <w:color w:val="000000"/>
          <w:kern w:val="0"/>
          <w:sz w:val="24"/>
        </w:rPr>
        <w:t>本报告期基金份额净值增长率及其与同期业绩比较基准收益率的比较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6C62A7">
        <w:trPr>
          <w:jc w:val="center"/>
        </w:trPr>
        <w:tc>
          <w:tcPr>
            <w:tcW w:w="1614" w:type="dxa"/>
            <w:shd w:val="clear" w:color="auto" w:fill="auto"/>
            <w:vAlign w:val="center"/>
          </w:tcPr>
          <w:p w:rsidR="006C62A7" w:rsidRDefault="005422E0">
            <w:pPr>
              <w:autoSpaceDE w:val="0"/>
              <w:autoSpaceDN w:val="0"/>
              <w:adjustRightInd w:val="0"/>
              <w:spacing w:before="29" w:line="288" w:lineRule="auto"/>
              <w:ind w:left="17"/>
              <w:jc w:val="center"/>
              <w:rPr>
                <w:color w:val="000000"/>
                <w:sz w:val="24"/>
              </w:rPr>
            </w:pPr>
            <w:r>
              <w:rPr>
                <w:color w:val="000000"/>
                <w:sz w:val="24"/>
              </w:rPr>
              <w:t>阶段</w:t>
            </w:r>
          </w:p>
        </w:tc>
        <w:tc>
          <w:tcPr>
            <w:tcW w:w="1134" w:type="dxa"/>
            <w:shd w:val="clear" w:color="auto" w:fill="auto"/>
            <w:vAlign w:val="center"/>
          </w:tcPr>
          <w:p w:rsidR="006C62A7" w:rsidRDefault="005422E0">
            <w:pPr>
              <w:autoSpaceDE w:val="0"/>
              <w:autoSpaceDN w:val="0"/>
              <w:adjustRightInd w:val="0"/>
              <w:spacing w:before="29" w:line="288" w:lineRule="auto"/>
              <w:ind w:left="15"/>
              <w:jc w:val="center"/>
              <w:rPr>
                <w:color w:val="000000"/>
                <w:kern w:val="0"/>
                <w:sz w:val="24"/>
              </w:rPr>
            </w:pPr>
            <w:r>
              <w:rPr>
                <w:color w:val="000000"/>
                <w:kern w:val="0"/>
                <w:sz w:val="24"/>
              </w:rPr>
              <w:t>净值增</w:t>
            </w:r>
          </w:p>
          <w:p w:rsidR="006C62A7" w:rsidRDefault="005422E0">
            <w:pPr>
              <w:autoSpaceDE w:val="0"/>
              <w:autoSpaceDN w:val="0"/>
              <w:adjustRightInd w:val="0"/>
              <w:spacing w:before="29" w:line="288" w:lineRule="auto"/>
              <w:ind w:left="17"/>
              <w:jc w:val="center"/>
              <w:rPr>
                <w:color w:val="000000"/>
                <w:sz w:val="24"/>
              </w:rPr>
            </w:pPr>
            <w:r>
              <w:rPr>
                <w:color w:val="000000"/>
                <w:kern w:val="0"/>
                <w:sz w:val="24"/>
              </w:rPr>
              <w:t>长率</w:t>
            </w:r>
            <w:r>
              <w:rPr>
                <w:rFonts w:hAnsi="宋体"/>
                <w:color w:val="000000"/>
                <w:kern w:val="0"/>
                <w:sz w:val="24"/>
              </w:rPr>
              <w:t>①</w:t>
            </w:r>
          </w:p>
        </w:tc>
        <w:tc>
          <w:tcPr>
            <w:tcW w:w="1134" w:type="dxa"/>
            <w:shd w:val="clear" w:color="auto" w:fill="auto"/>
            <w:vAlign w:val="center"/>
          </w:tcPr>
          <w:p w:rsidR="006C62A7" w:rsidRDefault="005422E0">
            <w:pPr>
              <w:autoSpaceDE w:val="0"/>
              <w:autoSpaceDN w:val="0"/>
              <w:adjustRightInd w:val="0"/>
              <w:spacing w:before="29" w:line="288" w:lineRule="auto"/>
              <w:ind w:left="15"/>
              <w:jc w:val="center"/>
              <w:rPr>
                <w:color w:val="000000"/>
                <w:kern w:val="0"/>
                <w:sz w:val="24"/>
              </w:rPr>
            </w:pPr>
            <w:r>
              <w:rPr>
                <w:color w:val="000000"/>
                <w:kern w:val="0"/>
                <w:sz w:val="24"/>
              </w:rPr>
              <w:t>净值增长</w:t>
            </w:r>
          </w:p>
          <w:p w:rsidR="006C62A7" w:rsidRDefault="005422E0">
            <w:pPr>
              <w:autoSpaceDE w:val="0"/>
              <w:autoSpaceDN w:val="0"/>
              <w:adjustRightInd w:val="0"/>
              <w:spacing w:before="29" w:line="288" w:lineRule="auto"/>
              <w:ind w:left="15"/>
              <w:jc w:val="center"/>
              <w:rPr>
                <w:color w:val="000000"/>
                <w:kern w:val="0"/>
                <w:sz w:val="24"/>
              </w:rPr>
            </w:pPr>
            <w:r>
              <w:rPr>
                <w:color w:val="000000"/>
                <w:kern w:val="0"/>
                <w:sz w:val="24"/>
              </w:rPr>
              <w:t>率标准差</w:t>
            </w:r>
          </w:p>
          <w:p w:rsidR="006C62A7" w:rsidRDefault="005422E0">
            <w:pPr>
              <w:autoSpaceDE w:val="0"/>
              <w:autoSpaceDN w:val="0"/>
              <w:adjustRightInd w:val="0"/>
              <w:spacing w:before="29" w:line="288" w:lineRule="auto"/>
              <w:ind w:left="17"/>
              <w:jc w:val="center"/>
              <w:rPr>
                <w:color w:val="000000"/>
                <w:sz w:val="24"/>
              </w:rPr>
            </w:pPr>
            <w:r>
              <w:rPr>
                <w:rFonts w:hAnsi="宋体"/>
                <w:color w:val="000000"/>
                <w:kern w:val="0"/>
                <w:sz w:val="24"/>
              </w:rPr>
              <w:t>②</w:t>
            </w:r>
          </w:p>
        </w:tc>
        <w:tc>
          <w:tcPr>
            <w:tcW w:w="1134" w:type="dxa"/>
            <w:shd w:val="clear" w:color="auto" w:fill="auto"/>
            <w:vAlign w:val="center"/>
          </w:tcPr>
          <w:p w:rsidR="006C62A7" w:rsidRDefault="005422E0">
            <w:pPr>
              <w:autoSpaceDE w:val="0"/>
              <w:autoSpaceDN w:val="0"/>
              <w:adjustRightInd w:val="0"/>
              <w:spacing w:before="29" w:line="288" w:lineRule="auto"/>
              <w:ind w:left="17"/>
              <w:jc w:val="center"/>
              <w:rPr>
                <w:color w:val="000000"/>
                <w:sz w:val="24"/>
              </w:rPr>
            </w:pPr>
            <w:r>
              <w:rPr>
                <w:color w:val="000000"/>
                <w:sz w:val="24"/>
              </w:rPr>
              <w:t>业绩比较基准收益率</w:t>
            </w:r>
            <w:r>
              <w:rPr>
                <w:rFonts w:hAnsi="宋体"/>
                <w:color w:val="000000"/>
                <w:sz w:val="24"/>
              </w:rPr>
              <w:t>③</w:t>
            </w:r>
          </w:p>
        </w:tc>
        <w:tc>
          <w:tcPr>
            <w:tcW w:w="1275" w:type="dxa"/>
            <w:shd w:val="clear" w:color="auto" w:fill="auto"/>
            <w:vAlign w:val="center"/>
          </w:tcPr>
          <w:p w:rsidR="006C62A7" w:rsidRDefault="005422E0">
            <w:pPr>
              <w:autoSpaceDE w:val="0"/>
              <w:autoSpaceDN w:val="0"/>
              <w:adjustRightInd w:val="0"/>
              <w:spacing w:before="29" w:line="288" w:lineRule="auto"/>
              <w:ind w:left="17"/>
              <w:jc w:val="center"/>
              <w:rPr>
                <w:color w:val="000000"/>
                <w:sz w:val="24"/>
              </w:rPr>
            </w:pPr>
            <w:r>
              <w:rPr>
                <w:color w:val="000000"/>
                <w:sz w:val="24"/>
              </w:rPr>
              <w:t>业绩比较基准收益率标准差</w:t>
            </w:r>
            <w:r>
              <w:rPr>
                <w:rFonts w:hAnsi="宋体"/>
                <w:color w:val="000000"/>
                <w:sz w:val="24"/>
              </w:rPr>
              <w:t>④</w:t>
            </w:r>
          </w:p>
        </w:tc>
        <w:tc>
          <w:tcPr>
            <w:tcW w:w="1134" w:type="dxa"/>
            <w:shd w:val="clear" w:color="auto" w:fill="auto"/>
            <w:vAlign w:val="center"/>
          </w:tcPr>
          <w:p w:rsidR="006C62A7" w:rsidRDefault="005422E0">
            <w:pPr>
              <w:autoSpaceDE w:val="0"/>
              <w:autoSpaceDN w:val="0"/>
              <w:adjustRightInd w:val="0"/>
              <w:spacing w:before="29" w:line="288" w:lineRule="auto"/>
              <w:ind w:left="17"/>
              <w:jc w:val="center"/>
              <w:rPr>
                <w:color w:val="000000"/>
                <w:sz w:val="24"/>
              </w:rPr>
            </w:pPr>
            <w:r>
              <w:rPr>
                <w:rFonts w:hAnsi="宋体"/>
                <w:color w:val="000000"/>
                <w:sz w:val="24"/>
              </w:rPr>
              <w:t>①</w:t>
            </w:r>
            <w:r>
              <w:rPr>
                <w:color w:val="000000"/>
                <w:sz w:val="24"/>
              </w:rPr>
              <w:t>-</w:t>
            </w:r>
            <w:r>
              <w:rPr>
                <w:rFonts w:hAnsi="宋体"/>
                <w:color w:val="000000"/>
                <w:sz w:val="24"/>
              </w:rPr>
              <w:t>③</w:t>
            </w:r>
          </w:p>
        </w:tc>
        <w:tc>
          <w:tcPr>
            <w:tcW w:w="995" w:type="dxa"/>
            <w:shd w:val="clear" w:color="auto" w:fill="auto"/>
            <w:vAlign w:val="center"/>
          </w:tcPr>
          <w:p w:rsidR="006C62A7" w:rsidRDefault="005422E0">
            <w:pPr>
              <w:autoSpaceDE w:val="0"/>
              <w:autoSpaceDN w:val="0"/>
              <w:adjustRightInd w:val="0"/>
              <w:spacing w:before="29" w:line="288" w:lineRule="auto"/>
              <w:ind w:left="17"/>
              <w:jc w:val="center"/>
              <w:rPr>
                <w:color w:val="000000"/>
                <w:sz w:val="24"/>
              </w:rPr>
            </w:pPr>
            <w:r>
              <w:rPr>
                <w:rFonts w:hAnsi="宋体"/>
                <w:color w:val="000000"/>
                <w:sz w:val="24"/>
              </w:rPr>
              <w:t>②</w:t>
            </w:r>
            <w:r>
              <w:rPr>
                <w:color w:val="000000"/>
                <w:sz w:val="24"/>
              </w:rPr>
              <w:t>-</w:t>
            </w:r>
            <w:r>
              <w:rPr>
                <w:rFonts w:hAnsi="宋体"/>
                <w:color w:val="000000"/>
                <w:sz w:val="24"/>
              </w:rPr>
              <w:t>④</w:t>
            </w:r>
          </w:p>
        </w:tc>
      </w:tr>
      <w:tr w:rsidR="006C62A7">
        <w:trPr>
          <w:jc w:val="center"/>
        </w:trPr>
        <w:tc>
          <w:tcPr>
            <w:tcW w:w="1701" w:type="dxa"/>
            <w:vAlign w:val="center"/>
          </w:tcPr>
          <w:p w:rsidR="006C62A7" w:rsidRDefault="005422E0">
            <w:pPr>
              <w:jc w:val="left"/>
            </w:pPr>
            <w:r>
              <w:rPr>
                <w:color w:val="000000"/>
                <w:sz w:val="24"/>
              </w:rPr>
              <w:t>过去三个月</w:t>
            </w:r>
          </w:p>
        </w:tc>
        <w:tc>
          <w:tcPr>
            <w:tcW w:w="1194" w:type="dxa"/>
            <w:vAlign w:val="center"/>
          </w:tcPr>
          <w:p w:rsidR="006C62A7" w:rsidRDefault="005422E0">
            <w:pPr>
              <w:jc w:val="right"/>
            </w:pPr>
            <w:r>
              <w:rPr>
                <w:color w:val="000000"/>
                <w:sz w:val="24"/>
              </w:rPr>
              <w:t>9.37%</w:t>
            </w:r>
          </w:p>
        </w:tc>
        <w:tc>
          <w:tcPr>
            <w:tcW w:w="1194" w:type="dxa"/>
            <w:vAlign w:val="center"/>
          </w:tcPr>
          <w:p w:rsidR="006C62A7" w:rsidRDefault="005422E0">
            <w:pPr>
              <w:jc w:val="right"/>
            </w:pPr>
            <w:r>
              <w:rPr>
                <w:color w:val="000000"/>
                <w:sz w:val="24"/>
              </w:rPr>
              <w:t>1.87%</w:t>
            </w:r>
          </w:p>
        </w:tc>
        <w:tc>
          <w:tcPr>
            <w:tcW w:w="1194" w:type="dxa"/>
            <w:vAlign w:val="center"/>
          </w:tcPr>
          <w:p w:rsidR="006C62A7" w:rsidRDefault="005422E0">
            <w:pPr>
              <w:jc w:val="right"/>
            </w:pPr>
            <w:r>
              <w:rPr>
                <w:color w:val="000000"/>
                <w:sz w:val="24"/>
              </w:rPr>
              <w:t>10.49%</w:t>
            </w:r>
          </w:p>
        </w:tc>
        <w:tc>
          <w:tcPr>
            <w:tcW w:w="1343" w:type="dxa"/>
            <w:vAlign w:val="center"/>
          </w:tcPr>
          <w:p w:rsidR="006C62A7" w:rsidRDefault="005422E0">
            <w:pPr>
              <w:jc w:val="right"/>
            </w:pPr>
            <w:r>
              <w:rPr>
                <w:color w:val="000000"/>
                <w:sz w:val="24"/>
              </w:rPr>
              <w:t>1.79%</w:t>
            </w:r>
          </w:p>
        </w:tc>
        <w:tc>
          <w:tcPr>
            <w:tcW w:w="1194" w:type="dxa"/>
            <w:vAlign w:val="center"/>
          </w:tcPr>
          <w:p w:rsidR="006C62A7" w:rsidRDefault="005422E0">
            <w:pPr>
              <w:jc w:val="right"/>
            </w:pPr>
            <w:r>
              <w:rPr>
                <w:color w:val="000000"/>
                <w:sz w:val="24"/>
              </w:rPr>
              <w:t>-1.12%</w:t>
            </w:r>
          </w:p>
        </w:tc>
        <w:tc>
          <w:tcPr>
            <w:tcW w:w="1048" w:type="dxa"/>
            <w:vAlign w:val="center"/>
          </w:tcPr>
          <w:p w:rsidR="006C62A7" w:rsidRDefault="005422E0">
            <w:pPr>
              <w:jc w:val="right"/>
            </w:pPr>
            <w:r>
              <w:rPr>
                <w:color w:val="000000"/>
                <w:sz w:val="24"/>
              </w:rPr>
              <w:t>0.08%</w:t>
            </w:r>
          </w:p>
        </w:tc>
      </w:tr>
      <w:tr w:rsidR="006C62A7">
        <w:trPr>
          <w:jc w:val="center"/>
        </w:trPr>
        <w:tc>
          <w:tcPr>
            <w:tcW w:w="1701" w:type="dxa"/>
            <w:vAlign w:val="center"/>
          </w:tcPr>
          <w:p w:rsidR="006C62A7" w:rsidRDefault="005422E0">
            <w:pPr>
              <w:jc w:val="left"/>
            </w:pPr>
            <w:r>
              <w:rPr>
                <w:color w:val="000000"/>
                <w:sz w:val="24"/>
              </w:rPr>
              <w:t>过去六个月</w:t>
            </w:r>
          </w:p>
        </w:tc>
        <w:tc>
          <w:tcPr>
            <w:tcW w:w="1194" w:type="dxa"/>
            <w:vAlign w:val="center"/>
          </w:tcPr>
          <w:p w:rsidR="006C62A7" w:rsidRDefault="005422E0">
            <w:pPr>
              <w:jc w:val="right"/>
            </w:pPr>
            <w:r>
              <w:rPr>
                <w:color w:val="000000"/>
                <w:sz w:val="24"/>
              </w:rPr>
              <w:t>14.74%</w:t>
            </w:r>
          </w:p>
        </w:tc>
        <w:tc>
          <w:tcPr>
            <w:tcW w:w="1194" w:type="dxa"/>
            <w:vAlign w:val="center"/>
          </w:tcPr>
          <w:p w:rsidR="006C62A7" w:rsidRDefault="005422E0">
            <w:pPr>
              <w:jc w:val="right"/>
            </w:pPr>
            <w:r>
              <w:rPr>
                <w:color w:val="000000"/>
                <w:sz w:val="24"/>
              </w:rPr>
              <w:t>1.79%</w:t>
            </w:r>
          </w:p>
        </w:tc>
        <w:tc>
          <w:tcPr>
            <w:tcW w:w="1194" w:type="dxa"/>
            <w:vAlign w:val="center"/>
          </w:tcPr>
          <w:p w:rsidR="006C62A7" w:rsidRDefault="005422E0">
            <w:pPr>
              <w:jc w:val="right"/>
            </w:pPr>
            <w:r>
              <w:rPr>
                <w:color w:val="000000"/>
                <w:sz w:val="24"/>
              </w:rPr>
              <w:t>15.61%</w:t>
            </w:r>
          </w:p>
        </w:tc>
        <w:tc>
          <w:tcPr>
            <w:tcW w:w="1343" w:type="dxa"/>
            <w:vAlign w:val="center"/>
          </w:tcPr>
          <w:p w:rsidR="006C62A7" w:rsidRDefault="005422E0">
            <w:pPr>
              <w:jc w:val="right"/>
            </w:pPr>
            <w:r>
              <w:rPr>
                <w:color w:val="000000"/>
                <w:sz w:val="24"/>
              </w:rPr>
              <w:t>1.70%</w:t>
            </w:r>
          </w:p>
        </w:tc>
        <w:tc>
          <w:tcPr>
            <w:tcW w:w="1194" w:type="dxa"/>
            <w:vAlign w:val="center"/>
          </w:tcPr>
          <w:p w:rsidR="006C62A7" w:rsidRDefault="005422E0">
            <w:pPr>
              <w:jc w:val="right"/>
            </w:pPr>
            <w:r>
              <w:rPr>
                <w:color w:val="000000"/>
                <w:sz w:val="24"/>
              </w:rPr>
              <w:t>-0.87%</w:t>
            </w:r>
          </w:p>
        </w:tc>
        <w:tc>
          <w:tcPr>
            <w:tcW w:w="1048" w:type="dxa"/>
            <w:vAlign w:val="center"/>
          </w:tcPr>
          <w:p w:rsidR="006C62A7" w:rsidRDefault="005422E0">
            <w:pPr>
              <w:jc w:val="right"/>
            </w:pPr>
            <w:r>
              <w:rPr>
                <w:color w:val="000000"/>
                <w:sz w:val="24"/>
              </w:rPr>
              <w:t>0.09%</w:t>
            </w:r>
          </w:p>
        </w:tc>
      </w:tr>
      <w:tr w:rsidR="006C62A7">
        <w:trPr>
          <w:jc w:val="center"/>
        </w:trPr>
        <w:tc>
          <w:tcPr>
            <w:tcW w:w="1701" w:type="dxa"/>
            <w:vAlign w:val="center"/>
          </w:tcPr>
          <w:p w:rsidR="006C62A7" w:rsidRDefault="005422E0">
            <w:pPr>
              <w:jc w:val="left"/>
            </w:pPr>
            <w:r>
              <w:rPr>
                <w:color w:val="000000"/>
                <w:sz w:val="24"/>
              </w:rPr>
              <w:lastRenderedPageBreak/>
              <w:t>过去一年</w:t>
            </w:r>
          </w:p>
        </w:tc>
        <w:tc>
          <w:tcPr>
            <w:tcW w:w="1194" w:type="dxa"/>
            <w:vAlign w:val="center"/>
          </w:tcPr>
          <w:p w:rsidR="006C62A7" w:rsidRDefault="005422E0">
            <w:pPr>
              <w:jc w:val="right"/>
            </w:pPr>
            <w:r>
              <w:rPr>
                <w:color w:val="000000"/>
                <w:sz w:val="24"/>
              </w:rPr>
              <w:t>46.71%</w:t>
            </w:r>
          </w:p>
        </w:tc>
        <w:tc>
          <w:tcPr>
            <w:tcW w:w="1194" w:type="dxa"/>
            <w:vAlign w:val="center"/>
          </w:tcPr>
          <w:p w:rsidR="006C62A7" w:rsidRDefault="005422E0">
            <w:pPr>
              <w:jc w:val="right"/>
            </w:pPr>
            <w:r>
              <w:rPr>
                <w:color w:val="000000"/>
                <w:sz w:val="24"/>
              </w:rPr>
              <w:t>1.96%</w:t>
            </w:r>
          </w:p>
        </w:tc>
        <w:tc>
          <w:tcPr>
            <w:tcW w:w="1194" w:type="dxa"/>
            <w:vAlign w:val="center"/>
          </w:tcPr>
          <w:p w:rsidR="006C62A7" w:rsidRDefault="005422E0">
            <w:pPr>
              <w:jc w:val="right"/>
            </w:pPr>
            <w:r>
              <w:rPr>
                <w:color w:val="000000"/>
                <w:sz w:val="24"/>
              </w:rPr>
              <w:t>48.16%</w:t>
            </w:r>
          </w:p>
        </w:tc>
        <w:tc>
          <w:tcPr>
            <w:tcW w:w="1343" w:type="dxa"/>
            <w:vAlign w:val="center"/>
          </w:tcPr>
          <w:p w:rsidR="006C62A7" w:rsidRDefault="005422E0">
            <w:pPr>
              <w:jc w:val="right"/>
            </w:pPr>
            <w:r>
              <w:rPr>
                <w:color w:val="000000"/>
                <w:sz w:val="24"/>
              </w:rPr>
              <w:t>1.88%</w:t>
            </w:r>
          </w:p>
        </w:tc>
        <w:tc>
          <w:tcPr>
            <w:tcW w:w="1194" w:type="dxa"/>
            <w:vAlign w:val="center"/>
          </w:tcPr>
          <w:p w:rsidR="006C62A7" w:rsidRDefault="005422E0">
            <w:pPr>
              <w:jc w:val="right"/>
            </w:pPr>
            <w:r>
              <w:rPr>
                <w:color w:val="000000"/>
                <w:sz w:val="24"/>
              </w:rPr>
              <w:t>-1.45%</w:t>
            </w:r>
          </w:p>
        </w:tc>
        <w:tc>
          <w:tcPr>
            <w:tcW w:w="1048" w:type="dxa"/>
            <w:vAlign w:val="center"/>
          </w:tcPr>
          <w:p w:rsidR="006C62A7" w:rsidRDefault="005422E0">
            <w:pPr>
              <w:jc w:val="right"/>
            </w:pPr>
            <w:r>
              <w:rPr>
                <w:color w:val="000000"/>
                <w:sz w:val="24"/>
              </w:rPr>
              <w:t>0.08%</w:t>
            </w:r>
          </w:p>
        </w:tc>
      </w:tr>
      <w:tr w:rsidR="006C62A7">
        <w:trPr>
          <w:jc w:val="center"/>
        </w:trPr>
        <w:tc>
          <w:tcPr>
            <w:tcW w:w="1701" w:type="dxa"/>
            <w:vAlign w:val="center"/>
          </w:tcPr>
          <w:p w:rsidR="006C62A7" w:rsidRDefault="005422E0">
            <w:pPr>
              <w:jc w:val="left"/>
            </w:pPr>
            <w:r>
              <w:rPr>
                <w:color w:val="000000"/>
                <w:sz w:val="24"/>
              </w:rPr>
              <w:t>过去三年</w:t>
            </w:r>
          </w:p>
        </w:tc>
        <w:tc>
          <w:tcPr>
            <w:tcW w:w="1194" w:type="dxa"/>
            <w:vAlign w:val="center"/>
          </w:tcPr>
          <w:p w:rsidR="006C62A7" w:rsidRDefault="005422E0">
            <w:pPr>
              <w:jc w:val="right"/>
            </w:pPr>
            <w:r>
              <w:rPr>
                <w:color w:val="000000"/>
                <w:sz w:val="24"/>
              </w:rPr>
              <w:t>42.40%</w:t>
            </w:r>
          </w:p>
        </w:tc>
        <w:tc>
          <w:tcPr>
            <w:tcW w:w="1194" w:type="dxa"/>
            <w:vAlign w:val="center"/>
          </w:tcPr>
          <w:p w:rsidR="006C62A7" w:rsidRDefault="005422E0">
            <w:pPr>
              <w:jc w:val="right"/>
            </w:pPr>
            <w:r>
              <w:rPr>
                <w:color w:val="000000"/>
                <w:sz w:val="24"/>
              </w:rPr>
              <w:t>1.79%</w:t>
            </w:r>
          </w:p>
        </w:tc>
        <w:tc>
          <w:tcPr>
            <w:tcW w:w="1194" w:type="dxa"/>
            <w:vAlign w:val="center"/>
          </w:tcPr>
          <w:p w:rsidR="006C62A7" w:rsidRDefault="005422E0">
            <w:pPr>
              <w:jc w:val="right"/>
            </w:pPr>
            <w:r>
              <w:rPr>
                <w:color w:val="000000"/>
                <w:sz w:val="24"/>
              </w:rPr>
              <w:t>38.47%</w:t>
            </w:r>
          </w:p>
        </w:tc>
        <w:tc>
          <w:tcPr>
            <w:tcW w:w="1343" w:type="dxa"/>
            <w:vAlign w:val="center"/>
          </w:tcPr>
          <w:p w:rsidR="006C62A7" w:rsidRDefault="005422E0">
            <w:pPr>
              <w:jc w:val="right"/>
            </w:pPr>
            <w:r>
              <w:rPr>
                <w:color w:val="000000"/>
                <w:sz w:val="24"/>
              </w:rPr>
              <w:t>1.69%</w:t>
            </w:r>
          </w:p>
        </w:tc>
        <w:tc>
          <w:tcPr>
            <w:tcW w:w="1194" w:type="dxa"/>
            <w:vAlign w:val="center"/>
          </w:tcPr>
          <w:p w:rsidR="006C62A7" w:rsidRDefault="005422E0">
            <w:pPr>
              <w:jc w:val="right"/>
            </w:pPr>
            <w:r>
              <w:rPr>
                <w:color w:val="000000"/>
                <w:sz w:val="24"/>
              </w:rPr>
              <w:t>3.93%</w:t>
            </w:r>
          </w:p>
        </w:tc>
        <w:tc>
          <w:tcPr>
            <w:tcW w:w="1048" w:type="dxa"/>
            <w:vAlign w:val="center"/>
          </w:tcPr>
          <w:p w:rsidR="006C62A7" w:rsidRDefault="005422E0">
            <w:pPr>
              <w:jc w:val="right"/>
            </w:pPr>
            <w:r>
              <w:rPr>
                <w:color w:val="000000"/>
                <w:sz w:val="24"/>
              </w:rPr>
              <w:t>0.10%</w:t>
            </w:r>
          </w:p>
        </w:tc>
      </w:tr>
      <w:tr w:rsidR="006C62A7">
        <w:trPr>
          <w:jc w:val="center"/>
        </w:trPr>
        <w:tc>
          <w:tcPr>
            <w:tcW w:w="1701" w:type="dxa"/>
            <w:vAlign w:val="center"/>
          </w:tcPr>
          <w:p w:rsidR="006C62A7" w:rsidRDefault="005422E0">
            <w:pPr>
              <w:jc w:val="left"/>
            </w:pPr>
            <w:r>
              <w:rPr>
                <w:color w:val="000000"/>
                <w:sz w:val="24"/>
              </w:rPr>
              <w:t>过去五年</w:t>
            </w:r>
          </w:p>
        </w:tc>
        <w:tc>
          <w:tcPr>
            <w:tcW w:w="1194" w:type="dxa"/>
            <w:vAlign w:val="center"/>
          </w:tcPr>
          <w:p w:rsidR="006C62A7" w:rsidRDefault="005422E0">
            <w:pPr>
              <w:jc w:val="right"/>
            </w:pPr>
            <w:r>
              <w:rPr>
                <w:color w:val="000000"/>
                <w:sz w:val="24"/>
              </w:rPr>
              <w:t>105.27%</w:t>
            </w:r>
          </w:p>
        </w:tc>
        <w:tc>
          <w:tcPr>
            <w:tcW w:w="1194" w:type="dxa"/>
            <w:vAlign w:val="center"/>
          </w:tcPr>
          <w:p w:rsidR="006C62A7" w:rsidRDefault="005422E0">
            <w:pPr>
              <w:jc w:val="right"/>
            </w:pPr>
            <w:r>
              <w:rPr>
                <w:color w:val="000000"/>
                <w:sz w:val="24"/>
              </w:rPr>
              <w:t>1.58%</w:t>
            </w:r>
          </w:p>
        </w:tc>
        <w:tc>
          <w:tcPr>
            <w:tcW w:w="1194" w:type="dxa"/>
            <w:vAlign w:val="center"/>
          </w:tcPr>
          <w:p w:rsidR="006C62A7" w:rsidRDefault="005422E0">
            <w:pPr>
              <w:jc w:val="right"/>
            </w:pPr>
            <w:r>
              <w:rPr>
                <w:color w:val="000000"/>
                <w:sz w:val="24"/>
              </w:rPr>
              <w:t>109.13%</w:t>
            </w:r>
          </w:p>
        </w:tc>
        <w:tc>
          <w:tcPr>
            <w:tcW w:w="1343" w:type="dxa"/>
            <w:vAlign w:val="center"/>
          </w:tcPr>
          <w:p w:rsidR="006C62A7" w:rsidRDefault="005422E0">
            <w:pPr>
              <w:jc w:val="right"/>
            </w:pPr>
            <w:r>
              <w:rPr>
                <w:color w:val="000000"/>
                <w:sz w:val="24"/>
              </w:rPr>
              <w:t>1.52%</w:t>
            </w:r>
          </w:p>
        </w:tc>
        <w:tc>
          <w:tcPr>
            <w:tcW w:w="1194" w:type="dxa"/>
            <w:vAlign w:val="center"/>
          </w:tcPr>
          <w:p w:rsidR="006C62A7" w:rsidRDefault="005422E0">
            <w:pPr>
              <w:jc w:val="right"/>
            </w:pPr>
            <w:r>
              <w:rPr>
                <w:color w:val="000000"/>
                <w:sz w:val="24"/>
              </w:rPr>
              <w:t>-3.86%</w:t>
            </w:r>
          </w:p>
        </w:tc>
        <w:tc>
          <w:tcPr>
            <w:tcW w:w="1048" w:type="dxa"/>
            <w:vAlign w:val="center"/>
          </w:tcPr>
          <w:p w:rsidR="006C62A7" w:rsidRDefault="005422E0">
            <w:pPr>
              <w:jc w:val="right"/>
            </w:pPr>
            <w:r>
              <w:rPr>
                <w:color w:val="000000"/>
                <w:sz w:val="24"/>
              </w:rPr>
              <w:t>0.06%</w:t>
            </w:r>
          </w:p>
        </w:tc>
      </w:tr>
      <w:tr w:rsidR="006C62A7">
        <w:trPr>
          <w:jc w:val="center"/>
        </w:trPr>
        <w:tc>
          <w:tcPr>
            <w:tcW w:w="1701" w:type="dxa"/>
            <w:vAlign w:val="center"/>
          </w:tcPr>
          <w:p w:rsidR="006C62A7" w:rsidRDefault="005422E0">
            <w:pPr>
              <w:jc w:val="left"/>
            </w:pPr>
            <w:r>
              <w:rPr>
                <w:color w:val="000000"/>
                <w:sz w:val="24"/>
              </w:rPr>
              <w:t>自基金合同生效起至今</w:t>
            </w:r>
          </w:p>
        </w:tc>
        <w:tc>
          <w:tcPr>
            <w:tcW w:w="1194" w:type="dxa"/>
            <w:vAlign w:val="center"/>
          </w:tcPr>
          <w:p w:rsidR="006C62A7" w:rsidRDefault="005422E0">
            <w:pPr>
              <w:jc w:val="right"/>
            </w:pPr>
            <w:r>
              <w:rPr>
                <w:color w:val="000000"/>
                <w:sz w:val="24"/>
              </w:rPr>
              <w:t>98.50%</w:t>
            </w:r>
          </w:p>
        </w:tc>
        <w:tc>
          <w:tcPr>
            <w:tcW w:w="1194" w:type="dxa"/>
            <w:vAlign w:val="center"/>
          </w:tcPr>
          <w:p w:rsidR="006C62A7" w:rsidRDefault="005422E0">
            <w:pPr>
              <w:jc w:val="right"/>
            </w:pPr>
            <w:r>
              <w:rPr>
                <w:color w:val="000000"/>
                <w:sz w:val="24"/>
              </w:rPr>
              <w:t>1.61%</w:t>
            </w:r>
          </w:p>
        </w:tc>
        <w:tc>
          <w:tcPr>
            <w:tcW w:w="1194" w:type="dxa"/>
            <w:vAlign w:val="center"/>
          </w:tcPr>
          <w:p w:rsidR="006C62A7" w:rsidRDefault="005422E0">
            <w:pPr>
              <w:jc w:val="right"/>
            </w:pPr>
            <w:r>
              <w:rPr>
                <w:color w:val="000000"/>
                <w:sz w:val="24"/>
              </w:rPr>
              <w:t>101.78%</w:t>
            </w:r>
          </w:p>
        </w:tc>
        <w:tc>
          <w:tcPr>
            <w:tcW w:w="1343" w:type="dxa"/>
            <w:vAlign w:val="center"/>
          </w:tcPr>
          <w:p w:rsidR="006C62A7" w:rsidRDefault="005422E0">
            <w:pPr>
              <w:jc w:val="right"/>
            </w:pPr>
            <w:r>
              <w:rPr>
                <w:color w:val="000000"/>
                <w:sz w:val="24"/>
              </w:rPr>
              <w:t>1.58%</w:t>
            </w:r>
          </w:p>
        </w:tc>
        <w:tc>
          <w:tcPr>
            <w:tcW w:w="1194" w:type="dxa"/>
            <w:vAlign w:val="center"/>
          </w:tcPr>
          <w:p w:rsidR="006C62A7" w:rsidRDefault="005422E0">
            <w:pPr>
              <w:jc w:val="right"/>
            </w:pPr>
            <w:r>
              <w:rPr>
                <w:color w:val="000000"/>
                <w:sz w:val="24"/>
              </w:rPr>
              <w:t>-3.28%</w:t>
            </w:r>
          </w:p>
        </w:tc>
        <w:tc>
          <w:tcPr>
            <w:tcW w:w="1048" w:type="dxa"/>
            <w:vAlign w:val="center"/>
          </w:tcPr>
          <w:p w:rsidR="006C62A7" w:rsidRDefault="005422E0">
            <w:pPr>
              <w:jc w:val="right"/>
            </w:pPr>
            <w:r>
              <w:rPr>
                <w:color w:val="000000"/>
                <w:sz w:val="24"/>
              </w:rPr>
              <w:t>0.03%</w:t>
            </w:r>
          </w:p>
        </w:tc>
      </w:tr>
    </w:tbl>
    <w:p w:rsidR="006C62A7" w:rsidRDefault="005422E0">
      <w:pPr>
        <w:autoSpaceDE w:val="0"/>
        <w:autoSpaceDN w:val="0"/>
        <w:adjustRightInd w:val="0"/>
        <w:spacing w:before="29" w:line="288" w:lineRule="auto"/>
        <w:jc w:val="left"/>
        <w:rPr>
          <w:color w:val="000000"/>
          <w:sz w:val="24"/>
        </w:rPr>
      </w:pPr>
      <w:r>
        <w:rPr>
          <w:color w:val="000000"/>
          <w:sz w:val="24"/>
        </w:rPr>
        <w:t>注：本基金的业绩比较基准为中证海外中国互联网指数收益率</w:t>
      </w:r>
      <w:r>
        <w:rPr>
          <w:color w:val="000000"/>
          <w:sz w:val="24"/>
        </w:rPr>
        <w:t>×95%</w:t>
      </w:r>
      <w:r>
        <w:rPr>
          <w:color w:val="000000"/>
          <w:sz w:val="24"/>
        </w:rPr>
        <w:t>＋银行活期存款利率（税后）</w:t>
      </w:r>
      <w:r>
        <w:rPr>
          <w:color w:val="000000"/>
          <w:sz w:val="24"/>
        </w:rPr>
        <w:t>×5%</w:t>
      </w:r>
      <w:r>
        <w:rPr>
          <w:color w:val="000000"/>
          <w:sz w:val="24"/>
        </w:rPr>
        <w:t>，每日进行再平衡过程。其中中证海外中国互联网指数采用人民币价格，自</w:t>
      </w:r>
      <w:r>
        <w:rPr>
          <w:color w:val="000000"/>
          <w:sz w:val="24"/>
        </w:rPr>
        <w:t>2020</w:t>
      </w:r>
      <w:r>
        <w:rPr>
          <w:color w:val="000000"/>
          <w:sz w:val="24"/>
        </w:rPr>
        <w:t>年第三季度报告起追溯调整过往业绩比较基准收益率。</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3.2.2</w:t>
      </w:r>
      <w:r>
        <w:rPr>
          <w:rFonts w:hint="eastAsia"/>
          <w:b/>
          <w:color w:val="000000"/>
          <w:kern w:val="0"/>
          <w:sz w:val="24"/>
        </w:rPr>
        <w:t>自基金合同生效以来</w:t>
      </w:r>
      <w:r>
        <w:rPr>
          <w:b/>
          <w:color w:val="000000"/>
          <w:kern w:val="0"/>
          <w:sz w:val="24"/>
        </w:rPr>
        <w:t>基金份额累计净值增长率变动及其与同期业绩比较基准收益率变动的比较</w:t>
      </w:r>
    </w:p>
    <w:p w:rsidR="006C62A7" w:rsidRDefault="005422E0">
      <w:pPr>
        <w:spacing w:before="29" w:line="288" w:lineRule="auto"/>
        <w:jc w:val="center"/>
        <w:rPr>
          <w:sz w:val="24"/>
        </w:rPr>
      </w:pPr>
      <w:r>
        <w:rPr>
          <w:sz w:val="24"/>
        </w:rPr>
        <w:t>交银施罗德中证海外中国互联网指数型证券投资基金</w:t>
      </w:r>
      <w:r>
        <w:rPr>
          <w:sz w:val="24"/>
        </w:rPr>
        <w:t>(LOF)</w:t>
      </w:r>
    </w:p>
    <w:p w:rsidR="006C62A7" w:rsidRDefault="005422E0">
      <w:pPr>
        <w:pStyle w:val="a8"/>
        <w:snapToGrid w:val="0"/>
        <w:spacing w:before="29" w:line="288" w:lineRule="auto"/>
        <w:ind w:firstLine="480"/>
        <w:jc w:val="center"/>
        <w:rPr>
          <w:rFonts w:ascii="Times New Roman" w:hAnsi="Times New Roman"/>
          <w:color w:val="000000"/>
          <w:sz w:val="24"/>
          <w:szCs w:val="24"/>
        </w:rPr>
      </w:pPr>
      <w:r>
        <w:rPr>
          <w:rFonts w:ascii="Times New Roman" w:hAnsi="Times New Roman"/>
          <w:color w:val="000000"/>
          <w:sz w:val="24"/>
          <w:szCs w:val="24"/>
        </w:rPr>
        <w:t>份额累计净值增长率与业绩比较基准收益率历史走势对比图</w:t>
      </w:r>
    </w:p>
    <w:p w:rsidR="006C62A7" w:rsidRDefault="005422E0">
      <w:pPr>
        <w:spacing w:before="29" w:line="288" w:lineRule="auto"/>
        <w:jc w:val="center"/>
        <w:rPr>
          <w:sz w:val="24"/>
        </w:rPr>
      </w:pPr>
      <w:r>
        <w:rPr>
          <w:color w:val="000000"/>
          <w:kern w:val="0"/>
          <w:sz w:val="24"/>
        </w:rPr>
        <w:t>（</w:t>
      </w:r>
      <w:r>
        <w:rPr>
          <w:color w:val="000000"/>
          <w:kern w:val="0"/>
          <w:sz w:val="24"/>
        </w:rPr>
        <w:t>2015</w:t>
      </w:r>
      <w:r>
        <w:rPr>
          <w:color w:val="000000"/>
          <w:kern w:val="0"/>
          <w:sz w:val="24"/>
        </w:rPr>
        <w:t>年</w:t>
      </w:r>
      <w:r>
        <w:rPr>
          <w:color w:val="000000"/>
          <w:kern w:val="0"/>
          <w:sz w:val="24"/>
        </w:rPr>
        <w:t>5</w:t>
      </w:r>
      <w:r>
        <w:rPr>
          <w:color w:val="000000"/>
          <w:kern w:val="0"/>
          <w:sz w:val="24"/>
        </w:rPr>
        <w:t>月</w:t>
      </w:r>
      <w:r>
        <w:rPr>
          <w:color w:val="000000"/>
          <w:kern w:val="0"/>
          <w:sz w:val="24"/>
        </w:rPr>
        <w:t>27</w:t>
      </w:r>
      <w:r>
        <w:rPr>
          <w:color w:val="000000"/>
          <w:kern w:val="0"/>
          <w:sz w:val="24"/>
        </w:rPr>
        <w:t>日至</w:t>
      </w:r>
      <w:r>
        <w:rPr>
          <w:color w:val="000000"/>
          <w:kern w:val="0"/>
          <w:sz w:val="24"/>
        </w:rPr>
        <w:t>2020</w:t>
      </w:r>
      <w:r>
        <w:rPr>
          <w:color w:val="000000"/>
          <w:kern w:val="0"/>
          <w:sz w:val="24"/>
        </w:rPr>
        <w:t>年</w:t>
      </w:r>
      <w:r>
        <w:rPr>
          <w:color w:val="000000"/>
          <w:kern w:val="0"/>
          <w:sz w:val="24"/>
        </w:rPr>
        <w:t>12</w:t>
      </w:r>
      <w:r>
        <w:rPr>
          <w:color w:val="000000"/>
          <w:kern w:val="0"/>
          <w:sz w:val="24"/>
        </w:rPr>
        <w:t>月</w:t>
      </w:r>
      <w:r>
        <w:rPr>
          <w:color w:val="000000"/>
          <w:kern w:val="0"/>
          <w:sz w:val="24"/>
        </w:rPr>
        <w:t>31</w:t>
      </w:r>
      <w:r>
        <w:rPr>
          <w:color w:val="000000"/>
          <w:kern w:val="0"/>
          <w:sz w:val="24"/>
        </w:rPr>
        <w:t>日）</w:t>
      </w:r>
    </w:p>
    <w:p w:rsidR="006C62A7" w:rsidRDefault="005422E0">
      <w:pPr>
        <w:tabs>
          <w:tab w:val="left" w:pos="1800"/>
        </w:tabs>
        <w:spacing w:before="29" w:line="288" w:lineRule="auto"/>
        <w:jc w:val="center"/>
        <w:rPr>
          <w:color w:val="000000"/>
          <w:sz w:val="24"/>
        </w:rPr>
      </w:pPr>
      <w:r>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走势图1.jpg"/>
                    <pic:cNvPicPr>
                      <a:picLocks noChangeAspect="1"/>
                    </pic:cNvPicPr>
                  </pic:nvPicPr>
                  <pic:blipFill>
                    <a:blip r:embed="rId13" cstate="print"/>
                    <a:stretch>
                      <a:fillRect/>
                    </a:stretch>
                  </pic:blipFill>
                  <pic:spPr>
                    <a:xfrm>
                      <a:off x="0" y="0"/>
                      <a:ext cx="5731510" cy="3356610"/>
                    </a:xfrm>
                    <a:prstGeom prst="rect">
                      <a:avLst/>
                    </a:prstGeom>
                  </pic:spPr>
                </pic:pic>
              </a:graphicData>
            </a:graphic>
          </wp:inline>
        </w:drawing>
      </w:r>
    </w:p>
    <w:p w:rsidR="006C62A7" w:rsidRDefault="005422E0">
      <w:pPr>
        <w:autoSpaceDE w:val="0"/>
        <w:autoSpaceDN w:val="0"/>
        <w:adjustRightInd w:val="0"/>
        <w:spacing w:before="29" w:line="288" w:lineRule="auto"/>
        <w:jc w:val="left"/>
        <w:rPr>
          <w:color w:val="000000"/>
          <w:sz w:val="24"/>
        </w:rPr>
      </w:pPr>
      <w:r>
        <w:rPr>
          <w:color w:val="000000"/>
          <w:sz w:val="24"/>
        </w:rPr>
        <w:t>注：本基金建仓期为自基金合同生效日起的</w:t>
      </w:r>
      <w:r>
        <w:rPr>
          <w:color w:val="000000"/>
          <w:sz w:val="24"/>
        </w:rPr>
        <w:t>6</w:t>
      </w:r>
      <w:r>
        <w:rPr>
          <w:color w:val="000000"/>
          <w:sz w:val="24"/>
        </w:rPr>
        <w:t>个月。截至建仓期结束，本基金各项资产配置比例符合基金合同及招募说明书有关投资比例的约定。</w:t>
      </w:r>
    </w:p>
    <w:p w:rsidR="006C62A7" w:rsidRDefault="006C62A7">
      <w:pPr>
        <w:autoSpaceDE w:val="0"/>
        <w:autoSpaceDN w:val="0"/>
        <w:adjustRightInd w:val="0"/>
        <w:spacing w:before="29" w:line="288" w:lineRule="auto"/>
        <w:jc w:val="left"/>
        <w:rPr>
          <w:color w:val="000000"/>
          <w:sz w:val="24"/>
        </w:rPr>
      </w:pPr>
    </w:p>
    <w:p w:rsidR="006C62A7" w:rsidRDefault="005422E0">
      <w:pPr>
        <w:pStyle w:val="1"/>
        <w:spacing w:beforeLines="100" w:before="312" w:afterLines="100" w:after="312" w:line="288" w:lineRule="auto"/>
        <w:jc w:val="center"/>
        <w:rPr>
          <w:color w:val="000000"/>
          <w:kern w:val="0"/>
          <w:sz w:val="24"/>
          <w:szCs w:val="24"/>
        </w:rPr>
      </w:pPr>
      <w:r>
        <w:rPr>
          <w:color w:val="000000"/>
          <w:kern w:val="0"/>
          <w:sz w:val="24"/>
          <w:szCs w:val="24"/>
        </w:rPr>
        <w:t xml:space="preserve">§4  </w:t>
      </w:r>
      <w:r>
        <w:rPr>
          <w:color w:val="000000"/>
          <w:kern w:val="0"/>
          <w:sz w:val="24"/>
          <w:szCs w:val="24"/>
        </w:rPr>
        <w:t>管理人报告</w:t>
      </w: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 xml:space="preserve">4.1 </w:t>
      </w:r>
      <w:r>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46"/>
        <w:gridCol w:w="845"/>
        <w:gridCol w:w="1549"/>
        <w:gridCol w:w="1548"/>
        <w:gridCol w:w="1407"/>
        <w:gridCol w:w="2673"/>
      </w:tblGrid>
      <w:tr w:rsidR="006C62A7">
        <w:trPr>
          <w:trHeight w:val="292"/>
          <w:jc w:val="center"/>
        </w:trPr>
        <w:tc>
          <w:tcPr>
            <w:tcW w:w="851" w:type="dxa"/>
            <w:vMerge w:val="restart"/>
            <w:vAlign w:val="center"/>
          </w:tcPr>
          <w:p w:rsidR="006C62A7" w:rsidRDefault="005422E0">
            <w:pPr>
              <w:widowControl/>
              <w:spacing w:before="29" w:line="288" w:lineRule="auto"/>
              <w:ind w:left="17"/>
              <w:jc w:val="center"/>
              <w:rPr>
                <w:color w:val="000000"/>
                <w:kern w:val="0"/>
                <w:sz w:val="24"/>
              </w:rPr>
            </w:pPr>
            <w:r>
              <w:rPr>
                <w:color w:val="000000"/>
                <w:kern w:val="0"/>
                <w:sz w:val="24"/>
              </w:rPr>
              <w:lastRenderedPageBreak/>
              <w:t>姓名</w:t>
            </w:r>
          </w:p>
        </w:tc>
        <w:tc>
          <w:tcPr>
            <w:tcW w:w="850" w:type="dxa"/>
            <w:vMerge w:val="restart"/>
            <w:vAlign w:val="center"/>
          </w:tcPr>
          <w:p w:rsidR="006C62A7" w:rsidRDefault="005422E0">
            <w:pPr>
              <w:widowControl/>
              <w:spacing w:before="29" w:line="288" w:lineRule="auto"/>
              <w:ind w:left="17"/>
              <w:jc w:val="center"/>
              <w:rPr>
                <w:color w:val="000000"/>
                <w:kern w:val="0"/>
                <w:sz w:val="24"/>
              </w:rPr>
            </w:pPr>
            <w:r>
              <w:rPr>
                <w:color w:val="000000"/>
                <w:kern w:val="0"/>
                <w:sz w:val="24"/>
              </w:rPr>
              <w:t>职务</w:t>
            </w:r>
          </w:p>
        </w:tc>
        <w:tc>
          <w:tcPr>
            <w:tcW w:w="3119" w:type="dxa"/>
            <w:gridSpan w:val="2"/>
            <w:vAlign w:val="center"/>
          </w:tcPr>
          <w:p w:rsidR="006C62A7" w:rsidRDefault="005422E0">
            <w:pPr>
              <w:autoSpaceDE w:val="0"/>
              <w:autoSpaceDN w:val="0"/>
              <w:adjustRightInd w:val="0"/>
              <w:spacing w:before="29" w:line="288" w:lineRule="auto"/>
              <w:ind w:left="17"/>
              <w:jc w:val="center"/>
              <w:rPr>
                <w:color w:val="000000"/>
                <w:kern w:val="0"/>
                <w:sz w:val="24"/>
              </w:rPr>
            </w:pPr>
            <w:r>
              <w:rPr>
                <w:color w:val="000000"/>
                <w:kern w:val="0"/>
                <w:sz w:val="24"/>
              </w:rPr>
              <w:t>任本基金的基金经理期限</w:t>
            </w:r>
          </w:p>
        </w:tc>
        <w:tc>
          <w:tcPr>
            <w:tcW w:w="1417" w:type="dxa"/>
            <w:vMerge w:val="restart"/>
            <w:vAlign w:val="center"/>
          </w:tcPr>
          <w:p w:rsidR="006C62A7" w:rsidRDefault="005422E0">
            <w:pPr>
              <w:autoSpaceDE w:val="0"/>
              <w:autoSpaceDN w:val="0"/>
              <w:adjustRightInd w:val="0"/>
              <w:spacing w:before="29" w:line="288" w:lineRule="auto"/>
              <w:ind w:left="17"/>
              <w:jc w:val="center"/>
              <w:rPr>
                <w:color w:val="000000"/>
                <w:kern w:val="0"/>
                <w:sz w:val="24"/>
              </w:rPr>
            </w:pPr>
            <w:r>
              <w:rPr>
                <w:color w:val="000000"/>
                <w:kern w:val="0"/>
                <w:sz w:val="24"/>
              </w:rPr>
              <w:t>证券从业年限</w:t>
            </w:r>
          </w:p>
        </w:tc>
        <w:tc>
          <w:tcPr>
            <w:tcW w:w="2694" w:type="dxa"/>
            <w:vMerge w:val="restart"/>
            <w:vAlign w:val="center"/>
          </w:tcPr>
          <w:p w:rsidR="006C62A7" w:rsidRDefault="005422E0">
            <w:pPr>
              <w:widowControl/>
              <w:spacing w:before="29" w:line="288" w:lineRule="auto"/>
              <w:ind w:left="17"/>
              <w:jc w:val="center"/>
              <w:rPr>
                <w:color w:val="000000"/>
                <w:kern w:val="0"/>
                <w:sz w:val="24"/>
              </w:rPr>
            </w:pPr>
            <w:r>
              <w:rPr>
                <w:color w:val="000000"/>
                <w:kern w:val="0"/>
                <w:sz w:val="24"/>
              </w:rPr>
              <w:t>说明</w:t>
            </w:r>
          </w:p>
        </w:tc>
      </w:tr>
      <w:tr w:rsidR="006C62A7">
        <w:trPr>
          <w:jc w:val="center"/>
        </w:trPr>
        <w:tc>
          <w:tcPr>
            <w:tcW w:w="851" w:type="dxa"/>
            <w:vMerge/>
            <w:vAlign w:val="center"/>
          </w:tcPr>
          <w:p w:rsidR="006C62A7" w:rsidRDefault="006C62A7">
            <w:pPr>
              <w:widowControl/>
              <w:spacing w:before="29" w:line="288" w:lineRule="auto"/>
              <w:jc w:val="left"/>
              <w:rPr>
                <w:color w:val="000000"/>
                <w:kern w:val="0"/>
                <w:sz w:val="24"/>
              </w:rPr>
            </w:pPr>
          </w:p>
        </w:tc>
        <w:tc>
          <w:tcPr>
            <w:tcW w:w="850" w:type="dxa"/>
            <w:vMerge/>
            <w:vAlign w:val="center"/>
          </w:tcPr>
          <w:p w:rsidR="006C62A7" w:rsidRDefault="006C62A7">
            <w:pPr>
              <w:widowControl/>
              <w:spacing w:before="29" w:line="288" w:lineRule="auto"/>
              <w:jc w:val="left"/>
              <w:rPr>
                <w:color w:val="000000"/>
                <w:kern w:val="0"/>
                <w:sz w:val="24"/>
              </w:rPr>
            </w:pPr>
          </w:p>
        </w:tc>
        <w:tc>
          <w:tcPr>
            <w:tcW w:w="1560" w:type="dxa"/>
            <w:vAlign w:val="center"/>
          </w:tcPr>
          <w:p w:rsidR="006C62A7" w:rsidRDefault="005422E0">
            <w:pPr>
              <w:autoSpaceDE w:val="0"/>
              <w:autoSpaceDN w:val="0"/>
              <w:adjustRightInd w:val="0"/>
              <w:spacing w:before="29" w:line="288" w:lineRule="auto"/>
              <w:ind w:left="17"/>
              <w:jc w:val="center"/>
              <w:rPr>
                <w:color w:val="000000"/>
                <w:kern w:val="0"/>
                <w:sz w:val="24"/>
              </w:rPr>
            </w:pPr>
            <w:r>
              <w:rPr>
                <w:color w:val="000000"/>
                <w:kern w:val="0"/>
                <w:sz w:val="24"/>
              </w:rPr>
              <w:t>任职日期</w:t>
            </w:r>
          </w:p>
        </w:tc>
        <w:tc>
          <w:tcPr>
            <w:tcW w:w="1559" w:type="dxa"/>
            <w:vAlign w:val="center"/>
          </w:tcPr>
          <w:p w:rsidR="006C62A7" w:rsidRDefault="005422E0">
            <w:pPr>
              <w:autoSpaceDE w:val="0"/>
              <w:autoSpaceDN w:val="0"/>
              <w:adjustRightInd w:val="0"/>
              <w:spacing w:before="29" w:line="288" w:lineRule="auto"/>
              <w:ind w:left="17"/>
              <w:jc w:val="center"/>
              <w:rPr>
                <w:color w:val="000000"/>
                <w:kern w:val="0"/>
                <w:sz w:val="24"/>
              </w:rPr>
            </w:pPr>
            <w:r>
              <w:rPr>
                <w:color w:val="000000"/>
                <w:kern w:val="0"/>
                <w:sz w:val="24"/>
              </w:rPr>
              <w:t>离任日期</w:t>
            </w:r>
          </w:p>
        </w:tc>
        <w:tc>
          <w:tcPr>
            <w:tcW w:w="1417" w:type="dxa"/>
            <w:vMerge/>
            <w:vAlign w:val="center"/>
          </w:tcPr>
          <w:p w:rsidR="006C62A7" w:rsidRDefault="006C62A7">
            <w:pPr>
              <w:widowControl/>
              <w:spacing w:before="29" w:line="288" w:lineRule="auto"/>
              <w:jc w:val="left"/>
              <w:rPr>
                <w:color w:val="000000"/>
                <w:kern w:val="0"/>
                <w:sz w:val="24"/>
              </w:rPr>
            </w:pPr>
          </w:p>
        </w:tc>
        <w:tc>
          <w:tcPr>
            <w:tcW w:w="2694" w:type="dxa"/>
            <w:vMerge/>
            <w:vAlign w:val="center"/>
          </w:tcPr>
          <w:p w:rsidR="006C62A7" w:rsidRDefault="006C62A7">
            <w:pPr>
              <w:widowControl/>
              <w:spacing w:before="29" w:line="288" w:lineRule="auto"/>
              <w:jc w:val="left"/>
              <w:rPr>
                <w:color w:val="000000"/>
                <w:kern w:val="0"/>
                <w:sz w:val="24"/>
              </w:rPr>
            </w:pPr>
          </w:p>
        </w:tc>
      </w:tr>
      <w:tr w:rsidR="006C62A7">
        <w:trPr>
          <w:jc w:val="center"/>
        </w:trPr>
        <w:tc>
          <w:tcPr>
            <w:tcW w:w="846" w:type="dxa"/>
            <w:vAlign w:val="center"/>
          </w:tcPr>
          <w:p w:rsidR="006C62A7" w:rsidRDefault="005422E0">
            <w:pPr>
              <w:jc w:val="center"/>
            </w:pPr>
            <w:r>
              <w:rPr>
                <w:color w:val="000000"/>
                <w:sz w:val="24"/>
              </w:rPr>
              <w:t>蔡铮</w:t>
            </w:r>
          </w:p>
        </w:tc>
        <w:tc>
          <w:tcPr>
            <w:tcW w:w="845" w:type="dxa"/>
            <w:vAlign w:val="center"/>
          </w:tcPr>
          <w:p w:rsidR="006C62A7" w:rsidRDefault="005422E0">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及其联接、交银中证海外中国互联网指数（</w:t>
            </w:r>
            <w:r>
              <w:rPr>
                <w:color w:val="000000"/>
                <w:sz w:val="24"/>
              </w:rPr>
              <w:t>QDII-LOF)</w:t>
            </w:r>
            <w:r>
              <w:rPr>
                <w:color w:val="000000"/>
                <w:sz w:val="24"/>
              </w:rPr>
              <w:t>、交银中证环境治理指数（</w:t>
            </w:r>
            <w:r>
              <w:rPr>
                <w:color w:val="000000"/>
                <w:sz w:val="24"/>
              </w:rPr>
              <w:t>LOF</w:t>
            </w:r>
            <w:r>
              <w:rPr>
                <w:color w:val="000000"/>
                <w:sz w:val="24"/>
              </w:rPr>
              <w:t>）、交银创业板</w:t>
            </w:r>
            <w:r>
              <w:rPr>
                <w:color w:val="000000"/>
                <w:sz w:val="24"/>
              </w:rPr>
              <w:t>50</w:t>
            </w:r>
            <w:r>
              <w:rPr>
                <w:color w:val="000000"/>
                <w:sz w:val="24"/>
              </w:rPr>
              <w:t>指数、交银国证新能源指数</w:t>
            </w:r>
            <w:r>
              <w:rPr>
                <w:color w:val="000000"/>
                <w:sz w:val="24"/>
              </w:rPr>
              <w:lastRenderedPageBreak/>
              <w:t>(LOF)</w:t>
            </w:r>
            <w:r>
              <w:rPr>
                <w:color w:val="000000"/>
                <w:sz w:val="24"/>
              </w:rPr>
              <w:t>的基金经理，公司量化投资副总监兼多元资产管理副总监</w:t>
            </w:r>
          </w:p>
        </w:tc>
        <w:tc>
          <w:tcPr>
            <w:tcW w:w="1549" w:type="dxa"/>
            <w:vAlign w:val="center"/>
          </w:tcPr>
          <w:p w:rsidR="006C62A7" w:rsidRDefault="005422E0">
            <w:pPr>
              <w:jc w:val="center"/>
            </w:pPr>
            <w:r>
              <w:rPr>
                <w:color w:val="000000"/>
                <w:sz w:val="24"/>
              </w:rPr>
              <w:lastRenderedPageBreak/>
              <w:t>2015-05-27</w:t>
            </w:r>
          </w:p>
        </w:tc>
        <w:tc>
          <w:tcPr>
            <w:tcW w:w="1548" w:type="dxa"/>
            <w:vAlign w:val="center"/>
          </w:tcPr>
          <w:p w:rsidR="006C62A7" w:rsidRDefault="005422E0">
            <w:pPr>
              <w:jc w:val="center"/>
            </w:pPr>
            <w:r>
              <w:rPr>
                <w:color w:val="000000"/>
                <w:sz w:val="24"/>
              </w:rPr>
              <w:t>-</w:t>
            </w:r>
          </w:p>
        </w:tc>
        <w:tc>
          <w:tcPr>
            <w:tcW w:w="1407" w:type="dxa"/>
            <w:vAlign w:val="center"/>
          </w:tcPr>
          <w:p w:rsidR="006C62A7" w:rsidRDefault="005422E0">
            <w:pPr>
              <w:jc w:val="center"/>
            </w:pPr>
            <w:r>
              <w:rPr>
                <w:color w:val="000000"/>
                <w:sz w:val="24"/>
              </w:rPr>
              <w:t>11</w:t>
            </w:r>
            <w:r>
              <w:rPr>
                <w:color w:val="000000"/>
                <w:sz w:val="24"/>
              </w:rPr>
              <w:t>年</w:t>
            </w:r>
          </w:p>
        </w:tc>
        <w:tc>
          <w:tcPr>
            <w:tcW w:w="2673" w:type="dxa"/>
            <w:vAlign w:val="center"/>
          </w:tcPr>
          <w:p w:rsidR="006C62A7" w:rsidRDefault="005422E0">
            <w:pPr>
              <w:jc w:val="left"/>
            </w:pPr>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r>
              <w:rPr>
                <w:color w:val="000000"/>
                <w:sz w:val="24"/>
              </w:rPr>
              <w:t>2018</w:t>
            </w:r>
            <w:r>
              <w:rPr>
                <w:color w:val="000000"/>
                <w:sz w:val="24"/>
              </w:rPr>
              <w:t>年</w:t>
            </w:r>
            <w:r>
              <w:rPr>
                <w:color w:val="000000"/>
                <w:sz w:val="24"/>
              </w:rPr>
              <w:t>5</w:t>
            </w:r>
            <w:r>
              <w:rPr>
                <w:color w:val="000000"/>
                <w:sz w:val="24"/>
              </w:rPr>
              <w:t>月</w:t>
            </w:r>
            <w:r>
              <w:rPr>
                <w:color w:val="000000"/>
                <w:sz w:val="24"/>
              </w:rPr>
              <w:t>18</w:t>
            </w:r>
            <w:r>
              <w:rPr>
                <w:color w:val="000000"/>
                <w:sz w:val="24"/>
              </w:rPr>
              <w:t>日至</w:t>
            </w:r>
            <w:r>
              <w:rPr>
                <w:color w:val="000000"/>
                <w:sz w:val="24"/>
              </w:rPr>
              <w:t>2020</w:t>
            </w:r>
            <w:r>
              <w:rPr>
                <w:color w:val="000000"/>
                <w:sz w:val="24"/>
              </w:rPr>
              <w:t>年</w:t>
            </w:r>
            <w:r>
              <w:rPr>
                <w:color w:val="000000"/>
                <w:sz w:val="24"/>
              </w:rPr>
              <w:t>7</w:t>
            </w:r>
            <w:r>
              <w:rPr>
                <w:color w:val="000000"/>
                <w:sz w:val="24"/>
              </w:rPr>
              <w:t>月</w:t>
            </w:r>
            <w:r>
              <w:rPr>
                <w:color w:val="000000"/>
                <w:sz w:val="24"/>
              </w:rPr>
              <w:t>17</w:t>
            </w:r>
            <w:r>
              <w:rPr>
                <w:color w:val="000000"/>
                <w:sz w:val="24"/>
              </w:rPr>
              <w:t>日担任交银施罗德致远量化智投策略定期开放混合型证券投资基金的基金经理。</w:t>
            </w:r>
            <w:r>
              <w:rPr>
                <w:color w:val="000000"/>
                <w:sz w:val="24"/>
              </w:rPr>
              <w:t>2015</w:t>
            </w:r>
            <w:r>
              <w:rPr>
                <w:color w:val="000000"/>
                <w:sz w:val="24"/>
              </w:rPr>
              <w:t>年</w:t>
            </w:r>
            <w:r>
              <w:rPr>
                <w:color w:val="000000"/>
                <w:sz w:val="24"/>
              </w:rPr>
              <w:t>6</w:t>
            </w:r>
            <w:r>
              <w:rPr>
                <w:color w:val="000000"/>
                <w:sz w:val="24"/>
              </w:rPr>
              <w:t>月</w:t>
            </w:r>
            <w:r>
              <w:rPr>
                <w:color w:val="000000"/>
                <w:sz w:val="24"/>
              </w:rPr>
              <w:t>26</w:t>
            </w:r>
            <w:r>
              <w:rPr>
                <w:color w:val="000000"/>
                <w:sz w:val="24"/>
              </w:rPr>
              <w:t>日至</w:t>
            </w:r>
            <w:r>
              <w:rPr>
                <w:color w:val="000000"/>
                <w:sz w:val="24"/>
              </w:rPr>
              <w:t>2020</w:t>
            </w:r>
            <w:r>
              <w:rPr>
                <w:color w:val="000000"/>
                <w:sz w:val="24"/>
              </w:rPr>
              <w:t>年</w:t>
            </w:r>
            <w:r>
              <w:rPr>
                <w:color w:val="000000"/>
                <w:sz w:val="24"/>
              </w:rPr>
              <w:t>11</w:t>
            </w:r>
            <w:r>
              <w:rPr>
                <w:color w:val="000000"/>
                <w:sz w:val="24"/>
              </w:rPr>
              <w:t>月</w:t>
            </w:r>
            <w:r>
              <w:rPr>
                <w:color w:val="000000"/>
                <w:sz w:val="24"/>
              </w:rPr>
              <w:t>25</w:t>
            </w:r>
            <w:r>
              <w:rPr>
                <w:color w:val="000000"/>
                <w:sz w:val="24"/>
              </w:rPr>
              <w:t>日担任</w:t>
            </w:r>
            <w:r>
              <w:rPr>
                <w:color w:val="000000"/>
                <w:sz w:val="24"/>
              </w:rPr>
              <w:t>交银施罗德中证互联网金融指数分级证券投资基金的基金经理。</w:t>
            </w:r>
            <w:r>
              <w:rPr>
                <w:color w:val="000000"/>
                <w:sz w:val="24"/>
              </w:rPr>
              <w:t>2015</w:t>
            </w:r>
            <w:r>
              <w:rPr>
                <w:color w:val="000000"/>
                <w:sz w:val="24"/>
              </w:rPr>
              <w:t>年</w:t>
            </w:r>
            <w:r>
              <w:rPr>
                <w:color w:val="000000"/>
                <w:sz w:val="24"/>
              </w:rPr>
              <w:t>3</w:t>
            </w:r>
            <w:r>
              <w:rPr>
                <w:color w:val="000000"/>
                <w:sz w:val="24"/>
              </w:rPr>
              <w:t>月</w:t>
            </w:r>
            <w:r>
              <w:rPr>
                <w:color w:val="000000"/>
                <w:sz w:val="24"/>
              </w:rPr>
              <w:t>26</w:t>
            </w:r>
            <w:r>
              <w:rPr>
                <w:color w:val="000000"/>
                <w:sz w:val="24"/>
              </w:rPr>
              <w:t>日至</w:t>
            </w:r>
            <w:r>
              <w:rPr>
                <w:color w:val="000000"/>
                <w:sz w:val="24"/>
              </w:rPr>
              <w:t>2020</w:t>
            </w:r>
            <w:r>
              <w:rPr>
                <w:color w:val="000000"/>
                <w:sz w:val="24"/>
              </w:rPr>
              <w:t>年</w:t>
            </w:r>
            <w:r>
              <w:rPr>
                <w:color w:val="000000"/>
                <w:sz w:val="24"/>
              </w:rPr>
              <w:t>11</w:t>
            </w:r>
            <w:r>
              <w:rPr>
                <w:color w:val="000000"/>
                <w:sz w:val="24"/>
              </w:rPr>
              <w:t>月</w:t>
            </w:r>
            <w:r>
              <w:rPr>
                <w:color w:val="000000"/>
                <w:sz w:val="24"/>
              </w:rPr>
              <w:t>29</w:t>
            </w:r>
            <w:r>
              <w:rPr>
                <w:color w:val="000000"/>
                <w:sz w:val="24"/>
              </w:rPr>
              <w:t>日担任交银施罗德国证新能源指数分级证券投</w:t>
            </w:r>
            <w:r>
              <w:rPr>
                <w:color w:val="000000"/>
                <w:sz w:val="24"/>
              </w:rPr>
              <w:lastRenderedPageBreak/>
              <w:t>资基金的基金经理。</w:t>
            </w:r>
          </w:p>
        </w:tc>
      </w:tr>
    </w:tbl>
    <w:p w:rsidR="006C62A7" w:rsidRDefault="005422E0">
      <w:pPr>
        <w:autoSpaceDE w:val="0"/>
        <w:autoSpaceDN w:val="0"/>
        <w:adjustRightInd w:val="0"/>
        <w:spacing w:before="29" w:line="288" w:lineRule="auto"/>
        <w:jc w:val="left"/>
        <w:rPr>
          <w:color w:val="000000"/>
          <w:sz w:val="24"/>
        </w:rPr>
      </w:pPr>
      <w:r>
        <w:rPr>
          <w:color w:val="000000"/>
          <w:sz w:val="24"/>
        </w:rPr>
        <w:lastRenderedPageBreak/>
        <w:t>注：基金经理（或基金经理小组）期后变动（如有）敬请关注基金管理人发布的相关公告。</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4.2</w:t>
      </w:r>
      <w:r>
        <w:rPr>
          <w:b/>
          <w:color w:val="000000"/>
          <w:kern w:val="0"/>
          <w:sz w:val="24"/>
        </w:rPr>
        <w:t>报告期内本基金运作遵规守信情况说明</w:t>
      </w:r>
    </w:p>
    <w:p w:rsidR="006C62A7" w:rsidRDefault="005422E0">
      <w:pPr>
        <w:spacing w:before="29" w:line="288" w:lineRule="auto"/>
        <w:ind w:firstLineChars="200" w:firstLine="480"/>
        <w:rPr>
          <w:color w:val="000000"/>
          <w:sz w:val="24"/>
        </w:rPr>
      </w:pPr>
      <w:r>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4.3</w:t>
      </w:r>
      <w:r>
        <w:rPr>
          <w:b/>
          <w:color w:val="000000"/>
          <w:kern w:val="0"/>
          <w:sz w:val="24"/>
        </w:rPr>
        <w:t>公平交易专项说明</w:t>
      </w:r>
    </w:p>
    <w:p w:rsidR="006C62A7" w:rsidRDefault="005422E0">
      <w:pPr>
        <w:spacing w:before="29" w:line="288" w:lineRule="auto"/>
        <w:rPr>
          <w:sz w:val="24"/>
        </w:rPr>
      </w:pPr>
      <w:r>
        <w:rPr>
          <w:sz w:val="24"/>
        </w:rPr>
        <w:t>4.3.1</w:t>
      </w:r>
      <w:r>
        <w:rPr>
          <w:sz w:val="24"/>
        </w:rPr>
        <w:t>公平交易制度的执行情况</w:t>
      </w:r>
    </w:p>
    <w:p w:rsidR="006C62A7" w:rsidRDefault="005422E0">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本公司制定了严格的投资控制制度和公平交易监控制度来保证旗下基金运作的公平，旗下所管理的所有资产组合，包括证券投资基金和私募资产管理计划均严格遵循制度进行公平交易。</w:t>
      </w:r>
    </w:p>
    <w:p w:rsidR="006C62A7" w:rsidRDefault="005422E0">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价格优先、时间优先</w:t>
      </w:r>
      <w:r>
        <w:rPr>
          <w:color w:val="000000"/>
          <w:sz w:val="24"/>
        </w:rPr>
        <w:t>”</w:t>
      </w:r>
      <w:r>
        <w:rPr>
          <w:color w:val="000000"/>
          <w:sz w:val="24"/>
        </w:rPr>
        <w:t>的原则，全部通过交易系统进行比例分配；对于非集中竞价交易、以公司名义进行的场外交易，遵循公平交易分配原则对交易结果进行分配。</w:t>
      </w:r>
    </w:p>
    <w:p w:rsidR="006C62A7" w:rsidRDefault="005422E0">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w:t>
      </w:r>
      <w:r>
        <w:rPr>
          <w:color w:val="000000"/>
          <w:sz w:val="24"/>
        </w:rPr>
        <w:t>的收益率差异以及不同时间窗口同向交易的交易价差进行分析，通过分析评估和信息披露来加强对公平交易过程和结果的监督。</w:t>
      </w:r>
    </w:p>
    <w:p w:rsidR="006C62A7" w:rsidRDefault="005422E0">
      <w:pPr>
        <w:spacing w:before="29" w:line="288" w:lineRule="auto"/>
        <w:ind w:firstLineChars="200" w:firstLine="480"/>
        <w:rPr>
          <w:color w:val="000000"/>
          <w:sz w:val="24"/>
        </w:rPr>
      </w:pPr>
      <w:r>
        <w:rPr>
          <w:color w:val="000000"/>
          <w:sz w:val="24"/>
        </w:rPr>
        <w:t>报告期内本公司严格执行公平交易制度，公平对待旗下各投资组合，未发现任何违反公平交易的行为。</w:t>
      </w:r>
    </w:p>
    <w:p w:rsidR="006C62A7" w:rsidRDefault="006C62A7">
      <w:pPr>
        <w:spacing w:before="29" w:line="288" w:lineRule="auto"/>
        <w:ind w:firstLineChars="200" w:firstLine="480"/>
        <w:rPr>
          <w:color w:val="000000"/>
          <w:sz w:val="24"/>
        </w:rPr>
      </w:pPr>
    </w:p>
    <w:p w:rsidR="006C62A7" w:rsidRDefault="005422E0">
      <w:pPr>
        <w:spacing w:before="29" w:line="288" w:lineRule="auto"/>
        <w:rPr>
          <w:sz w:val="24"/>
        </w:rPr>
      </w:pPr>
      <w:r>
        <w:rPr>
          <w:sz w:val="24"/>
        </w:rPr>
        <w:lastRenderedPageBreak/>
        <w:t>4.3.2</w:t>
      </w:r>
      <w:r>
        <w:rPr>
          <w:sz w:val="24"/>
        </w:rPr>
        <w:t>异常交易行为的专项说明</w:t>
      </w:r>
    </w:p>
    <w:p w:rsidR="006C62A7" w:rsidRDefault="005422E0">
      <w:pPr>
        <w:spacing w:before="29" w:line="288" w:lineRule="auto"/>
        <w:ind w:firstLineChars="200" w:firstLine="480"/>
        <w:rPr>
          <w:color w:val="000000"/>
          <w:sz w:val="24"/>
        </w:rPr>
      </w:pPr>
      <w:r>
        <w:rPr>
          <w:color w:val="000000"/>
          <w:sz w:val="24"/>
        </w:rPr>
        <w:t>本基金于本报告期内不存在异常交易行为。本报告期内，本公司管理的所有投资组合参与的交易所公开竞价同日反向交易成交较少的单边交易量没有超过该证券当日总成交量</w:t>
      </w:r>
      <w:r>
        <w:rPr>
          <w:color w:val="000000"/>
          <w:sz w:val="24"/>
        </w:rPr>
        <w:t>5%</w:t>
      </w:r>
      <w:r>
        <w:rPr>
          <w:color w:val="000000"/>
          <w:sz w:val="24"/>
        </w:rPr>
        <w:t>的情形，本基金与本公司管理的其他投资组合在不同时间窗下（如日内、</w:t>
      </w:r>
      <w:r>
        <w:rPr>
          <w:color w:val="000000"/>
          <w:sz w:val="24"/>
        </w:rPr>
        <w:t>3</w:t>
      </w:r>
      <w:r>
        <w:rPr>
          <w:color w:val="000000"/>
          <w:sz w:val="24"/>
        </w:rPr>
        <w:t>日内、</w:t>
      </w:r>
      <w:r>
        <w:rPr>
          <w:color w:val="000000"/>
          <w:sz w:val="24"/>
        </w:rPr>
        <w:t>5</w:t>
      </w:r>
      <w:r>
        <w:rPr>
          <w:color w:val="000000"/>
          <w:sz w:val="24"/>
        </w:rPr>
        <w:t>日内）同向交易的交易价差未出现异常。</w:t>
      </w:r>
    </w:p>
    <w:p w:rsidR="006C62A7" w:rsidRDefault="006C62A7">
      <w:pPr>
        <w:autoSpaceDE w:val="0"/>
        <w:autoSpaceDN w:val="0"/>
        <w:adjustRightInd w:val="0"/>
        <w:spacing w:before="29" w:line="288" w:lineRule="auto"/>
        <w:jc w:val="left"/>
        <w:rPr>
          <w:b/>
          <w:color w:val="000000"/>
          <w:kern w:val="0"/>
          <w:sz w:val="24"/>
        </w:rPr>
      </w:pPr>
    </w:p>
    <w:p w:rsidR="006C62A7" w:rsidRDefault="005422E0">
      <w:pPr>
        <w:spacing w:before="29" w:line="288" w:lineRule="auto"/>
        <w:rPr>
          <w:sz w:val="24"/>
        </w:rPr>
      </w:pPr>
      <w:r>
        <w:rPr>
          <w:b/>
          <w:color w:val="000000"/>
          <w:kern w:val="0"/>
          <w:sz w:val="24"/>
        </w:rPr>
        <w:t>4.4</w:t>
      </w:r>
      <w:r>
        <w:rPr>
          <w:b/>
          <w:color w:val="000000"/>
          <w:kern w:val="0"/>
          <w:sz w:val="24"/>
        </w:rPr>
        <w:t>报告期内基金的投资策略和业绩表现说明</w:t>
      </w:r>
    </w:p>
    <w:p w:rsidR="006C62A7" w:rsidRDefault="005422E0">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2020</w:t>
      </w:r>
      <w:r>
        <w:rPr>
          <w:rFonts w:asciiTheme="minorEastAsia" w:eastAsiaTheme="minorEastAsia" w:hAnsiTheme="minorEastAsia"/>
          <w:color w:val="000000" w:themeColor="text1"/>
          <w:szCs w:val="21"/>
        </w:rPr>
        <w:t>年第四季度，秋冬疫情二次爆发，多国启动二次封锁，全球经济复苏不确定性增加。伴随着各国对于疫情防控经验日益成熟以及新冠疫苗在欧美重灾区国家陆续开展接种，四季度末海外疫情增速有所放缓。本季度主要经济体继续维持宽松的政策基调，同时受美国大选落地等利好拉动，海外市场情绪逐渐修复。十一月以来，美股呈现稳步上升趋势，但互联网中概股板块短期波动较大。作为跟踪中证海外中国互联网指数的指数基金，四季度基金总体呈现出震荡态势。</w:t>
      </w:r>
    </w:p>
    <w:p w:rsidR="006C62A7" w:rsidRDefault="005422E0">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展望</w:t>
      </w:r>
      <w:r>
        <w:rPr>
          <w:rFonts w:asciiTheme="minorEastAsia" w:eastAsiaTheme="minorEastAsia" w:hAnsiTheme="minorEastAsia"/>
          <w:color w:val="000000" w:themeColor="text1"/>
          <w:szCs w:val="21"/>
        </w:rPr>
        <w:t>2021</w:t>
      </w:r>
      <w:r>
        <w:rPr>
          <w:rFonts w:asciiTheme="minorEastAsia" w:eastAsiaTheme="minorEastAsia" w:hAnsiTheme="minorEastAsia"/>
          <w:color w:val="000000" w:themeColor="text1"/>
          <w:szCs w:val="21"/>
        </w:rPr>
        <w:t>年一季度，海外疫苗接种的进度有待进一</w:t>
      </w:r>
      <w:r>
        <w:rPr>
          <w:rFonts w:asciiTheme="minorEastAsia" w:eastAsiaTheme="minorEastAsia" w:hAnsiTheme="minorEastAsia"/>
          <w:color w:val="000000" w:themeColor="text1"/>
          <w:szCs w:val="21"/>
        </w:rPr>
        <w:t>步观察，新冠病毒变种也为全球防控再添变数，同时中美贸易摩擦对中概股产生的影响需要审慎评估。国内方面，在国内经济稳步向好背景下，资金供给回暖，四季度北向资金大幅净流入，投资者风险偏好显著提升。考虑到海外疫情与中美贸易摩擦等不确定性因素，我们总体上对于中国海外互联网板块的表现保持谨慎乐观的看法。</w:t>
      </w:r>
    </w:p>
    <w:p w:rsidR="006C62A7" w:rsidRDefault="005422E0">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本基金（各类）份额净值及业绩表现请见</w:t>
      </w:r>
      <w:r>
        <w:rPr>
          <w:rFonts w:asciiTheme="minorEastAsia" w:eastAsiaTheme="minorEastAsia" w:hAnsiTheme="minorEastAsia"/>
          <w:color w:val="000000" w:themeColor="text1"/>
          <w:szCs w:val="21"/>
        </w:rPr>
        <w:t>“3.1</w:t>
      </w:r>
      <w:r>
        <w:rPr>
          <w:rFonts w:asciiTheme="minorEastAsia" w:eastAsiaTheme="minorEastAsia" w:hAnsiTheme="minorEastAsia"/>
          <w:color w:val="000000" w:themeColor="text1"/>
          <w:szCs w:val="21"/>
        </w:rPr>
        <w:t>主要财务指标</w:t>
      </w:r>
      <w:r>
        <w:rPr>
          <w:rFonts w:asciiTheme="minorEastAsia" w:eastAsiaTheme="minorEastAsia" w:hAnsiTheme="minorEastAsia"/>
          <w:color w:val="000000" w:themeColor="text1"/>
          <w:szCs w:val="21"/>
        </w:rPr>
        <w:t xml:space="preserve">” </w:t>
      </w:r>
      <w:r>
        <w:rPr>
          <w:rFonts w:asciiTheme="minorEastAsia" w:eastAsiaTheme="minorEastAsia" w:hAnsiTheme="minorEastAsia"/>
          <w:color w:val="000000" w:themeColor="text1"/>
          <w:szCs w:val="21"/>
        </w:rPr>
        <w:t>及</w:t>
      </w:r>
      <w:r>
        <w:rPr>
          <w:rFonts w:asciiTheme="minorEastAsia" w:eastAsiaTheme="minorEastAsia" w:hAnsiTheme="minorEastAsia"/>
          <w:color w:val="000000" w:themeColor="text1"/>
          <w:szCs w:val="21"/>
        </w:rPr>
        <w:t xml:space="preserve">“3.2.1 </w:t>
      </w:r>
      <w:r>
        <w:rPr>
          <w:rFonts w:asciiTheme="minorEastAsia" w:eastAsiaTheme="minorEastAsia" w:hAnsiTheme="minorEastAsia"/>
          <w:color w:val="000000" w:themeColor="text1"/>
          <w:szCs w:val="21"/>
        </w:rPr>
        <w:t>本报告期基金份额净值增长率及其与同期业绩比较基准收益率的比较</w:t>
      </w:r>
      <w:r>
        <w:rPr>
          <w:rFonts w:asciiTheme="minorEastAsia" w:eastAsiaTheme="minorEastAsia" w:hAnsiTheme="minorEastAsia"/>
          <w:color w:val="000000" w:themeColor="text1"/>
          <w:szCs w:val="21"/>
        </w:rPr>
        <w:t>”</w:t>
      </w:r>
      <w:r>
        <w:rPr>
          <w:rFonts w:asciiTheme="minorEastAsia" w:eastAsiaTheme="minorEastAsia" w:hAnsiTheme="minorEastAsia"/>
          <w:color w:val="000000" w:themeColor="text1"/>
          <w:szCs w:val="21"/>
        </w:rPr>
        <w:t>部分披露。</w:t>
      </w:r>
    </w:p>
    <w:p w:rsidR="006C62A7" w:rsidRDefault="006C62A7">
      <w:pPr>
        <w:spacing w:before="29" w:line="288" w:lineRule="auto"/>
        <w:ind w:firstLineChars="200" w:firstLine="480"/>
        <w:rPr>
          <w:color w:val="00000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4</w:t>
      </w:r>
      <w:r>
        <w:rPr>
          <w:rFonts w:hint="eastAsia"/>
          <w:b/>
          <w:color w:val="000000"/>
          <w:kern w:val="0"/>
          <w:sz w:val="24"/>
        </w:rPr>
        <w:t>.5</w:t>
      </w:r>
      <w:r>
        <w:rPr>
          <w:rFonts w:hint="eastAsia"/>
          <w:b/>
          <w:color w:val="000000"/>
          <w:kern w:val="0"/>
          <w:sz w:val="24"/>
        </w:rPr>
        <w:t>报告期内基金持有人数或基金资产净值预警说明</w:t>
      </w:r>
    </w:p>
    <w:p w:rsidR="006C62A7" w:rsidRDefault="005422E0">
      <w:pPr>
        <w:spacing w:before="29" w:line="288" w:lineRule="auto"/>
        <w:ind w:firstLineChars="200" w:firstLine="480"/>
        <w:rPr>
          <w:color w:val="000000"/>
          <w:sz w:val="24"/>
        </w:rPr>
      </w:pPr>
      <w:r>
        <w:rPr>
          <w:color w:val="000000"/>
          <w:sz w:val="24"/>
        </w:rPr>
        <w:t>本基金本报告期内</w:t>
      </w:r>
      <w:r>
        <w:rPr>
          <w:color w:val="000000"/>
          <w:sz w:val="24"/>
        </w:rPr>
        <w:t>无需预警说明。</w:t>
      </w:r>
    </w:p>
    <w:p w:rsidR="006C62A7" w:rsidRDefault="006C62A7">
      <w:pPr>
        <w:spacing w:before="29" w:line="288" w:lineRule="auto"/>
        <w:ind w:firstLineChars="200" w:firstLine="480"/>
        <w:rPr>
          <w:color w:val="000000"/>
          <w:sz w:val="24"/>
        </w:rPr>
      </w:pPr>
    </w:p>
    <w:p w:rsidR="006C62A7" w:rsidRDefault="005422E0">
      <w:pPr>
        <w:pStyle w:val="1"/>
        <w:spacing w:beforeLines="100" w:before="312" w:afterLines="100" w:after="312" w:line="288" w:lineRule="auto"/>
        <w:jc w:val="center"/>
        <w:rPr>
          <w:color w:val="000000"/>
          <w:kern w:val="0"/>
          <w:sz w:val="24"/>
          <w:szCs w:val="24"/>
        </w:rPr>
      </w:pPr>
      <w:r>
        <w:rPr>
          <w:color w:val="000000"/>
          <w:kern w:val="0"/>
          <w:sz w:val="24"/>
          <w:szCs w:val="24"/>
        </w:rPr>
        <w:t xml:space="preserve">§5  </w:t>
      </w:r>
      <w:r>
        <w:rPr>
          <w:color w:val="000000"/>
          <w:kern w:val="0"/>
          <w:sz w:val="24"/>
          <w:szCs w:val="24"/>
        </w:rPr>
        <w:t>投资组合报告</w:t>
      </w: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 xml:space="preserve">5.1 </w:t>
      </w:r>
      <w:r>
        <w:rPr>
          <w:b/>
          <w:color w:val="000000"/>
          <w:kern w:val="0"/>
          <w:sz w:val="24"/>
        </w:rPr>
        <w:t>报告期末基金资产组合情况</w:t>
      </w:r>
    </w:p>
    <w:p w:rsidR="006C62A7" w:rsidRDefault="005422E0">
      <w:pPr>
        <w:autoSpaceDE w:val="0"/>
        <w:autoSpaceDN w:val="0"/>
        <w:adjustRightInd w:val="0"/>
        <w:spacing w:before="29" w:line="288" w:lineRule="auto"/>
        <w:jc w:val="right"/>
        <w:rPr>
          <w:color w:val="000000"/>
          <w:kern w:val="0"/>
          <w:sz w:val="24"/>
        </w:rPr>
      </w:pPr>
      <w:r>
        <w:rPr>
          <w:rFonts w:hint="eastAsia"/>
          <w:color w:val="000000"/>
          <w:kern w:val="0"/>
          <w:sz w:val="24"/>
        </w:rPr>
        <w:t>金额单位：人民币元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02"/>
        <w:gridCol w:w="3118"/>
        <w:gridCol w:w="2143"/>
      </w:tblGrid>
      <w:tr w:rsidR="006C62A7">
        <w:trPr>
          <w:jc w:val="center"/>
        </w:trPr>
        <w:tc>
          <w:tcPr>
            <w:tcW w:w="805" w:type="dxa"/>
            <w:shd w:val="clear" w:color="auto" w:fill="auto"/>
            <w:vAlign w:val="center"/>
          </w:tcPr>
          <w:p w:rsidR="006C62A7" w:rsidRDefault="005422E0">
            <w:pPr>
              <w:spacing w:before="29" w:line="288" w:lineRule="auto"/>
              <w:ind w:left="17"/>
              <w:jc w:val="center"/>
              <w:rPr>
                <w:color w:val="000000"/>
                <w:sz w:val="24"/>
              </w:rPr>
            </w:pPr>
            <w:r>
              <w:rPr>
                <w:color w:val="000000"/>
                <w:sz w:val="24"/>
              </w:rPr>
              <w:t>序号</w:t>
            </w:r>
          </w:p>
        </w:tc>
        <w:tc>
          <w:tcPr>
            <w:tcW w:w="2802" w:type="dxa"/>
            <w:shd w:val="clear" w:color="auto" w:fill="auto"/>
            <w:vAlign w:val="center"/>
          </w:tcPr>
          <w:p w:rsidR="006C62A7" w:rsidRDefault="005422E0">
            <w:pPr>
              <w:spacing w:before="29" w:line="288" w:lineRule="auto"/>
              <w:ind w:left="17"/>
              <w:jc w:val="center"/>
              <w:rPr>
                <w:color w:val="000000"/>
                <w:sz w:val="24"/>
              </w:rPr>
            </w:pPr>
            <w:r>
              <w:rPr>
                <w:color w:val="000000"/>
                <w:sz w:val="24"/>
              </w:rPr>
              <w:t>项目</w:t>
            </w:r>
          </w:p>
        </w:tc>
        <w:tc>
          <w:tcPr>
            <w:tcW w:w="3118" w:type="dxa"/>
            <w:shd w:val="clear" w:color="auto" w:fill="auto"/>
            <w:vAlign w:val="center"/>
          </w:tcPr>
          <w:p w:rsidR="006C62A7" w:rsidRDefault="005422E0">
            <w:pPr>
              <w:spacing w:before="29" w:line="288" w:lineRule="auto"/>
              <w:ind w:left="17"/>
              <w:jc w:val="center"/>
              <w:rPr>
                <w:color w:val="000000"/>
                <w:sz w:val="24"/>
              </w:rPr>
            </w:pPr>
            <w:r>
              <w:rPr>
                <w:color w:val="000000"/>
                <w:sz w:val="24"/>
              </w:rPr>
              <w:t>金额</w:t>
            </w:r>
          </w:p>
        </w:tc>
        <w:tc>
          <w:tcPr>
            <w:tcW w:w="2143" w:type="dxa"/>
            <w:shd w:val="clear" w:color="auto" w:fill="auto"/>
            <w:vAlign w:val="center"/>
          </w:tcPr>
          <w:p w:rsidR="006C62A7" w:rsidRDefault="005422E0">
            <w:pPr>
              <w:spacing w:before="29" w:line="288" w:lineRule="auto"/>
              <w:ind w:left="17"/>
              <w:jc w:val="center"/>
              <w:rPr>
                <w:color w:val="000000"/>
                <w:sz w:val="24"/>
              </w:rPr>
            </w:pPr>
            <w:r>
              <w:rPr>
                <w:color w:val="000000"/>
                <w:sz w:val="24"/>
              </w:rPr>
              <w:t>占基金总资产的比例</w:t>
            </w:r>
            <w:r>
              <w:rPr>
                <w:rFonts w:hint="eastAsia"/>
                <w:color w:val="000000"/>
                <w:sz w:val="24"/>
              </w:rPr>
              <w:t>(</w:t>
            </w:r>
            <w:r>
              <w:rPr>
                <w:color w:val="000000"/>
                <w:sz w:val="24"/>
              </w:rPr>
              <w:t>%</w:t>
            </w:r>
            <w:r>
              <w:rPr>
                <w:rFonts w:hint="eastAsia"/>
                <w:color w:val="000000"/>
                <w:sz w:val="24"/>
              </w:rPr>
              <w:t>)</w:t>
            </w:r>
          </w:p>
        </w:tc>
      </w:tr>
      <w:tr w:rsidR="006C62A7">
        <w:trPr>
          <w:jc w:val="center"/>
        </w:trPr>
        <w:tc>
          <w:tcPr>
            <w:tcW w:w="805" w:type="dxa"/>
            <w:shd w:val="clear" w:color="auto" w:fill="auto"/>
            <w:vAlign w:val="center"/>
          </w:tcPr>
          <w:p w:rsidR="006C62A7" w:rsidRDefault="005422E0">
            <w:pPr>
              <w:spacing w:before="29" w:line="288" w:lineRule="auto"/>
              <w:ind w:left="17"/>
              <w:jc w:val="center"/>
              <w:rPr>
                <w:color w:val="000000"/>
                <w:sz w:val="24"/>
              </w:rPr>
            </w:pPr>
            <w:r>
              <w:rPr>
                <w:color w:val="000000"/>
                <w:sz w:val="24"/>
              </w:rPr>
              <w:t>1</w:t>
            </w:r>
          </w:p>
        </w:tc>
        <w:tc>
          <w:tcPr>
            <w:tcW w:w="2802" w:type="dxa"/>
            <w:shd w:val="clear" w:color="auto" w:fill="auto"/>
            <w:vAlign w:val="center"/>
          </w:tcPr>
          <w:p w:rsidR="006C62A7" w:rsidRDefault="005422E0">
            <w:pPr>
              <w:spacing w:before="29" w:line="288" w:lineRule="auto"/>
              <w:ind w:left="17"/>
              <w:jc w:val="left"/>
              <w:rPr>
                <w:sz w:val="24"/>
              </w:rPr>
            </w:pPr>
            <w:r>
              <w:rPr>
                <w:color w:val="000000"/>
                <w:sz w:val="24"/>
              </w:rPr>
              <w:t>权益投资</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1,782,359,178.18</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85.46</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spacing w:before="29" w:line="288" w:lineRule="auto"/>
              <w:ind w:left="17"/>
              <w:jc w:val="left"/>
              <w:rPr>
                <w:sz w:val="24"/>
              </w:rPr>
            </w:pPr>
            <w:r>
              <w:rPr>
                <w:color w:val="000000"/>
                <w:sz w:val="24"/>
              </w:rPr>
              <w:t>其中：普通股</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615,220,317.67</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29.50</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spacing w:before="29" w:line="288" w:lineRule="auto"/>
              <w:ind w:left="17" w:firstLineChars="300" w:firstLine="720"/>
              <w:jc w:val="left"/>
              <w:rPr>
                <w:color w:val="000000"/>
                <w:sz w:val="24"/>
              </w:rPr>
            </w:pPr>
            <w:r>
              <w:rPr>
                <w:color w:val="000000"/>
                <w:sz w:val="24"/>
              </w:rPr>
              <w:t>存托凭证</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1,167,138,860.51</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55.96</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spacing w:before="29" w:line="288" w:lineRule="auto"/>
              <w:ind w:left="17" w:firstLineChars="300" w:firstLine="720"/>
              <w:jc w:val="left"/>
              <w:rPr>
                <w:color w:val="000000"/>
                <w:sz w:val="24"/>
              </w:rPr>
            </w:pPr>
            <w:r>
              <w:rPr>
                <w:color w:val="000000"/>
                <w:sz w:val="24"/>
              </w:rPr>
              <w:t>优先股</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spacing w:before="29" w:line="288" w:lineRule="auto"/>
              <w:ind w:left="17" w:firstLineChars="300" w:firstLine="720"/>
              <w:jc w:val="left"/>
              <w:rPr>
                <w:color w:val="000000"/>
                <w:sz w:val="24"/>
              </w:rPr>
            </w:pPr>
            <w:r>
              <w:rPr>
                <w:color w:val="000000"/>
                <w:sz w:val="24"/>
              </w:rPr>
              <w:t>房地产信托凭证</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5422E0">
            <w:pPr>
              <w:adjustRightInd w:val="0"/>
              <w:snapToGrid w:val="0"/>
              <w:spacing w:before="29" w:line="288" w:lineRule="auto"/>
              <w:jc w:val="center"/>
              <w:rPr>
                <w:color w:val="000000"/>
                <w:sz w:val="24"/>
              </w:rPr>
            </w:pPr>
            <w:r>
              <w:rPr>
                <w:color w:val="000000"/>
                <w:sz w:val="24"/>
              </w:rPr>
              <w:t>2</w:t>
            </w:r>
          </w:p>
        </w:tc>
        <w:tc>
          <w:tcPr>
            <w:tcW w:w="2802" w:type="dxa"/>
            <w:shd w:val="clear" w:color="auto" w:fill="auto"/>
            <w:vAlign w:val="center"/>
          </w:tcPr>
          <w:p w:rsidR="006C62A7" w:rsidRDefault="005422E0">
            <w:pPr>
              <w:adjustRightInd w:val="0"/>
              <w:snapToGrid w:val="0"/>
              <w:spacing w:before="29" w:line="288" w:lineRule="auto"/>
              <w:rPr>
                <w:color w:val="000000"/>
                <w:sz w:val="24"/>
              </w:rPr>
            </w:pPr>
            <w:r>
              <w:rPr>
                <w:color w:val="000000"/>
                <w:sz w:val="24"/>
              </w:rPr>
              <w:t>基金投资</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5422E0">
            <w:pPr>
              <w:spacing w:before="29" w:line="288" w:lineRule="auto"/>
              <w:ind w:left="17"/>
              <w:jc w:val="center"/>
              <w:rPr>
                <w:color w:val="000000"/>
                <w:sz w:val="24"/>
              </w:rPr>
            </w:pPr>
            <w:r>
              <w:rPr>
                <w:color w:val="000000"/>
                <w:sz w:val="24"/>
              </w:rPr>
              <w:t>3</w:t>
            </w:r>
          </w:p>
        </w:tc>
        <w:tc>
          <w:tcPr>
            <w:tcW w:w="2802" w:type="dxa"/>
            <w:shd w:val="clear" w:color="auto" w:fill="auto"/>
            <w:vAlign w:val="center"/>
          </w:tcPr>
          <w:p w:rsidR="006C62A7" w:rsidRDefault="005422E0">
            <w:pPr>
              <w:spacing w:before="29" w:line="288" w:lineRule="auto"/>
              <w:ind w:left="17"/>
              <w:jc w:val="left"/>
              <w:rPr>
                <w:sz w:val="24"/>
              </w:rPr>
            </w:pPr>
            <w:r>
              <w:rPr>
                <w:color w:val="000000"/>
                <w:sz w:val="24"/>
              </w:rPr>
              <w:t>固定收益投资</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spacing w:before="29" w:line="288" w:lineRule="auto"/>
              <w:ind w:left="17"/>
              <w:jc w:val="left"/>
              <w:rPr>
                <w:sz w:val="24"/>
              </w:rPr>
            </w:pPr>
            <w:r>
              <w:rPr>
                <w:color w:val="000000"/>
                <w:sz w:val="24"/>
              </w:rPr>
              <w:t>其中：债券</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autoSpaceDE w:val="0"/>
              <w:autoSpaceDN w:val="0"/>
              <w:adjustRightInd w:val="0"/>
              <w:spacing w:before="29" w:line="288" w:lineRule="auto"/>
              <w:ind w:left="17" w:firstLineChars="300" w:firstLine="720"/>
              <w:jc w:val="left"/>
              <w:rPr>
                <w:color w:val="000000"/>
                <w:sz w:val="24"/>
              </w:rPr>
            </w:pPr>
            <w:r>
              <w:rPr>
                <w:color w:val="000000"/>
                <w:sz w:val="24"/>
              </w:rPr>
              <w:t>资产支持证券</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5422E0">
            <w:pPr>
              <w:spacing w:before="29" w:line="288" w:lineRule="auto"/>
              <w:ind w:left="17"/>
              <w:jc w:val="center"/>
              <w:rPr>
                <w:color w:val="000000"/>
                <w:sz w:val="24"/>
              </w:rPr>
            </w:pPr>
            <w:r>
              <w:rPr>
                <w:color w:val="000000"/>
                <w:sz w:val="24"/>
              </w:rPr>
              <w:t>4</w:t>
            </w:r>
          </w:p>
        </w:tc>
        <w:tc>
          <w:tcPr>
            <w:tcW w:w="2802" w:type="dxa"/>
            <w:shd w:val="clear" w:color="auto" w:fill="auto"/>
            <w:vAlign w:val="center"/>
          </w:tcPr>
          <w:p w:rsidR="006C62A7" w:rsidRDefault="005422E0">
            <w:pPr>
              <w:spacing w:before="29" w:line="288" w:lineRule="auto"/>
              <w:ind w:left="17"/>
              <w:jc w:val="left"/>
              <w:rPr>
                <w:sz w:val="24"/>
              </w:rPr>
            </w:pPr>
            <w:r>
              <w:rPr>
                <w:color w:val="000000"/>
                <w:sz w:val="24"/>
              </w:rPr>
              <w:t>金融衍生品投资</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adjustRightInd w:val="0"/>
              <w:snapToGrid w:val="0"/>
              <w:spacing w:before="29" w:line="288" w:lineRule="auto"/>
              <w:rPr>
                <w:color w:val="000000"/>
                <w:sz w:val="24"/>
              </w:rPr>
            </w:pPr>
            <w:r>
              <w:rPr>
                <w:color w:val="000000"/>
                <w:sz w:val="24"/>
              </w:rPr>
              <w:t>其中：远期</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adjustRightInd w:val="0"/>
              <w:snapToGrid w:val="0"/>
              <w:spacing w:before="29" w:line="288" w:lineRule="auto"/>
              <w:ind w:firstLineChars="300" w:firstLine="720"/>
              <w:rPr>
                <w:color w:val="000000"/>
                <w:sz w:val="24"/>
              </w:rPr>
            </w:pPr>
            <w:r>
              <w:rPr>
                <w:color w:val="000000"/>
                <w:sz w:val="24"/>
              </w:rPr>
              <w:t>期货</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adjustRightInd w:val="0"/>
              <w:snapToGrid w:val="0"/>
              <w:spacing w:before="29" w:line="288" w:lineRule="auto"/>
              <w:ind w:firstLineChars="300" w:firstLine="720"/>
              <w:rPr>
                <w:color w:val="000000"/>
                <w:sz w:val="24"/>
              </w:rPr>
            </w:pPr>
            <w:r>
              <w:rPr>
                <w:color w:val="000000"/>
                <w:sz w:val="24"/>
              </w:rPr>
              <w:t>期权</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adjustRightInd w:val="0"/>
              <w:snapToGrid w:val="0"/>
              <w:spacing w:before="29" w:line="288" w:lineRule="auto"/>
              <w:ind w:firstLineChars="298" w:firstLine="715"/>
              <w:rPr>
                <w:color w:val="000000"/>
                <w:sz w:val="24"/>
              </w:rPr>
            </w:pPr>
            <w:r>
              <w:rPr>
                <w:color w:val="000000"/>
                <w:sz w:val="24"/>
              </w:rPr>
              <w:t>权证</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5422E0">
            <w:pPr>
              <w:spacing w:before="29" w:line="288" w:lineRule="auto"/>
              <w:ind w:left="17"/>
              <w:jc w:val="center"/>
              <w:rPr>
                <w:color w:val="000000"/>
                <w:sz w:val="24"/>
              </w:rPr>
            </w:pPr>
            <w:r>
              <w:rPr>
                <w:color w:val="000000"/>
                <w:sz w:val="24"/>
              </w:rPr>
              <w:t>5</w:t>
            </w:r>
          </w:p>
        </w:tc>
        <w:tc>
          <w:tcPr>
            <w:tcW w:w="2802" w:type="dxa"/>
            <w:shd w:val="clear" w:color="auto" w:fill="auto"/>
            <w:vAlign w:val="center"/>
          </w:tcPr>
          <w:p w:rsidR="006C62A7" w:rsidRDefault="005422E0">
            <w:pPr>
              <w:spacing w:before="29" w:line="288" w:lineRule="auto"/>
              <w:ind w:left="17"/>
              <w:jc w:val="left"/>
              <w:rPr>
                <w:sz w:val="24"/>
              </w:rPr>
            </w:pPr>
            <w:r>
              <w:rPr>
                <w:color w:val="000000"/>
                <w:sz w:val="24"/>
              </w:rPr>
              <w:t>买入返售金融资产</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6C62A7">
            <w:pPr>
              <w:spacing w:before="29" w:line="288" w:lineRule="auto"/>
              <w:ind w:left="17"/>
              <w:jc w:val="center"/>
              <w:rPr>
                <w:color w:val="000000"/>
                <w:sz w:val="24"/>
              </w:rPr>
            </w:pPr>
          </w:p>
        </w:tc>
        <w:tc>
          <w:tcPr>
            <w:tcW w:w="2802" w:type="dxa"/>
            <w:shd w:val="clear" w:color="auto" w:fill="auto"/>
            <w:vAlign w:val="center"/>
          </w:tcPr>
          <w:p w:rsidR="006C62A7" w:rsidRDefault="005422E0">
            <w:pPr>
              <w:spacing w:before="29" w:line="288" w:lineRule="auto"/>
              <w:ind w:left="17"/>
              <w:jc w:val="left"/>
              <w:rPr>
                <w:sz w:val="24"/>
              </w:rPr>
            </w:pPr>
            <w:r>
              <w:rPr>
                <w:color w:val="000000"/>
                <w:sz w:val="24"/>
              </w:rPr>
              <w:t>其中：买断式回购的买入返售金融资产</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5422E0">
            <w:pPr>
              <w:adjustRightInd w:val="0"/>
              <w:snapToGrid w:val="0"/>
              <w:spacing w:before="29" w:line="288" w:lineRule="auto"/>
              <w:jc w:val="center"/>
              <w:rPr>
                <w:color w:val="000000"/>
                <w:sz w:val="24"/>
              </w:rPr>
            </w:pPr>
            <w:r>
              <w:rPr>
                <w:color w:val="000000"/>
                <w:sz w:val="24"/>
              </w:rPr>
              <w:t>6</w:t>
            </w:r>
          </w:p>
        </w:tc>
        <w:tc>
          <w:tcPr>
            <w:tcW w:w="2802" w:type="dxa"/>
            <w:shd w:val="clear" w:color="auto" w:fill="auto"/>
            <w:vAlign w:val="center"/>
          </w:tcPr>
          <w:p w:rsidR="006C62A7" w:rsidRDefault="005422E0">
            <w:pPr>
              <w:adjustRightInd w:val="0"/>
              <w:snapToGrid w:val="0"/>
              <w:spacing w:before="29" w:line="288" w:lineRule="auto"/>
              <w:rPr>
                <w:color w:val="000000"/>
                <w:sz w:val="24"/>
              </w:rPr>
            </w:pPr>
            <w:r>
              <w:rPr>
                <w:color w:val="000000"/>
                <w:sz w:val="24"/>
              </w:rPr>
              <w:t>货币市场工具</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w:t>
            </w:r>
          </w:p>
        </w:tc>
      </w:tr>
      <w:tr w:rsidR="006C62A7">
        <w:trPr>
          <w:jc w:val="center"/>
        </w:trPr>
        <w:tc>
          <w:tcPr>
            <w:tcW w:w="805" w:type="dxa"/>
            <w:shd w:val="clear" w:color="auto" w:fill="auto"/>
            <w:vAlign w:val="center"/>
          </w:tcPr>
          <w:p w:rsidR="006C62A7" w:rsidRDefault="005422E0">
            <w:pPr>
              <w:spacing w:before="29" w:line="288" w:lineRule="auto"/>
              <w:ind w:left="17"/>
              <w:jc w:val="center"/>
              <w:rPr>
                <w:color w:val="000000"/>
                <w:sz w:val="24"/>
              </w:rPr>
            </w:pPr>
            <w:r>
              <w:rPr>
                <w:color w:val="000000"/>
                <w:sz w:val="24"/>
              </w:rPr>
              <w:t>7</w:t>
            </w:r>
          </w:p>
        </w:tc>
        <w:tc>
          <w:tcPr>
            <w:tcW w:w="2802" w:type="dxa"/>
            <w:shd w:val="clear" w:color="auto" w:fill="auto"/>
            <w:vAlign w:val="center"/>
          </w:tcPr>
          <w:p w:rsidR="006C62A7" w:rsidRDefault="005422E0">
            <w:pPr>
              <w:spacing w:before="29" w:line="288" w:lineRule="auto"/>
              <w:ind w:left="17"/>
              <w:jc w:val="left"/>
              <w:rPr>
                <w:sz w:val="24"/>
              </w:rPr>
            </w:pPr>
            <w:r>
              <w:rPr>
                <w:color w:val="000000"/>
                <w:sz w:val="24"/>
              </w:rPr>
              <w:t>银行存款和结算备付金合计</w:t>
            </w:r>
          </w:p>
        </w:tc>
        <w:tc>
          <w:tcPr>
            <w:tcW w:w="3118" w:type="dxa"/>
            <w:shd w:val="clear" w:color="auto" w:fill="auto"/>
            <w:vAlign w:val="center"/>
          </w:tcPr>
          <w:p w:rsidR="006C62A7" w:rsidRDefault="005422E0">
            <w:pPr>
              <w:spacing w:before="29" w:line="288" w:lineRule="auto"/>
              <w:ind w:left="17"/>
              <w:jc w:val="right"/>
              <w:rPr>
                <w:color w:val="000000"/>
                <w:sz w:val="24"/>
              </w:rPr>
            </w:pPr>
            <w:r>
              <w:rPr>
                <w:color w:val="000000"/>
                <w:sz w:val="24"/>
              </w:rPr>
              <w:t>258,301,271.41</w:t>
            </w:r>
          </w:p>
        </w:tc>
        <w:tc>
          <w:tcPr>
            <w:tcW w:w="2143" w:type="dxa"/>
            <w:shd w:val="clear" w:color="auto" w:fill="auto"/>
            <w:vAlign w:val="center"/>
          </w:tcPr>
          <w:p w:rsidR="006C62A7" w:rsidRDefault="005422E0">
            <w:pPr>
              <w:spacing w:before="29" w:line="288" w:lineRule="auto"/>
              <w:ind w:left="17"/>
              <w:jc w:val="right"/>
              <w:rPr>
                <w:color w:val="000000"/>
                <w:sz w:val="24"/>
              </w:rPr>
            </w:pPr>
            <w:r>
              <w:rPr>
                <w:color w:val="000000"/>
                <w:sz w:val="24"/>
              </w:rPr>
              <w:t>12.38</w:t>
            </w:r>
          </w:p>
        </w:tc>
      </w:tr>
      <w:tr w:rsidR="006C62A7">
        <w:trPr>
          <w:jc w:val="center"/>
        </w:trPr>
        <w:tc>
          <w:tcPr>
            <w:tcW w:w="805" w:type="dxa"/>
            <w:shd w:val="clear" w:color="auto" w:fill="auto"/>
            <w:vAlign w:val="center"/>
          </w:tcPr>
          <w:p w:rsidR="006C62A7" w:rsidRDefault="005422E0">
            <w:pPr>
              <w:spacing w:before="29" w:line="288" w:lineRule="auto"/>
              <w:ind w:left="17"/>
              <w:jc w:val="center"/>
              <w:rPr>
                <w:color w:val="000000"/>
                <w:sz w:val="24"/>
              </w:rPr>
            </w:pPr>
            <w:r>
              <w:rPr>
                <w:color w:val="000000"/>
                <w:sz w:val="24"/>
              </w:rPr>
              <w:t>8</w:t>
            </w:r>
          </w:p>
        </w:tc>
        <w:tc>
          <w:tcPr>
            <w:tcW w:w="2802" w:type="dxa"/>
            <w:shd w:val="clear" w:color="auto" w:fill="auto"/>
            <w:vAlign w:val="center"/>
          </w:tcPr>
          <w:p w:rsidR="006C62A7" w:rsidRDefault="005422E0">
            <w:pPr>
              <w:spacing w:before="29" w:line="288" w:lineRule="auto"/>
              <w:jc w:val="left"/>
              <w:rPr>
                <w:sz w:val="24"/>
              </w:rPr>
            </w:pPr>
            <w:r>
              <w:rPr>
                <w:color w:val="000000"/>
                <w:sz w:val="24"/>
              </w:rPr>
              <w:t>其他</w:t>
            </w:r>
            <w:r>
              <w:rPr>
                <w:rFonts w:hint="eastAsia"/>
                <w:color w:val="000000"/>
                <w:sz w:val="24"/>
              </w:rPr>
              <w:t>各项</w:t>
            </w:r>
            <w:r>
              <w:rPr>
                <w:color w:val="000000"/>
                <w:sz w:val="24"/>
              </w:rPr>
              <w:t>资产</w:t>
            </w:r>
          </w:p>
        </w:tc>
        <w:tc>
          <w:tcPr>
            <w:tcW w:w="3118" w:type="dxa"/>
            <w:shd w:val="clear" w:color="auto" w:fill="auto"/>
            <w:vAlign w:val="center"/>
          </w:tcPr>
          <w:p w:rsidR="006C62A7" w:rsidRDefault="005422E0">
            <w:pPr>
              <w:spacing w:before="29" w:line="288" w:lineRule="auto"/>
              <w:jc w:val="right"/>
              <w:rPr>
                <w:color w:val="000000"/>
                <w:sz w:val="24"/>
              </w:rPr>
            </w:pPr>
            <w:r>
              <w:rPr>
                <w:color w:val="000000"/>
                <w:sz w:val="24"/>
              </w:rPr>
              <w:t>44,979,366.41</w:t>
            </w:r>
          </w:p>
        </w:tc>
        <w:tc>
          <w:tcPr>
            <w:tcW w:w="2143" w:type="dxa"/>
            <w:shd w:val="clear" w:color="auto" w:fill="auto"/>
            <w:vAlign w:val="center"/>
          </w:tcPr>
          <w:p w:rsidR="006C62A7" w:rsidRDefault="005422E0">
            <w:pPr>
              <w:spacing w:before="29" w:line="288" w:lineRule="auto"/>
              <w:jc w:val="right"/>
              <w:rPr>
                <w:color w:val="000000"/>
                <w:sz w:val="24"/>
              </w:rPr>
            </w:pPr>
            <w:r>
              <w:rPr>
                <w:color w:val="000000"/>
                <w:sz w:val="24"/>
              </w:rPr>
              <w:t>2.16</w:t>
            </w:r>
          </w:p>
        </w:tc>
      </w:tr>
      <w:tr w:rsidR="006C62A7">
        <w:trPr>
          <w:jc w:val="center"/>
        </w:trPr>
        <w:tc>
          <w:tcPr>
            <w:tcW w:w="805" w:type="dxa"/>
            <w:shd w:val="clear" w:color="auto" w:fill="auto"/>
            <w:vAlign w:val="center"/>
          </w:tcPr>
          <w:p w:rsidR="006C62A7" w:rsidRDefault="005422E0">
            <w:pPr>
              <w:spacing w:before="29" w:line="288" w:lineRule="auto"/>
              <w:ind w:left="17"/>
              <w:jc w:val="center"/>
              <w:rPr>
                <w:color w:val="000000"/>
                <w:sz w:val="24"/>
              </w:rPr>
            </w:pPr>
            <w:r>
              <w:rPr>
                <w:color w:val="000000"/>
                <w:sz w:val="24"/>
              </w:rPr>
              <w:t>9</w:t>
            </w:r>
          </w:p>
        </w:tc>
        <w:tc>
          <w:tcPr>
            <w:tcW w:w="2802" w:type="dxa"/>
            <w:shd w:val="clear" w:color="auto" w:fill="auto"/>
            <w:vAlign w:val="center"/>
          </w:tcPr>
          <w:p w:rsidR="006C62A7" w:rsidRDefault="005422E0">
            <w:pPr>
              <w:spacing w:before="29" w:line="288" w:lineRule="auto"/>
              <w:jc w:val="left"/>
              <w:rPr>
                <w:sz w:val="24"/>
              </w:rPr>
            </w:pPr>
            <w:r>
              <w:rPr>
                <w:color w:val="000000"/>
                <w:sz w:val="24"/>
              </w:rPr>
              <w:t>合计</w:t>
            </w:r>
          </w:p>
        </w:tc>
        <w:tc>
          <w:tcPr>
            <w:tcW w:w="3118" w:type="dxa"/>
            <w:shd w:val="clear" w:color="auto" w:fill="auto"/>
            <w:vAlign w:val="center"/>
          </w:tcPr>
          <w:p w:rsidR="006C62A7" w:rsidRDefault="005422E0">
            <w:pPr>
              <w:spacing w:before="29" w:line="288" w:lineRule="auto"/>
              <w:jc w:val="right"/>
              <w:rPr>
                <w:color w:val="000000"/>
                <w:sz w:val="24"/>
              </w:rPr>
            </w:pPr>
            <w:r>
              <w:rPr>
                <w:color w:val="000000"/>
                <w:sz w:val="24"/>
              </w:rPr>
              <w:t>2,085,639,816.00</w:t>
            </w:r>
          </w:p>
        </w:tc>
        <w:tc>
          <w:tcPr>
            <w:tcW w:w="2143" w:type="dxa"/>
            <w:shd w:val="clear" w:color="auto" w:fill="auto"/>
            <w:vAlign w:val="center"/>
          </w:tcPr>
          <w:p w:rsidR="006C62A7" w:rsidRDefault="005422E0">
            <w:pPr>
              <w:spacing w:before="29" w:line="288" w:lineRule="auto"/>
              <w:jc w:val="right"/>
              <w:rPr>
                <w:color w:val="000000"/>
                <w:sz w:val="24"/>
              </w:rPr>
            </w:pPr>
            <w:r>
              <w:rPr>
                <w:color w:val="000000"/>
                <w:sz w:val="24"/>
              </w:rPr>
              <w:t>100.00</w:t>
            </w:r>
          </w:p>
        </w:tc>
      </w:tr>
    </w:tbl>
    <w:p w:rsidR="006C62A7" w:rsidRDefault="005422E0">
      <w:pPr>
        <w:autoSpaceDE w:val="0"/>
        <w:autoSpaceDN w:val="0"/>
        <w:adjustRightInd w:val="0"/>
        <w:spacing w:before="29" w:line="288" w:lineRule="auto"/>
        <w:jc w:val="left"/>
        <w:rPr>
          <w:color w:val="000000"/>
          <w:sz w:val="24"/>
        </w:rPr>
      </w:pPr>
      <w:r>
        <w:rPr>
          <w:color w:val="000000"/>
          <w:sz w:val="24"/>
        </w:rPr>
        <w:t>注：本基金本报告期末未持有通过港股通投资的股票。</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 xml:space="preserve">5.2 </w:t>
      </w:r>
      <w:r>
        <w:rPr>
          <w:b/>
          <w:color w:val="000000"/>
          <w:kern w:val="0"/>
          <w:sz w:val="24"/>
        </w:rPr>
        <w:t>报告期末在各个国家（地区）证券市场的股票及存托凭证投资分布</w:t>
      </w:r>
    </w:p>
    <w:p w:rsidR="006C62A7" w:rsidRDefault="005422E0">
      <w:pPr>
        <w:autoSpaceDE w:val="0"/>
        <w:autoSpaceDN w:val="0"/>
        <w:adjustRightInd w:val="0"/>
        <w:spacing w:before="29" w:line="288" w:lineRule="auto"/>
        <w:jc w:val="right"/>
        <w:rPr>
          <w:color w:val="000000"/>
          <w:kern w:val="0"/>
          <w:sz w:val="24"/>
        </w:rPr>
      </w:pPr>
      <w:r>
        <w:rPr>
          <w:rFonts w:hint="eastAsia"/>
          <w:color w:val="000000"/>
          <w:kern w:val="0"/>
          <w:sz w:val="24"/>
        </w:rPr>
        <w:t>金额单位：人民币元</w:t>
      </w:r>
    </w:p>
    <w:tbl>
      <w:tblPr>
        <w:tblStyle w:val="af1"/>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6C62A7">
        <w:trPr>
          <w:jc w:val="center"/>
        </w:trPr>
        <w:tc>
          <w:tcPr>
            <w:tcW w:w="2410" w:type="dxa"/>
            <w:vAlign w:val="center"/>
          </w:tcPr>
          <w:p w:rsidR="006C62A7" w:rsidRDefault="005422E0">
            <w:pPr>
              <w:autoSpaceDE w:val="0"/>
              <w:autoSpaceDN w:val="0"/>
              <w:adjustRightInd w:val="0"/>
              <w:spacing w:before="29" w:line="288" w:lineRule="auto"/>
              <w:ind w:left="15"/>
              <w:jc w:val="center"/>
              <w:rPr>
                <w:color w:val="000000"/>
                <w:kern w:val="0"/>
                <w:sz w:val="24"/>
              </w:rPr>
            </w:pPr>
            <w:r>
              <w:rPr>
                <w:color w:val="000000"/>
                <w:kern w:val="0"/>
                <w:sz w:val="24"/>
              </w:rPr>
              <w:t>国家（地区）</w:t>
            </w:r>
          </w:p>
        </w:tc>
        <w:tc>
          <w:tcPr>
            <w:tcW w:w="3118" w:type="dxa"/>
            <w:vAlign w:val="center"/>
          </w:tcPr>
          <w:p w:rsidR="006C62A7" w:rsidRDefault="005422E0">
            <w:pPr>
              <w:autoSpaceDE w:val="0"/>
              <w:autoSpaceDN w:val="0"/>
              <w:adjustRightInd w:val="0"/>
              <w:spacing w:before="29" w:line="288" w:lineRule="auto"/>
              <w:ind w:left="15"/>
              <w:jc w:val="center"/>
              <w:rPr>
                <w:color w:val="000000"/>
                <w:kern w:val="0"/>
                <w:sz w:val="24"/>
              </w:rPr>
            </w:pPr>
            <w:r>
              <w:rPr>
                <w:color w:val="000000"/>
                <w:kern w:val="0"/>
                <w:sz w:val="24"/>
              </w:rPr>
              <w:t>公允价值</w:t>
            </w:r>
          </w:p>
        </w:tc>
        <w:tc>
          <w:tcPr>
            <w:tcW w:w="3076" w:type="dxa"/>
            <w:vAlign w:val="center"/>
          </w:tcPr>
          <w:p w:rsidR="006C62A7" w:rsidRDefault="005422E0">
            <w:pPr>
              <w:autoSpaceDE w:val="0"/>
              <w:autoSpaceDN w:val="0"/>
              <w:adjustRightInd w:val="0"/>
              <w:spacing w:before="29" w:line="288" w:lineRule="auto"/>
              <w:ind w:left="15"/>
              <w:jc w:val="center"/>
              <w:rPr>
                <w:color w:val="000000"/>
                <w:kern w:val="0"/>
                <w:sz w:val="24"/>
              </w:rPr>
            </w:pPr>
            <w:r>
              <w:rPr>
                <w:color w:val="000000"/>
                <w:kern w:val="0"/>
                <w:sz w:val="24"/>
              </w:rPr>
              <w:t>占基金资产净值比例（％）</w:t>
            </w:r>
          </w:p>
        </w:tc>
      </w:tr>
      <w:tr w:rsidR="006C62A7">
        <w:trPr>
          <w:jc w:val="center"/>
        </w:trPr>
        <w:tc>
          <w:tcPr>
            <w:tcW w:w="2484" w:type="dxa"/>
            <w:vAlign w:val="center"/>
          </w:tcPr>
          <w:p w:rsidR="006C62A7" w:rsidRDefault="005422E0">
            <w:pPr>
              <w:jc w:val="left"/>
            </w:pPr>
            <w:r>
              <w:rPr>
                <w:color w:val="000000"/>
                <w:sz w:val="24"/>
              </w:rPr>
              <w:t>美国</w:t>
            </w:r>
          </w:p>
        </w:tc>
        <w:tc>
          <w:tcPr>
            <w:tcW w:w="3214" w:type="dxa"/>
            <w:vAlign w:val="center"/>
          </w:tcPr>
          <w:p w:rsidR="006C62A7" w:rsidRDefault="005422E0">
            <w:pPr>
              <w:jc w:val="right"/>
            </w:pPr>
            <w:r>
              <w:rPr>
                <w:color w:val="000000"/>
                <w:sz w:val="24"/>
              </w:rPr>
              <w:t>1,178,163,093.13</w:t>
            </w:r>
          </w:p>
        </w:tc>
        <w:tc>
          <w:tcPr>
            <w:tcW w:w="3170" w:type="dxa"/>
            <w:vAlign w:val="center"/>
          </w:tcPr>
          <w:p w:rsidR="006C62A7" w:rsidRDefault="005422E0">
            <w:pPr>
              <w:jc w:val="right"/>
            </w:pPr>
            <w:r>
              <w:rPr>
                <w:color w:val="000000"/>
                <w:sz w:val="24"/>
              </w:rPr>
              <w:t>59.46</w:t>
            </w:r>
          </w:p>
        </w:tc>
      </w:tr>
      <w:tr w:rsidR="006C62A7">
        <w:trPr>
          <w:jc w:val="center"/>
        </w:trPr>
        <w:tc>
          <w:tcPr>
            <w:tcW w:w="2484" w:type="dxa"/>
            <w:vAlign w:val="center"/>
          </w:tcPr>
          <w:p w:rsidR="006C62A7" w:rsidRDefault="005422E0">
            <w:pPr>
              <w:jc w:val="left"/>
            </w:pPr>
            <w:r>
              <w:rPr>
                <w:color w:val="000000"/>
                <w:sz w:val="24"/>
              </w:rPr>
              <w:t>香港</w:t>
            </w:r>
          </w:p>
        </w:tc>
        <w:tc>
          <w:tcPr>
            <w:tcW w:w="3214" w:type="dxa"/>
            <w:vAlign w:val="center"/>
          </w:tcPr>
          <w:p w:rsidR="006C62A7" w:rsidRDefault="005422E0">
            <w:pPr>
              <w:jc w:val="right"/>
            </w:pPr>
            <w:r>
              <w:rPr>
                <w:color w:val="000000"/>
                <w:sz w:val="24"/>
              </w:rPr>
              <w:t>604,196,085.05</w:t>
            </w:r>
          </w:p>
        </w:tc>
        <w:tc>
          <w:tcPr>
            <w:tcW w:w="3170" w:type="dxa"/>
            <w:vAlign w:val="center"/>
          </w:tcPr>
          <w:p w:rsidR="006C62A7" w:rsidRDefault="005422E0">
            <w:pPr>
              <w:jc w:val="right"/>
            </w:pPr>
            <w:r>
              <w:rPr>
                <w:color w:val="000000"/>
                <w:sz w:val="24"/>
              </w:rPr>
              <w:t>30.49</w:t>
            </w:r>
          </w:p>
        </w:tc>
      </w:tr>
      <w:tr w:rsidR="006C62A7">
        <w:trPr>
          <w:jc w:val="center"/>
        </w:trPr>
        <w:tc>
          <w:tcPr>
            <w:tcW w:w="2410" w:type="dxa"/>
            <w:vAlign w:val="center"/>
          </w:tcPr>
          <w:p w:rsidR="006C62A7" w:rsidRDefault="005422E0">
            <w:pPr>
              <w:autoSpaceDE w:val="0"/>
              <w:autoSpaceDN w:val="0"/>
              <w:adjustRightInd w:val="0"/>
              <w:spacing w:before="29" w:line="288" w:lineRule="auto"/>
              <w:jc w:val="left"/>
              <w:rPr>
                <w:color w:val="000000"/>
                <w:sz w:val="24"/>
              </w:rPr>
            </w:pPr>
            <w:r>
              <w:rPr>
                <w:color w:val="000000"/>
                <w:sz w:val="24"/>
              </w:rPr>
              <w:t>合计</w:t>
            </w:r>
          </w:p>
        </w:tc>
        <w:tc>
          <w:tcPr>
            <w:tcW w:w="3118" w:type="dxa"/>
            <w:vAlign w:val="center"/>
          </w:tcPr>
          <w:p w:rsidR="006C62A7" w:rsidRDefault="005422E0">
            <w:pPr>
              <w:autoSpaceDE w:val="0"/>
              <w:autoSpaceDN w:val="0"/>
              <w:adjustRightInd w:val="0"/>
              <w:spacing w:before="29" w:line="288" w:lineRule="auto"/>
              <w:jc w:val="right"/>
              <w:rPr>
                <w:color w:val="000000"/>
                <w:sz w:val="24"/>
              </w:rPr>
            </w:pPr>
            <w:r>
              <w:rPr>
                <w:color w:val="000000"/>
                <w:sz w:val="24"/>
              </w:rPr>
              <w:t>1,782,359,178.18</w:t>
            </w:r>
          </w:p>
        </w:tc>
        <w:tc>
          <w:tcPr>
            <w:tcW w:w="3076" w:type="dxa"/>
            <w:vAlign w:val="center"/>
          </w:tcPr>
          <w:p w:rsidR="006C62A7" w:rsidRDefault="005422E0">
            <w:pPr>
              <w:autoSpaceDE w:val="0"/>
              <w:autoSpaceDN w:val="0"/>
              <w:adjustRightInd w:val="0"/>
              <w:spacing w:before="29" w:line="288" w:lineRule="auto"/>
              <w:jc w:val="right"/>
              <w:rPr>
                <w:color w:val="000000"/>
                <w:sz w:val="24"/>
              </w:rPr>
            </w:pPr>
            <w:r>
              <w:rPr>
                <w:color w:val="000000"/>
                <w:sz w:val="24"/>
              </w:rPr>
              <w:t>89.96</w:t>
            </w:r>
          </w:p>
        </w:tc>
      </w:tr>
    </w:tbl>
    <w:p w:rsidR="006C62A7" w:rsidRDefault="005422E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、国家（地区）类别根据其所在的证券交易所确定；</w:t>
      </w:r>
    </w:p>
    <w:p w:rsidR="006C62A7" w:rsidRDefault="005422E0">
      <w:pPr>
        <w:autoSpaceDE w:val="0"/>
        <w:autoSpaceDN w:val="0"/>
        <w:adjustRightInd w:val="0"/>
        <w:spacing w:before="29" w:line="288" w:lineRule="auto"/>
        <w:jc w:val="left"/>
        <w:rPr>
          <w:color w:val="000000"/>
          <w:sz w:val="24"/>
        </w:rPr>
      </w:pPr>
      <w:r>
        <w:rPr>
          <w:color w:val="000000"/>
          <w:sz w:val="24"/>
        </w:rPr>
        <w:t>2</w:t>
      </w:r>
      <w:r>
        <w:rPr>
          <w:color w:val="000000"/>
          <w:sz w:val="24"/>
        </w:rPr>
        <w:t>、</w:t>
      </w:r>
      <w:r>
        <w:rPr>
          <w:color w:val="000000"/>
          <w:sz w:val="24"/>
        </w:rPr>
        <w:t>ADR</w:t>
      </w:r>
      <w:r>
        <w:rPr>
          <w:color w:val="000000"/>
          <w:sz w:val="24"/>
        </w:rPr>
        <w:t>、</w:t>
      </w:r>
      <w:r>
        <w:rPr>
          <w:color w:val="000000"/>
          <w:sz w:val="24"/>
        </w:rPr>
        <w:t>GDR</w:t>
      </w:r>
      <w:r>
        <w:rPr>
          <w:color w:val="000000"/>
          <w:sz w:val="24"/>
        </w:rPr>
        <w:t>按照存托凭证本身挂牌的证券交易所确定。</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 xml:space="preserve">5.3 </w:t>
      </w:r>
      <w:r>
        <w:rPr>
          <w:b/>
          <w:color w:val="000000"/>
          <w:kern w:val="0"/>
          <w:sz w:val="24"/>
        </w:rPr>
        <w:t>报告期末按行业分类的股票及存托凭证投资组合</w:t>
      </w:r>
    </w:p>
    <w:p w:rsidR="006C62A7" w:rsidRDefault="005422E0">
      <w:pPr>
        <w:autoSpaceDE w:val="0"/>
        <w:autoSpaceDN w:val="0"/>
        <w:adjustRightInd w:val="0"/>
        <w:spacing w:before="29" w:line="288" w:lineRule="auto"/>
        <w:jc w:val="left"/>
        <w:rPr>
          <w:b/>
          <w:color w:val="000000"/>
          <w:kern w:val="0"/>
          <w:sz w:val="24"/>
        </w:rPr>
      </w:pPr>
      <w:r>
        <w:rPr>
          <w:rFonts w:hint="eastAsia"/>
          <w:b/>
          <w:color w:val="000000"/>
          <w:kern w:val="0"/>
          <w:sz w:val="24"/>
        </w:rPr>
        <w:t>5.3.1</w:t>
      </w:r>
      <w:r>
        <w:rPr>
          <w:rFonts w:hint="eastAsia"/>
          <w:b/>
          <w:color w:val="000000"/>
          <w:kern w:val="0"/>
          <w:sz w:val="24"/>
        </w:rPr>
        <w:t>报告期末指数投资按行业分类的股票及存托凭证投资组合</w:t>
      </w:r>
    </w:p>
    <w:p w:rsidR="006C62A7" w:rsidRDefault="005422E0">
      <w:pPr>
        <w:autoSpaceDE w:val="0"/>
        <w:autoSpaceDN w:val="0"/>
        <w:adjustRightInd w:val="0"/>
        <w:spacing w:before="29" w:line="288" w:lineRule="auto"/>
        <w:jc w:val="right"/>
        <w:rPr>
          <w:color w:val="000000"/>
          <w:kern w:val="0"/>
          <w:sz w:val="24"/>
        </w:rPr>
      </w:pPr>
      <w:r>
        <w:rPr>
          <w:rFonts w:hint="eastAsia"/>
          <w:color w:val="000000"/>
          <w:kern w:val="0"/>
          <w:sz w:val="24"/>
        </w:rPr>
        <w:t>金额单位：人民币元</w:t>
      </w:r>
    </w:p>
    <w:tbl>
      <w:tblPr>
        <w:tblStyle w:val="af1"/>
        <w:tblW w:w="0" w:type="auto"/>
        <w:tblInd w:w="15" w:type="dxa"/>
        <w:tblLayout w:type="fixed"/>
        <w:tblLook w:val="04A0" w:firstRow="1" w:lastRow="0" w:firstColumn="1" w:lastColumn="0" w:noHBand="0" w:noVBand="1"/>
      </w:tblPr>
      <w:tblGrid>
        <w:gridCol w:w="2787"/>
        <w:gridCol w:w="2976"/>
        <w:gridCol w:w="3261"/>
      </w:tblGrid>
      <w:tr w:rsidR="006C62A7">
        <w:tc>
          <w:tcPr>
            <w:tcW w:w="2787"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行业类别</w:t>
            </w:r>
          </w:p>
        </w:tc>
        <w:tc>
          <w:tcPr>
            <w:tcW w:w="2976" w:type="dxa"/>
            <w:vAlign w:val="center"/>
          </w:tcPr>
          <w:p w:rsidR="006C62A7" w:rsidRDefault="005422E0">
            <w:pPr>
              <w:autoSpaceDE w:val="0"/>
              <w:autoSpaceDN w:val="0"/>
              <w:adjustRightInd w:val="0"/>
              <w:spacing w:before="29" w:line="360" w:lineRule="auto"/>
              <w:ind w:left="15"/>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公允价值</w:t>
            </w:r>
          </w:p>
        </w:tc>
        <w:tc>
          <w:tcPr>
            <w:tcW w:w="3261" w:type="dxa"/>
            <w:vAlign w:val="center"/>
          </w:tcPr>
          <w:p w:rsidR="006C62A7" w:rsidRDefault="005422E0">
            <w:pPr>
              <w:autoSpaceDE w:val="0"/>
              <w:autoSpaceDN w:val="0"/>
              <w:adjustRightInd w:val="0"/>
              <w:spacing w:before="29" w:line="360" w:lineRule="auto"/>
              <w:ind w:left="15"/>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占基金资产净值比例（％）</w:t>
            </w:r>
          </w:p>
        </w:tc>
      </w:tr>
      <w:tr w:rsidR="006C62A7">
        <w:tc>
          <w:tcPr>
            <w:tcW w:w="2787" w:type="dxa"/>
            <w:vAlign w:val="center"/>
          </w:tcPr>
          <w:p w:rsidR="006C62A7" w:rsidRDefault="005422E0">
            <w:pPr>
              <w:jc w:val="left"/>
            </w:pPr>
            <w:r>
              <w:rPr>
                <w:color w:val="000000"/>
                <w:sz w:val="24"/>
              </w:rPr>
              <w:lastRenderedPageBreak/>
              <w:t xml:space="preserve"> </w:t>
            </w:r>
            <w:r>
              <w:rPr>
                <w:color w:val="000000"/>
                <w:sz w:val="24"/>
              </w:rPr>
              <w:t>房地产</w:t>
            </w:r>
            <w:r>
              <w:rPr>
                <w:color w:val="000000"/>
                <w:sz w:val="24"/>
              </w:rPr>
              <w:t xml:space="preserve"> </w:t>
            </w:r>
          </w:p>
        </w:tc>
        <w:tc>
          <w:tcPr>
            <w:tcW w:w="2976" w:type="dxa"/>
            <w:vAlign w:val="center"/>
          </w:tcPr>
          <w:p w:rsidR="006C62A7" w:rsidRDefault="005422E0">
            <w:pPr>
              <w:jc w:val="right"/>
            </w:pPr>
            <w:r>
              <w:rPr>
                <w:color w:val="000000"/>
                <w:sz w:val="24"/>
              </w:rPr>
              <w:t>72,255,537.45</w:t>
            </w:r>
          </w:p>
        </w:tc>
        <w:tc>
          <w:tcPr>
            <w:tcW w:w="3261" w:type="dxa"/>
            <w:vAlign w:val="center"/>
          </w:tcPr>
          <w:p w:rsidR="006C62A7" w:rsidRDefault="005422E0">
            <w:pPr>
              <w:jc w:val="right"/>
            </w:pPr>
            <w:r>
              <w:rPr>
                <w:color w:val="000000"/>
                <w:sz w:val="24"/>
              </w:rPr>
              <w:t>3.65</w:t>
            </w:r>
          </w:p>
        </w:tc>
      </w:tr>
      <w:tr w:rsidR="006C62A7">
        <w:tc>
          <w:tcPr>
            <w:tcW w:w="2787" w:type="dxa"/>
            <w:vAlign w:val="center"/>
          </w:tcPr>
          <w:p w:rsidR="006C62A7" w:rsidRDefault="005422E0">
            <w:pPr>
              <w:jc w:val="left"/>
            </w:pPr>
            <w:r>
              <w:rPr>
                <w:color w:val="000000"/>
                <w:sz w:val="24"/>
              </w:rPr>
              <w:t>非日常生活消费品</w:t>
            </w:r>
          </w:p>
        </w:tc>
        <w:tc>
          <w:tcPr>
            <w:tcW w:w="2976" w:type="dxa"/>
            <w:vAlign w:val="center"/>
          </w:tcPr>
          <w:p w:rsidR="006C62A7" w:rsidRDefault="005422E0">
            <w:pPr>
              <w:jc w:val="right"/>
            </w:pPr>
            <w:r>
              <w:rPr>
                <w:color w:val="000000"/>
                <w:sz w:val="24"/>
              </w:rPr>
              <w:t>883,585,124.99</w:t>
            </w:r>
          </w:p>
        </w:tc>
        <w:tc>
          <w:tcPr>
            <w:tcW w:w="3261" w:type="dxa"/>
            <w:vAlign w:val="center"/>
          </w:tcPr>
          <w:p w:rsidR="006C62A7" w:rsidRDefault="005422E0">
            <w:pPr>
              <w:jc w:val="right"/>
            </w:pPr>
            <w:r>
              <w:rPr>
                <w:color w:val="000000"/>
                <w:sz w:val="24"/>
              </w:rPr>
              <w:t>44.60</w:t>
            </w:r>
          </w:p>
        </w:tc>
      </w:tr>
      <w:tr w:rsidR="006C62A7">
        <w:tc>
          <w:tcPr>
            <w:tcW w:w="2787" w:type="dxa"/>
            <w:vAlign w:val="center"/>
          </w:tcPr>
          <w:p w:rsidR="006C62A7" w:rsidRDefault="005422E0">
            <w:pPr>
              <w:jc w:val="left"/>
            </w:pPr>
            <w:r>
              <w:rPr>
                <w:color w:val="000000"/>
                <w:sz w:val="24"/>
              </w:rPr>
              <w:t>工业</w:t>
            </w:r>
          </w:p>
        </w:tc>
        <w:tc>
          <w:tcPr>
            <w:tcW w:w="2976" w:type="dxa"/>
            <w:vAlign w:val="center"/>
          </w:tcPr>
          <w:p w:rsidR="006C62A7" w:rsidRDefault="005422E0">
            <w:pPr>
              <w:jc w:val="right"/>
            </w:pPr>
            <w:r>
              <w:rPr>
                <w:color w:val="000000"/>
                <w:sz w:val="24"/>
              </w:rPr>
              <w:t>10,225,105.54</w:t>
            </w:r>
          </w:p>
        </w:tc>
        <w:tc>
          <w:tcPr>
            <w:tcW w:w="3261" w:type="dxa"/>
            <w:vAlign w:val="center"/>
          </w:tcPr>
          <w:p w:rsidR="006C62A7" w:rsidRDefault="005422E0">
            <w:pPr>
              <w:jc w:val="right"/>
            </w:pPr>
            <w:r>
              <w:rPr>
                <w:color w:val="000000"/>
                <w:sz w:val="24"/>
              </w:rPr>
              <w:t>0.52</w:t>
            </w:r>
          </w:p>
        </w:tc>
      </w:tr>
      <w:tr w:rsidR="006C62A7">
        <w:tc>
          <w:tcPr>
            <w:tcW w:w="2787" w:type="dxa"/>
            <w:vAlign w:val="center"/>
          </w:tcPr>
          <w:p w:rsidR="006C62A7" w:rsidRDefault="005422E0">
            <w:pPr>
              <w:jc w:val="left"/>
            </w:pPr>
            <w:r>
              <w:rPr>
                <w:color w:val="000000"/>
                <w:sz w:val="24"/>
              </w:rPr>
              <w:t>金融</w:t>
            </w:r>
          </w:p>
        </w:tc>
        <w:tc>
          <w:tcPr>
            <w:tcW w:w="2976" w:type="dxa"/>
            <w:vAlign w:val="center"/>
          </w:tcPr>
          <w:p w:rsidR="006C62A7" w:rsidRDefault="005422E0">
            <w:pPr>
              <w:jc w:val="right"/>
            </w:pPr>
            <w:r>
              <w:rPr>
                <w:color w:val="000000"/>
                <w:sz w:val="24"/>
              </w:rPr>
              <w:t>69,883,496.44</w:t>
            </w:r>
          </w:p>
        </w:tc>
        <w:tc>
          <w:tcPr>
            <w:tcW w:w="3261" w:type="dxa"/>
            <w:vAlign w:val="center"/>
          </w:tcPr>
          <w:p w:rsidR="006C62A7" w:rsidRDefault="005422E0">
            <w:pPr>
              <w:jc w:val="right"/>
            </w:pPr>
            <w:r>
              <w:rPr>
                <w:color w:val="000000"/>
                <w:sz w:val="24"/>
              </w:rPr>
              <w:t>3.53</w:t>
            </w:r>
          </w:p>
        </w:tc>
      </w:tr>
      <w:tr w:rsidR="006C62A7">
        <w:tc>
          <w:tcPr>
            <w:tcW w:w="2787" w:type="dxa"/>
            <w:vAlign w:val="center"/>
          </w:tcPr>
          <w:p w:rsidR="006C62A7" w:rsidRDefault="005422E0">
            <w:pPr>
              <w:jc w:val="left"/>
            </w:pPr>
            <w:r>
              <w:rPr>
                <w:color w:val="000000"/>
                <w:sz w:val="24"/>
              </w:rPr>
              <w:t>通信服务</w:t>
            </w:r>
          </w:p>
        </w:tc>
        <w:tc>
          <w:tcPr>
            <w:tcW w:w="2976" w:type="dxa"/>
            <w:vAlign w:val="center"/>
          </w:tcPr>
          <w:p w:rsidR="006C62A7" w:rsidRDefault="005422E0">
            <w:pPr>
              <w:jc w:val="right"/>
            </w:pPr>
            <w:r>
              <w:rPr>
                <w:color w:val="000000"/>
                <w:sz w:val="24"/>
              </w:rPr>
              <w:t>592,689,482.01</w:t>
            </w:r>
          </w:p>
        </w:tc>
        <w:tc>
          <w:tcPr>
            <w:tcW w:w="3261" w:type="dxa"/>
            <w:vAlign w:val="center"/>
          </w:tcPr>
          <w:p w:rsidR="006C62A7" w:rsidRDefault="005422E0">
            <w:pPr>
              <w:jc w:val="right"/>
            </w:pPr>
            <w:r>
              <w:rPr>
                <w:color w:val="000000"/>
                <w:sz w:val="24"/>
              </w:rPr>
              <w:t>29.91</w:t>
            </w:r>
          </w:p>
        </w:tc>
      </w:tr>
      <w:tr w:rsidR="006C62A7">
        <w:tc>
          <w:tcPr>
            <w:tcW w:w="2787" w:type="dxa"/>
            <w:vAlign w:val="center"/>
          </w:tcPr>
          <w:p w:rsidR="006C62A7" w:rsidRDefault="005422E0">
            <w:pPr>
              <w:jc w:val="left"/>
            </w:pPr>
            <w:r>
              <w:rPr>
                <w:color w:val="000000"/>
                <w:sz w:val="24"/>
              </w:rPr>
              <w:t>信息技术</w:t>
            </w:r>
          </w:p>
        </w:tc>
        <w:tc>
          <w:tcPr>
            <w:tcW w:w="2976" w:type="dxa"/>
            <w:vAlign w:val="center"/>
          </w:tcPr>
          <w:p w:rsidR="006C62A7" w:rsidRDefault="005422E0">
            <w:pPr>
              <w:jc w:val="right"/>
            </w:pPr>
            <w:r>
              <w:rPr>
                <w:color w:val="000000"/>
                <w:sz w:val="24"/>
              </w:rPr>
              <w:t>67,121,498.59</w:t>
            </w:r>
          </w:p>
        </w:tc>
        <w:tc>
          <w:tcPr>
            <w:tcW w:w="3261" w:type="dxa"/>
            <w:vAlign w:val="center"/>
          </w:tcPr>
          <w:p w:rsidR="006C62A7" w:rsidRDefault="005422E0">
            <w:pPr>
              <w:jc w:val="right"/>
            </w:pPr>
            <w:r>
              <w:rPr>
                <w:color w:val="000000"/>
                <w:sz w:val="24"/>
              </w:rPr>
              <w:t>3.39</w:t>
            </w:r>
          </w:p>
        </w:tc>
      </w:tr>
      <w:tr w:rsidR="006C62A7">
        <w:tc>
          <w:tcPr>
            <w:tcW w:w="2787" w:type="dxa"/>
            <w:vAlign w:val="center"/>
          </w:tcPr>
          <w:p w:rsidR="006C62A7" w:rsidRDefault="005422E0">
            <w:pPr>
              <w:jc w:val="left"/>
            </w:pPr>
            <w:r>
              <w:rPr>
                <w:color w:val="000000"/>
                <w:sz w:val="24"/>
              </w:rPr>
              <w:t>医疗保健</w:t>
            </w:r>
          </w:p>
        </w:tc>
        <w:tc>
          <w:tcPr>
            <w:tcW w:w="2976" w:type="dxa"/>
            <w:vAlign w:val="center"/>
          </w:tcPr>
          <w:p w:rsidR="006C62A7" w:rsidRDefault="005422E0">
            <w:pPr>
              <w:jc w:val="right"/>
            </w:pPr>
            <w:r>
              <w:rPr>
                <w:color w:val="000000"/>
                <w:sz w:val="24"/>
              </w:rPr>
              <w:t>86,598,933.16</w:t>
            </w:r>
          </w:p>
        </w:tc>
        <w:tc>
          <w:tcPr>
            <w:tcW w:w="3261" w:type="dxa"/>
            <w:vAlign w:val="center"/>
          </w:tcPr>
          <w:p w:rsidR="006C62A7" w:rsidRDefault="005422E0">
            <w:pPr>
              <w:jc w:val="right"/>
            </w:pPr>
            <w:r>
              <w:rPr>
                <w:color w:val="000000"/>
                <w:sz w:val="24"/>
              </w:rPr>
              <w:t>4.37</w:t>
            </w:r>
          </w:p>
        </w:tc>
      </w:tr>
      <w:tr w:rsidR="006C62A7">
        <w:tc>
          <w:tcPr>
            <w:tcW w:w="2787" w:type="dxa"/>
            <w:vAlign w:val="center"/>
          </w:tcPr>
          <w:p w:rsidR="006C62A7" w:rsidRDefault="005422E0">
            <w:pPr>
              <w:autoSpaceDE w:val="0"/>
              <w:autoSpaceDN w:val="0"/>
              <w:adjustRightInd w:val="0"/>
              <w:spacing w:before="29" w:line="288" w:lineRule="auto"/>
              <w:jc w:val="center"/>
              <w:rPr>
                <w:color w:val="000000"/>
                <w:sz w:val="24"/>
              </w:rPr>
            </w:pPr>
            <w:r>
              <w:rPr>
                <w:rFonts w:hint="eastAsia"/>
                <w:color w:val="000000"/>
                <w:sz w:val="24"/>
              </w:rPr>
              <w:t>合计</w:t>
            </w:r>
          </w:p>
        </w:tc>
        <w:tc>
          <w:tcPr>
            <w:tcW w:w="2976" w:type="dxa"/>
            <w:vAlign w:val="center"/>
          </w:tcPr>
          <w:p w:rsidR="006C62A7" w:rsidRDefault="005422E0">
            <w:pPr>
              <w:autoSpaceDE w:val="0"/>
              <w:autoSpaceDN w:val="0"/>
              <w:adjustRightInd w:val="0"/>
              <w:spacing w:before="29" w:line="288" w:lineRule="auto"/>
              <w:jc w:val="center"/>
              <w:rPr>
                <w:color w:val="000000"/>
                <w:sz w:val="24"/>
              </w:rPr>
            </w:pPr>
            <w:r>
              <w:rPr>
                <w:color w:val="000000"/>
                <w:sz w:val="24"/>
              </w:rPr>
              <w:t>1,782,359,178.18</w:t>
            </w:r>
          </w:p>
        </w:tc>
        <w:tc>
          <w:tcPr>
            <w:tcW w:w="3261" w:type="dxa"/>
            <w:vAlign w:val="center"/>
          </w:tcPr>
          <w:p w:rsidR="006C62A7" w:rsidRDefault="005422E0">
            <w:pPr>
              <w:autoSpaceDE w:val="0"/>
              <w:autoSpaceDN w:val="0"/>
              <w:adjustRightInd w:val="0"/>
              <w:spacing w:before="29" w:line="288" w:lineRule="auto"/>
              <w:jc w:val="center"/>
              <w:rPr>
                <w:color w:val="000000"/>
                <w:sz w:val="24"/>
              </w:rPr>
            </w:pPr>
            <w:r>
              <w:rPr>
                <w:color w:val="000000"/>
                <w:sz w:val="24"/>
              </w:rPr>
              <w:t>89.96</w:t>
            </w:r>
          </w:p>
        </w:tc>
      </w:tr>
    </w:tbl>
    <w:p w:rsidR="006C62A7" w:rsidRDefault="005422E0">
      <w:pPr>
        <w:autoSpaceDE w:val="0"/>
        <w:autoSpaceDN w:val="0"/>
        <w:adjustRightInd w:val="0"/>
        <w:spacing w:before="29" w:line="288" w:lineRule="auto"/>
        <w:jc w:val="left"/>
        <w:rPr>
          <w:color w:val="000000"/>
          <w:sz w:val="24"/>
        </w:rPr>
      </w:pPr>
      <w:r>
        <w:rPr>
          <w:color w:val="000000"/>
          <w:sz w:val="24"/>
        </w:rPr>
        <w:t>注：以上分类采用全球行业分类标准（</w:t>
      </w:r>
      <w:r>
        <w:rPr>
          <w:color w:val="000000"/>
          <w:sz w:val="24"/>
        </w:rPr>
        <w:t>GICS</w:t>
      </w:r>
      <w:r>
        <w:rPr>
          <w:color w:val="000000"/>
          <w:sz w:val="24"/>
        </w:rPr>
        <w:t>）。</w:t>
      </w:r>
    </w:p>
    <w:p w:rsidR="006C62A7" w:rsidRDefault="006C62A7">
      <w:pPr>
        <w:autoSpaceDE w:val="0"/>
        <w:autoSpaceDN w:val="0"/>
        <w:adjustRightInd w:val="0"/>
        <w:spacing w:before="29" w:line="288" w:lineRule="auto"/>
        <w:jc w:val="left"/>
        <w:rPr>
          <w:color w:val="000000"/>
          <w:sz w:val="24"/>
        </w:rPr>
      </w:pPr>
    </w:p>
    <w:p w:rsidR="006C62A7" w:rsidRDefault="005422E0">
      <w:pPr>
        <w:autoSpaceDE w:val="0"/>
        <w:autoSpaceDN w:val="0"/>
        <w:adjustRightInd w:val="0"/>
        <w:spacing w:before="29" w:line="288" w:lineRule="auto"/>
        <w:jc w:val="left"/>
        <w:rPr>
          <w:b/>
          <w:color w:val="000000"/>
          <w:kern w:val="0"/>
          <w:sz w:val="24"/>
        </w:rPr>
      </w:pPr>
      <w:r>
        <w:rPr>
          <w:rFonts w:hint="eastAsia"/>
          <w:b/>
          <w:color w:val="000000"/>
          <w:kern w:val="0"/>
          <w:sz w:val="24"/>
        </w:rPr>
        <w:t>5.3.2</w:t>
      </w:r>
      <w:r>
        <w:rPr>
          <w:rFonts w:hint="eastAsia"/>
          <w:b/>
          <w:color w:val="000000"/>
          <w:kern w:val="0"/>
          <w:sz w:val="24"/>
        </w:rPr>
        <w:t>报告期末积极投资按行业分类的股票及存托凭证投资组合</w:t>
      </w:r>
    </w:p>
    <w:p w:rsidR="006C62A7" w:rsidRDefault="005422E0">
      <w:pPr>
        <w:autoSpaceDE w:val="0"/>
        <w:autoSpaceDN w:val="0"/>
        <w:adjustRightInd w:val="0"/>
        <w:spacing w:before="29" w:line="288" w:lineRule="auto"/>
        <w:jc w:val="left"/>
        <w:rPr>
          <w:color w:val="000000"/>
          <w:sz w:val="24"/>
        </w:rPr>
      </w:pPr>
      <w:r>
        <w:rPr>
          <w:rFonts w:hint="eastAsia"/>
          <w:color w:val="000000"/>
          <w:sz w:val="24"/>
        </w:rPr>
        <w:t>本基金本报告期末未持有积极投资股票及存托凭证。</w:t>
      </w: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 xml:space="preserve">5.4 </w:t>
      </w:r>
      <w:r>
        <w:rPr>
          <w:b/>
          <w:color w:val="000000"/>
          <w:kern w:val="0"/>
          <w:sz w:val="24"/>
        </w:rPr>
        <w:t>报告期末按公允价值占基金资产净值比例大小排序的前十名股票及存托凭证投资明细</w:t>
      </w:r>
    </w:p>
    <w:p w:rsidR="006C62A7" w:rsidRDefault="005422E0">
      <w:pPr>
        <w:autoSpaceDE w:val="0"/>
        <w:autoSpaceDN w:val="0"/>
        <w:adjustRightInd w:val="0"/>
        <w:spacing w:before="29" w:line="288" w:lineRule="auto"/>
        <w:jc w:val="left"/>
        <w:rPr>
          <w:b/>
          <w:color w:val="000000"/>
          <w:kern w:val="0"/>
          <w:sz w:val="24"/>
        </w:rPr>
      </w:pPr>
      <w:r>
        <w:rPr>
          <w:rFonts w:hint="eastAsia"/>
          <w:b/>
          <w:color w:val="000000"/>
          <w:kern w:val="0"/>
          <w:sz w:val="24"/>
        </w:rPr>
        <w:t>5.4.1</w:t>
      </w:r>
      <w:r>
        <w:rPr>
          <w:rFonts w:hint="eastAsia"/>
          <w:b/>
          <w:color w:val="000000"/>
          <w:kern w:val="0"/>
          <w:sz w:val="24"/>
        </w:rPr>
        <w:t>报告期末指数投资按公允价值占基金资产净值比例大小排序的前十名股票及存托凭证投资明细</w:t>
      </w:r>
    </w:p>
    <w:tbl>
      <w:tblPr>
        <w:tblStyle w:val="af1"/>
        <w:tblW w:w="0" w:type="auto"/>
        <w:tblInd w:w="15" w:type="dxa"/>
        <w:tblLook w:val="04A0" w:firstRow="1" w:lastRow="0" w:firstColumn="1" w:lastColumn="0" w:noHBand="0" w:noVBand="1"/>
      </w:tblPr>
      <w:tblGrid>
        <w:gridCol w:w="474"/>
        <w:gridCol w:w="1633"/>
        <w:gridCol w:w="985"/>
        <w:gridCol w:w="955"/>
        <w:gridCol w:w="800"/>
        <w:gridCol w:w="714"/>
        <w:gridCol w:w="997"/>
        <w:gridCol w:w="1716"/>
        <w:gridCol w:w="953"/>
      </w:tblGrid>
      <w:tr w:rsidR="006C62A7">
        <w:tc>
          <w:tcPr>
            <w:tcW w:w="487"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序号</w:t>
            </w:r>
          </w:p>
        </w:tc>
        <w:tc>
          <w:tcPr>
            <w:tcW w:w="2201"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公司名称（英文）</w:t>
            </w:r>
          </w:p>
        </w:tc>
        <w:tc>
          <w:tcPr>
            <w:tcW w:w="722"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公司名称（中文）</w:t>
            </w:r>
          </w:p>
        </w:tc>
        <w:tc>
          <w:tcPr>
            <w:tcW w:w="886"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证券代码</w:t>
            </w:r>
          </w:p>
        </w:tc>
        <w:tc>
          <w:tcPr>
            <w:tcW w:w="534"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所在证</w:t>
            </w:r>
          </w:p>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券市场</w:t>
            </w:r>
          </w:p>
        </w:tc>
        <w:tc>
          <w:tcPr>
            <w:tcW w:w="722"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所属国家</w:t>
            </w:r>
          </w:p>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（地区</w:t>
            </w:r>
            <w:r>
              <w:rPr>
                <w:color w:val="000000"/>
                <w:kern w:val="0"/>
                <w:sz w:val="24"/>
              </w:rPr>
              <w:t>)</w:t>
            </w:r>
          </w:p>
        </w:tc>
        <w:tc>
          <w:tcPr>
            <w:tcW w:w="1001"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数量</w:t>
            </w:r>
          </w:p>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（股）</w:t>
            </w:r>
          </w:p>
        </w:tc>
        <w:tc>
          <w:tcPr>
            <w:tcW w:w="1716"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公允价值（人民币元）</w:t>
            </w:r>
          </w:p>
        </w:tc>
        <w:tc>
          <w:tcPr>
            <w:tcW w:w="958" w:type="dxa"/>
            <w:vAlign w:val="center"/>
          </w:tcPr>
          <w:p w:rsidR="006C62A7" w:rsidRDefault="005422E0">
            <w:pPr>
              <w:autoSpaceDE w:val="0"/>
              <w:autoSpaceDN w:val="0"/>
              <w:adjustRightInd w:val="0"/>
              <w:spacing w:before="29" w:line="288" w:lineRule="auto"/>
              <w:ind w:left="15"/>
              <w:jc w:val="center"/>
              <w:rPr>
                <w:color w:val="000000"/>
                <w:kern w:val="0"/>
                <w:sz w:val="24"/>
              </w:rPr>
            </w:pPr>
            <w:r>
              <w:rPr>
                <w:rFonts w:hint="eastAsia"/>
                <w:color w:val="000000"/>
                <w:kern w:val="0"/>
                <w:sz w:val="24"/>
              </w:rPr>
              <w:t>占基金资产净值比例（％）</w:t>
            </w:r>
          </w:p>
        </w:tc>
      </w:tr>
      <w:tr w:rsidR="006C62A7">
        <w:tc>
          <w:tcPr>
            <w:tcW w:w="0" w:type="auto"/>
            <w:vAlign w:val="center"/>
          </w:tcPr>
          <w:p w:rsidR="006C62A7" w:rsidRDefault="005422E0">
            <w:pPr>
              <w:jc w:val="center"/>
            </w:pPr>
            <w:r>
              <w:rPr>
                <w:color w:val="000000"/>
                <w:sz w:val="24"/>
              </w:rPr>
              <w:t>1</w:t>
            </w:r>
          </w:p>
        </w:tc>
        <w:tc>
          <w:tcPr>
            <w:tcW w:w="0" w:type="auto"/>
            <w:vAlign w:val="center"/>
          </w:tcPr>
          <w:p w:rsidR="006C62A7" w:rsidRDefault="005422E0">
            <w:pPr>
              <w:jc w:val="center"/>
              <w:rPr>
                <w:color w:val="000000"/>
                <w:sz w:val="24"/>
              </w:rPr>
            </w:pPr>
            <w:r>
              <w:rPr>
                <w:rFonts w:hint="eastAsia"/>
                <w:color w:val="000000"/>
                <w:sz w:val="24"/>
              </w:rPr>
              <w:t xml:space="preserve">Tencent Holdings Ltd </w:t>
            </w:r>
          </w:p>
        </w:tc>
        <w:tc>
          <w:tcPr>
            <w:tcW w:w="0" w:type="auto"/>
            <w:vAlign w:val="center"/>
          </w:tcPr>
          <w:p w:rsidR="006C62A7" w:rsidRDefault="005422E0">
            <w:pPr>
              <w:jc w:val="center"/>
              <w:rPr>
                <w:color w:val="000000"/>
                <w:sz w:val="24"/>
              </w:rPr>
            </w:pPr>
            <w:r>
              <w:rPr>
                <w:rFonts w:hint="eastAsia"/>
                <w:color w:val="000000"/>
                <w:sz w:val="24"/>
              </w:rPr>
              <w:t>腾讯控股</w:t>
            </w:r>
            <w:r>
              <w:rPr>
                <w:rFonts w:hint="eastAsia"/>
                <w:color w:val="000000"/>
                <w:sz w:val="24"/>
              </w:rPr>
              <w:t xml:space="preserve"> </w:t>
            </w:r>
          </w:p>
        </w:tc>
        <w:tc>
          <w:tcPr>
            <w:tcW w:w="0" w:type="auto"/>
            <w:vAlign w:val="center"/>
          </w:tcPr>
          <w:p w:rsidR="006C62A7" w:rsidRDefault="005422E0">
            <w:pPr>
              <w:jc w:val="center"/>
            </w:pPr>
            <w:r>
              <w:rPr>
                <w:color w:val="000000"/>
                <w:sz w:val="24"/>
              </w:rPr>
              <w:t>700 HK</w:t>
            </w:r>
          </w:p>
        </w:tc>
        <w:tc>
          <w:tcPr>
            <w:tcW w:w="0" w:type="auto"/>
            <w:vAlign w:val="center"/>
          </w:tcPr>
          <w:p w:rsidR="006C62A7" w:rsidRDefault="005422E0">
            <w:pPr>
              <w:jc w:val="center"/>
            </w:pPr>
            <w:r>
              <w:rPr>
                <w:color w:val="000000"/>
                <w:sz w:val="24"/>
              </w:rPr>
              <w:t>香港证券交易所</w:t>
            </w:r>
          </w:p>
        </w:tc>
        <w:tc>
          <w:tcPr>
            <w:tcW w:w="0" w:type="auto"/>
            <w:vAlign w:val="center"/>
          </w:tcPr>
          <w:p w:rsidR="006C62A7" w:rsidRDefault="005422E0">
            <w:pPr>
              <w:jc w:val="center"/>
            </w:pPr>
            <w:r>
              <w:rPr>
                <w:color w:val="000000"/>
                <w:sz w:val="24"/>
              </w:rPr>
              <w:t>香港</w:t>
            </w:r>
          </w:p>
        </w:tc>
        <w:tc>
          <w:tcPr>
            <w:tcW w:w="0" w:type="auto"/>
            <w:vAlign w:val="center"/>
          </w:tcPr>
          <w:p w:rsidR="006C62A7" w:rsidRDefault="005422E0">
            <w:pPr>
              <w:jc w:val="right"/>
            </w:pPr>
            <w:r>
              <w:rPr>
                <w:color w:val="000000"/>
                <w:sz w:val="24"/>
              </w:rPr>
              <w:t>351,200</w:t>
            </w:r>
          </w:p>
        </w:tc>
        <w:tc>
          <w:tcPr>
            <w:tcW w:w="0" w:type="auto"/>
            <w:vAlign w:val="center"/>
          </w:tcPr>
          <w:p w:rsidR="006C62A7" w:rsidRDefault="005422E0">
            <w:pPr>
              <w:jc w:val="right"/>
            </w:pPr>
            <w:r>
              <w:rPr>
                <w:color w:val="000000"/>
                <w:sz w:val="24"/>
              </w:rPr>
              <w:t>166,684,866.35</w:t>
            </w:r>
          </w:p>
        </w:tc>
        <w:tc>
          <w:tcPr>
            <w:tcW w:w="0" w:type="auto"/>
            <w:vAlign w:val="center"/>
          </w:tcPr>
          <w:p w:rsidR="006C62A7" w:rsidRDefault="005422E0">
            <w:pPr>
              <w:jc w:val="right"/>
            </w:pPr>
            <w:r>
              <w:rPr>
                <w:color w:val="000000"/>
                <w:sz w:val="24"/>
              </w:rPr>
              <w:t>8.41</w:t>
            </w:r>
          </w:p>
        </w:tc>
      </w:tr>
      <w:tr w:rsidR="006C62A7">
        <w:tc>
          <w:tcPr>
            <w:tcW w:w="0" w:type="auto"/>
            <w:vAlign w:val="center"/>
          </w:tcPr>
          <w:p w:rsidR="006C62A7" w:rsidRDefault="005422E0">
            <w:pPr>
              <w:jc w:val="center"/>
            </w:pPr>
            <w:r>
              <w:rPr>
                <w:color w:val="000000"/>
                <w:sz w:val="24"/>
              </w:rPr>
              <w:t>2</w:t>
            </w:r>
          </w:p>
        </w:tc>
        <w:tc>
          <w:tcPr>
            <w:tcW w:w="0" w:type="auto"/>
            <w:vAlign w:val="center"/>
          </w:tcPr>
          <w:p w:rsidR="006C62A7" w:rsidRDefault="005422E0">
            <w:pPr>
              <w:jc w:val="center"/>
              <w:rPr>
                <w:color w:val="000000"/>
                <w:sz w:val="24"/>
              </w:rPr>
            </w:pPr>
            <w:r>
              <w:rPr>
                <w:rFonts w:hint="eastAsia"/>
                <w:color w:val="000000"/>
                <w:sz w:val="24"/>
              </w:rPr>
              <w:t xml:space="preserve">Pinduoduo Inc </w:t>
            </w:r>
          </w:p>
        </w:tc>
        <w:tc>
          <w:tcPr>
            <w:tcW w:w="0" w:type="auto"/>
            <w:vAlign w:val="center"/>
          </w:tcPr>
          <w:p w:rsidR="006C62A7" w:rsidRDefault="005422E0">
            <w:pPr>
              <w:jc w:val="center"/>
              <w:rPr>
                <w:color w:val="000000"/>
                <w:sz w:val="24"/>
              </w:rPr>
            </w:pPr>
            <w:r>
              <w:rPr>
                <w:rFonts w:hint="eastAsia"/>
                <w:color w:val="000000"/>
                <w:sz w:val="24"/>
              </w:rPr>
              <w:t>拼多多</w:t>
            </w:r>
            <w:r>
              <w:rPr>
                <w:rFonts w:hint="eastAsia"/>
                <w:color w:val="000000"/>
                <w:sz w:val="24"/>
              </w:rPr>
              <w:t xml:space="preserve"> </w:t>
            </w:r>
          </w:p>
        </w:tc>
        <w:tc>
          <w:tcPr>
            <w:tcW w:w="0" w:type="auto"/>
            <w:vAlign w:val="center"/>
          </w:tcPr>
          <w:p w:rsidR="006C62A7" w:rsidRDefault="005422E0">
            <w:pPr>
              <w:jc w:val="center"/>
            </w:pPr>
            <w:r>
              <w:rPr>
                <w:color w:val="000000"/>
                <w:sz w:val="24"/>
              </w:rPr>
              <w:t>PDD US</w:t>
            </w:r>
          </w:p>
        </w:tc>
        <w:tc>
          <w:tcPr>
            <w:tcW w:w="0" w:type="auto"/>
            <w:vAlign w:val="center"/>
          </w:tcPr>
          <w:p w:rsidR="006C62A7" w:rsidRDefault="005422E0">
            <w:pPr>
              <w:jc w:val="center"/>
            </w:pPr>
            <w:r>
              <w:rPr>
                <w:color w:val="000000"/>
                <w:sz w:val="24"/>
              </w:rPr>
              <w:t>美国证券交易所</w:t>
            </w:r>
          </w:p>
        </w:tc>
        <w:tc>
          <w:tcPr>
            <w:tcW w:w="0" w:type="auto"/>
            <w:vAlign w:val="center"/>
          </w:tcPr>
          <w:p w:rsidR="006C62A7" w:rsidRDefault="005422E0">
            <w:pPr>
              <w:jc w:val="center"/>
            </w:pPr>
            <w:r>
              <w:rPr>
                <w:color w:val="000000"/>
                <w:sz w:val="24"/>
              </w:rPr>
              <w:t>美国</w:t>
            </w:r>
          </w:p>
        </w:tc>
        <w:tc>
          <w:tcPr>
            <w:tcW w:w="0" w:type="auto"/>
            <w:vAlign w:val="center"/>
          </w:tcPr>
          <w:p w:rsidR="006C62A7" w:rsidRDefault="005422E0">
            <w:pPr>
              <w:jc w:val="right"/>
            </w:pPr>
            <w:r>
              <w:rPr>
                <w:color w:val="000000"/>
                <w:sz w:val="24"/>
              </w:rPr>
              <w:t>132,016</w:t>
            </w:r>
          </w:p>
        </w:tc>
        <w:tc>
          <w:tcPr>
            <w:tcW w:w="0" w:type="auto"/>
            <w:vAlign w:val="center"/>
          </w:tcPr>
          <w:p w:rsidR="006C62A7" w:rsidRDefault="005422E0">
            <w:pPr>
              <w:jc w:val="right"/>
            </w:pPr>
            <w:r>
              <w:rPr>
                <w:color w:val="000000"/>
                <w:sz w:val="24"/>
              </w:rPr>
              <w:t>153,043,374.22</w:t>
            </w:r>
          </w:p>
        </w:tc>
        <w:tc>
          <w:tcPr>
            <w:tcW w:w="0" w:type="auto"/>
            <w:vAlign w:val="center"/>
          </w:tcPr>
          <w:p w:rsidR="006C62A7" w:rsidRDefault="005422E0">
            <w:pPr>
              <w:jc w:val="right"/>
            </w:pPr>
            <w:r>
              <w:rPr>
                <w:color w:val="000000"/>
                <w:sz w:val="24"/>
              </w:rPr>
              <w:t>7.72</w:t>
            </w:r>
          </w:p>
        </w:tc>
      </w:tr>
      <w:tr w:rsidR="006C62A7">
        <w:tc>
          <w:tcPr>
            <w:tcW w:w="0" w:type="auto"/>
            <w:vAlign w:val="center"/>
          </w:tcPr>
          <w:p w:rsidR="006C62A7" w:rsidRDefault="005422E0">
            <w:pPr>
              <w:jc w:val="center"/>
            </w:pPr>
            <w:r>
              <w:rPr>
                <w:color w:val="000000"/>
                <w:sz w:val="24"/>
              </w:rPr>
              <w:t>3</w:t>
            </w:r>
          </w:p>
        </w:tc>
        <w:tc>
          <w:tcPr>
            <w:tcW w:w="0" w:type="auto"/>
            <w:vAlign w:val="center"/>
          </w:tcPr>
          <w:p w:rsidR="006C62A7" w:rsidRDefault="005422E0">
            <w:pPr>
              <w:jc w:val="center"/>
              <w:rPr>
                <w:color w:val="000000"/>
                <w:sz w:val="24"/>
              </w:rPr>
            </w:pPr>
            <w:r>
              <w:rPr>
                <w:rFonts w:hint="eastAsia"/>
                <w:color w:val="000000"/>
                <w:sz w:val="24"/>
              </w:rPr>
              <w:t xml:space="preserve">Alibaba Group Holding Ltd </w:t>
            </w:r>
          </w:p>
        </w:tc>
        <w:tc>
          <w:tcPr>
            <w:tcW w:w="0" w:type="auto"/>
            <w:vAlign w:val="center"/>
          </w:tcPr>
          <w:p w:rsidR="006C62A7" w:rsidRDefault="005422E0">
            <w:pPr>
              <w:jc w:val="center"/>
              <w:rPr>
                <w:color w:val="000000"/>
                <w:sz w:val="24"/>
              </w:rPr>
            </w:pPr>
            <w:r>
              <w:rPr>
                <w:rFonts w:hint="eastAsia"/>
                <w:color w:val="000000"/>
                <w:sz w:val="24"/>
              </w:rPr>
              <w:t>阿里巴巴</w:t>
            </w:r>
            <w:r>
              <w:rPr>
                <w:rFonts w:hint="eastAsia"/>
                <w:color w:val="000000"/>
                <w:sz w:val="24"/>
              </w:rPr>
              <w:t xml:space="preserve"> </w:t>
            </w:r>
          </w:p>
        </w:tc>
        <w:tc>
          <w:tcPr>
            <w:tcW w:w="0" w:type="auto"/>
            <w:vAlign w:val="center"/>
          </w:tcPr>
          <w:p w:rsidR="006C62A7" w:rsidRDefault="005422E0">
            <w:pPr>
              <w:jc w:val="center"/>
            </w:pPr>
            <w:r>
              <w:rPr>
                <w:color w:val="000000"/>
                <w:sz w:val="24"/>
              </w:rPr>
              <w:t>BABA US</w:t>
            </w:r>
          </w:p>
        </w:tc>
        <w:tc>
          <w:tcPr>
            <w:tcW w:w="0" w:type="auto"/>
            <w:vAlign w:val="center"/>
          </w:tcPr>
          <w:p w:rsidR="006C62A7" w:rsidRDefault="005422E0">
            <w:pPr>
              <w:jc w:val="center"/>
            </w:pPr>
            <w:r>
              <w:rPr>
                <w:color w:val="000000"/>
                <w:sz w:val="24"/>
              </w:rPr>
              <w:t>美国证券交易所</w:t>
            </w:r>
          </w:p>
        </w:tc>
        <w:tc>
          <w:tcPr>
            <w:tcW w:w="0" w:type="auto"/>
            <w:vAlign w:val="center"/>
          </w:tcPr>
          <w:p w:rsidR="006C62A7" w:rsidRDefault="005422E0">
            <w:pPr>
              <w:jc w:val="center"/>
            </w:pPr>
            <w:r>
              <w:rPr>
                <w:color w:val="000000"/>
                <w:sz w:val="24"/>
              </w:rPr>
              <w:t>美国</w:t>
            </w:r>
          </w:p>
        </w:tc>
        <w:tc>
          <w:tcPr>
            <w:tcW w:w="0" w:type="auto"/>
            <w:vAlign w:val="center"/>
          </w:tcPr>
          <w:p w:rsidR="006C62A7" w:rsidRDefault="005422E0">
            <w:pPr>
              <w:jc w:val="right"/>
            </w:pPr>
            <w:r>
              <w:rPr>
                <w:color w:val="000000"/>
                <w:sz w:val="24"/>
              </w:rPr>
              <w:t>96,251</w:t>
            </w:r>
          </w:p>
        </w:tc>
        <w:tc>
          <w:tcPr>
            <w:tcW w:w="0" w:type="auto"/>
            <w:vAlign w:val="center"/>
          </w:tcPr>
          <w:p w:rsidR="006C62A7" w:rsidRDefault="005422E0">
            <w:pPr>
              <w:jc w:val="right"/>
            </w:pPr>
            <w:r>
              <w:rPr>
                <w:color w:val="000000"/>
                <w:sz w:val="24"/>
              </w:rPr>
              <w:t>146,160,991.33</w:t>
            </w:r>
          </w:p>
        </w:tc>
        <w:tc>
          <w:tcPr>
            <w:tcW w:w="0" w:type="auto"/>
            <w:vAlign w:val="center"/>
          </w:tcPr>
          <w:p w:rsidR="006C62A7" w:rsidRDefault="005422E0">
            <w:pPr>
              <w:jc w:val="right"/>
            </w:pPr>
            <w:r>
              <w:rPr>
                <w:color w:val="000000"/>
                <w:sz w:val="24"/>
              </w:rPr>
              <w:t>7.38</w:t>
            </w:r>
          </w:p>
        </w:tc>
      </w:tr>
      <w:tr w:rsidR="006C62A7">
        <w:tc>
          <w:tcPr>
            <w:tcW w:w="0" w:type="auto"/>
            <w:vAlign w:val="center"/>
          </w:tcPr>
          <w:p w:rsidR="006C62A7" w:rsidRDefault="005422E0">
            <w:pPr>
              <w:jc w:val="center"/>
            </w:pPr>
            <w:r>
              <w:rPr>
                <w:color w:val="000000"/>
                <w:sz w:val="24"/>
              </w:rPr>
              <w:t>4</w:t>
            </w:r>
          </w:p>
        </w:tc>
        <w:tc>
          <w:tcPr>
            <w:tcW w:w="0" w:type="auto"/>
            <w:vAlign w:val="center"/>
          </w:tcPr>
          <w:p w:rsidR="006C62A7" w:rsidRDefault="005422E0">
            <w:pPr>
              <w:jc w:val="center"/>
              <w:rPr>
                <w:color w:val="000000"/>
                <w:sz w:val="24"/>
              </w:rPr>
            </w:pPr>
            <w:r>
              <w:rPr>
                <w:rFonts w:hint="eastAsia"/>
                <w:color w:val="000000"/>
                <w:sz w:val="24"/>
              </w:rPr>
              <w:t xml:space="preserve">Meituan Dianping </w:t>
            </w:r>
          </w:p>
        </w:tc>
        <w:tc>
          <w:tcPr>
            <w:tcW w:w="0" w:type="auto"/>
            <w:vAlign w:val="center"/>
          </w:tcPr>
          <w:p w:rsidR="006C62A7" w:rsidRDefault="005422E0">
            <w:pPr>
              <w:jc w:val="center"/>
              <w:rPr>
                <w:color w:val="000000"/>
                <w:sz w:val="24"/>
              </w:rPr>
            </w:pPr>
            <w:r>
              <w:rPr>
                <w:rFonts w:hint="eastAsia"/>
                <w:color w:val="000000"/>
                <w:sz w:val="24"/>
              </w:rPr>
              <w:t>美团点评</w:t>
            </w:r>
            <w:r>
              <w:rPr>
                <w:rFonts w:hint="eastAsia"/>
                <w:color w:val="000000"/>
                <w:sz w:val="24"/>
              </w:rPr>
              <w:t xml:space="preserve"> </w:t>
            </w:r>
          </w:p>
        </w:tc>
        <w:tc>
          <w:tcPr>
            <w:tcW w:w="0" w:type="auto"/>
            <w:vAlign w:val="center"/>
          </w:tcPr>
          <w:p w:rsidR="006C62A7" w:rsidRDefault="005422E0">
            <w:pPr>
              <w:jc w:val="center"/>
            </w:pPr>
            <w:r>
              <w:rPr>
                <w:color w:val="000000"/>
                <w:sz w:val="24"/>
              </w:rPr>
              <w:t>3690 HK</w:t>
            </w:r>
          </w:p>
        </w:tc>
        <w:tc>
          <w:tcPr>
            <w:tcW w:w="0" w:type="auto"/>
            <w:vAlign w:val="center"/>
          </w:tcPr>
          <w:p w:rsidR="006C62A7" w:rsidRDefault="005422E0">
            <w:pPr>
              <w:jc w:val="center"/>
            </w:pPr>
            <w:r>
              <w:rPr>
                <w:color w:val="000000"/>
                <w:sz w:val="24"/>
              </w:rPr>
              <w:t>香港证券交易所</w:t>
            </w:r>
          </w:p>
        </w:tc>
        <w:tc>
          <w:tcPr>
            <w:tcW w:w="0" w:type="auto"/>
            <w:vAlign w:val="center"/>
          </w:tcPr>
          <w:p w:rsidR="006C62A7" w:rsidRDefault="005422E0">
            <w:pPr>
              <w:jc w:val="center"/>
            </w:pPr>
            <w:r>
              <w:rPr>
                <w:color w:val="000000"/>
                <w:sz w:val="24"/>
              </w:rPr>
              <w:t>香港</w:t>
            </w:r>
          </w:p>
        </w:tc>
        <w:tc>
          <w:tcPr>
            <w:tcW w:w="0" w:type="auto"/>
            <w:vAlign w:val="center"/>
          </w:tcPr>
          <w:p w:rsidR="006C62A7" w:rsidRDefault="005422E0">
            <w:pPr>
              <w:jc w:val="right"/>
            </w:pPr>
            <w:r>
              <w:rPr>
                <w:color w:val="000000"/>
                <w:sz w:val="24"/>
              </w:rPr>
              <w:t>565,300</w:t>
            </w:r>
          </w:p>
        </w:tc>
        <w:tc>
          <w:tcPr>
            <w:tcW w:w="0" w:type="auto"/>
            <w:vAlign w:val="center"/>
          </w:tcPr>
          <w:p w:rsidR="006C62A7" w:rsidRDefault="005422E0">
            <w:pPr>
              <w:jc w:val="right"/>
            </w:pPr>
            <w:r>
              <w:rPr>
                <w:color w:val="000000"/>
                <w:sz w:val="24"/>
              </w:rPr>
              <w:t>140,143,928.66</w:t>
            </w:r>
          </w:p>
        </w:tc>
        <w:tc>
          <w:tcPr>
            <w:tcW w:w="0" w:type="auto"/>
            <w:vAlign w:val="center"/>
          </w:tcPr>
          <w:p w:rsidR="006C62A7" w:rsidRDefault="005422E0">
            <w:pPr>
              <w:jc w:val="right"/>
            </w:pPr>
            <w:r>
              <w:rPr>
                <w:color w:val="000000"/>
                <w:sz w:val="24"/>
              </w:rPr>
              <w:t>7.07</w:t>
            </w:r>
          </w:p>
        </w:tc>
      </w:tr>
      <w:tr w:rsidR="006C62A7">
        <w:tc>
          <w:tcPr>
            <w:tcW w:w="0" w:type="auto"/>
            <w:vAlign w:val="center"/>
          </w:tcPr>
          <w:p w:rsidR="006C62A7" w:rsidRDefault="005422E0">
            <w:pPr>
              <w:jc w:val="center"/>
            </w:pPr>
            <w:r>
              <w:rPr>
                <w:color w:val="000000"/>
                <w:sz w:val="24"/>
              </w:rPr>
              <w:t>5</w:t>
            </w:r>
          </w:p>
        </w:tc>
        <w:tc>
          <w:tcPr>
            <w:tcW w:w="0" w:type="auto"/>
            <w:vAlign w:val="center"/>
          </w:tcPr>
          <w:p w:rsidR="006C62A7" w:rsidRDefault="005422E0">
            <w:pPr>
              <w:jc w:val="center"/>
              <w:rPr>
                <w:color w:val="000000"/>
                <w:sz w:val="24"/>
              </w:rPr>
            </w:pPr>
            <w:r>
              <w:rPr>
                <w:rFonts w:hint="eastAsia"/>
                <w:color w:val="000000"/>
                <w:sz w:val="24"/>
              </w:rPr>
              <w:t xml:space="preserve">JD.com Inc </w:t>
            </w:r>
          </w:p>
        </w:tc>
        <w:tc>
          <w:tcPr>
            <w:tcW w:w="0" w:type="auto"/>
            <w:vAlign w:val="center"/>
          </w:tcPr>
          <w:p w:rsidR="006C62A7" w:rsidRDefault="005422E0">
            <w:pPr>
              <w:jc w:val="center"/>
              <w:rPr>
                <w:color w:val="000000"/>
                <w:sz w:val="24"/>
              </w:rPr>
            </w:pPr>
            <w:r>
              <w:rPr>
                <w:rFonts w:hint="eastAsia"/>
                <w:color w:val="000000"/>
                <w:sz w:val="24"/>
              </w:rPr>
              <w:t>京东集团</w:t>
            </w:r>
            <w:r>
              <w:rPr>
                <w:rFonts w:hint="eastAsia"/>
                <w:color w:val="000000"/>
                <w:sz w:val="24"/>
              </w:rPr>
              <w:t xml:space="preserve"> </w:t>
            </w:r>
          </w:p>
        </w:tc>
        <w:tc>
          <w:tcPr>
            <w:tcW w:w="0" w:type="auto"/>
            <w:vAlign w:val="center"/>
          </w:tcPr>
          <w:p w:rsidR="006C62A7" w:rsidRDefault="005422E0">
            <w:pPr>
              <w:jc w:val="center"/>
            </w:pPr>
            <w:r>
              <w:rPr>
                <w:color w:val="000000"/>
                <w:sz w:val="24"/>
              </w:rPr>
              <w:t>JD US</w:t>
            </w:r>
          </w:p>
        </w:tc>
        <w:tc>
          <w:tcPr>
            <w:tcW w:w="0" w:type="auto"/>
            <w:vAlign w:val="center"/>
          </w:tcPr>
          <w:p w:rsidR="006C62A7" w:rsidRDefault="005422E0">
            <w:pPr>
              <w:jc w:val="center"/>
            </w:pPr>
            <w:r>
              <w:rPr>
                <w:color w:val="000000"/>
                <w:sz w:val="24"/>
              </w:rPr>
              <w:t>美国证券交易所</w:t>
            </w:r>
          </w:p>
        </w:tc>
        <w:tc>
          <w:tcPr>
            <w:tcW w:w="0" w:type="auto"/>
            <w:vAlign w:val="center"/>
          </w:tcPr>
          <w:p w:rsidR="006C62A7" w:rsidRDefault="005422E0">
            <w:pPr>
              <w:jc w:val="center"/>
            </w:pPr>
            <w:r>
              <w:rPr>
                <w:color w:val="000000"/>
                <w:sz w:val="24"/>
              </w:rPr>
              <w:t>美国</w:t>
            </w:r>
          </w:p>
        </w:tc>
        <w:tc>
          <w:tcPr>
            <w:tcW w:w="0" w:type="auto"/>
            <w:vAlign w:val="center"/>
          </w:tcPr>
          <w:p w:rsidR="006C62A7" w:rsidRDefault="005422E0">
            <w:pPr>
              <w:jc w:val="right"/>
            </w:pPr>
            <w:r>
              <w:rPr>
                <w:color w:val="000000"/>
                <w:sz w:val="24"/>
              </w:rPr>
              <w:t>205,142</w:t>
            </w:r>
          </w:p>
        </w:tc>
        <w:tc>
          <w:tcPr>
            <w:tcW w:w="0" w:type="auto"/>
            <w:vAlign w:val="center"/>
          </w:tcPr>
          <w:p w:rsidR="006C62A7" w:rsidRDefault="005422E0">
            <w:pPr>
              <w:jc w:val="right"/>
            </w:pPr>
            <w:r>
              <w:rPr>
                <w:color w:val="000000"/>
                <w:sz w:val="24"/>
              </w:rPr>
              <w:t>117,656,878.05</w:t>
            </w:r>
          </w:p>
        </w:tc>
        <w:tc>
          <w:tcPr>
            <w:tcW w:w="0" w:type="auto"/>
            <w:vAlign w:val="center"/>
          </w:tcPr>
          <w:p w:rsidR="006C62A7" w:rsidRDefault="005422E0">
            <w:pPr>
              <w:jc w:val="right"/>
            </w:pPr>
            <w:r>
              <w:rPr>
                <w:color w:val="000000"/>
                <w:sz w:val="24"/>
              </w:rPr>
              <w:t>5.94</w:t>
            </w:r>
          </w:p>
        </w:tc>
      </w:tr>
      <w:tr w:rsidR="006C62A7">
        <w:tc>
          <w:tcPr>
            <w:tcW w:w="0" w:type="auto"/>
            <w:vAlign w:val="center"/>
          </w:tcPr>
          <w:p w:rsidR="006C62A7" w:rsidRDefault="005422E0">
            <w:pPr>
              <w:jc w:val="center"/>
            </w:pPr>
            <w:r>
              <w:rPr>
                <w:color w:val="000000"/>
                <w:sz w:val="24"/>
              </w:rPr>
              <w:lastRenderedPageBreak/>
              <w:t>6</w:t>
            </w:r>
          </w:p>
        </w:tc>
        <w:tc>
          <w:tcPr>
            <w:tcW w:w="0" w:type="auto"/>
            <w:vAlign w:val="center"/>
          </w:tcPr>
          <w:p w:rsidR="006C62A7" w:rsidRDefault="005422E0">
            <w:pPr>
              <w:jc w:val="center"/>
              <w:rPr>
                <w:color w:val="000000"/>
                <w:sz w:val="24"/>
              </w:rPr>
            </w:pPr>
            <w:r>
              <w:rPr>
                <w:rFonts w:hint="eastAsia"/>
                <w:color w:val="000000"/>
                <w:sz w:val="24"/>
              </w:rPr>
              <w:t xml:space="preserve">Baidu Inc </w:t>
            </w:r>
          </w:p>
        </w:tc>
        <w:tc>
          <w:tcPr>
            <w:tcW w:w="0" w:type="auto"/>
            <w:vAlign w:val="center"/>
          </w:tcPr>
          <w:p w:rsidR="006C62A7" w:rsidRDefault="005422E0">
            <w:pPr>
              <w:jc w:val="center"/>
              <w:rPr>
                <w:color w:val="000000"/>
                <w:sz w:val="24"/>
              </w:rPr>
            </w:pPr>
            <w:r>
              <w:rPr>
                <w:rFonts w:hint="eastAsia"/>
                <w:color w:val="000000"/>
                <w:sz w:val="24"/>
              </w:rPr>
              <w:t>百度</w:t>
            </w:r>
            <w:r>
              <w:rPr>
                <w:rFonts w:hint="eastAsia"/>
                <w:color w:val="000000"/>
                <w:sz w:val="24"/>
              </w:rPr>
              <w:t xml:space="preserve"> </w:t>
            </w:r>
          </w:p>
        </w:tc>
        <w:tc>
          <w:tcPr>
            <w:tcW w:w="0" w:type="auto"/>
            <w:vAlign w:val="center"/>
          </w:tcPr>
          <w:p w:rsidR="006C62A7" w:rsidRDefault="005422E0">
            <w:pPr>
              <w:jc w:val="center"/>
            </w:pPr>
            <w:r>
              <w:rPr>
                <w:color w:val="000000"/>
                <w:sz w:val="24"/>
              </w:rPr>
              <w:t>BIDU US</w:t>
            </w:r>
          </w:p>
        </w:tc>
        <w:tc>
          <w:tcPr>
            <w:tcW w:w="0" w:type="auto"/>
            <w:vAlign w:val="center"/>
          </w:tcPr>
          <w:p w:rsidR="006C62A7" w:rsidRDefault="005422E0">
            <w:pPr>
              <w:jc w:val="center"/>
            </w:pPr>
            <w:r>
              <w:rPr>
                <w:color w:val="000000"/>
                <w:sz w:val="24"/>
              </w:rPr>
              <w:t>美国证券交易所</w:t>
            </w:r>
          </w:p>
        </w:tc>
        <w:tc>
          <w:tcPr>
            <w:tcW w:w="0" w:type="auto"/>
            <w:vAlign w:val="center"/>
          </w:tcPr>
          <w:p w:rsidR="006C62A7" w:rsidRDefault="005422E0">
            <w:pPr>
              <w:jc w:val="center"/>
            </w:pPr>
            <w:r>
              <w:rPr>
                <w:color w:val="000000"/>
                <w:sz w:val="24"/>
              </w:rPr>
              <w:t>美国</w:t>
            </w:r>
          </w:p>
        </w:tc>
        <w:tc>
          <w:tcPr>
            <w:tcW w:w="0" w:type="auto"/>
            <w:vAlign w:val="center"/>
          </w:tcPr>
          <w:p w:rsidR="006C62A7" w:rsidRDefault="005422E0">
            <w:pPr>
              <w:jc w:val="right"/>
            </w:pPr>
            <w:r>
              <w:rPr>
                <w:color w:val="000000"/>
                <w:sz w:val="24"/>
              </w:rPr>
              <w:t>59,728</w:t>
            </w:r>
          </w:p>
        </w:tc>
        <w:tc>
          <w:tcPr>
            <w:tcW w:w="0" w:type="auto"/>
            <w:vAlign w:val="center"/>
          </w:tcPr>
          <w:p w:rsidR="006C62A7" w:rsidRDefault="005422E0">
            <w:pPr>
              <w:jc w:val="right"/>
            </w:pPr>
            <w:r>
              <w:rPr>
                <w:color w:val="000000"/>
                <w:sz w:val="24"/>
              </w:rPr>
              <w:t>84,272,885.69</w:t>
            </w:r>
          </w:p>
        </w:tc>
        <w:tc>
          <w:tcPr>
            <w:tcW w:w="0" w:type="auto"/>
            <w:vAlign w:val="center"/>
          </w:tcPr>
          <w:p w:rsidR="006C62A7" w:rsidRDefault="005422E0">
            <w:pPr>
              <w:jc w:val="right"/>
            </w:pPr>
            <w:r>
              <w:rPr>
                <w:color w:val="000000"/>
                <w:sz w:val="24"/>
              </w:rPr>
              <w:t>4.25</w:t>
            </w:r>
          </w:p>
        </w:tc>
      </w:tr>
      <w:tr w:rsidR="006C62A7">
        <w:tc>
          <w:tcPr>
            <w:tcW w:w="0" w:type="auto"/>
            <w:vAlign w:val="center"/>
          </w:tcPr>
          <w:p w:rsidR="006C62A7" w:rsidRDefault="005422E0">
            <w:pPr>
              <w:jc w:val="center"/>
            </w:pPr>
            <w:r>
              <w:rPr>
                <w:color w:val="000000"/>
                <w:sz w:val="24"/>
              </w:rPr>
              <w:t>7</w:t>
            </w:r>
          </w:p>
        </w:tc>
        <w:tc>
          <w:tcPr>
            <w:tcW w:w="0" w:type="auto"/>
            <w:vAlign w:val="center"/>
          </w:tcPr>
          <w:p w:rsidR="006C62A7" w:rsidRDefault="005422E0">
            <w:pPr>
              <w:jc w:val="center"/>
              <w:rPr>
                <w:color w:val="000000"/>
                <w:sz w:val="24"/>
              </w:rPr>
            </w:pPr>
            <w:r>
              <w:rPr>
                <w:rFonts w:hint="eastAsia"/>
                <w:color w:val="000000"/>
                <w:sz w:val="24"/>
              </w:rPr>
              <w:t xml:space="preserve">NetEase Inc </w:t>
            </w:r>
          </w:p>
        </w:tc>
        <w:tc>
          <w:tcPr>
            <w:tcW w:w="0" w:type="auto"/>
            <w:vAlign w:val="center"/>
          </w:tcPr>
          <w:p w:rsidR="006C62A7" w:rsidRDefault="005422E0">
            <w:pPr>
              <w:jc w:val="center"/>
              <w:rPr>
                <w:color w:val="000000"/>
                <w:sz w:val="24"/>
              </w:rPr>
            </w:pPr>
            <w:r>
              <w:rPr>
                <w:rFonts w:hint="eastAsia"/>
                <w:color w:val="000000"/>
                <w:sz w:val="24"/>
              </w:rPr>
              <w:t>网易</w:t>
            </w:r>
            <w:r>
              <w:rPr>
                <w:rFonts w:hint="eastAsia"/>
                <w:color w:val="000000"/>
                <w:sz w:val="24"/>
              </w:rPr>
              <w:t xml:space="preserve"> </w:t>
            </w:r>
          </w:p>
        </w:tc>
        <w:tc>
          <w:tcPr>
            <w:tcW w:w="0" w:type="auto"/>
            <w:vAlign w:val="center"/>
          </w:tcPr>
          <w:p w:rsidR="006C62A7" w:rsidRDefault="005422E0">
            <w:pPr>
              <w:jc w:val="center"/>
            </w:pPr>
            <w:r>
              <w:rPr>
                <w:color w:val="000000"/>
                <w:sz w:val="24"/>
              </w:rPr>
              <w:t>NTES US</w:t>
            </w:r>
          </w:p>
        </w:tc>
        <w:tc>
          <w:tcPr>
            <w:tcW w:w="0" w:type="auto"/>
            <w:vAlign w:val="center"/>
          </w:tcPr>
          <w:p w:rsidR="006C62A7" w:rsidRDefault="005422E0">
            <w:pPr>
              <w:jc w:val="center"/>
            </w:pPr>
            <w:r>
              <w:rPr>
                <w:color w:val="000000"/>
                <w:sz w:val="24"/>
              </w:rPr>
              <w:t>美国证券交易所</w:t>
            </w:r>
          </w:p>
        </w:tc>
        <w:tc>
          <w:tcPr>
            <w:tcW w:w="0" w:type="auto"/>
            <w:vAlign w:val="center"/>
          </w:tcPr>
          <w:p w:rsidR="006C62A7" w:rsidRDefault="005422E0">
            <w:pPr>
              <w:jc w:val="center"/>
            </w:pPr>
            <w:r>
              <w:rPr>
                <w:color w:val="000000"/>
                <w:sz w:val="24"/>
              </w:rPr>
              <w:t>美国</w:t>
            </w:r>
          </w:p>
        </w:tc>
        <w:tc>
          <w:tcPr>
            <w:tcW w:w="0" w:type="auto"/>
            <w:vAlign w:val="center"/>
          </w:tcPr>
          <w:p w:rsidR="006C62A7" w:rsidRDefault="005422E0">
            <w:pPr>
              <w:jc w:val="right"/>
            </w:pPr>
            <w:r>
              <w:rPr>
                <w:color w:val="000000"/>
                <w:sz w:val="24"/>
              </w:rPr>
              <w:t>124,474</w:t>
            </w:r>
          </w:p>
        </w:tc>
        <w:tc>
          <w:tcPr>
            <w:tcW w:w="0" w:type="auto"/>
            <w:vAlign w:val="center"/>
          </w:tcPr>
          <w:p w:rsidR="006C62A7" w:rsidRDefault="005422E0">
            <w:pPr>
              <w:jc w:val="right"/>
            </w:pPr>
            <w:r>
              <w:rPr>
                <w:color w:val="000000"/>
                <w:sz w:val="24"/>
              </w:rPr>
              <w:t>77,782,517.16</w:t>
            </w:r>
          </w:p>
        </w:tc>
        <w:tc>
          <w:tcPr>
            <w:tcW w:w="0" w:type="auto"/>
            <w:vAlign w:val="center"/>
          </w:tcPr>
          <w:p w:rsidR="006C62A7" w:rsidRDefault="005422E0">
            <w:pPr>
              <w:jc w:val="right"/>
            </w:pPr>
            <w:r>
              <w:rPr>
                <w:color w:val="000000"/>
                <w:sz w:val="24"/>
              </w:rPr>
              <w:t>3.93</w:t>
            </w:r>
          </w:p>
        </w:tc>
      </w:tr>
      <w:tr w:rsidR="006C62A7">
        <w:tc>
          <w:tcPr>
            <w:tcW w:w="0" w:type="auto"/>
            <w:vAlign w:val="center"/>
          </w:tcPr>
          <w:p w:rsidR="006C62A7" w:rsidRDefault="005422E0">
            <w:pPr>
              <w:jc w:val="center"/>
            </w:pPr>
            <w:r>
              <w:rPr>
                <w:color w:val="000000"/>
                <w:sz w:val="24"/>
              </w:rPr>
              <w:t>8</w:t>
            </w:r>
          </w:p>
        </w:tc>
        <w:tc>
          <w:tcPr>
            <w:tcW w:w="0" w:type="auto"/>
            <w:vAlign w:val="center"/>
          </w:tcPr>
          <w:p w:rsidR="006C62A7" w:rsidRDefault="005422E0">
            <w:pPr>
              <w:jc w:val="center"/>
              <w:rPr>
                <w:color w:val="000000"/>
                <w:sz w:val="24"/>
              </w:rPr>
            </w:pPr>
            <w:r>
              <w:rPr>
                <w:rFonts w:hint="eastAsia"/>
                <w:color w:val="000000"/>
                <w:sz w:val="24"/>
              </w:rPr>
              <w:t xml:space="preserve">Bilibili Inc </w:t>
            </w:r>
          </w:p>
        </w:tc>
        <w:tc>
          <w:tcPr>
            <w:tcW w:w="0" w:type="auto"/>
            <w:vAlign w:val="center"/>
          </w:tcPr>
          <w:p w:rsidR="006C62A7" w:rsidRDefault="005422E0">
            <w:pPr>
              <w:jc w:val="center"/>
              <w:rPr>
                <w:color w:val="000000"/>
                <w:sz w:val="24"/>
              </w:rPr>
            </w:pPr>
            <w:r>
              <w:rPr>
                <w:rFonts w:hint="eastAsia"/>
                <w:color w:val="000000"/>
                <w:sz w:val="24"/>
              </w:rPr>
              <w:t>哔哩哔哩</w:t>
            </w:r>
            <w:r>
              <w:rPr>
                <w:rFonts w:hint="eastAsia"/>
                <w:color w:val="000000"/>
                <w:sz w:val="24"/>
              </w:rPr>
              <w:t xml:space="preserve"> </w:t>
            </w:r>
          </w:p>
        </w:tc>
        <w:tc>
          <w:tcPr>
            <w:tcW w:w="0" w:type="auto"/>
            <w:vAlign w:val="center"/>
          </w:tcPr>
          <w:p w:rsidR="006C62A7" w:rsidRDefault="005422E0">
            <w:pPr>
              <w:jc w:val="center"/>
            </w:pPr>
            <w:r>
              <w:rPr>
                <w:color w:val="000000"/>
                <w:sz w:val="24"/>
              </w:rPr>
              <w:t>BILI US</w:t>
            </w:r>
          </w:p>
        </w:tc>
        <w:tc>
          <w:tcPr>
            <w:tcW w:w="0" w:type="auto"/>
            <w:vAlign w:val="center"/>
          </w:tcPr>
          <w:p w:rsidR="006C62A7" w:rsidRDefault="005422E0">
            <w:pPr>
              <w:jc w:val="center"/>
            </w:pPr>
            <w:r>
              <w:rPr>
                <w:color w:val="000000"/>
                <w:sz w:val="24"/>
              </w:rPr>
              <w:t>美国证券交易所</w:t>
            </w:r>
          </w:p>
        </w:tc>
        <w:tc>
          <w:tcPr>
            <w:tcW w:w="0" w:type="auto"/>
            <w:vAlign w:val="center"/>
          </w:tcPr>
          <w:p w:rsidR="006C62A7" w:rsidRDefault="005422E0">
            <w:pPr>
              <w:jc w:val="center"/>
            </w:pPr>
            <w:r>
              <w:rPr>
                <w:color w:val="000000"/>
                <w:sz w:val="24"/>
              </w:rPr>
              <w:t>美国</w:t>
            </w:r>
          </w:p>
        </w:tc>
        <w:tc>
          <w:tcPr>
            <w:tcW w:w="0" w:type="auto"/>
            <w:vAlign w:val="center"/>
          </w:tcPr>
          <w:p w:rsidR="006C62A7" w:rsidRDefault="005422E0">
            <w:pPr>
              <w:jc w:val="right"/>
            </w:pPr>
            <w:r>
              <w:rPr>
                <w:color w:val="000000"/>
                <w:sz w:val="24"/>
              </w:rPr>
              <w:t>138,162</w:t>
            </w:r>
          </w:p>
        </w:tc>
        <w:tc>
          <w:tcPr>
            <w:tcW w:w="0" w:type="auto"/>
            <w:vAlign w:val="center"/>
          </w:tcPr>
          <w:p w:rsidR="006C62A7" w:rsidRDefault="005422E0">
            <w:pPr>
              <w:jc w:val="right"/>
            </w:pPr>
            <w:r>
              <w:rPr>
                <w:color w:val="000000"/>
                <w:sz w:val="24"/>
              </w:rPr>
              <w:t>77,276,000.00</w:t>
            </w:r>
          </w:p>
        </w:tc>
        <w:tc>
          <w:tcPr>
            <w:tcW w:w="0" w:type="auto"/>
            <w:vAlign w:val="center"/>
          </w:tcPr>
          <w:p w:rsidR="006C62A7" w:rsidRDefault="005422E0">
            <w:pPr>
              <w:jc w:val="right"/>
            </w:pPr>
            <w:r>
              <w:rPr>
                <w:color w:val="000000"/>
                <w:sz w:val="24"/>
              </w:rPr>
              <w:t>3.90</w:t>
            </w:r>
          </w:p>
        </w:tc>
      </w:tr>
      <w:tr w:rsidR="006C62A7">
        <w:tc>
          <w:tcPr>
            <w:tcW w:w="0" w:type="auto"/>
            <w:vAlign w:val="center"/>
          </w:tcPr>
          <w:p w:rsidR="006C62A7" w:rsidRDefault="005422E0">
            <w:pPr>
              <w:jc w:val="center"/>
            </w:pPr>
            <w:r>
              <w:rPr>
                <w:color w:val="000000"/>
                <w:sz w:val="24"/>
              </w:rPr>
              <w:t>9</w:t>
            </w:r>
          </w:p>
        </w:tc>
        <w:tc>
          <w:tcPr>
            <w:tcW w:w="0" w:type="auto"/>
            <w:vAlign w:val="center"/>
          </w:tcPr>
          <w:p w:rsidR="006C62A7" w:rsidRDefault="005422E0">
            <w:pPr>
              <w:jc w:val="center"/>
              <w:rPr>
                <w:color w:val="000000"/>
                <w:sz w:val="24"/>
              </w:rPr>
            </w:pPr>
            <w:r>
              <w:rPr>
                <w:rFonts w:hint="eastAsia"/>
                <w:color w:val="000000"/>
                <w:sz w:val="24"/>
              </w:rPr>
              <w:t xml:space="preserve">TAL Education Group </w:t>
            </w:r>
          </w:p>
        </w:tc>
        <w:tc>
          <w:tcPr>
            <w:tcW w:w="0" w:type="auto"/>
            <w:vAlign w:val="center"/>
          </w:tcPr>
          <w:p w:rsidR="006C62A7" w:rsidRDefault="005422E0">
            <w:pPr>
              <w:jc w:val="center"/>
              <w:rPr>
                <w:color w:val="000000"/>
                <w:sz w:val="24"/>
              </w:rPr>
            </w:pPr>
            <w:r>
              <w:rPr>
                <w:rFonts w:hint="eastAsia"/>
                <w:color w:val="000000"/>
                <w:sz w:val="24"/>
              </w:rPr>
              <w:t>好未来教育集团</w:t>
            </w:r>
            <w:r>
              <w:rPr>
                <w:rFonts w:hint="eastAsia"/>
                <w:color w:val="000000"/>
                <w:sz w:val="24"/>
              </w:rPr>
              <w:t xml:space="preserve"> </w:t>
            </w:r>
          </w:p>
        </w:tc>
        <w:tc>
          <w:tcPr>
            <w:tcW w:w="0" w:type="auto"/>
            <w:vAlign w:val="center"/>
          </w:tcPr>
          <w:p w:rsidR="006C62A7" w:rsidRDefault="005422E0">
            <w:pPr>
              <w:jc w:val="center"/>
            </w:pPr>
            <w:r>
              <w:rPr>
                <w:color w:val="000000"/>
                <w:sz w:val="24"/>
              </w:rPr>
              <w:t>TAL US</w:t>
            </w:r>
          </w:p>
        </w:tc>
        <w:tc>
          <w:tcPr>
            <w:tcW w:w="0" w:type="auto"/>
            <w:vAlign w:val="center"/>
          </w:tcPr>
          <w:p w:rsidR="006C62A7" w:rsidRDefault="005422E0">
            <w:pPr>
              <w:jc w:val="center"/>
            </w:pPr>
            <w:r>
              <w:rPr>
                <w:color w:val="000000"/>
                <w:sz w:val="24"/>
              </w:rPr>
              <w:t>美国证券交易所</w:t>
            </w:r>
          </w:p>
        </w:tc>
        <w:tc>
          <w:tcPr>
            <w:tcW w:w="0" w:type="auto"/>
            <w:vAlign w:val="center"/>
          </w:tcPr>
          <w:p w:rsidR="006C62A7" w:rsidRDefault="005422E0">
            <w:pPr>
              <w:jc w:val="center"/>
            </w:pPr>
            <w:r>
              <w:rPr>
                <w:color w:val="000000"/>
                <w:sz w:val="24"/>
              </w:rPr>
              <w:t>美国</w:t>
            </w:r>
          </w:p>
        </w:tc>
        <w:tc>
          <w:tcPr>
            <w:tcW w:w="0" w:type="auto"/>
            <w:vAlign w:val="center"/>
          </w:tcPr>
          <w:p w:rsidR="006C62A7" w:rsidRDefault="005422E0">
            <w:pPr>
              <w:jc w:val="right"/>
            </w:pPr>
            <w:r>
              <w:rPr>
                <w:color w:val="000000"/>
                <w:sz w:val="24"/>
              </w:rPr>
              <w:t>163,312</w:t>
            </w:r>
          </w:p>
        </w:tc>
        <w:tc>
          <w:tcPr>
            <w:tcW w:w="0" w:type="auto"/>
            <w:vAlign w:val="center"/>
          </w:tcPr>
          <w:p w:rsidR="006C62A7" w:rsidRDefault="005422E0">
            <w:pPr>
              <w:jc w:val="right"/>
            </w:pPr>
            <w:r>
              <w:rPr>
                <w:color w:val="000000"/>
                <w:sz w:val="24"/>
              </w:rPr>
              <w:t>76,200,660.46</w:t>
            </w:r>
          </w:p>
        </w:tc>
        <w:tc>
          <w:tcPr>
            <w:tcW w:w="0" w:type="auto"/>
            <w:vAlign w:val="center"/>
          </w:tcPr>
          <w:p w:rsidR="006C62A7" w:rsidRDefault="005422E0">
            <w:pPr>
              <w:jc w:val="right"/>
            </w:pPr>
            <w:r>
              <w:rPr>
                <w:color w:val="000000"/>
                <w:sz w:val="24"/>
              </w:rPr>
              <w:t>3.85</w:t>
            </w:r>
          </w:p>
        </w:tc>
      </w:tr>
      <w:tr w:rsidR="006C62A7">
        <w:tc>
          <w:tcPr>
            <w:tcW w:w="0" w:type="auto"/>
            <w:vAlign w:val="center"/>
          </w:tcPr>
          <w:p w:rsidR="006C62A7" w:rsidRDefault="005422E0">
            <w:pPr>
              <w:jc w:val="center"/>
            </w:pPr>
            <w:r>
              <w:rPr>
                <w:color w:val="000000"/>
                <w:sz w:val="24"/>
              </w:rPr>
              <w:t>10</w:t>
            </w:r>
          </w:p>
        </w:tc>
        <w:tc>
          <w:tcPr>
            <w:tcW w:w="0" w:type="auto"/>
            <w:vAlign w:val="center"/>
          </w:tcPr>
          <w:p w:rsidR="006C62A7" w:rsidRDefault="005422E0">
            <w:pPr>
              <w:jc w:val="center"/>
              <w:rPr>
                <w:color w:val="000000"/>
                <w:sz w:val="24"/>
              </w:rPr>
            </w:pPr>
            <w:r>
              <w:rPr>
                <w:rFonts w:hint="eastAsia"/>
                <w:color w:val="000000"/>
                <w:sz w:val="24"/>
              </w:rPr>
              <w:t xml:space="preserve">KE Holdings Inc </w:t>
            </w:r>
          </w:p>
        </w:tc>
        <w:tc>
          <w:tcPr>
            <w:tcW w:w="0" w:type="auto"/>
            <w:vAlign w:val="center"/>
          </w:tcPr>
          <w:p w:rsidR="006C62A7" w:rsidRDefault="005422E0">
            <w:pPr>
              <w:jc w:val="center"/>
              <w:rPr>
                <w:color w:val="000000"/>
                <w:sz w:val="24"/>
              </w:rPr>
            </w:pPr>
            <w:r>
              <w:rPr>
                <w:rFonts w:hint="eastAsia"/>
                <w:color w:val="000000"/>
                <w:sz w:val="24"/>
              </w:rPr>
              <w:t>贝壳集团</w:t>
            </w:r>
            <w:r>
              <w:rPr>
                <w:rFonts w:hint="eastAsia"/>
                <w:color w:val="000000"/>
                <w:sz w:val="24"/>
              </w:rPr>
              <w:t xml:space="preserve"> </w:t>
            </w:r>
          </w:p>
        </w:tc>
        <w:tc>
          <w:tcPr>
            <w:tcW w:w="0" w:type="auto"/>
            <w:vAlign w:val="center"/>
          </w:tcPr>
          <w:p w:rsidR="006C62A7" w:rsidRDefault="005422E0">
            <w:pPr>
              <w:jc w:val="center"/>
            </w:pPr>
            <w:r>
              <w:rPr>
                <w:color w:val="000000"/>
                <w:sz w:val="24"/>
              </w:rPr>
              <w:t>BEKE US</w:t>
            </w:r>
          </w:p>
        </w:tc>
        <w:tc>
          <w:tcPr>
            <w:tcW w:w="0" w:type="auto"/>
            <w:vAlign w:val="center"/>
          </w:tcPr>
          <w:p w:rsidR="006C62A7" w:rsidRDefault="005422E0">
            <w:pPr>
              <w:jc w:val="center"/>
            </w:pPr>
            <w:r>
              <w:rPr>
                <w:color w:val="000000"/>
                <w:sz w:val="24"/>
              </w:rPr>
              <w:t>美国证券交易所</w:t>
            </w:r>
          </w:p>
        </w:tc>
        <w:tc>
          <w:tcPr>
            <w:tcW w:w="0" w:type="auto"/>
            <w:vAlign w:val="center"/>
          </w:tcPr>
          <w:p w:rsidR="006C62A7" w:rsidRDefault="005422E0">
            <w:pPr>
              <w:jc w:val="center"/>
            </w:pPr>
            <w:r>
              <w:rPr>
                <w:color w:val="000000"/>
                <w:sz w:val="24"/>
              </w:rPr>
              <w:t>美国</w:t>
            </w:r>
          </w:p>
        </w:tc>
        <w:tc>
          <w:tcPr>
            <w:tcW w:w="0" w:type="auto"/>
            <w:vAlign w:val="center"/>
          </w:tcPr>
          <w:p w:rsidR="006C62A7" w:rsidRDefault="005422E0">
            <w:pPr>
              <w:jc w:val="right"/>
            </w:pPr>
            <w:r>
              <w:rPr>
                <w:color w:val="000000"/>
                <w:sz w:val="24"/>
              </w:rPr>
              <w:t>179,945</w:t>
            </w:r>
          </w:p>
        </w:tc>
        <w:tc>
          <w:tcPr>
            <w:tcW w:w="0" w:type="auto"/>
            <w:vAlign w:val="center"/>
          </w:tcPr>
          <w:p w:rsidR="006C62A7" w:rsidRDefault="005422E0">
            <w:pPr>
              <w:jc w:val="right"/>
            </w:pPr>
            <w:r>
              <w:rPr>
                <w:color w:val="000000"/>
                <w:sz w:val="24"/>
              </w:rPr>
              <w:t>72,255,537.45</w:t>
            </w:r>
          </w:p>
        </w:tc>
        <w:tc>
          <w:tcPr>
            <w:tcW w:w="0" w:type="auto"/>
            <w:vAlign w:val="center"/>
          </w:tcPr>
          <w:p w:rsidR="006C62A7" w:rsidRDefault="005422E0">
            <w:pPr>
              <w:jc w:val="right"/>
            </w:pPr>
            <w:r>
              <w:rPr>
                <w:color w:val="000000"/>
                <w:sz w:val="24"/>
              </w:rPr>
              <w:t>3.65</w:t>
            </w:r>
          </w:p>
        </w:tc>
      </w:tr>
    </w:tbl>
    <w:p w:rsidR="006C62A7" w:rsidRDefault="006C62A7">
      <w:pPr>
        <w:autoSpaceDE w:val="0"/>
        <w:autoSpaceDN w:val="0"/>
        <w:adjustRightInd w:val="0"/>
        <w:spacing w:before="29" w:line="288" w:lineRule="auto"/>
        <w:ind w:left="15"/>
        <w:jc w:val="left"/>
        <w:rPr>
          <w:color w:val="000000"/>
          <w:sz w:val="24"/>
        </w:rPr>
      </w:pPr>
    </w:p>
    <w:p w:rsidR="006C62A7" w:rsidRDefault="005422E0">
      <w:pPr>
        <w:autoSpaceDE w:val="0"/>
        <w:autoSpaceDN w:val="0"/>
        <w:adjustRightInd w:val="0"/>
        <w:spacing w:before="29" w:line="288" w:lineRule="auto"/>
        <w:jc w:val="left"/>
        <w:rPr>
          <w:b/>
          <w:color w:val="000000"/>
          <w:kern w:val="0"/>
          <w:sz w:val="24"/>
        </w:rPr>
      </w:pPr>
      <w:r>
        <w:rPr>
          <w:rFonts w:hint="eastAsia"/>
          <w:b/>
          <w:color w:val="000000"/>
          <w:kern w:val="0"/>
          <w:sz w:val="24"/>
        </w:rPr>
        <w:t>5.4.2</w:t>
      </w:r>
      <w:r>
        <w:rPr>
          <w:rFonts w:hint="eastAsia"/>
          <w:b/>
          <w:color w:val="000000"/>
          <w:kern w:val="0"/>
          <w:sz w:val="24"/>
        </w:rPr>
        <w:t>报告期末积极投资按公允价值占基金资产净值比例大小排序的前五名股票及存托凭证投资明细</w:t>
      </w:r>
    </w:p>
    <w:p w:rsidR="006C62A7" w:rsidRDefault="005422E0">
      <w:pPr>
        <w:autoSpaceDE w:val="0"/>
        <w:autoSpaceDN w:val="0"/>
        <w:adjustRightInd w:val="0"/>
        <w:spacing w:before="29" w:line="288" w:lineRule="auto"/>
        <w:jc w:val="left"/>
        <w:rPr>
          <w:color w:val="000000"/>
          <w:sz w:val="24"/>
        </w:rPr>
      </w:pPr>
      <w:r>
        <w:rPr>
          <w:rFonts w:hint="eastAsia"/>
          <w:color w:val="000000"/>
          <w:sz w:val="24"/>
        </w:rPr>
        <w:t>本基金本报告期末未持有积极投资股票及存托凭证。</w:t>
      </w:r>
    </w:p>
    <w:p w:rsidR="006C62A7" w:rsidRDefault="006C62A7">
      <w:pPr>
        <w:autoSpaceDE w:val="0"/>
        <w:autoSpaceDN w:val="0"/>
        <w:adjustRightInd w:val="0"/>
        <w:spacing w:before="29" w:line="288" w:lineRule="auto"/>
        <w:ind w:left="15"/>
        <w:jc w:val="left"/>
        <w:rPr>
          <w:color w:val="00000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5.5</w:t>
      </w:r>
      <w:r>
        <w:rPr>
          <w:b/>
          <w:color w:val="000000"/>
          <w:kern w:val="0"/>
          <w:sz w:val="24"/>
        </w:rPr>
        <w:t xml:space="preserve"> </w:t>
      </w:r>
      <w:r>
        <w:rPr>
          <w:b/>
          <w:color w:val="000000"/>
          <w:kern w:val="0"/>
          <w:sz w:val="24"/>
        </w:rPr>
        <w:t>报告期末按债券信用等级分类的债券投资组合</w:t>
      </w:r>
    </w:p>
    <w:p w:rsidR="006C62A7" w:rsidRDefault="005422E0">
      <w:pPr>
        <w:autoSpaceDE w:val="0"/>
        <w:autoSpaceDN w:val="0"/>
        <w:adjustRightInd w:val="0"/>
        <w:spacing w:before="29" w:line="288" w:lineRule="auto"/>
        <w:jc w:val="left"/>
        <w:rPr>
          <w:color w:val="000000"/>
          <w:sz w:val="24"/>
        </w:rPr>
      </w:pPr>
      <w:r>
        <w:rPr>
          <w:color w:val="000000"/>
          <w:sz w:val="24"/>
        </w:rPr>
        <w:t>本基金本报告期末未持有债券。</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5.6</w:t>
      </w:r>
      <w:r>
        <w:rPr>
          <w:b/>
          <w:color w:val="000000"/>
          <w:kern w:val="0"/>
          <w:sz w:val="24"/>
        </w:rPr>
        <w:t>报告期末按公允价值占基金资产净值比例大小排序的前五名债券投资明细</w:t>
      </w:r>
    </w:p>
    <w:p w:rsidR="006C62A7" w:rsidRDefault="005422E0">
      <w:pPr>
        <w:autoSpaceDE w:val="0"/>
        <w:autoSpaceDN w:val="0"/>
        <w:adjustRightInd w:val="0"/>
        <w:spacing w:before="29" w:line="288" w:lineRule="auto"/>
        <w:jc w:val="left"/>
        <w:rPr>
          <w:color w:val="000000"/>
          <w:sz w:val="24"/>
        </w:rPr>
      </w:pPr>
      <w:r>
        <w:rPr>
          <w:color w:val="000000"/>
          <w:sz w:val="24"/>
        </w:rPr>
        <w:t>本基金本报告期末未持有债券。</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5.7</w:t>
      </w:r>
      <w:r>
        <w:rPr>
          <w:b/>
          <w:color w:val="000000"/>
          <w:kern w:val="0"/>
          <w:sz w:val="24"/>
        </w:rPr>
        <w:t>报告期末按公允价值占基金资产净值比例大小排序的前十名资产支持证券投资明细</w:t>
      </w:r>
    </w:p>
    <w:p w:rsidR="006C62A7" w:rsidRDefault="005422E0">
      <w:pPr>
        <w:autoSpaceDE w:val="0"/>
        <w:autoSpaceDN w:val="0"/>
        <w:adjustRightInd w:val="0"/>
        <w:spacing w:before="29" w:line="288" w:lineRule="auto"/>
        <w:jc w:val="left"/>
        <w:rPr>
          <w:color w:val="000000"/>
          <w:sz w:val="24"/>
        </w:rPr>
      </w:pPr>
      <w:r>
        <w:rPr>
          <w:color w:val="000000"/>
          <w:sz w:val="24"/>
        </w:rPr>
        <w:t>本基金本报告期末未持有资产支持证券。</w:t>
      </w:r>
    </w:p>
    <w:p w:rsidR="006C62A7" w:rsidRDefault="006C62A7">
      <w:pPr>
        <w:autoSpaceDE w:val="0"/>
        <w:autoSpaceDN w:val="0"/>
        <w:adjustRightInd w:val="0"/>
        <w:spacing w:before="29" w:line="288" w:lineRule="auto"/>
        <w:ind w:left="15"/>
        <w:jc w:val="left"/>
        <w:rPr>
          <w:b/>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 xml:space="preserve">5.8 </w:t>
      </w:r>
      <w:r>
        <w:rPr>
          <w:b/>
          <w:color w:val="000000"/>
          <w:kern w:val="0"/>
          <w:sz w:val="24"/>
        </w:rPr>
        <w:t>报告期末按公允价值占基金资产净值比例大小排序的前五名金融衍生品投资明细</w:t>
      </w:r>
    </w:p>
    <w:p w:rsidR="006C62A7" w:rsidRDefault="005422E0">
      <w:pPr>
        <w:autoSpaceDE w:val="0"/>
        <w:autoSpaceDN w:val="0"/>
        <w:adjustRightInd w:val="0"/>
        <w:spacing w:before="29" w:line="288" w:lineRule="auto"/>
        <w:jc w:val="left"/>
        <w:rPr>
          <w:color w:val="000000"/>
          <w:sz w:val="24"/>
        </w:rPr>
      </w:pPr>
      <w:r>
        <w:rPr>
          <w:color w:val="000000"/>
          <w:sz w:val="24"/>
        </w:rPr>
        <w:t>本基金本报告期末未持有金融衍生品。</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5</w:t>
      </w:r>
      <w:r>
        <w:rPr>
          <w:rFonts w:hint="eastAsia"/>
          <w:b/>
          <w:color w:val="000000"/>
          <w:kern w:val="0"/>
          <w:sz w:val="24"/>
        </w:rPr>
        <w:t>.</w:t>
      </w:r>
      <w:r>
        <w:rPr>
          <w:b/>
          <w:color w:val="000000"/>
          <w:kern w:val="0"/>
          <w:sz w:val="24"/>
        </w:rPr>
        <w:t>9</w:t>
      </w:r>
      <w:r>
        <w:rPr>
          <w:b/>
          <w:color w:val="000000"/>
          <w:kern w:val="0"/>
          <w:sz w:val="24"/>
        </w:rPr>
        <w:t>报告期末按公允价值占基金资产净值比例大小排序的前十名基金投资明细</w:t>
      </w:r>
    </w:p>
    <w:p w:rsidR="006C62A7" w:rsidRDefault="005422E0">
      <w:pPr>
        <w:autoSpaceDE w:val="0"/>
        <w:autoSpaceDN w:val="0"/>
        <w:adjustRightInd w:val="0"/>
        <w:spacing w:before="29" w:line="288" w:lineRule="auto"/>
        <w:jc w:val="left"/>
        <w:rPr>
          <w:color w:val="000000"/>
          <w:sz w:val="24"/>
        </w:rPr>
      </w:pPr>
      <w:r>
        <w:rPr>
          <w:color w:val="000000"/>
          <w:sz w:val="24"/>
        </w:rPr>
        <w:t>本基金本报告期末未持有</w:t>
      </w:r>
      <w:r>
        <w:rPr>
          <w:color w:val="000000"/>
          <w:sz w:val="24"/>
        </w:rPr>
        <w:t>基金。</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5</w:t>
      </w:r>
      <w:r>
        <w:rPr>
          <w:rFonts w:hint="eastAsia"/>
          <w:b/>
          <w:color w:val="000000"/>
          <w:kern w:val="0"/>
          <w:sz w:val="24"/>
        </w:rPr>
        <w:t>.</w:t>
      </w:r>
      <w:r>
        <w:rPr>
          <w:b/>
          <w:color w:val="000000"/>
          <w:kern w:val="0"/>
          <w:sz w:val="24"/>
        </w:rPr>
        <w:t>10</w:t>
      </w:r>
      <w:r>
        <w:rPr>
          <w:b/>
          <w:color w:val="000000"/>
          <w:kern w:val="0"/>
          <w:sz w:val="24"/>
        </w:rPr>
        <w:t>投资组合报告附注</w:t>
      </w:r>
    </w:p>
    <w:p w:rsidR="006C62A7" w:rsidRDefault="005422E0">
      <w:pPr>
        <w:spacing w:before="29" w:line="288" w:lineRule="auto"/>
        <w:rPr>
          <w:color w:val="000000"/>
          <w:sz w:val="24"/>
        </w:rPr>
      </w:pPr>
      <w:r>
        <w:rPr>
          <w:b/>
          <w:color w:val="000000"/>
          <w:sz w:val="24"/>
        </w:rPr>
        <w:t>5.10.1</w:t>
      </w:r>
      <w:r>
        <w:rPr>
          <w:color w:val="000000"/>
          <w:sz w:val="24"/>
        </w:rPr>
        <w:t>报告期内本基金投资的前十名证券的发行主体除京东（证券代码：</w:t>
      </w:r>
      <w:r>
        <w:rPr>
          <w:color w:val="000000"/>
          <w:sz w:val="24"/>
        </w:rPr>
        <w:t>JD</w:t>
      </w:r>
      <w:r>
        <w:rPr>
          <w:color w:val="000000"/>
          <w:sz w:val="24"/>
        </w:rPr>
        <w:t>）及阿里巴巴（证券代码：</w:t>
      </w:r>
      <w:r>
        <w:rPr>
          <w:color w:val="000000"/>
          <w:sz w:val="24"/>
        </w:rPr>
        <w:t>BABA</w:t>
      </w:r>
      <w:r>
        <w:rPr>
          <w:color w:val="000000"/>
          <w:sz w:val="24"/>
        </w:rPr>
        <w:t>）外，未出现被监管部门立案调查，或在报告编制日前一年内受到公开谴责、处罚的情形。</w:t>
      </w:r>
    </w:p>
    <w:p w:rsidR="006C62A7" w:rsidRDefault="005422E0">
      <w:pPr>
        <w:spacing w:before="29" w:line="288" w:lineRule="auto"/>
        <w:rPr>
          <w:color w:val="000000"/>
          <w:sz w:val="24"/>
        </w:rPr>
      </w:pPr>
      <w:r>
        <w:rPr>
          <w:color w:val="000000"/>
          <w:sz w:val="24"/>
        </w:rPr>
        <w:t>报告期内本基金投资的前十名证券之一京东（证券代码：</w:t>
      </w:r>
      <w:r>
        <w:rPr>
          <w:color w:val="000000"/>
          <w:sz w:val="24"/>
        </w:rPr>
        <w:t>JD</w:t>
      </w:r>
      <w:r>
        <w:rPr>
          <w:color w:val="000000"/>
          <w:sz w:val="24"/>
        </w:rPr>
        <w:t>）于</w:t>
      </w:r>
      <w:r>
        <w:rPr>
          <w:color w:val="000000"/>
          <w:sz w:val="24"/>
        </w:rPr>
        <w:t>2020</w:t>
      </w:r>
      <w:r>
        <w:rPr>
          <w:color w:val="000000"/>
          <w:sz w:val="24"/>
        </w:rPr>
        <w:t>年</w:t>
      </w:r>
      <w:r>
        <w:rPr>
          <w:color w:val="000000"/>
          <w:sz w:val="24"/>
        </w:rPr>
        <w:t>5</w:t>
      </w:r>
      <w:r>
        <w:rPr>
          <w:color w:val="000000"/>
          <w:sz w:val="24"/>
        </w:rPr>
        <w:t>月</w:t>
      </w:r>
      <w:r>
        <w:rPr>
          <w:color w:val="000000"/>
          <w:sz w:val="24"/>
        </w:rPr>
        <w:t>27</w:t>
      </w:r>
      <w:r>
        <w:rPr>
          <w:color w:val="000000"/>
          <w:sz w:val="24"/>
        </w:rPr>
        <w:t>日披露，根据北京市市场监督管理局开出的京市监价处罚〔</w:t>
      </w:r>
      <w:r>
        <w:rPr>
          <w:color w:val="000000"/>
          <w:sz w:val="24"/>
        </w:rPr>
        <w:t>2020</w:t>
      </w:r>
      <w:r>
        <w:rPr>
          <w:color w:val="000000"/>
          <w:sz w:val="24"/>
        </w:rPr>
        <w:t>〕</w:t>
      </w:r>
      <w:r>
        <w:rPr>
          <w:color w:val="000000"/>
          <w:sz w:val="24"/>
        </w:rPr>
        <w:t>5</w:t>
      </w:r>
      <w:r>
        <w:rPr>
          <w:color w:val="000000"/>
          <w:sz w:val="24"/>
        </w:rPr>
        <w:t>号决定书，京东因为存在</w:t>
      </w:r>
      <w:r>
        <w:rPr>
          <w:color w:val="000000"/>
          <w:sz w:val="24"/>
        </w:rPr>
        <w:t>“</w:t>
      </w:r>
      <w:r>
        <w:rPr>
          <w:color w:val="000000"/>
          <w:sz w:val="24"/>
        </w:rPr>
        <w:t>利用虚假的或者使人误解的价格手段，诱骗消费者或者其他经营者与其进行交易</w:t>
      </w:r>
      <w:r>
        <w:rPr>
          <w:color w:val="000000"/>
          <w:sz w:val="24"/>
        </w:rPr>
        <w:t>”</w:t>
      </w:r>
      <w:r>
        <w:rPr>
          <w:color w:val="000000"/>
          <w:sz w:val="24"/>
        </w:rPr>
        <w:t>的价格违法行为，被警告以及作出</w:t>
      </w:r>
      <w:r>
        <w:rPr>
          <w:color w:val="000000"/>
          <w:sz w:val="24"/>
        </w:rPr>
        <w:t>50</w:t>
      </w:r>
      <w:r>
        <w:rPr>
          <w:color w:val="000000"/>
          <w:sz w:val="24"/>
        </w:rPr>
        <w:t>万元罚款的行政处罚。</w:t>
      </w:r>
    </w:p>
    <w:p w:rsidR="006C62A7" w:rsidRDefault="005422E0">
      <w:pPr>
        <w:spacing w:before="29" w:line="288" w:lineRule="auto"/>
        <w:rPr>
          <w:color w:val="000000"/>
          <w:sz w:val="24"/>
        </w:rPr>
      </w:pPr>
      <w:r>
        <w:rPr>
          <w:color w:val="000000"/>
          <w:sz w:val="24"/>
        </w:rPr>
        <w:t>报告期内本基金投资的前十名证券之一阿里巴巴（证券代码：</w:t>
      </w:r>
      <w:r>
        <w:rPr>
          <w:color w:val="000000"/>
          <w:sz w:val="24"/>
        </w:rPr>
        <w:t>BABA</w:t>
      </w:r>
      <w:r>
        <w:rPr>
          <w:color w:val="000000"/>
          <w:sz w:val="24"/>
        </w:rPr>
        <w:t>）因市场监管总局对旗下全资子公司阿里巴巴投资有限公司收购银泰商业（集团）有限公司股权未依法申报违法实施经营者集中案作出行政处罚决定，并于</w:t>
      </w:r>
      <w:r>
        <w:rPr>
          <w:color w:val="000000"/>
          <w:sz w:val="24"/>
        </w:rPr>
        <w:t>2020</w:t>
      </w:r>
      <w:r>
        <w:rPr>
          <w:color w:val="000000"/>
          <w:sz w:val="24"/>
        </w:rPr>
        <w:t>年</w:t>
      </w:r>
      <w:r>
        <w:rPr>
          <w:color w:val="000000"/>
          <w:sz w:val="24"/>
        </w:rPr>
        <w:t>12</w:t>
      </w:r>
      <w:r>
        <w:rPr>
          <w:color w:val="000000"/>
          <w:sz w:val="24"/>
        </w:rPr>
        <w:t>月</w:t>
      </w:r>
      <w:r>
        <w:rPr>
          <w:color w:val="000000"/>
          <w:sz w:val="24"/>
        </w:rPr>
        <w:t>14</w:t>
      </w:r>
      <w:r>
        <w:rPr>
          <w:color w:val="000000"/>
          <w:sz w:val="24"/>
        </w:rPr>
        <w:t>日</w:t>
      </w:r>
      <w:r>
        <w:rPr>
          <w:color w:val="000000"/>
          <w:sz w:val="24"/>
        </w:rPr>
        <w:t>依据《反垄断法》第</w:t>
      </w:r>
      <w:r>
        <w:rPr>
          <w:color w:val="000000"/>
          <w:sz w:val="24"/>
        </w:rPr>
        <w:t>48</w:t>
      </w:r>
      <w:r>
        <w:rPr>
          <w:color w:val="000000"/>
          <w:sz w:val="24"/>
        </w:rPr>
        <w:t>条、</w:t>
      </w:r>
      <w:r>
        <w:rPr>
          <w:color w:val="000000"/>
          <w:sz w:val="24"/>
        </w:rPr>
        <w:t>49</w:t>
      </w:r>
      <w:r>
        <w:rPr>
          <w:color w:val="000000"/>
          <w:sz w:val="24"/>
        </w:rPr>
        <w:t>条作出处罚决定，对阿里巴巴投资有限公司处以</w:t>
      </w:r>
      <w:r>
        <w:rPr>
          <w:color w:val="000000"/>
          <w:sz w:val="24"/>
        </w:rPr>
        <w:t>50</w:t>
      </w:r>
      <w:r>
        <w:rPr>
          <w:color w:val="000000"/>
          <w:sz w:val="24"/>
        </w:rPr>
        <w:t>万元人民币罚款的行政处罚。</w:t>
      </w:r>
    </w:p>
    <w:p w:rsidR="006C62A7" w:rsidRDefault="005422E0">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金对上述证券的投资遵守本基金管理人基金投资管理相关制度及被动式指数化投资策略。</w:t>
      </w:r>
    </w:p>
    <w:p w:rsidR="006C62A7" w:rsidRDefault="005422E0">
      <w:pPr>
        <w:spacing w:before="29" w:line="288" w:lineRule="auto"/>
        <w:rPr>
          <w:color w:val="000000"/>
          <w:sz w:val="24"/>
        </w:rPr>
      </w:pPr>
      <w:r>
        <w:rPr>
          <w:b/>
          <w:color w:val="000000"/>
          <w:sz w:val="24"/>
        </w:rPr>
        <w:t>5.10.2</w:t>
      </w:r>
      <w:r>
        <w:rPr>
          <w:color w:val="000000"/>
          <w:sz w:val="24"/>
        </w:rPr>
        <w:t>本基金投资的前十名股票中，没有超出基金合同规定的备选股票库之外的股票。</w:t>
      </w: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5.10.3</w:t>
      </w:r>
      <w:r>
        <w:rPr>
          <w:b/>
          <w:color w:val="000000"/>
          <w:kern w:val="0"/>
          <w:sz w:val="24"/>
        </w:rPr>
        <w:t>其他资产构成</w:t>
      </w:r>
    </w:p>
    <w:p w:rsidR="006C62A7" w:rsidRDefault="005422E0">
      <w:pPr>
        <w:autoSpaceDE w:val="0"/>
        <w:autoSpaceDN w:val="0"/>
        <w:adjustRightInd w:val="0"/>
        <w:spacing w:before="29" w:line="288" w:lineRule="auto"/>
        <w:jc w:val="right"/>
        <w:rPr>
          <w:color w:val="000000"/>
          <w:kern w:val="0"/>
          <w:sz w:val="24"/>
        </w:rPr>
      </w:pPr>
      <w:r>
        <w:rPr>
          <w:rFonts w:hint="eastAsia"/>
          <w:color w:val="000000"/>
          <w:kern w:val="0"/>
          <w:sz w:val="24"/>
        </w:rPr>
        <w:t>金额单位：人民币元</w:t>
      </w:r>
    </w:p>
    <w:tbl>
      <w:tblPr>
        <w:tblStyle w:val="af1"/>
        <w:tblW w:w="8868" w:type="dxa"/>
        <w:jc w:val="center"/>
        <w:tblLayout w:type="fixed"/>
        <w:tblLook w:val="04A0" w:firstRow="1" w:lastRow="0" w:firstColumn="1" w:lastColumn="0" w:noHBand="0" w:noVBand="1"/>
      </w:tblPr>
      <w:tblGrid>
        <w:gridCol w:w="836"/>
        <w:gridCol w:w="3024"/>
        <w:gridCol w:w="5008"/>
      </w:tblGrid>
      <w:tr w:rsidR="006C62A7">
        <w:trPr>
          <w:jc w:val="center"/>
        </w:trPr>
        <w:tc>
          <w:tcPr>
            <w:tcW w:w="802" w:type="dxa"/>
            <w:vAlign w:val="center"/>
          </w:tcPr>
          <w:p w:rsidR="006C62A7" w:rsidRDefault="005422E0">
            <w:pPr>
              <w:autoSpaceDE w:val="0"/>
              <w:autoSpaceDN w:val="0"/>
              <w:adjustRightInd w:val="0"/>
              <w:spacing w:before="29" w:line="288" w:lineRule="auto"/>
              <w:ind w:left="17"/>
              <w:jc w:val="center"/>
              <w:rPr>
                <w:color w:val="000000"/>
                <w:kern w:val="0"/>
                <w:sz w:val="24"/>
              </w:rPr>
            </w:pPr>
            <w:r>
              <w:rPr>
                <w:color w:val="000000"/>
                <w:kern w:val="0"/>
                <w:sz w:val="24"/>
              </w:rPr>
              <w:t>序号</w:t>
            </w:r>
          </w:p>
        </w:tc>
        <w:tc>
          <w:tcPr>
            <w:tcW w:w="2903" w:type="dxa"/>
            <w:vAlign w:val="center"/>
          </w:tcPr>
          <w:p w:rsidR="006C62A7" w:rsidRDefault="005422E0">
            <w:pPr>
              <w:autoSpaceDE w:val="0"/>
              <w:autoSpaceDN w:val="0"/>
              <w:adjustRightInd w:val="0"/>
              <w:spacing w:before="29" w:line="288" w:lineRule="auto"/>
              <w:ind w:left="17"/>
              <w:jc w:val="center"/>
              <w:rPr>
                <w:color w:val="000000"/>
                <w:kern w:val="0"/>
                <w:sz w:val="24"/>
              </w:rPr>
            </w:pPr>
            <w:r>
              <w:rPr>
                <w:color w:val="000000"/>
                <w:kern w:val="0"/>
                <w:sz w:val="24"/>
              </w:rPr>
              <w:t>名称</w:t>
            </w:r>
          </w:p>
        </w:tc>
        <w:tc>
          <w:tcPr>
            <w:tcW w:w="4808" w:type="dxa"/>
            <w:vAlign w:val="center"/>
          </w:tcPr>
          <w:p w:rsidR="006C62A7" w:rsidRDefault="005422E0">
            <w:pPr>
              <w:autoSpaceDE w:val="0"/>
              <w:autoSpaceDN w:val="0"/>
              <w:adjustRightInd w:val="0"/>
              <w:spacing w:before="29" w:line="288" w:lineRule="auto"/>
              <w:ind w:left="17"/>
              <w:jc w:val="center"/>
              <w:rPr>
                <w:color w:val="000000"/>
                <w:kern w:val="0"/>
                <w:sz w:val="24"/>
              </w:rPr>
            </w:pPr>
            <w:r>
              <w:rPr>
                <w:color w:val="000000"/>
                <w:kern w:val="0"/>
                <w:sz w:val="24"/>
              </w:rPr>
              <w:t>金额</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kern w:val="0"/>
                <w:sz w:val="24"/>
              </w:rPr>
            </w:pPr>
            <w:r>
              <w:rPr>
                <w:color w:val="000000"/>
                <w:sz w:val="24"/>
              </w:rPr>
              <w:t>1</w:t>
            </w:r>
          </w:p>
        </w:tc>
        <w:tc>
          <w:tcPr>
            <w:tcW w:w="2903" w:type="dxa"/>
            <w:vAlign w:val="center"/>
          </w:tcPr>
          <w:p w:rsidR="006C62A7" w:rsidRDefault="005422E0">
            <w:pPr>
              <w:autoSpaceDE w:val="0"/>
              <w:autoSpaceDN w:val="0"/>
              <w:adjustRightInd w:val="0"/>
              <w:spacing w:before="29" w:line="288" w:lineRule="auto"/>
              <w:ind w:left="15"/>
              <w:jc w:val="left"/>
              <w:rPr>
                <w:color w:val="000000"/>
                <w:kern w:val="0"/>
                <w:sz w:val="24"/>
              </w:rPr>
            </w:pPr>
            <w:r>
              <w:rPr>
                <w:color w:val="000000"/>
                <w:kern w:val="0"/>
                <w:sz w:val="24"/>
              </w:rPr>
              <w:t>存出保证金</w:t>
            </w:r>
          </w:p>
        </w:tc>
        <w:tc>
          <w:tcPr>
            <w:tcW w:w="4808" w:type="dxa"/>
            <w:vAlign w:val="center"/>
          </w:tcPr>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sz w:val="24"/>
              </w:rPr>
            </w:pPr>
            <w:r>
              <w:rPr>
                <w:color w:val="000000"/>
                <w:sz w:val="24"/>
              </w:rPr>
              <w:t>2</w:t>
            </w:r>
          </w:p>
        </w:tc>
        <w:tc>
          <w:tcPr>
            <w:tcW w:w="2903" w:type="dxa"/>
            <w:vAlign w:val="center"/>
          </w:tcPr>
          <w:p w:rsidR="006C62A7" w:rsidRDefault="005422E0">
            <w:pPr>
              <w:autoSpaceDE w:val="0"/>
              <w:autoSpaceDN w:val="0"/>
              <w:adjustRightInd w:val="0"/>
              <w:spacing w:before="29" w:line="288" w:lineRule="auto"/>
              <w:ind w:left="15"/>
              <w:jc w:val="left"/>
              <w:rPr>
                <w:color w:val="000000"/>
                <w:kern w:val="0"/>
                <w:sz w:val="24"/>
              </w:rPr>
            </w:pPr>
            <w:r>
              <w:rPr>
                <w:color w:val="000000"/>
                <w:kern w:val="0"/>
                <w:sz w:val="24"/>
              </w:rPr>
              <w:t>应收证券清算款</w:t>
            </w:r>
          </w:p>
        </w:tc>
        <w:tc>
          <w:tcPr>
            <w:tcW w:w="4808" w:type="dxa"/>
            <w:vAlign w:val="center"/>
          </w:tcPr>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10,601,867.88</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sz w:val="24"/>
              </w:rPr>
            </w:pPr>
            <w:r>
              <w:rPr>
                <w:color w:val="000000"/>
                <w:sz w:val="24"/>
              </w:rPr>
              <w:t>3</w:t>
            </w:r>
          </w:p>
        </w:tc>
        <w:tc>
          <w:tcPr>
            <w:tcW w:w="2903" w:type="dxa"/>
            <w:vAlign w:val="center"/>
          </w:tcPr>
          <w:p w:rsidR="006C62A7" w:rsidRDefault="005422E0">
            <w:pPr>
              <w:autoSpaceDE w:val="0"/>
              <w:autoSpaceDN w:val="0"/>
              <w:adjustRightInd w:val="0"/>
              <w:spacing w:before="29" w:line="288" w:lineRule="auto"/>
              <w:ind w:left="15"/>
              <w:jc w:val="left"/>
              <w:rPr>
                <w:color w:val="000000"/>
                <w:kern w:val="0"/>
                <w:sz w:val="24"/>
              </w:rPr>
            </w:pPr>
            <w:r>
              <w:rPr>
                <w:color w:val="000000"/>
                <w:kern w:val="0"/>
                <w:sz w:val="24"/>
              </w:rPr>
              <w:t>应收股利</w:t>
            </w:r>
          </w:p>
        </w:tc>
        <w:tc>
          <w:tcPr>
            <w:tcW w:w="4808" w:type="dxa"/>
            <w:vAlign w:val="center"/>
          </w:tcPr>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sz w:val="24"/>
              </w:rPr>
            </w:pPr>
            <w:r>
              <w:rPr>
                <w:color w:val="000000"/>
                <w:sz w:val="24"/>
              </w:rPr>
              <w:t>4</w:t>
            </w:r>
          </w:p>
        </w:tc>
        <w:tc>
          <w:tcPr>
            <w:tcW w:w="2903" w:type="dxa"/>
            <w:vAlign w:val="center"/>
          </w:tcPr>
          <w:p w:rsidR="006C62A7" w:rsidRDefault="005422E0">
            <w:pPr>
              <w:autoSpaceDE w:val="0"/>
              <w:autoSpaceDN w:val="0"/>
              <w:adjustRightInd w:val="0"/>
              <w:spacing w:before="29" w:line="288" w:lineRule="auto"/>
              <w:ind w:left="15"/>
              <w:jc w:val="left"/>
              <w:rPr>
                <w:color w:val="000000"/>
                <w:kern w:val="0"/>
                <w:sz w:val="24"/>
              </w:rPr>
            </w:pPr>
            <w:r>
              <w:rPr>
                <w:color w:val="000000"/>
                <w:kern w:val="0"/>
                <w:sz w:val="24"/>
              </w:rPr>
              <w:t>应收利息</w:t>
            </w:r>
          </w:p>
        </w:tc>
        <w:tc>
          <w:tcPr>
            <w:tcW w:w="4808" w:type="dxa"/>
            <w:vAlign w:val="center"/>
          </w:tcPr>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14,906.83</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sz w:val="24"/>
              </w:rPr>
            </w:pPr>
            <w:r>
              <w:rPr>
                <w:color w:val="000000"/>
                <w:sz w:val="24"/>
              </w:rPr>
              <w:t>5</w:t>
            </w:r>
          </w:p>
        </w:tc>
        <w:tc>
          <w:tcPr>
            <w:tcW w:w="2903" w:type="dxa"/>
            <w:vAlign w:val="center"/>
          </w:tcPr>
          <w:p w:rsidR="006C62A7" w:rsidRDefault="005422E0">
            <w:pPr>
              <w:autoSpaceDE w:val="0"/>
              <w:autoSpaceDN w:val="0"/>
              <w:adjustRightInd w:val="0"/>
              <w:spacing w:before="29" w:line="288" w:lineRule="auto"/>
              <w:ind w:left="15"/>
              <w:jc w:val="left"/>
              <w:rPr>
                <w:color w:val="000000"/>
                <w:kern w:val="0"/>
                <w:sz w:val="24"/>
              </w:rPr>
            </w:pPr>
            <w:r>
              <w:rPr>
                <w:color w:val="000000"/>
                <w:kern w:val="0"/>
                <w:sz w:val="24"/>
              </w:rPr>
              <w:t>应收申购款</w:t>
            </w:r>
          </w:p>
        </w:tc>
        <w:tc>
          <w:tcPr>
            <w:tcW w:w="4808" w:type="dxa"/>
            <w:vAlign w:val="center"/>
          </w:tcPr>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34,362,591.70</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sz w:val="24"/>
              </w:rPr>
            </w:pPr>
            <w:r>
              <w:rPr>
                <w:color w:val="000000"/>
                <w:sz w:val="24"/>
              </w:rPr>
              <w:t>6</w:t>
            </w:r>
          </w:p>
        </w:tc>
        <w:tc>
          <w:tcPr>
            <w:tcW w:w="2903" w:type="dxa"/>
            <w:vAlign w:val="center"/>
          </w:tcPr>
          <w:p w:rsidR="006C62A7" w:rsidRDefault="005422E0">
            <w:pPr>
              <w:autoSpaceDE w:val="0"/>
              <w:autoSpaceDN w:val="0"/>
              <w:adjustRightInd w:val="0"/>
              <w:spacing w:before="29" w:line="288" w:lineRule="auto"/>
              <w:ind w:left="15"/>
              <w:jc w:val="left"/>
              <w:rPr>
                <w:color w:val="000000"/>
                <w:kern w:val="0"/>
                <w:sz w:val="24"/>
              </w:rPr>
            </w:pPr>
            <w:r>
              <w:rPr>
                <w:color w:val="000000"/>
                <w:kern w:val="0"/>
                <w:sz w:val="24"/>
              </w:rPr>
              <w:t>其他应收款</w:t>
            </w:r>
          </w:p>
        </w:tc>
        <w:tc>
          <w:tcPr>
            <w:tcW w:w="4808" w:type="dxa"/>
            <w:vAlign w:val="center"/>
          </w:tcPr>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sz w:val="24"/>
              </w:rPr>
            </w:pPr>
            <w:r>
              <w:rPr>
                <w:color w:val="000000"/>
                <w:sz w:val="24"/>
              </w:rPr>
              <w:t>7</w:t>
            </w:r>
          </w:p>
        </w:tc>
        <w:tc>
          <w:tcPr>
            <w:tcW w:w="2903" w:type="dxa"/>
            <w:vAlign w:val="center"/>
          </w:tcPr>
          <w:p w:rsidR="006C62A7" w:rsidRDefault="005422E0">
            <w:pPr>
              <w:autoSpaceDE w:val="0"/>
              <w:autoSpaceDN w:val="0"/>
              <w:adjustRightInd w:val="0"/>
              <w:spacing w:before="29" w:line="288" w:lineRule="auto"/>
              <w:ind w:left="15"/>
              <w:jc w:val="left"/>
              <w:rPr>
                <w:color w:val="000000"/>
                <w:sz w:val="24"/>
              </w:rPr>
            </w:pPr>
            <w:r>
              <w:rPr>
                <w:color w:val="000000"/>
                <w:sz w:val="24"/>
              </w:rPr>
              <w:t>待摊费用</w:t>
            </w:r>
          </w:p>
        </w:tc>
        <w:tc>
          <w:tcPr>
            <w:tcW w:w="4808" w:type="dxa"/>
            <w:vAlign w:val="center"/>
          </w:tcPr>
          <w:p w:rsidR="006C62A7" w:rsidRDefault="005422E0">
            <w:pPr>
              <w:autoSpaceDE w:val="0"/>
              <w:autoSpaceDN w:val="0"/>
              <w:adjustRightInd w:val="0"/>
              <w:spacing w:before="29" w:line="288" w:lineRule="auto"/>
              <w:ind w:left="15"/>
              <w:jc w:val="right"/>
              <w:rPr>
                <w:color w:val="000000"/>
                <w:sz w:val="24"/>
              </w:rPr>
            </w:pPr>
            <w:r>
              <w:rPr>
                <w:color w:val="000000"/>
                <w:sz w:val="24"/>
              </w:rPr>
              <w:t>-</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sz w:val="24"/>
              </w:rPr>
            </w:pPr>
            <w:r>
              <w:rPr>
                <w:color w:val="000000"/>
                <w:sz w:val="24"/>
              </w:rPr>
              <w:t>8</w:t>
            </w:r>
          </w:p>
        </w:tc>
        <w:tc>
          <w:tcPr>
            <w:tcW w:w="2903" w:type="dxa"/>
            <w:vAlign w:val="center"/>
          </w:tcPr>
          <w:p w:rsidR="006C62A7" w:rsidRDefault="005422E0">
            <w:pPr>
              <w:autoSpaceDE w:val="0"/>
              <w:autoSpaceDN w:val="0"/>
              <w:adjustRightInd w:val="0"/>
              <w:spacing w:before="29" w:line="288" w:lineRule="auto"/>
              <w:ind w:left="15"/>
              <w:jc w:val="left"/>
              <w:rPr>
                <w:color w:val="000000"/>
                <w:kern w:val="0"/>
                <w:sz w:val="24"/>
              </w:rPr>
            </w:pPr>
            <w:r>
              <w:rPr>
                <w:color w:val="000000"/>
                <w:kern w:val="0"/>
                <w:sz w:val="24"/>
              </w:rPr>
              <w:t>其他</w:t>
            </w:r>
          </w:p>
        </w:tc>
        <w:tc>
          <w:tcPr>
            <w:tcW w:w="4808" w:type="dxa"/>
            <w:vAlign w:val="center"/>
          </w:tcPr>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w:t>
            </w:r>
          </w:p>
        </w:tc>
      </w:tr>
      <w:tr w:rsidR="006C62A7">
        <w:trPr>
          <w:jc w:val="center"/>
        </w:trPr>
        <w:tc>
          <w:tcPr>
            <w:tcW w:w="802" w:type="dxa"/>
            <w:vAlign w:val="center"/>
          </w:tcPr>
          <w:p w:rsidR="006C62A7" w:rsidRDefault="005422E0">
            <w:pPr>
              <w:autoSpaceDE w:val="0"/>
              <w:autoSpaceDN w:val="0"/>
              <w:adjustRightInd w:val="0"/>
              <w:spacing w:before="29" w:line="288" w:lineRule="auto"/>
              <w:ind w:left="15"/>
              <w:jc w:val="center"/>
              <w:rPr>
                <w:color w:val="000000"/>
                <w:sz w:val="24"/>
              </w:rPr>
            </w:pPr>
            <w:r>
              <w:rPr>
                <w:color w:val="000000"/>
                <w:sz w:val="24"/>
              </w:rPr>
              <w:t>9</w:t>
            </w:r>
          </w:p>
        </w:tc>
        <w:tc>
          <w:tcPr>
            <w:tcW w:w="2903" w:type="dxa"/>
            <w:vAlign w:val="center"/>
          </w:tcPr>
          <w:p w:rsidR="006C62A7" w:rsidRDefault="005422E0">
            <w:pPr>
              <w:autoSpaceDE w:val="0"/>
              <w:autoSpaceDN w:val="0"/>
              <w:adjustRightInd w:val="0"/>
              <w:spacing w:before="29" w:line="288" w:lineRule="auto"/>
              <w:ind w:left="15"/>
              <w:jc w:val="left"/>
              <w:rPr>
                <w:color w:val="000000"/>
                <w:kern w:val="0"/>
                <w:sz w:val="24"/>
              </w:rPr>
            </w:pPr>
            <w:r>
              <w:rPr>
                <w:color w:val="000000"/>
                <w:kern w:val="0"/>
                <w:sz w:val="24"/>
              </w:rPr>
              <w:t>合计</w:t>
            </w:r>
          </w:p>
        </w:tc>
        <w:tc>
          <w:tcPr>
            <w:tcW w:w="4808" w:type="dxa"/>
            <w:vAlign w:val="center"/>
          </w:tcPr>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44,979,366.41</w:t>
            </w:r>
          </w:p>
        </w:tc>
      </w:tr>
    </w:tbl>
    <w:p w:rsidR="006C62A7" w:rsidRDefault="006C62A7">
      <w:pPr>
        <w:autoSpaceDE w:val="0"/>
        <w:autoSpaceDN w:val="0"/>
        <w:adjustRightInd w:val="0"/>
        <w:spacing w:before="29" w:line="288" w:lineRule="auto"/>
        <w:jc w:val="left"/>
        <w:rPr>
          <w:b/>
          <w:color w:val="000000"/>
          <w:kern w:val="0"/>
          <w:sz w:val="24"/>
        </w:rPr>
      </w:pPr>
    </w:p>
    <w:p w:rsidR="006C62A7" w:rsidRDefault="005422E0">
      <w:pPr>
        <w:autoSpaceDE w:val="0"/>
        <w:autoSpaceDN w:val="0"/>
        <w:adjustRightInd w:val="0"/>
        <w:spacing w:before="29" w:line="288" w:lineRule="auto"/>
        <w:jc w:val="left"/>
        <w:rPr>
          <w:color w:val="000000"/>
          <w:kern w:val="0"/>
          <w:sz w:val="24"/>
        </w:rPr>
      </w:pPr>
      <w:r>
        <w:rPr>
          <w:b/>
          <w:color w:val="000000"/>
          <w:kern w:val="0"/>
          <w:sz w:val="24"/>
        </w:rPr>
        <w:t>5.10.4</w:t>
      </w:r>
      <w:r>
        <w:rPr>
          <w:b/>
          <w:color w:val="000000"/>
          <w:kern w:val="0"/>
          <w:sz w:val="24"/>
        </w:rPr>
        <w:t>期末持有的处于转股期的可转换债券明细</w:t>
      </w:r>
    </w:p>
    <w:p w:rsidR="006C62A7" w:rsidRDefault="005422E0">
      <w:pPr>
        <w:autoSpaceDE w:val="0"/>
        <w:autoSpaceDN w:val="0"/>
        <w:adjustRightInd w:val="0"/>
        <w:spacing w:before="29" w:line="288" w:lineRule="auto"/>
        <w:jc w:val="left"/>
        <w:rPr>
          <w:color w:val="000000"/>
          <w:sz w:val="24"/>
        </w:rPr>
      </w:pPr>
      <w:r>
        <w:rPr>
          <w:color w:val="000000"/>
          <w:sz w:val="24"/>
        </w:rPr>
        <w:t>本基金本报告期末未持有处于转股期的可转换债券。</w:t>
      </w:r>
    </w:p>
    <w:p w:rsidR="006C62A7" w:rsidRDefault="006C62A7">
      <w:pPr>
        <w:autoSpaceDE w:val="0"/>
        <w:autoSpaceDN w:val="0"/>
        <w:adjustRightInd w:val="0"/>
        <w:spacing w:before="29" w:line="288" w:lineRule="auto"/>
        <w:jc w:val="left"/>
        <w:rPr>
          <w:color w:val="000000"/>
          <w:sz w:val="24"/>
        </w:rPr>
      </w:pPr>
    </w:p>
    <w:p w:rsidR="006C62A7" w:rsidRDefault="005422E0">
      <w:pPr>
        <w:autoSpaceDE w:val="0"/>
        <w:autoSpaceDN w:val="0"/>
        <w:adjustRightInd w:val="0"/>
        <w:spacing w:before="29" w:line="288" w:lineRule="auto"/>
        <w:jc w:val="left"/>
        <w:rPr>
          <w:color w:val="000000"/>
          <w:kern w:val="0"/>
          <w:sz w:val="24"/>
        </w:rPr>
      </w:pPr>
      <w:r>
        <w:rPr>
          <w:b/>
          <w:color w:val="000000"/>
          <w:kern w:val="0"/>
          <w:sz w:val="24"/>
        </w:rPr>
        <w:lastRenderedPageBreak/>
        <w:t>5.10.5</w:t>
      </w:r>
      <w:r>
        <w:rPr>
          <w:b/>
          <w:color w:val="000000"/>
          <w:kern w:val="0"/>
          <w:sz w:val="24"/>
        </w:rPr>
        <w:t>期末</w:t>
      </w:r>
      <w:r>
        <w:rPr>
          <w:rFonts w:hint="eastAsia"/>
          <w:b/>
          <w:color w:val="000000"/>
          <w:kern w:val="0"/>
          <w:sz w:val="24"/>
        </w:rPr>
        <w:t>投资的</w:t>
      </w:r>
      <w:r>
        <w:rPr>
          <w:b/>
          <w:color w:val="000000"/>
          <w:kern w:val="0"/>
          <w:sz w:val="24"/>
        </w:rPr>
        <w:t>股票存在流通受限情况的说明</w:t>
      </w:r>
    </w:p>
    <w:p w:rsidR="006C62A7" w:rsidRDefault="005422E0">
      <w:pPr>
        <w:autoSpaceDE w:val="0"/>
        <w:autoSpaceDN w:val="0"/>
        <w:adjustRightInd w:val="0"/>
        <w:spacing w:before="29" w:line="288" w:lineRule="auto"/>
        <w:jc w:val="left"/>
        <w:rPr>
          <w:color w:val="000000"/>
          <w:kern w:val="0"/>
          <w:sz w:val="24"/>
        </w:rPr>
      </w:pPr>
      <w:r>
        <w:rPr>
          <w:b/>
          <w:color w:val="000000"/>
          <w:kern w:val="0"/>
          <w:sz w:val="24"/>
        </w:rPr>
        <w:t>5.</w:t>
      </w:r>
      <w:r>
        <w:rPr>
          <w:rFonts w:hint="eastAsia"/>
          <w:b/>
          <w:color w:val="000000"/>
          <w:kern w:val="0"/>
          <w:sz w:val="24"/>
        </w:rPr>
        <w:t>10</w:t>
      </w:r>
      <w:r>
        <w:rPr>
          <w:b/>
          <w:color w:val="000000"/>
          <w:kern w:val="0"/>
          <w:sz w:val="24"/>
        </w:rPr>
        <w:t>.5.</w:t>
      </w:r>
      <w:r>
        <w:rPr>
          <w:rFonts w:hint="eastAsia"/>
          <w:b/>
          <w:color w:val="000000"/>
          <w:kern w:val="0"/>
          <w:sz w:val="24"/>
        </w:rPr>
        <w:t>1</w:t>
      </w:r>
      <w:r>
        <w:rPr>
          <w:rFonts w:hint="eastAsia"/>
          <w:color w:val="000000"/>
          <w:kern w:val="0"/>
          <w:sz w:val="24"/>
        </w:rPr>
        <w:t xml:space="preserve"> </w:t>
      </w:r>
      <w:r>
        <w:rPr>
          <w:rFonts w:hint="eastAsia"/>
          <w:b/>
          <w:color w:val="000000"/>
          <w:kern w:val="0"/>
          <w:sz w:val="24"/>
        </w:rPr>
        <w:t>期末指数投资前十名股票中存在流通受限情况的说明</w:t>
      </w:r>
    </w:p>
    <w:p w:rsidR="006C62A7" w:rsidRDefault="005422E0">
      <w:pPr>
        <w:autoSpaceDE w:val="0"/>
        <w:autoSpaceDN w:val="0"/>
        <w:adjustRightInd w:val="0"/>
        <w:spacing w:before="29" w:line="288" w:lineRule="auto"/>
        <w:jc w:val="left"/>
        <w:rPr>
          <w:color w:val="000000"/>
          <w:sz w:val="24"/>
        </w:rPr>
      </w:pPr>
      <w:r>
        <w:rPr>
          <w:color w:val="000000"/>
          <w:sz w:val="24"/>
        </w:rPr>
        <w:t>本基金本报告期末前十名股票中不存在流通受限的情况。</w:t>
      </w:r>
    </w:p>
    <w:p w:rsidR="006C62A7" w:rsidRDefault="006C62A7">
      <w:pPr>
        <w:autoSpaceDE w:val="0"/>
        <w:autoSpaceDN w:val="0"/>
        <w:adjustRightInd w:val="0"/>
        <w:spacing w:before="29" w:line="288" w:lineRule="auto"/>
        <w:jc w:val="left"/>
        <w:rPr>
          <w:color w:val="000000"/>
          <w:kern w:val="0"/>
          <w:sz w:val="24"/>
        </w:rPr>
      </w:pPr>
    </w:p>
    <w:p w:rsidR="006C62A7" w:rsidRDefault="005422E0">
      <w:pPr>
        <w:autoSpaceDE w:val="0"/>
        <w:autoSpaceDN w:val="0"/>
        <w:adjustRightInd w:val="0"/>
        <w:spacing w:before="29" w:line="288" w:lineRule="auto"/>
        <w:jc w:val="left"/>
        <w:rPr>
          <w:color w:val="000000"/>
          <w:kern w:val="0"/>
          <w:sz w:val="24"/>
        </w:rPr>
      </w:pPr>
      <w:r>
        <w:rPr>
          <w:b/>
          <w:color w:val="000000"/>
          <w:kern w:val="0"/>
          <w:sz w:val="24"/>
        </w:rPr>
        <w:t>5.</w:t>
      </w:r>
      <w:r>
        <w:rPr>
          <w:rFonts w:hint="eastAsia"/>
          <w:b/>
          <w:color w:val="000000"/>
          <w:kern w:val="0"/>
          <w:sz w:val="24"/>
        </w:rPr>
        <w:t>10</w:t>
      </w:r>
      <w:r>
        <w:rPr>
          <w:b/>
          <w:color w:val="000000"/>
          <w:kern w:val="0"/>
          <w:sz w:val="24"/>
        </w:rPr>
        <w:t>.5.</w:t>
      </w:r>
      <w:r>
        <w:rPr>
          <w:rFonts w:hint="eastAsia"/>
          <w:b/>
          <w:color w:val="000000"/>
          <w:kern w:val="0"/>
          <w:sz w:val="24"/>
        </w:rPr>
        <w:t>2</w:t>
      </w:r>
      <w:r>
        <w:rPr>
          <w:b/>
          <w:color w:val="000000"/>
          <w:kern w:val="0"/>
          <w:sz w:val="24"/>
        </w:rPr>
        <w:t>期末</w:t>
      </w:r>
      <w:r>
        <w:rPr>
          <w:rFonts w:hint="eastAsia"/>
          <w:b/>
          <w:color w:val="000000"/>
          <w:kern w:val="0"/>
          <w:sz w:val="24"/>
        </w:rPr>
        <w:t>积极投资</w:t>
      </w:r>
      <w:r>
        <w:rPr>
          <w:b/>
          <w:color w:val="000000"/>
          <w:kern w:val="0"/>
          <w:sz w:val="24"/>
        </w:rPr>
        <w:t>前五名股票中存在流通受限情况的说明</w:t>
      </w:r>
    </w:p>
    <w:p w:rsidR="006C62A7" w:rsidRDefault="005422E0">
      <w:pPr>
        <w:autoSpaceDE w:val="0"/>
        <w:autoSpaceDN w:val="0"/>
        <w:adjustRightInd w:val="0"/>
        <w:spacing w:before="29" w:line="288" w:lineRule="auto"/>
        <w:jc w:val="left"/>
        <w:rPr>
          <w:color w:val="000000"/>
          <w:sz w:val="24"/>
        </w:rPr>
      </w:pPr>
      <w:r>
        <w:rPr>
          <w:color w:val="000000"/>
          <w:sz w:val="24"/>
        </w:rPr>
        <w:t>本基金本报告期末未持有积极投资的股票。</w:t>
      </w:r>
    </w:p>
    <w:p w:rsidR="006C62A7" w:rsidRDefault="006C62A7">
      <w:pPr>
        <w:autoSpaceDE w:val="0"/>
        <w:autoSpaceDN w:val="0"/>
        <w:adjustRightInd w:val="0"/>
        <w:spacing w:before="29" w:line="288" w:lineRule="auto"/>
        <w:jc w:val="left"/>
        <w:rPr>
          <w:rFonts w:asciiTheme="minorEastAsia" w:eastAsiaTheme="minorEastAsia" w:hAnsiTheme="minorEastAsia"/>
          <w:color w:val="000000"/>
          <w:sz w:val="24"/>
        </w:rPr>
      </w:pPr>
    </w:p>
    <w:p w:rsidR="006C62A7" w:rsidRDefault="005422E0">
      <w:pPr>
        <w:autoSpaceDE w:val="0"/>
        <w:autoSpaceDN w:val="0"/>
        <w:adjustRightInd w:val="0"/>
        <w:spacing w:before="29" w:line="288" w:lineRule="auto"/>
        <w:jc w:val="left"/>
        <w:rPr>
          <w:b/>
          <w:color w:val="000000"/>
          <w:kern w:val="0"/>
          <w:sz w:val="24"/>
        </w:rPr>
      </w:pPr>
      <w:r>
        <w:rPr>
          <w:b/>
          <w:color w:val="000000"/>
          <w:kern w:val="0"/>
          <w:sz w:val="24"/>
        </w:rPr>
        <w:t>5.10.6</w:t>
      </w:r>
      <w:r>
        <w:rPr>
          <w:b/>
          <w:color w:val="000000"/>
          <w:kern w:val="0"/>
          <w:sz w:val="24"/>
        </w:rPr>
        <w:t>投资组合报告附注的其他文字描述部分</w:t>
      </w:r>
    </w:p>
    <w:p w:rsidR="006C62A7" w:rsidRDefault="005422E0">
      <w:pPr>
        <w:spacing w:before="29" w:line="288" w:lineRule="auto"/>
        <w:rPr>
          <w:color w:val="000000"/>
          <w:sz w:val="24"/>
        </w:rPr>
      </w:pPr>
      <w:r>
        <w:rPr>
          <w:color w:val="000000"/>
          <w:sz w:val="24"/>
        </w:rPr>
        <w:t>由于四舍五入的原因，分项之和与合计项之间可能存在尾差。</w:t>
      </w:r>
    </w:p>
    <w:p w:rsidR="006C62A7" w:rsidRDefault="006C62A7">
      <w:pPr>
        <w:spacing w:before="29" w:line="288" w:lineRule="auto"/>
        <w:rPr>
          <w:color w:val="000000"/>
          <w:sz w:val="24"/>
        </w:rPr>
      </w:pPr>
    </w:p>
    <w:p w:rsidR="006C62A7" w:rsidRDefault="005422E0">
      <w:pPr>
        <w:pStyle w:val="1"/>
        <w:spacing w:beforeLines="100" w:before="312" w:afterLines="100" w:after="312" w:line="288" w:lineRule="auto"/>
        <w:jc w:val="center"/>
        <w:rPr>
          <w:color w:val="000000"/>
          <w:kern w:val="0"/>
          <w:sz w:val="24"/>
          <w:szCs w:val="24"/>
        </w:rPr>
      </w:pPr>
      <w:r>
        <w:rPr>
          <w:color w:val="000000"/>
          <w:kern w:val="0"/>
          <w:sz w:val="24"/>
          <w:szCs w:val="24"/>
        </w:rPr>
        <w:t xml:space="preserve">§6  </w:t>
      </w:r>
      <w:r>
        <w:rPr>
          <w:color w:val="000000"/>
          <w:kern w:val="0"/>
          <w:sz w:val="24"/>
          <w:szCs w:val="24"/>
        </w:rPr>
        <w:t>开放式基金份额变动</w:t>
      </w:r>
    </w:p>
    <w:p w:rsidR="006C62A7" w:rsidRDefault="005422E0">
      <w:pPr>
        <w:autoSpaceDE w:val="0"/>
        <w:autoSpaceDN w:val="0"/>
        <w:adjustRightInd w:val="0"/>
        <w:spacing w:before="29" w:line="288" w:lineRule="auto"/>
        <w:ind w:left="15"/>
        <w:jc w:val="right"/>
        <w:rPr>
          <w:color w:val="000000"/>
          <w:kern w:val="0"/>
          <w:sz w:val="24"/>
        </w:rPr>
      </w:pPr>
      <w:r>
        <w:rPr>
          <w:color w:val="000000"/>
          <w:kern w:val="0"/>
          <w:sz w:val="24"/>
        </w:rPr>
        <w:t>单位：份</w:t>
      </w:r>
    </w:p>
    <w:tbl>
      <w:tblPr>
        <w:tblW w:w="8861" w:type="dxa"/>
        <w:jc w:val="center"/>
        <w:tblLayout w:type="fixed"/>
        <w:tblLook w:val="04A0" w:firstRow="1" w:lastRow="0" w:firstColumn="1" w:lastColumn="0" w:noHBand="0" w:noVBand="1"/>
      </w:tblPr>
      <w:tblGrid>
        <w:gridCol w:w="4609"/>
        <w:gridCol w:w="4252"/>
      </w:tblGrid>
      <w:tr w:rsidR="006C62A7">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left"/>
              <w:rPr>
                <w:color w:val="000000"/>
                <w:kern w:val="0"/>
                <w:sz w:val="24"/>
              </w:rPr>
            </w:pPr>
            <w:r>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right"/>
              <w:rPr>
                <w:color w:val="000000"/>
                <w:sz w:val="24"/>
              </w:rPr>
            </w:pPr>
            <w:r>
              <w:rPr>
                <w:color w:val="000000"/>
                <w:sz w:val="24"/>
              </w:rPr>
              <w:t>955,200,269.46</w:t>
            </w:r>
          </w:p>
        </w:tc>
      </w:tr>
      <w:tr w:rsidR="006C62A7">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left"/>
              <w:rPr>
                <w:color w:val="000000"/>
                <w:kern w:val="0"/>
                <w:sz w:val="24"/>
              </w:rPr>
            </w:pPr>
            <w:r>
              <w:rPr>
                <w:color w:val="000000"/>
                <w:kern w:val="0"/>
                <w:sz w:val="24"/>
              </w:rPr>
              <w:t>报告期</w:t>
            </w:r>
            <w:r>
              <w:rPr>
                <w:rFonts w:hAnsi="宋体" w:hint="eastAsia"/>
                <w:color w:val="000000"/>
                <w:kern w:val="0"/>
                <w:sz w:val="24"/>
              </w:rPr>
              <w:t>期间</w:t>
            </w:r>
            <w:r>
              <w:rPr>
                <w:color w:val="000000"/>
                <w:kern w:val="0"/>
                <w:sz w:val="24"/>
              </w:rPr>
              <w:t>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right"/>
              <w:rPr>
                <w:color w:val="000000"/>
                <w:sz w:val="24"/>
              </w:rPr>
            </w:pPr>
            <w:r>
              <w:rPr>
                <w:color w:val="000000"/>
                <w:sz w:val="24"/>
              </w:rPr>
              <w:t>305,178,224.03</w:t>
            </w:r>
          </w:p>
        </w:tc>
      </w:tr>
      <w:tr w:rsidR="006C62A7">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left"/>
              <w:rPr>
                <w:color w:val="000000"/>
                <w:kern w:val="0"/>
                <w:sz w:val="24"/>
              </w:rPr>
            </w:pPr>
            <w:r>
              <w:rPr>
                <w:color w:val="000000"/>
                <w:kern w:val="0"/>
                <w:sz w:val="24"/>
              </w:rPr>
              <w:t>减：报告期</w:t>
            </w:r>
            <w:r>
              <w:rPr>
                <w:rFonts w:hAnsi="宋体" w:hint="eastAsia"/>
                <w:color w:val="000000"/>
                <w:kern w:val="0"/>
                <w:sz w:val="24"/>
              </w:rPr>
              <w:t>期间</w:t>
            </w:r>
            <w:r>
              <w:rPr>
                <w:color w:val="000000"/>
                <w:kern w:val="0"/>
                <w:sz w:val="24"/>
              </w:rPr>
              <w:t>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right"/>
              <w:rPr>
                <w:color w:val="000000"/>
                <w:sz w:val="24"/>
              </w:rPr>
            </w:pPr>
            <w:r>
              <w:rPr>
                <w:color w:val="000000"/>
                <w:sz w:val="24"/>
              </w:rPr>
              <w:t>262,259,305.10</w:t>
            </w:r>
          </w:p>
        </w:tc>
      </w:tr>
      <w:tr w:rsidR="006C62A7">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left"/>
              <w:rPr>
                <w:color w:val="000000"/>
                <w:kern w:val="0"/>
                <w:sz w:val="24"/>
              </w:rPr>
            </w:pPr>
            <w:r>
              <w:rPr>
                <w:color w:val="000000"/>
                <w:kern w:val="0"/>
                <w:sz w:val="24"/>
              </w:rPr>
              <w:t>报告期</w:t>
            </w:r>
            <w:r>
              <w:rPr>
                <w:rFonts w:hint="eastAsia"/>
                <w:color w:val="000000"/>
                <w:kern w:val="0"/>
                <w:sz w:val="24"/>
              </w:rPr>
              <w:t>期间</w:t>
            </w:r>
            <w:r>
              <w:rPr>
                <w:color w:val="000000"/>
                <w:kern w:val="0"/>
                <w:sz w:val="24"/>
              </w:rPr>
              <w:t>基金拆分变动份额</w:t>
            </w:r>
            <w:r>
              <w:rPr>
                <w:rFonts w:hint="eastAsia"/>
                <w:color w:val="000000"/>
                <w:kern w:val="0"/>
                <w:sz w:val="24"/>
              </w:rPr>
              <w:t>（份额减少以</w:t>
            </w:r>
            <w:r>
              <w:rPr>
                <w:color w:val="000000"/>
              </w:rPr>
              <w:t>“-”</w:t>
            </w:r>
            <w:r>
              <w:rPr>
                <w:rFonts w:hint="eastAsia"/>
                <w:color w:val="000000"/>
                <w:kern w:val="0"/>
                <w:sz w:val="24"/>
              </w:rPr>
              <w:t>填列）</w:t>
            </w:r>
          </w:p>
        </w:tc>
        <w:tc>
          <w:tcPr>
            <w:tcW w:w="4252"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right"/>
              <w:rPr>
                <w:color w:val="000000"/>
                <w:sz w:val="24"/>
              </w:rPr>
            </w:pPr>
            <w:r>
              <w:rPr>
                <w:color w:val="000000"/>
                <w:sz w:val="24"/>
              </w:rPr>
              <w:t>-</w:t>
            </w:r>
          </w:p>
        </w:tc>
      </w:tr>
      <w:tr w:rsidR="006C62A7">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left"/>
              <w:rPr>
                <w:color w:val="000000"/>
                <w:kern w:val="0"/>
                <w:sz w:val="24"/>
              </w:rPr>
            </w:pPr>
            <w:r>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6C62A7" w:rsidRDefault="005422E0">
            <w:pPr>
              <w:autoSpaceDE w:val="0"/>
              <w:autoSpaceDN w:val="0"/>
              <w:adjustRightInd w:val="0"/>
              <w:spacing w:before="29" w:line="288" w:lineRule="auto"/>
              <w:ind w:left="17"/>
              <w:jc w:val="right"/>
              <w:rPr>
                <w:color w:val="000000"/>
                <w:sz w:val="24"/>
              </w:rPr>
            </w:pPr>
            <w:r>
              <w:rPr>
                <w:color w:val="000000"/>
                <w:sz w:val="24"/>
              </w:rPr>
              <w:t>998,119,188.39</w:t>
            </w:r>
          </w:p>
        </w:tc>
      </w:tr>
    </w:tbl>
    <w:p w:rsidR="006C62A7" w:rsidRDefault="005422E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r>
        <w:rPr>
          <w:color w:val="000000"/>
          <w:sz w:val="24"/>
        </w:rPr>
        <w:t xml:space="preserve">   </w:t>
      </w:r>
    </w:p>
    <w:p w:rsidR="006C62A7" w:rsidRDefault="005422E0">
      <w:pPr>
        <w:autoSpaceDE w:val="0"/>
        <w:autoSpaceDN w:val="0"/>
        <w:adjustRightInd w:val="0"/>
        <w:spacing w:before="29" w:line="288" w:lineRule="auto"/>
        <w:jc w:val="left"/>
        <w:rPr>
          <w:color w:val="000000"/>
          <w:sz w:val="24"/>
        </w:rPr>
      </w:pPr>
      <w:r>
        <w:rPr>
          <w:color w:val="000000"/>
          <w:sz w:val="24"/>
        </w:rPr>
        <w:t>2</w:t>
      </w:r>
      <w:r>
        <w:rPr>
          <w:color w:val="000000"/>
          <w:sz w:val="24"/>
        </w:rPr>
        <w:t>、如果本报告期间发生转换出业务，则总赎回份额中包含该业务。</w:t>
      </w:r>
    </w:p>
    <w:p w:rsidR="006C62A7" w:rsidRDefault="006C62A7">
      <w:pPr>
        <w:autoSpaceDE w:val="0"/>
        <w:autoSpaceDN w:val="0"/>
        <w:adjustRightInd w:val="0"/>
        <w:spacing w:before="29" w:line="288" w:lineRule="auto"/>
        <w:jc w:val="left"/>
        <w:rPr>
          <w:color w:val="000000"/>
          <w:sz w:val="24"/>
        </w:rPr>
      </w:pPr>
    </w:p>
    <w:p w:rsidR="006C62A7" w:rsidRDefault="005422E0">
      <w:pPr>
        <w:pStyle w:val="1"/>
        <w:spacing w:beforeLines="100" w:before="312" w:afterLines="100" w:after="312" w:line="288" w:lineRule="auto"/>
        <w:jc w:val="center"/>
        <w:rPr>
          <w:color w:val="000000"/>
          <w:kern w:val="0"/>
          <w:sz w:val="24"/>
          <w:szCs w:val="24"/>
        </w:rPr>
      </w:pPr>
      <w:r>
        <w:rPr>
          <w:color w:val="000000"/>
          <w:kern w:val="0"/>
          <w:sz w:val="24"/>
          <w:szCs w:val="24"/>
        </w:rPr>
        <w:t xml:space="preserve">§7  </w:t>
      </w:r>
      <w:r>
        <w:rPr>
          <w:color w:val="000000"/>
          <w:kern w:val="0"/>
          <w:sz w:val="24"/>
          <w:szCs w:val="24"/>
        </w:rPr>
        <w:t>基金管理人运用固有资金投资本基金交易明细</w:t>
      </w:r>
    </w:p>
    <w:p w:rsidR="006C62A7" w:rsidRDefault="005422E0">
      <w:pPr>
        <w:autoSpaceDE w:val="0"/>
        <w:autoSpaceDN w:val="0"/>
        <w:adjustRightInd w:val="0"/>
        <w:spacing w:before="29" w:line="288" w:lineRule="auto"/>
        <w:jc w:val="left"/>
        <w:rPr>
          <w:color w:val="000000"/>
          <w:sz w:val="24"/>
        </w:rPr>
      </w:pPr>
      <w:r>
        <w:rPr>
          <w:color w:val="000000"/>
          <w:sz w:val="24"/>
        </w:rPr>
        <w:t>本基金管理人本报告期内未进行本基金的申购、赎回、红利再投等；本基金管理人本报告期末持有本基金份额</w:t>
      </w:r>
      <w:r>
        <w:rPr>
          <w:color w:val="000000"/>
          <w:sz w:val="24"/>
        </w:rPr>
        <w:t>0.00</w:t>
      </w:r>
      <w:r>
        <w:rPr>
          <w:color w:val="000000"/>
          <w:sz w:val="24"/>
        </w:rPr>
        <w:t>份，占本基金期末总份额的</w:t>
      </w:r>
      <w:r>
        <w:rPr>
          <w:color w:val="000000"/>
          <w:sz w:val="24"/>
        </w:rPr>
        <w:t>0.00%</w:t>
      </w:r>
      <w:r>
        <w:rPr>
          <w:color w:val="000000"/>
          <w:sz w:val="24"/>
        </w:rPr>
        <w:t>。</w:t>
      </w:r>
    </w:p>
    <w:p w:rsidR="006C62A7" w:rsidRDefault="006C62A7">
      <w:pPr>
        <w:autoSpaceDE w:val="0"/>
        <w:autoSpaceDN w:val="0"/>
        <w:adjustRightInd w:val="0"/>
        <w:spacing w:before="29" w:line="288" w:lineRule="auto"/>
        <w:jc w:val="left"/>
        <w:rPr>
          <w:color w:val="000000"/>
          <w:sz w:val="24"/>
        </w:rPr>
      </w:pPr>
    </w:p>
    <w:p w:rsidR="006C62A7" w:rsidRDefault="005422E0">
      <w:pPr>
        <w:pStyle w:val="1"/>
        <w:spacing w:beforeLines="100" w:before="312" w:afterLines="100" w:after="312" w:line="288" w:lineRule="auto"/>
        <w:jc w:val="center"/>
        <w:rPr>
          <w:color w:val="000000"/>
          <w:kern w:val="0"/>
          <w:sz w:val="24"/>
          <w:szCs w:val="24"/>
        </w:rPr>
      </w:pPr>
      <w:r>
        <w:rPr>
          <w:color w:val="000000"/>
          <w:kern w:val="0"/>
          <w:sz w:val="24"/>
          <w:szCs w:val="24"/>
        </w:rPr>
        <w:t>§8</w:t>
      </w:r>
      <w:r>
        <w:rPr>
          <w:color w:val="000000"/>
          <w:kern w:val="0"/>
          <w:sz w:val="24"/>
          <w:szCs w:val="24"/>
        </w:rPr>
        <w:t>备查文件目录</w:t>
      </w:r>
    </w:p>
    <w:p w:rsidR="006C62A7" w:rsidRDefault="005422E0">
      <w:pPr>
        <w:autoSpaceDE w:val="0"/>
        <w:autoSpaceDN w:val="0"/>
        <w:adjustRightInd w:val="0"/>
        <w:spacing w:before="29" w:line="288" w:lineRule="auto"/>
        <w:jc w:val="left"/>
        <w:rPr>
          <w:b/>
          <w:bCs/>
          <w:color w:val="000000"/>
          <w:kern w:val="0"/>
          <w:sz w:val="24"/>
        </w:rPr>
      </w:pPr>
      <w:r>
        <w:rPr>
          <w:b/>
          <w:bCs/>
          <w:color w:val="000000"/>
          <w:kern w:val="0"/>
          <w:sz w:val="24"/>
        </w:rPr>
        <w:t>8.1</w:t>
      </w:r>
      <w:r>
        <w:rPr>
          <w:b/>
          <w:bCs/>
          <w:color w:val="000000"/>
          <w:kern w:val="0"/>
          <w:sz w:val="24"/>
        </w:rPr>
        <w:t>备查文件目录</w:t>
      </w:r>
    </w:p>
    <w:p w:rsidR="006C62A7" w:rsidRDefault="005422E0">
      <w:pPr>
        <w:spacing w:before="29" w:line="288" w:lineRule="auto"/>
        <w:ind w:firstLineChars="200" w:firstLine="480"/>
        <w:rPr>
          <w:color w:val="000000"/>
          <w:sz w:val="24"/>
        </w:rPr>
      </w:pPr>
      <w:r>
        <w:rPr>
          <w:color w:val="000000"/>
          <w:sz w:val="24"/>
        </w:rPr>
        <w:t>1</w:t>
      </w:r>
      <w:r>
        <w:rPr>
          <w:color w:val="000000"/>
          <w:sz w:val="24"/>
        </w:rPr>
        <w:t>、中国证监会准予交银施罗德中证海外中国互联网指数型证券投资基金</w:t>
      </w:r>
      <w:r>
        <w:rPr>
          <w:color w:val="000000"/>
          <w:sz w:val="24"/>
        </w:rPr>
        <w:t>(LOF)</w:t>
      </w:r>
      <w:r>
        <w:rPr>
          <w:color w:val="000000"/>
          <w:sz w:val="24"/>
        </w:rPr>
        <w:t>募集注册的文件；</w:t>
      </w:r>
      <w:r>
        <w:rPr>
          <w:color w:val="000000"/>
          <w:sz w:val="24"/>
        </w:rPr>
        <w:t xml:space="preserve"> </w:t>
      </w:r>
    </w:p>
    <w:p w:rsidR="006C62A7" w:rsidRDefault="005422E0">
      <w:pPr>
        <w:spacing w:before="29" w:line="288" w:lineRule="auto"/>
        <w:ind w:firstLineChars="200" w:firstLine="480"/>
        <w:rPr>
          <w:color w:val="000000"/>
          <w:sz w:val="24"/>
        </w:rPr>
      </w:pPr>
      <w:r>
        <w:rPr>
          <w:color w:val="000000"/>
          <w:sz w:val="24"/>
        </w:rPr>
        <w:t>2</w:t>
      </w:r>
      <w:r>
        <w:rPr>
          <w:color w:val="000000"/>
          <w:sz w:val="24"/>
        </w:rPr>
        <w:t>、《交银施罗德中证海外中国互联网指数型证券投资基金</w:t>
      </w:r>
      <w:r>
        <w:rPr>
          <w:color w:val="000000"/>
          <w:sz w:val="24"/>
        </w:rPr>
        <w:t>(LOF)</w:t>
      </w:r>
      <w:r>
        <w:rPr>
          <w:color w:val="000000"/>
          <w:sz w:val="24"/>
        </w:rPr>
        <w:t>基金合同》；</w:t>
      </w:r>
    </w:p>
    <w:p w:rsidR="006C62A7" w:rsidRDefault="005422E0">
      <w:pPr>
        <w:spacing w:before="29" w:line="288" w:lineRule="auto"/>
        <w:ind w:firstLineChars="200" w:firstLine="480"/>
        <w:rPr>
          <w:color w:val="000000"/>
          <w:sz w:val="24"/>
        </w:rPr>
      </w:pPr>
      <w:r>
        <w:rPr>
          <w:color w:val="000000"/>
          <w:sz w:val="24"/>
        </w:rPr>
        <w:lastRenderedPageBreak/>
        <w:t>3</w:t>
      </w:r>
      <w:r>
        <w:rPr>
          <w:color w:val="000000"/>
          <w:sz w:val="24"/>
        </w:rPr>
        <w:t>、《交银施罗德中证海外中国互联网指数型证券投资基金</w:t>
      </w:r>
      <w:r>
        <w:rPr>
          <w:color w:val="000000"/>
          <w:sz w:val="24"/>
        </w:rPr>
        <w:t>(LOF)</w:t>
      </w:r>
      <w:r>
        <w:rPr>
          <w:color w:val="000000"/>
          <w:sz w:val="24"/>
        </w:rPr>
        <w:t>招募说明书》；</w:t>
      </w:r>
      <w:r>
        <w:rPr>
          <w:color w:val="000000"/>
          <w:sz w:val="24"/>
        </w:rPr>
        <w:t xml:space="preserve"> </w:t>
      </w:r>
    </w:p>
    <w:p w:rsidR="006C62A7" w:rsidRDefault="005422E0">
      <w:pPr>
        <w:spacing w:before="29" w:line="288" w:lineRule="auto"/>
        <w:ind w:firstLineChars="200" w:firstLine="480"/>
        <w:rPr>
          <w:color w:val="000000"/>
          <w:sz w:val="24"/>
        </w:rPr>
      </w:pPr>
      <w:r>
        <w:rPr>
          <w:color w:val="000000"/>
          <w:sz w:val="24"/>
        </w:rPr>
        <w:t>4</w:t>
      </w:r>
      <w:r>
        <w:rPr>
          <w:color w:val="000000"/>
          <w:sz w:val="24"/>
        </w:rPr>
        <w:t>、《交银施罗德中证海外中国互联网指数型证券投资基金</w:t>
      </w:r>
      <w:r>
        <w:rPr>
          <w:color w:val="000000"/>
          <w:sz w:val="24"/>
        </w:rPr>
        <w:t>(LOF)</w:t>
      </w:r>
      <w:r>
        <w:rPr>
          <w:color w:val="000000"/>
          <w:sz w:val="24"/>
        </w:rPr>
        <w:t>托管协议》；</w:t>
      </w:r>
      <w:r>
        <w:rPr>
          <w:color w:val="000000"/>
          <w:sz w:val="24"/>
        </w:rPr>
        <w:t xml:space="preserve"> </w:t>
      </w:r>
    </w:p>
    <w:p w:rsidR="006C62A7" w:rsidRDefault="005422E0">
      <w:pPr>
        <w:spacing w:before="29" w:line="288" w:lineRule="auto"/>
        <w:ind w:firstLineChars="200" w:firstLine="480"/>
        <w:rPr>
          <w:color w:val="000000"/>
          <w:sz w:val="24"/>
        </w:rPr>
      </w:pPr>
      <w:r>
        <w:rPr>
          <w:color w:val="000000"/>
          <w:sz w:val="24"/>
        </w:rPr>
        <w:t>5</w:t>
      </w:r>
      <w:r>
        <w:rPr>
          <w:color w:val="000000"/>
          <w:sz w:val="24"/>
        </w:rPr>
        <w:t>、基金管理人业务资格批件、营业执照；</w:t>
      </w:r>
    </w:p>
    <w:p w:rsidR="006C62A7" w:rsidRDefault="005422E0">
      <w:pPr>
        <w:spacing w:before="29" w:line="288" w:lineRule="auto"/>
        <w:ind w:firstLineChars="200" w:firstLine="480"/>
        <w:rPr>
          <w:color w:val="000000"/>
          <w:sz w:val="24"/>
        </w:rPr>
      </w:pPr>
      <w:r>
        <w:rPr>
          <w:color w:val="000000"/>
          <w:sz w:val="24"/>
        </w:rPr>
        <w:t>6</w:t>
      </w:r>
      <w:r>
        <w:rPr>
          <w:color w:val="000000"/>
          <w:sz w:val="24"/>
        </w:rPr>
        <w:t>、基金托管人业务资格批件、营业执照；</w:t>
      </w:r>
    </w:p>
    <w:p w:rsidR="006C62A7" w:rsidRDefault="005422E0">
      <w:pPr>
        <w:spacing w:before="29" w:line="288" w:lineRule="auto"/>
        <w:ind w:firstLineChars="200" w:firstLine="480"/>
        <w:rPr>
          <w:color w:val="000000"/>
          <w:sz w:val="24"/>
        </w:rPr>
      </w:pPr>
      <w:r>
        <w:rPr>
          <w:color w:val="000000"/>
          <w:sz w:val="24"/>
        </w:rPr>
        <w:t>7</w:t>
      </w:r>
      <w:r>
        <w:rPr>
          <w:color w:val="000000"/>
          <w:sz w:val="24"/>
        </w:rPr>
        <w:t>、关于申请募集注册交银施罗德中证海外中国互联网指数型证券投资基金</w:t>
      </w:r>
      <w:r>
        <w:rPr>
          <w:color w:val="000000"/>
          <w:sz w:val="24"/>
        </w:rPr>
        <w:t>(LOF)</w:t>
      </w:r>
      <w:r>
        <w:rPr>
          <w:color w:val="000000"/>
          <w:sz w:val="24"/>
        </w:rPr>
        <w:t>的法律意见书；</w:t>
      </w:r>
    </w:p>
    <w:p w:rsidR="006C62A7" w:rsidRDefault="005422E0">
      <w:pPr>
        <w:spacing w:before="29" w:line="288" w:lineRule="auto"/>
        <w:ind w:firstLineChars="200" w:firstLine="480"/>
        <w:rPr>
          <w:color w:val="000000"/>
          <w:sz w:val="24"/>
        </w:rPr>
      </w:pPr>
      <w:r>
        <w:rPr>
          <w:color w:val="000000"/>
          <w:sz w:val="24"/>
        </w:rPr>
        <w:t>8</w:t>
      </w:r>
      <w:r>
        <w:rPr>
          <w:color w:val="000000"/>
          <w:sz w:val="24"/>
        </w:rPr>
        <w:t>、报告期内</w:t>
      </w:r>
      <w:r>
        <w:rPr>
          <w:color w:val="000000"/>
          <w:sz w:val="24"/>
        </w:rPr>
        <w:t>交银施罗德中证海外中国互联网指数型证券投资基金</w:t>
      </w:r>
      <w:r>
        <w:rPr>
          <w:color w:val="000000"/>
          <w:sz w:val="24"/>
        </w:rPr>
        <w:t>(LOF)</w:t>
      </w:r>
      <w:r>
        <w:rPr>
          <w:color w:val="000000"/>
          <w:sz w:val="24"/>
        </w:rPr>
        <w:t>在指定报刊上各项公告的原稿。</w:t>
      </w:r>
    </w:p>
    <w:p w:rsidR="006C62A7" w:rsidRDefault="006C62A7">
      <w:pPr>
        <w:spacing w:before="29" w:line="288" w:lineRule="auto"/>
        <w:ind w:firstLineChars="200" w:firstLine="480"/>
        <w:rPr>
          <w:color w:val="000000"/>
          <w:sz w:val="24"/>
        </w:rPr>
      </w:pPr>
    </w:p>
    <w:p w:rsidR="006C62A7" w:rsidRDefault="005422E0">
      <w:pPr>
        <w:autoSpaceDE w:val="0"/>
        <w:autoSpaceDN w:val="0"/>
        <w:adjustRightInd w:val="0"/>
        <w:spacing w:before="29" w:line="288" w:lineRule="auto"/>
        <w:jc w:val="left"/>
        <w:rPr>
          <w:b/>
          <w:bCs/>
          <w:color w:val="000000"/>
          <w:kern w:val="0"/>
          <w:sz w:val="24"/>
        </w:rPr>
      </w:pPr>
      <w:r>
        <w:rPr>
          <w:b/>
          <w:bCs/>
          <w:color w:val="000000"/>
          <w:kern w:val="0"/>
          <w:sz w:val="24"/>
        </w:rPr>
        <w:t>8.2</w:t>
      </w:r>
      <w:r>
        <w:rPr>
          <w:b/>
          <w:bCs/>
          <w:color w:val="000000"/>
          <w:kern w:val="0"/>
          <w:sz w:val="24"/>
        </w:rPr>
        <w:t>存放地点</w:t>
      </w:r>
    </w:p>
    <w:p w:rsidR="006C62A7" w:rsidRDefault="005422E0">
      <w:pPr>
        <w:spacing w:before="29" w:line="288" w:lineRule="auto"/>
        <w:ind w:firstLineChars="200" w:firstLine="480"/>
        <w:rPr>
          <w:color w:val="000000"/>
          <w:sz w:val="24"/>
        </w:rPr>
      </w:pPr>
      <w:r>
        <w:rPr>
          <w:color w:val="000000"/>
          <w:sz w:val="24"/>
        </w:rPr>
        <w:t>备查文件存放于基金管理人的办公场所。</w:t>
      </w:r>
    </w:p>
    <w:p w:rsidR="006C62A7" w:rsidRDefault="006C62A7">
      <w:pPr>
        <w:spacing w:before="29" w:line="288" w:lineRule="auto"/>
        <w:ind w:firstLineChars="200" w:firstLine="480"/>
        <w:rPr>
          <w:color w:val="000000"/>
          <w:sz w:val="24"/>
        </w:rPr>
      </w:pPr>
    </w:p>
    <w:p w:rsidR="006C62A7" w:rsidRDefault="005422E0">
      <w:pPr>
        <w:autoSpaceDE w:val="0"/>
        <w:autoSpaceDN w:val="0"/>
        <w:adjustRightInd w:val="0"/>
        <w:spacing w:before="29" w:line="288" w:lineRule="auto"/>
        <w:jc w:val="left"/>
        <w:rPr>
          <w:b/>
          <w:bCs/>
          <w:color w:val="000000"/>
          <w:kern w:val="0"/>
          <w:sz w:val="24"/>
        </w:rPr>
      </w:pPr>
      <w:r>
        <w:rPr>
          <w:b/>
          <w:bCs/>
          <w:color w:val="000000"/>
          <w:kern w:val="0"/>
          <w:sz w:val="24"/>
        </w:rPr>
        <w:t>8.3</w:t>
      </w:r>
      <w:r>
        <w:rPr>
          <w:b/>
          <w:bCs/>
          <w:color w:val="000000"/>
          <w:kern w:val="0"/>
          <w:sz w:val="24"/>
        </w:rPr>
        <w:t>查阅方式</w:t>
      </w:r>
    </w:p>
    <w:p w:rsidR="006C62A7" w:rsidRDefault="005422E0">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6C62A7" w:rsidRDefault="005422E0">
      <w:pPr>
        <w:spacing w:before="29" w:line="288" w:lineRule="auto"/>
        <w:ind w:firstLineChars="200" w:firstLine="480"/>
        <w:rPr>
          <w:color w:val="000000"/>
          <w:sz w:val="24"/>
        </w:rPr>
      </w:pPr>
      <w:r>
        <w:rPr>
          <w:color w:val="000000"/>
          <w:sz w:val="24"/>
        </w:rPr>
        <w:t>投资者对本报告书如有疑问，可咨询本基金管理人交银施罗德基金管理有限公司。本公司客户服务中心电话：</w:t>
      </w:r>
      <w:r>
        <w:rPr>
          <w:color w:val="000000"/>
          <w:sz w:val="24"/>
        </w:rPr>
        <w:t>400-700-5000</w:t>
      </w:r>
      <w:r>
        <w:rPr>
          <w:color w:val="000000"/>
          <w:sz w:val="24"/>
        </w:rPr>
        <w:t>（免长途话费），</w:t>
      </w:r>
      <w:r>
        <w:rPr>
          <w:color w:val="000000"/>
          <w:sz w:val="24"/>
        </w:rPr>
        <w:t>021-6105500</w:t>
      </w:r>
      <w:r>
        <w:rPr>
          <w:color w:val="000000"/>
          <w:sz w:val="24"/>
        </w:rPr>
        <w:t>0</w:t>
      </w:r>
      <w:r>
        <w:rPr>
          <w:color w:val="000000"/>
          <w:sz w:val="24"/>
        </w:rPr>
        <w:t>，电子邮件：</w:t>
      </w:r>
      <w:r>
        <w:rPr>
          <w:color w:val="000000"/>
          <w:sz w:val="24"/>
        </w:rPr>
        <w:t>services@jysld.com</w:t>
      </w:r>
      <w:r>
        <w:rPr>
          <w:color w:val="000000"/>
          <w:sz w:val="24"/>
        </w:rPr>
        <w:t>。</w:t>
      </w:r>
    </w:p>
    <w:p w:rsidR="006C62A7" w:rsidRDefault="006C62A7">
      <w:pPr>
        <w:spacing w:before="29" w:line="288" w:lineRule="auto"/>
        <w:ind w:firstLineChars="200" w:firstLine="480"/>
        <w:rPr>
          <w:color w:val="000000"/>
          <w:sz w:val="24"/>
        </w:rPr>
      </w:pPr>
    </w:p>
    <w:sectPr w:rsidR="006C62A7">
      <w:headerReference w:type="even" r:id="rId14"/>
      <w:footerReference w:type="even" r:id="rId15"/>
      <w:headerReference w:type="first" r:id="rId16"/>
      <w:footerReference w:type="first" r:id="rId1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E0" w:rsidRDefault="005422E0">
      <w:r>
        <w:separator/>
      </w:r>
    </w:p>
  </w:endnote>
  <w:endnote w:type="continuationSeparator" w:id="0">
    <w:p w:rsidR="005422E0" w:rsidRDefault="0054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6C62A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5422E0">
    <w:pPr>
      <w:pStyle w:val="ab"/>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5F7DE8">
      <w:rPr>
        <w:noProof/>
        <w:kern w:val="0"/>
        <w:szCs w:val="21"/>
      </w:rPr>
      <w:t>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5F7DE8">
      <w:rPr>
        <w:noProof/>
        <w:kern w:val="0"/>
        <w:szCs w:val="21"/>
      </w:rPr>
      <w:t>13</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6C62A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5422E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C62A7" w:rsidRDefault="006C62A7">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6C62A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E0" w:rsidRDefault="005422E0">
      <w:r>
        <w:separator/>
      </w:r>
    </w:p>
  </w:footnote>
  <w:footnote w:type="continuationSeparator" w:id="0">
    <w:p w:rsidR="005422E0" w:rsidRDefault="00542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6C62A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5422E0">
    <w:pPr>
      <w:pStyle w:val="ac"/>
      <w:pBdr>
        <w:bottom w:val="single" w:sz="6" w:space="0" w:color="auto"/>
      </w:pBdr>
      <w:ind w:firstLine="480"/>
      <w:jc w:val="right"/>
      <w:rPr>
        <w:sz w:val="24"/>
        <w:szCs w:val="24"/>
      </w:rPr>
    </w:pPr>
    <w:r>
      <w:rPr>
        <w:sz w:val="24"/>
        <w:szCs w:val="24"/>
      </w:rPr>
      <w:t>交银施罗德中证海外中国互联网指数型证券投资基金</w:t>
    </w:r>
    <w:r>
      <w:rPr>
        <w:sz w:val="24"/>
        <w:szCs w:val="24"/>
      </w:rPr>
      <w:t>(LOF)2020</w:t>
    </w:r>
    <w:r>
      <w:rPr>
        <w:sz w:val="24"/>
        <w:szCs w:val="24"/>
      </w:rPr>
      <w:t>年第</w:t>
    </w:r>
    <w:r>
      <w:rPr>
        <w:sz w:val="24"/>
        <w:szCs w:val="24"/>
      </w:rPr>
      <w:t>4</w:t>
    </w:r>
    <w:r>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6C62A7">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6C62A7">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7" w:rsidRDefault="006C62A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6F0"/>
    <w:rsid w:val="0003091A"/>
    <w:rsid w:val="00037FCF"/>
    <w:rsid w:val="00041090"/>
    <w:rsid w:val="00041AB5"/>
    <w:rsid w:val="00042040"/>
    <w:rsid w:val="000421B8"/>
    <w:rsid w:val="00043ABF"/>
    <w:rsid w:val="000445E4"/>
    <w:rsid w:val="00045AE7"/>
    <w:rsid w:val="000510AB"/>
    <w:rsid w:val="000511BF"/>
    <w:rsid w:val="00055668"/>
    <w:rsid w:val="00055AF1"/>
    <w:rsid w:val="000565DC"/>
    <w:rsid w:val="00063A8D"/>
    <w:rsid w:val="00064AE3"/>
    <w:rsid w:val="00066524"/>
    <w:rsid w:val="00067332"/>
    <w:rsid w:val="00070CD1"/>
    <w:rsid w:val="0007171B"/>
    <w:rsid w:val="00075754"/>
    <w:rsid w:val="00080ECC"/>
    <w:rsid w:val="00081D05"/>
    <w:rsid w:val="000876A0"/>
    <w:rsid w:val="00087CF7"/>
    <w:rsid w:val="000948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4107"/>
    <w:rsid w:val="000C41AE"/>
    <w:rsid w:val="000C45E7"/>
    <w:rsid w:val="000C7596"/>
    <w:rsid w:val="000D01F4"/>
    <w:rsid w:val="000D02C9"/>
    <w:rsid w:val="000D121F"/>
    <w:rsid w:val="000D1519"/>
    <w:rsid w:val="000D32D5"/>
    <w:rsid w:val="000D4219"/>
    <w:rsid w:val="000E16FB"/>
    <w:rsid w:val="000E1F7C"/>
    <w:rsid w:val="000E3B88"/>
    <w:rsid w:val="000E4456"/>
    <w:rsid w:val="000E60B8"/>
    <w:rsid w:val="000F175F"/>
    <w:rsid w:val="000F17D1"/>
    <w:rsid w:val="000F308F"/>
    <w:rsid w:val="000F352F"/>
    <w:rsid w:val="000F60FF"/>
    <w:rsid w:val="000F635F"/>
    <w:rsid w:val="000F6C61"/>
    <w:rsid w:val="00100A7C"/>
    <w:rsid w:val="00100C12"/>
    <w:rsid w:val="0010282F"/>
    <w:rsid w:val="001049B6"/>
    <w:rsid w:val="001051C6"/>
    <w:rsid w:val="0010694D"/>
    <w:rsid w:val="00110D1F"/>
    <w:rsid w:val="0011177A"/>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3CEB"/>
    <w:rsid w:val="0017526E"/>
    <w:rsid w:val="001756A1"/>
    <w:rsid w:val="001761EE"/>
    <w:rsid w:val="00176EAA"/>
    <w:rsid w:val="0017725A"/>
    <w:rsid w:val="00177C4B"/>
    <w:rsid w:val="0018325A"/>
    <w:rsid w:val="00183D93"/>
    <w:rsid w:val="00186199"/>
    <w:rsid w:val="0018734E"/>
    <w:rsid w:val="00190409"/>
    <w:rsid w:val="0019075A"/>
    <w:rsid w:val="001928F7"/>
    <w:rsid w:val="00194537"/>
    <w:rsid w:val="00194F40"/>
    <w:rsid w:val="00195D4D"/>
    <w:rsid w:val="001976B1"/>
    <w:rsid w:val="001A21A9"/>
    <w:rsid w:val="001A3475"/>
    <w:rsid w:val="001A4A63"/>
    <w:rsid w:val="001A5539"/>
    <w:rsid w:val="001A59D8"/>
    <w:rsid w:val="001A5FA6"/>
    <w:rsid w:val="001A76EF"/>
    <w:rsid w:val="001B28D0"/>
    <w:rsid w:val="001B2F0C"/>
    <w:rsid w:val="001C1457"/>
    <w:rsid w:val="001C37F6"/>
    <w:rsid w:val="001C3D24"/>
    <w:rsid w:val="001C46E1"/>
    <w:rsid w:val="001C4C02"/>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DC2"/>
    <w:rsid w:val="001E4ABC"/>
    <w:rsid w:val="001E56FF"/>
    <w:rsid w:val="001E5C6B"/>
    <w:rsid w:val="001F03E1"/>
    <w:rsid w:val="001F3C28"/>
    <w:rsid w:val="001F3CC6"/>
    <w:rsid w:val="001F4530"/>
    <w:rsid w:val="001F5643"/>
    <w:rsid w:val="001F7F11"/>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3FE4"/>
    <w:rsid w:val="002359EB"/>
    <w:rsid w:val="002363AB"/>
    <w:rsid w:val="0024260D"/>
    <w:rsid w:val="00245012"/>
    <w:rsid w:val="0024504E"/>
    <w:rsid w:val="0024651F"/>
    <w:rsid w:val="0025065B"/>
    <w:rsid w:val="0025158D"/>
    <w:rsid w:val="0025281A"/>
    <w:rsid w:val="002537A4"/>
    <w:rsid w:val="00253D3C"/>
    <w:rsid w:val="00254F37"/>
    <w:rsid w:val="00255292"/>
    <w:rsid w:val="00256097"/>
    <w:rsid w:val="00260200"/>
    <w:rsid w:val="00261DB3"/>
    <w:rsid w:val="00263E09"/>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0B58"/>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6793"/>
    <w:rsid w:val="002B70FF"/>
    <w:rsid w:val="002C042C"/>
    <w:rsid w:val="002C1372"/>
    <w:rsid w:val="002C154E"/>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598C"/>
    <w:rsid w:val="00316339"/>
    <w:rsid w:val="00316C5A"/>
    <w:rsid w:val="003204E9"/>
    <w:rsid w:val="00321E8C"/>
    <w:rsid w:val="00322A86"/>
    <w:rsid w:val="0032376C"/>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6526F"/>
    <w:rsid w:val="00370AA4"/>
    <w:rsid w:val="00371FF4"/>
    <w:rsid w:val="003745DA"/>
    <w:rsid w:val="0037468D"/>
    <w:rsid w:val="00376A15"/>
    <w:rsid w:val="00376E96"/>
    <w:rsid w:val="00377520"/>
    <w:rsid w:val="00380D36"/>
    <w:rsid w:val="00381C26"/>
    <w:rsid w:val="003822D3"/>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244F"/>
    <w:rsid w:val="003E2E6E"/>
    <w:rsid w:val="003E4E68"/>
    <w:rsid w:val="003E6203"/>
    <w:rsid w:val="003E62A6"/>
    <w:rsid w:val="003E695F"/>
    <w:rsid w:val="003E6C9B"/>
    <w:rsid w:val="003E709C"/>
    <w:rsid w:val="003E7B89"/>
    <w:rsid w:val="003F0275"/>
    <w:rsid w:val="003F06B1"/>
    <w:rsid w:val="003F4241"/>
    <w:rsid w:val="003F45C8"/>
    <w:rsid w:val="003F7C45"/>
    <w:rsid w:val="0040132C"/>
    <w:rsid w:val="004027BA"/>
    <w:rsid w:val="0040469F"/>
    <w:rsid w:val="00405085"/>
    <w:rsid w:val="004061D9"/>
    <w:rsid w:val="004066FC"/>
    <w:rsid w:val="00407C10"/>
    <w:rsid w:val="004113B4"/>
    <w:rsid w:val="00414827"/>
    <w:rsid w:val="00416C10"/>
    <w:rsid w:val="00420007"/>
    <w:rsid w:val="00423393"/>
    <w:rsid w:val="00423FB3"/>
    <w:rsid w:val="00424120"/>
    <w:rsid w:val="00424EF3"/>
    <w:rsid w:val="004261BD"/>
    <w:rsid w:val="004268BB"/>
    <w:rsid w:val="00431047"/>
    <w:rsid w:val="00431B86"/>
    <w:rsid w:val="0043363E"/>
    <w:rsid w:val="004339D9"/>
    <w:rsid w:val="004408EC"/>
    <w:rsid w:val="00441E6A"/>
    <w:rsid w:val="00443C8F"/>
    <w:rsid w:val="00452481"/>
    <w:rsid w:val="0045414A"/>
    <w:rsid w:val="004567C5"/>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16EB"/>
    <w:rsid w:val="00482956"/>
    <w:rsid w:val="0048587E"/>
    <w:rsid w:val="00486C29"/>
    <w:rsid w:val="00487C2B"/>
    <w:rsid w:val="00490B1F"/>
    <w:rsid w:val="0049153C"/>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1FC8"/>
    <w:rsid w:val="004C2C46"/>
    <w:rsid w:val="004C52A1"/>
    <w:rsid w:val="004C7235"/>
    <w:rsid w:val="004C7955"/>
    <w:rsid w:val="004D047F"/>
    <w:rsid w:val="004D3971"/>
    <w:rsid w:val="004D3D96"/>
    <w:rsid w:val="004D650F"/>
    <w:rsid w:val="004E2133"/>
    <w:rsid w:val="004E3D41"/>
    <w:rsid w:val="004E60FB"/>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16FAF"/>
    <w:rsid w:val="0052009E"/>
    <w:rsid w:val="00520ED7"/>
    <w:rsid w:val="00521EDE"/>
    <w:rsid w:val="005252A9"/>
    <w:rsid w:val="00525E59"/>
    <w:rsid w:val="005318CC"/>
    <w:rsid w:val="005346F1"/>
    <w:rsid w:val="005349B1"/>
    <w:rsid w:val="005374BC"/>
    <w:rsid w:val="005422E0"/>
    <w:rsid w:val="00543367"/>
    <w:rsid w:val="00543BFA"/>
    <w:rsid w:val="00547D9C"/>
    <w:rsid w:val="00547DA1"/>
    <w:rsid w:val="00551A1A"/>
    <w:rsid w:val="00552829"/>
    <w:rsid w:val="00552C71"/>
    <w:rsid w:val="005546C0"/>
    <w:rsid w:val="0055513C"/>
    <w:rsid w:val="005571C9"/>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0D4F"/>
    <w:rsid w:val="005C5409"/>
    <w:rsid w:val="005C6212"/>
    <w:rsid w:val="005C69AC"/>
    <w:rsid w:val="005C722E"/>
    <w:rsid w:val="005C73C2"/>
    <w:rsid w:val="005C7FD4"/>
    <w:rsid w:val="005D01A4"/>
    <w:rsid w:val="005D45B3"/>
    <w:rsid w:val="005D4CEB"/>
    <w:rsid w:val="005D6E21"/>
    <w:rsid w:val="005E0EAB"/>
    <w:rsid w:val="005E2501"/>
    <w:rsid w:val="005E4CD1"/>
    <w:rsid w:val="005E64DA"/>
    <w:rsid w:val="005F04E6"/>
    <w:rsid w:val="005F43B9"/>
    <w:rsid w:val="005F68CB"/>
    <w:rsid w:val="005F690D"/>
    <w:rsid w:val="005F7085"/>
    <w:rsid w:val="005F79F9"/>
    <w:rsid w:val="005F7DE8"/>
    <w:rsid w:val="005F7F24"/>
    <w:rsid w:val="00601110"/>
    <w:rsid w:val="00602ACD"/>
    <w:rsid w:val="006033E3"/>
    <w:rsid w:val="00605748"/>
    <w:rsid w:val="00607A54"/>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726C"/>
    <w:rsid w:val="006674BD"/>
    <w:rsid w:val="006676A0"/>
    <w:rsid w:val="00670857"/>
    <w:rsid w:val="00671124"/>
    <w:rsid w:val="006727B0"/>
    <w:rsid w:val="0067307E"/>
    <w:rsid w:val="006804FA"/>
    <w:rsid w:val="00686EC0"/>
    <w:rsid w:val="00687AD5"/>
    <w:rsid w:val="00691153"/>
    <w:rsid w:val="006949ED"/>
    <w:rsid w:val="00695251"/>
    <w:rsid w:val="00695ADE"/>
    <w:rsid w:val="00695C0D"/>
    <w:rsid w:val="00696356"/>
    <w:rsid w:val="006A1DAE"/>
    <w:rsid w:val="006A23FB"/>
    <w:rsid w:val="006A2C8E"/>
    <w:rsid w:val="006A3F7F"/>
    <w:rsid w:val="006A72C6"/>
    <w:rsid w:val="006A77B5"/>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2A7"/>
    <w:rsid w:val="006C642C"/>
    <w:rsid w:val="006C6FC6"/>
    <w:rsid w:val="006D00D5"/>
    <w:rsid w:val="006D0377"/>
    <w:rsid w:val="006D2D97"/>
    <w:rsid w:val="006E34B7"/>
    <w:rsid w:val="006F4CD8"/>
    <w:rsid w:val="006F56D2"/>
    <w:rsid w:val="00701F44"/>
    <w:rsid w:val="00703E8A"/>
    <w:rsid w:val="00707A5E"/>
    <w:rsid w:val="00710335"/>
    <w:rsid w:val="00711522"/>
    <w:rsid w:val="007124FE"/>
    <w:rsid w:val="00713186"/>
    <w:rsid w:val="00713757"/>
    <w:rsid w:val="00716DC0"/>
    <w:rsid w:val="00717772"/>
    <w:rsid w:val="00721AF1"/>
    <w:rsid w:val="0072280F"/>
    <w:rsid w:val="00722B5E"/>
    <w:rsid w:val="00723559"/>
    <w:rsid w:val="0072595F"/>
    <w:rsid w:val="00726CFF"/>
    <w:rsid w:val="0072708F"/>
    <w:rsid w:val="00730500"/>
    <w:rsid w:val="00732D1D"/>
    <w:rsid w:val="00733C8D"/>
    <w:rsid w:val="00735D08"/>
    <w:rsid w:val="00736034"/>
    <w:rsid w:val="00736479"/>
    <w:rsid w:val="0073681C"/>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A3195"/>
    <w:rsid w:val="007A3680"/>
    <w:rsid w:val="007A59B8"/>
    <w:rsid w:val="007A72D3"/>
    <w:rsid w:val="007A75F5"/>
    <w:rsid w:val="007B2862"/>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D87"/>
    <w:rsid w:val="007F5F52"/>
    <w:rsid w:val="007F768B"/>
    <w:rsid w:val="007F77C6"/>
    <w:rsid w:val="007F7FBA"/>
    <w:rsid w:val="008003A1"/>
    <w:rsid w:val="008006B7"/>
    <w:rsid w:val="00800FDB"/>
    <w:rsid w:val="00802081"/>
    <w:rsid w:val="008060F5"/>
    <w:rsid w:val="00806461"/>
    <w:rsid w:val="0081096D"/>
    <w:rsid w:val="00810EAD"/>
    <w:rsid w:val="00811833"/>
    <w:rsid w:val="00811B44"/>
    <w:rsid w:val="008174D4"/>
    <w:rsid w:val="00820FE6"/>
    <w:rsid w:val="00821A66"/>
    <w:rsid w:val="00822476"/>
    <w:rsid w:val="00822882"/>
    <w:rsid w:val="00825F68"/>
    <w:rsid w:val="00826B12"/>
    <w:rsid w:val="00835408"/>
    <w:rsid w:val="00837CEF"/>
    <w:rsid w:val="00840035"/>
    <w:rsid w:val="008428A9"/>
    <w:rsid w:val="00844112"/>
    <w:rsid w:val="00844733"/>
    <w:rsid w:val="00844929"/>
    <w:rsid w:val="00844DF5"/>
    <w:rsid w:val="008456C9"/>
    <w:rsid w:val="0084611D"/>
    <w:rsid w:val="00850C62"/>
    <w:rsid w:val="00852E6D"/>
    <w:rsid w:val="00861D07"/>
    <w:rsid w:val="008620ED"/>
    <w:rsid w:val="00863011"/>
    <w:rsid w:val="008640AE"/>
    <w:rsid w:val="00865075"/>
    <w:rsid w:val="008673EE"/>
    <w:rsid w:val="0086748F"/>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61D6"/>
    <w:rsid w:val="008C64A8"/>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3122"/>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041"/>
    <w:rsid w:val="009A781F"/>
    <w:rsid w:val="009B1584"/>
    <w:rsid w:val="009B21CA"/>
    <w:rsid w:val="009B2235"/>
    <w:rsid w:val="009B2648"/>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3A1C"/>
    <w:rsid w:val="009D4991"/>
    <w:rsid w:val="009D5BB5"/>
    <w:rsid w:val="009D696D"/>
    <w:rsid w:val="009D6DAB"/>
    <w:rsid w:val="009D6ED2"/>
    <w:rsid w:val="009D7D27"/>
    <w:rsid w:val="009E0F1A"/>
    <w:rsid w:val="009E140D"/>
    <w:rsid w:val="009E1E55"/>
    <w:rsid w:val="009E4465"/>
    <w:rsid w:val="009E6401"/>
    <w:rsid w:val="009E6C54"/>
    <w:rsid w:val="009E6D44"/>
    <w:rsid w:val="009E7EF6"/>
    <w:rsid w:val="009F2A25"/>
    <w:rsid w:val="009F321E"/>
    <w:rsid w:val="009F5235"/>
    <w:rsid w:val="009F531A"/>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5ADB"/>
    <w:rsid w:val="00A27804"/>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3953"/>
    <w:rsid w:val="00A840C5"/>
    <w:rsid w:val="00A872B1"/>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1066"/>
    <w:rsid w:val="00AE19D8"/>
    <w:rsid w:val="00AE4518"/>
    <w:rsid w:val="00AE5D7F"/>
    <w:rsid w:val="00AE79F0"/>
    <w:rsid w:val="00AE7D44"/>
    <w:rsid w:val="00AF18BC"/>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0704"/>
    <w:rsid w:val="00B43FC2"/>
    <w:rsid w:val="00B47485"/>
    <w:rsid w:val="00B518C3"/>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4BB8"/>
    <w:rsid w:val="00B94C15"/>
    <w:rsid w:val="00B95E5A"/>
    <w:rsid w:val="00BA22A8"/>
    <w:rsid w:val="00BA3E48"/>
    <w:rsid w:val="00BA4BF8"/>
    <w:rsid w:val="00BA7C61"/>
    <w:rsid w:val="00BB1EB3"/>
    <w:rsid w:val="00BB2678"/>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2856"/>
    <w:rsid w:val="00C130C1"/>
    <w:rsid w:val="00C152FE"/>
    <w:rsid w:val="00C16739"/>
    <w:rsid w:val="00C22CCE"/>
    <w:rsid w:val="00C23BA2"/>
    <w:rsid w:val="00C25D0C"/>
    <w:rsid w:val="00C319CF"/>
    <w:rsid w:val="00C32AF2"/>
    <w:rsid w:val="00C33204"/>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57D9E"/>
    <w:rsid w:val="00C612DC"/>
    <w:rsid w:val="00C62509"/>
    <w:rsid w:val="00C645E6"/>
    <w:rsid w:val="00C64D82"/>
    <w:rsid w:val="00C64FBC"/>
    <w:rsid w:val="00C65A83"/>
    <w:rsid w:val="00C67DCB"/>
    <w:rsid w:val="00C736BB"/>
    <w:rsid w:val="00C737E8"/>
    <w:rsid w:val="00C80F23"/>
    <w:rsid w:val="00C81151"/>
    <w:rsid w:val="00C81746"/>
    <w:rsid w:val="00C82CC6"/>
    <w:rsid w:val="00C850A3"/>
    <w:rsid w:val="00C85C32"/>
    <w:rsid w:val="00C87568"/>
    <w:rsid w:val="00C87BB7"/>
    <w:rsid w:val="00C90DB6"/>
    <w:rsid w:val="00C9169D"/>
    <w:rsid w:val="00C9394F"/>
    <w:rsid w:val="00C93B1A"/>
    <w:rsid w:val="00C9504A"/>
    <w:rsid w:val="00C96275"/>
    <w:rsid w:val="00C968F4"/>
    <w:rsid w:val="00C96F5F"/>
    <w:rsid w:val="00CA3977"/>
    <w:rsid w:val="00CA431C"/>
    <w:rsid w:val="00CA5927"/>
    <w:rsid w:val="00CA79EC"/>
    <w:rsid w:val="00CB39C2"/>
    <w:rsid w:val="00CB44DE"/>
    <w:rsid w:val="00CB4C8C"/>
    <w:rsid w:val="00CB6782"/>
    <w:rsid w:val="00CB7629"/>
    <w:rsid w:val="00CC00EC"/>
    <w:rsid w:val="00CC080A"/>
    <w:rsid w:val="00CC3C04"/>
    <w:rsid w:val="00CC3E66"/>
    <w:rsid w:val="00CC45B7"/>
    <w:rsid w:val="00CC4CB4"/>
    <w:rsid w:val="00CE3C13"/>
    <w:rsid w:val="00CE4499"/>
    <w:rsid w:val="00CE5277"/>
    <w:rsid w:val="00CE6358"/>
    <w:rsid w:val="00CE7FC6"/>
    <w:rsid w:val="00CF0249"/>
    <w:rsid w:val="00CF0C6C"/>
    <w:rsid w:val="00CF2D54"/>
    <w:rsid w:val="00D005B0"/>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4F09"/>
    <w:rsid w:val="00D754C0"/>
    <w:rsid w:val="00D75673"/>
    <w:rsid w:val="00D7585A"/>
    <w:rsid w:val="00D77D2B"/>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2E09"/>
    <w:rsid w:val="00DB376A"/>
    <w:rsid w:val="00DB37EE"/>
    <w:rsid w:val="00DB4450"/>
    <w:rsid w:val="00DB7B69"/>
    <w:rsid w:val="00DC234A"/>
    <w:rsid w:val="00DC34E9"/>
    <w:rsid w:val="00DC35A7"/>
    <w:rsid w:val="00DC41E4"/>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0456"/>
    <w:rsid w:val="00E513F6"/>
    <w:rsid w:val="00E52AA3"/>
    <w:rsid w:val="00E52F3B"/>
    <w:rsid w:val="00E53D94"/>
    <w:rsid w:val="00E53DEA"/>
    <w:rsid w:val="00E616DB"/>
    <w:rsid w:val="00E618DD"/>
    <w:rsid w:val="00E627A4"/>
    <w:rsid w:val="00E630ED"/>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42D0"/>
    <w:rsid w:val="00EC4BA3"/>
    <w:rsid w:val="00EC5CE6"/>
    <w:rsid w:val="00EC638F"/>
    <w:rsid w:val="00ED6B0D"/>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078BA"/>
    <w:rsid w:val="00F11352"/>
    <w:rsid w:val="00F13FCD"/>
    <w:rsid w:val="00F1498D"/>
    <w:rsid w:val="00F14D34"/>
    <w:rsid w:val="00F14DDF"/>
    <w:rsid w:val="00F152AD"/>
    <w:rsid w:val="00F158FF"/>
    <w:rsid w:val="00F20BE9"/>
    <w:rsid w:val="00F2285F"/>
    <w:rsid w:val="00F22F00"/>
    <w:rsid w:val="00F23155"/>
    <w:rsid w:val="00F24E0E"/>
    <w:rsid w:val="00F26693"/>
    <w:rsid w:val="00F32D4F"/>
    <w:rsid w:val="00F36130"/>
    <w:rsid w:val="00F40444"/>
    <w:rsid w:val="00F423BD"/>
    <w:rsid w:val="00F432FF"/>
    <w:rsid w:val="00F45C41"/>
    <w:rsid w:val="00F4715C"/>
    <w:rsid w:val="00F54869"/>
    <w:rsid w:val="00F556B2"/>
    <w:rsid w:val="00F57187"/>
    <w:rsid w:val="00F574E5"/>
    <w:rsid w:val="00F5754B"/>
    <w:rsid w:val="00F576DE"/>
    <w:rsid w:val="00F63BF7"/>
    <w:rsid w:val="00F65617"/>
    <w:rsid w:val="00F710BE"/>
    <w:rsid w:val="00F72CEF"/>
    <w:rsid w:val="00F736D2"/>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0448"/>
    <w:rsid w:val="00FC1CA5"/>
    <w:rsid w:val="00FC2979"/>
    <w:rsid w:val="00FC45F4"/>
    <w:rsid w:val="00FC4DDD"/>
    <w:rsid w:val="00FD1C3C"/>
    <w:rsid w:val="00FD38A8"/>
    <w:rsid w:val="00FD6AC8"/>
    <w:rsid w:val="00FD7298"/>
    <w:rsid w:val="00FD7CF6"/>
    <w:rsid w:val="00FE308B"/>
    <w:rsid w:val="00FE3EA1"/>
    <w:rsid w:val="00FE4818"/>
    <w:rsid w:val="00FE5D80"/>
    <w:rsid w:val="00FF6ADB"/>
    <w:rsid w:val="00FF7F4C"/>
    <w:rsid w:val="5CFF7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B7770E-3894-4E84-BBCC-4573D50E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semiHidden/>
    <w:qFormat/>
    <w:pPr>
      <w:shd w:val="clear" w:color="auto" w:fill="000080"/>
    </w:pPr>
  </w:style>
  <w:style w:type="paragraph" w:styleId="a5">
    <w:name w:val="annotation text"/>
    <w:basedOn w:val="a"/>
    <w:semiHidden/>
    <w:qFormat/>
    <w:pPr>
      <w:jc w:val="left"/>
    </w:pPr>
  </w:style>
  <w:style w:type="paragraph" w:styleId="a6">
    <w:name w:val="Body Text"/>
    <w:basedOn w:val="a"/>
    <w:pPr>
      <w:spacing w:after="120"/>
    </w:pPr>
  </w:style>
  <w:style w:type="paragraph" w:styleId="a7">
    <w:name w:val="Body Text Indent"/>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Plain Text"/>
    <w:basedOn w:val="a"/>
    <w:link w:val="Char"/>
    <w:rPr>
      <w:rFonts w:ascii="宋体" w:hAnsi="Courier New"/>
      <w:szCs w:val="21"/>
    </w:rPr>
  </w:style>
  <w:style w:type="paragraph" w:styleId="a9">
    <w:name w:val="Date"/>
    <w:basedOn w:val="a"/>
    <w:next w:val="a"/>
    <w:link w:val="Char0"/>
    <w:qFormat/>
    <w:rPr>
      <w:sz w:val="24"/>
      <w:szCs w:val="20"/>
    </w:rPr>
  </w:style>
  <w:style w:type="paragraph" w:styleId="20">
    <w:name w:val="Body Text Indent 2"/>
    <w:basedOn w:val="a"/>
    <w:qFormat/>
    <w:pPr>
      <w:spacing w:line="560" w:lineRule="exact"/>
      <w:ind w:firstLineChars="200" w:firstLine="480"/>
    </w:pPr>
    <w:rPr>
      <w:rFonts w:ascii="宋体" w:hAnsi="宋体"/>
      <w:color w:val="FF0000"/>
      <w:sz w:val="24"/>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d">
    <w:name w:val="List"/>
    <w:basedOn w:val="a6"/>
    <w:qFormat/>
    <w:pPr>
      <w:spacing w:after="220" w:line="220" w:lineRule="atLeast"/>
      <w:ind w:left="1440" w:hanging="360"/>
    </w:pPr>
    <w:rPr>
      <w:szCs w:val="20"/>
    </w:rPr>
  </w:style>
  <w:style w:type="paragraph" w:styleId="ae">
    <w:name w:val="footnote text"/>
    <w:basedOn w:val="a"/>
    <w:semiHidden/>
    <w:qFormat/>
    <w:pPr>
      <w:snapToGrid w:val="0"/>
      <w:jc w:val="left"/>
    </w:pPr>
    <w:rPr>
      <w:sz w:val="18"/>
      <w:szCs w:val="18"/>
    </w:rPr>
  </w:style>
  <w:style w:type="paragraph" w:styleId="3">
    <w:name w:val="Body Text Indent 3"/>
    <w:basedOn w:val="a"/>
    <w:qFormat/>
    <w:pPr>
      <w:spacing w:line="560" w:lineRule="exact"/>
      <w:ind w:firstLineChars="200" w:firstLine="420"/>
    </w:pPr>
    <w:rPr>
      <w:rFonts w:ascii="Arial" w:hAnsi="Arial" w:cs="Arial"/>
      <w:color w:val="FF0000"/>
    </w:rPr>
  </w:style>
  <w:style w:type="paragraph" w:styleId="af">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semiHidden/>
    <w:pPr>
      <w:jc w:val="right"/>
    </w:pPr>
    <w:rPr>
      <w:color w:val="008000"/>
    </w:rPr>
  </w:style>
  <w:style w:type="paragraph" w:styleId="af0">
    <w:name w:val="annotation subject"/>
    <w:basedOn w:val="a5"/>
    <w:next w:val="a5"/>
    <w:semiHidden/>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page number"/>
    <w:basedOn w:val="a1"/>
  </w:style>
  <w:style w:type="character" w:styleId="af4">
    <w:name w:val="FollowedHyperlink"/>
    <w:rPr>
      <w:color w:val="800080"/>
      <w:u w:val="single"/>
    </w:rPr>
  </w:style>
  <w:style w:type="character" w:styleId="af5">
    <w:name w:val="Hyperlink"/>
    <w:qFormat/>
    <w:rPr>
      <w:color w:val="0000FF"/>
      <w:u w:val="single"/>
    </w:rPr>
  </w:style>
  <w:style w:type="character" w:styleId="af6">
    <w:name w:val="annotation reference"/>
    <w:semiHidden/>
    <w:qFormat/>
    <w:rPr>
      <w:sz w:val="21"/>
      <w:szCs w:val="21"/>
    </w:rPr>
  </w:style>
  <w:style w:type="character" w:styleId="af7">
    <w:name w:val="footnote reference"/>
    <w:semiHidden/>
    <w:qFormat/>
    <w:rPr>
      <w:vertAlign w:val="superscript"/>
    </w:rPr>
  </w:style>
  <w:style w:type="character" w:customStyle="1" w:styleId="c1">
    <w:name w:val="c1"/>
    <w:qFormat/>
    <w:rPr>
      <w:color w:val="00000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2">
    <w:name w:val="Char"/>
    <w:basedOn w:val="a"/>
    <w:qFormat/>
  </w:style>
  <w:style w:type="paragraph" w:customStyle="1" w:styleId="af8">
    <w:name w:val="正文 + (符号) 宋体"/>
    <w:basedOn w:val="a"/>
    <w:qFormat/>
    <w:pPr>
      <w:autoSpaceDE w:val="0"/>
      <w:autoSpaceDN w:val="0"/>
      <w:adjustRightInd w:val="0"/>
      <w:ind w:rightChars="671" w:right="1409" w:firstLineChars="512" w:firstLine="1229"/>
      <w:jc w:val="distribute"/>
    </w:pPr>
    <w:rPr>
      <w:sz w:val="24"/>
    </w:rPr>
  </w:style>
  <w:style w:type="paragraph" w:customStyle="1" w:styleId="Char10">
    <w:name w:val="Char1"/>
    <w:basedOn w:val="a"/>
    <w:qFormat/>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character" w:customStyle="1" w:styleId="Char">
    <w:name w:val="纯文本 Char"/>
    <w:link w:val="a8"/>
    <w:uiPriority w:val="99"/>
    <w:rPr>
      <w:rFonts w:ascii="宋体" w:hAnsi="Courier New"/>
      <w:kern w:val="2"/>
      <w:sz w:val="21"/>
      <w:szCs w:val="21"/>
    </w:rPr>
  </w:style>
  <w:style w:type="character" w:customStyle="1" w:styleId="Char1">
    <w:name w:val="页眉 Char"/>
    <w:basedOn w:val="a1"/>
    <w:link w:val="ac"/>
    <w:uiPriority w:val="99"/>
    <w:rPr>
      <w:kern w:val="2"/>
      <w:sz w:val="18"/>
      <w:szCs w:val="18"/>
    </w:rPr>
  </w:style>
  <w:style w:type="character" w:customStyle="1" w:styleId="1Char">
    <w:name w:val="标题 1 Char"/>
    <w:basedOn w:val="a1"/>
    <w:link w:val="1"/>
    <w:rPr>
      <w:b/>
      <w:bCs/>
      <w:kern w:val="44"/>
      <w:sz w:val="44"/>
      <w:szCs w:val="44"/>
    </w:rPr>
  </w:style>
  <w:style w:type="character" w:customStyle="1" w:styleId="Char0">
    <w:name w:val="日期 Char"/>
    <w:basedOn w:val="a1"/>
    <w:link w:val="a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qdii.dot</Template>
  <TotalTime>0</TotalTime>
  <Pages>13</Pages>
  <Words>1221</Words>
  <Characters>6965</Characters>
  <Application>Microsoft Office Word</Application>
  <DocSecurity>0</DocSecurity>
  <Lines>58</Lines>
  <Paragraphs>16</Paragraphs>
  <ScaleCrop>false</ScaleCrop>
  <Company>TRT. Ltd. Co.</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320</cp:revision>
  <cp:lastPrinted>2007-07-19T00:46:00Z</cp:lastPrinted>
  <dcterms:created xsi:type="dcterms:W3CDTF">2013-08-01T05:26:00Z</dcterms:created>
  <dcterms:modified xsi:type="dcterms:W3CDTF">2021-01-18T09:00:00Z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